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Article</w:t>
      </w:r>
    </w:p>
    <w:p>
      <w:pPr>
        <w:pStyle w:val="MDPI12title"/>
      </w:pPr>
      <w:r>
        <w:t>Eroding the First Rung: Generative Artificial Intelligence, Organizational Learning, and the Self-Reinforcing Decline of Youth Employment in Chinese Listed Firms</w:t>
      </w:r>
    </w:p>
    <w:p>
      <w:pPr>
        <w:pStyle w:val="MDPI13authornames"/>
      </w:pPr>
      <w:r>
        <w:rPr/>
        <w:t xml:space="preserve">Xinyu Cai </w:t>
      </w:r>
      <w:r>
        <w:rPr>
          <w:vertAlign w:val="superscript"/>
        </w:rPr>
        <w:t>1</w:t>
      </w:r>
      <w:r>
        <w:rPr/>
        <w:t xml:space="preserve"> and Tiantian Mo </w:t>
      </w:r>
      <w:r>
        <w:rPr>
          <w:vertAlign w:val="superscript"/>
        </w:rPr>
        <w:t>1,*</w:t>
      </w:r>
    </w:p>
    <w:p>
      <w:pPr>
        <w:pStyle w:val="MDPI15academiceditor"/>
      </w:pPr>
      <w:r>
        <w:t>Academic Editor: Ali Ahsan</w:t>
      </w:r>
    </w:p>
    <w:p>
      <w:pPr>
        <w:pStyle w:val="MDPI14history"/>
      </w:pPr>
      <w:r>
        <w:t>Received: date</w:t>
      </w:r>
    </w:p>
    <w:p>
      <w:pPr>
        <w:pStyle w:val="MDPI14history"/>
      </w:pPr>
      <w:r>
        <w:t>Revised: date</w:t>
      </w:r>
    </w:p>
    <w:p>
      <w:pPr>
        <w:pStyle w:val="MDPI14history"/>
      </w:pPr>
      <w:r>
        <w:t>Accepted: date</w:t>
      </w:r>
    </w:p>
    <w:p>
      <w:pPr>
        <w:pStyle w:val="MDPI14history"/>
      </w:pPr>
      <w:r>
        <w:t>Published: date</w:t>
      </w:r>
    </w:p>
    <w:p>
      <w:pPr>
        <w:pStyle w:val="MDPI61citation"/>
      </w:pPr>
      <w:r>
        <w:t>Citation: To be added by editorial staff during production.</w:t>
      </w:r>
    </w:p>
    <w:p>
      <w:pPr>
        <w:pStyle w:val="MDPI72copyright"/>
      </w:pPr>
      <w:r>
        <w:t>Copyright: © 2026 by the authors. Submitted for possible open access publication under the terms and conditions of the Creative Commons Attribution (CC BY) license (https://creativecommons.org/licenses/by/4.0/).</w:t>
      </w:r>
    </w:p>
    <w:p>
      <w:pPr>
        <w:pStyle w:val="MDPI16affiliation"/>
      </w:pPr>
      <w:r>
        <w:rPr>
          <w:b w:val="0"/>
          <w:vertAlign w:val="superscript"/>
        </w:rPr>
        <w:t>1</w:t>
      </w:r>
      <w:r>
        <w:tab/>
        <w:t>College of Business, Jiaxing University, Jiaxing 314001, China; caixinyu@zjxu.edu.cn</w:t>
      </w:r>
    </w:p>
    <w:p>
      <w:pPr>
        <w:pStyle w:val="MDPI16affiliation"/>
      </w:pPr>
      <w:r>
        <w:rPr>
          <w:b/>
        </w:rPr>
        <w:t>*</w:t>
      </w:r>
      <w:r>
        <w:tab/>
        <w:t>Correspondence: 00008227@zjxu.edu.cn</w:t>
      </w:r>
    </w:p>
    <w:p>
      <w:pPr>
        <w:pStyle w:val="MDPI17abstract"/>
      </w:pPr>
      <w:r>
        <w:rPr>
          <w:b/>
        </w:rPr>
        <w:t>Abstract</w:t>
      </w:r>
    </w:p>
    <w:p>
      <w:pPr>
        <w:pStyle w:val="MDPI17abstract"/>
      </w:pPr>
      <w:r>
        <w:rPr>
          <w:b w:val="0"/>
          <w:i w:val="0"/>
        </w:rPr>
        <w:t>Entry-level work is the first rung of the workforce development ladder, and generative artificial intelligence is now most capable at precisely the tasks that rung is made of. This study examines how the adoption of generative artificial intelligence by firms reshapes the youth employment share, and asks whether the effect is a one-way shock or a self-reinforcing loop within the firm’s socio-technical system of skill formation. The analysis uses 25,701 firm-year observations for 3,000 Chinese A-share listed firms over 2016–2024, with generative-AI application intensity measured from annual-report text. A two-way fixed-effects panel model is estimated as the benchmark, three-step mediation with firm-block bootstrapping identifies the transmission channels, instrumental variables, propensity score matching and entropy balancing address endogeneity, and a bias-corrected panel vector autoregression with orthogonalized impulse responses tests the feedback structure. A one-standard-deviation increase in adoption lowers the youth employment share by 1.74 percentage points, or 6.0 percent of its mean, while employment of workers aged 31 to 50 is barely affected. Falling training investment and a contracting routine task base jointly account for 34.9 percent of the total effect. The effect is weaker where organizational learning capability is stronger and sharper where relative labor costs are higher. Critically, the erosion feeds back: weaker training and a smaller youth share raise subsequent adoption, and this reinforcing loop amplifies the eight-year cumulative displacement by 19 percent. Policy should therefore target the loop rather than the shock.</w:t>
      </w:r>
    </w:p>
    <w:p>
      <w:pPr>
        <w:pStyle w:val="MDPI18keywords"/>
      </w:pPr>
      <w:r>
        <w:rPr>
          <w:b/>
        </w:rPr>
        <w:t xml:space="preserve">Keywords: </w:t>
      </w:r>
      <w:r>
        <w:t>generative artificial intelligence; youth employment; organizational learning; socio-technical systems; feedback loop; capability trap; workforce development; panel vector autoregression</w:t>
      </w:r>
    </w:p>
    <w:p>
      <w:pPr>
        <w:pStyle w:val="MDPI19line"/>
      </w:pPr>
    </w:p>
    <w:p>
      <w:pPr>
        <w:pStyle w:val="MDPI21heading1"/>
      </w:pPr>
      <w:r>
        <w:t>1. Introduction</w:t>
      </w:r>
    </w:p>
    <w:p>
      <w:pPr>
        <w:pStyle w:val="MDPI32textnoindent"/>
      </w:pPr>
      <w:r>
        <w:rPr>
          <w:b w:val="0"/>
          <w:i w:val="0"/>
        </w:rPr>
        <w:t xml:space="preserve">Youth employment has become one of the most closely watched indicators of economic health in the world’s large economies, and it is deteriorating faster than any other segment of the labor market. The International Labour Organization reports that young people constitute roughly one-sixth of the global working-age population but close to two-fifths of the unemployed, and that their labor force participation fell more than three times as fast as that of the working-age population as a whole over the past decade </w:t>
      </w:r>
      <w:r>
        <w:t>[</w:t>
      </w:r>
      <w:r>
        <w:fldChar w:fldCharType="begin"/>
      </w:r>
      <w:r>
        <w:instrText xml:space="preserve"> REF _Ref_1 \h </w:instrText>
      </w:r>
      <w:r>
        <w:fldChar w:fldCharType="separate"/>
      </w:r>
      <w:r>
        <w:t>1</w:t>
      </w:r>
      <w:r>
        <w:fldChar w:fldCharType="end"/>
      </w:r>
      <w:r>
        <w:t>]</w:t>
      </w:r>
      <w:r>
        <w:rPr>
          <w:b w:val="0"/>
          <w:i w:val="0"/>
        </w:rPr>
        <w:t xml:space="preserve">. In China the pressure is acute. The number of new college graduates reached 12.22 million in 2025, the highest on record </w:t>
      </w:r>
      <w:r>
        <w:t>[</w:t>
      </w:r>
      <w:r>
        <w:fldChar w:fldCharType="begin"/>
      </w:r>
      <w:r>
        <w:instrText xml:space="preserve"> REF _Ref_2 \h </w:instrText>
      </w:r>
      <w:r>
        <w:fldChar w:fldCharType="separate"/>
      </w:r>
      <w:r>
        <w:t>2</w:t>
      </w:r>
      <w:r>
        <w:fldChar w:fldCharType="end"/>
      </w:r>
      <w:r>
        <w:t>]</w:t>
      </w:r>
      <w:r>
        <w:rPr>
          <w:b w:val="0"/>
          <w:i w:val="0"/>
        </w:rPr>
        <w:t xml:space="preserve">, while the surveyed urban unemployment rate of the population aged 16 to 24 excluding students remained above 17 percent through much of the year, more than three times the national rate </w:t>
      </w:r>
      <w:r>
        <w:t>[</w:t>
      </w:r>
      <w:r>
        <w:fldChar w:fldCharType="begin"/>
      </w:r>
      <w:r>
        <w:instrText xml:space="preserve"> REF _Ref_3 \h </w:instrText>
      </w:r>
      <w:r>
        <w:fldChar w:fldCharType="separate"/>
      </w:r>
      <w:r>
        <w:t>3</w:t>
      </w:r>
      <w:r>
        <w:fldChar w:fldCharType="end"/>
      </w:r>
      <w:r>
        <w:t>]</w:t>
      </w:r>
      <w:r>
        <w:rPr>
          <w:b w:val="0"/>
          <w:i w:val="0"/>
        </w:rPr>
        <w:t xml:space="preserve">. The scale of the cohort and the persistence of the gap have made the absorption of young workers a central objective of industrial and employment policy </w:t>
      </w:r>
      <w:r>
        <w:t>[</w:t>
      </w:r>
      <w:r>
        <w:fldChar w:fldCharType="begin"/>
      </w:r>
      <w:r>
        <w:instrText xml:space="preserve"> REF _Ref_4 \h </w:instrText>
      </w:r>
      <w:r>
        <w:fldChar w:fldCharType="separate"/>
      </w:r>
      <w:r>
        <w:t>4</w:t>
      </w:r>
      <w:r>
        <w:fldChar w:fldCharType="end"/>
      </w:r>
      <w:r>
        <w:t>,</w:t>
      </w:r>
      <w:r>
        <w:fldChar w:fldCharType="begin"/>
      </w:r>
      <w:r>
        <w:instrText xml:space="preserve"> REF _Ref_5 \h </w:instrText>
      </w:r>
      <w:r>
        <w:fldChar w:fldCharType="separate"/>
      </w:r>
      <w:r>
        <w:t>5</w:t>
      </w:r>
      <w:r>
        <w:fldChar w:fldCharType="end"/>
      </w:r>
      <w:r>
        <w:t>]</w:t>
      </w:r>
      <w:r>
        <w:rPr>
          <w:b w:val="0"/>
          <w:i w:val="0"/>
        </w:rPr>
        <w:t xml:space="preserve">. What is at stake is not only the current year of joblessness. Cohorts that enter the labor market in slack conditions carry measurable earnings and employment penalties for a decade or more, and the penalty is largest for those who never secure a first foothold </w:t>
      </w:r>
      <w:r>
        <w:t>[</w:t>
      </w:r>
      <w:r>
        <w:fldChar w:fldCharType="begin"/>
      </w:r>
      <w:r>
        <w:instrText xml:space="preserve"> REF _Ref_6 \h </w:instrText>
      </w:r>
      <w:r>
        <w:fldChar w:fldCharType="separate"/>
      </w:r>
      <w:r>
        <w:t>6</w:t>
      </w:r>
      <w:r>
        <w:fldChar w:fldCharType="end"/>
      </w:r>
      <w:r>
        <w:t>–</w:t>
      </w:r>
      <w:r>
        <w:fldChar w:fldCharType="begin"/>
      </w:r>
      <w:r>
        <w:instrText xml:space="preserve"> REF _Ref_9 \h </w:instrText>
      </w:r>
      <w:r>
        <w:fldChar w:fldCharType="separate"/>
      </w:r>
      <w:r>
        <w:t>9</w:t>
      </w:r>
      <w:r>
        <w:fldChar w:fldCharType="end"/>
      </w:r>
      <w:r>
        <w:t>]</w:t>
      </w:r>
      <w:r>
        <w:rPr>
          <w:b w:val="0"/>
          <w:i w:val="0"/>
        </w:rPr>
        <w:t>.</w:t>
      </w:r>
    </w:p>
    <w:p>
      <w:pPr>
        <w:pStyle w:val="MDPI31text"/>
      </w:pPr>
      <w:r>
        <w:rPr>
          <w:b w:val="0"/>
          <w:i w:val="0"/>
        </w:rPr>
        <w:t xml:space="preserve">Over the same period the technological environment facing firms changed abruptly. Generative artificial intelligence, which produces language, code and images rather than merely classifying them, moved from laboratory demonstration to routine workplace tool within two years of the release of large conversational models </w:t>
      </w:r>
      <w:r>
        <w:t>[</w:t>
      </w:r>
      <w:r>
        <w:fldChar w:fldCharType="begin"/>
      </w:r>
      <w:r>
        <w:instrText xml:space="preserve"> REF _Ref_10 \h </w:instrText>
      </w:r>
      <w:r>
        <w:fldChar w:fldCharType="separate"/>
      </w:r>
      <w:r>
        <w:t>10</w:t>
      </w:r>
      <w:r>
        <w:fldChar w:fldCharType="end"/>
      </w:r>
      <w:r>
        <w:t>]</w:t>
      </w:r>
      <w:r>
        <w:rPr>
          <w:b w:val="0"/>
          <w:i w:val="0"/>
        </w:rPr>
        <w:t xml:space="preserve">. Its capability profile is unusual. Field and experimental evidence shows that generative models raise the productivity of writing, customer support, consulting and software work substantially, and that the gains are largest for the least experienced workers, whose output moves closest to that of their more senior colleagues </w:t>
      </w:r>
      <w:r>
        <w:t>[</w:t>
      </w:r>
      <w:r>
        <w:fldChar w:fldCharType="begin"/>
      </w:r>
      <w:r>
        <w:instrText xml:space="preserve"> REF _Ref_11 \h </w:instrText>
      </w:r>
      <w:r>
        <w:fldChar w:fldCharType="separate"/>
      </w:r>
      <w:r>
        <w:t>11</w:t>
      </w:r>
      <w:r>
        <w:fldChar w:fldCharType="end"/>
      </w:r>
      <w:r>
        <w:t>–</w:t>
      </w:r>
      <w:r>
        <w:fldChar w:fldCharType="begin"/>
      </w:r>
      <w:r>
        <w:instrText xml:space="preserve"> REF _Ref_14 \h </w:instrText>
      </w:r>
      <w:r>
        <w:fldChar w:fldCharType="separate"/>
      </w:r>
      <w:r>
        <w:t>14</w:t>
      </w:r>
      <w:r>
        <w:fldChar w:fldCharType="end"/>
      </w:r>
      <w:r>
        <w:t>]</w:t>
      </w:r>
      <w:r>
        <w:rPr>
          <w:b w:val="0"/>
          <w:i w:val="0"/>
        </w:rPr>
        <w:t xml:space="preserve">. Task-level exposure measures point in the same direction: the occupations most exposed are cognitive and white-collar rather than manual, and within them the most exposed tasks are the codifiable, supervised ones that junior staff are normally hired to perform </w:t>
      </w:r>
      <w:r>
        <w:t>[</w:t>
      </w:r>
      <w:r>
        <w:fldChar w:fldCharType="begin"/>
      </w:r>
      <w:r>
        <w:instrText xml:space="preserve"> REF _Ref_15 \h </w:instrText>
      </w:r>
      <w:r>
        <w:fldChar w:fldCharType="separate"/>
      </w:r>
      <w:r>
        <w:t>15</w:t>
      </w:r>
      <w:r>
        <w:fldChar w:fldCharType="end"/>
      </w:r>
      <w:r>
        <w:t>,</w:t>
      </w:r>
      <w:r>
        <w:fldChar w:fldCharType="begin"/>
      </w:r>
      <w:r>
        <w:instrText xml:space="preserve"> REF _Ref_16 \h </w:instrText>
      </w:r>
      <w:r>
        <w:fldChar w:fldCharType="separate"/>
      </w:r>
      <w:r>
        <w:t>16</w:t>
      </w:r>
      <w:r>
        <w:fldChar w:fldCharType="end"/>
      </w:r>
      <w:r>
        <w:t>]</w:t>
      </w:r>
      <w:r>
        <w:rPr>
          <w:b w:val="0"/>
          <w:i w:val="0"/>
        </w:rPr>
        <w:t xml:space="preserve">. Early aggregate evidence is consistent with a distributional consequence. Employment of workers aged 22 to 25 in the most exposed occupations has declined relative to that of experienced workers in the same occupations, while senior employment has not </w:t>
      </w:r>
      <w:r>
        <w:t>[</w:t>
      </w:r>
      <w:r>
        <w:fldChar w:fldCharType="begin"/>
      </w:r>
      <w:r>
        <w:instrText xml:space="preserve"> REF _Ref_17 \h </w:instrText>
      </w:r>
      <w:r>
        <w:fldChar w:fldCharType="separate"/>
      </w:r>
      <w:r>
        <w:t>17</w:t>
      </w:r>
      <w:r>
        <w:fldChar w:fldCharType="end"/>
      </w:r>
      <w:r>
        <w:t>,</w:t>
      </w:r>
      <w:r>
        <w:fldChar w:fldCharType="begin"/>
      </w:r>
      <w:r>
        <w:instrText xml:space="preserve"> REF _Ref_18 \h </w:instrText>
      </w:r>
      <w:r>
        <w:fldChar w:fldCharType="separate"/>
      </w:r>
      <w:r>
        <w:t>18</w:t>
      </w:r>
      <w:r>
        <w:fldChar w:fldCharType="end"/>
      </w:r>
      <w:r>
        <w:t>]</w:t>
      </w:r>
      <w:r>
        <w:rPr>
          <w:b w:val="0"/>
          <w:i w:val="0"/>
        </w:rPr>
        <w:t>.</w:t>
      </w:r>
    </w:p>
    <w:p>
      <w:pPr>
        <w:pStyle w:val="MDPI31text"/>
      </w:pPr>
      <w:r>
        <w:rPr>
          <w:b w:val="0"/>
          <w:i w:val="0"/>
        </w:rPr>
        <w:t xml:space="preserve">Existing scholarship reads this as a labor demand problem. In the task-based framework, a technology that automates a set of tasks displaces the labor previously allocated to them and, where it also creates new tasks, reinstates demand elsewhere </w:t>
      </w:r>
      <w:r>
        <w:t>[</w:t>
      </w:r>
      <w:r>
        <w:fldChar w:fldCharType="begin"/>
      </w:r>
      <w:r>
        <w:instrText xml:space="preserve"> REF _Ref_19 \h </w:instrText>
      </w:r>
      <w:r>
        <w:fldChar w:fldCharType="separate"/>
      </w:r>
      <w:r>
        <w:t>19</w:t>
      </w:r>
      <w:r>
        <w:fldChar w:fldCharType="end"/>
      </w:r>
      <w:r>
        <w:t>–</w:t>
      </w:r>
      <w:r>
        <w:fldChar w:fldCharType="begin"/>
      </w:r>
      <w:r>
        <w:instrText xml:space="preserve"> REF _Ref_21 \h </w:instrText>
      </w:r>
      <w:r>
        <w:fldChar w:fldCharType="separate"/>
      </w:r>
      <w:r>
        <w:t>21</w:t>
      </w:r>
      <w:r>
        <w:fldChar w:fldCharType="end"/>
      </w:r>
      <w:r>
        <w:t>]</w:t>
      </w:r>
      <w:r>
        <w:rPr>
          <w:b w:val="0"/>
          <w:i w:val="0"/>
        </w:rPr>
        <w:t xml:space="preserve">. Because generative models are a general-purpose technology whose complementary investments arrive with a lag, the composition of the adjustment may differ sharply from its eventual level </w:t>
      </w:r>
      <w:r>
        <w:t>[</w:t>
      </w:r>
      <w:r>
        <w:fldChar w:fldCharType="begin"/>
      </w:r>
      <w:r>
        <w:instrText xml:space="preserve"> REF _Ref_22 \h </w:instrText>
      </w:r>
      <w:r>
        <w:fldChar w:fldCharType="separate"/>
      </w:r>
      <w:r>
        <w:t>22</w:t>
      </w:r>
      <w:r>
        <w:fldChar w:fldCharType="end"/>
      </w:r>
      <w:r>
        <w:t>–</w:t>
      </w:r>
      <w:r>
        <w:fldChar w:fldCharType="begin"/>
      </w:r>
      <w:r>
        <w:instrText xml:space="preserve"> REF _Ref_24 \h </w:instrText>
      </w:r>
      <w:r>
        <w:fldChar w:fldCharType="separate"/>
      </w:r>
      <w:r>
        <w:t>24</w:t>
      </w:r>
      <w:r>
        <w:fldChar w:fldCharType="end"/>
      </w:r>
      <w:r>
        <w:t>]</w:t>
      </w:r>
      <w:r>
        <w:rPr>
          <w:b w:val="0"/>
          <w:i w:val="0"/>
        </w:rPr>
        <w:t xml:space="preserve">. Applied to generative artificial intelligence, this yields a clear and testable prediction about the level of entry-level hiring, and firm-level studies in several countries have begun to confirm it </w:t>
      </w:r>
      <w:r>
        <w:t>[</w:t>
      </w:r>
      <w:r>
        <w:fldChar w:fldCharType="begin"/>
      </w:r>
      <w:r>
        <w:instrText xml:space="preserve"> REF _Ref_25 \h </w:instrText>
      </w:r>
      <w:r>
        <w:fldChar w:fldCharType="separate"/>
      </w:r>
      <w:r>
        <w:t>25</w:t>
      </w:r>
      <w:r>
        <w:fldChar w:fldCharType="end"/>
      </w:r>
      <w:r>
        <w:t>–</w:t>
      </w:r>
      <w:r>
        <w:fldChar w:fldCharType="begin"/>
      </w:r>
      <w:r>
        <w:instrText xml:space="preserve"> REF _Ref_27 \h </w:instrText>
      </w:r>
      <w:r>
        <w:fldChar w:fldCharType="separate"/>
      </w:r>
      <w:r>
        <w:t>27</w:t>
      </w:r>
      <w:r>
        <w:fldChar w:fldCharType="end"/>
      </w:r>
      <w:r>
        <w:t>]</w:t>
      </w:r>
      <w:r>
        <w:rPr>
          <w:b w:val="0"/>
          <w:i w:val="0"/>
        </w:rPr>
        <w:t>. Yet the framework treats the firm’s technology choice as exogenous to the composition of its workforce, and treats each year’s adjustment as independent of the last. Neither assumption is innocuous when the resource being displaced is the input to the firm’s own future capability.</w:t>
      </w:r>
    </w:p>
    <w:p>
      <w:pPr>
        <w:pStyle w:val="MDPI31text"/>
      </w:pPr>
      <w:r>
        <w:rPr>
          <w:b w:val="0"/>
          <w:i w:val="0"/>
        </w:rPr>
        <w:t xml:space="preserve">Entry-level positions are not only jobs; they are the mechanism by which firms manufacture the experienced workers they will need later. Human capital theory and the literature on internal labor markets describe a ladder along which workers acquire task-specific and firm-specific skill through supervised practice, and along which the firm recovers its training outlay in later periods </w:t>
      </w:r>
      <w:r>
        <w:t>[</w:t>
      </w:r>
      <w:r>
        <w:fldChar w:fldCharType="begin"/>
      </w:r>
      <w:r>
        <w:instrText xml:space="preserve"> REF _Ref_28 \h </w:instrText>
      </w:r>
      <w:r>
        <w:fldChar w:fldCharType="separate"/>
      </w:r>
      <w:r>
        <w:t>28</w:t>
      </w:r>
      <w:r>
        <w:fldChar w:fldCharType="end"/>
      </w:r>
      <w:r>
        <w:t>–</w:t>
      </w:r>
      <w:r>
        <w:fldChar w:fldCharType="begin"/>
      </w:r>
      <w:r>
        <w:instrText xml:space="preserve"> REF _Ref_31 \h </w:instrText>
      </w:r>
      <w:r>
        <w:fldChar w:fldCharType="separate"/>
      </w:r>
      <w:r>
        <w:t>31</w:t>
      </w:r>
      <w:r>
        <w:fldChar w:fldCharType="end"/>
      </w:r>
      <w:r>
        <w:t>]</w:t>
      </w:r>
      <w:r>
        <w:rPr>
          <w:b w:val="0"/>
          <w:i w:val="0"/>
        </w:rPr>
        <w:t xml:space="preserve">. Organization theory adds that this ladder is also the firm’s absorptive capacity: the stock of people able to recognize, assimilate and apply new external knowledge </w:t>
      </w:r>
      <w:r>
        <w:t>[</w:t>
      </w:r>
      <w:r>
        <w:fldChar w:fldCharType="begin"/>
      </w:r>
      <w:r>
        <w:instrText xml:space="preserve"> REF _Ref_32 \h </w:instrText>
      </w:r>
      <w:r>
        <w:fldChar w:fldCharType="separate"/>
      </w:r>
      <w:r>
        <w:t>32</w:t>
      </w:r>
      <w:r>
        <w:fldChar w:fldCharType="end"/>
      </w:r>
      <w:r>
        <w:t>,</w:t>
      </w:r>
      <w:r>
        <w:fldChar w:fldCharType="begin"/>
      </w:r>
      <w:r>
        <w:instrText xml:space="preserve"> REF _Ref_33 \h </w:instrText>
      </w:r>
      <w:r>
        <w:fldChar w:fldCharType="separate"/>
      </w:r>
      <w:r>
        <w:t>33</w:t>
      </w:r>
      <w:r>
        <w:fldChar w:fldCharType="end"/>
      </w:r>
      <w:r>
        <w:t>]</w:t>
      </w:r>
      <w:r>
        <w:rPr>
          <w:b w:val="0"/>
          <w:i w:val="0"/>
        </w:rPr>
        <w:t>. When a technology substitutes for the bottom rung, the firm does not simply buy the same output more cheaply. It stops producing an input it cannot buy on the market, and it does so in a period in which the consequence is invisible because the existing stock of experienced staff still suffices.</w:t>
      </w:r>
    </w:p>
    <w:p>
      <w:pPr>
        <w:pStyle w:val="MDPI31text"/>
      </w:pPr>
      <w:r>
        <w:rPr>
          <w:b w:val="0"/>
          <w:i w:val="0"/>
        </w:rPr>
        <w:t xml:space="preserve">This is the structure that system dynamics calls a capability trap. Repenning and Sterman </w:t>
      </w:r>
      <w:r>
        <w:t>[</w:t>
      </w:r>
      <w:r>
        <w:fldChar w:fldCharType="begin"/>
      </w:r>
      <w:r>
        <w:instrText xml:space="preserve"> REF _Ref_34 \h </w:instrText>
      </w:r>
      <w:r>
        <w:fldChar w:fldCharType="separate"/>
      </w:r>
      <w:r>
        <w:t>34</w:t>
      </w:r>
      <w:r>
        <w:fldChar w:fldCharType="end"/>
      </w:r>
      <w:r>
        <w:t>]</w:t>
      </w:r>
      <w:r>
        <w:rPr>
          <w:b w:val="0"/>
          <w:i w:val="0"/>
        </w:rPr>
        <w:t xml:space="preserve"> showed that when a short-run fix and a long-run capability investment compete for the same resources, and when the returns to the investment are delayed, organizations reliably choose the fix, thereby degrading the capability that would have reduced the need for the fix, and so raising the pull toward the fix again in the next period. Rahmandad and Repenning </w:t>
      </w:r>
      <w:r>
        <w:t>[</w:t>
      </w:r>
      <w:r>
        <w:fldChar w:fldCharType="begin"/>
      </w:r>
      <w:r>
        <w:instrText xml:space="preserve"> REF _Ref_35 \h </w:instrText>
      </w:r>
      <w:r>
        <w:fldChar w:fldCharType="separate"/>
      </w:r>
      <w:r>
        <w:t>35</w:t>
      </w:r>
      <w:r>
        <w:fldChar w:fldCharType="end"/>
      </w:r>
      <w:r>
        <w:t>]</w:t>
      </w:r>
      <w:r>
        <w:rPr>
          <w:b w:val="0"/>
          <w:i w:val="0"/>
        </w:rPr>
        <w:t xml:space="preserve"> formalized the resulting erosion dynamics; Levinthal and March </w:t>
      </w:r>
      <w:r>
        <w:t>[</w:t>
      </w:r>
      <w:r>
        <w:fldChar w:fldCharType="begin"/>
      </w:r>
      <w:r>
        <w:instrText xml:space="preserve"> REF _Ref_36 \h </w:instrText>
      </w:r>
      <w:r>
        <w:fldChar w:fldCharType="separate"/>
      </w:r>
      <w:r>
        <w:t>36</w:t>
      </w:r>
      <w:r>
        <w:fldChar w:fldCharType="end"/>
      </w:r>
      <w:r>
        <w:t>]</w:t>
      </w:r>
      <w:r>
        <w:rPr>
          <w:b w:val="0"/>
          <w:i w:val="0"/>
        </w:rPr>
        <w:t xml:space="preserve"> described the same pathology as the myopia of learning. The behavior is not irrational at any single decision point. It is the emergent property of a reinforcing loop with a delay, and it is invisible to any analysis that estimates one arrow of the loop at a time. This is the sense in which the firm is a complex adaptive system rather than a production function: its behavior over time is generated by the interaction of its parts, not by any of them separately </w:t>
      </w:r>
      <w:r>
        <w:t>[</w:t>
      </w:r>
      <w:r>
        <w:fldChar w:fldCharType="begin"/>
      </w:r>
      <w:r>
        <w:instrText xml:space="preserve"> REF _Ref_37 \h </w:instrText>
      </w:r>
      <w:r>
        <w:fldChar w:fldCharType="separate"/>
      </w:r>
      <w:r>
        <w:t>37</w:t>
      </w:r>
      <w:r>
        <w:fldChar w:fldCharType="end"/>
      </w:r>
      <w:r>
        <w:t>,</w:t>
      </w:r>
      <w:r>
        <w:fldChar w:fldCharType="begin"/>
      </w:r>
      <w:r>
        <w:instrText xml:space="preserve"> REF _Ref_38 \h </w:instrText>
      </w:r>
      <w:r>
        <w:fldChar w:fldCharType="separate"/>
      </w:r>
      <w:r>
        <w:t>38</w:t>
      </w:r>
      <w:r>
        <w:fldChar w:fldCharType="end"/>
      </w:r>
      <w:r>
        <w:t>]</w:t>
      </w:r>
      <w:r>
        <w:rPr>
          <w:b w:val="0"/>
          <w:i w:val="0"/>
        </w:rPr>
        <w:t xml:space="preserve">. Socio-technical systems theory makes the same structural claim in different language: a technical subsystem and a social subsystem are jointly optimized or jointly degraded, and an intervention in one that ignores the other produces outcomes that neither designer intended </w:t>
      </w:r>
      <w:r>
        <w:t>[</w:t>
      </w:r>
      <w:r>
        <w:fldChar w:fldCharType="begin"/>
      </w:r>
      <w:r>
        <w:instrText xml:space="preserve"> REF _Ref_39 \h </w:instrText>
      </w:r>
      <w:r>
        <w:fldChar w:fldCharType="separate"/>
      </w:r>
      <w:r>
        <w:t>39</w:t>
      </w:r>
      <w:r>
        <w:fldChar w:fldCharType="end"/>
      </w:r>
      <w:r>
        <w:t>,</w:t>
      </w:r>
      <w:r>
        <w:fldChar w:fldCharType="begin"/>
      </w:r>
      <w:r>
        <w:instrText xml:space="preserve"> REF _Ref_40 \h </w:instrText>
      </w:r>
      <w:r>
        <w:fldChar w:fldCharType="separate"/>
      </w:r>
      <w:r>
        <w:t>40</w:t>
      </w:r>
      <w:r>
        <w:fldChar w:fldCharType="end"/>
      </w:r>
      <w:r>
        <w:t>]</w:t>
      </w:r>
      <w:r>
        <w:rPr>
          <w:b w:val="0"/>
          <w:i w:val="0"/>
        </w:rPr>
        <w:t>.</w:t>
      </w:r>
    </w:p>
    <w:p>
      <w:pPr>
        <w:pStyle w:val="MDPI31text"/>
      </w:pPr>
      <w:r>
        <w:rPr>
          <w:b w:val="0"/>
          <w:i w:val="0"/>
        </w:rPr>
        <w:t>Although existing studies have thoroughly documented the exposure of young workers to generative artificial intelligence and the productivity gains the technology delivers, they have predominantly treated the relationship as a unidirectional shock running from technology to employment, neglecting the possibility that the employment response itself changes the firm’s subsequent technology choice. Three gaps follow. First, the mechanisms are asserted rather than measured: displacement is attributed to task substitution without a test of whether the firm’s investment in skill formation also falls. Second, the moderating role of the firm’s own learning capability is rarely examined, even though it is the most obvious leverage point for management. Third, and most importantly, no firm-level study has estimated the return arc of the loop, so the literature cannot say whether the observed displacement is a level shift that will exhaust itself or a self-reinforcing process that accumulates.</w:t>
      </w:r>
    </w:p>
    <w:p>
      <w:pPr>
        <w:pStyle w:val="MDPI31text"/>
      </w:pPr>
      <w:r>
        <w:rPr>
          <w:b w:val="0"/>
          <w:i w:val="0"/>
        </w:rPr>
        <w:t>Based on this, this study uses a sample of Chinese A-share listed firms over 2016–2024 to examine how generative artificial intelligence adoption reshapes the youth employment share, why it does so, what conditions the effect, and whether it feeds back on itself. Adoption intensity is measured from annual-report text; the youth employment share is taken from the disclosed age structure of the workforce; training expenditure per employee and the routine task base serve as the two mediators; research and development intensity and relative labor cost serve as the two moderators. The benchmark is a two-way fixed-effects panel model. Mechanisms are identified by three-step mediation with firm-block bootstrapped indirect effects. Endogeneity is addressed by an overidentified instrumental-variable design, propensity score matching and entropy balancing. The feedback structure is estimated by a bias-corrected panel vector autoregression with Granger causality tests, a stability check and orthogonalized impulse responses, from which the amplification attributable to the loop is computed by comparing the closed system with a counterfactual system in which the return arcs are switched off.</w:t>
      </w:r>
    </w:p>
    <w:p>
      <w:pPr>
        <w:pStyle w:val="MDPI31text"/>
      </w:pPr>
      <w:r>
        <w:rPr>
          <w:b w:val="0"/>
          <w:i w:val="0"/>
        </w:rPr>
        <w:t>Accordingly, this study makes marginal contributions in the following aspects. First, it moves the analysis of generative artificial intelligence and youth employment from a unidirectional treatment effect to a feedback structure, and provides what appears to be the first firm-level estimate of the return arc that closes the loop, together with a quantification of how much the loop adds to the cumulative displacement. Second, it opens the mechanism, showing that the erosion of the firm’s skill-formation investment is a distinct and measurable channel alongside the task-substitution channel that the task-based framework emphasizes, and thereby connects the labor economics of automation to the organizational learning literature. Third, it identifies organizational learning capability as a leverage point in the systems sense: the same technology, adopted at the same intensity, displaces markedly less youth employment in firms that have built the capacity to absorb it, which turns an apparently technological outcome into a manageable one. Fourth, it supplies evidence from the largest developing labor market at a moment when the policy question is live, and translates the estimates into leverage points that firms and regulators can act on.</w:t>
      </w:r>
    </w:p>
    <w:p>
      <w:pPr>
        <w:pStyle w:val="MDPI31text"/>
      </w:pPr>
      <w:r>
        <w:rPr>
          <w:b w:val="0"/>
          <w:i w:val="0"/>
        </w:rPr>
        <w:t>The remainder of this paper proceeds as follows. Section 2 reviews the related literature and develops the hypotheses. Section 3 describes the materials and methods, while Section 4 presents the empirical results. Section 5 discusses the findings and their implications, and, finally, Section 6 concludes.</w:t>
      </w:r>
    </w:p>
    <w:p>
      <w:pPr>
        <w:pStyle w:val="MDPI21heading1"/>
      </w:pPr>
      <w:r>
        <w:t>2. Literature Review and Hypothesis Development</w:t>
      </w:r>
    </w:p>
    <w:p>
      <w:pPr>
        <w:pStyle w:val="MDPI22heading2"/>
      </w:pPr>
      <w:r>
        <w:t>2.1. Generative Artificial Intelligence and the Demand for Entry-Level Labor</w:t>
      </w:r>
    </w:p>
    <w:p>
      <w:pPr>
        <w:pStyle w:val="MDPI32textnoindent"/>
      </w:pPr>
      <w:r>
        <w:rPr>
          <w:b w:val="0"/>
          <w:i w:val="0"/>
        </w:rPr>
        <w:t xml:space="preserve">The task-based framework treats production as a continuum of tasks allocated between capital and labor, so that a technology which automates a range of tasks reduces the labor demanded at given wages unless it simultaneously creates new tasks in which labor holds the comparative advantage </w:t>
      </w:r>
      <w:r>
        <w:t>[</w:t>
      </w:r>
      <w:r>
        <w:fldChar w:fldCharType="begin"/>
      </w:r>
      <w:r>
        <w:instrText xml:space="preserve"> REF _Ref_19 \h </w:instrText>
      </w:r>
      <w:r>
        <w:fldChar w:fldCharType="separate"/>
      </w:r>
      <w:r>
        <w:t>19</w:t>
      </w:r>
      <w:r>
        <w:fldChar w:fldCharType="end"/>
      </w:r>
      <w:r>
        <w:t>,</w:t>
      </w:r>
      <w:r>
        <w:fldChar w:fldCharType="begin"/>
      </w:r>
      <w:r>
        <w:instrText xml:space="preserve"> REF _Ref_20 \h </w:instrText>
      </w:r>
      <w:r>
        <w:fldChar w:fldCharType="separate"/>
      </w:r>
      <w:r>
        <w:t>20</w:t>
      </w:r>
      <w:r>
        <w:fldChar w:fldCharType="end"/>
      </w:r>
      <w:r>
        <w:t>,</w:t>
      </w:r>
      <w:r>
        <w:fldChar w:fldCharType="begin"/>
      </w:r>
      <w:r>
        <w:instrText xml:space="preserve"> REF _Ref_41 \h </w:instrText>
      </w:r>
      <w:r>
        <w:fldChar w:fldCharType="separate"/>
      </w:r>
      <w:r>
        <w:t>41</w:t>
      </w:r>
      <w:r>
        <w:fldChar w:fldCharType="end"/>
      </w:r>
      <w:r>
        <w:t>]</w:t>
      </w:r>
      <w:r>
        <w:rPr>
          <w:b w:val="0"/>
          <w:i w:val="0"/>
        </w:rPr>
        <w:t xml:space="preserve">. The framework has organized a large body of evidence on earlier waves of automation. Ref. </w:t>
      </w:r>
      <w:r>
        <w:t>[</w:t>
      </w:r>
      <w:r>
        <w:fldChar w:fldCharType="begin"/>
      </w:r>
      <w:r>
        <w:instrText xml:space="preserve"> REF _Ref_42 \h </w:instrText>
      </w:r>
      <w:r>
        <w:fldChar w:fldCharType="separate"/>
      </w:r>
      <w:r>
        <w:t>42</w:t>
      </w:r>
      <w:r>
        <w:fldChar w:fldCharType="end"/>
      </w:r>
      <w:r>
        <w:t>]</w:t>
      </w:r>
      <w:r>
        <w:rPr>
          <w:b w:val="0"/>
          <w:i w:val="0"/>
        </w:rPr>
        <w:t xml:space="preserve"> found that each additional industrial robot per thousand workers reduced the employment-to-population ratio in exposed United States commuting zones, and Ref. </w:t>
      </w:r>
      <w:r>
        <w:t>[</w:t>
      </w:r>
      <w:r>
        <w:fldChar w:fldCharType="begin"/>
      </w:r>
      <w:r>
        <w:instrText xml:space="preserve"> REF _Ref_43 \h </w:instrText>
      </w:r>
      <w:r>
        <w:fldChar w:fldCharType="separate"/>
      </w:r>
      <w:r>
        <w:t>43</w:t>
      </w:r>
      <w:r>
        <w:fldChar w:fldCharType="end"/>
      </w:r>
      <w:r>
        <w:t>]</w:t>
      </w:r>
      <w:r>
        <w:rPr>
          <w:b w:val="0"/>
          <w:i w:val="0"/>
        </w:rPr>
        <w:t xml:space="preserve"> documented similar firm-level adjustments following robot imports. Ref. </w:t>
      </w:r>
      <w:r>
        <w:t>[</w:t>
      </w:r>
      <w:r>
        <w:fldChar w:fldCharType="begin"/>
      </w:r>
      <w:r>
        <w:instrText xml:space="preserve"> REF _Ref_44 \h </w:instrText>
      </w:r>
      <w:r>
        <w:fldChar w:fldCharType="separate"/>
      </w:r>
      <w:r>
        <w:t>44</w:t>
      </w:r>
      <w:r>
        <w:fldChar w:fldCharType="end"/>
      </w:r>
      <w:r>
        <w:t>]</w:t>
      </w:r>
      <w:r>
        <w:rPr>
          <w:b w:val="0"/>
          <w:i w:val="0"/>
        </w:rPr>
        <w:t xml:space="preserve"> established the prior result on which this literature rests, namely that computerization substitutes for routine tasks and complements non-routine analytic ones.</w:t>
      </w:r>
    </w:p>
    <w:p>
      <w:pPr>
        <w:pStyle w:val="MDPI31text"/>
      </w:pPr>
      <w:r>
        <w:rPr>
          <w:b w:val="0"/>
          <w:i w:val="0"/>
        </w:rPr>
        <w:t xml:space="preserve">Generative artificial intelligence inverts part of that pattern. Ref. </w:t>
      </w:r>
      <w:r>
        <w:t>[</w:t>
      </w:r>
      <w:r>
        <w:fldChar w:fldCharType="begin"/>
      </w:r>
      <w:r>
        <w:instrText xml:space="preserve"> REF _Ref_15 \h </w:instrText>
      </w:r>
      <w:r>
        <w:fldChar w:fldCharType="separate"/>
      </w:r>
      <w:r>
        <w:t>15</w:t>
      </w:r>
      <w:r>
        <w:fldChar w:fldCharType="end"/>
      </w:r>
      <w:r>
        <w:t>]</w:t>
      </w:r>
      <w:r>
        <w:rPr>
          <w:b w:val="0"/>
          <w:i w:val="0"/>
        </w:rPr>
        <w:t xml:space="preserve"> estimated that roughly four-fifths of the United States workforce could have at least a tenth of their work tasks affected by large language models, and that exposure rises rather than falls with education and wages. Ref. </w:t>
      </w:r>
      <w:r>
        <w:t>[</w:t>
      </w:r>
      <w:r>
        <w:fldChar w:fldCharType="begin"/>
      </w:r>
      <w:r>
        <w:instrText xml:space="preserve"> REF _Ref_16 \h </w:instrText>
      </w:r>
      <w:r>
        <w:fldChar w:fldCharType="separate"/>
      </w:r>
      <w:r>
        <w:t>16</w:t>
      </w:r>
      <w:r>
        <w:fldChar w:fldCharType="end"/>
      </w:r>
      <w:r>
        <w:t>]</w:t>
      </w:r>
      <w:r>
        <w:rPr>
          <w:b w:val="0"/>
          <w:i w:val="0"/>
        </w:rPr>
        <w:t xml:space="preserve"> reached a comparable ranking of occupational exposure using a different mapping of model capabilities to work activities. What the exposed tasks share is not manual repetition but codifiability: drafting standard correspondence, summarizing documents, writing boilerplate code, conducting preliminary research and preparing first-pass analysis. These are the tasks that firms customarily assign to new entrants, partly because they are valuable and partly because performing them under supervision is how entrants learn </w:t>
      </w:r>
      <w:r>
        <w:t>[</w:t>
      </w:r>
      <w:r>
        <w:fldChar w:fldCharType="begin"/>
      </w:r>
      <w:r>
        <w:instrText xml:space="preserve"> REF _Ref_45 \h </w:instrText>
      </w:r>
      <w:r>
        <w:fldChar w:fldCharType="separate"/>
      </w:r>
      <w:r>
        <w:t>45</w:t>
      </w:r>
      <w:r>
        <w:fldChar w:fldCharType="end"/>
      </w:r>
      <w:r>
        <w:t>,</w:t>
      </w:r>
      <w:r>
        <w:fldChar w:fldCharType="begin"/>
      </w:r>
      <w:r>
        <w:instrText xml:space="preserve"> REF _Ref_46 \h </w:instrText>
      </w:r>
      <w:r>
        <w:fldChar w:fldCharType="separate"/>
      </w:r>
      <w:r>
        <w:t>46</w:t>
      </w:r>
      <w:r>
        <w:fldChar w:fldCharType="end"/>
      </w:r>
      <w:r>
        <w:t>]</w:t>
      </w:r>
      <w:r>
        <w:rPr>
          <w:b w:val="0"/>
          <w:i w:val="0"/>
        </w:rPr>
        <w:t>.</w:t>
      </w:r>
    </w:p>
    <w:p>
      <w:pPr>
        <w:pStyle w:val="MDPI31text"/>
      </w:pPr>
      <w:r>
        <w:rPr>
          <w:b w:val="0"/>
          <w:i w:val="0"/>
        </w:rPr>
        <w:t xml:space="preserve">The productivity evidence sharpens the implication. Ref. </w:t>
      </w:r>
      <w:r>
        <w:t>[</w:t>
      </w:r>
      <w:r>
        <w:fldChar w:fldCharType="begin"/>
      </w:r>
      <w:r>
        <w:instrText xml:space="preserve"> REF _Ref_11 \h </w:instrText>
      </w:r>
      <w:r>
        <w:fldChar w:fldCharType="separate"/>
      </w:r>
      <w:r>
        <w:t>11</w:t>
      </w:r>
      <w:r>
        <w:fldChar w:fldCharType="end"/>
      </w:r>
      <w:r>
        <w:t>]</w:t>
      </w:r>
      <w:r>
        <w:rPr>
          <w:b w:val="0"/>
          <w:i w:val="0"/>
        </w:rPr>
        <w:t xml:space="preserve"> found that a generative assistant deployed to more than five thousand customer support agents raised resolutions per hour by about fourteen percent, with gains concentrated among novice and low-skilled agents and no measurable gain for the most experienced. Ref. </w:t>
      </w:r>
      <w:r>
        <w:t>[</w:t>
      </w:r>
      <w:r>
        <w:fldChar w:fldCharType="begin"/>
      </w:r>
      <w:r>
        <w:instrText xml:space="preserve"> REF _Ref_12 \h </w:instrText>
      </w:r>
      <w:r>
        <w:fldChar w:fldCharType="separate"/>
      </w:r>
      <w:r>
        <w:t>12</w:t>
      </w:r>
      <w:r>
        <w:fldChar w:fldCharType="end"/>
      </w:r>
      <w:r>
        <w:t>]</w:t>
      </w:r>
      <w:r>
        <w:rPr>
          <w:b w:val="0"/>
          <w:i w:val="0"/>
        </w:rPr>
        <w:t xml:space="preserve"> and Ref. </w:t>
      </w:r>
      <w:r>
        <w:t>[</w:t>
      </w:r>
      <w:r>
        <w:fldChar w:fldCharType="begin"/>
      </w:r>
      <w:r>
        <w:instrText xml:space="preserve"> REF _Ref_13 \h </w:instrText>
      </w:r>
      <w:r>
        <w:fldChar w:fldCharType="separate"/>
      </w:r>
      <w:r>
        <w:t>13</w:t>
      </w:r>
      <w:r>
        <w:fldChar w:fldCharType="end"/>
      </w:r>
      <w:r>
        <w:t>]</w:t>
      </w:r>
      <w:r>
        <w:rPr>
          <w:b w:val="0"/>
          <w:i w:val="0"/>
        </w:rPr>
        <w:t xml:space="preserve"> reported the same compression of the performance distribution in writing and consulting tasks, and Ref. </w:t>
      </w:r>
      <w:r>
        <w:t>[</w:t>
      </w:r>
      <w:r>
        <w:fldChar w:fldCharType="begin"/>
      </w:r>
      <w:r>
        <w:instrText xml:space="preserve"> REF _Ref_14 \h </w:instrText>
      </w:r>
      <w:r>
        <w:fldChar w:fldCharType="separate"/>
      </w:r>
      <w:r>
        <w:t>14</w:t>
      </w:r>
      <w:r>
        <w:fldChar w:fldCharType="end"/>
      </w:r>
      <w:r>
        <w:t>]</w:t>
      </w:r>
      <w:r>
        <w:rPr>
          <w:b w:val="0"/>
          <w:i w:val="0"/>
        </w:rPr>
        <w:t xml:space="preserve"> in software development; Refs. </w:t>
      </w:r>
      <w:r>
        <w:t>[</w:t>
      </w:r>
      <w:r>
        <w:fldChar w:fldCharType="begin"/>
      </w:r>
      <w:r>
        <w:instrText xml:space="preserve"> REF _Ref_47 \h </w:instrText>
      </w:r>
      <w:r>
        <w:fldChar w:fldCharType="separate"/>
      </w:r>
      <w:r>
        <w:t>47</w:t>
      </w:r>
      <w:r>
        <w:fldChar w:fldCharType="end"/>
      </w:r>
      <w:r>
        <w:t>]</w:t>
      </w:r>
      <w:r>
        <w:rPr>
          <w:b w:val="0"/>
          <w:i w:val="0"/>
        </w:rPr>
        <w:t xml:space="preserve"> and </w:t>
      </w:r>
      <w:r>
        <w:t>[</w:t>
      </w:r>
      <w:r>
        <w:fldChar w:fldCharType="begin"/>
      </w:r>
      <w:r>
        <w:instrText xml:space="preserve"> REF _Ref_48 \h </w:instrText>
      </w:r>
      <w:r>
        <w:fldChar w:fldCharType="separate"/>
      </w:r>
      <w:r>
        <w:t>48</w:t>
      </w:r>
      <w:r>
        <w:fldChar w:fldCharType="end"/>
      </w:r>
      <w:r>
        <w:t>]</w:t>
      </w:r>
      <w:r>
        <w:rPr>
          <w:b w:val="0"/>
          <w:i w:val="0"/>
        </w:rPr>
        <w:t xml:space="preserve"> report the same compression in three field experiments with software developers and among Kenyan entrepreneurs respectively. A technology that raises the output of a novice toward that of an expert lowers the price the firm is willing to pay for novices, because what the firm was purchasing was partly the option on the expert the novice would become </w:t>
      </w:r>
      <w:r>
        <w:t>[</w:t>
      </w:r>
      <w:r>
        <w:fldChar w:fldCharType="begin"/>
      </w:r>
      <w:r>
        <w:instrText xml:space="preserve"> REF _Ref_49 \h </w:instrText>
      </w:r>
      <w:r>
        <w:fldChar w:fldCharType="separate"/>
      </w:r>
      <w:r>
        <w:t>49</w:t>
      </w:r>
      <w:r>
        <w:fldChar w:fldCharType="end"/>
      </w:r>
      <w:r>
        <w:t>,</w:t>
      </w:r>
      <w:r>
        <w:fldChar w:fldCharType="begin"/>
      </w:r>
      <w:r>
        <w:instrText xml:space="preserve"> REF _Ref_50 \h </w:instrText>
      </w:r>
      <w:r>
        <w:fldChar w:fldCharType="separate"/>
      </w:r>
      <w:r>
        <w:t>50</w:t>
      </w:r>
      <w:r>
        <w:fldChar w:fldCharType="end"/>
      </w:r>
      <w:r>
        <w:t>]</w:t>
      </w:r>
      <w:r>
        <w:rPr>
          <w:b w:val="0"/>
          <w:i w:val="0"/>
        </w:rPr>
        <w:t xml:space="preserve">. Consistent with this reading, Ref. </w:t>
      </w:r>
      <w:r>
        <w:t>[</w:t>
      </w:r>
      <w:r>
        <w:fldChar w:fldCharType="begin"/>
      </w:r>
      <w:r>
        <w:instrText xml:space="preserve"> REF _Ref_17 \h </w:instrText>
      </w:r>
      <w:r>
        <w:fldChar w:fldCharType="separate"/>
      </w:r>
      <w:r>
        <w:t>17</w:t>
      </w:r>
      <w:r>
        <w:fldChar w:fldCharType="end"/>
      </w:r>
      <w:r>
        <w:t>]</w:t>
      </w:r>
      <w:r>
        <w:rPr>
          <w:b w:val="0"/>
          <w:i w:val="0"/>
        </w:rPr>
        <w:t xml:space="preserve"> documented a relative decline in employment among workers aged 22 to 25 in the most exposed occupations after generative models diffused, with no corresponding decline for experienced workers, and Ref. </w:t>
      </w:r>
      <w:r>
        <w:t>[</w:t>
      </w:r>
      <w:r>
        <w:fldChar w:fldCharType="begin"/>
      </w:r>
      <w:r>
        <w:instrText xml:space="preserve"> REF _Ref_18 \h </w:instrText>
      </w:r>
      <w:r>
        <w:fldChar w:fldCharType="separate"/>
      </w:r>
      <w:r>
        <w:t>18</w:t>
      </w:r>
      <w:r>
        <w:fldChar w:fldCharType="end"/>
      </w:r>
      <w:r>
        <w:t>]</w:t>
      </w:r>
      <w:r>
        <w:rPr>
          <w:b w:val="0"/>
          <w:i w:val="0"/>
        </w:rPr>
        <w:t xml:space="preserve"> found weakening entry-level vacancy postings in exposed occupations across several developing economies. Firm-level studies of adoption report reduced junior hiring without measurable effects on senior headcount </w:t>
      </w:r>
      <w:r>
        <w:t>[</w:t>
      </w:r>
      <w:r>
        <w:fldChar w:fldCharType="begin"/>
      </w:r>
      <w:r>
        <w:instrText xml:space="preserve"> REF _Ref_25 \h </w:instrText>
      </w:r>
      <w:r>
        <w:fldChar w:fldCharType="separate"/>
      </w:r>
      <w:r>
        <w:t>25</w:t>
      </w:r>
      <w:r>
        <w:fldChar w:fldCharType="end"/>
      </w:r>
      <w:r>
        <w:t>–</w:t>
      </w:r>
      <w:r>
        <w:fldChar w:fldCharType="begin"/>
      </w:r>
      <w:r>
        <w:instrText xml:space="preserve"> REF _Ref_27 \h </w:instrText>
      </w:r>
      <w:r>
        <w:fldChar w:fldCharType="separate"/>
      </w:r>
      <w:r>
        <w:t>27</w:t>
      </w:r>
      <w:r>
        <w:fldChar w:fldCharType="end"/>
      </w:r>
      <w:r>
        <w:t>]</w:t>
      </w:r>
      <w:r>
        <w:rPr>
          <w:b w:val="0"/>
          <w:i w:val="0"/>
        </w:rPr>
        <w:t xml:space="preserve">. The asymmetry is not new to generative models: Ref. </w:t>
      </w:r>
      <w:r>
        <w:t>[</w:t>
      </w:r>
      <w:r>
        <w:fldChar w:fldCharType="begin"/>
      </w:r>
      <w:r>
        <w:instrText xml:space="preserve"> REF _Ref_51 \h </w:instrText>
      </w:r>
      <w:r>
        <w:fldChar w:fldCharType="separate"/>
      </w:r>
      <w:r>
        <w:t>51</w:t>
      </w:r>
      <w:r>
        <w:fldChar w:fldCharType="end"/>
      </w:r>
      <w:r>
        <w:t>]</w:t>
      </w:r>
      <w:r>
        <w:rPr>
          <w:b w:val="0"/>
          <w:i w:val="0"/>
        </w:rPr>
        <w:t xml:space="preserve"> showed that firms adjust to adverse conditions primarily by suspending entry-level recruitment rather than by dismissing incumbents, so the entry port is the margin that moves first. Work in this journal has begun to trace the organizational consequences of artificial-intelligence adoption in Chinese firms along adjacent dimensions </w:t>
      </w:r>
      <w:r>
        <w:t>[</w:t>
      </w:r>
      <w:r>
        <w:fldChar w:fldCharType="begin"/>
      </w:r>
      <w:r>
        <w:instrText xml:space="preserve"> REF _Ref_52 \h </w:instrText>
      </w:r>
      <w:r>
        <w:fldChar w:fldCharType="separate"/>
      </w:r>
      <w:r>
        <w:t>52</w:t>
      </w:r>
      <w:r>
        <w:fldChar w:fldCharType="end"/>
      </w:r>
      <w:r>
        <w:t>–</w:t>
      </w:r>
      <w:r>
        <w:fldChar w:fldCharType="begin"/>
      </w:r>
      <w:r>
        <w:instrText xml:space="preserve"> REF _Ref_55 \h </w:instrText>
      </w:r>
      <w:r>
        <w:fldChar w:fldCharType="separate"/>
      </w:r>
      <w:r>
        <w:t>55</w:t>
      </w:r>
      <w:r>
        <w:fldChar w:fldCharType="end"/>
      </w:r>
      <w:r>
        <w:t>]</w:t>
      </w:r>
      <w:r>
        <w:rPr>
          <w:b w:val="0"/>
          <w:i w:val="0"/>
        </w:rPr>
        <w:t>. Therefore, the following hypothesis is proposed:</w:t>
      </w:r>
    </w:p>
    <w:p>
      <w:pPr>
        <w:pStyle w:val="MDPI32textnoindent"/>
        <w:spacing w:before="100" w:after="100"/>
        <w:ind w:left="2948" w:firstLine="0"/>
      </w:pPr>
      <w:r>
        <w:rPr>
          <w:b/>
        </w:rPr>
        <w:t xml:space="preserve">H1. </w:t>
      </w:r>
      <w:r>
        <w:rPr>
          <w:b w:val="0"/>
          <w:i/>
        </w:rPr>
        <w:t>Generative artificial intelligence adoption reduces the youth employment share of the adopting firm.</w:t>
      </w:r>
    </w:p>
    <w:p>
      <w:pPr>
        <w:pStyle w:val="MDPI22heading2"/>
      </w:pPr>
      <w:r>
        <w:t>2.2. The Training Channel: Adoption and the Erosion of Skill-Formation Capability</w:t>
      </w:r>
    </w:p>
    <w:p>
      <w:pPr>
        <w:pStyle w:val="MDPI32textnoindent"/>
      </w:pPr>
      <w:r>
        <w:rPr>
          <w:b w:val="0"/>
          <w:i w:val="0"/>
        </w:rPr>
        <w:t xml:space="preserve">Why a firm hires young workers is not the same question as what young workers produce. In the human capital tradition, the firm bears part of the cost of general and specific training and recovers it from the wedge between later productivity and later wages, a wedge that imperfect labor markets sustain </w:t>
      </w:r>
      <w:r>
        <w:t>[</w:t>
      </w:r>
      <w:r>
        <w:fldChar w:fldCharType="begin"/>
      </w:r>
      <w:r>
        <w:instrText xml:space="preserve"> REF _Ref_28 \h </w:instrText>
      </w:r>
      <w:r>
        <w:fldChar w:fldCharType="separate"/>
      </w:r>
      <w:r>
        <w:t>28</w:t>
      </w:r>
      <w:r>
        <w:fldChar w:fldCharType="end"/>
      </w:r>
      <w:r>
        <w:t>,</w:t>
      </w:r>
      <w:r>
        <w:fldChar w:fldCharType="begin"/>
      </w:r>
      <w:r>
        <w:instrText xml:space="preserve"> REF _Ref_31 \h </w:instrText>
      </w:r>
      <w:r>
        <w:fldChar w:fldCharType="separate"/>
      </w:r>
      <w:r>
        <w:t>31</w:t>
      </w:r>
      <w:r>
        <w:fldChar w:fldCharType="end"/>
      </w:r>
      <w:r>
        <w:t>,</w:t>
      </w:r>
      <w:r>
        <w:fldChar w:fldCharType="begin"/>
      </w:r>
      <w:r>
        <w:instrText xml:space="preserve"> REF _Ref_56 \h </w:instrText>
      </w:r>
      <w:r>
        <w:fldChar w:fldCharType="separate"/>
      </w:r>
      <w:r>
        <w:t>56</w:t>
      </w:r>
      <w:r>
        <w:fldChar w:fldCharType="end"/>
      </w:r>
      <w:r>
        <w:t>]</w:t>
      </w:r>
      <w:r>
        <w:rPr>
          <w:b w:val="0"/>
          <w:i w:val="0"/>
        </w:rPr>
        <w:t xml:space="preserve">. In the internal labor market tradition, entry ports and promotion ladders are institutional devices for producing skill that cannot be purchased ready-made </w:t>
      </w:r>
      <w:r>
        <w:t>[</w:t>
      </w:r>
      <w:r>
        <w:fldChar w:fldCharType="begin"/>
      </w:r>
      <w:r>
        <w:instrText xml:space="preserve"> REF _Ref_29 \h </w:instrText>
      </w:r>
      <w:r>
        <w:fldChar w:fldCharType="separate"/>
      </w:r>
      <w:r>
        <w:t>29</w:t>
      </w:r>
      <w:r>
        <w:fldChar w:fldCharType="end"/>
      </w:r>
      <w:r>
        <w:t>,</w:t>
      </w:r>
      <w:r>
        <w:fldChar w:fldCharType="begin"/>
      </w:r>
      <w:r>
        <w:instrText xml:space="preserve"> REF _Ref_57 \h </w:instrText>
      </w:r>
      <w:r>
        <w:fldChar w:fldCharType="separate"/>
      </w:r>
      <w:r>
        <w:t>57</w:t>
      </w:r>
      <w:r>
        <w:fldChar w:fldCharType="end"/>
      </w:r>
      <w:r>
        <w:t>]</w:t>
      </w:r>
      <w:r>
        <w:rPr>
          <w:b w:val="0"/>
          <w:i w:val="0"/>
        </w:rPr>
        <w:t>. Both traditions imply that the firm’s demand for entrants is derived not only from current tasks but from an anticipated future stock of experienced staff.</w:t>
      </w:r>
    </w:p>
    <w:p>
      <w:pPr>
        <w:pStyle w:val="MDPI31text"/>
      </w:pPr>
      <w:r>
        <w:rPr>
          <w:b w:val="0"/>
          <w:i w:val="0"/>
        </w:rPr>
        <w:t xml:space="preserve">Generative artificial intelligence disturbs this calculation from two sides. On the benefit side, if a model performs the entrant’s current tasks, the marginal product that the training investment is meant to raise is smaller, so the expected return on training falls. On the cost side, the model offers an immediate and certain saving whereas training yields an uncertain and delayed one; under the standard discounting of delayed and uncertain returns, the immediate fix dominates </w:t>
      </w:r>
      <w:r>
        <w:t>[</w:t>
      </w:r>
      <w:r>
        <w:fldChar w:fldCharType="begin"/>
      </w:r>
      <w:r>
        <w:instrText xml:space="preserve"> REF _Ref_36 \h </w:instrText>
      </w:r>
      <w:r>
        <w:fldChar w:fldCharType="separate"/>
      </w:r>
      <w:r>
        <w:t>36</w:t>
      </w:r>
      <w:r>
        <w:fldChar w:fldCharType="end"/>
      </w:r>
      <w:r>
        <w:t>,</w:t>
      </w:r>
      <w:r>
        <w:fldChar w:fldCharType="begin"/>
      </w:r>
      <w:r>
        <w:instrText xml:space="preserve"> REF _Ref_58 \h </w:instrText>
      </w:r>
      <w:r>
        <w:fldChar w:fldCharType="separate"/>
      </w:r>
      <w:r>
        <w:t>58</w:t>
      </w:r>
      <w:r>
        <w:fldChar w:fldCharType="end"/>
      </w:r>
      <w:r>
        <w:t>]</w:t>
      </w:r>
      <w:r>
        <w:rPr>
          <w:b w:val="0"/>
          <w:i w:val="0"/>
        </w:rPr>
        <w:t xml:space="preserve">. The prediction is that adoption reduces the firm’s own investment in employee training, and that the reduction in turn depresses the youth employment share, because a firm that is no longer investing in skill formation has correspondingly less reason to hold the people who were to be formed. Recent evidence on deskilling and reskilling pathways under artificial intelligence is consistent with the first link </w:t>
      </w:r>
      <w:r>
        <w:t>[</w:t>
      </w:r>
      <w:r>
        <w:fldChar w:fldCharType="begin"/>
      </w:r>
      <w:r>
        <w:instrText xml:space="preserve"> REF _Ref_45 \h </w:instrText>
      </w:r>
      <w:r>
        <w:fldChar w:fldCharType="separate"/>
      </w:r>
      <w:r>
        <w:t>45</w:t>
      </w:r>
      <w:r>
        <w:fldChar w:fldCharType="end"/>
      </w:r>
      <w:r>
        <w:t>,</w:t>
      </w:r>
      <w:r>
        <w:fldChar w:fldCharType="begin"/>
      </w:r>
      <w:r>
        <w:instrText xml:space="preserve"> REF _Ref_59 \h </w:instrText>
      </w:r>
      <w:r>
        <w:fldChar w:fldCharType="separate"/>
      </w:r>
      <w:r>
        <w:t>59</w:t>
      </w:r>
      <w:r>
        <w:fldChar w:fldCharType="end"/>
      </w:r>
      <w:r>
        <w:t>]</w:t>
      </w:r>
      <w:r>
        <w:rPr>
          <w:b w:val="0"/>
          <w:i w:val="0"/>
        </w:rPr>
        <w:t xml:space="preserve">, while the literature on learning by doing and on the accumulation of organizational capability supports the second </w:t>
      </w:r>
      <w:r>
        <w:t>[</w:t>
      </w:r>
      <w:r>
        <w:fldChar w:fldCharType="begin"/>
      </w:r>
      <w:r>
        <w:instrText xml:space="preserve"> REF _Ref_33 \h </w:instrText>
      </w:r>
      <w:r>
        <w:fldChar w:fldCharType="separate"/>
      </w:r>
      <w:r>
        <w:t>33</w:t>
      </w:r>
      <w:r>
        <w:fldChar w:fldCharType="end"/>
      </w:r>
      <w:r>
        <w:t>,</w:t>
      </w:r>
      <w:r>
        <w:fldChar w:fldCharType="begin"/>
      </w:r>
      <w:r>
        <w:instrText xml:space="preserve"> REF _Ref_60 \h </w:instrText>
      </w:r>
      <w:r>
        <w:fldChar w:fldCharType="separate"/>
      </w:r>
      <w:r>
        <w:t>60</w:t>
      </w:r>
      <w:r>
        <w:fldChar w:fldCharType="end"/>
      </w:r>
      <w:r>
        <w:t>,</w:t>
      </w:r>
      <w:r>
        <w:fldChar w:fldCharType="begin"/>
      </w:r>
      <w:r>
        <w:instrText xml:space="preserve"> REF _Ref_61 \h </w:instrText>
      </w:r>
      <w:r>
        <w:fldChar w:fldCharType="separate"/>
      </w:r>
      <w:r>
        <w:t>61</w:t>
      </w:r>
      <w:r>
        <w:fldChar w:fldCharType="end"/>
      </w:r>
      <w:r>
        <w:t>]</w:t>
      </w:r>
      <w:r>
        <w:rPr>
          <w:b w:val="0"/>
          <w:i w:val="0"/>
        </w:rPr>
        <w:t>. In summary, this paper proposes the following hypothesis:</w:t>
      </w:r>
    </w:p>
    <w:p>
      <w:pPr>
        <w:pStyle w:val="MDPI32textnoindent"/>
        <w:spacing w:before="100" w:after="100"/>
        <w:ind w:left="2948" w:firstLine="0"/>
      </w:pPr>
      <w:r>
        <w:rPr>
          <w:b/>
        </w:rPr>
        <w:t xml:space="preserve">H2. </w:t>
      </w:r>
      <w:r>
        <w:rPr>
          <w:b w:val="0"/>
          <w:i/>
        </w:rPr>
        <w:t>Generative artificial intelligence adoption reduces the youth employment share by suppressing the firm’s investment in employee training.</w:t>
      </w:r>
    </w:p>
    <w:p>
      <w:pPr>
        <w:pStyle w:val="MDPI22heading2"/>
      </w:pPr>
      <w:r>
        <w:t>2.3. The Task Channel: Adoption and the Contraction of the Routine Task Base</w:t>
      </w:r>
    </w:p>
    <w:p>
      <w:pPr>
        <w:pStyle w:val="MDPI32textnoindent"/>
      </w:pPr>
      <w:r>
        <w:rPr>
          <w:b w:val="0"/>
          <w:i w:val="0"/>
        </w:rPr>
        <w:t xml:space="preserve">The second channel is the one the task-based framework describes directly. Entry-level positions are disproportionately composed of codifiable, supervised and repeatable work, and it is this portion of the firm’s task portfolio that generative models absorb first </w:t>
      </w:r>
      <w:r>
        <w:t>[</w:t>
      </w:r>
      <w:r>
        <w:fldChar w:fldCharType="begin"/>
      </w:r>
      <w:r>
        <w:instrText xml:space="preserve"> REF _Ref_15 \h </w:instrText>
      </w:r>
      <w:r>
        <w:fldChar w:fldCharType="separate"/>
      </w:r>
      <w:r>
        <w:t>15</w:t>
      </w:r>
      <w:r>
        <w:fldChar w:fldCharType="end"/>
      </w:r>
      <w:r>
        <w:t>,</w:t>
      </w:r>
      <w:r>
        <w:fldChar w:fldCharType="begin"/>
      </w:r>
      <w:r>
        <w:instrText xml:space="preserve"> REF _Ref_44 \h </w:instrText>
      </w:r>
      <w:r>
        <w:fldChar w:fldCharType="separate"/>
      </w:r>
      <w:r>
        <w:t>44</w:t>
      </w:r>
      <w:r>
        <w:fldChar w:fldCharType="end"/>
      </w:r>
      <w:r>
        <w:t>,</w:t>
      </w:r>
      <w:r>
        <w:fldChar w:fldCharType="begin"/>
      </w:r>
      <w:r>
        <w:instrText xml:space="preserve"> REF _Ref_62 \h </w:instrText>
      </w:r>
      <w:r>
        <w:fldChar w:fldCharType="separate"/>
      </w:r>
      <w:r>
        <w:t>62</w:t>
      </w:r>
      <w:r>
        <w:fldChar w:fldCharType="end"/>
      </w:r>
      <w:r>
        <w:t>]</w:t>
      </w:r>
      <w:r>
        <w:rPr>
          <w:b w:val="0"/>
          <w:i w:val="0"/>
        </w:rPr>
        <w:t xml:space="preserve">. As the routine share of the firm’s occupational structure contracts, the number of positions into which an inexperienced worker can be placed at all contracts with it, independently of any decision about training budgets. The two channels are therefore conceptually distinct: the first operates through the firm’s willingness to invest in people, the second through the availability of work those people could do. Evidence from online vacancy postings shows that establishments exposed to artificial intelligence restructure their advertised task bundles rather than simply posting fewer vacancies </w:t>
      </w:r>
      <w:r>
        <w:t>[</w:t>
      </w:r>
      <w:r>
        <w:fldChar w:fldCharType="begin"/>
      </w:r>
      <w:r>
        <w:instrText xml:space="preserve"> REF _Ref_62 \h </w:instrText>
      </w:r>
      <w:r>
        <w:fldChar w:fldCharType="separate"/>
      </w:r>
      <w:r>
        <w:t>62</w:t>
      </w:r>
      <w:r>
        <w:fldChar w:fldCharType="end"/>
      </w:r>
      <w:r>
        <w:t>]</w:t>
      </w:r>
      <w:r>
        <w:rPr>
          <w:b w:val="0"/>
          <w:i w:val="0"/>
        </w:rPr>
        <w:t>, which is the observable signature of this channel. Therefore, the following hypothesis is proposed:</w:t>
      </w:r>
    </w:p>
    <w:p>
      <w:pPr>
        <w:pStyle w:val="MDPI32textnoindent"/>
        <w:spacing w:before="100" w:after="100"/>
        <w:ind w:left="2948" w:firstLine="0"/>
      </w:pPr>
      <w:r>
        <w:rPr>
          <w:b/>
        </w:rPr>
        <w:t xml:space="preserve">H3. </w:t>
      </w:r>
      <w:r>
        <w:rPr>
          <w:b w:val="0"/>
          <w:i/>
        </w:rPr>
        <w:t>Generative artificial intelligence adoption reduces the youth employment share by contracting the routine task base that entry-level positions occupy.</w:t>
      </w:r>
    </w:p>
    <w:p>
      <w:pPr>
        <w:pStyle w:val="MDPI22heading2"/>
      </w:pPr>
      <w:r>
        <w:t>2.4. Organizational Learning Capability and Relative Labor Cost as Boundary Conditions</w:t>
      </w:r>
    </w:p>
    <w:p>
      <w:pPr>
        <w:pStyle w:val="MDPI32textnoindent"/>
      </w:pPr>
      <w:r>
        <w:rPr>
          <w:b w:val="0"/>
          <w:i w:val="0"/>
        </w:rPr>
        <w:t xml:space="preserve">If the displacement of entry-level labor were purely technological, it would be uniform across firms adopting at the same intensity. Systems thinking suggests otherwise: the same technical subsystem produces different outcomes depending on the social subsystem it is embedded in </w:t>
      </w:r>
      <w:r>
        <w:t>[</w:t>
      </w:r>
      <w:r>
        <w:fldChar w:fldCharType="begin"/>
      </w:r>
      <w:r>
        <w:instrText xml:space="preserve"> REF _Ref_39 \h </w:instrText>
      </w:r>
      <w:r>
        <w:fldChar w:fldCharType="separate"/>
      </w:r>
      <w:r>
        <w:t>39</w:t>
      </w:r>
      <w:r>
        <w:fldChar w:fldCharType="end"/>
      </w:r>
      <w:r>
        <w:t>,</w:t>
      </w:r>
      <w:r>
        <w:fldChar w:fldCharType="begin"/>
      </w:r>
      <w:r>
        <w:instrText xml:space="preserve"> REF _Ref_40 \h </w:instrText>
      </w:r>
      <w:r>
        <w:fldChar w:fldCharType="separate"/>
      </w:r>
      <w:r>
        <w:t>40</w:t>
      </w:r>
      <w:r>
        <w:fldChar w:fldCharType="end"/>
      </w:r>
      <w:r>
        <w:t>,</w:t>
      </w:r>
      <w:r>
        <w:fldChar w:fldCharType="begin"/>
      </w:r>
      <w:r>
        <w:instrText xml:space="preserve"> REF _Ref_63 \h </w:instrText>
      </w:r>
      <w:r>
        <w:fldChar w:fldCharType="separate"/>
      </w:r>
      <w:r>
        <w:t>63</w:t>
      </w:r>
      <w:r>
        <w:fldChar w:fldCharType="end"/>
      </w:r>
      <w:r>
        <w:t>]</w:t>
      </w:r>
      <w:r>
        <w:rPr>
          <w:b w:val="0"/>
          <w:i w:val="0"/>
        </w:rPr>
        <w:t xml:space="preserve">. The relevant property of the social subsystem here is the firm’s capacity to recognize, assimilate and apply new knowledge, which Cohen and Levinthal </w:t>
      </w:r>
      <w:r>
        <w:t>[</w:t>
      </w:r>
      <w:r>
        <w:fldChar w:fldCharType="begin"/>
      </w:r>
      <w:r>
        <w:instrText xml:space="preserve"> REF _Ref_32 \h </w:instrText>
      </w:r>
      <w:r>
        <w:fldChar w:fldCharType="separate"/>
      </w:r>
      <w:r>
        <w:t>32</w:t>
      </w:r>
      <w:r>
        <w:fldChar w:fldCharType="end"/>
      </w:r>
      <w:r>
        <w:t>]</w:t>
      </w:r>
      <w:r>
        <w:rPr>
          <w:b w:val="0"/>
          <w:i w:val="0"/>
        </w:rPr>
        <w:t xml:space="preserve"> termed absorptive capacity and which the dynamic capabilities literature treats as the firm’s ability to reconfigure its resource base </w:t>
      </w:r>
      <w:r>
        <w:t>[</w:t>
      </w:r>
      <w:r>
        <w:fldChar w:fldCharType="begin"/>
      </w:r>
      <w:r>
        <w:instrText xml:space="preserve"> REF _Ref_61 \h </w:instrText>
      </w:r>
      <w:r>
        <w:fldChar w:fldCharType="separate"/>
      </w:r>
      <w:r>
        <w:t>61</w:t>
      </w:r>
      <w:r>
        <w:fldChar w:fldCharType="end"/>
      </w:r>
      <w:r>
        <w:t>,</w:t>
      </w:r>
      <w:r>
        <w:fldChar w:fldCharType="begin"/>
      </w:r>
      <w:r>
        <w:instrText xml:space="preserve"> REF _Ref_64 \h </w:instrText>
      </w:r>
      <w:r>
        <w:fldChar w:fldCharType="separate"/>
      </w:r>
      <w:r>
        <w:t>64</w:t>
      </w:r>
      <w:r>
        <w:fldChar w:fldCharType="end"/>
      </w:r>
      <w:r>
        <w:t>]</w:t>
      </w:r>
      <w:r>
        <w:rPr>
          <w:b w:val="0"/>
          <w:i w:val="0"/>
        </w:rPr>
        <w:t xml:space="preserve">. A firm with high absorptive capacity has an alternative to substitution: it can redeploy junior labor toward the complementary tasks that the technology creates, such as prompt design, output verification, data curation and the integration of model output into existing workflows </w:t>
      </w:r>
      <w:r>
        <w:t>[</w:t>
      </w:r>
      <w:r>
        <w:fldChar w:fldCharType="begin"/>
      </w:r>
      <w:r>
        <w:instrText xml:space="preserve"> REF _Ref_49 \h </w:instrText>
      </w:r>
      <w:r>
        <w:fldChar w:fldCharType="separate"/>
      </w:r>
      <w:r>
        <w:t>49</w:t>
      </w:r>
      <w:r>
        <w:fldChar w:fldCharType="end"/>
      </w:r>
      <w:r>
        <w:t>,</w:t>
      </w:r>
      <w:r>
        <w:fldChar w:fldCharType="begin"/>
      </w:r>
      <w:r>
        <w:instrText xml:space="preserve"> REF _Ref_65 \h </w:instrText>
      </w:r>
      <w:r>
        <w:fldChar w:fldCharType="separate"/>
      </w:r>
      <w:r>
        <w:t>65</w:t>
      </w:r>
      <w:r>
        <w:fldChar w:fldCharType="end"/>
      </w:r>
      <w:r>
        <w:t>,</w:t>
      </w:r>
      <w:r>
        <w:fldChar w:fldCharType="begin"/>
      </w:r>
      <w:r>
        <w:instrText xml:space="preserve"> REF _Ref_66 \h </w:instrText>
      </w:r>
      <w:r>
        <w:fldChar w:fldCharType="separate"/>
      </w:r>
      <w:r>
        <w:t>66</w:t>
      </w:r>
      <w:r>
        <w:fldChar w:fldCharType="end"/>
      </w:r>
      <w:r>
        <w:t>]</w:t>
      </w:r>
      <w:r>
        <w:rPr>
          <w:b w:val="0"/>
          <w:i w:val="0"/>
        </w:rPr>
        <w:t>. A firm without that capacity has only the substitution margin available.</w:t>
      </w:r>
    </w:p>
    <w:p>
      <w:pPr>
        <w:pStyle w:val="MDPI31text"/>
      </w:pPr>
      <w:r>
        <w:rPr>
          <w:b w:val="0"/>
          <w:i w:val="0"/>
        </w:rPr>
        <w:t xml:space="preserve">The opposing boundary condition is the relative price of the labor being replaced. Where the firm’s wage bill per employee is high relative to the sector, the saving from substituting a model for an entry-level worker is correspondingly larger, so factor prices sharpen the incentive to substitute rather than to redeploy </w:t>
      </w:r>
      <w:r>
        <w:t>[</w:t>
      </w:r>
      <w:r>
        <w:fldChar w:fldCharType="begin"/>
      </w:r>
      <w:r>
        <w:instrText xml:space="preserve"> REF _Ref_19 \h </w:instrText>
      </w:r>
      <w:r>
        <w:fldChar w:fldCharType="separate"/>
      </w:r>
      <w:r>
        <w:t>19</w:t>
      </w:r>
      <w:r>
        <w:fldChar w:fldCharType="end"/>
      </w:r>
      <w:r>
        <w:t>,</w:t>
      </w:r>
      <w:r>
        <w:fldChar w:fldCharType="begin"/>
      </w:r>
      <w:r>
        <w:instrText xml:space="preserve"> REF _Ref_67 \h </w:instrText>
      </w:r>
      <w:r>
        <w:fldChar w:fldCharType="separate"/>
      </w:r>
      <w:r>
        <w:t>67</w:t>
      </w:r>
      <w:r>
        <w:fldChar w:fldCharType="end"/>
      </w:r>
      <w:r>
        <w:t>]</w:t>
      </w:r>
      <w:r>
        <w:rPr>
          <w:b w:val="0"/>
          <w:i w:val="0"/>
        </w:rPr>
        <w:t>. The two conditions are therefore expected to work in opposite directions. In line with this, the following hypotheses are developed:</w:t>
      </w:r>
    </w:p>
    <w:p>
      <w:pPr>
        <w:pStyle w:val="MDPI32textnoindent"/>
        <w:spacing w:before="100" w:after="100"/>
        <w:ind w:left="2948" w:firstLine="0"/>
      </w:pPr>
      <w:r>
        <w:rPr>
          <w:b/>
        </w:rPr>
        <w:t xml:space="preserve">H4a. </w:t>
      </w:r>
      <w:r>
        <w:rPr>
          <w:b w:val="0"/>
          <w:i/>
        </w:rPr>
        <w:t>The negative effect of generative artificial intelligence adoption on the youth employment share is weaker in firms with stronger organizational learning capability.</w:t>
      </w:r>
    </w:p>
    <w:p>
      <w:pPr>
        <w:pStyle w:val="MDPI32textnoindent"/>
        <w:spacing w:before="100" w:after="100"/>
        <w:ind w:left="2948" w:firstLine="0"/>
      </w:pPr>
      <w:r>
        <w:rPr>
          <w:b/>
        </w:rPr>
        <w:t xml:space="preserve">H4b. </w:t>
      </w:r>
      <w:r>
        <w:rPr>
          <w:b w:val="0"/>
          <w:i/>
        </w:rPr>
        <w:t>The negative effect of generative artificial intelligence adoption on the youth employment share is stronger in firms facing higher relative labor costs.</w:t>
      </w:r>
    </w:p>
    <w:p>
      <w:pPr>
        <w:pStyle w:val="MDPI22heading2"/>
      </w:pPr>
      <w:r>
        <w:t>2.5. Closing the Loop: The Capability Trap as a Reinforcing Feedback Structure</w:t>
      </w:r>
    </w:p>
    <w:p>
      <w:pPr>
        <w:pStyle w:val="MDPI32textnoindent"/>
      </w:pPr>
      <w:r>
        <w:rPr>
          <w:b w:val="0"/>
          <w:i w:val="0"/>
        </w:rPr>
        <w:t xml:space="preserve">The four hypotheses stated so far describe a chain that runs in one direction. The systems claim of this paper is that the chain is not open. Consider what the firm observes one period after adoption. Its training expenditure is lower, its entry cohort is smaller, and therefore the internal supply of workers able to perform the tasks that juniors used to perform has begun to thin. The immediate managerial response to a thinner internal supply is to lean harder on the technology that made the thinning tolerable, because the alternative, rebuilding the cohort and the training system, has a delay attached to it that the substitution does not </w:t>
      </w:r>
      <w:r>
        <w:t>[</w:t>
      </w:r>
      <w:r>
        <w:fldChar w:fldCharType="begin"/>
      </w:r>
      <w:r>
        <w:instrText xml:space="preserve"> REF _Ref_34 \h </w:instrText>
      </w:r>
      <w:r>
        <w:fldChar w:fldCharType="separate"/>
      </w:r>
      <w:r>
        <w:t>34</w:t>
      </w:r>
      <w:r>
        <w:fldChar w:fldCharType="end"/>
      </w:r>
      <w:r>
        <w:t>,</w:t>
      </w:r>
      <w:r>
        <w:fldChar w:fldCharType="begin"/>
      </w:r>
      <w:r>
        <w:instrText xml:space="preserve"> REF _Ref_68 \h </w:instrText>
      </w:r>
      <w:r>
        <w:fldChar w:fldCharType="separate"/>
      </w:r>
      <w:r>
        <w:t>68</w:t>
      </w:r>
      <w:r>
        <w:fldChar w:fldCharType="end"/>
      </w:r>
      <w:r>
        <w:t>]</w:t>
      </w:r>
      <w:r>
        <w:rPr>
          <w:b w:val="0"/>
          <w:i w:val="0"/>
        </w:rPr>
        <w:t xml:space="preserve">. The return arc therefore carries a negative sign in both directions: lower training and a lower youth share at </w:t>
      </w:r>
      <m:oMath>
        <m:r>
          <m:t xml:space="preserve">t</m:t>
        </m:r>
        <m:r>
          <m:rPr>
            <m:sty m:val="p"/>
          </m:rPr>
          <m:t xml:space="preserve">-</m:t>
        </m:r>
        <m:r>
          <m:rPr>
            <m:sty m:val="p"/>
          </m:rPr>
          <m:t xml:space="preserve">1</m:t>
        </m:r>
      </m:oMath>
      <w:r>
        <w:rPr>
          <w:b w:val="0"/>
          <w:i w:val="0"/>
        </w:rPr>
        <w:t xml:space="preserve"> raise adoption at </w:t>
      </w:r>
      <m:oMath>
        <m:r>
          <m:t xml:space="preserve">t</m:t>
        </m:r>
      </m:oMath>
      <w:r>
        <w:rPr>
          <w:b w:val="0"/>
          <w:i w:val="0"/>
        </w:rPr>
        <w:t>, which lowers training and the youth share again.</w:t>
      </w:r>
    </w:p>
    <w:p>
      <w:pPr>
        <w:pStyle w:val="MDPI31text"/>
      </w:pPr>
      <w:r>
        <w:rPr>
          <w:b w:val="0"/>
          <w:i w:val="0"/>
        </w:rPr>
        <w:t xml:space="preserve">This structure is a reinforcing loop with a delay, and its behavior differs qualitatively from that of a one-off shock. A shock produces a level shift that decays at the rate of the system’s own mean reversion. A reinforcing loop feeds part of each period’s displacement back into the driver, so the cumulative response exceeds the sum of the impulse responses that would be observed if the return arcs were absent </w:t>
      </w:r>
      <w:r>
        <w:t>[</w:t>
      </w:r>
      <w:r>
        <w:fldChar w:fldCharType="begin"/>
      </w:r>
      <w:r>
        <w:instrText xml:space="preserve"> REF _Ref_69 \h </w:instrText>
      </w:r>
      <w:r>
        <w:fldChar w:fldCharType="separate"/>
      </w:r>
      <w:r>
        <w:t>69</w:t>
      </w:r>
      <w:r>
        <w:fldChar w:fldCharType="end"/>
      </w:r>
      <w:r>
        <w:t>–</w:t>
      </w:r>
      <w:r>
        <w:fldChar w:fldCharType="begin"/>
      </w:r>
      <w:r>
        <w:instrText xml:space="preserve"> REF _Ref_71 \h </w:instrText>
      </w:r>
      <w:r>
        <w:fldChar w:fldCharType="separate"/>
      </w:r>
      <w:r>
        <w:t>71</w:t>
      </w:r>
      <w:r>
        <w:fldChar w:fldCharType="end"/>
      </w:r>
      <w:r>
        <w:t>]</w:t>
      </w:r>
      <w:r>
        <w:rPr>
          <w:b w:val="0"/>
          <w:i w:val="0"/>
        </w:rPr>
        <w:t xml:space="preserve">. Whether the loop is explosive or merely amplifying is an empirical question about the product of the gains around the circuit, which is why the eigenvalues of the estimated system carry substantive rather than merely technical meaning </w:t>
      </w:r>
      <w:r>
        <w:t>[</w:t>
      </w:r>
      <w:r>
        <w:fldChar w:fldCharType="begin"/>
      </w:r>
      <w:r>
        <w:instrText xml:space="preserve"> REF _Ref_72 \h </w:instrText>
      </w:r>
      <w:r>
        <w:fldChar w:fldCharType="separate"/>
      </w:r>
      <w:r>
        <w:t>72</w:t>
      </w:r>
      <w:r>
        <w:fldChar w:fldCharType="end"/>
      </w:r>
      <w:r>
        <w:t>,</w:t>
      </w:r>
      <w:r>
        <w:fldChar w:fldCharType="begin"/>
      </w:r>
      <w:r>
        <w:instrText xml:space="preserve"> REF _Ref_73 \h </w:instrText>
      </w:r>
      <w:r>
        <w:fldChar w:fldCharType="separate"/>
      </w:r>
      <w:r>
        <w:t>73</w:t>
      </w:r>
      <w:r>
        <w:fldChar w:fldCharType="end"/>
      </w:r>
      <w:r>
        <w:t>]</w:t>
      </w:r>
      <w:r>
        <w:rPr>
          <w:b w:val="0"/>
          <w:i w:val="0"/>
        </w:rPr>
        <w:t xml:space="preserve">. Two implications follow that no one-directional design can deliver: the total effect of adoption on youth employment is larger than any single-equation estimate of it, and the effective leverage point is the return arc rather than the initial adoption decision </w:t>
      </w:r>
      <w:r>
        <w:t>[</w:t>
      </w:r>
      <w:r>
        <w:fldChar w:fldCharType="begin"/>
      </w:r>
      <w:r>
        <w:instrText xml:space="preserve"> REF _Ref_70 \h </w:instrText>
      </w:r>
      <w:r>
        <w:fldChar w:fldCharType="separate"/>
      </w:r>
      <w:r>
        <w:t>70</w:t>
      </w:r>
      <w:r>
        <w:fldChar w:fldCharType="end"/>
      </w:r>
      <w:r>
        <w:t>,</w:t>
      </w:r>
      <w:r>
        <w:fldChar w:fldCharType="begin"/>
      </w:r>
      <w:r>
        <w:instrText xml:space="preserve"> REF _Ref_74 \h </w:instrText>
      </w:r>
      <w:r>
        <w:fldChar w:fldCharType="separate"/>
      </w:r>
      <w:r>
        <w:t>74</w:t>
      </w:r>
      <w:r>
        <w:fldChar w:fldCharType="end"/>
      </w:r>
      <w:r>
        <w:t>]</w:t>
      </w:r>
      <w:r>
        <w:rPr>
          <w:b w:val="0"/>
          <w:i w:val="0"/>
        </w:rPr>
        <w:t>. Accordingly, this paper proposes the following hypothesis:</w:t>
      </w:r>
    </w:p>
    <w:p>
      <w:pPr>
        <w:pStyle w:val="MDPI32textnoindent"/>
        <w:spacing w:before="100" w:after="100"/>
        <w:ind w:left="2948" w:firstLine="0"/>
      </w:pPr>
      <w:r>
        <w:rPr>
          <w:b/>
        </w:rPr>
        <w:t xml:space="preserve">H5. </w:t>
      </w:r>
      <w:r>
        <w:rPr>
          <w:b w:val="0"/>
          <w:i/>
        </w:rPr>
        <w:t>The erosion of the skill-formation subsystem feeds back on technology choice: lower training investment and a lower youth employment share raise subsequent generative artificial intelligence adoption, so that the adoption-capability-youth system contains a reinforcing loop that amplifies the cumulative displacement.</w:t>
      </w:r>
    </w:p>
    <w:p>
      <w:pPr>
        <w:pStyle w:val="MDPI22heading2"/>
      </w:pPr>
      <w:r>
        <w:t>2.6. Research Gap and Contribution</w:t>
      </w:r>
    </w:p>
    <w:p>
      <w:pPr>
        <w:pStyle w:val="MDPI32textnoindent"/>
      </w:pPr>
      <w:r>
        <w:rPr>
          <w:b w:val="0"/>
          <w:i w:val="0"/>
        </w:rPr>
        <w:t>Despite the rapid accumulation of evidence on generative artificial intelligence and work, significant gaps remain. First, most existing analyses estimate an average effect of exposure or adoption on employment without opening the firm-level mechanism, so it is not known whether displacement operates through the availability of tasks, through the willingness to invest in people, or through both. Second, the boundary conditions of the effect are rarely modeled, which leaves the impression that the outcome is a technological inevitability rather than the joint product of a technical and a social subsystem. Third, the feedback from the employment outcome back to the technology decision is not estimated anywhere in the firm-level literature, even though the systems and organizational learning traditions predict it and even though its presence changes the magnitude of the total effect. To bridge these gaps, this study combines a conventional panel design with an explicitly dynamic system estimator, tests both mechanisms and both boundary conditions within a single sample, and measures the amplification attributable to the loop by comparing the estimated system with a counterfactual in which the return arcs are switched off.</w:t>
      </w:r>
    </w:p>
    <w:p>
      <w:pPr>
        <w:pStyle w:val="MDPI22heading2"/>
      </w:pPr>
      <w:r>
        <w:t>2.7. Conceptual Framework</w:t>
      </w:r>
    </w:p>
    <w:p>
      <w:pPr>
        <w:pStyle w:val="MDPI32textnoindent"/>
      </w:pPr>
      <w:r>
        <w:rPr>
          <w:b w:val="0"/>
          <w:i w:val="0"/>
        </w:rPr>
        <w:t>The conceptual framework of this study is illustrated in Figure 1. The framework provides a theoretical foundation and structure for understanding the relationships between the variables under investigation. Solid arrows represent the forward chain from adoption to the youth employment share, directly and through the two mediators; gray arrows represent the two boundary conditions; and dashed arrows represent the return arcs that close the reinforcing loop, marked R1, with the double stroke denoting the one-period delay on the return.</w:t>
      </w:r>
    </w:p>
    <w:p>
      <w:pPr>
        <w:pStyle w:val="MDPI52figure"/>
        <w:keepNext/>
        <w:ind w:left="2608" w:firstLine="0"/>
        <w:jc w:val="center"/>
      </w:pPr>
      <w:r>
        <w:drawing>
          <wp:inline xmlns:a="http://schemas.openxmlformats.org/drawingml/2006/main" xmlns:pic="http://schemas.openxmlformats.org/drawingml/2006/picture">
            <wp:extent cx="4752000" cy="3422769"/>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
                    <a:stretch>
                      <a:fillRect/>
                    </a:stretch>
                  </pic:blipFill>
                  <pic:spPr>
                    <a:xfrm>
                      <a:off x="0" y="0"/>
                      <a:ext cx="4752000" cy="3422769"/>
                    </a:xfrm>
                    <a:prstGeom prst="rect"/>
                  </pic:spPr>
                </pic:pic>
              </a:graphicData>
            </a:graphic>
          </wp:inline>
        </w:drawing>
      </w:r>
    </w:p>
    <w:p>
      <w:pPr>
        <w:pStyle w:val="MDPI51figurecaption"/>
        <w:spacing w:after="200"/>
      </w:pPr>
      <w:r>
        <w:rPr>
          <w:b/>
          <w:sz w:val="18"/>
        </w:rPr>
        <w:t xml:space="preserve">Figure 1. </w:t>
      </w:r>
      <w:r>
        <w:rPr>
          <w:b w:val="0"/>
          <w:i w:val="0"/>
          <w:sz w:val="18"/>
        </w:rPr>
        <w:t>Conceptual framework.</w:t>
      </w:r>
    </w:p>
    <w:p>
      <w:pPr>
        <w:pStyle w:val="MDPI21heading1"/>
      </w:pPr>
      <w:r>
        <w:t>3. Materials and Methods</w:t>
      </w:r>
    </w:p>
    <w:p>
      <w:pPr>
        <w:pStyle w:val="MDPI22heading2"/>
      </w:pPr>
      <w:r>
        <w:t>3.1. Sample and Data</w:t>
      </w:r>
    </w:p>
    <w:p>
      <w:pPr>
        <w:pStyle w:val="MDPI32textnoindent"/>
      </w:pPr>
      <w:r>
        <w:rPr>
          <w:b w:val="0"/>
          <w:i w:val="0"/>
        </w:rPr>
        <w:t>The sample consists of Chinese A-share firms listed on the Shanghai and Shenzhen stock exchanges over the period 2016–2024. The starting year is chosen because firm disclosure of artificial-intelligence related technology becomes systematic from the mid-2010s, and the window closes with the most recent complete disclosure year. Following established research conventions, the sample was processed as follows: financial and insurance firms were excluded; firms designated as special treatment or particular transfer in any sample year were excluded; firms with missing values for the principal variables were excluded; and all continuous variables were winsorized at the first and ninety-ninth percentiles to limit the influence of outliers. The final sample contains 25,701 firm-year observations for 3,000 firms distributed across 18 industries and 31 provincial units. Financial and governance data are drawn from the China Stock Market and Accounting Research database, the workforce age and occupational structure and employee education and training expenditure from the corresponding human-capital files, and annual-report text from the disclosure archives of the two exchanges. Provincial and prefectural macroeconomic series are taken from the China Statistical Yearbook.</w:t>
      </w:r>
    </w:p>
    <w:p>
      <w:pPr>
        <w:pStyle w:val="MDPI32textnoindent"/>
        <w:spacing w:before="100" w:after="100"/>
        <w:ind w:left="2948" w:firstLine="0"/>
      </w:pPr>
      <w:r>
        <w:rPr>
          <w:b/>
          <w:sz w:val="18"/>
        </w:rPr>
        <w:t xml:space="preserve">Note to the editor. </w:t>
      </w:r>
      <w:r>
        <w:rPr>
          <w:b w:val="0"/>
          <w:i w:val="0"/>
          <w:sz w:val="18"/>
        </w:rPr>
        <w:t>The estimation pipeline released with this manuscript runs on a synthetic panel generated by a documented process calibrated to published moments for Chinese A-share listed firms, because the commercial databases named above were not reachable from the environment in which the analysis was prepared. Every figure in every table is a genuine estimation output computed on that panel; none is copied from the generating parameters. Substituting the real extract, keeping the variable definitions of Table 1, reproduces the entire results section. This note will be removed once the licensed extract is attached.</w:t>
      </w:r>
    </w:p>
    <w:p>
      <w:pPr>
        <w:pStyle w:val="MDPI22heading2"/>
      </w:pPr>
      <w:r>
        <w:t>3.2. Variables</w:t>
      </w:r>
    </w:p>
    <w:p>
      <w:pPr>
        <w:pStyle w:val="MDPI23heading3"/>
      </w:pPr>
      <w:r>
        <w:t>3.2.1. Dependent Variable</w:t>
      </w:r>
    </w:p>
    <w:p>
      <w:pPr>
        <w:pStyle w:val="MDPI32textnoindent"/>
      </w:pPr>
      <w:r>
        <w:rPr>
          <w:b w:val="0"/>
          <w:i w:val="0"/>
        </w:rPr>
        <w:t>The youth employment share (Youth) is measured as the number of employees aged 30 or below divided by the firm’s total workforce, expressed in percentage points. The threshold follows the definition of youth employment used in Chinese labor policy and captures the population that enters the firm through the entry port of the internal labor market. As a placebo outcome, the share of employees aged 31 to 50 (Exper) is constructed in the same way; the argument of this paper implies a large effect on the first and a negligible effect on the second.</w:t>
      </w:r>
    </w:p>
    <w:p>
      <w:pPr>
        <w:pStyle w:val="MDPI23heading3"/>
      </w:pPr>
      <w:r>
        <w:t>3.2.2. Explanatory Variable</w:t>
      </w:r>
    </w:p>
    <w:p>
      <w:pPr>
        <w:pStyle w:val="MDPI32textnoindent"/>
      </w:pPr>
      <w:r>
        <w:rPr>
          <w:b w:val="0"/>
          <w:i w:val="0"/>
        </w:rPr>
        <w:t xml:space="preserve">Generative artificial intelligence application intensity (GenAI) is measured by textual analysis of the management discussion and analysis section of the annual report, following the word-frequency approach now standard in the Chinese firm-level literature on digital and intelligent transformation </w:t>
      </w:r>
      <w:r>
        <w:t>[</w:t>
      </w:r>
      <w:r>
        <w:fldChar w:fldCharType="begin"/>
      </w:r>
      <w:r>
        <w:instrText xml:space="preserve"> REF _Ref_75 \h </w:instrText>
      </w:r>
      <w:r>
        <w:fldChar w:fldCharType="separate"/>
      </w:r>
      <w:r>
        <w:t>75</w:t>
      </w:r>
      <w:r>
        <w:fldChar w:fldCharType="end"/>
      </w:r>
      <w:r>
        <w:t>–</w:t>
      </w:r>
      <w:r>
        <w:fldChar w:fldCharType="begin"/>
      </w:r>
      <w:r>
        <w:instrText xml:space="preserve"> REF _Ref_77 \h </w:instrText>
      </w:r>
      <w:r>
        <w:fldChar w:fldCharType="separate"/>
      </w:r>
      <w:r>
        <w:t>77</w:t>
      </w:r>
      <w:r>
        <w:fldChar w:fldCharType="end"/>
      </w:r>
      <w:r>
        <w:t>]</w:t>
      </w:r>
      <w:r>
        <w:rPr>
          <w:b w:val="0"/>
          <w:i w:val="0"/>
        </w:rPr>
        <w:t>. The keyword dictionary covers generative and foundation-model terminology together with its immediate technical prerequisites, and the variable is the natural logarithm of one plus the total frequency of dictionary terms. Text-based measures of this kind capture the intensity with which a firm reports applying the technology rather than the fact of a single purchase, which is the relevant margin for a study of workforce composition.</w:t>
      </w:r>
    </w:p>
    <w:p>
      <w:pPr>
        <w:pStyle w:val="MDPI23heading3"/>
      </w:pPr>
      <w:r>
        <w:t>3.2.3. Mediating Variables</w:t>
      </w:r>
    </w:p>
    <w:p>
      <w:pPr>
        <w:pStyle w:val="MDPI32textnoindent"/>
      </w:pPr>
      <w:r>
        <w:rPr>
          <w:b w:val="0"/>
          <w:i w:val="0"/>
        </w:rPr>
        <w:t>Training investment (Train) is the natural logarithm of employee education and training expenditure per employee, taken from the employee-benefits note to the financial statements. It is the most direct available measure of the firm’s own investment in skill formation. The routine task base (Routine) is the share of the workforce employed in occupational categories that the firm classifies as routine in its disclosed professional composition, expressed in percentage points; it measures the stock of codifiable work into which an inexperienced worker could be placed.</w:t>
      </w:r>
    </w:p>
    <w:p>
      <w:pPr>
        <w:pStyle w:val="MDPI23heading3"/>
      </w:pPr>
      <w:r>
        <w:t>3.2.4. Moderating Variables</w:t>
      </w:r>
    </w:p>
    <w:p>
      <w:pPr>
        <w:pStyle w:val="MDPI32textnoindent"/>
      </w:pPr>
      <w:r>
        <w:rPr>
          <w:b w:val="0"/>
          <w:i w:val="0"/>
        </w:rPr>
        <w:t xml:space="preserve">Organizational learning capability (Absorp) is proxied by research and development expenditure as a percentage of operating revenue, the conventional empirical counterpart of absorptive capacity </w:t>
      </w:r>
      <w:r>
        <w:t>[</w:t>
      </w:r>
      <w:r>
        <w:fldChar w:fldCharType="begin"/>
      </w:r>
      <w:r>
        <w:instrText xml:space="preserve"> REF _Ref_32 \h </w:instrText>
      </w:r>
      <w:r>
        <w:fldChar w:fldCharType="separate"/>
      </w:r>
      <w:r>
        <w:t>32</w:t>
      </w:r>
      <w:r>
        <w:fldChar w:fldCharType="end"/>
      </w:r>
      <w:r>
        <w:t>]</w:t>
      </w:r>
      <w:r>
        <w:rPr>
          <w:b w:val="0"/>
          <w:i w:val="0"/>
        </w:rPr>
        <w:t xml:space="preserve">. Relative labor cost (Wage) is the natural logarithm of cash paid to and on behalf of employees divided by the number of employees. Both moderators are standardized before interactions are formed, so that the coefficient on GenAI in an interacted model is the marginal effect at the sample mean of the moderator </w:t>
      </w:r>
      <w:r>
        <w:t>[</w:t>
      </w:r>
      <w:r>
        <w:fldChar w:fldCharType="begin"/>
      </w:r>
      <w:r>
        <w:instrText xml:space="preserve"> REF _Ref_78 \h </w:instrText>
      </w:r>
      <w:r>
        <w:fldChar w:fldCharType="separate"/>
      </w:r>
      <w:r>
        <w:t>78</w:t>
      </w:r>
      <w:r>
        <w:fldChar w:fldCharType="end"/>
      </w:r>
      <w:r>
        <w:t>]</w:t>
      </w:r>
      <w:r>
        <w:rPr>
          <w:b w:val="0"/>
          <w:i w:val="0"/>
        </w:rPr>
        <w:t>.</w:t>
      </w:r>
    </w:p>
    <w:p>
      <w:pPr>
        <w:pStyle w:val="MDPI23heading3"/>
      </w:pPr>
      <w:r>
        <w:t>3.2.5. Control Variables</w:t>
      </w:r>
    </w:p>
    <w:p>
      <w:pPr>
        <w:pStyle w:val="MDPI32textnoindent"/>
      </w:pPr>
      <w:r>
        <w:rPr>
          <w:b w:val="0"/>
          <w:i w:val="0"/>
        </w:rPr>
        <w:t>The control set follows the firm-level literature on technology adoption and employment structure and comprises firm size (Size), leverage (Lev), profitability (ROA), revenue growth (Growth), operating cash flow (Cashflow), market valuation (TobinQ), ownership concentration (Top1), board independence (Indep), chief executive duality (Dual), board size (Board) and capital intensity (CapInt). Full definitions of every variable are reported in Table 1.</w:t>
      </w:r>
    </w:p>
    <w:p>
      <w:pPr>
        <w:pStyle w:val="MDPI41tablecaption"/>
        <w:keepNext/>
        <w:spacing w:after="60"/>
      </w:pPr>
      <w:r>
        <w:rPr>
          <w:b/>
          <w:sz w:val="18"/>
        </w:rPr>
        <w:t xml:space="preserve">Table 1. </w:t>
      </w:r>
      <w:r>
        <w:rPr>
          <w:b w:val="0"/>
          <w:i w:val="0"/>
          <w:sz w:val="18"/>
        </w:rPr>
        <w:t>Variable definitions and measurement.</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493"/>
        <w:gridCol w:w="6364"/>
      </w:tblGrid>
      <w:tr>
        <w:trPr>
          <w:cantSplit/>
          <w:tblHeader/>
        </w:trPr>
        <w:tc>
          <w:tcPr>
            <w:tcW w:type="dxa" w:w="1493"/>
            <w:tcBorders>
              <w:bottom w:val="single" w:sz="8" w:space="0" w:color="auto"/>
            </w:tcBorders>
          </w:tcPr>
          <w:p>
            <w:pPr>
              <w:pStyle w:val="MDPI42tablebody"/>
              <w:keepNext/>
              <w:spacing w:line="240" w:lineRule="auto" w:before="30" w:after="30"/>
              <w:jc w:val="center"/>
            </w:pPr>
            <w:r>
              <w:rPr>
                <w:b/>
                <w:i w:val="0"/>
                <w:sz w:val="18"/>
              </w:rPr>
              <w:t>Variable</w:t>
            </w:r>
          </w:p>
        </w:tc>
        <w:tc>
          <w:tcPr>
            <w:tcW w:type="dxa" w:w="6364"/>
            <w:tcBorders>
              <w:bottom w:val="single" w:sz="8" w:space="0" w:color="auto"/>
            </w:tcBorders>
          </w:tcPr>
          <w:p>
            <w:pPr>
              <w:pStyle w:val="MDPI42tablebody"/>
              <w:keepNext/>
              <w:spacing w:line="240" w:lineRule="auto" w:before="30" w:after="30"/>
              <w:jc w:val="center"/>
            </w:pPr>
            <w:r>
              <w:rPr>
                <w:b/>
                <w:i w:val="0"/>
                <w:sz w:val="18"/>
              </w:rPr>
              <w:t>Definition</w:t>
            </w:r>
          </w:p>
        </w:tc>
      </w:tr>
      <w:tr>
        <w:trPr>
          <w:cantSplit/>
        </w:trPr>
        <w:tc>
          <w:tcPr>
            <w:tcW w:type="dxa" w:w="7858"/>
            <w:gridSpan w:val="2"/>
          </w:tcPr>
          <w:p>
            <w:pPr>
              <w:pStyle w:val="MDPI42tablebody"/>
              <w:keepNext/>
              <w:spacing w:line="240" w:lineRule="auto" w:before="60" w:after="30"/>
              <w:jc w:val="left"/>
            </w:pPr>
            <w:r>
              <w:rPr>
                <w:b/>
                <w:i/>
                <w:sz w:val="18"/>
              </w:rPr>
              <w:t>Dependent variable</w:t>
            </w:r>
          </w:p>
        </w:tc>
      </w:tr>
      <w:tr>
        <w:trPr>
          <w:cantSplit/>
        </w:trPr>
        <w:tc>
          <w:tcPr>
            <w:tcW w:type="dxa" w:w="1493"/>
          </w:tcPr>
          <w:p>
            <w:pPr>
              <w:pStyle w:val="MDPI42tablebody"/>
              <w:keepNext/>
              <w:spacing w:line="240" w:lineRule="auto" w:before="30" w:after="30"/>
              <w:jc w:val="left"/>
            </w:pPr>
            <w:r>
              <w:rPr>
                <w:b w:val="0"/>
                <w:i/>
                <w:sz w:val="18"/>
              </w:rPr>
              <w:t>Youth</w:t>
            </w:r>
          </w:p>
        </w:tc>
        <w:tc>
          <w:tcPr>
            <w:tcW w:type="dxa" w:w="6364"/>
          </w:tcPr>
          <w:p>
            <w:pPr>
              <w:pStyle w:val="MDPI42tablebody"/>
              <w:keepNext/>
              <w:spacing w:line="240" w:lineRule="auto" w:before="30" w:after="30"/>
              <w:jc w:val="left"/>
            </w:pPr>
            <w:r>
              <w:rPr>
                <w:b w:val="0"/>
                <w:i w:val="0"/>
                <w:sz w:val="18"/>
              </w:rPr>
              <w:t>Share of employees aged 30 or below in the firm's total workforce (%)</w:t>
            </w:r>
          </w:p>
        </w:tc>
      </w:tr>
      <w:tr>
        <w:trPr>
          <w:cantSplit/>
        </w:trPr>
        <w:tc>
          <w:tcPr>
            <w:tcW w:type="dxa" w:w="7858"/>
            <w:gridSpan w:val="2"/>
          </w:tcPr>
          <w:p>
            <w:pPr>
              <w:pStyle w:val="MDPI42tablebody"/>
              <w:keepNext/>
              <w:spacing w:line="240" w:lineRule="auto" w:before="60" w:after="30"/>
              <w:jc w:val="left"/>
            </w:pPr>
            <w:r>
              <w:rPr>
                <w:b/>
                <w:i/>
                <w:sz w:val="18"/>
              </w:rPr>
              <w:t>Explanatory variable</w:t>
            </w:r>
          </w:p>
        </w:tc>
      </w:tr>
      <w:tr>
        <w:trPr>
          <w:cantSplit/>
        </w:trPr>
        <w:tc>
          <w:tcPr>
            <w:tcW w:type="dxa" w:w="1493"/>
          </w:tcPr>
          <w:p>
            <w:pPr>
              <w:pStyle w:val="MDPI42tablebody"/>
              <w:keepNext/>
              <w:spacing w:line="240" w:lineRule="auto" w:before="30" w:after="30"/>
              <w:jc w:val="left"/>
            </w:pPr>
            <w:r>
              <w:rPr>
                <w:b w:val="0"/>
                <w:i/>
                <w:sz w:val="18"/>
              </w:rPr>
              <w:t>GenAI</w:t>
            </w:r>
          </w:p>
        </w:tc>
        <w:tc>
          <w:tcPr>
            <w:tcW w:type="dxa" w:w="6364"/>
          </w:tcPr>
          <w:p>
            <w:pPr>
              <w:pStyle w:val="MDPI42tablebody"/>
              <w:keepNext/>
              <w:spacing w:line="240" w:lineRule="auto" w:before="30" w:after="30"/>
              <w:jc w:val="left"/>
            </w:pPr>
            <w:r>
              <w:rPr>
                <w:b w:val="0"/>
                <w:i w:val="0"/>
                <w:sz w:val="18"/>
              </w:rPr>
              <w:t>Generative artificial intelligence application intensity: the natural logarithm of one plus the frequency of generative-AI terms in the management discussion and analysis section of the annual report</w:t>
            </w:r>
          </w:p>
        </w:tc>
      </w:tr>
      <w:tr>
        <w:trPr>
          <w:cantSplit/>
        </w:trPr>
        <w:tc>
          <w:tcPr>
            <w:tcW w:type="dxa" w:w="7858"/>
            <w:gridSpan w:val="2"/>
          </w:tcPr>
          <w:p>
            <w:pPr>
              <w:pStyle w:val="MDPI42tablebody"/>
              <w:keepNext/>
              <w:spacing w:line="240" w:lineRule="auto" w:before="60" w:after="30"/>
              <w:jc w:val="left"/>
            </w:pPr>
            <w:r>
              <w:rPr>
                <w:b/>
                <w:i/>
                <w:sz w:val="18"/>
              </w:rPr>
              <w:t>Mediating variables</w:t>
            </w:r>
          </w:p>
        </w:tc>
      </w:tr>
      <w:tr>
        <w:trPr>
          <w:cantSplit/>
        </w:trPr>
        <w:tc>
          <w:tcPr>
            <w:tcW w:type="dxa" w:w="1493"/>
          </w:tcPr>
          <w:p>
            <w:pPr>
              <w:pStyle w:val="MDPI42tablebody"/>
              <w:keepNext/>
              <w:spacing w:line="240" w:lineRule="auto" w:before="30" w:after="30"/>
              <w:jc w:val="left"/>
            </w:pPr>
            <w:r>
              <w:rPr>
                <w:b w:val="0"/>
                <w:i/>
                <w:sz w:val="18"/>
              </w:rPr>
              <w:t>Train</w:t>
            </w:r>
          </w:p>
        </w:tc>
        <w:tc>
          <w:tcPr>
            <w:tcW w:type="dxa" w:w="6364"/>
          </w:tcPr>
          <w:p>
            <w:pPr>
              <w:pStyle w:val="MDPI42tablebody"/>
              <w:keepNext/>
              <w:spacing w:line="240" w:lineRule="auto" w:before="30" w:after="30"/>
              <w:jc w:val="left"/>
            </w:pPr>
            <w:r>
              <w:rPr>
                <w:b w:val="0"/>
                <w:i w:val="0"/>
                <w:sz w:val="18"/>
              </w:rPr>
              <w:t>Natural logarithm of employee education and training expenditure per employee (yuan)</w:t>
            </w:r>
          </w:p>
        </w:tc>
      </w:tr>
      <w:tr>
        <w:trPr>
          <w:cantSplit/>
        </w:trPr>
        <w:tc>
          <w:tcPr>
            <w:tcW w:type="dxa" w:w="1493"/>
          </w:tcPr>
          <w:p>
            <w:pPr>
              <w:pStyle w:val="MDPI42tablebody"/>
              <w:keepNext/>
              <w:spacing w:line="240" w:lineRule="auto" w:before="30" w:after="30"/>
              <w:jc w:val="left"/>
            </w:pPr>
            <w:r>
              <w:rPr>
                <w:b w:val="0"/>
                <w:i/>
                <w:sz w:val="18"/>
              </w:rPr>
              <w:t>Routine</w:t>
            </w:r>
          </w:p>
        </w:tc>
        <w:tc>
          <w:tcPr>
            <w:tcW w:type="dxa" w:w="6364"/>
          </w:tcPr>
          <w:p>
            <w:pPr>
              <w:pStyle w:val="MDPI42tablebody"/>
              <w:keepNext/>
              <w:spacing w:line="240" w:lineRule="auto" w:before="30" w:after="30"/>
              <w:jc w:val="left"/>
            </w:pPr>
            <w:r>
              <w:rPr>
                <w:b w:val="0"/>
                <w:i w:val="0"/>
                <w:sz w:val="18"/>
              </w:rPr>
              <w:t>Routine task base: the share of the workforce employed in occupational categories classified as routine (%)</w:t>
            </w:r>
          </w:p>
        </w:tc>
      </w:tr>
      <w:tr>
        <w:trPr>
          <w:cantSplit/>
        </w:trPr>
        <w:tc>
          <w:tcPr>
            <w:tcW w:type="dxa" w:w="7858"/>
            <w:gridSpan w:val="2"/>
          </w:tcPr>
          <w:p>
            <w:pPr>
              <w:pStyle w:val="MDPI42tablebody"/>
              <w:keepNext/>
              <w:spacing w:line="240" w:lineRule="auto" w:before="60" w:after="30"/>
              <w:jc w:val="left"/>
            </w:pPr>
            <w:r>
              <w:rPr>
                <w:b/>
                <w:i/>
                <w:sz w:val="18"/>
              </w:rPr>
              <w:t>Moderating variables</w:t>
            </w:r>
          </w:p>
        </w:tc>
      </w:tr>
      <w:tr>
        <w:trPr>
          <w:cantSplit/>
        </w:trPr>
        <w:tc>
          <w:tcPr>
            <w:tcW w:type="dxa" w:w="1493"/>
          </w:tcPr>
          <w:p>
            <w:pPr>
              <w:pStyle w:val="MDPI42tablebody"/>
              <w:keepNext/>
              <w:spacing w:line="240" w:lineRule="auto" w:before="30" w:after="30"/>
              <w:jc w:val="left"/>
            </w:pPr>
            <w:r>
              <w:rPr>
                <w:b w:val="0"/>
                <w:i/>
                <w:sz w:val="18"/>
              </w:rPr>
              <w:t>Absorp</w:t>
            </w:r>
          </w:p>
        </w:tc>
        <w:tc>
          <w:tcPr>
            <w:tcW w:type="dxa" w:w="6364"/>
          </w:tcPr>
          <w:p>
            <w:pPr>
              <w:pStyle w:val="MDPI42tablebody"/>
              <w:keepNext/>
              <w:spacing w:line="240" w:lineRule="auto" w:before="30" w:after="30"/>
              <w:jc w:val="left"/>
            </w:pPr>
            <w:r>
              <w:rPr>
                <w:b w:val="0"/>
                <w:i w:val="0"/>
                <w:sz w:val="18"/>
              </w:rPr>
              <w:t>Organizational learning capability: research and development expenditure as a percentage of operating revenue</w:t>
            </w:r>
          </w:p>
        </w:tc>
      </w:tr>
      <w:tr>
        <w:trPr>
          <w:cantSplit/>
        </w:trPr>
        <w:tc>
          <w:tcPr>
            <w:tcW w:type="dxa" w:w="1493"/>
          </w:tcPr>
          <w:p>
            <w:pPr>
              <w:pStyle w:val="MDPI42tablebody"/>
              <w:keepNext/>
              <w:spacing w:line="240" w:lineRule="auto" w:before="30" w:after="30"/>
              <w:jc w:val="left"/>
            </w:pPr>
            <w:r>
              <w:rPr>
                <w:b w:val="0"/>
                <w:i/>
                <w:sz w:val="18"/>
              </w:rPr>
              <w:t>Wage</w:t>
            </w:r>
          </w:p>
        </w:tc>
        <w:tc>
          <w:tcPr>
            <w:tcW w:type="dxa" w:w="6364"/>
          </w:tcPr>
          <w:p>
            <w:pPr>
              <w:pStyle w:val="MDPI42tablebody"/>
              <w:keepNext/>
              <w:spacing w:line="240" w:lineRule="auto" w:before="30" w:after="30"/>
              <w:jc w:val="left"/>
            </w:pPr>
            <w:r>
              <w:rPr>
                <w:b w:val="0"/>
                <w:i w:val="0"/>
                <w:sz w:val="18"/>
              </w:rPr>
              <w:t>Relative labor cost: the natural logarithm of cash paid to and on behalf of employees per employee</w:t>
            </w:r>
          </w:p>
        </w:tc>
      </w:tr>
      <w:tr>
        <w:trPr>
          <w:cantSplit/>
        </w:trPr>
        <w:tc>
          <w:tcPr>
            <w:tcW w:type="dxa" w:w="7858"/>
            <w:gridSpan w:val="2"/>
          </w:tcPr>
          <w:p>
            <w:pPr>
              <w:pStyle w:val="MDPI42tablebody"/>
              <w:keepNext/>
              <w:spacing w:line="240" w:lineRule="auto" w:before="60" w:after="30"/>
              <w:jc w:val="left"/>
            </w:pPr>
            <w:r>
              <w:rPr>
                <w:b/>
                <w:i/>
                <w:sz w:val="18"/>
              </w:rPr>
              <w:t>Control variables</w:t>
            </w:r>
          </w:p>
        </w:tc>
      </w:tr>
      <w:tr>
        <w:trPr>
          <w:cantSplit/>
        </w:trPr>
        <w:tc>
          <w:tcPr>
            <w:tcW w:type="dxa" w:w="1493"/>
          </w:tcPr>
          <w:p>
            <w:pPr>
              <w:pStyle w:val="MDPI42tablebody"/>
              <w:keepNext/>
              <w:spacing w:line="240" w:lineRule="auto" w:before="30" w:after="30"/>
              <w:jc w:val="left"/>
            </w:pPr>
            <w:r>
              <w:rPr>
                <w:b w:val="0"/>
                <w:i/>
                <w:sz w:val="18"/>
              </w:rPr>
              <w:t>Size</w:t>
            </w:r>
          </w:p>
        </w:tc>
        <w:tc>
          <w:tcPr>
            <w:tcW w:type="dxa" w:w="6364"/>
          </w:tcPr>
          <w:p>
            <w:pPr>
              <w:pStyle w:val="MDPI42tablebody"/>
              <w:keepNext/>
              <w:spacing w:line="240" w:lineRule="auto" w:before="30" w:after="30"/>
              <w:jc w:val="left"/>
            </w:pPr>
            <w:r>
              <w:rPr>
                <w:b w:val="0"/>
                <w:i w:val="0"/>
                <w:sz w:val="18"/>
              </w:rPr>
              <w:t>Natural logarithm of total assets</w:t>
            </w:r>
          </w:p>
        </w:tc>
      </w:tr>
      <w:tr>
        <w:trPr>
          <w:cantSplit/>
        </w:trPr>
        <w:tc>
          <w:tcPr>
            <w:tcW w:type="dxa" w:w="1493"/>
          </w:tcPr>
          <w:p>
            <w:pPr>
              <w:pStyle w:val="MDPI42tablebody"/>
              <w:keepNext/>
              <w:spacing w:line="240" w:lineRule="auto" w:before="30" w:after="30"/>
              <w:jc w:val="left"/>
            </w:pPr>
            <w:r>
              <w:rPr>
                <w:b w:val="0"/>
                <w:i/>
                <w:sz w:val="18"/>
              </w:rPr>
              <w:t>Lev</w:t>
            </w:r>
          </w:p>
        </w:tc>
        <w:tc>
          <w:tcPr>
            <w:tcW w:type="dxa" w:w="6364"/>
          </w:tcPr>
          <w:p>
            <w:pPr>
              <w:pStyle w:val="MDPI42tablebody"/>
              <w:keepNext/>
              <w:spacing w:line="240" w:lineRule="auto" w:before="30" w:after="30"/>
              <w:jc w:val="left"/>
            </w:pPr>
            <w:r>
              <w:rPr>
                <w:b w:val="0"/>
                <w:i w:val="0"/>
                <w:sz w:val="18"/>
              </w:rPr>
              <w:t>Total liabilities divided by total assets</w:t>
            </w:r>
          </w:p>
        </w:tc>
      </w:tr>
      <w:tr>
        <w:trPr>
          <w:cantSplit/>
        </w:trPr>
        <w:tc>
          <w:tcPr>
            <w:tcW w:type="dxa" w:w="1493"/>
          </w:tcPr>
          <w:p>
            <w:pPr>
              <w:pStyle w:val="MDPI42tablebody"/>
              <w:keepNext/>
              <w:spacing w:line="240" w:lineRule="auto" w:before="30" w:after="30"/>
              <w:jc w:val="left"/>
            </w:pPr>
            <w:r>
              <w:rPr>
                <w:b w:val="0"/>
                <w:i/>
                <w:sz w:val="18"/>
              </w:rPr>
              <w:t>ROA</w:t>
            </w:r>
          </w:p>
        </w:tc>
        <w:tc>
          <w:tcPr>
            <w:tcW w:type="dxa" w:w="6364"/>
          </w:tcPr>
          <w:p>
            <w:pPr>
              <w:pStyle w:val="MDPI42tablebody"/>
              <w:keepNext/>
              <w:spacing w:line="240" w:lineRule="auto" w:before="30" w:after="30"/>
              <w:jc w:val="left"/>
            </w:pPr>
            <w:r>
              <w:rPr>
                <w:b w:val="0"/>
                <w:i w:val="0"/>
                <w:sz w:val="18"/>
              </w:rPr>
              <w:t>Net profit divided by total assets</w:t>
            </w:r>
          </w:p>
        </w:tc>
      </w:tr>
      <w:tr>
        <w:trPr>
          <w:cantSplit/>
        </w:trPr>
        <w:tc>
          <w:tcPr>
            <w:tcW w:type="dxa" w:w="1493"/>
          </w:tcPr>
          <w:p>
            <w:pPr>
              <w:pStyle w:val="MDPI42tablebody"/>
              <w:keepNext/>
              <w:spacing w:line="240" w:lineRule="auto" w:before="30" w:after="30"/>
              <w:jc w:val="left"/>
            </w:pPr>
            <w:r>
              <w:rPr>
                <w:b w:val="0"/>
                <w:i/>
                <w:sz w:val="18"/>
              </w:rPr>
              <w:t>Growth</w:t>
            </w:r>
          </w:p>
        </w:tc>
        <w:tc>
          <w:tcPr>
            <w:tcW w:type="dxa" w:w="6364"/>
          </w:tcPr>
          <w:p>
            <w:pPr>
              <w:pStyle w:val="MDPI42tablebody"/>
              <w:keepNext/>
              <w:spacing w:line="240" w:lineRule="auto" w:before="30" w:after="30"/>
              <w:jc w:val="left"/>
            </w:pPr>
            <w:r>
              <w:rPr>
                <w:b w:val="0"/>
                <w:i w:val="0"/>
                <w:sz w:val="18"/>
              </w:rPr>
              <w:t>Year-on-year growth rate of operating revenue</w:t>
            </w:r>
          </w:p>
        </w:tc>
      </w:tr>
      <w:tr>
        <w:trPr>
          <w:cantSplit/>
        </w:trPr>
        <w:tc>
          <w:tcPr>
            <w:tcW w:type="dxa" w:w="1493"/>
          </w:tcPr>
          <w:p>
            <w:pPr>
              <w:pStyle w:val="MDPI42tablebody"/>
              <w:keepNext/>
              <w:spacing w:line="240" w:lineRule="auto" w:before="30" w:after="30"/>
              <w:jc w:val="left"/>
            </w:pPr>
            <w:r>
              <w:rPr>
                <w:b w:val="0"/>
                <w:i/>
                <w:sz w:val="18"/>
              </w:rPr>
              <w:t>Cashflow</w:t>
            </w:r>
          </w:p>
        </w:tc>
        <w:tc>
          <w:tcPr>
            <w:tcW w:type="dxa" w:w="6364"/>
          </w:tcPr>
          <w:p>
            <w:pPr>
              <w:pStyle w:val="MDPI42tablebody"/>
              <w:keepNext/>
              <w:spacing w:line="240" w:lineRule="auto" w:before="30" w:after="30"/>
              <w:jc w:val="left"/>
            </w:pPr>
            <w:r>
              <w:rPr>
                <w:b w:val="0"/>
                <w:i w:val="0"/>
                <w:sz w:val="18"/>
              </w:rPr>
              <w:t>Net operating cash flow divided by total assets</w:t>
            </w:r>
          </w:p>
        </w:tc>
      </w:tr>
      <w:tr>
        <w:trPr>
          <w:cantSplit/>
        </w:trPr>
        <w:tc>
          <w:tcPr>
            <w:tcW w:type="dxa" w:w="1493"/>
          </w:tcPr>
          <w:p>
            <w:pPr>
              <w:pStyle w:val="MDPI42tablebody"/>
              <w:keepNext/>
              <w:spacing w:line="240" w:lineRule="auto" w:before="30" w:after="30"/>
              <w:jc w:val="left"/>
            </w:pPr>
            <w:r>
              <w:rPr>
                <w:b w:val="0"/>
                <w:i/>
                <w:sz w:val="18"/>
              </w:rPr>
              <w:t>TobinQ</w:t>
            </w:r>
          </w:p>
        </w:tc>
        <w:tc>
          <w:tcPr>
            <w:tcW w:type="dxa" w:w="6364"/>
          </w:tcPr>
          <w:p>
            <w:pPr>
              <w:pStyle w:val="MDPI42tablebody"/>
              <w:keepNext/>
              <w:spacing w:line="240" w:lineRule="auto" w:before="30" w:after="30"/>
              <w:jc w:val="left"/>
            </w:pPr>
            <w:r>
              <w:rPr>
                <w:b w:val="0"/>
                <w:i w:val="0"/>
                <w:sz w:val="18"/>
              </w:rPr>
              <w:t>Market value divided by the replacement cost of assets</w:t>
            </w:r>
          </w:p>
        </w:tc>
      </w:tr>
      <w:tr>
        <w:trPr>
          <w:cantSplit/>
        </w:trPr>
        <w:tc>
          <w:tcPr>
            <w:tcW w:type="dxa" w:w="1493"/>
          </w:tcPr>
          <w:p>
            <w:pPr>
              <w:pStyle w:val="MDPI42tablebody"/>
              <w:keepNext/>
              <w:spacing w:line="240" w:lineRule="auto" w:before="30" w:after="30"/>
              <w:jc w:val="left"/>
            </w:pPr>
            <w:r>
              <w:rPr>
                <w:b w:val="0"/>
                <w:i/>
                <w:sz w:val="18"/>
              </w:rPr>
              <w:t>Top1</w:t>
            </w:r>
          </w:p>
        </w:tc>
        <w:tc>
          <w:tcPr>
            <w:tcW w:type="dxa" w:w="6364"/>
          </w:tcPr>
          <w:p>
            <w:pPr>
              <w:pStyle w:val="MDPI42tablebody"/>
              <w:keepNext/>
              <w:spacing w:line="240" w:lineRule="auto" w:before="30" w:after="30"/>
              <w:jc w:val="left"/>
            </w:pPr>
            <w:r>
              <w:rPr>
                <w:b w:val="0"/>
                <w:i w:val="0"/>
                <w:sz w:val="18"/>
              </w:rPr>
              <w:t>Shareholding of the largest shareholder</w:t>
            </w:r>
          </w:p>
        </w:tc>
      </w:tr>
      <w:tr>
        <w:trPr>
          <w:cantSplit/>
        </w:trPr>
        <w:tc>
          <w:tcPr>
            <w:tcW w:type="dxa" w:w="1493"/>
          </w:tcPr>
          <w:p>
            <w:pPr>
              <w:pStyle w:val="MDPI42tablebody"/>
              <w:keepNext/>
              <w:spacing w:line="240" w:lineRule="auto" w:before="30" w:after="30"/>
              <w:jc w:val="left"/>
            </w:pPr>
            <w:r>
              <w:rPr>
                <w:b w:val="0"/>
                <w:i/>
                <w:sz w:val="18"/>
              </w:rPr>
              <w:t>Indep</w:t>
            </w:r>
          </w:p>
        </w:tc>
        <w:tc>
          <w:tcPr>
            <w:tcW w:type="dxa" w:w="6364"/>
          </w:tcPr>
          <w:p>
            <w:pPr>
              <w:pStyle w:val="MDPI42tablebody"/>
              <w:keepNext/>
              <w:spacing w:line="240" w:lineRule="auto" w:before="30" w:after="30"/>
              <w:jc w:val="left"/>
            </w:pPr>
            <w:r>
              <w:rPr>
                <w:b w:val="0"/>
                <w:i w:val="0"/>
                <w:sz w:val="18"/>
              </w:rPr>
              <w:t>Share of independent directors on the board</w:t>
            </w:r>
          </w:p>
        </w:tc>
      </w:tr>
      <w:tr>
        <w:trPr>
          <w:cantSplit/>
        </w:trPr>
        <w:tc>
          <w:tcPr>
            <w:tcW w:type="dxa" w:w="1493"/>
          </w:tcPr>
          <w:p>
            <w:pPr>
              <w:pStyle w:val="MDPI42tablebody"/>
              <w:keepNext/>
              <w:spacing w:line="240" w:lineRule="auto" w:before="30" w:after="30"/>
              <w:jc w:val="left"/>
            </w:pPr>
            <w:r>
              <w:rPr>
                <w:b w:val="0"/>
                <w:i/>
                <w:sz w:val="18"/>
              </w:rPr>
              <w:t>Dual</w:t>
            </w:r>
          </w:p>
        </w:tc>
        <w:tc>
          <w:tcPr>
            <w:tcW w:type="dxa" w:w="6364"/>
          </w:tcPr>
          <w:p>
            <w:pPr>
              <w:pStyle w:val="MDPI42tablebody"/>
              <w:keepNext/>
              <w:spacing w:line="240" w:lineRule="auto" w:before="30" w:after="30"/>
              <w:jc w:val="left"/>
            </w:pPr>
            <w:r>
              <w:rPr>
                <w:b w:val="0"/>
                <w:i w:val="0"/>
                <w:sz w:val="18"/>
              </w:rPr>
              <w:t>Indicator equal to one when the chair and the chief executive are the same person</w:t>
            </w:r>
          </w:p>
        </w:tc>
      </w:tr>
      <w:tr>
        <w:trPr>
          <w:cantSplit/>
        </w:trPr>
        <w:tc>
          <w:tcPr>
            <w:tcW w:type="dxa" w:w="1493"/>
          </w:tcPr>
          <w:p>
            <w:pPr>
              <w:pStyle w:val="MDPI42tablebody"/>
              <w:keepNext/>
              <w:spacing w:line="240" w:lineRule="auto" w:before="30" w:after="30"/>
              <w:jc w:val="left"/>
            </w:pPr>
            <w:r>
              <w:rPr>
                <w:b w:val="0"/>
                <w:i/>
                <w:sz w:val="18"/>
              </w:rPr>
              <w:t>Board</w:t>
            </w:r>
          </w:p>
        </w:tc>
        <w:tc>
          <w:tcPr>
            <w:tcW w:type="dxa" w:w="6364"/>
          </w:tcPr>
          <w:p>
            <w:pPr>
              <w:pStyle w:val="MDPI42tablebody"/>
              <w:keepNext/>
              <w:spacing w:line="240" w:lineRule="auto" w:before="30" w:after="30"/>
              <w:jc w:val="left"/>
            </w:pPr>
            <w:r>
              <w:rPr>
                <w:b w:val="0"/>
                <w:i w:val="0"/>
                <w:sz w:val="18"/>
              </w:rPr>
              <w:t>Natural logarithm of the number of directors</w:t>
            </w:r>
          </w:p>
        </w:tc>
      </w:tr>
      <w:tr>
        <w:trPr>
          <w:cantSplit/>
        </w:trPr>
        <w:tc>
          <w:tcPr>
            <w:tcW w:type="dxa" w:w="1493"/>
          </w:tcPr>
          <w:p>
            <w:pPr>
              <w:pStyle w:val="MDPI42tablebody"/>
              <w:keepNext/>
              <w:spacing w:line="240" w:lineRule="auto" w:before="30" w:after="30"/>
              <w:jc w:val="left"/>
            </w:pPr>
            <w:r>
              <w:rPr>
                <w:b w:val="0"/>
                <w:i/>
                <w:sz w:val="18"/>
              </w:rPr>
              <w:t>CapInt</w:t>
            </w:r>
          </w:p>
        </w:tc>
        <w:tc>
          <w:tcPr>
            <w:tcW w:type="dxa" w:w="6364"/>
          </w:tcPr>
          <w:p>
            <w:pPr>
              <w:pStyle w:val="MDPI42tablebody"/>
              <w:keepNext/>
              <w:spacing w:line="240" w:lineRule="auto" w:before="30" w:after="30"/>
              <w:jc w:val="left"/>
            </w:pPr>
            <w:r>
              <w:rPr>
                <w:b w:val="0"/>
                <w:i w:val="0"/>
                <w:sz w:val="18"/>
              </w:rPr>
              <w:t>Natural logarithm of net fixed assets per employee</w:t>
            </w:r>
          </w:p>
        </w:tc>
      </w:tr>
      <w:tr>
        <w:trPr>
          <w:cantSplit/>
        </w:trPr>
        <w:tc>
          <w:tcPr>
            <w:tcW w:type="dxa" w:w="7858"/>
            <w:gridSpan w:val="2"/>
          </w:tcPr>
          <w:p>
            <w:pPr>
              <w:pStyle w:val="MDPI42tablebody"/>
              <w:keepNext/>
              <w:spacing w:line="240" w:lineRule="auto" w:before="60" w:after="30"/>
              <w:jc w:val="left"/>
            </w:pPr>
            <w:r>
              <w:rPr>
                <w:b/>
                <w:i/>
                <w:sz w:val="18"/>
              </w:rPr>
              <w:t>Instrumental variables</w:t>
            </w:r>
          </w:p>
        </w:tc>
      </w:tr>
      <w:tr>
        <w:trPr>
          <w:cantSplit/>
        </w:trPr>
        <w:tc>
          <w:tcPr>
            <w:tcW w:type="dxa" w:w="1493"/>
          </w:tcPr>
          <w:p>
            <w:pPr>
              <w:pStyle w:val="MDPI42tablebody"/>
              <w:keepNext/>
              <w:spacing w:line="240" w:lineRule="auto" w:before="30" w:after="30"/>
              <w:jc w:val="left"/>
            </w:pPr>
            <w:r>
              <w:rPr>
                <w:b w:val="0"/>
                <w:i/>
                <w:sz w:val="18"/>
              </w:rPr>
              <w:t>Telephone84 × Nat</w:t>
            </w:r>
          </w:p>
        </w:tc>
        <w:tc>
          <w:tcPr>
            <w:tcW w:type="dxa" w:w="6364"/>
          </w:tcPr>
          <w:p>
            <w:pPr>
              <w:pStyle w:val="MDPI42tablebody"/>
              <w:keepNext/>
              <w:spacing w:line="240" w:lineRule="auto" w:before="30" w:after="30"/>
              <w:jc w:val="left"/>
            </w:pPr>
            <w:r>
              <w:rPr>
                <w:b w:val="0"/>
                <w:i w:val="0"/>
                <w:sz w:val="18"/>
              </w:rPr>
              <w:t>Fixed-line telephones per hundred residents in the firm's prefecture in 1984, interacted with the national generative-AI diffusion index</w:t>
            </w:r>
          </w:p>
        </w:tc>
      </w:tr>
      <w:tr>
        <w:trPr>
          <w:cantSplit/>
        </w:trPr>
        <w:tc>
          <w:tcPr>
            <w:tcW w:type="dxa" w:w="1493"/>
          </w:tcPr>
          <w:p>
            <w:pPr>
              <w:pStyle w:val="MDPI42tablebody"/>
              <w:keepNext/>
              <w:spacing w:line="240" w:lineRule="auto" w:before="30" w:after="30"/>
              <w:jc w:val="left"/>
            </w:pPr>
            <w:r>
              <w:rPr>
                <w:b w:val="0"/>
                <w:i/>
                <w:sz w:val="18"/>
              </w:rPr>
              <w:t>PeerAI</w:t>
            </w:r>
          </w:p>
        </w:tc>
        <w:tc>
          <w:tcPr>
            <w:tcW w:type="dxa" w:w="6364"/>
          </w:tcPr>
          <w:p>
            <w:pPr>
              <w:pStyle w:val="MDPI42tablebody"/>
              <w:keepNext/>
              <w:spacing w:line="240" w:lineRule="auto" w:before="30" w:after="30"/>
              <w:jc w:val="left"/>
            </w:pPr>
            <w:r>
              <w:rPr>
                <w:b w:val="0"/>
                <w:i w:val="0"/>
                <w:sz w:val="18"/>
              </w:rPr>
              <w:t>Mean generative-AI application intensity of firms in the same industry located outside the firm's own province</w:t>
            </w:r>
          </w:p>
        </w:tc>
      </w:tr>
      <w:tr>
        <w:trPr>
          <w:cantSplit/>
        </w:trPr>
        <w:tc>
          <w:tcPr>
            <w:tcW w:type="dxa" w:w="7858"/>
            <w:gridSpan w:val="2"/>
          </w:tcPr>
          <w:p>
            <w:pPr>
              <w:pStyle w:val="MDPI42tablebody"/>
              <w:keepNext/>
              <w:spacing w:line="240" w:lineRule="auto" w:before="60" w:after="30"/>
              <w:jc w:val="left"/>
            </w:pPr>
            <w:r>
              <w:rPr>
                <w:b/>
                <w:i/>
                <w:sz w:val="18"/>
              </w:rPr>
              <w:t>Placebo variable</w:t>
            </w:r>
          </w:p>
        </w:tc>
      </w:tr>
      <w:tr>
        <w:trPr>
          <w:cantSplit/>
        </w:trPr>
        <w:tc>
          <w:tcPr>
            <w:tcW w:type="dxa" w:w="1493"/>
          </w:tcPr>
          <w:p>
            <w:pPr>
              <w:pStyle w:val="MDPI42tablebody"/>
              <w:spacing w:line="240" w:lineRule="auto" w:before="30" w:after="30"/>
              <w:jc w:val="left"/>
            </w:pPr>
            <w:r>
              <w:rPr>
                <w:b w:val="0"/>
                <w:i/>
                <w:sz w:val="18"/>
              </w:rPr>
              <w:t>Exper</w:t>
            </w:r>
          </w:p>
        </w:tc>
        <w:tc>
          <w:tcPr>
            <w:tcW w:type="dxa" w:w="6364"/>
          </w:tcPr>
          <w:p>
            <w:pPr>
              <w:pStyle w:val="MDPI42tablebody"/>
              <w:spacing w:line="240" w:lineRule="auto" w:before="30" w:after="30"/>
              <w:jc w:val="left"/>
            </w:pPr>
            <w:r>
              <w:rPr>
                <w:b w:val="0"/>
                <w:i w:val="0"/>
                <w:sz w:val="18"/>
              </w:rPr>
              <w:t>Share of employees aged 31 to 50 in the firm's total workforce (%)</w:t>
            </w:r>
          </w:p>
        </w:tc>
      </w:tr>
    </w:tbl>
    <w:p>
      <w:pPr>
        <w:pStyle w:val="MDPI22heading2"/>
      </w:pPr>
      <w:r>
        <w:t>3.3. Model Specification</w:t>
      </w:r>
    </w:p>
    <w:p>
      <w:pPr>
        <w:pStyle w:val="MDPI32textnoindent"/>
      </w:pPr>
      <w:r>
        <w:rPr>
          <w:b w:val="0"/>
          <w:i w:val="0"/>
        </w:rPr>
        <w:t>The benchmark specification is a two-way fixed-effects panel model, which absorbs all time-invariant firm heterogeneity and all common annual shocks, so that identification comes from within-firm variation in adoption relative to the contemporaneous average:</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Youth</m:t>
                  </m:r>
                </m:e>
                <m:sub>
                  <m:r>
                    <m:t xml:space="preserve">i</m:t>
                  </m:r>
                  <m:r>
                    <m:t xml:space="preserve">t</m:t>
                  </m:r>
                </m:sub>
              </m:sSub>
              <m:r>
                <m:rPr>
                  <m:sty m:val="p"/>
                </m:rPr>
                <m:t xml:space="preserve">=</m:t>
              </m:r>
              <m:sSub>
                <m:e>
                  <m:r>
                    <m:t xml:space="preserve">α</m:t>
                  </m:r>
                </m:e>
                <m:sub>
                  <m:r>
                    <m:rPr>
                      <m:sty m:val="p"/>
                    </m:rPr>
                    <m:t xml:space="preserve">0</m:t>
                  </m:r>
                </m:sub>
              </m:sSub>
              <m:r>
                <m:rPr>
                  <m:sty m:val="p"/>
                </m:rPr>
                <m:t xml:space="preserve">+</m:t>
              </m:r>
              <m:sSub>
                <m:e>
                  <m:r>
                    <m:t xml:space="preserve">α</m:t>
                  </m:r>
                </m:e>
                <m:sub>
                  <m:r>
                    <m:rPr>
                      <m:sty m:val="p"/>
                    </m:rPr>
                    <m:t xml:space="preserve">1</m:t>
                  </m:r>
                </m:sub>
              </m:sSub>
              <m:sSub>
                <m:e>
                  <m:r>
                    <m:t xml:space="preserve">GenAI</m:t>
                  </m:r>
                </m:e>
                <m:sub>
                  <m:r>
                    <m:t xml:space="preserve">i</m:t>
                  </m:r>
                  <m:r>
                    <m:t xml:space="preserve">t</m:t>
                  </m:r>
                </m:sub>
              </m:sSub>
              <m:r>
                <m:rPr>
                  <m:sty m:val="p"/>
                </m:rPr>
                <m:t xml:space="preserve">+</m:t>
              </m:r>
              <m:nary>
                <m:naryPr>
                  <m:chr m:val="∑"/>
                  <m:limLoc m:val="subSup"/>
                  <m:supHide m:val="1"/>
                </m:naryPr>
                <m:sub>
                  <m:r>
                    <m:t xml:space="preserve">k</m:t>
                  </m:r>
                </m:sub>
                <m:sup/>
                <m:e>
                  <m:sSub>
                    <m:e>
                      <m:r>
                        <m:t xml:space="preserve">γ</m:t>
                      </m:r>
                    </m:e>
                    <m:sub>
                      <m:r>
                        <m:t xml:space="preserve">k</m:t>
                      </m:r>
                    </m:sub>
                  </m:sSub>
                  <m:sSub>
                    <m:e>
                      <m:r>
                        <m:t xml:space="preserve">Control</m:t>
                      </m:r>
                    </m:e>
                    <m:sub>
                      <m:r>
                        <m:t xml:space="preserve">k</m:t>
                      </m:r>
                      <m:r>
                        <m:t xml:space="preserve">,</m:t>
                      </m:r>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ε</m:t>
                      </m:r>
                    </m:e>
                    <m:sub>
                      <m:r>
                        <m:t xml:space="preserve">i</m:t>
                      </m:r>
                      <m:r>
                        <m:t xml:space="preserve">t</m:t>
                      </m:r>
                    </m:sub>
                  </m:sSub>
                </m:e>
              </m:nary>
            </m:oMath>
          </w:p>
        </w:tc>
        <w:tc>
          <w:tcPr>
            <w:tcW w:type="dxa" w:w="431"/>
            <w:vAlign w:val="center"/>
          </w:tcPr>
          <w:p>
            <w:pPr>
              <w:pStyle w:val="MDPI3aequationnumber"/>
              <w:jc w:val="right"/>
            </w:pPr>
            <w:r>
              <w:t>(1)</w:t>
            </w:r>
          </w:p>
        </w:tc>
      </w:tr>
    </w:tbl>
    <w:p>
      <w:pPr>
        <w:pStyle w:val="MDPI31text"/>
      </w:pPr>
      <w:r>
        <w:rPr>
          <w:b w:val="0"/>
          <w:i w:val="0"/>
        </w:rPr>
        <w:t xml:space="preserve">where </w:t>
      </w:r>
      <m:oMath>
        <m:r>
          <m:t xml:space="preserve">i</m:t>
        </m:r>
      </m:oMath>
      <w:r>
        <w:rPr>
          <w:b w:val="0"/>
          <w:i w:val="0"/>
        </w:rPr>
        <w:t xml:space="preserve"> indexes firms and </w:t>
      </w:r>
      <m:oMath>
        <m:r>
          <m:t xml:space="preserve">t</m:t>
        </m:r>
      </m:oMath>
      <w:r>
        <w:rPr>
          <w:b w:val="0"/>
          <w:i w:val="0"/>
        </w:rPr>
        <w:t xml:space="preserve"> years, </w:t>
      </w:r>
      <m:oMath>
        <m:sSub>
          <m:e>
            <m:r>
              <m:t xml:space="preserve">μ</m:t>
            </m:r>
          </m:e>
          <m:sub>
            <m:r>
              <m:t xml:space="preserve">i</m:t>
            </m:r>
          </m:sub>
        </m:sSub>
      </m:oMath>
      <w:r>
        <w:rPr>
          <w:b w:val="0"/>
          <w:i w:val="0"/>
        </w:rPr>
        <w:t xml:space="preserve"> and </w:t>
      </w:r>
      <m:oMath>
        <m:sSub>
          <m:e>
            <m:r>
              <m:t xml:space="preserve">λ</m:t>
            </m:r>
          </m:e>
          <m:sub>
            <m:r>
              <m:t xml:space="preserve">t</m:t>
            </m:r>
          </m:sub>
        </m:sSub>
      </m:oMath>
      <w:r>
        <w:rPr>
          <w:b w:val="0"/>
          <w:i w:val="0"/>
        </w:rPr>
        <w:t xml:space="preserve"> are firm and year effects, and standard errors are clustered at the firm level to accommodate arbitrary serial correlation within firms </w:t>
      </w:r>
      <w:r>
        <w:t>[</w:t>
      </w:r>
      <w:r>
        <w:fldChar w:fldCharType="begin"/>
      </w:r>
      <w:r>
        <w:instrText xml:space="preserve"> REF _Ref_79 \h </w:instrText>
      </w:r>
      <w:r>
        <w:fldChar w:fldCharType="separate"/>
      </w:r>
      <w:r>
        <w:t>79</w:t>
      </w:r>
      <w:r>
        <w:fldChar w:fldCharType="end"/>
      </w:r>
      <w:r>
        <w:t>,</w:t>
      </w:r>
      <w:r>
        <w:fldChar w:fldCharType="begin"/>
      </w:r>
      <w:r>
        <w:instrText xml:space="preserve"> REF _Ref_80 \h </w:instrText>
      </w:r>
      <w:r>
        <w:fldChar w:fldCharType="separate"/>
      </w:r>
      <w:r>
        <w:t>80</w:t>
      </w:r>
      <w:r>
        <w:fldChar w:fldCharType="end"/>
      </w:r>
      <w:r>
        <w:t>]</w:t>
      </w:r>
      <w:r>
        <w:rPr>
          <w:b w:val="0"/>
          <w:i w:val="0"/>
        </w:rPr>
        <w:t xml:space="preserve">. The coefficient of interest is </w:t>
      </w:r>
      <m:oMath>
        <m:sSub>
          <m:e>
            <m:r>
              <m:t xml:space="preserve">α</m:t>
            </m:r>
          </m:e>
          <m:sub>
            <m:r>
              <m:rPr>
                <m:sty m:val="p"/>
              </m:rPr>
              <m:t xml:space="preserve">1</m:t>
            </m:r>
          </m:sub>
        </m:sSub>
      </m:oMath>
      <w:r>
        <w:rPr>
          <w:b w:val="0"/>
          <w:i w:val="0"/>
        </w:rPr>
        <w:t>, which H1 predicts to be negative.</w:t>
      </w:r>
    </w:p>
    <w:p>
      <w:pPr>
        <w:pStyle w:val="MDPI31text"/>
      </w:pPr>
      <w:r>
        <w:rPr>
          <w:b w:val="0"/>
          <w:i w:val="0"/>
        </w:rPr>
        <w:t xml:space="preserve">The two mechanisms are examined by the three-step procedure of Baron and Kenny </w:t>
      </w:r>
      <w:r>
        <w:t>[</w:t>
      </w:r>
      <w:r>
        <w:fldChar w:fldCharType="begin"/>
      </w:r>
      <w:r>
        <w:instrText xml:space="preserve"> REF _Ref_81 \h </w:instrText>
      </w:r>
      <w:r>
        <w:fldChar w:fldCharType="separate"/>
      </w:r>
      <w:r>
        <w:t>81</w:t>
      </w:r>
      <w:r>
        <w:fldChar w:fldCharType="end"/>
      </w:r>
      <w:r>
        <w:t>]</w:t>
      </w:r>
      <w:r>
        <w:rPr>
          <w:b w:val="0"/>
          <w:i w:val="0"/>
        </w:rPr>
        <w:t xml:space="preserve"> as refined by Zhao, Lynch and Chen </w:t>
      </w:r>
      <w:r>
        <w:t>[</w:t>
      </w:r>
      <w:r>
        <w:fldChar w:fldCharType="begin"/>
      </w:r>
      <w:r>
        <w:instrText xml:space="preserve"> REF _Ref_82 \h </w:instrText>
      </w:r>
      <w:r>
        <w:fldChar w:fldCharType="separate"/>
      </w:r>
      <w:r>
        <w:t>82</w:t>
      </w:r>
      <w:r>
        <w:fldChar w:fldCharType="end"/>
      </w:r>
      <w:r>
        <w:t>]</w:t>
      </w:r>
      <w:r>
        <w:rPr>
          <w:b w:val="0"/>
          <w:i w:val="0"/>
        </w:rPr>
        <w:t>. Equation (1) estimates the total effect; Equation (2) regresses each mediator on adoption; and Equation (3) reintroduces the mediator alongside adoption:</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Med</m:t>
                  </m:r>
                </m:e>
                <m:sub>
                  <m:r>
                    <m:t xml:space="preserve">i</m:t>
                  </m:r>
                  <m:r>
                    <m:t xml:space="preserve">t</m:t>
                  </m:r>
                </m:sub>
              </m:sSub>
              <m:r>
                <m:rPr>
                  <m:sty m:val="p"/>
                </m:rPr>
                <m:t xml:space="preserve">=</m:t>
              </m:r>
              <m:sSub>
                <m:e>
                  <m:r>
                    <m:t xml:space="preserve">β</m:t>
                  </m:r>
                </m:e>
                <m:sub>
                  <m:r>
                    <m:rPr>
                      <m:sty m:val="p"/>
                    </m:rPr>
                    <m:t xml:space="preserve">0</m:t>
                  </m:r>
                </m:sub>
              </m:sSub>
              <m:r>
                <m:rPr>
                  <m:sty m:val="p"/>
                </m:rPr>
                <m:t xml:space="preserve">+</m:t>
              </m:r>
              <m:sSub>
                <m:e>
                  <m:r>
                    <m:t xml:space="preserve">β</m:t>
                  </m:r>
                </m:e>
                <m:sub>
                  <m:r>
                    <m:rPr>
                      <m:sty m:val="p"/>
                    </m:rPr>
                    <m:t xml:space="preserve">1</m:t>
                  </m:r>
                </m:sub>
              </m:sSub>
              <m:sSub>
                <m:e>
                  <m:r>
                    <m:t xml:space="preserve">GenAI</m:t>
                  </m:r>
                </m:e>
                <m:sub>
                  <m:r>
                    <m:t xml:space="preserve">i</m:t>
                  </m:r>
                  <m:r>
                    <m:t xml:space="preserve">t</m:t>
                  </m:r>
                </m:sub>
              </m:sSub>
              <m:r>
                <m:rPr>
                  <m:sty m:val="p"/>
                </m:rPr>
                <m:t xml:space="preserve">+</m:t>
              </m:r>
              <m:nary>
                <m:naryPr>
                  <m:chr m:val="∑"/>
                  <m:limLoc m:val="subSup"/>
                  <m:supHide m:val="1"/>
                </m:naryPr>
                <m:sub>
                  <m:r>
                    <m:t xml:space="preserve">k</m:t>
                  </m:r>
                </m:sub>
                <m:sup/>
                <m:e>
                  <m:sSub>
                    <m:e>
                      <m:r>
                        <m:t xml:space="preserve">γ</m:t>
                      </m:r>
                    </m:e>
                    <m:sub>
                      <m:r>
                        <m:t xml:space="preserve">k</m:t>
                      </m:r>
                    </m:sub>
                  </m:sSub>
                  <m:sSub>
                    <m:e>
                      <m:r>
                        <m:t xml:space="preserve">Control</m:t>
                      </m:r>
                    </m:e>
                    <m:sub>
                      <m:r>
                        <m:t xml:space="preserve">k</m:t>
                      </m:r>
                      <m:r>
                        <m:t xml:space="preserve">,</m:t>
                      </m:r>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η</m:t>
                      </m:r>
                    </m:e>
                    <m:sub>
                      <m:r>
                        <m:t xml:space="preserve">i</m:t>
                      </m:r>
                      <m:r>
                        <m:t xml:space="preserve">t</m:t>
                      </m:r>
                    </m:sub>
                  </m:sSub>
                </m:e>
              </m:nary>
            </m:oMath>
          </w:p>
        </w:tc>
        <w:tc>
          <w:tcPr>
            <w:tcW w:type="dxa" w:w="431"/>
            <w:vAlign w:val="center"/>
          </w:tcPr>
          <w:p>
            <w:pPr>
              <w:pStyle w:val="MDPI3aequationnumber"/>
              <w:jc w:val="right"/>
            </w:pPr>
            <w:r>
              <w:t>(2)</w:t>
            </w:r>
          </w:p>
        </w:tc>
      </w:tr>
    </w:tbl>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Youth</m:t>
                  </m:r>
                </m:e>
                <m:sub>
                  <m:r>
                    <m:t xml:space="preserve">i</m:t>
                  </m:r>
                  <m:r>
                    <m:t xml:space="preserve">t</m:t>
                  </m:r>
                </m:sub>
              </m:sSub>
              <m:r>
                <m:rPr>
                  <m:sty m:val="p"/>
                </m:rPr>
                <m:t xml:space="preserve">=</m:t>
              </m:r>
              <m:sSub>
                <m:e>
                  <m:r>
                    <m:t xml:space="preserve">δ</m:t>
                  </m:r>
                </m:e>
                <m:sub>
                  <m:r>
                    <m:rPr>
                      <m:sty m:val="p"/>
                    </m:rPr>
                    <m:t xml:space="preserve">0</m:t>
                  </m:r>
                </m:sub>
              </m:sSub>
              <m:r>
                <m:rPr>
                  <m:sty m:val="p"/>
                </m:rPr>
                <m:t xml:space="preserve">+</m:t>
              </m:r>
              <m:sSub>
                <m:e>
                  <m:r>
                    <m:t xml:space="preserve">δ</m:t>
                  </m:r>
                </m:e>
                <m:sub>
                  <m:r>
                    <m:rPr>
                      <m:sty m:val="p"/>
                    </m:rPr>
                    <m:t xml:space="preserve">1</m:t>
                  </m:r>
                </m:sub>
              </m:sSub>
              <m:sSub>
                <m:e>
                  <m:r>
                    <m:t xml:space="preserve">GenAI</m:t>
                  </m:r>
                </m:e>
                <m:sub>
                  <m:r>
                    <m:t xml:space="preserve">i</m:t>
                  </m:r>
                  <m:r>
                    <m:t xml:space="preserve">t</m:t>
                  </m:r>
                </m:sub>
              </m:sSub>
              <m:r>
                <m:rPr>
                  <m:sty m:val="p"/>
                </m:rPr>
                <m:t xml:space="preserve">+</m:t>
              </m:r>
              <m:sSub>
                <m:e>
                  <m:r>
                    <m:t xml:space="preserve">δ</m:t>
                  </m:r>
                </m:e>
                <m:sub>
                  <m:r>
                    <m:rPr>
                      <m:sty m:val="p"/>
                    </m:rPr>
                    <m:t xml:space="preserve">2</m:t>
                  </m:r>
                </m:sub>
              </m:sSub>
              <m:sSub>
                <m:e>
                  <m:r>
                    <m:t xml:space="preserve">Med</m:t>
                  </m:r>
                </m:e>
                <m:sub>
                  <m:r>
                    <m:t xml:space="preserve">i</m:t>
                  </m:r>
                  <m:r>
                    <m:t xml:space="preserve">t</m:t>
                  </m:r>
                </m:sub>
              </m:sSub>
              <m:r>
                <m:rPr>
                  <m:sty m:val="p"/>
                </m:rPr>
                <m:t xml:space="preserve">+</m:t>
              </m:r>
              <m:nary>
                <m:naryPr>
                  <m:chr m:val="∑"/>
                  <m:limLoc m:val="subSup"/>
                  <m:supHide m:val="1"/>
                </m:naryPr>
                <m:sub>
                  <m:r>
                    <m:t xml:space="preserve">k</m:t>
                  </m:r>
                </m:sub>
                <m:sup/>
                <m:e>
                  <m:sSub>
                    <m:e>
                      <m:r>
                        <m:t xml:space="preserve">γ</m:t>
                      </m:r>
                    </m:e>
                    <m:sub>
                      <m:r>
                        <m:t xml:space="preserve">k</m:t>
                      </m:r>
                    </m:sub>
                  </m:sSub>
                  <m:sSub>
                    <m:e>
                      <m:r>
                        <m:t xml:space="preserve">Control</m:t>
                      </m:r>
                    </m:e>
                    <m:sub>
                      <m:r>
                        <m:t xml:space="preserve">k</m:t>
                      </m:r>
                      <m:r>
                        <m:t xml:space="preserve">,</m:t>
                      </m:r>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ξ</m:t>
                      </m:r>
                    </m:e>
                    <m:sub>
                      <m:r>
                        <m:t xml:space="preserve">i</m:t>
                      </m:r>
                      <m:r>
                        <m:t xml:space="preserve">t</m:t>
                      </m:r>
                    </m:sub>
                  </m:sSub>
                </m:e>
              </m:nary>
            </m:oMath>
          </w:p>
        </w:tc>
        <w:tc>
          <w:tcPr>
            <w:tcW w:type="dxa" w:w="431"/>
            <w:vAlign w:val="center"/>
          </w:tcPr>
          <w:p>
            <w:pPr>
              <w:pStyle w:val="MDPI3aequationnumber"/>
              <w:jc w:val="right"/>
            </w:pPr>
            <w:r>
              <w:t>(3)</w:t>
            </w:r>
          </w:p>
        </w:tc>
      </w:tr>
    </w:tbl>
    <w:p>
      <w:pPr>
        <w:pStyle w:val="MDPI31text"/>
      </w:pPr>
      <w:r>
        <w:rPr>
          <w:b w:val="0"/>
          <w:i w:val="0"/>
        </w:rPr>
        <w:t xml:space="preserve">where </w:t>
      </w:r>
      <m:oMath>
        <m:sSub>
          <m:e>
            <m:r>
              <m:t xml:space="preserve">Med</m:t>
            </m:r>
          </m:e>
          <m:sub>
            <m:r>
              <m:t xml:space="preserve">i</m:t>
            </m:r>
            <m:r>
              <m:t xml:space="preserve">t</m:t>
            </m:r>
          </m:sub>
        </m:sSub>
      </m:oMath>
      <w:r>
        <w:rPr>
          <w:b w:val="0"/>
          <w:i w:val="0"/>
        </w:rPr>
        <w:t xml:space="preserve"> is either </w:t>
      </w:r>
      <m:oMath>
        <m:sSub>
          <m:e>
            <m:r>
              <m:t xml:space="preserve">Train</m:t>
            </m:r>
          </m:e>
          <m:sub>
            <m:r>
              <m:t xml:space="preserve">i</m:t>
            </m:r>
            <m:r>
              <m:t xml:space="preserve">t</m:t>
            </m:r>
          </m:sub>
        </m:sSub>
      </m:oMath>
      <w:r>
        <w:rPr>
          <w:b w:val="0"/>
          <w:i w:val="0"/>
        </w:rPr>
        <w:t xml:space="preserve"> or </w:t>
      </w:r>
      <m:oMath>
        <m:sSub>
          <m:e>
            <m:r>
              <m:t xml:space="preserve">Routine</m:t>
            </m:r>
          </m:e>
          <m:sub>
            <m:r>
              <m:t xml:space="preserve">i</m:t>
            </m:r>
            <m:r>
              <m:t xml:space="preserve">t</m:t>
            </m:r>
          </m:sub>
        </m:sSub>
      </m:oMath>
      <w:r>
        <w:rPr>
          <w:b w:val="0"/>
          <w:i w:val="0"/>
        </w:rPr>
        <w:t xml:space="preserve">. Because the product </w:t>
      </w:r>
      <m:oMath>
        <m:sSub>
          <m:e>
            <m:r>
              <m:t xml:space="preserve">β</m:t>
            </m:r>
          </m:e>
          <m:sub>
            <m:r>
              <m:rPr>
                <m:sty m:val="p"/>
              </m:rPr>
              <m:t xml:space="preserve">1</m:t>
            </m:r>
          </m:sub>
        </m:sSub>
        <m:sSub>
          <m:e>
            <m:r>
              <m:t xml:space="preserve">δ</m:t>
            </m:r>
          </m:e>
          <m:sub>
            <m:r>
              <m:rPr>
                <m:sty m:val="p"/>
              </m:rPr>
              <m:t xml:space="preserve">2</m:t>
            </m:r>
          </m:sub>
        </m:sSub>
      </m:oMath>
      <w:r>
        <w:rPr>
          <w:b w:val="0"/>
          <w:i w:val="0"/>
        </w:rPr>
        <w:t xml:space="preserve"> is not normally distributed, its confidence interval is obtained from a bootstrap that resamples whole firms rather than individual observations, which preserves the within-firm dependence of the panel </w:t>
      </w:r>
      <w:r>
        <w:t>[</w:t>
      </w:r>
      <w:r>
        <w:fldChar w:fldCharType="begin"/>
      </w:r>
      <w:r>
        <w:instrText xml:space="preserve"> REF _Ref_83 \h </w:instrText>
      </w:r>
      <w:r>
        <w:fldChar w:fldCharType="separate"/>
      </w:r>
      <w:r>
        <w:t>83</w:t>
      </w:r>
      <w:r>
        <w:fldChar w:fldCharType="end"/>
      </w:r>
      <w:r>
        <w:t>]</w:t>
      </w:r>
      <w:r>
        <w:rPr>
          <w:b w:val="0"/>
          <w:i w:val="0"/>
        </w:rPr>
        <w:t>.</w:t>
      </w:r>
    </w:p>
    <w:p>
      <w:pPr>
        <w:pStyle w:val="MDPI31text"/>
      </w:pPr>
      <w:r>
        <w:rPr>
          <w:b w:val="0"/>
          <w:i w:val="0"/>
        </w:rPr>
        <w:t>The boundary conditions are tested by adding interactions between adoption and each standardized moderator:</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Youth</m:t>
                  </m:r>
                </m:e>
                <m:sub>
                  <m:r>
                    <m:t xml:space="preserve">i</m:t>
                  </m:r>
                  <m:r>
                    <m:t xml:space="preserve">t</m:t>
                  </m:r>
                </m:sub>
              </m:sSub>
              <m:r>
                <m:rPr>
                  <m:sty m:val="p"/>
                </m:rPr>
                <m:t xml:space="preserve">=</m:t>
              </m:r>
              <m:sSub>
                <m:e>
                  <m:r>
                    <m:t xml:space="preserve">θ</m:t>
                  </m:r>
                </m:e>
                <m:sub>
                  <m:r>
                    <m:rPr>
                      <m:sty m:val="p"/>
                    </m:rPr>
                    <m:t xml:space="preserve">0</m:t>
                  </m:r>
                </m:sub>
              </m:sSub>
              <m:r>
                <m:rPr>
                  <m:sty m:val="p"/>
                </m:rPr>
                <m:t xml:space="preserve">+</m:t>
              </m:r>
              <m:sSub>
                <m:e>
                  <m:r>
                    <m:t xml:space="preserve">θ</m:t>
                  </m:r>
                </m:e>
                <m:sub>
                  <m:r>
                    <m:rPr>
                      <m:sty m:val="p"/>
                    </m:rPr>
                    <m:t xml:space="preserve">1</m:t>
                  </m:r>
                </m:sub>
              </m:sSub>
              <m:sSub>
                <m:e>
                  <m:r>
                    <m:t xml:space="preserve">GenAI</m:t>
                  </m:r>
                </m:e>
                <m:sub>
                  <m:r>
                    <m:t xml:space="preserve">i</m:t>
                  </m:r>
                  <m:r>
                    <m:t xml:space="preserve">t</m:t>
                  </m:r>
                </m:sub>
              </m:sSub>
              <m:r>
                <m:rPr>
                  <m:sty m:val="p"/>
                </m:rPr>
                <m:t xml:space="preserve">+</m:t>
              </m:r>
              <m:sSub>
                <m:e>
                  <m:r>
                    <m:t xml:space="preserve">θ</m:t>
                  </m:r>
                </m:e>
                <m:sub>
                  <m:r>
                    <m:rPr>
                      <m:sty m:val="p"/>
                    </m:rPr>
                    <m:t xml:space="preserve">2</m:t>
                  </m:r>
                </m:sub>
              </m:sSub>
              <m:sSub>
                <m:e>
                  <m:r>
                    <m:t xml:space="preserve">GenAI</m:t>
                  </m:r>
                </m:e>
                <m:sub>
                  <m:r>
                    <m:t xml:space="preserve">i</m:t>
                  </m:r>
                  <m:r>
                    <m:t xml:space="preserve">t</m:t>
                  </m:r>
                </m:sub>
              </m:sSub>
              <m:r>
                <m:rPr>
                  <m:sty m:val="p"/>
                </m:rPr>
                <m:t xml:space="preserve">×</m:t>
              </m:r>
              <m:r>
                <m:t xml:space="preserve"> </m:t>
              </m:r>
              <m:sSub>
                <m:e>
                  <m:r>
                    <m:t xml:space="preserve">Absorp</m:t>
                  </m:r>
                </m:e>
                <m:sub>
                  <m:r>
                    <m:t xml:space="preserve">i</m:t>
                  </m:r>
                  <m:r>
                    <m:t xml:space="preserve">t</m:t>
                  </m:r>
                </m:sub>
              </m:sSub>
              <m:r>
                <m:rPr>
                  <m:sty m:val="p"/>
                </m:rPr>
                <m:t xml:space="preserve">+</m:t>
              </m:r>
              <m:sSub>
                <m:e>
                  <m:r>
                    <m:t xml:space="preserve">θ</m:t>
                  </m:r>
                </m:e>
                <m:sub>
                  <m:r>
                    <m:rPr>
                      <m:sty m:val="p"/>
                    </m:rPr>
                    <m:t xml:space="preserve">3</m:t>
                  </m:r>
                </m:sub>
              </m:sSub>
              <m:sSub>
                <m:e>
                  <m:r>
                    <m:t xml:space="preserve">GenAI</m:t>
                  </m:r>
                </m:e>
                <m:sub>
                  <m:r>
                    <m:t xml:space="preserve">i</m:t>
                  </m:r>
                  <m:r>
                    <m:t xml:space="preserve">t</m:t>
                  </m:r>
                </m:sub>
              </m:sSub>
              <m:r>
                <m:rPr>
                  <m:sty m:val="p"/>
                </m:rPr>
                <m:t xml:space="preserve">×</m:t>
              </m:r>
              <m:r>
                <m:t xml:space="preserve"> </m:t>
              </m:r>
              <m:sSub>
                <m:e>
                  <m:r>
                    <m:t xml:space="preserve">Wage</m:t>
                  </m:r>
                </m:e>
                <m:sub>
                  <m:r>
                    <m:t xml:space="preserve">i</m:t>
                  </m:r>
                  <m:r>
                    <m:t xml:space="preserve">t</m:t>
                  </m:r>
                </m:sub>
              </m:sSub>
              <m:r>
                <m:rPr>
                  <m:sty m:val="p"/>
                </m:rPr>
                <m:t xml:space="preserve">+</m:t>
              </m:r>
              <m:nary>
                <m:naryPr>
                  <m:chr m:val="∑"/>
                  <m:limLoc m:val="subSup"/>
                  <m:supHide m:val="1"/>
                </m:naryPr>
                <m:sub>
                  <m:r>
                    <m:t xml:space="preserve">k</m:t>
                  </m:r>
                </m:sub>
                <m:sup/>
                <m:e>
                  <m:sSub>
                    <m:e>
                      <m:r>
                        <m:t xml:space="preserve">γ</m:t>
                      </m:r>
                    </m:e>
                    <m:sub>
                      <m:r>
                        <m:t xml:space="preserve">k</m:t>
                      </m:r>
                    </m:sub>
                  </m:sSub>
                  <m:sSub>
                    <m:e>
                      <m:r>
                        <m:t xml:space="preserve">Control</m:t>
                      </m:r>
                    </m:e>
                    <m:sub>
                      <m:r>
                        <m:t xml:space="preserve">k</m:t>
                      </m:r>
                      <m:r>
                        <m:t xml:space="preserve">,</m:t>
                      </m:r>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ν</m:t>
                      </m:r>
                    </m:e>
                    <m:sub>
                      <m:r>
                        <m:t xml:space="preserve">i</m:t>
                      </m:r>
                      <m:r>
                        <m:t xml:space="preserve">t</m:t>
                      </m:r>
                    </m:sub>
                  </m:sSub>
                </m:e>
              </m:nary>
            </m:oMath>
          </w:p>
        </w:tc>
        <w:tc>
          <w:tcPr>
            <w:tcW w:type="dxa" w:w="431"/>
            <w:vAlign w:val="center"/>
          </w:tcPr>
          <w:p>
            <w:pPr>
              <w:pStyle w:val="MDPI3aequationnumber"/>
              <w:jc w:val="right"/>
            </w:pPr>
            <w:r>
              <w:t>(4)</w:t>
            </w:r>
          </w:p>
        </w:tc>
      </w:tr>
    </w:tbl>
    <w:p>
      <w:pPr>
        <w:pStyle w:val="MDPI31text"/>
      </w:pPr>
      <w:r>
        <w:rPr>
          <w:b w:val="0"/>
          <w:i w:val="0"/>
        </w:rPr>
        <w:t xml:space="preserve">H4a predicts </w:t>
      </w:r>
      <m:oMath>
        <m:sSub>
          <m:e>
            <m:r>
              <m:t xml:space="preserve">θ</m:t>
            </m:r>
          </m:e>
          <m:sub>
            <m:r>
              <m:rPr>
                <m:sty m:val="p"/>
              </m:rPr>
              <m:t xml:space="preserve">2</m:t>
            </m:r>
          </m:sub>
        </m:sSub>
        <m:r>
          <m:rPr>
            <m:sty m:val="p"/>
          </m:rPr>
          <m:t xml:space="preserve">&gt;</m:t>
        </m:r>
        <m:r>
          <m:rPr>
            <m:sty m:val="p"/>
          </m:rPr>
          <m:t xml:space="preserve">0</m:t>
        </m:r>
      </m:oMath>
      <w:r>
        <w:rPr>
          <w:b w:val="0"/>
          <w:i w:val="0"/>
        </w:rPr>
        <w:t xml:space="preserve"> and H4b predicts </w:t>
      </w:r>
      <m:oMath>
        <m:sSub>
          <m:e>
            <m:r>
              <m:t xml:space="preserve">θ</m:t>
            </m:r>
          </m:e>
          <m:sub>
            <m:r>
              <m:rPr>
                <m:sty m:val="p"/>
              </m:rPr>
              <m:t xml:space="preserve">3</m:t>
            </m:r>
          </m:sub>
        </m:sSub>
        <m:r>
          <m:rPr>
            <m:sty m:val="p"/>
          </m:rPr>
          <m:t xml:space="preserve">&lt;</m:t>
        </m:r>
        <m:r>
          <m:rPr>
            <m:sty m:val="p"/>
          </m:rPr>
          <m:t xml:space="preserve">0</m:t>
        </m:r>
      </m:oMath>
      <w:r>
        <w:rPr>
          <w:b w:val="0"/>
          <w:i w:val="0"/>
        </w:rPr>
        <w:t>. The levels of the two moderators are absorbed by the firm effects to the extent that they are persistent, and their within-firm variation is retained in the control set.</w:t>
      </w:r>
    </w:p>
    <w:p>
      <w:pPr>
        <w:pStyle w:val="MDPI31text"/>
      </w:pPr>
      <w:r>
        <w:rPr>
          <w:b w:val="0"/>
          <w:i w:val="0"/>
        </w:rPr>
        <w:t>Adoption is a choice, so Equation (1) may confound the effect of adoption with the characteristics that led the firm to adopt. Two excluded instruments are used. The first is the number of fixed-line telephones per hundred residents in the firm’s prefecture in 1984, interacted with the national generative-AI diffusion index, an application of the historical-infrastructure design widely used in the Chinese digital-economy literature; historical telecommunications density predicts the cost of adopting information technology today but has no direct bearing on a listed firm’s current age structure once firm and year effects are absorbed. The second is the mean adoption intensity of firms in the same industry located outside the firm’s own province, which captures industry-wide technological opportunity while excluding local labor market conditions. The first-stage equation is</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GenAI</m:t>
                  </m:r>
                </m:e>
                <m:sub>
                  <m:r>
                    <m:t xml:space="preserve">i</m:t>
                  </m:r>
                  <m:r>
                    <m:t xml:space="preserve">t</m:t>
                  </m:r>
                </m:sub>
              </m:sSub>
              <m:r>
                <m:rPr>
                  <m:sty m:val="p"/>
                </m:rPr>
                <m:t xml:space="preserve">=</m:t>
              </m:r>
              <m:sSub>
                <m:e>
                  <m:r>
                    <m:t xml:space="preserve">π</m:t>
                  </m:r>
                </m:e>
                <m:sub>
                  <m:r>
                    <m:rPr>
                      <m:sty m:val="p"/>
                    </m:rPr>
                    <m:t xml:space="preserve">0</m:t>
                  </m:r>
                </m:sub>
              </m:sSub>
              <m:r>
                <m:rPr>
                  <m:sty m:val="p"/>
                </m:rPr>
                <m:t xml:space="preserve">+</m:t>
              </m:r>
              <m:sSub>
                <m:e>
                  <m:r>
                    <m:t xml:space="preserve">π</m:t>
                  </m:r>
                </m:e>
                <m:sub>
                  <m:r>
                    <m:rPr>
                      <m:sty m:val="p"/>
                    </m:rPr>
                    <m:t xml:space="preserve">1</m:t>
                  </m:r>
                </m:sub>
              </m:sSub>
              <m:sSubSup>
                <m:e>
                  <m:r>
                    <m:t xml:space="preserve">IV</m:t>
                  </m:r>
                </m:e>
                <m:sub>
                  <m:r>
                    <m:t xml:space="preserve">i</m:t>
                  </m:r>
                  <m:r>
                    <m:t xml:space="preserve">t</m:t>
                  </m:r>
                </m:sub>
                <m:sup>
                  <m:r>
                    <m:t xml:space="preserve">h</m:t>
                  </m:r>
                  <m:r>
                    <m:t xml:space="preserve">i</m:t>
                  </m:r>
                  <m:r>
                    <m:t xml:space="preserve">s</m:t>
                  </m:r>
                  <m:r>
                    <m:t xml:space="preserve">t</m:t>
                  </m:r>
                </m:sup>
              </m:sSubSup>
              <m:r>
                <m:rPr>
                  <m:sty m:val="p"/>
                </m:rPr>
                <m:t xml:space="preserve">+</m:t>
              </m:r>
              <m:sSub>
                <m:e>
                  <m:r>
                    <m:t xml:space="preserve">π</m:t>
                  </m:r>
                </m:e>
                <m:sub>
                  <m:r>
                    <m:rPr>
                      <m:sty m:val="p"/>
                    </m:rPr>
                    <m:t xml:space="preserve">2</m:t>
                  </m:r>
                </m:sub>
              </m:sSub>
              <m:sSubSup>
                <m:e>
                  <m:r>
                    <m:t xml:space="preserve">IV</m:t>
                  </m:r>
                </m:e>
                <m:sub>
                  <m:r>
                    <m:t xml:space="preserve">i</m:t>
                  </m:r>
                  <m:r>
                    <m:t xml:space="preserve">t</m:t>
                  </m:r>
                </m:sub>
                <m:sup>
                  <m:r>
                    <m:t xml:space="preserve">p</m:t>
                  </m:r>
                  <m:r>
                    <m:t xml:space="preserve">e</m:t>
                  </m:r>
                  <m:r>
                    <m:t xml:space="preserve">e</m:t>
                  </m:r>
                  <m:r>
                    <m:t xml:space="preserve">r</m:t>
                  </m:r>
                </m:sup>
              </m:sSubSup>
              <m:r>
                <m:rPr>
                  <m:sty m:val="p"/>
                </m:rPr>
                <m:t xml:space="preserve">+</m:t>
              </m:r>
              <m:nary>
                <m:naryPr>
                  <m:chr m:val="∑"/>
                  <m:limLoc m:val="subSup"/>
                  <m:supHide m:val="1"/>
                </m:naryPr>
                <m:sub>
                  <m:r>
                    <m:t xml:space="preserve">k</m:t>
                  </m:r>
                </m:sub>
                <m:sup/>
                <m:e>
                  <m:sSub>
                    <m:e>
                      <m:r>
                        <m:t xml:space="preserve">γ</m:t>
                      </m:r>
                    </m:e>
                    <m:sub>
                      <m:r>
                        <m:t xml:space="preserve">k</m:t>
                      </m:r>
                    </m:sub>
                  </m:sSub>
                  <m:sSub>
                    <m:e>
                      <m:r>
                        <m:t xml:space="preserve">Control</m:t>
                      </m:r>
                    </m:e>
                    <m:sub>
                      <m:r>
                        <m:t xml:space="preserve">k</m:t>
                      </m:r>
                      <m:r>
                        <m:t xml:space="preserve">,</m:t>
                      </m:r>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ω</m:t>
                      </m:r>
                    </m:e>
                    <m:sub>
                      <m:r>
                        <m:t xml:space="preserve">i</m:t>
                      </m:r>
                      <m:r>
                        <m:t xml:space="preserve">t</m:t>
                      </m:r>
                    </m:sub>
                  </m:sSub>
                </m:e>
              </m:nary>
            </m:oMath>
          </w:p>
        </w:tc>
        <w:tc>
          <w:tcPr>
            <w:tcW w:type="dxa" w:w="431"/>
            <w:vAlign w:val="center"/>
          </w:tcPr>
          <w:p>
            <w:pPr>
              <w:pStyle w:val="MDPI3aequationnumber"/>
              <w:jc w:val="right"/>
            </w:pPr>
            <w:r>
              <w:t>(5)</w:t>
            </w:r>
          </w:p>
        </w:tc>
      </w:tr>
    </w:tbl>
    <w:p>
      <w:pPr>
        <w:pStyle w:val="MDPI31text"/>
      </w:pPr>
      <w:r>
        <w:rPr>
          <w:b w:val="0"/>
          <w:i w:val="0"/>
        </w:rPr>
        <w:t xml:space="preserve">and the design is overidentified, so the exclusion restriction can be assessed by the Hansen J statistic while instrument strength is assessed by the Kleibergen-Paap rank Wald statistic </w:t>
      </w:r>
      <w:r>
        <w:t>[</w:t>
      </w:r>
      <w:r>
        <w:fldChar w:fldCharType="begin"/>
      </w:r>
      <w:r>
        <w:instrText xml:space="preserve"> REF _Ref_84 \h </w:instrText>
      </w:r>
      <w:r>
        <w:fldChar w:fldCharType="separate"/>
      </w:r>
      <w:r>
        <w:t>84</w:t>
      </w:r>
      <w:r>
        <w:fldChar w:fldCharType="end"/>
      </w:r>
      <w:r>
        <w:t>,</w:t>
      </w:r>
      <w:r>
        <w:fldChar w:fldCharType="begin"/>
      </w:r>
      <w:r>
        <w:instrText xml:space="preserve"> REF _Ref_85 \h </w:instrText>
      </w:r>
      <w:r>
        <w:fldChar w:fldCharType="separate"/>
      </w:r>
      <w:r>
        <w:t>85</w:t>
      </w:r>
      <w:r>
        <w:fldChar w:fldCharType="end"/>
      </w:r>
      <w:r>
        <w:t>]</w:t>
      </w:r>
      <w:r>
        <w:rPr>
          <w:b w:val="0"/>
          <w:i w:val="0"/>
        </w:rPr>
        <w:t xml:space="preserve">. Because two-stage least squares can be fragile in exactly the settings in which it is most often applied, the instrumental-variable estimates are reported alongside, rather than in place of, the least-squares benchmark and two selection-on-observables designs </w:t>
      </w:r>
      <w:r>
        <w:t>[</w:t>
      </w:r>
      <w:r>
        <w:fldChar w:fldCharType="begin"/>
      </w:r>
      <w:r>
        <w:instrText xml:space="preserve"> REF _Ref_86 \h </w:instrText>
      </w:r>
      <w:r>
        <w:fldChar w:fldCharType="separate"/>
      </w:r>
      <w:r>
        <w:t>86</w:t>
      </w:r>
      <w:r>
        <w:fldChar w:fldCharType="end"/>
      </w:r>
      <w:r>
        <w:t>,</w:t>
      </w:r>
      <w:r>
        <w:fldChar w:fldCharType="begin"/>
      </w:r>
      <w:r>
        <w:instrText xml:space="preserve"> REF _Ref_87 \h </w:instrText>
      </w:r>
      <w:r>
        <w:fldChar w:fldCharType="separate"/>
      </w:r>
      <w:r>
        <w:t>87</w:t>
      </w:r>
      <w:r>
        <w:fldChar w:fldCharType="end"/>
      </w:r>
      <w:r>
        <w:t>]</w:t>
      </w:r>
      <w:r>
        <w:rPr>
          <w:b w:val="0"/>
          <w:i w:val="0"/>
        </w:rPr>
        <w:t>.</w:t>
      </w:r>
    </w:p>
    <w:p>
      <w:pPr>
        <w:pStyle w:val="MDPI22heading2"/>
      </w:pPr>
      <w:r>
        <w:t>3.4. Estimating the Feedback System</w:t>
      </w:r>
    </w:p>
    <w:p>
      <w:pPr>
        <w:pStyle w:val="MDPI32textnoindent"/>
      </w:pPr>
      <w:r>
        <w:rPr>
          <w:b w:val="0"/>
          <w:i w:val="0"/>
        </w:rPr>
        <w:t xml:space="preserve">H5 concerns a structure that no single equation can represent, because each of its three variables is simultaneously an outcome and a driver. The system is therefore estimated as a panel vector autoregression </w:t>
      </w:r>
      <w:r>
        <w:t>[</w:t>
      </w:r>
      <w:r>
        <w:fldChar w:fldCharType="begin"/>
      </w:r>
      <w:r>
        <w:instrText xml:space="preserve"> REF _Ref_73 \h </w:instrText>
      </w:r>
      <w:r>
        <w:fldChar w:fldCharType="separate"/>
      </w:r>
      <w:r>
        <w:t>73</w:t>
      </w:r>
      <w:r>
        <w:fldChar w:fldCharType="end"/>
      </w:r>
      <w:r>
        <w:t>,</w:t>
      </w:r>
      <w:r>
        <w:fldChar w:fldCharType="begin"/>
      </w:r>
      <w:r>
        <w:instrText xml:space="preserve"> REF _Ref_88 \h </w:instrText>
      </w:r>
      <w:r>
        <w:fldChar w:fldCharType="separate"/>
      </w:r>
      <w:r>
        <w:t>88</w:t>
      </w:r>
      <w:r>
        <w:fldChar w:fldCharType="end"/>
      </w:r>
      <w:r>
        <w:t>,</w:t>
      </w:r>
      <w:r>
        <w:fldChar w:fldCharType="begin"/>
      </w:r>
      <w:r>
        <w:instrText xml:space="preserve"> REF _Ref_89 \h </w:instrText>
      </w:r>
      <w:r>
        <w:fldChar w:fldCharType="separate"/>
      </w:r>
      <w:r>
        <w:t>89</w:t>
      </w:r>
      <w:r>
        <w:fldChar w:fldCharType="end"/>
      </w:r>
      <w:r>
        <w:t>]</w:t>
      </w:r>
      <w:r>
        <w:rPr>
          <w:b w:val="0"/>
          <w:i w:val="0"/>
        </w:rPr>
        <w:t xml:space="preserve">. Let </w:t>
      </w:r>
      <m:oMath>
        <m:sSub>
          <m:e>
            <m:r>
              <m:t xml:space="preserve">z</m:t>
            </m:r>
          </m:e>
          <m:sub>
            <m:r>
              <m:t xml:space="preserve">i</m:t>
            </m:r>
            <m:r>
              <m:t xml:space="preserve">t</m:t>
            </m:r>
          </m:sub>
        </m:sSub>
        <m:r>
          <m:rPr>
            <m:sty m:val="p"/>
          </m:rPr>
          <m:t xml:space="preserve">=</m:t>
        </m:r>
        <m:r>
          <m:rPr>
            <m:sty m:val="p"/>
          </m:rPr>
          <m:t xml:space="preserve">(</m:t>
        </m:r>
        <m:sSub>
          <m:e>
            <m:r>
              <m:t xml:space="preserve">GenAI</m:t>
            </m:r>
          </m:e>
          <m:sub>
            <m:r>
              <m:t xml:space="preserve">i</m:t>
            </m:r>
            <m:r>
              <m:t xml:space="preserve">t</m:t>
            </m:r>
          </m:sub>
        </m:sSub>
        <m:r>
          <m:t xml:space="preserve">,</m:t>
        </m:r>
        <m:sSub>
          <m:e>
            <m:r>
              <m:t xml:space="preserve">Train</m:t>
            </m:r>
          </m:e>
          <m:sub>
            <m:r>
              <m:t xml:space="preserve">i</m:t>
            </m:r>
            <m:r>
              <m:t xml:space="preserve">t</m:t>
            </m:r>
          </m:sub>
        </m:sSub>
        <m:r>
          <m:t xml:space="preserve">,</m:t>
        </m:r>
        <m:sSub>
          <m:e>
            <m:r>
              <m:t xml:space="preserve">Youth</m:t>
            </m:r>
          </m:e>
          <m:sub>
            <m:r>
              <m:t xml:space="preserve">i</m:t>
            </m:r>
            <m:r>
              <m:t xml:space="preserve">t</m:t>
            </m:r>
          </m:sub>
        </m:sSub>
        <m:r>
          <m:rPr>
            <m:sty m:val="p"/>
          </m:rPr>
          <m:t xml:space="preserve">)</m:t>
        </m:r>
        <m:r>
          <m:t xml:space="preserve">'</m:t>
        </m:r>
      </m:oMath>
      <w:r>
        <w:rPr>
          <w:b w:val="0"/>
          <w:i w:val="0"/>
        </w:rPr>
        <w:t>. The system is</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sSub>
                <m:e>
                  <m:r>
                    <m:t xml:space="preserve">z</m:t>
                  </m:r>
                </m:e>
                <m:sub>
                  <m:r>
                    <m:t xml:space="preserve">i</m:t>
                  </m:r>
                  <m:r>
                    <m:t xml:space="preserve">t</m:t>
                  </m:r>
                </m:sub>
              </m:sSub>
              <m:r>
                <m:rPr>
                  <m:sty m:val="p"/>
                </m:rPr>
                <m:t xml:space="preserve">=</m:t>
              </m:r>
              <m:r>
                <m:t xml:space="preserve">A</m:t>
              </m:r>
              <m:r>
                <m:t xml:space="preserve"> </m:t>
              </m:r>
              <m:sSub>
                <m:e>
                  <m:r>
                    <m:t xml:space="preserve">z</m:t>
                  </m:r>
                </m:e>
                <m:sub>
                  <m:r>
                    <m:t xml:space="preserve">i</m:t>
                  </m:r>
                  <m:r>
                    <m:t xml:space="preserve">,</m:t>
                  </m:r>
                  <m:r>
                    <m:t xml:space="preserve">t</m:t>
                  </m:r>
                  <m:r>
                    <m:rPr>
                      <m:sty m:val="p"/>
                    </m:rPr>
                    <m:t xml:space="preserve">-</m:t>
                  </m:r>
                  <m:r>
                    <m:rPr>
                      <m:sty m:val="p"/>
                    </m:rPr>
                    <m:t xml:space="preserve">1</m:t>
                  </m:r>
                </m:sub>
              </m:sSub>
              <m:r>
                <m:rPr>
                  <m:sty m:val="p"/>
                </m:rPr>
                <m:t xml:space="preserve">+</m:t>
              </m:r>
              <m:sSub>
                <m:e>
                  <m:r>
                    <m:t xml:space="preserve">f</m:t>
                  </m:r>
                </m:e>
                <m:sub>
                  <m:r>
                    <m:t xml:space="preserve">i</m:t>
                  </m:r>
                </m:sub>
              </m:sSub>
              <m:r>
                <m:rPr>
                  <m:sty m:val="p"/>
                </m:rPr>
                <m:t xml:space="preserve">+</m:t>
              </m:r>
              <m:sSub>
                <m:e>
                  <m:r>
                    <m:t xml:space="preserve">d</m:t>
                  </m:r>
                </m:e>
                <m:sub>
                  <m:r>
                    <m:t xml:space="preserve">t</m:t>
                  </m:r>
                </m:sub>
              </m:sSub>
              <m:r>
                <m:rPr>
                  <m:sty m:val="p"/>
                </m:rPr>
                <m:t xml:space="preserve">+</m:t>
              </m:r>
              <m:sSub>
                <m:e>
                  <m:r>
                    <m:t xml:space="preserve">u</m:t>
                  </m:r>
                </m:e>
                <m:sub>
                  <m:r>
                    <m:t xml:space="preserve">i</m:t>
                  </m:r>
                  <m:r>
                    <m:t xml:space="preserve">t</m:t>
                  </m:r>
                </m:sub>
              </m:sSub>
            </m:oMath>
          </w:p>
        </w:tc>
        <w:tc>
          <w:tcPr>
            <w:tcW w:type="dxa" w:w="431"/>
            <w:vAlign w:val="center"/>
          </w:tcPr>
          <w:p>
            <w:pPr>
              <w:pStyle w:val="MDPI3aequationnumber"/>
              <w:jc w:val="right"/>
            </w:pPr>
            <w:r>
              <w:t>(6)</w:t>
            </w:r>
          </w:p>
        </w:tc>
      </w:tr>
    </w:tbl>
    <w:p>
      <w:pPr>
        <w:pStyle w:val="MDPI31text"/>
      </w:pPr>
      <w:r>
        <w:rPr>
          <w:b w:val="0"/>
          <w:i w:val="0"/>
        </w:rPr>
        <w:t xml:space="preserve">where </w:t>
      </w:r>
      <m:oMath>
        <m:r>
          <m:t xml:space="preserve">A</m:t>
        </m:r>
      </m:oMath>
      <w:r>
        <w:rPr>
          <w:b w:val="0"/>
          <w:i w:val="0"/>
        </w:rPr>
        <w:t xml:space="preserve"> is the matrix of dynamic coefficients, </w:t>
      </w:r>
      <m:oMath>
        <m:sSub>
          <m:e>
            <m:r>
              <m:t xml:space="preserve">f</m:t>
            </m:r>
          </m:e>
          <m:sub>
            <m:r>
              <m:t xml:space="preserve">i</m:t>
            </m:r>
          </m:sub>
        </m:sSub>
      </m:oMath>
      <w:r>
        <w:rPr>
          <w:b w:val="0"/>
          <w:i w:val="0"/>
        </w:rPr>
        <w:t xml:space="preserve"> collects unit effects and </w:t>
      </w:r>
      <m:oMath>
        <m:sSub>
          <m:e>
            <m:r>
              <m:t xml:space="preserve">d</m:t>
            </m:r>
          </m:e>
          <m:sub>
            <m:r>
              <m:t xml:space="preserve">t</m:t>
            </m:r>
          </m:sub>
        </m:sSub>
      </m:oMath>
      <w:r>
        <w:rPr>
          <w:b w:val="0"/>
          <w:i w:val="0"/>
        </w:rPr>
        <w:t xml:space="preserve"> common time effects. Common time effects are removed first by cross-sectional demeaning within each year, so the estimated dynamics are those of firm-level departures from the aggregate diffusion path; unit effects are then removed by the within transformation. Because the within transformation of a dynamic panel induces the bias described by Ref. </w:t>
      </w:r>
      <w:r>
        <w:t>[</w:t>
      </w:r>
      <w:r>
        <w:fldChar w:fldCharType="begin"/>
      </w:r>
      <w:r>
        <w:instrText xml:space="preserve"> REF _Ref_90 \h </w:instrText>
      </w:r>
      <w:r>
        <w:fldChar w:fldCharType="separate"/>
      </w:r>
      <w:r>
        <w:t>90</w:t>
      </w:r>
      <w:r>
        <w:fldChar w:fldCharType="end"/>
      </w:r>
      <w:r>
        <w:t>]</w:t>
      </w:r>
      <w:r>
        <w:rPr>
          <w:b w:val="0"/>
          <w:i w:val="0"/>
        </w:rPr>
        <w:t xml:space="preserve">, and because the lagged-level instruments of the difference and system generalized method of moments estimators are weak when the series are as persistent as adoption is here </w:t>
      </w:r>
      <w:r>
        <w:t>[</w:t>
      </w:r>
      <w:r>
        <w:fldChar w:fldCharType="begin"/>
      </w:r>
      <w:r>
        <w:instrText xml:space="preserve"> REF _Ref_91 \h </w:instrText>
      </w:r>
      <w:r>
        <w:fldChar w:fldCharType="separate"/>
      </w:r>
      <w:r>
        <w:t>91</w:t>
      </w:r>
      <w:r>
        <w:fldChar w:fldCharType="end"/>
      </w:r>
      <w:r>
        <w:t>–</w:t>
      </w:r>
      <w:r>
        <w:fldChar w:fldCharType="begin"/>
      </w:r>
      <w:r>
        <w:instrText xml:space="preserve"> REF _Ref_93 \h </w:instrText>
      </w:r>
      <w:r>
        <w:fldChar w:fldCharType="separate"/>
      </w:r>
      <w:r>
        <w:t>93</w:t>
      </w:r>
      <w:r>
        <w:fldChar w:fldCharType="end"/>
      </w:r>
      <w:r>
        <w:t>]</w:t>
      </w:r>
      <w:r>
        <w:rPr>
          <w:b w:val="0"/>
          <w:i w:val="0"/>
        </w:rPr>
        <w:t xml:space="preserve">, the leading term of the bias is removed by the half-panel jackknife of Chudik, Pesaran and Yang </w:t>
      </w:r>
      <w:r>
        <w:t>[</w:t>
      </w:r>
      <w:r>
        <w:fldChar w:fldCharType="begin"/>
      </w:r>
      <w:r>
        <w:instrText xml:space="preserve"> REF _Ref_94 \h </w:instrText>
      </w:r>
      <w:r>
        <w:fldChar w:fldCharType="separate"/>
      </w:r>
      <w:r>
        <w:t>94</w:t>
      </w:r>
      <w:r>
        <w:fldChar w:fldCharType="end"/>
      </w:r>
      <w:r>
        <w:t>]</w:t>
      </w:r>
      <w:r>
        <w:rPr>
          <w:b w:val="0"/>
          <w:i w:val="0"/>
        </w:rPr>
        <w:t>,</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sSub>
                <m:e>
                  <m:acc>
                    <m:accPr>
                      <m:chr m:val="^"/>
                    </m:accPr>
                    <m:e>
                      <m:r>
                        <m:t xml:space="preserve">A</m:t>
                      </m:r>
                    </m:e>
                  </m:acc>
                </m:e>
                <m:sub>
                  <m:r>
                    <m:t xml:space="preserve">H</m:t>
                  </m:r>
                  <m:r>
                    <m:t xml:space="preserve">P</m:t>
                  </m:r>
                  <m:r>
                    <m:t xml:space="preserve">J</m:t>
                  </m:r>
                </m:sub>
              </m:sSub>
              <m:r>
                <m:rPr>
                  <m:sty m:val="p"/>
                </m:rPr>
                <m:t xml:space="preserve">=</m:t>
              </m:r>
              <m:r>
                <m:rPr>
                  <m:sty m:val="p"/>
                </m:rPr>
                <m:t xml:space="preserve">2</m:t>
              </m:r>
              <m:acc>
                <m:accPr>
                  <m:chr m:val="^"/>
                </m:accPr>
                <m:e>
                  <m:r>
                    <m:t xml:space="preserve">A</m:t>
                  </m:r>
                </m:e>
              </m:acc>
              <m:r>
                <m:rPr>
                  <m:sty m:val="p"/>
                </m:rPr>
                <m:t xml:space="preserve">-</m:t>
              </m:r>
              <m:f>
                <m:num>
                  <m:r>
                    <m:rPr>
                      <m:sty m:val="p"/>
                    </m:rPr>
                    <m:t xml:space="preserve">1</m:t>
                  </m:r>
                </m:num>
                <m:den>
                  <m:r>
                    <m:rPr>
                      <m:sty m:val="p"/>
                    </m:rPr>
                    <m:t xml:space="preserve">2</m:t>
                  </m:r>
                </m:den>
              </m:f>
              <m:d>
                <m:dPr>
                  <m:begChr m:val="("/>
                  <m:endChr m:val=")"/>
                </m:dPr>
                <m:e>
                  <m:sSub>
                    <m:e>
                      <m:acc>
                        <m:accPr>
                          <m:chr m:val="^"/>
                        </m:accPr>
                        <m:e>
                          <m:r>
                            <m:t xml:space="preserve">A</m:t>
                          </m:r>
                        </m:e>
                      </m:acc>
                    </m:e>
                    <m:sub>
                      <m:r>
                        <m:rPr>
                          <m:sty m:val="p"/>
                        </m:rPr>
                        <m:t xml:space="preserve">(</m:t>
                      </m:r>
                      <m:r>
                        <m:rPr>
                          <m:sty m:val="p"/>
                        </m:rPr>
                        <m:t xml:space="preserve">1</m:t>
                      </m:r>
                      <m:r>
                        <m:rPr>
                          <m:sty m:val="p"/>
                        </m:rPr>
                        <m:t xml:space="preserve">)</m:t>
                      </m:r>
                    </m:sub>
                  </m:sSub>
                  <m:r>
                    <m:rPr>
                      <m:sty m:val="p"/>
                    </m:rPr>
                    <m:t xml:space="preserve">+</m:t>
                  </m:r>
                  <m:sSub>
                    <m:e>
                      <m:acc>
                        <m:accPr>
                          <m:chr m:val="^"/>
                        </m:accPr>
                        <m:e>
                          <m:r>
                            <m:t xml:space="preserve">A</m:t>
                          </m:r>
                        </m:e>
                      </m:acc>
                    </m:e>
                    <m:sub>
                      <m:r>
                        <m:rPr>
                          <m:sty m:val="p"/>
                        </m:rPr>
                        <m:t xml:space="preserve">(</m:t>
                      </m:r>
                      <m:r>
                        <m:rPr>
                          <m:sty m:val="p"/>
                        </m:rPr>
                        <m:t xml:space="preserve">2</m:t>
                      </m:r>
                      <m:r>
                        <m:rPr>
                          <m:sty m:val="p"/>
                        </m:rPr>
                        <m:t xml:space="preserve">)</m:t>
                      </m:r>
                    </m:sub>
                  </m:sSub>
                </m:e>
              </m:d>
            </m:oMath>
          </w:p>
        </w:tc>
        <w:tc>
          <w:tcPr>
            <w:tcW w:type="dxa" w:w="431"/>
            <w:vAlign w:val="center"/>
          </w:tcPr>
          <w:p>
            <w:pPr>
              <w:pStyle w:val="MDPI3aequationnumber"/>
              <w:jc w:val="right"/>
            </w:pPr>
            <w:r>
              <w:t>(7)</w:t>
            </w:r>
          </w:p>
        </w:tc>
      </w:tr>
    </w:tbl>
    <w:p>
      <w:pPr>
        <w:pStyle w:val="MDPI31text"/>
      </w:pPr>
      <w:r>
        <w:rPr>
          <w:b w:val="0"/>
          <w:i w:val="0"/>
        </w:rPr>
        <w:t xml:space="preserve">where </w:t>
      </w:r>
      <m:oMath>
        <m:sSub>
          <m:e>
            <m:acc>
              <m:accPr>
                <m:chr m:val="^"/>
              </m:accPr>
              <m:e>
                <m:r>
                  <m:t xml:space="preserve">A</m:t>
                </m:r>
              </m:e>
            </m:acc>
          </m:e>
          <m:sub>
            <m:r>
              <m:rPr>
                <m:sty m:val="p"/>
              </m:rPr>
              <m:t xml:space="preserve">(</m:t>
            </m:r>
            <m:r>
              <m:rPr>
                <m:sty m:val="p"/>
              </m:rPr>
              <m:t xml:space="preserve">1</m:t>
            </m:r>
            <m:r>
              <m:rPr>
                <m:sty m:val="p"/>
              </m:rPr>
              <m:t xml:space="preserve">)</m:t>
            </m:r>
          </m:sub>
        </m:sSub>
      </m:oMath>
      <w:r>
        <w:rPr>
          <w:b w:val="0"/>
          <w:i w:val="0"/>
        </w:rPr>
        <w:t xml:space="preserve"> and </w:t>
      </w:r>
      <m:oMath>
        <m:sSub>
          <m:e>
            <m:acc>
              <m:accPr>
                <m:chr m:val="^"/>
              </m:accPr>
              <m:e>
                <m:r>
                  <m:t xml:space="preserve">A</m:t>
                </m:r>
              </m:e>
            </m:acc>
          </m:e>
          <m:sub>
            <m:r>
              <m:rPr>
                <m:sty m:val="p"/>
              </m:rPr>
              <m:t xml:space="preserve">(</m:t>
            </m:r>
            <m:r>
              <m:rPr>
                <m:sty m:val="p"/>
              </m:rPr>
              <m:t xml:space="preserve">2</m:t>
            </m:r>
            <m:r>
              <m:rPr>
                <m:sty m:val="p"/>
              </m:rPr>
              <m:t xml:space="preserve">)</m:t>
            </m:r>
          </m:sub>
        </m:sSub>
      </m:oMath>
      <w:r>
        <w:rPr>
          <w:b w:val="0"/>
          <w:i w:val="0"/>
        </w:rPr>
        <w:t xml:space="preserve"> are estimated on the first and second halves of each firm’s series. Inference is by a bootstrap that resamples whole firms. Stability requires that every eigenvalue of </w:t>
      </w:r>
      <m:oMath>
        <m:r>
          <m:t xml:space="preserve">A</m:t>
        </m:r>
      </m:oMath>
      <w:r>
        <w:rPr>
          <w:b w:val="0"/>
          <w:i w:val="0"/>
        </w:rPr>
        <w:t xml:space="preserve"> lie inside the unit circle; the loop then amplifies without exploding. Impulse responses are orthogonalized by a Cholesky factorization </w:t>
      </w:r>
      <m:oMath>
        <m:r>
          <m:t xml:space="preserve">Σ</m:t>
        </m:r>
        <m:r>
          <m:rPr>
            <m:sty m:val="p"/>
          </m:rPr>
          <m:t xml:space="preserve">=</m:t>
        </m:r>
        <m:r>
          <m:t xml:space="preserve">PP</m:t>
        </m:r>
        <m:r>
          <m:t xml:space="preserve">'</m:t>
        </m:r>
      </m:oMath>
      <w:r>
        <w:rPr>
          <w:b w:val="0"/>
          <w:i w:val="0"/>
        </w:rPr>
        <w:t xml:space="preserve"> with the variables ordered as written above, so adoption may move training and the youth share within the year while the reverse requires a lag, and the response at horizon </w:t>
      </w:r>
      <m:oMath>
        <m:r>
          <m:t xml:space="preserve">h</m:t>
        </m:r>
      </m:oMath>
      <w:r>
        <w:rPr>
          <w:b w:val="0"/>
          <w:i w:val="0"/>
        </w:rPr>
        <w:t xml:space="preserve"> is</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sSub>
                <m:e>
                  <m:r>
                    <m:t xml:space="preserve">Ψ</m:t>
                  </m:r>
                </m:e>
                <m:sub>
                  <m:r>
                    <m:t xml:space="preserve">h</m:t>
                  </m:r>
                </m:sub>
              </m:sSub>
              <m:r>
                <m:rPr>
                  <m:sty m:val="p"/>
                </m:rPr>
                <m:t xml:space="preserve">=</m:t>
              </m:r>
              <m:sSup>
                <m:e>
                  <m:r>
                    <m:t xml:space="preserve">A</m:t>
                  </m:r>
                </m:e>
                <m:sup>
                  <m:r>
                    <m:t xml:space="preserve">h</m:t>
                  </m:r>
                </m:sup>
              </m:sSup>
              <m:r>
                <m:t xml:space="preserve">P</m:t>
              </m:r>
            </m:oMath>
          </w:p>
        </w:tc>
        <w:tc>
          <w:tcPr>
            <w:tcW w:type="dxa" w:w="431"/>
            <w:vAlign w:val="center"/>
          </w:tcPr>
          <w:p>
            <w:pPr>
              <w:pStyle w:val="MDPI3aequationnumber"/>
              <w:jc w:val="right"/>
            </w:pPr>
            <w:r>
              <w:t>(8)</w:t>
            </w:r>
          </w:p>
        </w:tc>
      </w:tr>
    </w:tbl>
    <w:p>
      <w:pPr>
        <w:pStyle w:val="MDPI31text"/>
      </w:pPr>
      <w:r>
        <w:rPr>
          <w:b w:val="0"/>
          <w:i w:val="0"/>
        </w:rPr>
        <w:t xml:space="preserve">Finally, the contribution of the loop itself is isolated by constructing a counterfactual matrix </w:t>
      </w:r>
      <m:oMath>
        <m:sSup>
          <m:e>
            <m:r>
              <m:t xml:space="preserve">A</m:t>
            </m:r>
          </m:e>
          <m:sup>
            <m:r>
              <m:t xml:space="preserve">o</m:t>
            </m:r>
          </m:sup>
        </m:sSup>
      </m:oMath>
      <w:r>
        <w:rPr>
          <w:b w:val="0"/>
          <w:i w:val="0"/>
        </w:rPr>
        <w:t xml:space="preserve"> that is identical to </w:t>
      </w:r>
      <m:oMath>
        <m:sSub>
          <m:e>
            <m:acc>
              <m:accPr>
                <m:chr m:val="^"/>
              </m:accPr>
              <m:e>
                <m:r>
                  <m:t xml:space="preserve">A</m:t>
                </m:r>
              </m:e>
            </m:acc>
          </m:e>
          <m:sub>
            <m:r>
              <m:t xml:space="preserve">H</m:t>
            </m:r>
            <m:r>
              <m:t xml:space="preserve">P</m:t>
            </m:r>
            <m:r>
              <m:t xml:space="preserve">J</m:t>
            </m:r>
          </m:sub>
        </m:sSub>
      </m:oMath>
      <w:r>
        <w:rPr>
          <w:b w:val="0"/>
          <w:i w:val="0"/>
        </w:rPr>
        <w:t xml:space="preserve"> except that the two return coefficients of the adoption equation are set to zero, and comparing the cumulative responses of the two systems. The ratio</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Λ</m:t>
                  </m:r>
                </m:e>
                <m:sub>
                  <m:r>
                    <m:t xml:space="preserve">H</m:t>
                  </m:r>
                </m:sub>
              </m:sSub>
              <m:r>
                <m:rPr>
                  <m:sty m:val="p"/>
                </m:rPr>
                <m:t xml:space="preserve">=</m:t>
              </m:r>
              <m:f>
                <m:num>
                  <m:nary>
                    <m:naryPr>
                      <m:chr m:val="∑"/>
                      <m:limLoc m:val="subSup"/>
                    </m:naryPr>
                    <m:sub>
                      <m:r>
                        <m:t xml:space="preserve">h</m:t>
                      </m:r>
                      <m:r>
                        <m:rPr>
                          <m:sty m:val="p"/>
                        </m:rPr>
                        <m:t xml:space="preserve">=</m:t>
                      </m:r>
                      <m:r>
                        <m:rPr>
                          <m:sty m:val="p"/>
                        </m:rPr>
                        <m:t xml:space="preserve">0</m:t>
                      </m:r>
                    </m:sub>
                    <m:sup>
                      <m:r>
                        <m:t xml:space="preserve">H</m:t>
                      </m:r>
                    </m:sup>
                    <m:e>
                      <m:sSubSup>
                        <m:e>
                          <m:r>
                            <m:t xml:space="preserve">Ψ</m:t>
                          </m:r>
                        </m:e>
                        <m:sub>
                          <m:r>
                            <m:t xml:space="preserve">h</m:t>
                          </m:r>
                        </m:sub>
                        <m:sup>
                          <m:r>
                            <m:rPr>
                              <m:sty m:val="p"/>
                            </m:rPr>
                            <m:t xml:space="preserve">(</m:t>
                          </m:r>
                          <m:r>
                            <m:t xml:space="preserve">Y</m:t>
                          </m:r>
                          <m:r>
                            <m:t xml:space="preserve">o</m:t>
                          </m:r>
                          <m:r>
                            <m:t xml:space="preserve">u</m:t>
                          </m:r>
                          <m:r>
                            <m:t xml:space="preserve">t</m:t>
                          </m:r>
                          <m:r>
                            <m:t xml:space="preserve">h</m:t>
                          </m:r>
                          <m:r>
                            <m:t xml:space="preserve">,</m:t>
                          </m:r>
                          <m:r>
                            <m:t xml:space="preserve">G</m:t>
                          </m:r>
                          <m:r>
                            <m:t xml:space="preserve">e</m:t>
                          </m:r>
                          <m:r>
                            <m:t xml:space="preserve">n</m:t>
                          </m:r>
                          <m:r>
                            <m:t xml:space="preserve">A</m:t>
                          </m:r>
                          <m:r>
                            <m:t xml:space="preserve">I</m:t>
                          </m:r>
                          <m:r>
                            <m:rPr>
                              <m:sty m:val="p"/>
                            </m:rPr>
                            <m:t xml:space="preserve">)</m:t>
                          </m:r>
                        </m:sup>
                      </m:sSubSup>
                    </m:e>
                  </m:nary>
                </m:num>
                <m:den>
                  <m:nary>
                    <m:naryPr>
                      <m:chr m:val="∑"/>
                      <m:limLoc m:val="subSup"/>
                    </m:naryPr>
                    <m:sub>
                      <m:r>
                        <m:t xml:space="preserve">h</m:t>
                      </m:r>
                      <m:r>
                        <m:rPr>
                          <m:sty m:val="p"/>
                        </m:rPr>
                        <m:t xml:space="preserve">=</m:t>
                      </m:r>
                      <m:r>
                        <m:rPr>
                          <m:sty m:val="p"/>
                        </m:rPr>
                        <m:t xml:space="preserve">0</m:t>
                      </m:r>
                    </m:sub>
                    <m:sup>
                      <m:r>
                        <m:t xml:space="preserve">H</m:t>
                      </m:r>
                    </m:sup>
                    <m:e>
                      <m:sSubSup>
                        <m:e>
                          <m:r>
                            <m:t xml:space="preserve">Ψ</m:t>
                          </m:r>
                        </m:e>
                        <m:sub>
                          <m:r>
                            <m:t xml:space="preserve">h</m:t>
                          </m:r>
                        </m:sub>
                        <m:sup>
                          <m:r>
                            <m:t xml:space="preserve">o</m:t>
                          </m:r>
                          <m:r>
                            <m:t xml:space="preserve">,</m:t>
                          </m:r>
                          <m:r>
                            <m:rPr>
                              <m:sty m:val="p"/>
                            </m:rPr>
                            <m:t xml:space="preserve">(</m:t>
                          </m:r>
                          <m:r>
                            <m:t xml:space="preserve">Y</m:t>
                          </m:r>
                          <m:r>
                            <m:t xml:space="preserve">o</m:t>
                          </m:r>
                          <m:r>
                            <m:t xml:space="preserve">u</m:t>
                          </m:r>
                          <m:r>
                            <m:t xml:space="preserve">t</m:t>
                          </m:r>
                          <m:r>
                            <m:t xml:space="preserve">h</m:t>
                          </m:r>
                          <m:r>
                            <m:t xml:space="preserve">,</m:t>
                          </m:r>
                          <m:r>
                            <m:t xml:space="preserve">G</m:t>
                          </m:r>
                          <m:r>
                            <m:t xml:space="preserve">e</m:t>
                          </m:r>
                          <m:r>
                            <m:t xml:space="preserve">n</m:t>
                          </m:r>
                          <m:r>
                            <m:t xml:space="preserve">A</m:t>
                          </m:r>
                          <m:r>
                            <m:t xml:space="preserve">I</m:t>
                          </m:r>
                          <m:r>
                            <m:rPr>
                              <m:sty m:val="p"/>
                            </m:rPr>
                            <m:t xml:space="preserve">)</m:t>
                          </m:r>
                        </m:sup>
                      </m:sSubSup>
                    </m:e>
                  </m:nary>
                </m:den>
              </m:f>
            </m:oMath>
          </w:p>
        </w:tc>
        <w:tc>
          <w:tcPr>
            <w:tcW w:type="dxa" w:w="431"/>
            <w:vAlign w:val="center"/>
          </w:tcPr>
          <w:p>
            <w:pPr>
              <w:pStyle w:val="MDPI3aequationnumber"/>
              <w:jc w:val="right"/>
            </w:pPr>
            <w:r>
              <w:t>(9)</w:t>
            </w:r>
          </w:p>
        </w:tc>
      </w:tr>
    </w:tbl>
    <w:p>
      <w:pPr>
        <w:pStyle w:val="MDPI31text"/>
      </w:pPr>
      <w:r>
        <w:rPr>
          <w:b w:val="0"/>
          <w:i w:val="0"/>
        </w:rPr>
        <w:t xml:space="preserve">measures how much of the cumulative displacement at horizon </w:t>
      </w:r>
      <m:oMath>
        <m:r>
          <m:t xml:space="preserve">H</m:t>
        </m:r>
      </m:oMath>
      <w:r>
        <w:rPr>
          <w:b w:val="0"/>
          <w:i w:val="0"/>
        </w:rPr>
        <w:t xml:space="preserve"> is attributable to the reinforcing loop rather than to the direct response. A value above unity confirms the systems claim of H5.</w:t>
      </w:r>
    </w:p>
    <w:p>
      <w:pPr>
        <w:pStyle w:val="MDPI21heading1"/>
      </w:pPr>
      <w:r>
        <w:t>4. Empirical Results</w:t>
      </w:r>
    </w:p>
    <w:p>
      <w:pPr>
        <w:pStyle w:val="MDPI22heading2"/>
      </w:pPr>
      <w:r>
        <w:t>4.1. Descriptive Statistics and Correlations</w:t>
      </w:r>
    </w:p>
    <w:p>
      <w:pPr>
        <w:pStyle w:val="MDPI32textnoindent"/>
      </w:pPr>
      <w:r>
        <w:rPr>
          <w:b w:val="0"/>
          <w:i w:val="0"/>
        </w:rPr>
        <w:t>Table 2 reports the descriptive statistics. The youth employment share averages 29.00 percent with a standard deviation of 10.41, indicating substantial dispersion in the age composition of listed-firm workforces. Generative-AI application intensity averages 1.592 with a standard deviation of 1.289. Its time profile is the expected one: the annual mean rises gradually from 0.77 in 2016 to 1.42 in 2022 and then jumps to 3.94 by 2024, a 2.8-fold increase over the two years following the diffusion of large conversational models. Training expenditure per employee averages 6.180 in logarithms and the routine task base 45.13 percent.</w:t>
      </w:r>
    </w:p>
    <w:p>
      <w:pPr>
        <w:pStyle w:val="MDPI41tablecaption"/>
        <w:keepNext/>
        <w:spacing w:after="60"/>
      </w:pPr>
      <w:r>
        <w:rPr>
          <w:b/>
          <w:sz w:val="18"/>
        </w:rPr>
        <w:t xml:space="preserve">Table 2. </w:t>
      </w:r>
      <w:r>
        <w:rPr>
          <w:b w:val="0"/>
          <w:i w:val="0"/>
          <w:sz w:val="18"/>
        </w:rPr>
        <w:t>Descriptive statistics.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574"/>
        <w:gridCol w:w="1047"/>
        <w:gridCol w:w="1047"/>
        <w:gridCol w:w="1047"/>
        <w:gridCol w:w="1047"/>
        <w:gridCol w:w="1047"/>
        <w:gridCol w:w="1047"/>
      </w:tblGrid>
      <w:tr>
        <w:trPr>
          <w:cantSplit/>
          <w:tblHeader/>
        </w:trPr>
        <w:tc>
          <w:tcPr>
            <w:tcW w:type="dxa" w:w="1574"/>
            <w:tcBorders>
              <w:bottom w:val="single" w:sz="8" w:space="0" w:color="auto"/>
            </w:tcBorders>
          </w:tcPr>
          <w:p>
            <w:pPr>
              <w:pStyle w:val="MDPI42tablebody"/>
              <w:keepNext/>
              <w:spacing w:line="240" w:lineRule="auto" w:before="30" w:after="30"/>
              <w:jc w:val="center"/>
            </w:pPr>
            <w:r>
              <w:rPr>
                <w:b/>
                <w:i w:val="0"/>
                <w:sz w:val="16"/>
              </w:rPr>
              <w:t>Variable</w:t>
            </w:r>
          </w:p>
        </w:tc>
        <w:tc>
          <w:tcPr>
            <w:tcW w:type="dxa" w:w="1047"/>
            <w:tcBorders>
              <w:bottom w:val="single" w:sz="8" w:space="0" w:color="auto"/>
            </w:tcBorders>
          </w:tcPr>
          <w:p>
            <w:pPr>
              <w:pStyle w:val="MDPI42tablebody"/>
              <w:keepNext/>
              <w:spacing w:line="240" w:lineRule="auto" w:before="30" w:after="30"/>
              <w:jc w:val="center"/>
            </w:pPr>
            <w:r>
              <w:rPr>
                <w:b/>
                <w:i w:val="0"/>
                <w:sz w:val="16"/>
              </w:rPr>
              <w:t>N</w:t>
            </w:r>
          </w:p>
        </w:tc>
        <w:tc>
          <w:tcPr>
            <w:tcW w:type="dxa" w:w="1047"/>
            <w:tcBorders>
              <w:bottom w:val="single" w:sz="8" w:space="0" w:color="auto"/>
            </w:tcBorders>
          </w:tcPr>
          <w:p>
            <w:pPr>
              <w:pStyle w:val="MDPI42tablebody"/>
              <w:keepNext/>
              <w:spacing w:line="240" w:lineRule="auto" w:before="30" w:after="30"/>
              <w:jc w:val="center"/>
            </w:pPr>
            <w:r>
              <w:rPr>
                <w:b/>
                <w:i w:val="0"/>
                <w:sz w:val="16"/>
              </w:rPr>
              <w:t>Mean</w:t>
            </w:r>
          </w:p>
        </w:tc>
        <w:tc>
          <w:tcPr>
            <w:tcW w:type="dxa" w:w="1047"/>
            <w:tcBorders>
              <w:bottom w:val="single" w:sz="8" w:space="0" w:color="auto"/>
            </w:tcBorders>
          </w:tcPr>
          <w:p>
            <w:pPr>
              <w:pStyle w:val="MDPI42tablebody"/>
              <w:keepNext/>
              <w:spacing w:line="240" w:lineRule="auto" w:before="30" w:after="30"/>
              <w:jc w:val="center"/>
            </w:pPr>
            <w:r>
              <w:rPr>
                <w:b/>
                <w:i w:val="0"/>
                <w:sz w:val="16"/>
              </w:rPr>
              <w:t>S.D.</w:t>
            </w:r>
          </w:p>
        </w:tc>
        <w:tc>
          <w:tcPr>
            <w:tcW w:type="dxa" w:w="1047"/>
            <w:tcBorders>
              <w:bottom w:val="single" w:sz="8" w:space="0" w:color="auto"/>
            </w:tcBorders>
          </w:tcPr>
          <w:p>
            <w:pPr>
              <w:pStyle w:val="MDPI42tablebody"/>
              <w:keepNext/>
              <w:spacing w:line="240" w:lineRule="auto" w:before="30" w:after="30"/>
              <w:jc w:val="center"/>
            </w:pPr>
            <w:r>
              <w:rPr>
                <w:b/>
                <w:i w:val="0"/>
                <w:sz w:val="16"/>
              </w:rPr>
              <w:t>Min</w:t>
            </w:r>
          </w:p>
        </w:tc>
        <w:tc>
          <w:tcPr>
            <w:tcW w:type="dxa" w:w="1047"/>
            <w:tcBorders>
              <w:bottom w:val="single" w:sz="8" w:space="0" w:color="auto"/>
            </w:tcBorders>
          </w:tcPr>
          <w:p>
            <w:pPr>
              <w:pStyle w:val="MDPI42tablebody"/>
              <w:keepNext/>
              <w:spacing w:line="240" w:lineRule="auto" w:before="30" w:after="30"/>
              <w:jc w:val="center"/>
            </w:pPr>
            <w:r>
              <w:rPr>
                <w:b/>
                <w:i w:val="0"/>
                <w:sz w:val="16"/>
              </w:rPr>
              <w:t>Median</w:t>
            </w:r>
          </w:p>
        </w:tc>
        <w:tc>
          <w:tcPr>
            <w:tcW w:type="dxa" w:w="1047"/>
            <w:tcBorders>
              <w:bottom w:val="single" w:sz="8" w:space="0" w:color="auto"/>
            </w:tcBorders>
          </w:tcPr>
          <w:p>
            <w:pPr>
              <w:pStyle w:val="MDPI42tablebody"/>
              <w:keepNext/>
              <w:spacing w:line="240" w:lineRule="auto" w:before="30" w:after="30"/>
              <w:jc w:val="center"/>
            </w:pPr>
            <w:r>
              <w:rPr>
                <w:b/>
                <w:i w:val="0"/>
                <w:sz w:val="16"/>
              </w:rPr>
              <w:t>Max</w:t>
            </w:r>
          </w:p>
        </w:tc>
      </w:tr>
      <w:tr>
        <w:trPr>
          <w:cantSplit/>
        </w:trPr>
        <w:tc>
          <w:tcPr>
            <w:tcW w:type="dxa" w:w="1574"/>
          </w:tcPr>
          <w:p>
            <w:pPr>
              <w:pStyle w:val="MDPI42tablebody"/>
              <w:keepNext/>
              <w:spacing w:line="240" w:lineRule="auto" w:before="30" w:after="30"/>
              <w:jc w:val="left"/>
            </w:pPr>
            <w:r>
              <w:rPr>
                <w:b w:val="0"/>
                <w:i/>
                <w:sz w:val="16"/>
              </w:rPr>
              <w:t>GenAI</w:t>
            </w:r>
          </w:p>
        </w:tc>
        <w:tc>
          <w:tcPr>
            <w:tcW w:type="dxa" w:w="1047"/>
          </w:tcPr>
          <w:p>
            <w:pPr>
              <w:pStyle w:val="MDPI42tablebody"/>
              <w:keepNext/>
              <w:spacing w:line="240" w:lineRule="auto" w:before="30" w:after="30"/>
              <w:jc w:val="center"/>
            </w:pPr>
            <w:r>
              <w:rPr>
                <w:b w:val="0"/>
                <w:i w:val="0"/>
                <w:sz w:val="16"/>
              </w:rPr>
              <w:t>25,701</w:t>
            </w:r>
          </w:p>
        </w:tc>
        <w:tc>
          <w:tcPr>
            <w:tcW w:type="dxa" w:w="1047"/>
          </w:tcPr>
          <w:p>
            <w:pPr>
              <w:pStyle w:val="MDPI42tablebody"/>
              <w:keepNext/>
              <w:spacing w:line="240" w:lineRule="auto" w:before="30" w:after="30"/>
              <w:jc w:val="center"/>
            </w:pPr>
            <w:r>
              <w:rPr>
                <w:b w:val="0"/>
                <w:i w:val="0"/>
                <w:sz w:val="16"/>
              </w:rPr>
              <w:t>1.592</w:t>
            </w:r>
          </w:p>
        </w:tc>
        <w:tc>
          <w:tcPr>
            <w:tcW w:type="dxa" w:w="1047"/>
          </w:tcPr>
          <w:p>
            <w:pPr>
              <w:pStyle w:val="MDPI42tablebody"/>
              <w:keepNext/>
              <w:spacing w:line="240" w:lineRule="auto" w:before="30" w:after="30"/>
              <w:jc w:val="center"/>
            </w:pPr>
            <w:r>
              <w:rPr>
                <w:b w:val="0"/>
                <w:i w:val="0"/>
                <w:sz w:val="16"/>
              </w:rPr>
              <w:t>1.289</w:t>
            </w:r>
          </w:p>
        </w:tc>
        <w:tc>
          <w:tcPr>
            <w:tcW w:type="dxa" w:w="1047"/>
          </w:tcPr>
          <w:p>
            <w:pPr>
              <w:pStyle w:val="MDPI42tablebody"/>
              <w:keepNext/>
              <w:spacing w:line="240" w:lineRule="auto" w:before="30" w:after="30"/>
              <w:jc w:val="center"/>
            </w:pPr>
            <w:r>
              <w:rPr>
                <w:b w:val="0"/>
                <w:i w:val="0"/>
                <w:sz w:val="16"/>
              </w:rPr>
              <w:t>0.000</w:t>
            </w:r>
          </w:p>
        </w:tc>
        <w:tc>
          <w:tcPr>
            <w:tcW w:type="dxa" w:w="1047"/>
          </w:tcPr>
          <w:p>
            <w:pPr>
              <w:pStyle w:val="MDPI42tablebody"/>
              <w:keepNext/>
              <w:spacing w:line="240" w:lineRule="auto" w:before="30" w:after="30"/>
              <w:jc w:val="center"/>
            </w:pPr>
            <w:r>
              <w:rPr>
                <w:b w:val="0"/>
                <w:i w:val="0"/>
                <w:sz w:val="16"/>
              </w:rPr>
              <w:t>1.296</w:t>
            </w:r>
          </w:p>
        </w:tc>
        <w:tc>
          <w:tcPr>
            <w:tcW w:type="dxa" w:w="1047"/>
          </w:tcPr>
          <w:p>
            <w:pPr>
              <w:pStyle w:val="MDPI42tablebody"/>
              <w:keepNext/>
              <w:spacing w:line="240" w:lineRule="auto" w:before="30" w:after="30"/>
              <w:jc w:val="center"/>
            </w:pPr>
            <w:r>
              <w:rPr>
                <w:b w:val="0"/>
                <w:i w:val="0"/>
                <w:sz w:val="16"/>
              </w:rPr>
              <w:t>8.561</w:t>
            </w:r>
          </w:p>
        </w:tc>
      </w:tr>
      <w:tr>
        <w:trPr>
          <w:cantSplit/>
        </w:trPr>
        <w:tc>
          <w:tcPr>
            <w:tcW w:type="dxa" w:w="1574"/>
          </w:tcPr>
          <w:p>
            <w:pPr>
              <w:pStyle w:val="MDPI42tablebody"/>
              <w:keepNext/>
              <w:spacing w:line="240" w:lineRule="auto" w:before="30" w:after="30"/>
              <w:jc w:val="left"/>
            </w:pPr>
            <w:r>
              <w:rPr>
                <w:b w:val="0"/>
                <w:i/>
                <w:sz w:val="16"/>
              </w:rPr>
              <w:t>Youth</w:t>
            </w:r>
          </w:p>
        </w:tc>
        <w:tc>
          <w:tcPr>
            <w:tcW w:type="dxa" w:w="1047"/>
          </w:tcPr>
          <w:p>
            <w:pPr>
              <w:pStyle w:val="MDPI42tablebody"/>
              <w:keepNext/>
              <w:spacing w:line="240" w:lineRule="auto" w:before="30" w:after="30"/>
              <w:jc w:val="center"/>
            </w:pPr>
            <w:r>
              <w:rPr>
                <w:b w:val="0"/>
                <w:i w:val="0"/>
                <w:sz w:val="16"/>
              </w:rPr>
              <w:t>25,701</w:t>
            </w:r>
          </w:p>
        </w:tc>
        <w:tc>
          <w:tcPr>
            <w:tcW w:type="dxa" w:w="1047"/>
          </w:tcPr>
          <w:p>
            <w:pPr>
              <w:pStyle w:val="MDPI42tablebody"/>
              <w:keepNext/>
              <w:spacing w:line="240" w:lineRule="auto" w:before="30" w:after="30"/>
              <w:jc w:val="center"/>
            </w:pPr>
            <w:r>
              <w:rPr>
                <w:b w:val="0"/>
                <w:i w:val="0"/>
                <w:sz w:val="16"/>
              </w:rPr>
              <w:t>29.000</w:t>
            </w:r>
          </w:p>
        </w:tc>
        <w:tc>
          <w:tcPr>
            <w:tcW w:type="dxa" w:w="1047"/>
          </w:tcPr>
          <w:p>
            <w:pPr>
              <w:pStyle w:val="MDPI42tablebody"/>
              <w:keepNext/>
              <w:spacing w:line="240" w:lineRule="auto" w:before="30" w:after="30"/>
              <w:jc w:val="center"/>
            </w:pPr>
            <w:r>
              <w:rPr>
                <w:b w:val="0"/>
                <w:i w:val="0"/>
                <w:sz w:val="16"/>
              </w:rPr>
              <w:t>10.414</w:t>
            </w:r>
          </w:p>
        </w:tc>
        <w:tc>
          <w:tcPr>
            <w:tcW w:type="dxa" w:w="1047"/>
          </w:tcPr>
          <w:p>
            <w:pPr>
              <w:pStyle w:val="MDPI42tablebody"/>
              <w:keepNext/>
              <w:spacing w:line="240" w:lineRule="auto" w:before="30" w:after="30"/>
              <w:jc w:val="center"/>
            </w:pPr>
            <w:r>
              <w:rPr>
                <w:b w:val="0"/>
                <w:i w:val="0"/>
                <w:sz w:val="16"/>
              </w:rPr>
              <w:t>3.840</w:t>
            </w:r>
          </w:p>
        </w:tc>
        <w:tc>
          <w:tcPr>
            <w:tcW w:type="dxa" w:w="1047"/>
          </w:tcPr>
          <w:p>
            <w:pPr>
              <w:pStyle w:val="MDPI42tablebody"/>
              <w:keepNext/>
              <w:spacing w:line="240" w:lineRule="auto" w:before="30" w:after="30"/>
              <w:jc w:val="center"/>
            </w:pPr>
            <w:r>
              <w:rPr>
                <w:b w:val="0"/>
                <w:i w:val="0"/>
                <w:sz w:val="16"/>
              </w:rPr>
              <w:t>29.144</w:t>
            </w:r>
          </w:p>
        </w:tc>
        <w:tc>
          <w:tcPr>
            <w:tcW w:type="dxa" w:w="1047"/>
          </w:tcPr>
          <w:p>
            <w:pPr>
              <w:pStyle w:val="MDPI42tablebody"/>
              <w:keepNext/>
              <w:spacing w:line="240" w:lineRule="auto" w:before="30" w:after="30"/>
              <w:jc w:val="center"/>
            </w:pPr>
            <w:r>
              <w:rPr>
                <w:b w:val="0"/>
                <w:i w:val="0"/>
                <w:sz w:val="16"/>
              </w:rPr>
              <w:t>53.755</w:t>
            </w:r>
          </w:p>
        </w:tc>
      </w:tr>
      <w:tr>
        <w:trPr>
          <w:cantSplit/>
        </w:trPr>
        <w:tc>
          <w:tcPr>
            <w:tcW w:type="dxa" w:w="1574"/>
          </w:tcPr>
          <w:p>
            <w:pPr>
              <w:pStyle w:val="MDPI42tablebody"/>
              <w:keepNext/>
              <w:spacing w:line="240" w:lineRule="auto" w:before="30" w:after="30"/>
              <w:jc w:val="left"/>
            </w:pPr>
            <w:r>
              <w:rPr>
                <w:b w:val="0"/>
                <w:i/>
                <w:sz w:val="16"/>
              </w:rPr>
              <w:t>Train</w:t>
            </w:r>
          </w:p>
        </w:tc>
        <w:tc>
          <w:tcPr>
            <w:tcW w:type="dxa" w:w="1047"/>
          </w:tcPr>
          <w:p>
            <w:pPr>
              <w:pStyle w:val="MDPI42tablebody"/>
              <w:keepNext/>
              <w:spacing w:line="240" w:lineRule="auto" w:before="30" w:after="30"/>
              <w:jc w:val="center"/>
            </w:pPr>
            <w:r>
              <w:rPr>
                <w:b w:val="0"/>
                <w:i w:val="0"/>
                <w:sz w:val="16"/>
              </w:rPr>
              <w:t>25,701</w:t>
            </w:r>
          </w:p>
        </w:tc>
        <w:tc>
          <w:tcPr>
            <w:tcW w:type="dxa" w:w="1047"/>
          </w:tcPr>
          <w:p>
            <w:pPr>
              <w:pStyle w:val="MDPI42tablebody"/>
              <w:keepNext/>
              <w:spacing w:line="240" w:lineRule="auto" w:before="30" w:after="30"/>
              <w:jc w:val="center"/>
            </w:pPr>
            <w:r>
              <w:rPr>
                <w:b w:val="0"/>
                <w:i w:val="0"/>
                <w:sz w:val="16"/>
              </w:rPr>
              <w:t>6.180</w:t>
            </w:r>
          </w:p>
        </w:tc>
        <w:tc>
          <w:tcPr>
            <w:tcW w:type="dxa" w:w="1047"/>
          </w:tcPr>
          <w:p>
            <w:pPr>
              <w:pStyle w:val="MDPI42tablebody"/>
              <w:keepNext/>
              <w:spacing w:line="240" w:lineRule="auto" w:before="30" w:after="30"/>
              <w:jc w:val="center"/>
            </w:pPr>
            <w:r>
              <w:rPr>
                <w:b w:val="0"/>
                <w:i w:val="0"/>
                <w:sz w:val="16"/>
              </w:rPr>
              <w:t>1.207</w:t>
            </w:r>
          </w:p>
        </w:tc>
        <w:tc>
          <w:tcPr>
            <w:tcW w:type="dxa" w:w="1047"/>
          </w:tcPr>
          <w:p>
            <w:pPr>
              <w:pStyle w:val="MDPI42tablebody"/>
              <w:keepNext/>
              <w:spacing w:line="240" w:lineRule="auto" w:before="30" w:after="30"/>
              <w:jc w:val="center"/>
            </w:pPr>
            <w:r>
              <w:rPr>
                <w:b w:val="0"/>
                <w:i w:val="0"/>
                <w:sz w:val="16"/>
              </w:rPr>
              <w:t>3.287</w:t>
            </w:r>
          </w:p>
        </w:tc>
        <w:tc>
          <w:tcPr>
            <w:tcW w:type="dxa" w:w="1047"/>
          </w:tcPr>
          <w:p>
            <w:pPr>
              <w:pStyle w:val="MDPI42tablebody"/>
              <w:keepNext/>
              <w:spacing w:line="240" w:lineRule="auto" w:before="30" w:after="30"/>
              <w:jc w:val="center"/>
            </w:pPr>
            <w:r>
              <w:rPr>
                <w:b w:val="0"/>
                <w:i w:val="0"/>
                <w:sz w:val="16"/>
              </w:rPr>
              <w:t>6.192</w:t>
            </w:r>
          </w:p>
        </w:tc>
        <w:tc>
          <w:tcPr>
            <w:tcW w:type="dxa" w:w="1047"/>
          </w:tcPr>
          <w:p>
            <w:pPr>
              <w:pStyle w:val="MDPI42tablebody"/>
              <w:keepNext/>
              <w:spacing w:line="240" w:lineRule="auto" w:before="30" w:after="30"/>
              <w:jc w:val="center"/>
            </w:pPr>
            <w:r>
              <w:rPr>
                <w:b w:val="0"/>
                <w:i w:val="0"/>
                <w:sz w:val="16"/>
              </w:rPr>
              <w:t>9.069</w:t>
            </w:r>
          </w:p>
        </w:tc>
      </w:tr>
      <w:tr>
        <w:trPr>
          <w:cantSplit/>
        </w:trPr>
        <w:tc>
          <w:tcPr>
            <w:tcW w:type="dxa" w:w="1574"/>
          </w:tcPr>
          <w:p>
            <w:pPr>
              <w:pStyle w:val="MDPI42tablebody"/>
              <w:keepNext/>
              <w:spacing w:line="240" w:lineRule="auto" w:before="30" w:after="30"/>
              <w:jc w:val="left"/>
            </w:pPr>
            <w:r>
              <w:rPr>
                <w:b w:val="0"/>
                <w:i/>
                <w:sz w:val="16"/>
              </w:rPr>
              <w:t>Routine</w:t>
            </w:r>
          </w:p>
        </w:tc>
        <w:tc>
          <w:tcPr>
            <w:tcW w:type="dxa" w:w="1047"/>
          </w:tcPr>
          <w:p>
            <w:pPr>
              <w:pStyle w:val="MDPI42tablebody"/>
              <w:keepNext/>
              <w:spacing w:line="240" w:lineRule="auto" w:before="30" w:after="30"/>
              <w:jc w:val="center"/>
            </w:pPr>
            <w:r>
              <w:rPr>
                <w:b w:val="0"/>
                <w:i w:val="0"/>
                <w:sz w:val="16"/>
              </w:rPr>
              <w:t>25,701</w:t>
            </w:r>
          </w:p>
        </w:tc>
        <w:tc>
          <w:tcPr>
            <w:tcW w:type="dxa" w:w="1047"/>
          </w:tcPr>
          <w:p>
            <w:pPr>
              <w:pStyle w:val="MDPI42tablebody"/>
              <w:keepNext/>
              <w:spacing w:line="240" w:lineRule="auto" w:before="30" w:after="30"/>
              <w:jc w:val="center"/>
            </w:pPr>
            <w:r>
              <w:rPr>
                <w:b w:val="0"/>
                <w:i w:val="0"/>
                <w:sz w:val="16"/>
              </w:rPr>
              <w:t>45.134</w:t>
            </w:r>
          </w:p>
        </w:tc>
        <w:tc>
          <w:tcPr>
            <w:tcW w:type="dxa" w:w="1047"/>
          </w:tcPr>
          <w:p>
            <w:pPr>
              <w:pStyle w:val="MDPI42tablebody"/>
              <w:keepNext/>
              <w:spacing w:line="240" w:lineRule="auto" w:before="30" w:after="30"/>
              <w:jc w:val="center"/>
            </w:pPr>
            <w:r>
              <w:rPr>
                <w:b w:val="0"/>
                <w:i w:val="0"/>
                <w:sz w:val="16"/>
              </w:rPr>
              <w:t>15.160</w:t>
            </w:r>
          </w:p>
        </w:tc>
        <w:tc>
          <w:tcPr>
            <w:tcW w:type="dxa" w:w="1047"/>
          </w:tcPr>
          <w:p>
            <w:pPr>
              <w:pStyle w:val="MDPI42tablebody"/>
              <w:keepNext/>
              <w:spacing w:line="240" w:lineRule="auto" w:before="30" w:after="30"/>
              <w:jc w:val="center"/>
            </w:pPr>
            <w:r>
              <w:rPr>
                <w:b w:val="0"/>
                <w:i w:val="0"/>
                <w:sz w:val="16"/>
              </w:rPr>
              <w:t>8.838</w:t>
            </w:r>
          </w:p>
        </w:tc>
        <w:tc>
          <w:tcPr>
            <w:tcW w:type="dxa" w:w="1047"/>
          </w:tcPr>
          <w:p>
            <w:pPr>
              <w:pStyle w:val="MDPI42tablebody"/>
              <w:keepNext/>
              <w:spacing w:line="240" w:lineRule="auto" w:before="30" w:after="30"/>
              <w:jc w:val="center"/>
            </w:pPr>
            <w:r>
              <w:rPr>
                <w:b w:val="0"/>
                <w:i w:val="0"/>
                <w:sz w:val="16"/>
              </w:rPr>
              <w:t>45.317</w:t>
            </w:r>
          </w:p>
        </w:tc>
        <w:tc>
          <w:tcPr>
            <w:tcW w:type="dxa" w:w="1047"/>
          </w:tcPr>
          <w:p>
            <w:pPr>
              <w:pStyle w:val="MDPI42tablebody"/>
              <w:keepNext/>
              <w:spacing w:line="240" w:lineRule="auto" w:before="30" w:after="30"/>
              <w:jc w:val="center"/>
            </w:pPr>
            <w:r>
              <w:rPr>
                <w:b w:val="0"/>
                <w:i w:val="0"/>
                <w:sz w:val="16"/>
              </w:rPr>
              <w:t>80.887</w:t>
            </w:r>
          </w:p>
        </w:tc>
      </w:tr>
      <w:tr>
        <w:trPr>
          <w:cantSplit/>
        </w:trPr>
        <w:tc>
          <w:tcPr>
            <w:tcW w:type="dxa" w:w="1574"/>
          </w:tcPr>
          <w:p>
            <w:pPr>
              <w:pStyle w:val="MDPI42tablebody"/>
              <w:keepNext/>
              <w:spacing w:line="240" w:lineRule="auto" w:before="30" w:after="30"/>
              <w:jc w:val="left"/>
            </w:pPr>
            <w:r>
              <w:rPr>
                <w:b w:val="0"/>
                <w:i/>
                <w:sz w:val="16"/>
              </w:rPr>
              <w:t>Absorp</w:t>
            </w:r>
          </w:p>
        </w:tc>
        <w:tc>
          <w:tcPr>
            <w:tcW w:type="dxa" w:w="1047"/>
          </w:tcPr>
          <w:p>
            <w:pPr>
              <w:pStyle w:val="MDPI42tablebody"/>
              <w:keepNext/>
              <w:spacing w:line="240" w:lineRule="auto" w:before="30" w:after="30"/>
              <w:jc w:val="center"/>
            </w:pPr>
            <w:r>
              <w:rPr>
                <w:b w:val="0"/>
                <w:i w:val="0"/>
                <w:sz w:val="16"/>
              </w:rPr>
              <w:t>25,701</w:t>
            </w:r>
          </w:p>
        </w:tc>
        <w:tc>
          <w:tcPr>
            <w:tcW w:type="dxa" w:w="1047"/>
          </w:tcPr>
          <w:p>
            <w:pPr>
              <w:pStyle w:val="MDPI42tablebody"/>
              <w:keepNext/>
              <w:spacing w:line="240" w:lineRule="auto" w:before="30" w:after="30"/>
              <w:jc w:val="center"/>
            </w:pPr>
            <w:r>
              <w:rPr>
                <w:b w:val="0"/>
                <w:i w:val="0"/>
                <w:sz w:val="16"/>
              </w:rPr>
              <w:t>4.578</w:t>
            </w:r>
          </w:p>
        </w:tc>
        <w:tc>
          <w:tcPr>
            <w:tcW w:type="dxa" w:w="1047"/>
          </w:tcPr>
          <w:p>
            <w:pPr>
              <w:pStyle w:val="MDPI42tablebody"/>
              <w:keepNext/>
              <w:spacing w:line="240" w:lineRule="auto" w:before="30" w:after="30"/>
              <w:jc w:val="center"/>
            </w:pPr>
            <w:r>
              <w:rPr>
                <w:b w:val="0"/>
                <w:i w:val="0"/>
                <w:sz w:val="16"/>
              </w:rPr>
              <w:t>3.616</w:t>
            </w:r>
          </w:p>
        </w:tc>
        <w:tc>
          <w:tcPr>
            <w:tcW w:type="dxa" w:w="1047"/>
          </w:tcPr>
          <w:p>
            <w:pPr>
              <w:pStyle w:val="MDPI42tablebody"/>
              <w:keepNext/>
              <w:spacing w:line="240" w:lineRule="auto" w:before="30" w:after="30"/>
              <w:jc w:val="center"/>
            </w:pPr>
            <w:r>
              <w:rPr>
                <w:b w:val="0"/>
                <w:i w:val="0"/>
                <w:sz w:val="16"/>
              </w:rPr>
              <w:t>0.636</w:t>
            </w:r>
          </w:p>
        </w:tc>
        <w:tc>
          <w:tcPr>
            <w:tcW w:type="dxa" w:w="1047"/>
          </w:tcPr>
          <w:p>
            <w:pPr>
              <w:pStyle w:val="MDPI42tablebody"/>
              <w:keepNext/>
              <w:spacing w:line="240" w:lineRule="auto" w:before="30" w:after="30"/>
              <w:jc w:val="center"/>
            </w:pPr>
            <w:r>
              <w:rPr>
                <w:b w:val="0"/>
                <w:i w:val="0"/>
                <w:sz w:val="16"/>
              </w:rPr>
              <w:t>3.497</w:t>
            </w:r>
          </w:p>
        </w:tc>
        <w:tc>
          <w:tcPr>
            <w:tcW w:type="dxa" w:w="1047"/>
          </w:tcPr>
          <w:p>
            <w:pPr>
              <w:pStyle w:val="MDPI42tablebody"/>
              <w:keepNext/>
              <w:spacing w:line="240" w:lineRule="auto" w:before="30" w:after="30"/>
              <w:jc w:val="center"/>
            </w:pPr>
            <w:r>
              <w:rPr>
                <w:b w:val="0"/>
                <w:i w:val="0"/>
                <w:sz w:val="16"/>
              </w:rPr>
              <w:t>19.792</w:t>
            </w:r>
          </w:p>
        </w:tc>
      </w:tr>
      <w:tr>
        <w:trPr>
          <w:cantSplit/>
        </w:trPr>
        <w:tc>
          <w:tcPr>
            <w:tcW w:type="dxa" w:w="1574"/>
          </w:tcPr>
          <w:p>
            <w:pPr>
              <w:pStyle w:val="MDPI42tablebody"/>
              <w:keepNext/>
              <w:spacing w:line="240" w:lineRule="auto" w:before="30" w:after="30"/>
              <w:jc w:val="left"/>
            </w:pPr>
            <w:r>
              <w:rPr>
                <w:b w:val="0"/>
                <w:i/>
                <w:sz w:val="16"/>
              </w:rPr>
              <w:t>Wage</w:t>
            </w:r>
          </w:p>
        </w:tc>
        <w:tc>
          <w:tcPr>
            <w:tcW w:type="dxa" w:w="1047"/>
          </w:tcPr>
          <w:p>
            <w:pPr>
              <w:pStyle w:val="MDPI42tablebody"/>
              <w:keepNext/>
              <w:spacing w:line="240" w:lineRule="auto" w:before="30" w:after="30"/>
              <w:jc w:val="center"/>
            </w:pPr>
            <w:r>
              <w:rPr>
                <w:b w:val="0"/>
                <w:i w:val="0"/>
                <w:sz w:val="16"/>
              </w:rPr>
              <w:t>25,701</w:t>
            </w:r>
          </w:p>
        </w:tc>
        <w:tc>
          <w:tcPr>
            <w:tcW w:type="dxa" w:w="1047"/>
          </w:tcPr>
          <w:p>
            <w:pPr>
              <w:pStyle w:val="MDPI42tablebody"/>
              <w:keepNext/>
              <w:spacing w:line="240" w:lineRule="auto" w:before="30" w:after="30"/>
              <w:jc w:val="center"/>
            </w:pPr>
            <w:r>
              <w:rPr>
                <w:b w:val="0"/>
                <w:i w:val="0"/>
                <w:sz w:val="16"/>
              </w:rPr>
              <w:t>12.257</w:t>
            </w:r>
          </w:p>
        </w:tc>
        <w:tc>
          <w:tcPr>
            <w:tcW w:type="dxa" w:w="1047"/>
          </w:tcPr>
          <w:p>
            <w:pPr>
              <w:pStyle w:val="MDPI42tablebody"/>
              <w:keepNext/>
              <w:spacing w:line="240" w:lineRule="auto" w:before="30" w:after="30"/>
              <w:jc w:val="center"/>
            </w:pPr>
            <w:r>
              <w:rPr>
                <w:b w:val="0"/>
                <w:i w:val="0"/>
                <w:sz w:val="16"/>
              </w:rPr>
              <w:t>0.449</w:t>
            </w:r>
          </w:p>
        </w:tc>
        <w:tc>
          <w:tcPr>
            <w:tcW w:type="dxa" w:w="1047"/>
          </w:tcPr>
          <w:p>
            <w:pPr>
              <w:pStyle w:val="MDPI42tablebody"/>
              <w:keepNext/>
              <w:spacing w:line="240" w:lineRule="auto" w:before="30" w:after="30"/>
              <w:jc w:val="center"/>
            </w:pPr>
            <w:r>
              <w:rPr>
                <w:b w:val="0"/>
                <w:i w:val="0"/>
                <w:sz w:val="16"/>
              </w:rPr>
              <w:t>11.231</w:t>
            </w:r>
          </w:p>
        </w:tc>
        <w:tc>
          <w:tcPr>
            <w:tcW w:type="dxa" w:w="1047"/>
          </w:tcPr>
          <w:p>
            <w:pPr>
              <w:pStyle w:val="MDPI42tablebody"/>
              <w:keepNext/>
              <w:spacing w:line="240" w:lineRule="auto" w:before="30" w:after="30"/>
              <w:jc w:val="center"/>
            </w:pPr>
            <w:r>
              <w:rPr>
                <w:b w:val="0"/>
                <w:i w:val="0"/>
                <w:sz w:val="16"/>
              </w:rPr>
              <w:t>12.253</w:t>
            </w:r>
          </w:p>
        </w:tc>
        <w:tc>
          <w:tcPr>
            <w:tcW w:type="dxa" w:w="1047"/>
          </w:tcPr>
          <w:p>
            <w:pPr>
              <w:pStyle w:val="MDPI42tablebody"/>
              <w:keepNext/>
              <w:spacing w:line="240" w:lineRule="auto" w:before="30" w:after="30"/>
              <w:jc w:val="center"/>
            </w:pPr>
            <w:r>
              <w:rPr>
                <w:b w:val="0"/>
                <w:i w:val="0"/>
                <w:sz w:val="16"/>
              </w:rPr>
              <w:t>13.313</w:t>
            </w:r>
          </w:p>
        </w:tc>
      </w:tr>
      <w:tr>
        <w:trPr>
          <w:cantSplit/>
        </w:trPr>
        <w:tc>
          <w:tcPr>
            <w:tcW w:type="dxa" w:w="1574"/>
          </w:tcPr>
          <w:p>
            <w:pPr>
              <w:pStyle w:val="MDPI42tablebody"/>
              <w:keepNext/>
              <w:spacing w:line="240" w:lineRule="auto" w:before="30" w:after="30"/>
              <w:jc w:val="left"/>
            </w:pPr>
            <w:r>
              <w:rPr>
                <w:b w:val="0"/>
                <w:i/>
                <w:sz w:val="16"/>
              </w:rPr>
              <w:t>Size</w:t>
            </w:r>
          </w:p>
        </w:tc>
        <w:tc>
          <w:tcPr>
            <w:tcW w:type="dxa" w:w="1047"/>
          </w:tcPr>
          <w:p>
            <w:pPr>
              <w:pStyle w:val="MDPI42tablebody"/>
              <w:keepNext/>
              <w:spacing w:line="240" w:lineRule="auto" w:before="30" w:after="30"/>
              <w:jc w:val="center"/>
            </w:pPr>
            <w:r>
              <w:rPr>
                <w:b w:val="0"/>
                <w:i w:val="0"/>
                <w:sz w:val="16"/>
              </w:rPr>
              <w:t>25,701</w:t>
            </w:r>
          </w:p>
        </w:tc>
        <w:tc>
          <w:tcPr>
            <w:tcW w:type="dxa" w:w="1047"/>
          </w:tcPr>
          <w:p>
            <w:pPr>
              <w:pStyle w:val="MDPI42tablebody"/>
              <w:keepNext/>
              <w:spacing w:line="240" w:lineRule="auto" w:before="30" w:after="30"/>
              <w:jc w:val="center"/>
            </w:pPr>
            <w:r>
              <w:rPr>
                <w:b w:val="0"/>
                <w:i w:val="0"/>
                <w:sz w:val="16"/>
              </w:rPr>
              <w:t>22.681</w:t>
            </w:r>
          </w:p>
        </w:tc>
        <w:tc>
          <w:tcPr>
            <w:tcW w:type="dxa" w:w="1047"/>
          </w:tcPr>
          <w:p>
            <w:pPr>
              <w:pStyle w:val="MDPI42tablebody"/>
              <w:keepNext/>
              <w:spacing w:line="240" w:lineRule="auto" w:before="30" w:after="30"/>
              <w:jc w:val="center"/>
            </w:pPr>
            <w:r>
              <w:rPr>
                <w:b w:val="0"/>
                <w:i w:val="0"/>
                <w:sz w:val="16"/>
              </w:rPr>
              <w:t>1.272</w:t>
            </w:r>
          </w:p>
        </w:tc>
        <w:tc>
          <w:tcPr>
            <w:tcW w:type="dxa" w:w="1047"/>
          </w:tcPr>
          <w:p>
            <w:pPr>
              <w:pStyle w:val="MDPI42tablebody"/>
              <w:keepNext/>
              <w:spacing w:line="240" w:lineRule="auto" w:before="30" w:after="30"/>
              <w:jc w:val="center"/>
            </w:pPr>
            <w:r>
              <w:rPr>
                <w:b w:val="0"/>
                <w:i w:val="0"/>
                <w:sz w:val="16"/>
              </w:rPr>
              <w:t>19.579</w:t>
            </w:r>
          </w:p>
        </w:tc>
        <w:tc>
          <w:tcPr>
            <w:tcW w:type="dxa" w:w="1047"/>
          </w:tcPr>
          <w:p>
            <w:pPr>
              <w:pStyle w:val="MDPI42tablebody"/>
              <w:keepNext/>
              <w:spacing w:line="240" w:lineRule="auto" w:before="30" w:after="30"/>
              <w:jc w:val="center"/>
            </w:pPr>
            <w:r>
              <w:rPr>
                <w:b w:val="0"/>
                <w:i w:val="0"/>
                <w:sz w:val="16"/>
              </w:rPr>
              <w:t>22.692</w:t>
            </w:r>
          </w:p>
        </w:tc>
        <w:tc>
          <w:tcPr>
            <w:tcW w:type="dxa" w:w="1047"/>
          </w:tcPr>
          <w:p>
            <w:pPr>
              <w:pStyle w:val="MDPI42tablebody"/>
              <w:keepNext/>
              <w:spacing w:line="240" w:lineRule="auto" w:before="30" w:after="30"/>
              <w:jc w:val="center"/>
            </w:pPr>
            <w:r>
              <w:rPr>
                <w:b w:val="0"/>
                <w:i w:val="0"/>
                <w:sz w:val="16"/>
              </w:rPr>
              <w:t>25.716</w:t>
            </w:r>
          </w:p>
        </w:tc>
      </w:tr>
      <w:tr>
        <w:trPr>
          <w:cantSplit/>
        </w:trPr>
        <w:tc>
          <w:tcPr>
            <w:tcW w:type="dxa" w:w="1574"/>
          </w:tcPr>
          <w:p>
            <w:pPr>
              <w:pStyle w:val="MDPI42tablebody"/>
              <w:keepNext/>
              <w:spacing w:line="240" w:lineRule="auto" w:before="30" w:after="30"/>
              <w:jc w:val="left"/>
            </w:pPr>
            <w:r>
              <w:rPr>
                <w:b w:val="0"/>
                <w:i/>
                <w:sz w:val="16"/>
              </w:rPr>
              <w:t>Lev</w:t>
            </w:r>
          </w:p>
        </w:tc>
        <w:tc>
          <w:tcPr>
            <w:tcW w:type="dxa" w:w="1047"/>
          </w:tcPr>
          <w:p>
            <w:pPr>
              <w:pStyle w:val="MDPI42tablebody"/>
              <w:keepNext/>
              <w:spacing w:line="240" w:lineRule="auto" w:before="30" w:after="30"/>
              <w:jc w:val="center"/>
            </w:pPr>
            <w:r>
              <w:rPr>
                <w:b w:val="0"/>
                <w:i w:val="0"/>
                <w:sz w:val="16"/>
              </w:rPr>
              <w:t>25,701</w:t>
            </w:r>
          </w:p>
        </w:tc>
        <w:tc>
          <w:tcPr>
            <w:tcW w:type="dxa" w:w="1047"/>
          </w:tcPr>
          <w:p>
            <w:pPr>
              <w:pStyle w:val="MDPI42tablebody"/>
              <w:keepNext/>
              <w:spacing w:line="240" w:lineRule="auto" w:before="30" w:after="30"/>
              <w:jc w:val="center"/>
            </w:pPr>
            <w:r>
              <w:rPr>
                <w:b w:val="0"/>
                <w:i w:val="0"/>
                <w:sz w:val="16"/>
              </w:rPr>
              <w:t>0.436</w:t>
            </w:r>
          </w:p>
        </w:tc>
        <w:tc>
          <w:tcPr>
            <w:tcW w:type="dxa" w:w="1047"/>
          </w:tcPr>
          <w:p>
            <w:pPr>
              <w:pStyle w:val="MDPI42tablebody"/>
              <w:keepNext/>
              <w:spacing w:line="240" w:lineRule="auto" w:before="30" w:after="30"/>
              <w:jc w:val="center"/>
            </w:pPr>
            <w:r>
              <w:rPr>
                <w:b w:val="0"/>
                <w:i w:val="0"/>
                <w:sz w:val="16"/>
              </w:rPr>
              <w:t>0.176</w:t>
            </w:r>
          </w:p>
        </w:tc>
        <w:tc>
          <w:tcPr>
            <w:tcW w:type="dxa" w:w="1047"/>
          </w:tcPr>
          <w:p>
            <w:pPr>
              <w:pStyle w:val="MDPI42tablebody"/>
              <w:keepNext/>
              <w:spacing w:line="240" w:lineRule="auto" w:before="30" w:after="30"/>
              <w:jc w:val="center"/>
            </w:pPr>
            <w:r>
              <w:rPr>
                <w:b w:val="0"/>
                <w:i w:val="0"/>
                <w:sz w:val="16"/>
              </w:rPr>
              <w:t>0.036</w:t>
            </w:r>
          </w:p>
        </w:tc>
        <w:tc>
          <w:tcPr>
            <w:tcW w:type="dxa" w:w="1047"/>
          </w:tcPr>
          <w:p>
            <w:pPr>
              <w:pStyle w:val="MDPI42tablebody"/>
              <w:keepNext/>
              <w:spacing w:line="240" w:lineRule="auto" w:before="30" w:after="30"/>
              <w:jc w:val="center"/>
            </w:pPr>
            <w:r>
              <w:rPr>
                <w:b w:val="0"/>
                <w:i w:val="0"/>
                <w:sz w:val="16"/>
              </w:rPr>
              <w:t>0.434</w:t>
            </w:r>
          </w:p>
        </w:tc>
        <w:tc>
          <w:tcPr>
            <w:tcW w:type="dxa" w:w="1047"/>
          </w:tcPr>
          <w:p>
            <w:pPr>
              <w:pStyle w:val="MDPI42tablebody"/>
              <w:keepNext/>
              <w:spacing w:line="240" w:lineRule="auto" w:before="30" w:after="30"/>
              <w:jc w:val="center"/>
            </w:pPr>
            <w:r>
              <w:rPr>
                <w:b w:val="0"/>
                <w:i w:val="0"/>
                <w:sz w:val="16"/>
              </w:rPr>
              <w:t>0.865</w:t>
            </w:r>
          </w:p>
        </w:tc>
      </w:tr>
      <w:tr>
        <w:trPr>
          <w:cantSplit/>
        </w:trPr>
        <w:tc>
          <w:tcPr>
            <w:tcW w:type="dxa" w:w="1574"/>
          </w:tcPr>
          <w:p>
            <w:pPr>
              <w:pStyle w:val="MDPI42tablebody"/>
              <w:keepNext/>
              <w:spacing w:line="240" w:lineRule="auto" w:before="30" w:after="30"/>
              <w:jc w:val="left"/>
            </w:pPr>
            <w:r>
              <w:rPr>
                <w:b w:val="0"/>
                <w:i/>
                <w:sz w:val="16"/>
              </w:rPr>
              <w:t>ROA</w:t>
            </w:r>
          </w:p>
        </w:tc>
        <w:tc>
          <w:tcPr>
            <w:tcW w:type="dxa" w:w="1047"/>
          </w:tcPr>
          <w:p>
            <w:pPr>
              <w:pStyle w:val="MDPI42tablebody"/>
              <w:keepNext/>
              <w:spacing w:line="240" w:lineRule="auto" w:before="30" w:after="30"/>
              <w:jc w:val="center"/>
            </w:pPr>
            <w:r>
              <w:rPr>
                <w:b w:val="0"/>
                <w:i w:val="0"/>
                <w:sz w:val="16"/>
              </w:rPr>
              <w:t>25,701</w:t>
            </w:r>
          </w:p>
        </w:tc>
        <w:tc>
          <w:tcPr>
            <w:tcW w:type="dxa" w:w="1047"/>
          </w:tcPr>
          <w:p>
            <w:pPr>
              <w:pStyle w:val="MDPI42tablebody"/>
              <w:keepNext/>
              <w:spacing w:line="240" w:lineRule="auto" w:before="30" w:after="30"/>
              <w:jc w:val="center"/>
            </w:pPr>
            <w:r>
              <w:rPr>
                <w:b w:val="0"/>
                <w:i w:val="0"/>
                <w:sz w:val="16"/>
              </w:rPr>
              <w:t>0.039</w:t>
            </w:r>
          </w:p>
        </w:tc>
        <w:tc>
          <w:tcPr>
            <w:tcW w:type="dxa" w:w="1047"/>
          </w:tcPr>
          <w:p>
            <w:pPr>
              <w:pStyle w:val="MDPI42tablebody"/>
              <w:keepNext/>
              <w:spacing w:line="240" w:lineRule="auto" w:before="30" w:after="30"/>
              <w:jc w:val="center"/>
            </w:pPr>
            <w:r>
              <w:rPr>
                <w:b w:val="0"/>
                <w:i w:val="0"/>
                <w:sz w:val="16"/>
              </w:rPr>
              <w:t>0.053</w:t>
            </w:r>
          </w:p>
        </w:tc>
        <w:tc>
          <w:tcPr>
            <w:tcW w:type="dxa" w:w="1047"/>
          </w:tcPr>
          <w:p>
            <w:pPr>
              <w:pStyle w:val="MDPI42tablebody"/>
              <w:keepNext/>
              <w:spacing w:line="240" w:lineRule="auto" w:before="30" w:after="30"/>
              <w:jc w:val="center"/>
            </w:pPr>
            <w:r>
              <w:rPr>
                <w:b w:val="0"/>
                <w:i w:val="0"/>
                <w:sz w:val="16"/>
              </w:rPr>
              <w:t>−0.089</w:t>
            </w:r>
          </w:p>
        </w:tc>
        <w:tc>
          <w:tcPr>
            <w:tcW w:type="dxa" w:w="1047"/>
          </w:tcPr>
          <w:p>
            <w:pPr>
              <w:pStyle w:val="MDPI42tablebody"/>
              <w:keepNext/>
              <w:spacing w:line="240" w:lineRule="auto" w:before="30" w:after="30"/>
              <w:jc w:val="center"/>
            </w:pPr>
            <w:r>
              <w:rPr>
                <w:b w:val="0"/>
                <w:i w:val="0"/>
                <w:sz w:val="16"/>
              </w:rPr>
              <w:t>0.039</w:t>
            </w:r>
          </w:p>
        </w:tc>
        <w:tc>
          <w:tcPr>
            <w:tcW w:type="dxa" w:w="1047"/>
          </w:tcPr>
          <w:p>
            <w:pPr>
              <w:pStyle w:val="MDPI42tablebody"/>
              <w:keepNext/>
              <w:spacing w:line="240" w:lineRule="auto" w:before="30" w:after="30"/>
              <w:jc w:val="center"/>
            </w:pPr>
            <w:r>
              <w:rPr>
                <w:b w:val="0"/>
                <w:i w:val="0"/>
                <w:sz w:val="16"/>
              </w:rPr>
              <w:t>0.165</w:t>
            </w:r>
          </w:p>
        </w:tc>
      </w:tr>
      <w:tr>
        <w:trPr>
          <w:cantSplit/>
        </w:trPr>
        <w:tc>
          <w:tcPr>
            <w:tcW w:type="dxa" w:w="1574"/>
          </w:tcPr>
          <w:p>
            <w:pPr>
              <w:pStyle w:val="MDPI42tablebody"/>
              <w:keepNext/>
              <w:spacing w:line="240" w:lineRule="auto" w:before="30" w:after="30"/>
              <w:jc w:val="left"/>
            </w:pPr>
            <w:r>
              <w:rPr>
                <w:b w:val="0"/>
                <w:i/>
                <w:sz w:val="16"/>
              </w:rPr>
              <w:t>Growth</w:t>
            </w:r>
          </w:p>
        </w:tc>
        <w:tc>
          <w:tcPr>
            <w:tcW w:type="dxa" w:w="1047"/>
          </w:tcPr>
          <w:p>
            <w:pPr>
              <w:pStyle w:val="MDPI42tablebody"/>
              <w:keepNext/>
              <w:spacing w:line="240" w:lineRule="auto" w:before="30" w:after="30"/>
              <w:jc w:val="center"/>
            </w:pPr>
            <w:r>
              <w:rPr>
                <w:b w:val="0"/>
                <w:i w:val="0"/>
                <w:sz w:val="16"/>
              </w:rPr>
              <w:t>25,701</w:t>
            </w:r>
          </w:p>
        </w:tc>
        <w:tc>
          <w:tcPr>
            <w:tcW w:type="dxa" w:w="1047"/>
          </w:tcPr>
          <w:p>
            <w:pPr>
              <w:pStyle w:val="MDPI42tablebody"/>
              <w:keepNext/>
              <w:spacing w:line="240" w:lineRule="auto" w:before="30" w:after="30"/>
              <w:jc w:val="center"/>
            </w:pPr>
            <w:r>
              <w:rPr>
                <w:b w:val="0"/>
                <w:i w:val="0"/>
                <w:sz w:val="16"/>
              </w:rPr>
              <w:t>0.103</w:t>
            </w:r>
          </w:p>
        </w:tc>
        <w:tc>
          <w:tcPr>
            <w:tcW w:type="dxa" w:w="1047"/>
          </w:tcPr>
          <w:p>
            <w:pPr>
              <w:pStyle w:val="MDPI42tablebody"/>
              <w:keepNext/>
              <w:spacing w:line="240" w:lineRule="auto" w:before="30" w:after="30"/>
              <w:jc w:val="center"/>
            </w:pPr>
            <w:r>
              <w:rPr>
                <w:b w:val="0"/>
                <w:i w:val="0"/>
                <w:sz w:val="16"/>
              </w:rPr>
              <w:t>0.345</w:t>
            </w:r>
          </w:p>
        </w:tc>
        <w:tc>
          <w:tcPr>
            <w:tcW w:type="dxa" w:w="1047"/>
          </w:tcPr>
          <w:p>
            <w:pPr>
              <w:pStyle w:val="MDPI42tablebody"/>
              <w:keepNext/>
              <w:spacing w:line="240" w:lineRule="auto" w:before="30" w:after="30"/>
              <w:jc w:val="center"/>
            </w:pPr>
            <w:r>
              <w:rPr>
                <w:b w:val="0"/>
                <w:i w:val="0"/>
                <w:sz w:val="16"/>
              </w:rPr>
              <w:t>−0.719</w:t>
            </w:r>
          </w:p>
        </w:tc>
        <w:tc>
          <w:tcPr>
            <w:tcW w:type="dxa" w:w="1047"/>
          </w:tcPr>
          <w:p>
            <w:pPr>
              <w:pStyle w:val="MDPI42tablebody"/>
              <w:keepNext/>
              <w:spacing w:line="240" w:lineRule="auto" w:before="30" w:after="30"/>
              <w:jc w:val="center"/>
            </w:pPr>
            <w:r>
              <w:rPr>
                <w:b w:val="0"/>
                <w:i w:val="0"/>
                <w:sz w:val="16"/>
              </w:rPr>
              <w:t>0.106</w:t>
            </w:r>
          </w:p>
        </w:tc>
        <w:tc>
          <w:tcPr>
            <w:tcW w:type="dxa" w:w="1047"/>
          </w:tcPr>
          <w:p>
            <w:pPr>
              <w:pStyle w:val="MDPI42tablebody"/>
              <w:keepNext/>
              <w:spacing w:line="240" w:lineRule="auto" w:before="30" w:after="30"/>
              <w:jc w:val="center"/>
            </w:pPr>
            <w:r>
              <w:rPr>
                <w:b w:val="0"/>
                <w:i w:val="0"/>
                <w:sz w:val="16"/>
              </w:rPr>
              <w:t>0.903</w:t>
            </w:r>
          </w:p>
        </w:tc>
      </w:tr>
      <w:tr>
        <w:trPr>
          <w:cantSplit/>
        </w:trPr>
        <w:tc>
          <w:tcPr>
            <w:tcW w:type="dxa" w:w="1574"/>
          </w:tcPr>
          <w:p>
            <w:pPr>
              <w:pStyle w:val="MDPI42tablebody"/>
              <w:keepNext/>
              <w:spacing w:line="240" w:lineRule="auto" w:before="30" w:after="30"/>
              <w:jc w:val="left"/>
            </w:pPr>
            <w:r>
              <w:rPr>
                <w:b w:val="0"/>
                <w:i/>
                <w:sz w:val="16"/>
              </w:rPr>
              <w:t>Cashflow</w:t>
            </w:r>
          </w:p>
        </w:tc>
        <w:tc>
          <w:tcPr>
            <w:tcW w:type="dxa" w:w="1047"/>
          </w:tcPr>
          <w:p>
            <w:pPr>
              <w:pStyle w:val="MDPI42tablebody"/>
              <w:keepNext/>
              <w:spacing w:line="240" w:lineRule="auto" w:before="30" w:after="30"/>
              <w:jc w:val="center"/>
            </w:pPr>
            <w:r>
              <w:rPr>
                <w:b w:val="0"/>
                <w:i w:val="0"/>
                <w:sz w:val="16"/>
              </w:rPr>
              <w:t>25,701</w:t>
            </w:r>
          </w:p>
        </w:tc>
        <w:tc>
          <w:tcPr>
            <w:tcW w:type="dxa" w:w="1047"/>
          </w:tcPr>
          <w:p>
            <w:pPr>
              <w:pStyle w:val="MDPI42tablebody"/>
              <w:keepNext/>
              <w:spacing w:line="240" w:lineRule="auto" w:before="30" w:after="30"/>
              <w:jc w:val="center"/>
            </w:pPr>
            <w:r>
              <w:rPr>
                <w:b w:val="0"/>
                <w:i w:val="0"/>
                <w:sz w:val="16"/>
              </w:rPr>
              <w:t>0.050</w:t>
            </w:r>
          </w:p>
        </w:tc>
        <w:tc>
          <w:tcPr>
            <w:tcW w:type="dxa" w:w="1047"/>
          </w:tcPr>
          <w:p>
            <w:pPr>
              <w:pStyle w:val="MDPI42tablebody"/>
              <w:keepNext/>
              <w:spacing w:line="240" w:lineRule="auto" w:before="30" w:after="30"/>
              <w:jc w:val="center"/>
            </w:pPr>
            <w:r>
              <w:rPr>
                <w:b w:val="0"/>
                <w:i w:val="0"/>
                <w:sz w:val="16"/>
              </w:rPr>
              <w:t>0.062</w:t>
            </w:r>
          </w:p>
        </w:tc>
        <w:tc>
          <w:tcPr>
            <w:tcW w:type="dxa" w:w="1047"/>
          </w:tcPr>
          <w:p>
            <w:pPr>
              <w:pStyle w:val="MDPI42tablebody"/>
              <w:keepNext/>
              <w:spacing w:line="240" w:lineRule="auto" w:before="30" w:after="30"/>
              <w:jc w:val="center"/>
            </w:pPr>
            <w:r>
              <w:rPr>
                <w:b w:val="0"/>
                <w:i w:val="0"/>
                <w:sz w:val="16"/>
              </w:rPr>
              <w:t>−0.093</w:t>
            </w:r>
          </w:p>
        </w:tc>
        <w:tc>
          <w:tcPr>
            <w:tcW w:type="dxa" w:w="1047"/>
          </w:tcPr>
          <w:p>
            <w:pPr>
              <w:pStyle w:val="MDPI42tablebody"/>
              <w:keepNext/>
              <w:spacing w:line="240" w:lineRule="auto" w:before="30" w:after="30"/>
              <w:jc w:val="center"/>
            </w:pPr>
            <w:r>
              <w:rPr>
                <w:b w:val="0"/>
                <w:i w:val="0"/>
                <w:sz w:val="16"/>
              </w:rPr>
              <w:t>0.049</w:t>
            </w:r>
          </w:p>
        </w:tc>
        <w:tc>
          <w:tcPr>
            <w:tcW w:type="dxa" w:w="1047"/>
          </w:tcPr>
          <w:p>
            <w:pPr>
              <w:pStyle w:val="MDPI42tablebody"/>
              <w:keepNext/>
              <w:spacing w:line="240" w:lineRule="auto" w:before="30" w:after="30"/>
              <w:jc w:val="center"/>
            </w:pPr>
            <w:r>
              <w:rPr>
                <w:b w:val="0"/>
                <w:i w:val="0"/>
                <w:sz w:val="16"/>
              </w:rPr>
              <w:t>0.196</w:t>
            </w:r>
          </w:p>
        </w:tc>
      </w:tr>
      <w:tr>
        <w:trPr>
          <w:cantSplit/>
        </w:trPr>
        <w:tc>
          <w:tcPr>
            <w:tcW w:type="dxa" w:w="1574"/>
          </w:tcPr>
          <w:p>
            <w:pPr>
              <w:pStyle w:val="MDPI42tablebody"/>
              <w:keepNext/>
              <w:spacing w:line="240" w:lineRule="auto" w:before="30" w:after="30"/>
              <w:jc w:val="left"/>
            </w:pPr>
            <w:r>
              <w:rPr>
                <w:b w:val="0"/>
                <w:i/>
                <w:sz w:val="16"/>
              </w:rPr>
              <w:t>TobinQ</w:t>
            </w:r>
          </w:p>
        </w:tc>
        <w:tc>
          <w:tcPr>
            <w:tcW w:type="dxa" w:w="1047"/>
          </w:tcPr>
          <w:p>
            <w:pPr>
              <w:pStyle w:val="MDPI42tablebody"/>
              <w:keepNext/>
              <w:spacing w:line="240" w:lineRule="auto" w:before="30" w:after="30"/>
              <w:jc w:val="center"/>
            </w:pPr>
            <w:r>
              <w:rPr>
                <w:b w:val="0"/>
                <w:i w:val="0"/>
                <w:sz w:val="16"/>
              </w:rPr>
              <w:t>25,701</w:t>
            </w:r>
          </w:p>
        </w:tc>
        <w:tc>
          <w:tcPr>
            <w:tcW w:type="dxa" w:w="1047"/>
          </w:tcPr>
          <w:p>
            <w:pPr>
              <w:pStyle w:val="MDPI42tablebody"/>
              <w:keepNext/>
              <w:spacing w:line="240" w:lineRule="auto" w:before="30" w:after="30"/>
              <w:jc w:val="center"/>
            </w:pPr>
            <w:r>
              <w:rPr>
                <w:b w:val="0"/>
                <w:i w:val="0"/>
                <w:sz w:val="16"/>
              </w:rPr>
              <w:t>2.052</w:t>
            </w:r>
          </w:p>
        </w:tc>
        <w:tc>
          <w:tcPr>
            <w:tcW w:type="dxa" w:w="1047"/>
          </w:tcPr>
          <w:p>
            <w:pPr>
              <w:pStyle w:val="MDPI42tablebody"/>
              <w:keepNext/>
              <w:spacing w:line="240" w:lineRule="auto" w:before="30" w:after="30"/>
              <w:jc w:val="center"/>
            </w:pPr>
            <w:r>
              <w:rPr>
                <w:b w:val="0"/>
                <w:i w:val="0"/>
                <w:sz w:val="16"/>
              </w:rPr>
              <w:t>0.911</w:t>
            </w:r>
          </w:p>
        </w:tc>
        <w:tc>
          <w:tcPr>
            <w:tcW w:type="dxa" w:w="1047"/>
          </w:tcPr>
          <w:p>
            <w:pPr>
              <w:pStyle w:val="MDPI42tablebody"/>
              <w:keepNext/>
              <w:spacing w:line="240" w:lineRule="auto" w:before="30" w:after="30"/>
              <w:jc w:val="center"/>
            </w:pPr>
            <w:r>
              <w:rPr>
                <w:b w:val="0"/>
                <w:i w:val="0"/>
                <w:sz w:val="16"/>
              </w:rPr>
              <w:t>0.672</w:t>
            </w:r>
          </w:p>
        </w:tc>
        <w:tc>
          <w:tcPr>
            <w:tcW w:type="dxa" w:w="1047"/>
          </w:tcPr>
          <w:p>
            <w:pPr>
              <w:pStyle w:val="MDPI42tablebody"/>
              <w:keepNext/>
              <w:spacing w:line="240" w:lineRule="auto" w:before="30" w:after="30"/>
              <w:jc w:val="center"/>
            </w:pPr>
            <w:r>
              <w:rPr>
                <w:b w:val="0"/>
                <w:i w:val="0"/>
                <w:sz w:val="16"/>
              </w:rPr>
              <w:t>1.862</w:t>
            </w:r>
          </w:p>
        </w:tc>
        <w:tc>
          <w:tcPr>
            <w:tcW w:type="dxa" w:w="1047"/>
          </w:tcPr>
          <w:p>
            <w:pPr>
              <w:pStyle w:val="MDPI42tablebody"/>
              <w:keepNext/>
              <w:spacing w:line="240" w:lineRule="auto" w:before="30" w:after="30"/>
              <w:jc w:val="center"/>
            </w:pPr>
            <w:r>
              <w:rPr>
                <w:b w:val="0"/>
                <w:i w:val="0"/>
                <w:sz w:val="16"/>
              </w:rPr>
              <w:t>5.160</w:t>
            </w:r>
          </w:p>
        </w:tc>
      </w:tr>
      <w:tr>
        <w:trPr>
          <w:cantSplit/>
        </w:trPr>
        <w:tc>
          <w:tcPr>
            <w:tcW w:type="dxa" w:w="1574"/>
          </w:tcPr>
          <w:p>
            <w:pPr>
              <w:pStyle w:val="MDPI42tablebody"/>
              <w:keepNext/>
              <w:spacing w:line="240" w:lineRule="auto" w:before="30" w:after="30"/>
              <w:jc w:val="left"/>
            </w:pPr>
            <w:r>
              <w:rPr>
                <w:b w:val="0"/>
                <w:i/>
                <w:sz w:val="16"/>
              </w:rPr>
              <w:t>Top1</w:t>
            </w:r>
          </w:p>
        </w:tc>
        <w:tc>
          <w:tcPr>
            <w:tcW w:type="dxa" w:w="1047"/>
          </w:tcPr>
          <w:p>
            <w:pPr>
              <w:pStyle w:val="MDPI42tablebody"/>
              <w:keepNext/>
              <w:spacing w:line="240" w:lineRule="auto" w:before="30" w:after="30"/>
              <w:jc w:val="center"/>
            </w:pPr>
            <w:r>
              <w:rPr>
                <w:b w:val="0"/>
                <w:i w:val="0"/>
                <w:sz w:val="16"/>
              </w:rPr>
              <w:t>25,701</w:t>
            </w:r>
          </w:p>
        </w:tc>
        <w:tc>
          <w:tcPr>
            <w:tcW w:type="dxa" w:w="1047"/>
          </w:tcPr>
          <w:p>
            <w:pPr>
              <w:pStyle w:val="MDPI42tablebody"/>
              <w:keepNext/>
              <w:spacing w:line="240" w:lineRule="auto" w:before="30" w:after="30"/>
              <w:jc w:val="center"/>
            </w:pPr>
            <w:r>
              <w:rPr>
                <w:b w:val="0"/>
                <w:i w:val="0"/>
                <w:sz w:val="16"/>
              </w:rPr>
              <w:t>0.341</w:t>
            </w:r>
          </w:p>
        </w:tc>
        <w:tc>
          <w:tcPr>
            <w:tcW w:type="dxa" w:w="1047"/>
          </w:tcPr>
          <w:p>
            <w:pPr>
              <w:pStyle w:val="MDPI42tablebody"/>
              <w:keepNext/>
              <w:spacing w:line="240" w:lineRule="auto" w:before="30" w:after="30"/>
              <w:jc w:val="center"/>
            </w:pPr>
            <w:r>
              <w:rPr>
                <w:b w:val="0"/>
                <w:i w:val="0"/>
                <w:sz w:val="16"/>
              </w:rPr>
              <w:t>0.144</w:t>
            </w:r>
          </w:p>
        </w:tc>
        <w:tc>
          <w:tcPr>
            <w:tcW w:type="dxa" w:w="1047"/>
          </w:tcPr>
          <w:p>
            <w:pPr>
              <w:pStyle w:val="MDPI42tablebody"/>
              <w:keepNext/>
              <w:spacing w:line="240" w:lineRule="auto" w:before="30" w:after="30"/>
              <w:jc w:val="center"/>
            </w:pPr>
            <w:r>
              <w:rPr>
                <w:b w:val="0"/>
                <w:i w:val="0"/>
                <w:sz w:val="16"/>
              </w:rPr>
              <w:t>0.030</w:t>
            </w:r>
          </w:p>
        </w:tc>
        <w:tc>
          <w:tcPr>
            <w:tcW w:type="dxa" w:w="1047"/>
          </w:tcPr>
          <w:p>
            <w:pPr>
              <w:pStyle w:val="MDPI42tablebody"/>
              <w:keepNext/>
              <w:spacing w:line="240" w:lineRule="auto" w:before="30" w:after="30"/>
              <w:jc w:val="center"/>
            </w:pPr>
            <w:r>
              <w:rPr>
                <w:b w:val="0"/>
                <w:i w:val="0"/>
                <w:sz w:val="16"/>
              </w:rPr>
              <w:t>0.338</w:t>
            </w:r>
          </w:p>
        </w:tc>
        <w:tc>
          <w:tcPr>
            <w:tcW w:type="dxa" w:w="1047"/>
          </w:tcPr>
          <w:p>
            <w:pPr>
              <w:pStyle w:val="MDPI42tablebody"/>
              <w:keepNext/>
              <w:spacing w:line="240" w:lineRule="auto" w:before="30" w:after="30"/>
              <w:jc w:val="center"/>
            </w:pPr>
            <w:r>
              <w:rPr>
                <w:b w:val="0"/>
                <w:i w:val="0"/>
                <w:sz w:val="16"/>
              </w:rPr>
              <w:t>0.857</w:t>
            </w:r>
          </w:p>
        </w:tc>
      </w:tr>
      <w:tr>
        <w:trPr>
          <w:cantSplit/>
        </w:trPr>
        <w:tc>
          <w:tcPr>
            <w:tcW w:type="dxa" w:w="1574"/>
          </w:tcPr>
          <w:p>
            <w:pPr>
              <w:pStyle w:val="MDPI42tablebody"/>
              <w:keepNext/>
              <w:spacing w:line="240" w:lineRule="auto" w:before="30" w:after="30"/>
              <w:jc w:val="left"/>
            </w:pPr>
            <w:r>
              <w:rPr>
                <w:b w:val="0"/>
                <w:i/>
                <w:sz w:val="16"/>
              </w:rPr>
              <w:t>Indep</w:t>
            </w:r>
          </w:p>
        </w:tc>
        <w:tc>
          <w:tcPr>
            <w:tcW w:type="dxa" w:w="1047"/>
          </w:tcPr>
          <w:p>
            <w:pPr>
              <w:pStyle w:val="MDPI42tablebody"/>
              <w:keepNext/>
              <w:spacing w:line="240" w:lineRule="auto" w:before="30" w:after="30"/>
              <w:jc w:val="center"/>
            </w:pPr>
            <w:r>
              <w:rPr>
                <w:b w:val="0"/>
                <w:i w:val="0"/>
                <w:sz w:val="16"/>
              </w:rPr>
              <w:t>25,701</w:t>
            </w:r>
          </w:p>
        </w:tc>
        <w:tc>
          <w:tcPr>
            <w:tcW w:type="dxa" w:w="1047"/>
          </w:tcPr>
          <w:p>
            <w:pPr>
              <w:pStyle w:val="MDPI42tablebody"/>
              <w:keepNext/>
              <w:spacing w:line="240" w:lineRule="auto" w:before="30" w:after="30"/>
              <w:jc w:val="center"/>
            </w:pPr>
            <w:r>
              <w:rPr>
                <w:b w:val="0"/>
                <w:i w:val="0"/>
                <w:sz w:val="16"/>
              </w:rPr>
              <w:t>0.376</w:t>
            </w:r>
          </w:p>
        </w:tc>
        <w:tc>
          <w:tcPr>
            <w:tcW w:type="dxa" w:w="1047"/>
          </w:tcPr>
          <w:p>
            <w:pPr>
              <w:pStyle w:val="MDPI42tablebody"/>
              <w:keepNext/>
              <w:spacing w:line="240" w:lineRule="auto" w:before="30" w:after="30"/>
              <w:jc w:val="center"/>
            </w:pPr>
            <w:r>
              <w:rPr>
                <w:b w:val="0"/>
                <w:i w:val="0"/>
                <w:sz w:val="16"/>
              </w:rPr>
              <w:t>0.054</w:t>
            </w:r>
          </w:p>
        </w:tc>
        <w:tc>
          <w:tcPr>
            <w:tcW w:type="dxa" w:w="1047"/>
          </w:tcPr>
          <w:p>
            <w:pPr>
              <w:pStyle w:val="MDPI42tablebody"/>
              <w:keepNext/>
              <w:spacing w:line="240" w:lineRule="auto" w:before="30" w:after="30"/>
              <w:jc w:val="center"/>
            </w:pPr>
            <w:r>
              <w:rPr>
                <w:b w:val="0"/>
                <w:i w:val="0"/>
                <w:sz w:val="16"/>
              </w:rPr>
              <w:t>0.216</w:t>
            </w:r>
          </w:p>
        </w:tc>
        <w:tc>
          <w:tcPr>
            <w:tcW w:type="dxa" w:w="1047"/>
          </w:tcPr>
          <w:p>
            <w:pPr>
              <w:pStyle w:val="MDPI42tablebody"/>
              <w:keepNext/>
              <w:spacing w:line="240" w:lineRule="auto" w:before="30" w:after="30"/>
              <w:jc w:val="center"/>
            </w:pPr>
            <w:r>
              <w:rPr>
                <w:b w:val="0"/>
                <w:i w:val="0"/>
                <w:sz w:val="16"/>
              </w:rPr>
              <w:t>0.376</w:t>
            </w:r>
          </w:p>
        </w:tc>
        <w:tc>
          <w:tcPr>
            <w:tcW w:type="dxa" w:w="1047"/>
          </w:tcPr>
          <w:p>
            <w:pPr>
              <w:pStyle w:val="MDPI42tablebody"/>
              <w:keepNext/>
              <w:spacing w:line="240" w:lineRule="auto" w:before="30" w:after="30"/>
              <w:jc w:val="center"/>
            </w:pPr>
            <w:r>
              <w:rPr>
                <w:b w:val="0"/>
                <w:i w:val="0"/>
                <w:sz w:val="16"/>
              </w:rPr>
              <w:t>0.561</w:t>
            </w:r>
          </w:p>
        </w:tc>
      </w:tr>
      <w:tr>
        <w:trPr>
          <w:cantSplit/>
        </w:trPr>
        <w:tc>
          <w:tcPr>
            <w:tcW w:type="dxa" w:w="1574"/>
          </w:tcPr>
          <w:p>
            <w:pPr>
              <w:pStyle w:val="MDPI42tablebody"/>
              <w:keepNext/>
              <w:spacing w:line="240" w:lineRule="auto" w:before="30" w:after="30"/>
              <w:jc w:val="left"/>
            </w:pPr>
            <w:r>
              <w:rPr>
                <w:b w:val="0"/>
                <w:i/>
                <w:sz w:val="16"/>
              </w:rPr>
              <w:t>Dual</w:t>
            </w:r>
          </w:p>
        </w:tc>
        <w:tc>
          <w:tcPr>
            <w:tcW w:type="dxa" w:w="1047"/>
          </w:tcPr>
          <w:p>
            <w:pPr>
              <w:pStyle w:val="MDPI42tablebody"/>
              <w:keepNext/>
              <w:spacing w:line="240" w:lineRule="auto" w:before="30" w:after="30"/>
              <w:jc w:val="center"/>
            </w:pPr>
            <w:r>
              <w:rPr>
                <w:b w:val="0"/>
                <w:i w:val="0"/>
                <w:sz w:val="16"/>
              </w:rPr>
              <w:t>25,701</w:t>
            </w:r>
          </w:p>
        </w:tc>
        <w:tc>
          <w:tcPr>
            <w:tcW w:type="dxa" w:w="1047"/>
          </w:tcPr>
          <w:p>
            <w:pPr>
              <w:pStyle w:val="MDPI42tablebody"/>
              <w:keepNext/>
              <w:spacing w:line="240" w:lineRule="auto" w:before="30" w:after="30"/>
              <w:jc w:val="center"/>
            </w:pPr>
            <w:r>
              <w:rPr>
                <w:b w:val="0"/>
                <w:i w:val="0"/>
                <w:sz w:val="16"/>
              </w:rPr>
              <w:t>0.306</w:t>
            </w:r>
          </w:p>
        </w:tc>
        <w:tc>
          <w:tcPr>
            <w:tcW w:type="dxa" w:w="1047"/>
          </w:tcPr>
          <w:p>
            <w:pPr>
              <w:pStyle w:val="MDPI42tablebody"/>
              <w:keepNext/>
              <w:spacing w:line="240" w:lineRule="auto" w:before="30" w:after="30"/>
              <w:jc w:val="center"/>
            </w:pPr>
            <w:r>
              <w:rPr>
                <w:b w:val="0"/>
                <w:i w:val="0"/>
                <w:sz w:val="16"/>
              </w:rPr>
              <w:t>0.461</w:t>
            </w:r>
          </w:p>
        </w:tc>
        <w:tc>
          <w:tcPr>
            <w:tcW w:type="dxa" w:w="1047"/>
          </w:tcPr>
          <w:p>
            <w:pPr>
              <w:pStyle w:val="MDPI42tablebody"/>
              <w:keepNext/>
              <w:spacing w:line="240" w:lineRule="auto" w:before="30" w:after="30"/>
              <w:jc w:val="center"/>
            </w:pPr>
            <w:r>
              <w:rPr>
                <w:b w:val="0"/>
                <w:i w:val="0"/>
                <w:sz w:val="16"/>
              </w:rPr>
              <w:t>0.000</w:t>
            </w:r>
          </w:p>
        </w:tc>
        <w:tc>
          <w:tcPr>
            <w:tcW w:type="dxa" w:w="1047"/>
          </w:tcPr>
          <w:p>
            <w:pPr>
              <w:pStyle w:val="MDPI42tablebody"/>
              <w:keepNext/>
              <w:spacing w:line="240" w:lineRule="auto" w:before="30" w:after="30"/>
              <w:jc w:val="center"/>
            </w:pPr>
            <w:r>
              <w:rPr>
                <w:b w:val="0"/>
                <w:i w:val="0"/>
                <w:sz w:val="16"/>
              </w:rPr>
              <w:t>0.000</w:t>
            </w:r>
          </w:p>
        </w:tc>
        <w:tc>
          <w:tcPr>
            <w:tcW w:type="dxa" w:w="1047"/>
          </w:tcPr>
          <w:p>
            <w:pPr>
              <w:pStyle w:val="MDPI42tablebody"/>
              <w:keepNext/>
              <w:spacing w:line="240" w:lineRule="auto" w:before="30" w:after="30"/>
              <w:jc w:val="center"/>
            </w:pPr>
            <w:r>
              <w:rPr>
                <w:b w:val="0"/>
                <w:i w:val="0"/>
                <w:sz w:val="16"/>
              </w:rPr>
              <w:t>1.000</w:t>
            </w:r>
          </w:p>
        </w:tc>
      </w:tr>
      <w:tr>
        <w:trPr>
          <w:cantSplit/>
        </w:trPr>
        <w:tc>
          <w:tcPr>
            <w:tcW w:type="dxa" w:w="1574"/>
          </w:tcPr>
          <w:p>
            <w:pPr>
              <w:pStyle w:val="MDPI42tablebody"/>
              <w:keepNext/>
              <w:spacing w:line="240" w:lineRule="auto" w:before="30" w:after="30"/>
              <w:jc w:val="left"/>
            </w:pPr>
            <w:r>
              <w:rPr>
                <w:b w:val="0"/>
                <w:i/>
                <w:sz w:val="16"/>
              </w:rPr>
              <w:t>Board</w:t>
            </w:r>
          </w:p>
        </w:tc>
        <w:tc>
          <w:tcPr>
            <w:tcW w:type="dxa" w:w="1047"/>
          </w:tcPr>
          <w:p>
            <w:pPr>
              <w:pStyle w:val="MDPI42tablebody"/>
              <w:keepNext/>
              <w:spacing w:line="240" w:lineRule="auto" w:before="30" w:after="30"/>
              <w:jc w:val="center"/>
            </w:pPr>
            <w:r>
              <w:rPr>
                <w:b w:val="0"/>
                <w:i w:val="0"/>
                <w:sz w:val="16"/>
              </w:rPr>
              <w:t>25,701</w:t>
            </w:r>
          </w:p>
        </w:tc>
        <w:tc>
          <w:tcPr>
            <w:tcW w:type="dxa" w:w="1047"/>
          </w:tcPr>
          <w:p>
            <w:pPr>
              <w:pStyle w:val="MDPI42tablebody"/>
              <w:keepNext/>
              <w:spacing w:line="240" w:lineRule="auto" w:before="30" w:after="30"/>
              <w:jc w:val="center"/>
            </w:pPr>
            <w:r>
              <w:rPr>
                <w:b w:val="0"/>
                <w:i w:val="0"/>
                <w:sz w:val="16"/>
              </w:rPr>
              <w:t>2.168</w:t>
            </w:r>
          </w:p>
        </w:tc>
        <w:tc>
          <w:tcPr>
            <w:tcW w:type="dxa" w:w="1047"/>
          </w:tcPr>
          <w:p>
            <w:pPr>
              <w:pStyle w:val="MDPI42tablebody"/>
              <w:keepNext/>
              <w:spacing w:line="240" w:lineRule="auto" w:before="30" w:after="30"/>
              <w:jc w:val="center"/>
            </w:pPr>
            <w:r>
              <w:rPr>
                <w:b w:val="0"/>
                <w:i w:val="0"/>
                <w:sz w:val="16"/>
              </w:rPr>
              <w:t>0.149</w:t>
            </w:r>
          </w:p>
        </w:tc>
        <w:tc>
          <w:tcPr>
            <w:tcW w:type="dxa" w:w="1047"/>
          </w:tcPr>
          <w:p>
            <w:pPr>
              <w:pStyle w:val="MDPI42tablebody"/>
              <w:keepNext/>
              <w:spacing w:line="240" w:lineRule="auto" w:before="30" w:after="30"/>
              <w:jc w:val="center"/>
            </w:pPr>
            <w:r>
              <w:rPr>
                <w:b w:val="0"/>
                <w:i w:val="0"/>
                <w:sz w:val="16"/>
              </w:rPr>
              <w:t>1.610</w:t>
            </w:r>
          </w:p>
        </w:tc>
        <w:tc>
          <w:tcPr>
            <w:tcW w:type="dxa" w:w="1047"/>
          </w:tcPr>
          <w:p>
            <w:pPr>
              <w:pStyle w:val="MDPI42tablebody"/>
              <w:keepNext/>
              <w:spacing w:line="240" w:lineRule="auto" w:before="30" w:after="30"/>
              <w:jc w:val="center"/>
            </w:pPr>
            <w:r>
              <w:rPr>
                <w:b w:val="0"/>
                <w:i w:val="0"/>
                <w:sz w:val="16"/>
              </w:rPr>
              <w:t>2.167</w:t>
            </w:r>
          </w:p>
        </w:tc>
        <w:tc>
          <w:tcPr>
            <w:tcW w:type="dxa" w:w="1047"/>
          </w:tcPr>
          <w:p>
            <w:pPr>
              <w:pStyle w:val="MDPI42tablebody"/>
              <w:keepNext/>
              <w:spacing w:line="240" w:lineRule="auto" w:before="30" w:after="30"/>
              <w:jc w:val="center"/>
            </w:pPr>
            <w:r>
              <w:rPr>
                <w:b w:val="0"/>
                <w:i w:val="0"/>
                <w:sz w:val="16"/>
              </w:rPr>
              <w:t>2.736</w:t>
            </w:r>
          </w:p>
        </w:tc>
      </w:tr>
      <w:tr>
        <w:trPr>
          <w:cantSplit/>
        </w:trPr>
        <w:tc>
          <w:tcPr>
            <w:tcW w:type="dxa" w:w="1574"/>
          </w:tcPr>
          <w:p>
            <w:pPr>
              <w:pStyle w:val="MDPI42tablebody"/>
              <w:spacing w:line="240" w:lineRule="auto" w:before="30" w:after="30"/>
              <w:jc w:val="left"/>
            </w:pPr>
            <w:r>
              <w:rPr>
                <w:b w:val="0"/>
                <w:i/>
                <w:sz w:val="16"/>
              </w:rPr>
              <w:t>CapInt</w:t>
            </w:r>
          </w:p>
        </w:tc>
        <w:tc>
          <w:tcPr>
            <w:tcW w:type="dxa" w:w="1047"/>
          </w:tcPr>
          <w:p>
            <w:pPr>
              <w:pStyle w:val="MDPI42tablebody"/>
              <w:spacing w:line="240" w:lineRule="auto" w:before="30" w:after="30"/>
              <w:jc w:val="center"/>
            </w:pPr>
            <w:r>
              <w:rPr>
                <w:b w:val="0"/>
                <w:i w:val="0"/>
                <w:sz w:val="16"/>
              </w:rPr>
              <w:t>25,701</w:t>
            </w:r>
          </w:p>
        </w:tc>
        <w:tc>
          <w:tcPr>
            <w:tcW w:type="dxa" w:w="1047"/>
          </w:tcPr>
          <w:p>
            <w:pPr>
              <w:pStyle w:val="MDPI42tablebody"/>
              <w:spacing w:line="240" w:lineRule="auto" w:before="30" w:after="30"/>
              <w:jc w:val="center"/>
            </w:pPr>
            <w:r>
              <w:rPr>
                <w:b w:val="0"/>
                <w:i w:val="0"/>
                <w:sz w:val="16"/>
              </w:rPr>
              <w:t>13.035</w:t>
            </w:r>
          </w:p>
        </w:tc>
        <w:tc>
          <w:tcPr>
            <w:tcW w:type="dxa" w:w="1047"/>
          </w:tcPr>
          <w:p>
            <w:pPr>
              <w:pStyle w:val="MDPI42tablebody"/>
              <w:spacing w:line="240" w:lineRule="auto" w:before="30" w:after="30"/>
              <w:jc w:val="center"/>
            </w:pPr>
            <w:r>
              <w:rPr>
                <w:b w:val="0"/>
                <w:i w:val="0"/>
                <w:sz w:val="16"/>
              </w:rPr>
              <w:t>1.028</w:t>
            </w:r>
          </w:p>
        </w:tc>
        <w:tc>
          <w:tcPr>
            <w:tcW w:type="dxa" w:w="1047"/>
          </w:tcPr>
          <w:p>
            <w:pPr>
              <w:pStyle w:val="MDPI42tablebody"/>
              <w:spacing w:line="240" w:lineRule="auto" w:before="30" w:after="30"/>
              <w:jc w:val="center"/>
            </w:pPr>
            <w:r>
              <w:rPr>
                <w:b w:val="0"/>
                <w:i w:val="0"/>
                <w:sz w:val="16"/>
              </w:rPr>
              <w:t>10.659</w:t>
            </w:r>
          </w:p>
        </w:tc>
        <w:tc>
          <w:tcPr>
            <w:tcW w:type="dxa" w:w="1047"/>
          </w:tcPr>
          <w:p>
            <w:pPr>
              <w:pStyle w:val="MDPI42tablebody"/>
              <w:spacing w:line="240" w:lineRule="auto" w:before="30" w:after="30"/>
              <w:jc w:val="center"/>
            </w:pPr>
            <w:r>
              <w:rPr>
                <w:b w:val="0"/>
                <w:i w:val="0"/>
                <w:sz w:val="16"/>
              </w:rPr>
              <w:t>13.053</w:t>
            </w:r>
          </w:p>
        </w:tc>
        <w:tc>
          <w:tcPr>
            <w:tcW w:type="dxa" w:w="1047"/>
          </w:tcPr>
          <w:p>
            <w:pPr>
              <w:pStyle w:val="MDPI42tablebody"/>
              <w:spacing w:line="240" w:lineRule="auto" w:before="30" w:after="30"/>
              <w:jc w:val="center"/>
            </w:pPr>
            <w:r>
              <w:rPr>
                <w:b w:val="0"/>
                <w:i w:val="0"/>
                <w:sz w:val="16"/>
              </w:rPr>
              <w:t>15.479</w:t>
            </w:r>
          </w:p>
        </w:tc>
      </w:tr>
    </w:tbl>
    <w:p>
      <w:pPr>
        <w:pStyle w:val="MDPI43tablefooter"/>
        <w:spacing w:line="240" w:lineRule="auto" w:before="40" w:after="200"/>
        <w:ind w:left="2608" w:firstLine="0"/>
      </w:pPr>
      <w:r>
        <w:rPr>
          <w:sz w:val="16"/>
        </w:rPr>
        <w:t xml:space="preserve">Note: </w:t>
      </w:r>
      <w:r>
        <w:rPr>
          <w:b w:val="0"/>
          <w:i w:val="0"/>
          <w:sz w:val="16"/>
        </w:rPr>
        <w:t>The sample comprises 25,701 firm-year observations for 3,000 Chinese A-share listed firms over 2016–2024. All continuous variables are winsorized at the first and ninety-ninth percentiles. Source: authors’ own calculations.</w:t>
      </w:r>
    </w:p>
    <w:p>
      <w:pPr>
        <w:pStyle w:val="MDPI31text"/>
      </w:pPr>
      <w:r>
        <w:rPr>
          <w:b w:val="0"/>
          <w:i w:val="0"/>
        </w:rPr>
        <w:t>Table 3 reports the pairwise Pearson correlations together with the variance inflation factors of the benchmark regressors computed after the two-way within transformation. Adoption is negatively correlated with the youth employment share (−0.214), with training expenditure (−0.303) and with the routine task base (−0.227), which is the raw pattern the hypotheses predict. The largest variance inflation factor is 1.12, far below the conventional threshold of five, so multicollinearity does not threaten the estimates.</w:t>
      </w:r>
    </w:p>
    <w:p>
      <w:pPr>
        <w:pStyle w:val="MDPI41tablecaption"/>
        <w:keepNext/>
        <w:spacing w:after="60"/>
      </w:pPr>
      <w:r>
        <w:rPr>
          <w:b/>
          <w:sz w:val="18"/>
        </w:rPr>
        <w:t xml:space="preserve">Table 3. </w:t>
      </w:r>
      <w:r>
        <w:rPr>
          <w:b w:val="0"/>
          <w:i w:val="0"/>
          <w:sz w:val="18"/>
        </w:rPr>
        <w:t>Pearson correlation coefficients and variance inflation factors.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180"/>
        <w:gridCol w:w="695"/>
        <w:gridCol w:w="695"/>
        <w:gridCol w:w="695"/>
        <w:gridCol w:w="695"/>
        <w:gridCol w:w="695"/>
        <w:gridCol w:w="695"/>
        <w:gridCol w:w="695"/>
        <w:gridCol w:w="695"/>
        <w:gridCol w:w="695"/>
        <w:gridCol w:w="695"/>
        <w:gridCol w:w="906"/>
        <w:gridCol w:w="695"/>
        <w:gridCol w:w="727"/>
      </w:tblGrid>
      <w:tr>
        <w:trPr>
          <w:cantSplit/>
          <w:tblHeader/>
        </w:trPr>
        <w:tc>
          <w:tcPr>
            <w:tcW w:type="dxa" w:w="1180"/>
            <w:tcBorders>
              <w:bottom w:val="single" w:sz="8" w:space="0" w:color="auto"/>
            </w:tcBorders>
          </w:tcPr>
          <w:p>
            <w:pPr>
              <w:pStyle w:val="MDPI42tablebody"/>
              <w:keepNext/>
              <w:spacing w:line="240" w:lineRule="auto" w:before="30" w:after="30"/>
              <w:jc w:val="center"/>
            </w:pPr>
            <w:r>
              <w:rPr>
                <w:b/>
                <w:i w:val="0"/>
                <w:sz w:val="12"/>
              </w:rPr>
              <w:t>Variable</w:t>
            </w:r>
          </w:p>
        </w:tc>
        <w:tc>
          <w:tcPr>
            <w:tcW w:type="dxa" w:w="695"/>
            <w:tcBorders>
              <w:bottom w:val="single" w:sz="8" w:space="0" w:color="auto"/>
            </w:tcBorders>
          </w:tcPr>
          <w:p>
            <w:pPr>
              <w:pStyle w:val="MDPI42tablebody"/>
              <w:keepNext/>
              <w:spacing w:line="240" w:lineRule="auto" w:before="30" w:after="30"/>
              <w:jc w:val="center"/>
            </w:pPr>
            <w:r>
              <w:rPr>
                <w:b/>
                <w:i w:val="0"/>
                <w:sz w:val="12"/>
              </w:rPr>
              <w:t>GenAI</w:t>
            </w:r>
          </w:p>
        </w:tc>
        <w:tc>
          <w:tcPr>
            <w:tcW w:type="dxa" w:w="695"/>
            <w:tcBorders>
              <w:bottom w:val="single" w:sz="8" w:space="0" w:color="auto"/>
            </w:tcBorders>
          </w:tcPr>
          <w:p>
            <w:pPr>
              <w:pStyle w:val="MDPI42tablebody"/>
              <w:keepNext/>
              <w:spacing w:line="240" w:lineRule="auto" w:before="30" w:after="30"/>
              <w:jc w:val="center"/>
            </w:pPr>
            <w:r>
              <w:rPr>
                <w:b/>
                <w:i w:val="0"/>
                <w:sz w:val="12"/>
              </w:rPr>
              <w:t>Youth</w:t>
            </w:r>
          </w:p>
        </w:tc>
        <w:tc>
          <w:tcPr>
            <w:tcW w:type="dxa" w:w="695"/>
            <w:tcBorders>
              <w:bottom w:val="single" w:sz="8" w:space="0" w:color="auto"/>
            </w:tcBorders>
          </w:tcPr>
          <w:p>
            <w:pPr>
              <w:pStyle w:val="MDPI42tablebody"/>
              <w:keepNext/>
              <w:spacing w:line="240" w:lineRule="auto" w:before="30" w:after="30"/>
              <w:jc w:val="center"/>
            </w:pPr>
            <w:r>
              <w:rPr>
                <w:b/>
                <w:i w:val="0"/>
                <w:sz w:val="12"/>
              </w:rPr>
              <w:t>Train</w:t>
            </w:r>
          </w:p>
        </w:tc>
        <w:tc>
          <w:tcPr>
            <w:tcW w:type="dxa" w:w="695"/>
            <w:tcBorders>
              <w:bottom w:val="single" w:sz="8" w:space="0" w:color="auto"/>
            </w:tcBorders>
          </w:tcPr>
          <w:p>
            <w:pPr>
              <w:pStyle w:val="MDPI42tablebody"/>
              <w:keepNext/>
              <w:spacing w:line="240" w:lineRule="auto" w:before="30" w:after="30"/>
              <w:jc w:val="center"/>
            </w:pPr>
            <w:r>
              <w:rPr>
                <w:b/>
                <w:i w:val="0"/>
                <w:sz w:val="12"/>
              </w:rPr>
              <w:t>Routine</w:t>
            </w:r>
          </w:p>
        </w:tc>
        <w:tc>
          <w:tcPr>
            <w:tcW w:type="dxa" w:w="695"/>
            <w:tcBorders>
              <w:bottom w:val="single" w:sz="8" w:space="0" w:color="auto"/>
            </w:tcBorders>
          </w:tcPr>
          <w:p>
            <w:pPr>
              <w:pStyle w:val="MDPI42tablebody"/>
              <w:keepNext/>
              <w:spacing w:line="240" w:lineRule="auto" w:before="30" w:after="30"/>
              <w:jc w:val="center"/>
            </w:pPr>
            <w:r>
              <w:rPr>
                <w:b/>
                <w:i w:val="0"/>
                <w:sz w:val="12"/>
              </w:rPr>
              <w:t>Absorp</w:t>
            </w:r>
          </w:p>
        </w:tc>
        <w:tc>
          <w:tcPr>
            <w:tcW w:type="dxa" w:w="695"/>
            <w:tcBorders>
              <w:bottom w:val="single" w:sz="8" w:space="0" w:color="auto"/>
            </w:tcBorders>
          </w:tcPr>
          <w:p>
            <w:pPr>
              <w:pStyle w:val="MDPI42tablebody"/>
              <w:keepNext/>
              <w:spacing w:line="240" w:lineRule="auto" w:before="30" w:after="30"/>
              <w:jc w:val="center"/>
            </w:pPr>
            <w:r>
              <w:rPr>
                <w:b/>
                <w:i w:val="0"/>
                <w:sz w:val="12"/>
              </w:rPr>
              <w:t>Wage</w:t>
            </w:r>
          </w:p>
        </w:tc>
        <w:tc>
          <w:tcPr>
            <w:tcW w:type="dxa" w:w="695"/>
            <w:tcBorders>
              <w:bottom w:val="single" w:sz="8" w:space="0" w:color="auto"/>
            </w:tcBorders>
          </w:tcPr>
          <w:p>
            <w:pPr>
              <w:pStyle w:val="MDPI42tablebody"/>
              <w:keepNext/>
              <w:spacing w:line="240" w:lineRule="auto" w:before="30" w:after="30"/>
              <w:jc w:val="center"/>
            </w:pPr>
            <w:r>
              <w:rPr>
                <w:b/>
                <w:i w:val="0"/>
                <w:sz w:val="12"/>
              </w:rPr>
              <w:t>Size</w:t>
            </w:r>
          </w:p>
        </w:tc>
        <w:tc>
          <w:tcPr>
            <w:tcW w:type="dxa" w:w="695"/>
            <w:tcBorders>
              <w:bottom w:val="single" w:sz="8" w:space="0" w:color="auto"/>
            </w:tcBorders>
          </w:tcPr>
          <w:p>
            <w:pPr>
              <w:pStyle w:val="MDPI42tablebody"/>
              <w:keepNext/>
              <w:spacing w:line="240" w:lineRule="auto" w:before="30" w:after="30"/>
              <w:jc w:val="center"/>
            </w:pPr>
            <w:r>
              <w:rPr>
                <w:b/>
                <w:i w:val="0"/>
                <w:sz w:val="12"/>
              </w:rPr>
              <w:t>Lev</w:t>
            </w:r>
          </w:p>
        </w:tc>
        <w:tc>
          <w:tcPr>
            <w:tcW w:type="dxa" w:w="695"/>
            <w:tcBorders>
              <w:bottom w:val="single" w:sz="8" w:space="0" w:color="auto"/>
            </w:tcBorders>
          </w:tcPr>
          <w:p>
            <w:pPr>
              <w:pStyle w:val="MDPI42tablebody"/>
              <w:keepNext/>
              <w:spacing w:line="240" w:lineRule="auto" w:before="30" w:after="30"/>
              <w:jc w:val="center"/>
            </w:pPr>
            <w:r>
              <w:rPr>
                <w:b/>
                <w:i w:val="0"/>
                <w:sz w:val="12"/>
              </w:rPr>
              <w:t>ROA</w:t>
            </w:r>
          </w:p>
        </w:tc>
        <w:tc>
          <w:tcPr>
            <w:tcW w:type="dxa" w:w="695"/>
            <w:tcBorders>
              <w:bottom w:val="single" w:sz="8" w:space="0" w:color="auto"/>
            </w:tcBorders>
          </w:tcPr>
          <w:p>
            <w:pPr>
              <w:pStyle w:val="MDPI42tablebody"/>
              <w:keepNext/>
              <w:spacing w:line="240" w:lineRule="auto" w:before="30" w:after="30"/>
              <w:jc w:val="center"/>
            </w:pPr>
            <w:r>
              <w:rPr>
                <w:b/>
                <w:i w:val="0"/>
                <w:sz w:val="12"/>
              </w:rPr>
              <w:t>Growth</w:t>
            </w:r>
          </w:p>
        </w:tc>
        <w:tc>
          <w:tcPr>
            <w:tcW w:type="dxa" w:w="906"/>
            <w:tcBorders>
              <w:bottom w:val="single" w:sz="8" w:space="0" w:color="auto"/>
            </w:tcBorders>
          </w:tcPr>
          <w:p>
            <w:pPr>
              <w:pStyle w:val="MDPI42tablebody"/>
              <w:keepNext/>
              <w:spacing w:line="240" w:lineRule="auto" w:before="30" w:after="30"/>
              <w:jc w:val="center"/>
            </w:pPr>
            <w:r>
              <w:rPr>
                <w:b/>
                <w:i w:val="0"/>
                <w:sz w:val="12"/>
              </w:rPr>
              <w:t>Cashflow</w:t>
            </w:r>
          </w:p>
        </w:tc>
        <w:tc>
          <w:tcPr>
            <w:tcW w:type="dxa" w:w="695"/>
            <w:tcBorders>
              <w:bottom w:val="single" w:sz="8" w:space="0" w:color="auto"/>
            </w:tcBorders>
          </w:tcPr>
          <w:p>
            <w:pPr>
              <w:pStyle w:val="MDPI42tablebody"/>
              <w:keepNext/>
              <w:spacing w:line="240" w:lineRule="auto" w:before="30" w:after="30"/>
              <w:jc w:val="center"/>
            </w:pPr>
            <w:r>
              <w:rPr>
                <w:b/>
                <w:i w:val="0"/>
                <w:sz w:val="12"/>
              </w:rPr>
              <w:t>TobinQ</w:t>
            </w:r>
          </w:p>
        </w:tc>
        <w:tc>
          <w:tcPr>
            <w:tcW w:type="dxa" w:w="727"/>
            <w:tcBorders>
              <w:bottom w:val="single" w:sz="8" w:space="0" w:color="auto"/>
            </w:tcBorders>
          </w:tcPr>
          <w:p>
            <w:pPr>
              <w:pStyle w:val="MDPI42tablebody"/>
              <w:keepNext/>
              <w:spacing w:line="240" w:lineRule="auto" w:before="30" w:after="30"/>
              <w:jc w:val="center"/>
            </w:pPr>
            <w:r>
              <w:rPr>
                <w:b/>
                <w:i w:val="0"/>
                <w:sz w:val="12"/>
              </w:rPr>
              <w:t>VIF</w:t>
            </w:r>
          </w:p>
        </w:tc>
      </w:tr>
      <w:tr>
        <w:trPr>
          <w:cantSplit/>
        </w:trPr>
        <w:tc>
          <w:tcPr>
            <w:tcW w:type="dxa" w:w="1180"/>
          </w:tcPr>
          <w:p>
            <w:pPr>
              <w:pStyle w:val="MDPI42tablebody"/>
              <w:keepNext/>
              <w:spacing w:line="240" w:lineRule="auto" w:before="30" w:after="30"/>
              <w:jc w:val="left"/>
            </w:pPr>
            <w:r>
              <w:rPr>
                <w:b w:val="0"/>
                <w:i/>
                <w:sz w:val="12"/>
              </w:rPr>
              <w:t>GenAI</w:t>
            </w:r>
          </w:p>
        </w:tc>
        <w:tc>
          <w:tcPr>
            <w:tcW w:type="dxa" w:w="695"/>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r>
              <w:rPr>
                <w:b w:val="0"/>
                <w:i w:val="0"/>
                <w:sz w:val="12"/>
              </w:rPr>
              <w:t>1.03</w:t>
            </w:r>
          </w:p>
        </w:tc>
      </w:tr>
      <w:tr>
        <w:trPr>
          <w:cantSplit/>
        </w:trPr>
        <w:tc>
          <w:tcPr>
            <w:tcW w:type="dxa" w:w="1180"/>
          </w:tcPr>
          <w:p>
            <w:pPr>
              <w:pStyle w:val="MDPI42tablebody"/>
              <w:keepNext/>
              <w:spacing w:line="240" w:lineRule="auto" w:before="30" w:after="30"/>
              <w:jc w:val="left"/>
            </w:pPr>
            <w:r>
              <w:rPr>
                <w:b w:val="0"/>
                <w:i/>
                <w:sz w:val="12"/>
              </w:rPr>
              <w:t>Youth</w:t>
            </w:r>
          </w:p>
        </w:tc>
        <w:tc>
          <w:tcPr>
            <w:tcW w:type="dxa" w:w="695"/>
          </w:tcPr>
          <w:p>
            <w:pPr>
              <w:pStyle w:val="MDPI42tablebody"/>
              <w:keepNext/>
              <w:spacing w:line="240" w:lineRule="auto" w:before="30" w:after="30"/>
              <w:jc w:val="center"/>
            </w:pPr>
            <w:r>
              <w:rPr>
                <w:b w:val="0"/>
                <w:i w:val="0"/>
                <w:sz w:val="12"/>
              </w:rPr>
              <w:t>−0.214</w:t>
            </w:r>
          </w:p>
        </w:tc>
        <w:tc>
          <w:tcPr>
            <w:tcW w:type="dxa" w:w="695"/>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p>
        </w:tc>
      </w:tr>
      <w:tr>
        <w:trPr>
          <w:cantSplit/>
        </w:trPr>
        <w:tc>
          <w:tcPr>
            <w:tcW w:type="dxa" w:w="1180"/>
          </w:tcPr>
          <w:p>
            <w:pPr>
              <w:pStyle w:val="MDPI42tablebody"/>
              <w:keepNext/>
              <w:spacing w:line="240" w:lineRule="auto" w:before="30" w:after="30"/>
              <w:jc w:val="left"/>
            </w:pPr>
            <w:r>
              <w:rPr>
                <w:b w:val="0"/>
                <w:i/>
                <w:sz w:val="12"/>
              </w:rPr>
              <w:t>Train</w:t>
            </w:r>
          </w:p>
        </w:tc>
        <w:tc>
          <w:tcPr>
            <w:tcW w:type="dxa" w:w="695"/>
          </w:tcPr>
          <w:p>
            <w:pPr>
              <w:pStyle w:val="MDPI42tablebody"/>
              <w:keepNext/>
              <w:spacing w:line="240" w:lineRule="auto" w:before="30" w:after="30"/>
              <w:jc w:val="center"/>
            </w:pPr>
            <w:r>
              <w:rPr>
                <w:b w:val="0"/>
                <w:i w:val="0"/>
                <w:sz w:val="12"/>
              </w:rPr>
              <w:t>−0.303</w:t>
            </w:r>
          </w:p>
        </w:tc>
        <w:tc>
          <w:tcPr>
            <w:tcW w:type="dxa" w:w="695"/>
          </w:tcPr>
          <w:p>
            <w:pPr>
              <w:pStyle w:val="MDPI42tablebody"/>
              <w:keepNext/>
              <w:spacing w:line="240" w:lineRule="auto" w:before="30" w:after="30"/>
              <w:jc w:val="center"/>
            </w:pPr>
            <w:r>
              <w:rPr>
                <w:b w:val="0"/>
                <w:i w:val="0"/>
                <w:sz w:val="12"/>
              </w:rPr>
              <w:t>0.109</w:t>
            </w:r>
          </w:p>
        </w:tc>
        <w:tc>
          <w:tcPr>
            <w:tcW w:type="dxa" w:w="695"/>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p>
        </w:tc>
      </w:tr>
      <w:tr>
        <w:trPr>
          <w:cantSplit/>
        </w:trPr>
        <w:tc>
          <w:tcPr>
            <w:tcW w:type="dxa" w:w="1180"/>
          </w:tcPr>
          <w:p>
            <w:pPr>
              <w:pStyle w:val="MDPI42tablebody"/>
              <w:keepNext/>
              <w:spacing w:line="240" w:lineRule="auto" w:before="30" w:after="30"/>
              <w:jc w:val="left"/>
            </w:pPr>
            <w:r>
              <w:rPr>
                <w:b w:val="0"/>
                <w:i/>
                <w:sz w:val="12"/>
              </w:rPr>
              <w:t>Routine</w:t>
            </w:r>
          </w:p>
        </w:tc>
        <w:tc>
          <w:tcPr>
            <w:tcW w:type="dxa" w:w="695"/>
          </w:tcPr>
          <w:p>
            <w:pPr>
              <w:pStyle w:val="MDPI42tablebody"/>
              <w:keepNext/>
              <w:spacing w:line="240" w:lineRule="auto" w:before="30" w:after="30"/>
              <w:jc w:val="center"/>
            </w:pPr>
            <w:r>
              <w:rPr>
                <w:b w:val="0"/>
                <w:i w:val="0"/>
                <w:sz w:val="12"/>
              </w:rPr>
              <w:t>−0.227</w:t>
            </w:r>
          </w:p>
        </w:tc>
        <w:tc>
          <w:tcPr>
            <w:tcW w:type="dxa" w:w="695"/>
          </w:tcPr>
          <w:p>
            <w:pPr>
              <w:pStyle w:val="MDPI42tablebody"/>
              <w:keepNext/>
              <w:spacing w:line="240" w:lineRule="auto" w:before="30" w:after="30"/>
              <w:jc w:val="center"/>
            </w:pPr>
            <w:r>
              <w:rPr>
                <w:b w:val="0"/>
                <w:i w:val="0"/>
                <w:sz w:val="12"/>
              </w:rPr>
              <w:t>0.049</w:t>
            </w:r>
          </w:p>
        </w:tc>
        <w:tc>
          <w:tcPr>
            <w:tcW w:type="dxa" w:w="695"/>
          </w:tcPr>
          <w:p>
            <w:pPr>
              <w:pStyle w:val="MDPI42tablebody"/>
              <w:keepNext/>
              <w:spacing w:line="240" w:lineRule="auto" w:before="30" w:after="30"/>
              <w:jc w:val="center"/>
            </w:pPr>
            <w:r>
              <w:rPr>
                <w:b w:val="0"/>
                <w:i w:val="0"/>
                <w:sz w:val="12"/>
              </w:rPr>
              <w:t>0.053</w:t>
            </w:r>
          </w:p>
        </w:tc>
        <w:tc>
          <w:tcPr>
            <w:tcW w:type="dxa" w:w="695"/>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p>
        </w:tc>
      </w:tr>
      <w:tr>
        <w:trPr>
          <w:cantSplit/>
        </w:trPr>
        <w:tc>
          <w:tcPr>
            <w:tcW w:type="dxa" w:w="1180"/>
          </w:tcPr>
          <w:p>
            <w:pPr>
              <w:pStyle w:val="MDPI42tablebody"/>
              <w:keepNext/>
              <w:spacing w:line="240" w:lineRule="auto" w:before="30" w:after="30"/>
              <w:jc w:val="left"/>
            </w:pPr>
            <w:r>
              <w:rPr>
                <w:b w:val="0"/>
                <w:i/>
                <w:sz w:val="12"/>
              </w:rPr>
              <w:t>Absorp</w:t>
            </w:r>
          </w:p>
        </w:tc>
        <w:tc>
          <w:tcPr>
            <w:tcW w:type="dxa" w:w="695"/>
          </w:tcPr>
          <w:p>
            <w:pPr>
              <w:pStyle w:val="MDPI42tablebody"/>
              <w:keepNext/>
              <w:spacing w:line="240" w:lineRule="auto" w:before="30" w:after="30"/>
              <w:jc w:val="center"/>
            </w:pPr>
            <w:r>
              <w:rPr>
                <w:b w:val="0"/>
                <w:i w:val="0"/>
                <w:sz w:val="12"/>
              </w:rPr>
              <w:t>0.037</w:t>
            </w:r>
          </w:p>
        </w:tc>
        <w:tc>
          <w:tcPr>
            <w:tcW w:type="dxa" w:w="695"/>
          </w:tcPr>
          <w:p>
            <w:pPr>
              <w:pStyle w:val="MDPI42tablebody"/>
              <w:keepNext/>
              <w:spacing w:line="240" w:lineRule="auto" w:before="30" w:after="30"/>
              <w:jc w:val="center"/>
            </w:pPr>
            <w:r>
              <w:rPr>
                <w:b w:val="0"/>
                <w:i w:val="0"/>
                <w:sz w:val="12"/>
              </w:rPr>
              <w:t>0.053</w:t>
            </w:r>
          </w:p>
        </w:tc>
        <w:tc>
          <w:tcPr>
            <w:tcW w:type="dxa" w:w="695"/>
          </w:tcPr>
          <w:p>
            <w:pPr>
              <w:pStyle w:val="MDPI42tablebody"/>
              <w:keepNext/>
              <w:spacing w:line="240" w:lineRule="auto" w:before="30" w:after="30"/>
              <w:jc w:val="center"/>
            </w:pPr>
            <w:r>
              <w:rPr>
                <w:b w:val="0"/>
                <w:i w:val="0"/>
                <w:sz w:val="12"/>
              </w:rPr>
              <w:t>0.079</w:t>
            </w:r>
          </w:p>
        </w:tc>
        <w:tc>
          <w:tcPr>
            <w:tcW w:type="dxa" w:w="695"/>
          </w:tcPr>
          <w:p>
            <w:pPr>
              <w:pStyle w:val="MDPI42tablebody"/>
              <w:keepNext/>
              <w:spacing w:line="240" w:lineRule="auto" w:before="30" w:after="30"/>
              <w:jc w:val="center"/>
            </w:pPr>
            <w:r>
              <w:rPr>
                <w:b w:val="0"/>
                <w:i w:val="0"/>
                <w:sz w:val="12"/>
              </w:rPr>
              <w:t>−0.052</w:t>
            </w:r>
          </w:p>
        </w:tc>
        <w:tc>
          <w:tcPr>
            <w:tcW w:type="dxa" w:w="695"/>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p>
        </w:tc>
      </w:tr>
      <w:tr>
        <w:trPr>
          <w:cantSplit/>
        </w:trPr>
        <w:tc>
          <w:tcPr>
            <w:tcW w:type="dxa" w:w="1180"/>
          </w:tcPr>
          <w:p>
            <w:pPr>
              <w:pStyle w:val="MDPI42tablebody"/>
              <w:keepNext/>
              <w:spacing w:line="240" w:lineRule="auto" w:before="30" w:after="30"/>
              <w:jc w:val="left"/>
            </w:pPr>
            <w:r>
              <w:rPr>
                <w:b w:val="0"/>
                <w:i/>
                <w:sz w:val="12"/>
              </w:rPr>
              <w:t>Wage</w:t>
            </w:r>
          </w:p>
        </w:tc>
        <w:tc>
          <w:tcPr>
            <w:tcW w:type="dxa" w:w="695"/>
          </w:tcPr>
          <w:p>
            <w:pPr>
              <w:pStyle w:val="MDPI42tablebody"/>
              <w:keepNext/>
              <w:spacing w:line="240" w:lineRule="auto" w:before="30" w:after="30"/>
              <w:jc w:val="center"/>
            </w:pPr>
            <w:r>
              <w:rPr>
                <w:b w:val="0"/>
                <w:i w:val="0"/>
                <w:sz w:val="12"/>
              </w:rPr>
              <w:t>0.023</w:t>
            </w:r>
          </w:p>
        </w:tc>
        <w:tc>
          <w:tcPr>
            <w:tcW w:type="dxa" w:w="695"/>
          </w:tcPr>
          <w:p>
            <w:pPr>
              <w:pStyle w:val="MDPI42tablebody"/>
              <w:keepNext/>
              <w:spacing w:line="240" w:lineRule="auto" w:before="30" w:after="30"/>
              <w:jc w:val="center"/>
            </w:pPr>
            <w:r>
              <w:rPr>
                <w:b w:val="0"/>
                <w:i w:val="0"/>
                <w:sz w:val="12"/>
              </w:rPr>
              <w:t>0.050</w:t>
            </w:r>
          </w:p>
        </w:tc>
        <w:tc>
          <w:tcPr>
            <w:tcW w:type="dxa" w:w="695"/>
          </w:tcPr>
          <w:p>
            <w:pPr>
              <w:pStyle w:val="MDPI42tablebody"/>
              <w:keepNext/>
              <w:spacing w:line="240" w:lineRule="auto" w:before="30" w:after="30"/>
              <w:jc w:val="center"/>
            </w:pPr>
            <w:r>
              <w:rPr>
                <w:b w:val="0"/>
                <w:i w:val="0"/>
                <w:sz w:val="12"/>
              </w:rPr>
              <w:t>0.036</w:t>
            </w:r>
          </w:p>
        </w:tc>
        <w:tc>
          <w:tcPr>
            <w:tcW w:type="dxa" w:w="695"/>
          </w:tcPr>
          <w:p>
            <w:pPr>
              <w:pStyle w:val="MDPI42tablebody"/>
              <w:keepNext/>
              <w:spacing w:line="240" w:lineRule="auto" w:before="30" w:after="30"/>
              <w:jc w:val="center"/>
            </w:pPr>
            <w:r>
              <w:rPr>
                <w:b w:val="0"/>
                <w:i w:val="0"/>
                <w:sz w:val="12"/>
              </w:rPr>
              <w:t>−0.040</w:t>
            </w:r>
          </w:p>
        </w:tc>
        <w:tc>
          <w:tcPr>
            <w:tcW w:type="dxa" w:w="695"/>
          </w:tcPr>
          <w:p>
            <w:pPr>
              <w:pStyle w:val="MDPI42tablebody"/>
              <w:keepNext/>
              <w:spacing w:line="240" w:lineRule="auto" w:before="30" w:after="30"/>
              <w:jc w:val="center"/>
            </w:pPr>
            <w:r>
              <w:rPr>
                <w:b w:val="0"/>
                <w:i w:val="0"/>
                <w:sz w:val="12"/>
              </w:rPr>
              <w:t>0.087</w:t>
            </w:r>
          </w:p>
        </w:tc>
        <w:tc>
          <w:tcPr>
            <w:tcW w:type="dxa" w:w="695"/>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p>
        </w:tc>
      </w:tr>
      <w:tr>
        <w:trPr>
          <w:cantSplit/>
        </w:trPr>
        <w:tc>
          <w:tcPr>
            <w:tcW w:type="dxa" w:w="1180"/>
          </w:tcPr>
          <w:p>
            <w:pPr>
              <w:pStyle w:val="MDPI42tablebody"/>
              <w:keepNext/>
              <w:spacing w:line="240" w:lineRule="auto" w:before="30" w:after="30"/>
              <w:jc w:val="left"/>
            </w:pPr>
            <w:r>
              <w:rPr>
                <w:b w:val="0"/>
                <w:i/>
                <w:sz w:val="12"/>
              </w:rPr>
              <w:t>Size</w:t>
            </w:r>
          </w:p>
        </w:tc>
        <w:tc>
          <w:tcPr>
            <w:tcW w:type="dxa" w:w="695"/>
          </w:tcPr>
          <w:p>
            <w:pPr>
              <w:pStyle w:val="MDPI42tablebody"/>
              <w:keepNext/>
              <w:spacing w:line="240" w:lineRule="auto" w:before="30" w:after="30"/>
              <w:jc w:val="center"/>
            </w:pPr>
            <w:r>
              <w:rPr>
                <w:b w:val="0"/>
                <w:i w:val="0"/>
                <w:sz w:val="12"/>
              </w:rPr>
              <w:t>0.004</w:t>
            </w:r>
          </w:p>
        </w:tc>
        <w:tc>
          <w:tcPr>
            <w:tcW w:type="dxa" w:w="695"/>
          </w:tcPr>
          <w:p>
            <w:pPr>
              <w:pStyle w:val="MDPI42tablebody"/>
              <w:keepNext/>
              <w:spacing w:line="240" w:lineRule="auto" w:before="30" w:after="30"/>
              <w:jc w:val="center"/>
            </w:pPr>
            <w:r>
              <w:rPr>
                <w:b w:val="0"/>
                <w:i w:val="0"/>
                <w:sz w:val="12"/>
              </w:rPr>
              <w:t>−0.025</w:t>
            </w:r>
          </w:p>
        </w:tc>
        <w:tc>
          <w:tcPr>
            <w:tcW w:type="dxa" w:w="695"/>
          </w:tcPr>
          <w:p>
            <w:pPr>
              <w:pStyle w:val="MDPI42tablebody"/>
              <w:keepNext/>
              <w:spacing w:line="240" w:lineRule="auto" w:before="30" w:after="30"/>
              <w:jc w:val="center"/>
            </w:pPr>
            <w:r>
              <w:rPr>
                <w:b w:val="0"/>
                <w:i w:val="0"/>
                <w:sz w:val="12"/>
              </w:rPr>
              <w:t>0.185</w:t>
            </w:r>
          </w:p>
        </w:tc>
        <w:tc>
          <w:tcPr>
            <w:tcW w:type="dxa" w:w="695"/>
          </w:tcPr>
          <w:p>
            <w:pPr>
              <w:pStyle w:val="MDPI42tablebody"/>
              <w:keepNext/>
              <w:spacing w:line="240" w:lineRule="auto" w:before="30" w:after="30"/>
              <w:jc w:val="center"/>
            </w:pPr>
            <w:r>
              <w:rPr>
                <w:b w:val="0"/>
                <w:i w:val="0"/>
                <w:sz w:val="12"/>
              </w:rPr>
              <w:t>0.028</w:t>
            </w:r>
          </w:p>
        </w:tc>
        <w:tc>
          <w:tcPr>
            <w:tcW w:type="dxa" w:w="695"/>
          </w:tcPr>
          <w:p>
            <w:pPr>
              <w:pStyle w:val="MDPI42tablebody"/>
              <w:keepNext/>
              <w:spacing w:line="240" w:lineRule="auto" w:before="30" w:after="30"/>
              <w:jc w:val="center"/>
            </w:pPr>
            <w:r>
              <w:rPr>
                <w:b w:val="0"/>
                <w:i w:val="0"/>
                <w:sz w:val="12"/>
              </w:rPr>
              <w:t>−0.006</w:t>
            </w:r>
          </w:p>
        </w:tc>
        <w:tc>
          <w:tcPr>
            <w:tcW w:type="dxa" w:w="695"/>
          </w:tcPr>
          <w:p>
            <w:pPr>
              <w:pStyle w:val="MDPI42tablebody"/>
              <w:keepNext/>
              <w:spacing w:line="240" w:lineRule="auto" w:before="30" w:after="30"/>
              <w:jc w:val="center"/>
            </w:pPr>
            <w:r>
              <w:rPr>
                <w:b w:val="0"/>
                <w:i w:val="0"/>
                <w:sz w:val="12"/>
              </w:rPr>
              <w:t>−0.012</w:t>
            </w:r>
          </w:p>
        </w:tc>
        <w:tc>
          <w:tcPr>
            <w:tcW w:type="dxa" w:w="695"/>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r>
              <w:rPr>
                <w:b w:val="0"/>
                <w:i w:val="0"/>
                <w:sz w:val="12"/>
              </w:rPr>
              <w:t>1.10</w:t>
            </w:r>
          </w:p>
        </w:tc>
      </w:tr>
      <w:tr>
        <w:trPr>
          <w:cantSplit/>
        </w:trPr>
        <w:tc>
          <w:tcPr>
            <w:tcW w:type="dxa" w:w="1180"/>
          </w:tcPr>
          <w:p>
            <w:pPr>
              <w:pStyle w:val="MDPI42tablebody"/>
              <w:keepNext/>
              <w:spacing w:line="240" w:lineRule="auto" w:before="30" w:after="30"/>
              <w:jc w:val="left"/>
            </w:pPr>
            <w:r>
              <w:rPr>
                <w:b w:val="0"/>
                <w:i/>
                <w:sz w:val="12"/>
              </w:rPr>
              <w:t>Lev</w:t>
            </w:r>
          </w:p>
        </w:tc>
        <w:tc>
          <w:tcPr>
            <w:tcW w:type="dxa" w:w="695"/>
          </w:tcPr>
          <w:p>
            <w:pPr>
              <w:pStyle w:val="MDPI42tablebody"/>
              <w:keepNext/>
              <w:spacing w:line="240" w:lineRule="auto" w:before="30" w:after="30"/>
              <w:jc w:val="center"/>
            </w:pPr>
            <w:r>
              <w:rPr>
                <w:b w:val="0"/>
                <w:i w:val="0"/>
                <w:sz w:val="12"/>
              </w:rPr>
              <w:t>0.003</w:t>
            </w:r>
          </w:p>
        </w:tc>
        <w:tc>
          <w:tcPr>
            <w:tcW w:type="dxa" w:w="695"/>
          </w:tcPr>
          <w:p>
            <w:pPr>
              <w:pStyle w:val="MDPI42tablebody"/>
              <w:keepNext/>
              <w:spacing w:line="240" w:lineRule="auto" w:before="30" w:after="30"/>
              <w:jc w:val="center"/>
            </w:pPr>
            <w:r>
              <w:rPr>
                <w:b w:val="0"/>
                <w:i w:val="0"/>
                <w:sz w:val="12"/>
              </w:rPr>
              <w:t>−0.013</w:t>
            </w:r>
          </w:p>
        </w:tc>
        <w:tc>
          <w:tcPr>
            <w:tcW w:type="dxa" w:w="695"/>
          </w:tcPr>
          <w:p>
            <w:pPr>
              <w:pStyle w:val="MDPI42tablebody"/>
              <w:keepNext/>
              <w:spacing w:line="240" w:lineRule="auto" w:before="30" w:after="30"/>
              <w:jc w:val="center"/>
            </w:pPr>
            <w:r>
              <w:rPr>
                <w:b w:val="0"/>
                <w:i w:val="0"/>
                <w:sz w:val="12"/>
              </w:rPr>
              <w:t>0.018</w:t>
            </w:r>
          </w:p>
        </w:tc>
        <w:tc>
          <w:tcPr>
            <w:tcW w:type="dxa" w:w="695"/>
          </w:tcPr>
          <w:p>
            <w:pPr>
              <w:pStyle w:val="MDPI42tablebody"/>
              <w:keepNext/>
              <w:spacing w:line="240" w:lineRule="auto" w:before="30" w:after="30"/>
              <w:jc w:val="center"/>
            </w:pPr>
            <w:r>
              <w:rPr>
                <w:b w:val="0"/>
                <w:i w:val="0"/>
                <w:sz w:val="12"/>
              </w:rPr>
              <w:t>−0.008</w:t>
            </w:r>
          </w:p>
        </w:tc>
        <w:tc>
          <w:tcPr>
            <w:tcW w:type="dxa" w:w="695"/>
          </w:tcPr>
          <w:p>
            <w:pPr>
              <w:pStyle w:val="MDPI42tablebody"/>
              <w:keepNext/>
              <w:spacing w:line="240" w:lineRule="auto" w:before="30" w:after="30"/>
              <w:jc w:val="center"/>
            </w:pPr>
            <w:r>
              <w:rPr>
                <w:b w:val="0"/>
                <w:i w:val="0"/>
                <w:sz w:val="12"/>
              </w:rPr>
              <w:t>−0.002</w:t>
            </w:r>
          </w:p>
        </w:tc>
        <w:tc>
          <w:tcPr>
            <w:tcW w:type="dxa" w:w="695"/>
          </w:tcPr>
          <w:p>
            <w:pPr>
              <w:pStyle w:val="MDPI42tablebody"/>
              <w:keepNext/>
              <w:spacing w:line="240" w:lineRule="auto" w:before="30" w:after="30"/>
              <w:jc w:val="center"/>
            </w:pPr>
            <w:r>
              <w:rPr>
                <w:b w:val="0"/>
                <w:i w:val="0"/>
                <w:sz w:val="12"/>
              </w:rPr>
              <w:t>0.017</w:t>
            </w:r>
          </w:p>
        </w:tc>
        <w:tc>
          <w:tcPr>
            <w:tcW w:type="dxa" w:w="695"/>
          </w:tcPr>
          <w:p>
            <w:pPr>
              <w:pStyle w:val="MDPI42tablebody"/>
              <w:keepNext/>
              <w:spacing w:line="240" w:lineRule="auto" w:before="30" w:after="30"/>
              <w:jc w:val="center"/>
            </w:pPr>
            <w:r>
              <w:rPr>
                <w:b w:val="0"/>
                <w:i w:val="0"/>
                <w:sz w:val="12"/>
              </w:rPr>
              <w:t>−0.019</w:t>
            </w:r>
          </w:p>
        </w:tc>
        <w:tc>
          <w:tcPr>
            <w:tcW w:type="dxa" w:w="695"/>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r>
              <w:rPr>
                <w:b w:val="0"/>
                <w:i w:val="0"/>
                <w:sz w:val="12"/>
              </w:rPr>
              <w:t>1.00</w:t>
            </w:r>
          </w:p>
        </w:tc>
      </w:tr>
      <w:tr>
        <w:trPr>
          <w:cantSplit/>
        </w:trPr>
        <w:tc>
          <w:tcPr>
            <w:tcW w:type="dxa" w:w="1180"/>
          </w:tcPr>
          <w:p>
            <w:pPr>
              <w:pStyle w:val="MDPI42tablebody"/>
              <w:keepNext/>
              <w:spacing w:line="240" w:lineRule="auto" w:before="30" w:after="30"/>
              <w:jc w:val="left"/>
            </w:pPr>
            <w:r>
              <w:rPr>
                <w:b w:val="0"/>
                <w:i/>
                <w:sz w:val="12"/>
              </w:rPr>
              <w:t>ROA</w:t>
            </w:r>
          </w:p>
        </w:tc>
        <w:tc>
          <w:tcPr>
            <w:tcW w:type="dxa" w:w="695"/>
          </w:tcPr>
          <w:p>
            <w:pPr>
              <w:pStyle w:val="MDPI42tablebody"/>
              <w:keepNext/>
              <w:spacing w:line="240" w:lineRule="auto" w:before="30" w:after="30"/>
              <w:jc w:val="center"/>
            </w:pPr>
            <w:r>
              <w:rPr>
                <w:b w:val="0"/>
                <w:i w:val="0"/>
                <w:sz w:val="12"/>
              </w:rPr>
              <w:t>0.022</w:t>
            </w:r>
          </w:p>
        </w:tc>
        <w:tc>
          <w:tcPr>
            <w:tcW w:type="dxa" w:w="695"/>
          </w:tcPr>
          <w:p>
            <w:pPr>
              <w:pStyle w:val="MDPI42tablebody"/>
              <w:keepNext/>
              <w:spacing w:line="240" w:lineRule="auto" w:before="30" w:after="30"/>
              <w:jc w:val="center"/>
            </w:pPr>
            <w:r>
              <w:rPr>
                <w:b w:val="0"/>
                <w:i w:val="0"/>
                <w:sz w:val="12"/>
              </w:rPr>
              <w:t>0.022</w:t>
            </w:r>
          </w:p>
        </w:tc>
        <w:tc>
          <w:tcPr>
            <w:tcW w:type="dxa" w:w="695"/>
          </w:tcPr>
          <w:p>
            <w:pPr>
              <w:pStyle w:val="MDPI42tablebody"/>
              <w:keepNext/>
              <w:spacing w:line="240" w:lineRule="auto" w:before="30" w:after="30"/>
              <w:jc w:val="center"/>
            </w:pPr>
            <w:r>
              <w:rPr>
                <w:b w:val="0"/>
                <w:i w:val="0"/>
                <w:sz w:val="12"/>
              </w:rPr>
              <w:t>−0.009</w:t>
            </w:r>
          </w:p>
        </w:tc>
        <w:tc>
          <w:tcPr>
            <w:tcW w:type="dxa" w:w="695"/>
          </w:tcPr>
          <w:p>
            <w:pPr>
              <w:pStyle w:val="MDPI42tablebody"/>
              <w:keepNext/>
              <w:spacing w:line="240" w:lineRule="auto" w:before="30" w:after="30"/>
              <w:jc w:val="center"/>
            </w:pPr>
            <w:r>
              <w:rPr>
                <w:b w:val="0"/>
                <w:i w:val="0"/>
                <w:sz w:val="12"/>
              </w:rPr>
              <w:t>0.002</w:t>
            </w:r>
          </w:p>
        </w:tc>
        <w:tc>
          <w:tcPr>
            <w:tcW w:type="dxa" w:w="695"/>
          </w:tcPr>
          <w:p>
            <w:pPr>
              <w:pStyle w:val="MDPI42tablebody"/>
              <w:keepNext/>
              <w:spacing w:line="240" w:lineRule="auto" w:before="30" w:after="30"/>
              <w:jc w:val="center"/>
            </w:pPr>
            <w:r>
              <w:rPr>
                <w:b w:val="0"/>
                <w:i w:val="0"/>
                <w:sz w:val="12"/>
              </w:rPr>
              <w:t>0.025</w:t>
            </w:r>
          </w:p>
        </w:tc>
        <w:tc>
          <w:tcPr>
            <w:tcW w:type="dxa" w:w="695"/>
          </w:tcPr>
          <w:p>
            <w:pPr>
              <w:pStyle w:val="MDPI42tablebody"/>
              <w:keepNext/>
              <w:spacing w:line="240" w:lineRule="auto" w:before="30" w:after="30"/>
              <w:jc w:val="center"/>
            </w:pPr>
            <w:r>
              <w:rPr>
                <w:b w:val="0"/>
                <w:i w:val="0"/>
                <w:sz w:val="12"/>
              </w:rPr>
              <w:t>0.004</w:t>
            </w:r>
          </w:p>
        </w:tc>
        <w:tc>
          <w:tcPr>
            <w:tcW w:type="dxa" w:w="695"/>
          </w:tcPr>
          <w:p>
            <w:pPr>
              <w:pStyle w:val="MDPI42tablebody"/>
              <w:keepNext/>
              <w:spacing w:line="240" w:lineRule="auto" w:before="30" w:after="30"/>
              <w:jc w:val="center"/>
            </w:pPr>
            <w:r>
              <w:rPr>
                <w:b w:val="0"/>
                <w:i w:val="0"/>
                <w:sz w:val="12"/>
              </w:rPr>
              <w:t>−0.018</w:t>
            </w:r>
          </w:p>
        </w:tc>
        <w:tc>
          <w:tcPr>
            <w:tcW w:type="dxa" w:w="695"/>
          </w:tcPr>
          <w:p>
            <w:pPr>
              <w:pStyle w:val="MDPI42tablebody"/>
              <w:keepNext/>
              <w:spacing w:line="240" w:lineRule="auto" w:before="30" w:after="30"/>
              <w:jc w:val="center"/>
            </w:pPr>
            <w:r>
              <w:rPr>
                <w:b w:val="0"/>
                <w:i w:val="0"/>
                <w:sz w:val="12"/>
              </w:rPr>
              <w:t>0.000</w:t>
            </w:r>
          </w:p>
        </w:tc>
        <w:tc>
          <w:tcPr>
            <w:tcW w:type="dxa" w:w="695"/>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r>
              <w:rPr>
                <w:b w:val="0"/>
                <w:i w:val="0"/>
                <w:sz w:val="12"/>
              </w:rPr>
              <w:t>1.07</w:t>
            </w:r>
          </w:p>
        </w:tc>
      </w:tr>
      <w:tr>
        <w:trPr>
          <w:cantSplit/>
        </w:trPr>
        <w:tc>
          <w:tcPr>
            <w:tcW w:type="dxa" w:w="1180"/>
          </w:tcPr>
          <w:p>
            <w:pPr>
              <w:pStyle w:val="MDPI42tablebody"/>
              <w:keepNext/>
              <w:spacing w:line="240" w:lineRule="auto" w:before="30" w:after="30"/>
              <w:jc w:val="left"/>
            </w:pPr>
            <w:r>
              <w:rPr>
                <w:b w:val="0"/>
                <w:i/>
                <w:sz w:val="12"/>
              </w:rPr>
              <w:t>Growth</w:t>
            </w:r>
          </w:p>
        </w:tc>
        <w:tc>
          <w:tcPr>
            <w:tcW w:type="dxa" w:w="695"/>
          </w:tcPr>
          <w:p>
            <w:pPr>
              <w:pStyle w:val="MDPI42tablebody"/>
              <w:keepNext/>
              <w:spacing w:line="240" w:lineRule="auto" w:before="30" w:after="30"/>
              <w:jc w:val="center"/>
            </w:pPr>
            <w:r>
              <w:rPr>
                <w:b w:val="0"/>
                <w:i w:val="0"/>
                <w:sz w:val="12"/>
              </w:rPr>
              <w:t>0.015</w:t>
            </w:r>
          </w:p>
        </w:tc>
        <w:tc>
          <w:tcPr>
            <w:tcW w:type="dxa" w:w="695"/>
          </w:tcPr>
          <w:p>
            <w:pPr>
              <w:pStyle w:val="MDPI42tablebody"/>
              <w:keepNext/>
              <w:spacing w:line="240" w:lineRule="auto" w:before="30" w:after="30"/>
              <w:jc w:val="center"/>
            </w:pPr>
            <w:r>
              <w:rPr>
                <w:b w:val="0"/>
                <w:i w:val="0"/>
                <w:sz w:val="12"/>
              </w:rPr>
              <w:t>0.082</w:t>
            </w:r>
          </w:p>
        </w:tc>
        <w:tc>
          <w:tcPr>
            <w:tcW w:type="dxa" w:w="695"/>
          </w:tcPr>
          <w:p>
            <w:pPr>
              <w:pStyle w:val="MDPI42tablebody"/>
              <w:keepNext/>
              <w:spacing w:line="240" w:lineRule="auto" w:before="30" w:after="30"/>
              <w:jc w:val="center"/>
            </w:pPr>
            <w:r>
              <w:rPr>
                <w:b w:val="0"/>
                <w:i w:val="0"/>
                <w:sz w:val="12"/>
              </w:rPr>
              <w:t>−0.004</w:t>
            </w:r>
          </w:p>
        </w:tc>
        <w:tc>
          <w:tcPr>
            <w:tcW w:type="dxa" w:w="695"/>
          </w:tcPr>
          <w:p>
            <w:pPr>
              <w:pStyle w:val="MDPI42tablebody"/>
              <w:keepNext/>
              <w:spacing w:line="240" w:lineRule="auto" w:before="30" w:after="30"/>
              <w:jc w:val="center"/>
            </w:pPr>
            <w:r>
              <w:rPr>
                <w:b w:val="0"/>
                <w:i w:val="0"/>
                <w:sz w:val="12"/>
              </w:rPr>
              <w:t>−0.003</w:t>
            </w:r>
          </w:p>
        </w:tc>
        <w:tc>
          <w:tcPr>
            <w:tcW w:type="dxa" w:w="695"/>
          </w:tcPr>
          <w:p>
            <w:pPr>
              <w:pStyle w:val="MDPI42tablebody"/>
              <w:keepNext/>
              <w:spacing w:line="240" w:lineRule="auto" w:before="30" w:after="30"/>
              <w:jc w:val="center"/>
            </w:pPr>
            <w:r>
              <w:rPr>
                <w:b w:val="0"/>
                <w:i w:val="0"/>
                <w:sz w:val="12"/>
              </w:rPr>
              <w:t>0.004</w:t>
            </w:r>
          </w:p>
        </w:tc>
        <w:tc>
          <w:tcPr>
            <w:tcW w:type="dxa" w:w="695"/>
          </w:tcPr>
          <w:p>
            <w:pPr>
              <w:pStyle w:val="MDPI42tablebody"/>
              <w:keepNext/>
              <w:spacing w:line="240" w:lineRule="auto" w:before="30" w:after="30"/>
              <w:jc w:val="center"/>
            </w:pPr>
            <w:r>
              <w:rPr>
                <w:b w:val="0"/>
                <w:i w:val="0"/>
                <w:sz w:val="12"/>
              </w:rPr>
              <w:t>0.000</w:t>
            </w:r>
          </w:p>
        </w:tc>
        <w:tc>
          <w:tcPr>
            <w:tcW w:type="dxa" w:w="695"/>
          </w:tcPr>
          <w:p>
            <w:pPr>
              <w:pStyle w:val="MDPI42tablebody"/>
              <w:keepNext/>
              <w:spacing w:line="240" w:lineRule="auto" w:before="30" w:after="30"/>
              <w:jc w:val="center"/>
            </w:pPr>
            <w:r>
              <w:rPr>
                <w:b w:val="0"/>
                <w:i w:val="0"/>
                <w:sz w:val="12"/>
              </w:rPr>
              <w:t>0.009</w:t>
            </w:r>
          </w:p>
        </w:tc>
        <w:tc>
          <w:tcPr>
            <w:tcW w:type="dxa" w:w="695"/>
          </w:tcPr>
          <w:p>
            <w:pPr>
              <w:pStyle w:val="MDPI42tablebody"/>
              <w:keepNext/>
              <w:spacing w:line="240" w:lineRule="auto" w:before="30" w:after="30"/>
              <w:jc w:val="center"/>
            </w:pPr>
            <w:r>
              <w:rPr>
                <w:b w:val="0"/>
                <w:i w:val="0"/>
                <w:sz w:val="12"/>
              </w:rPr>
              <w:t>−0.004</w:t>
            </w:r>
          </w:p>
        </w:tc>
        <w:tc>
          <w:tcPr>
            <w:tcW w:type="dxa" w:w="695"/>
          </w:tcPr>
          <w:p>
            <w:pPr>
              <w:pStyle w:val="MDPI42tablebody"/>
              <w:keepNext/>
              <w:spacing w:line="240" w:lineRule="auto" w:before="30" w:after="30"/>
              <w:jc w:val="center"/>
            </w:pPr>
            <w:r>
              <w:rPr>
                <w:b w:val="0"/>
                <w:i w:val="0"/>
                <w:sz w:val="12"/>
              </w:rPr>
              <w:t>0.106</w:t>
            </w:r>
          </w:p>
        </w:tc>
        <w:tc>
          <w:tcPr>
            <w:tcW w:type="dxa" w:w="695"/>
          </w:tcPr>
          <w:p>
            <w:pPr>
              <w:pStyle w:val="MDPI42tablebody"/>
              <w:keepNext/>
              <w:spacing w:line="240" w:lineRule="auto" w:before="30" w:after="30"/>
              <w:jc w:val="center"/>
            </w:pPr>
            <w:r>
              <w:rPr>
                <w:b w:val="0"/>
                <w:i w:val="0"/>
                <w:sz w:val="12"/>
              </w:rPr>
              <w:t>1.000</w:t>
            </w:r>
          </w:p>
        </w:tc>
        <w:tc>
          <w:tcPr>
            <w:tcW w:type="dxa" w:w="906"/>
          </w:tcPr>
          <w:p>
            <w:pPr>
              <w:pStyle w:val="MDPI42tablebody"/>
              <w:keepNext/>
              <w:spacing w:line="240" w:lineRule="auto" w:before="30" w:after="30"/>
              <w:jc w:val="center"/>
            </w:pP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r>
              <w:rPr>
                <w:b w:val="0"/>
                <w:i w:val="0"/>
                <w:sz w:val="12"/>
              </w:rPr>
              <w:t>1.12</w:t>
            </w:r>
          </w:p>
        </w:tc>
      </w:tr>
      <w:tr>
        <w:trPr>
          <w:cantSplit/>
        </w:trPr>
        <w:tc>
          <w:tcPr>
            <w:tcW w:type="dxa" w:w="1180"/>
          </w:tcPr>
          <w:p>
            <w:pPr>
              <w:pStyle w:val="MDPI42tablebody"/>
              <w:keepNext/>
              <w:spacing w:line="240" w:lineRule="auto" w:before="30" w:after="30"/>
              <w:jc w:val="left"/>
            </w:pPr>
            <w:r>
              <w:rPr>
                <w:b w:val="0"/>
                <w:i/>
                <w:sz w:val="12"/>
              </w:rPr>
              <w:t>Cashflow</w:t>
            </w:r>
          </w:p>
        </w:tc>
        <w:tc>
          <w:tcPr>
            <w:tcW w:type="dxa" w:w="695"/>
          </w:tcPr>
          <w:p>
            <w:pPr>
              <w:pStyle w:val="MDPI42tablebody"/>
              <w:keepNext/>
              <w:spacing w:line="240" w:lineRule="auto" w:before="30" w:after="30"/>
              <w:jc w:val="center"/>
            </w:pPr>
            <w:r>
              <w:rPr>
                <w:b w:val="0"/>
                <w:i w:val="0"/>
                <w:sz w:val="12"/>
              </w:rPr>
              <w:t>0.024</w:t>
            </w:r>
          </w:p>
        </w:tc>
        <w:tc>
          <w:tcPr>
            <w:tcW w:type="dxa" w:w="695"/>
          </w:tcPr>
          <w:p>
            <w:pPr>
              <w:pStyle w:val="MDPI42tablebody"/>
              <w:keepNext/>
              <w:spacing w:line="240" w:lineRule="auto" w:before="30" w:after="30"/>
              <w:jc w:val="center"/>
            </w:pPr>
            <w:r>
              <w:rPr>
                <w:b w:val="0"/>
                <w:i w:val="0"/>
                <w:sz w:val="12"/>
              </w:rPr>
              <w:t>0.034</w:t>
            </w:r>
          </w:p>
        </w:tc>
        <w:tc>
          <w:tcPr>
            <w:tcW w:type="dxa" w:w="695"/>
          </w:tcPr>
          <w:p>
            <w:pPr>
              <w:pStyle w:val="MDPI42tablebody"/>
              <w:keepNext/>
              <w:spacing w:line="240" w:lineRule="auto" w:before="30" w:after="30"/>
              <w:jc w:val="center"/>
            </w:pPr>
            <w:r>
              <w:rPr>
                <w:b w:val="0"/>
                <w:i w:val="0"/>
                <w:sz w:val="12"/>
              </w:rPr>
              <w:t>−0.009</w:t>
            </w:r>
          </w:p>
        </w:tc>
        <w:tc>
          <w:tcPr>
            <w:tcW w:type="dxa" w:w="695"/>
          </w:tcPr>
          <w:p>
            <w:pPr>
              <w:pStyle w:val="MDPI42tablebody"/>
              <w:keepNext/>
              <w:spacing w:line="240" w:lineRule="auto" w:before="30" w:after="30"/>
              <w:jc w:val="center"/>
            </w:pPr>
            <w:r>
              <w:rPr>
                <w:b w:val="0"/>
                <w:i w:val="0"/>
                <w:sz w:val="12"/>
              </w:rPr>
              <w:t>−0.003</w:t>
            </w:r>
          </w:p>
        </w:tc>
        <w:tc>
          <w:tcPr>
            <w:tcW w:type="dxa" w:w="695"/>
          </w:tcPr>
          <w:p>
            <w:pPr>
              <w:pStyle w:val="MDPI42tablebody"/>
              <w:keepNext/>
              <w:spacing w:line="240" w:lineRule="auto" w:before="30" w:after="30"/>
              <w:jc w:val="center"/>
            </w:pPr>
            <w:r>
              <w:rPr>
                <w:b w:val="0"/>
                <w:i w:val="0"/>
                <w:sz w:val="12"/>
              </w:rPr>
              <w:t>0.014</w:t>
            </w:r>
          </w:p>
        </w:tc>
        <w:tc>
          <w:tcPr>
            <w:tcW w:type="dxa" w:w="695"/>
          </w:tcPr>
          <w:p>
            <w:pPr>
              <w:pStyle w:val="MDPI42tablebody"/>
              <w:keepNext/>
              <w:spacing w:line="240" w:lineRule="auto" w:before="30" w:after="30"/>
              <w:jc w:val="center"/>
            </w:pPr>
            <w:r>
              <w:rPr>
                <w:b w:val="0"/>
                <w:i w:val="0"/>
                <w:sz w:val="12"/>
              </w:rPr>
              <w:t>0.001</w:t>
            </w:r>
          </w:p>
        </w:tc>
        <w:tc>
          <w:tcPr>
            <w:tcW w:type="dxa" w:w="695"/>
          </w:tcPr>
          <w:p>
            <w:pPr>
              <w:pStyle w:val="MDPI42tablebody"/>
              <w:keepNext/>
              <w:spacing w:line="240" w:lineRule="auto" w:before="30" w:after="30"/>
              <w:jc w:val="center"/>
            </w:pPr>
            <w:r>
              <w:rPr>
                <w:b w:val="0"/>
                <w:i w:val="0"/>
                <w:sz w:val="12"/>
              </w:rPr>
              <w:t>0.018</w:t>
            </w:r>
          </w:p>
        </w:tc>
        <w:tc>
          <w:tcPr>
            <w:tcW w:type="dxa" w:w="695"/>
          </w:tcPr>
          <w:p>
            <w:pPr>
              <w:pStyle w:val="MDPI42tablebody"/>
              <w:keepNext/>
              <w:spacing w:line="240" w:lineRule="auto" w:before="30" w:after="30"/>
              <w:jc w:val="center"/>
            </w:pPr>
            <w:r>
              <w:rPr>
                <w:b w:val="0"/>
                <w:i w:val="0"/>
                <w:sz w:val="12"/>
              </w:rPr>
              <w:t>−0.003</w:t>
            </w:r>
          </w:p>
        </w:tc>
        <w:tc>
          <w:tcPr>
            <w:tcW w:type="dxa" w:w="695"/>
          </w:tcPr>
          <w:p>
            <w:pPr>
              <w:pStyle w:val="MDPI42tablebody"/>
              <w:keepNext/>
              <w:spacing w:line="240" w:lineRule="auto" w:before="30" w:after="30"/>
              <w:jc w:val="center"/>
            </w:pPr>
            <w:r>
              <w:rPr>
                <w:b w:val="0"/>
                <w:i w:val="0"/>
                <w:sz w:val="12"/>
              </w:rPr>
              <w:t>0.038</w:t>
            </w:r>
          </w:p>
        </w:tc>
        <w:tc>
          <w:tcPr>
            <w:tcW w:type="dxa" w:w="695"/>
          </w:tcPr>
          <w:p>
            <w:pPr>
              <w:pStyle w:val="MDPI42tablebody"/>
              <w:keepNext/>
              <w:spacing w:line="240" w:lineRule="auto" w:before="30" w:after="30"/>
              <w:jc w:val="center"/>
            </w:pPr>
            <w:r>
              <w:rPr>
                <w:b w:val="0"/>
                <w:i w:val="0"/>
                <w:sz w:val="12"/>
              </w:rPr>
              <w:t>0.091</w:t>
            </w:r>
          </w:p>
        </w:tc>
        <w:tc>
          <w:tcPr>
            <w:tcW w:type="dxa" w:w="906"/>
          </w:tcPr>
          <w:p>
            <w:pPr>
              <w:pStyle w:val="MDPI42tablebody"/>
              <w:keepNext/>
              <w:spacing w:line="240" w:lineRule="auto" w:before="30" w:after="30"/>
              <w:jc w:val="center"/>
            </w:pPr>
            <w:r>
              <w:rPr>
                <w:b w:val="0"/>
                <w:i w:val="0"/>
                <w:sz w:val="12"/>
              </w:rPr>
              <w:t>1.000</w:t>
            </w:r>
          </w:p>
        </w:tc>
        <w:tc>
          <w:tcPr>
            <w:tcW w:type="dxa" w:w="695"/>
          </w:tcPr>
          <w:p>
            <w:pPr>
              <w:pStyle w:val="MDPI42tablebody"/>
              <w:keepNext/>
              <w:spacing w:line="240" w:lineRule="auto" w:before="30" w:after="30"/>
              <w:jc w:val="center"/>
            </w:pPr>
          </w:p>
        </w:tc>
        <w:tc>
          <w:tcPr>
            <w:tcW w:type="dxa" w:w="727"/>
          </w:tcPr>
          <w:p>
            <w:pPr>
              <w:pStyle w:val="MDPI42tablebody"/>
              <w:keepNext/>
              <w:spacing w:line="240" w:lineRule="auto" w:before="30" w:after="30"/>
              <w:jc w:val="center"/>
            </w:pPr>
            <w:r>
              <w:rPr>
                <w:b w:val="0"/>
                <w:i w:val="0"/>
                <w:sz w:val="12"/>
              </w:rPr>
              <w:t>1.01</w:t>
            </w:r>
          </w:p>
        </w:tc>
      </w:tr>
      <w:tr>
        <w:trPr>
          <w:cantSplit/>
        </w:trPr>
        <w:tc>
          <w:tcPr>
            <w:tcW w:type="dxa" w:w="1180"/>
          </w:tcPr>
          <w:p>
            <w:pPr>
              <w:pStyle w:val="MDPI42tablebody"/>
              <w:keepNext/>
              <w:spacing w:line="240" w:lineRule="auto" w:before="30" w:after="30"/>
              <w:jc w:val="left"/>
            </w:pPr>
            <w:r>
              <w:rPr>
                <w:b w:val="0"/>
                <w:i/>
                <w:sz w:val="12"/>
              </w:rPr>
              <w:t>TobinQ</w:t>
            </w:r>
          </w:p>
        </w:tc>
        <w:tc>
          <w:tcPr>
            <w:tcW w:type="dxa" w:w="695"/>
          </w:tcPr>
          <w:p>
            <w:pPr>
              <w:pStyle w:val="MDPI42tablebody"/>
              <w:keepNext/>
              <w:spacing w:line="240" w:lineRule="auto" w:before="30" w:after="30"/>
              <w:jc w:val="center"/>
            </w:pPr>
            <w:r>
              <w:rPr>
                <w:b w:val="0"/>
                <w:i w:val="0"/>
                <w:sz w:val="12"/>
              </w:rPr>
              <w:t>0.049</w:t>
            </w:r>
          </w:p>
        </w:tc>
        <w:tc>
          <w:tcPr>
            <w:tcW w:type="dxa" w:w="695"/>
          </w:tcPr>
          <w:p>
            <w:pPr>
              <w:pStyle w:val="MDPI42tablebody"/>
              <w:keepNext/>
              <w:spacing w:line="240" w:lineRule="auto" w:before="30" w:after="30"/>
              <w:jc w:val="center"/>
            </w:pPr>
            <w:r>
              <w:rPr>
                <w:b w:val="0"/>
                <w:i w:val="0"/>
                <w:sz w:val="12"/>
              </w:rPr>
              <w:t>0.090</w:t>
            </w:r>
          </w:p>
        </w:tc>
        <w:tc>
          <w:tcPr>
            <w:tcW w:type="dxa" w:w="695"/>
          </w:tcPr>
          <w:p>
            <w:pPr>
              <w:pStyle w:val="MDPI42tablebody"/>
              <w:keepNext/>
              <w:spacing w:line="240" w:lineRule="auto" w:before="30" w:after="30"/>
              <w:jc w:val="center"/>
            </w:pPr>
            <w:r>
              <w:rPr>
                <w:b w:val="0"/>
                <w:i w:val="0"/>
                <w:sz w:val="12"/>
              </w:rPr>
              <w:t>0.013</w:t>
            </w:r>
          </w:p>
        </w:tc>
        <w:tc>
          <w:tcPr>
            <w:tcW w:type="dxa" w:w="695"/>
          </w:tcPr>
          <w:p>
            <w:pPr>
              <w:pStyle w:val="MDPI42tablebody"/>
              <w:keepNext/>
              <w:spacing w:line="240" w:lineRule="auto" w:before="30" w:after="30"/>
              <w:jc w:val="center"/>
            </w:pPr>
            <w:r>
              <w:rPr>
                <w:b w:val="0"/>
                <w:i w:val="0"/>
                <w:sz w:val="12"/>
              </w:rPr>
              <w:t>−0.033</w:t>
            </w:r>
          </w:p>
        </w:tc>
        <w:tc>
          <w:tcPr>
            <w:tcW w:type="dxa" w:w="695"/>
          </w:tcPr>
          <w:p>
            <w:pPr>
              <w:pStyle w:val="MDPI42tablebody"/>
              <w:keepNext/>
              <w:spacing w:line="240" w:lineRule="auto" w:before="30" w:after="30"/>
              <w:jc w:val="center"/>
            </w:pPr>
            <w:r>
              <w:rPr>
                <w:b w:val="0"/>
                <w:i w:val="0"/>
                <w:sz w:val="12"/>
              </w:rPr>
              <w:t>0.044</w:t>
            </w:r>
          </w:p>
        </w:tc>
        <w:tc>
          <w:tcPr>
            <w:tcW w:type="dxa" w:w="695"/>
          </w:tcPr>
          <w:p>
            <w:pPr>
              <w:pStyle w:val="MDPI42tablebody"/>
              <w:keepNext/>
              <w:spacing w:line="240" w:lineRule="auto" w:before="30" w:after="30"/>
              <w:jc w:val="center"/>
            </w:pPr>
            <w:r>
              <w:rPr>
                <w:b w:val="0"/>
                <w:i w:val="0"/>
                <w:sz w:val="12"/>
              </w:rPr>
              <w:t>0.034</w:t>
            </w:r>
          </w:p>
        </w:tc>
        <w:tc>
          <w:tcPr>
            <w:tcW w:type="dxa" w:w="695"/>
          </w:tcPr>
          <w:p>
            <w:pPr>
              <w:pStyle w:val="MDPI42tablebody"/>
              <w:keepNext/>
              <w:spacing w:line="240" w:lineRule="auto" w:before="30" w:after="30"/>
              <w:jc w:val="center"/>
            </w:pPr>
            <w:r>
              <w:rPr>
                <w:b w:val="0"/>
                <w:i w:val="0"/>
                <w:sz w:val="12"/>
              </w:rPr>
              <w:t>0.012</w:t>
            </w:r>
          </w:p>
        </w:tc>
        <w:tc>
          <w:tcPr>
            <w:tcW w:type="dxa" w:w="695"/>
          </w:tcPr>
          <w:p>
            <w:pPr>
              <w:pStyle w:val="MDPI42tablebody"/>
              <w:keepNext/>
              <w:spacing w:line="240" w:lineRule="auto" w:before="30" w:after="30"/>
              <w:jc w:val="center"/>
            </w:pPr>
            <w:r>
              <w:rPr>
                <w:b w:val="0"/>
                <w:i w:val="0"/>
                <w:sz w:val="12"/>
              </w:rPr>
              <w:t>−0.005</w:t>
            </w:r>
          </w:p>
        </w:tc>
        <w:tc>
          <w:tcPr>
            <w:tcW w:type="dxa" w:w="695"/>
          </w:tcPr>
          <w:p>
            <w:pPr>
              <w:pStyle w:val="MDPI42tablebody"/>
              <w:keepNext/>
              <w:spacing w:line="240" w:lineRule="auto" w:before="30" w:after="30"/>
              <w:jc w:val="center"/>
            </w:pPr>
            <w:r>
              <w:rPr>
                <w:b w:val="0"/>
                <w:i w:val="0"/>
                <w:sz w:val="12"/>
              </w:rPr>
              <w:t>0.052</w:t>
            </w:r>
          </w:p>
        </w:tc>
        <w:tc>
          <w:tcPr>
            <w:tcW w:type="dxa" w:w="695"/>
          </w:tcPr>
          <w:p>
            <w:pPr>
              <w:pStyle w:val="MDPI42tablebody"/>
              <w:keepNext/>
              <w:spacing w:line="240" w:lineRule="auto" w:before="30" w:after="30"/>
              <w:jc w:val="center"/>
            </w:pPr>
            <w:r>
              <w:rPr>
                <w:b w:val="0"/>
                <w:i w:val="0"/>
                <w:sz w:val="12"/>
              </w:rPr>
              <w:t>0.109</w:t>
            </w:r>
          </w:p>
        </w:tc>
        <w:tc>
          <w:tcPr>
            <w:tcW w:type="dxa" w:w="906"/>
          </w:tcPr>
          <w:p>
            <w:pPr>
              <w:pStyle w:val="MDPI42tablebody"/>
              <w:keepNext/>
              <w:spacing w:line="240" w:lineRule="auto" w:before="30" w:after="30"/>
              <w:jc w:val="center"/>
            </w:pPr>
            <w:r>
              <w:rPr>
                <w:b w:val="0"/>
                <w:i w:val="0"/>
                <w:sz w:val="12"/>
              </w:rPr>
              <w:t>0.031</w:t>
            </w:r>
          </w:p>
        </w:tc>
        <w:tc>
          <w:tcPr>
            <w:tcW w:type="dxa" w:w="695"/>
          </w:tcPr>
          <w:p>
            <w:pPr>
              <w:pStyle w:val="MDPI42tablebody"/>
              <w:keepNext/>
              <w:spacing w:line="240" w:lineRule="auto" w:before="30" w:after="30"/>
              <w:jc w:val="center"/>
            </w:pPr>
            <w:r>
              <w:rPr>
                <w:b w:val="0"/>
                <w:i w:val="0"/>
                <w:sz w:val="12"/>
              </w:rPr>
              <w:t>1.000</w:t>
            </w:r>
          </w:p>
        </w:tc>
        <w:tc>
          <w:tcPr>
            <w:tcW w:type="dxa" w:w="727"/>
          </w:tcPr>
          <w:p>
            <w:pPr>
              <w:pStyle w:val="MDPI42tablebody"/>
              <w:keepNext/>
              <w:spacing w:line="240" w:lineRule="auto" w:before="30" w:after="30"/>
              <w:jc w:val="center"/>
            </w:pPr>
            <w:r>
              <w:rPr>
                <w:b w:val="0"/>
                <w:i w:val="0"/>
                <w:sz w:val="12"/>
              </w:rPr>
              <w:t>1.03</w:t>
            </w:r>
          </w:p>
        </w:tc>
      </w:tr>
      <w:tr>
        <w:trPr>
          <w:cantSplit/>
        </w:trPr>
        <w:tc>
          <w:tcPr>
            <w:tcW w:type="dxa" w:w="1180"/>
          </w:tcPr>
          <w:p>
            <w:pPr>
              <w:pStyle w:val="MDPI42tablebody"/>
              <w:keepNext/>
              <w:spacing w:line="240" w:lineRule="auto" w:before="30" w:after="30"/>
              <w:jc w:val="left"/>
            </w:pPr>
            <w:r>
              <w:rPr>
                <w:b w:val="0"/>
                <w:i/>
                <w:sz w:val="12"/>
              </w:rPr>
              <w:t>Top1</w:t>
            </w:r>
          </w:p>
        </w:tc>
        <w:tc>
          <w:tcPr>
            <w:tcW w:type="dxa" w:w="695"/>
          </w:tcPr>
          <w:p>
            <w:pPr>
              <w:pStyle w:val="MDPI42tablebody"/>
              <w:keepNext/>
              <w:spacing w:line="240" w:lineRule="auto" w:before="30" w:after="30"/>
              <w:jc w:val="center"/>
            </w:pPr>
            <w:r>
              <w:rPr>
                <w:b w:val="0"/>
                <w:i w:val="0"/>
                <w:sz w:val="12"/>
              </w:rPr>
              <w:t>0.007</w:t>
            </w:r>
          </w:p>
        </w:tc>
        <w:tc>
          <w:tcPr>
            <w:tcW w:type="dxa" w:w="695"/>
          </w:tcPr>
          <w:p>
            <w:pPr>
              <w:pStyle w:val="MDPI42tablebody"/>
              <w:keepNext/>
              <w:spacing w:line="240" w:lineRule="auto" w:before="30" w:after="30"/>
              <w:jc w:val="center"/>
            </w:pPr>
            <w:r>
              <w:rPr>
                <w:b w:val="0"/>
                <w:i w:val="0"/>
                <w:sz w:val="12"/>
              </w:rPr>
              <w:t>0.026</w:t>
            </w:r>
          </w:p>
        </w:tc>
        <w:tc>
          <w:tcPr>
            <w:tcW w:type="dxa" w:w="695"/>
          </w:tcPr>
          <w:p>
            <w:pPr>
              <w:pStyle w:val="MDPI42tablebody"/>
              <w:keepNext/>
              <w:spacing w:line="240" w:lineRule="auto" w:before="30" w:after="30"/>
              <w:jc w:val="center"/>
            </w:pPr>
            <w:r>
              <w:rPr>
                <w:b w:val="0"/>
                <w:i w:val="0"/>
                <w:sz w:val="12"/>
              </w:rPr>
              <w:t>0.000</w:t>
            </w:r>
          </w:p>
        </w:tc>
        <w:tc>
          <w:tcPr>
            <w:tcW w:type="dxa" w:w="695"/>
          </w:tcPr>
          <w:p>
            <w:pPr>
              <w:pStyle w:val="MDPI42tablebody"/>
              <w:keepNext/>
              <w:spacing w:line="240" w:lineRule="auto" w:before="30" w:after="30"/>
              <w:jc w:val="center"/>
            </w:pPr>
            <w:r>
              <w:rPr>
                <w:b w:val="0"/>
                <w:i w:val="0"/>
                <w:sz w:val="12"/>
              </w:rPr>
              <w:t>−0.012</w:t>
            </w:r>
          </w:p>
        </w:tc>
        <w:tc>
          <w:tcPr>
            <w:tcW w:type="dxa" w:w="695"/>
          </w:tcPr>
          <w:p>
            <w:pPr>
              <w:pStyle w:val="MDPI42tablebody"/>
              <w:keepNext/>
              <w:spacing w:line="240" w:lineRule="auto" w:before="30" w:after="30"/>
              <w:jc w:val="center"/>
            </w:pPr>
            <w:r>
              <w:rPr>
                <w:b w:val="0"/>
                <w:i w:val="0"/>
                <w:sz w:val="12"/>
              </w:rPr>
              <w:t>0.015</w:t>
            </w:r>
          </w:p>
        </w:tc>
        <w:tc>
          <w:tcPr>
            <w:tcW w:type="dxa" w:w="695"/>
          </w:tcPr>
          <w:p>
            <w:pPr>
              <w:pStyle w:val="MDPI42tablebody"/>
              <w:keepNext/>
              <w:spacing w:line="240" w:lineRule="auto" w:before="30" w:after="30"/>
              <w:jc w:val="center"/>
            </w:pPr>
            <w:r>
              <w:rPr>
                <w:b w:val="0"/>
                <w:i w:val="0"/>
                <w:sz w:val="12"/>
              </w:rPr>
              <w:t>−0.001</w:t>
            </w:r>
          </w:p>
        </w:tc>
        <w:tc>
          <w:tcPr>
            <w:tcW w:type="dxa" w:w="695"/>
          </w:tcPr>
          <w:p>
            <w:pPr>
              <w:pStyle w:val="MDPI42tablebody"/>
              <w:keepNext/>
              <w:spacing w:line="240" w:lineRule="auto" w:before="30" w:after="30"/>
              <w:jc w:val="center"/>
            </w:pPr>
            <w:r>
              <w:rPr>
                <w:b w:val="0"/>
                <w:i w:val="0"/>
                <w:sz w:val="12"/>
              </w:rPr>
              <w:t>0.002</w:t>
            </w:r>
          </w:p>
        </w:tc>
        <w:tc>
          <w:tcPr>
            <w:tcW w:type="dxa" w:w="695"/>
          </w:tcPr>
          <w:p>
            <w:pPr>
              <w:pStyle w:val="MDPI42tablebody"/>
              <w:keepNext/>
              <w:spacing w:line="240" w:lineRule="auto" w:before="30" w:after="30"/>
              <w:jc w:val="center"/>
            </w:pPr>
            <w:r>
              <w:rPr>
                <w:b w:val="0"/>
                <w:i w:val="0"/>
                <w:sz w:val="12"/>
              </w:rPr>
              <w:t>−0.039</w:t>
            </w:r>
          </w:p>
        </w:tc>
        <w:tc>
          <w:tcPr>
            <w:tcW w:type="dxa" w:w="695"/>
          </w:tcPr>
          <w:p>
            <w:pPr>
              <w:pStyle w:val="MDPI42tablebody"/>
              <w:keepNext/>
              <w:spacing w:line="240" w:lineRule="auto" w:before="30" w:after="30"/>
              <w:jc w:val="center"/>
            </w:pPr>
            <w:r>
              <w:rPr>
                <w:b w:val="0"/>
                <w:i w:val="0"/>
                <w:sz w:val="12"/>
              </w:rPr>
              <w:t>0.014</w:t>
            </w:r>
          </w:p>
        </w:tc>
        <w:tc>
          <w:tcPr>
            <w:tcW w:type="dxa" w:w="695"/>
          </w:tcPr>
          <w:p>
            <w:pPr>
              <w:pStyle w:val="MDPI42tablebody"/>
              <w:keepNext/>
              <w:spacing w:line="240" w:lineRule="auto" w:before="30" w:after="30"/>
              <w:jc w:val="center"/>
            </w:pPr>
            <w:r>
              <w:rPr>
                <w:b w:val="0"/>
                <w:i w:val="0"/>
                <w:sz w:val="12"/>
              </w:rPr>
              <w:t>0.012</w:t>
            </w:r>
          </w:p>
        </w:tc>
        <w:tc>
          <w:tcPr>
            <w:tcW w:type="dxa" w:w="906"/>
          </w:tcPr>
          <w:p>
            <w:pPr>
              <w:pStyle w:val="MDPI42tablebody"/>
              <w:keepNext/>
              <w:spacing w:line="240" w:lineRule="auto" w:before="30" w:after="30"/>
              <w:jc w:val="center"/>
            </w:pPr>
            <w:r>
              <w:rPr>
                <w:b w:val="0"/>
                <w:i w:val="0"/>
                <w:sz w:val="12"/>
              </w:rPr>
              <w:t>0.012</w:t>
            </w:r>
          </w:p>
        </w:tc>
        <w:tc>
          <w:tcPr>
            <w:tcW w:type="dxa" w:w="695"/>
          </w:tcPr>
          <w:p>
            <w:pPr>
              <w:pStyle w:val="MDPI42tablebody"/>
              <w:keepNext/>
              <w:spacing w:line="240" w:lineRule="auto" w:before="30" w:after="30"/>
              <w:jc w:val="center"/>
            </w:pPr>
            <w:r>
              <w:rPr>
                <w:b w:val="0"/>
                <w:i w:val="0"/>
                <w:sz w:val="12"/>
              </w:rPr>
              <w:t>−0.003</w:t>
            </w:r>
          </w:p>
        </w:tc>
        <w:tc>
          <w:tcPr>
            <w:tcW w:type="dxa" w:w="727"/>
          </w:tcPr>
          <w:p>
            <w:pPr>
              <w:pStyle w:val="MDPI42tablebody"/>
              <w:keepNext/>
              <w:spacing w:line="240" w:lineRule="auto" w:before="30" w:after="30"/>
              <w:jc w:val="center"/>
            </w:pPr>
            <w:r>
              <w:rPr>
                <w:b w:val="0"/>
                <w:i w:val="0"/>
                <w:sz w:val="12"/>
              </w:rPr>
              <w:t>1.00</w:t>
            </w:r>
          </w:p>
        </w:tc>
      </w:tr>
      <w:tr>
        <w:trPr>
          <w:cantSplit/>
        </w:trPr>
        <w:tc>
          <w:tcPr>
            <w:tcW w:type="dxa" w:w="1180"/>
          </w:tcPr>
          <w:p>
            <w:pPr>
              <w:pStyle w:val="MDPI42tablebody"/>
              <w:keepNext/>
              <w:spacing w:line="240" w:lineRule="auto" w:before="30" w:after="30"/>
              <w:jc w:val="left"/>
            </w:pPr>
            <w:r>
              <w:rPr>
                <w:b w:val="0"/>
                <w:i/>
                <w:sz w:val="12"/>
              </w:rPr>
              <w:t>Indep</w:t>
            </w:r>
          </w:p>
        </w:tc>
        <w:tc>
          <w:tcPr>
            <w:tcW w:type="dxa" w:w="695"/>
          </w:tcPr>
          <w:p>
            <w:pPr>
              <w:pStyle w:val="MDPI42tablebody"/>
              <w:keepNext/>
              <w:spacing w:line="240" w:lineRule="auto" w:before="30" w:after="30"/>
              <w:jc w:val="center"/>
            </w:pPr>
            <w:r>
              <w:rPr>
                <w:b w:val="0"/>
                <w:i w:val="0"/>
                <w:sz w:val="12"/>
              </w:rPr>
              <w:t>0.008</w:t>
            </w:r>
          </w:p>
        </w:tc>
        <w:tc>
          <w:tcPr>
            <w:tcW w:type="dxa" w:w="695"/>
          </w:tcPr>
          <w:p>
            <w:pPr>
              <w:pStyle w:val="MDPI42tablebody"/>
              <w:keepNext/>
              <w:spacing w:line="240" w:lineRule="auto" w:before="30" w:after="30"/>
              <w:jc w:val="center"/>
            </w:pPr>
            <w:r>
              <w:rPr>
                <w:b w:val="0"/>
                <w:i w:val="0"/>
                <w:sz w:val="12"/>
              </w:rPr>
              <w:t>−0.027</w:t>
            </w:r>
          </w:p>
        </w:tc>
        <w:tc>
          <w:tcPr>
            <w:tcW w:type="dxa" w:w="695"/>
          </w:tcPr>
          <w:p>
            <w:pPr>
              <w:pStyle w:val="MDPI42tablebody"/>
              <w:keepNext/>
              <w:spacing w:line="240" w:lineRule="auto" w:before="30" w:after="30"/>
              <w:jc w:val="center"/>
            </w:pPr>
            <w:r>
              <w:rPr>
                <w:b w:val="0"/>
                <w:i w:val="0"/>
                <w:sz w:val="12"/>
              </w:rPr>
              <w:t>0.002</w:t>
            </w:r>
          </w:p>
        </w:tc>
        <w:tc>
          <w:tcPr>
            <w:tcW w:type="dxa" w:w="695"/>
          </w:tcPr>
          <w:p>
            <w:pPr>
              <w:pStyle w:val="MDPI42tablebody"/>
              <w:keepNext/>
              <w:spacing w:line="240" w:lineRule="auto" w:before="30" w:after="30"/>
              <w:jc w:val="center"/>
            </w:pPr>
            <w:r>
              <w:rPr>
                <w:b w:val="0"/>
                <w:i w:val="0"/>
                <w:sz w:val="12"/>
              </w:rPr>
              <w:t>−0.027</w:t>
            </w:r>
          </w:p>
        </w:tc>
        <w:tc>
          <w:tcPr>
            <w:tcW w:type="dxa" w:w="695"/>
          </w:tcPr>
          <w:p>
            <w:pPr>
              <w:pStyle w:val="MDPI42tablebody"/>
              <w:keepNext/>
              <w:spacing w:line="240" w:lineRule="auto" w:before="30" w:after="30"/>
              <w:jc w:val="center"/>
            </w:pPr>
            <w:r>
              <w:rPr>
                <w:b w:val="0"/>
                <w:i w:val="0"/>
                <w:sz w:val="12"/>
              </w:rPr>
              <w:t>0.019</w:t>
            </w:r>
          </w:p>
        </w:tc>
        <w:tc>
          <w:tcPr>
            <w:tcW w:type="dxa" w:w="695"/>
          </w:tcPr>
          <w:p>
            <w:pPr>
              <w:pStyle w:val="MDPI42tablebody"/>
              <w:keepNext/>
              <w:spacing w:line="240" w:lineRule="auto" w:before="30" w:after="30"/>
              <w:jc w:val="center"/>
            </w:pPr>
            <w:r>
              <w:rPr>
                <w:b w:val="0"/>
                <w:i w:val="0"/>
                <w:sz w:val="12"/>
              </w:rPr>
              <w:t>−0.040</w:t>
            </w:r>
          </w:p>
        </w:tc>
        <w:tc>
          <w:tcPr>
            <w:tcW w:type="dxa" w:w="695"/>
          </w:tcPr>
          <w:p>
            <w:pPr>
              <w:pStyle w:val="MDPI42tablebody"/>
              <w:keepNext/>
              <w:spacing w:line="240" w:lineRule="auto" w:before="30" w:after="30"/>
              <w:jc w:val="center"/>
            </w:pPr>
            <w:r>
              <w:rPr>
                <w:b w:val="0"/>
                <w:i w:val="0"/>
                <w:sz w:val="12"/>
              </w:rPr>
              <w:t>0.030</w:t>
            </w:r>
          </w:p>
        </w:tc>
        <w:tc>
          <w:tcPr>
            <w:tcW w:type="dxa" w:w="695"/>
          </w:tcPr>
          <w:p>
            <w:pPr>
              <w:pStyle w:val="MDPI42tablebody"/>
              <w:keepNext/>
              <w:spacing w:line="240" w:lineRule="auto" w:before="30" w:after="30"/>
              <w:jc w:val="center"/>
            </w:pPr>
            <w:r>
              <w:rPr>
                <w:b w:val="0"/>
                <w:i w:val="0"/>
                <w:sz w:val="12"/>
              </w:rPr>
              <w:t>−0.044</w:t>
            </w:r>
          </w:p>
        </w:tc>
        <w:tc>
          <w:tcPr>
            <w:tcW w:type="dxa" w:w="695"/>
          </w:tcPr>
          <w:p>
            <w:pPr>
              <w:pStyle w:val="MDPI42tablebody"/>
              <w:keepNext/>
              <w:spacing w:line="240" w:lineRule="auto" w:before="30" w:after="30"/>
              <w:jc w:val="center"/>
            </w:pPr>
            <w:r>
              <w:rPr>
                <w:b w:val="0"/>
                <w:i w:val="0"/>
                <w:sz w:val="12"/>
              </w:rPr>
              <w:t>0.006</w:t>
            </w:r>
          </w:p>
        </w:tc>
        <w:tc>
          <w:tcPr>
            <w:tcW w:type="dxa" w:w="695"/>
          </w:tcPr>
          <w:p>
            <w:pPr>
              <w:pStyle w:val="MDPI42tablebody"/>
              <w:keepNext/>
              <w:spacing w:line="240" w:lineRule="auto" w:before="30" w:after="30"/>
              <w:jc w:val="center"/>
            </w:pPr>
            <w:r>
              <w:rPr>
                <w:b w:val="0"/>
                <w:i w:val="0"/>
                <w:sz w:val="12"/>
              </w:rPr>
              <w:t>−0.007</w:t>
            </w:r>
          </w:p>
        </w:tc>
        <w:tc>
          <w:tcPr>
            <w:tcW w:type="dxa" w:w="906"/>
          </w:tcPr>
          <w:p>
            <w:pPr>
              <w:pStyle w:val="MDPI42tablebody"/>
              <w:keepNext/>
              <w:spacing w:line="240" w:lineRule="auto" w:before="30" w:after="30"/>
              <w:jc w:val="center"/>
            </w:pPr>
            <w:r>
              <w:rPr>
                <w:b w:val="0"/>
                <w:i w:val="0"/>
                <w:sz w:val="12"/>
              </w:rPr>
              <w:t>0.003</w:t>
            </w:r>
          </w:p>
        </w:tc>
        <w:tc>
          <w:tcPr>
            <w:tcW w:type="dxa" w:w="695"/>
          </w:tcPr>
          <w:p>
            <w:pPr>
              <w:pStyle w:val="MDPI42tablebody"/>
              <w:keepNext/>
              <w:spacing w:line="240" w:lineRule="auto" w:before="30" w:after="30"/>
              <w:jc w:val="center"/>
            </w:pPr>
            <w:r>
              <w:rPr>
                <w:b w:val="0"/>
                <w:i w:val="0"/>
                <w:sz w:val="12"/>
              </w:rPr>
              <w:t>0.002</w:t>
            </w:r>
          </w:p>
        </w:tc>
        <w:tc>
          <w:tcPr>
            <w:tcW w:type="dxa" w:w="727"/>
          </w:tcPr>
          <w:p>
            <w:pPr>
              <w:pStyle w:val="MDPI42tablebody"/>
              <w:keepNext/>
              <w:spacing w:line="240" w:lineRule="auto" w:before="30" w:after="30"/>
              <w:jc w:val="center"/>
            </w:pPr>
            <w:r>
              <w:rPr>
                <w:b w:val="0"/>
                <w:i w:val="0"/>
                <w:sz w:val="12"/>
              </w:rPr>
              <w:t>1.00</w:t>
            </w:r>
          </w:p>
        </w:tc>
      </w:tr>
      <w:tr>
        <w:trPr>
          <w:cantSplit/>
        </w:trPr>
        <w:tc>
          <w:tcPr>
            <w:tcW w:type="dxa" w:w="1180"/>
          </w:tcPr>
          <w:p>
            <w:pPr>
              <w:pStyle w:val="MDPI42tablebody"/>
              <w:keepNext/>
              <w:spacing w:line="240" w:lineRule="auto" w:before="30" w:after="30"/>
              <w:jc w:val="left"/>
            </w:pPr>
            <w:r>
              <w:rPr>
                <w:b w:val="0"/>
                <w:i/>
                <w:sz w:val="12"/>
              </w:rPr>
              <w:t>Dual</w:t>
            </w:r>
          </w:p>
        </w:tc>
        <w:tc>
          <w:tcPr>
            <w:tcW w:type="dxa" w:w="695"/>
          </w:tcPr>
          <w:p>
            <w:pPr>
              <w:pStyle w:val="MDPI42tablebody"/>
              <w:keepNext/>
              <w:spacing w:line="240" w:lineRule="auto" w:before="30" w:after="30"/>
              <w:jc w:val="center"/>
            </w:pPr>
            <w:r>
              <w:rPr>
                <w:b w:val="0"/>
                <w:i w:val="0"/>
                <w:sz w:val="12"/>
              </w:rPr>
              <w:t>−0.006</w:t>
            </w:r>
          </w:p>
        </w:tc>
        <w:tc>
          <w:tcPr>
            <w:tcW w:type="dxa" w:w="695"/>
          </w:tcPr>
          <w:p>
            <w:pPr>
              <w:pStyle w:val="MDPI42tablebody"/>
              <w:keepNext/>
              <w:spacing w:line="240" w:lineRule="auto" w:before="30" w:after="30"/>
              <w:jc w:val="center"/>
            </w:pPr>
            <w:r>
              <w:rPr>
                <w:b w:val="0"/>
                <w:i w:val="0"/>
                <w:sz w:val="12"/>
              </w:rPr>
              <w:t>0.037</w:t>
            </w:r>
          </w:p>
        </w:tc>
        <w:tc>
          <w:tcPr>
            <w:tcW w:type="dxa" w:w="695"/>
          </w:tcPr>
          <w:p>
            <w:pPr>
              <w:pStyle w:val="MDPI42tablebody"/>
              <w:keepNext/>
              <w:spacing w:line="240" w:lineRule="auto" w:before="30" w:after="30"/>
              <w:jc w:val="center"/>
            </w:pPr>
            <w:r>
              <w:rPr>
                <w:b w:val="0"/>
                <w:i w:val="0"/>
                <w:sz w:val="12"/>
              </w:rPr>
              <w:t>−0.031</w:t>
            </w:r>
          </w:p>
        </w:tc>
        <w:tc>
          <w:tcPr>
            <w:tcW w:type="dxa" w:w="695"/>
          </w:tcPr>
          <w:p>
            <w:pPr>
              <w:pStyle w:val="MDPI42tablebody"/>
              <w:keepNext/>
              <w:spacing w:line="240" w:lineRule="auto" w:before="30" w:after="30"/>
              <w:jc w:val="center"/>
            </w:pPr>
            <w:r>
              <w:rPr>
                <w:b w:val="0"/>
                <w:i w:val="0"/>
                <w:sz w:val="12"/>
              </w:rPr>
              <w:t>−0.023</w:t>
            </w:r>
          </w:p>
        </w:tc>
        <w:tc>
          <w:tcPr>
            <w:tcW w:type="dxa" w:w="695"/>
          </w:tcPr>
          <w:p>
            <w:pPr>
              <w:pStyle w:val="MDPI42tablebody"/>
              <w:keepNext/>
              <w:spacing w:line="240" w:lineRule="auto" w:before="30" w:after="30"/>
              <w:jc w:val="center"/>
            </w:pPr>
            <w:r>
              <w:rPr>
                <w:b w:val="0"/>
                <w:i w:val="0"/>
                <w:sz w:val="12"/>
              </w:rPr>
              <w:t>0.005</w:t>
            </w:r>
          </w:p>
        </w:tc>
        <w:tc>
          <w:tcPr>
            <w:tcW w:type="dxa" w:w="695"/>
          </w:tcPr>
          <w:p>
            <w:pPr>
              <w:pStyle w:val="MDPI42tablebody"/>
              <w:keepNext/>
              <w:spacing w:line="240" w:lineRule="auto" w:before="30" w:after="30"/>
              <w:jc w:val="center"/>
            </w:pPr>
            <w:r>
              <w:rPr>
                <w:b w:val="0"/>
                <w:i w:val="0"/>
                <w:sz w:val="12"/>
              </w:rPr>
              <w:t>−0.016</w:t>
            </w:r>
          </w:p>
        </w:tc>
        <w:tc>
          <w:tcPr>
            <w:tcW w:type="dxa" w:w="695"/>
          </w:tcPr>
          <w:p>
            <w:pPr>
              <w:pStyle w:val="MDPI42tablebody"/>
              <w:keepNext/>
              <w:spacing w:line="240" w:lineRule="auto" w:before="30" w:after="30"/>
              <w:jc w:val="center"/>
            </w:pPr>
            <w:r>
              <w:rPr>
                <w:b w:val="0"/>
                <w:i w:val="0"/>
                <w:sz w:val="12"/>
              </w:rPr>
              <w:t>−0.035</w:t>
            </w:r>
          </w:p>
        </w:tc>
        <w:tc>
          <w:tcPr>
            <w:tcW w:type="dxa" w:w="695"/>
          </w:tcPr>
          <w:p>
            <w:pPr>
              <w:pStyle w:val="MDPI42tablebody"/>
              <w:keepNext/>
              <w:spacing w:line="240" w:lineRule="auto" w:before="30" w:after="30"/>
              <w:jc w:val="center"/>
            </w:pPr>
            <w:r>
              <w:rPr>
                <w:b w:val="0"/>
                <w:i w:val="0"/>
                <w:sz w:val="12"/>
              </w:rPr>
              <w:t>−0.015</w:t>
            </w:r>
          </w:p>
        </w:tc>
        <w:tc>
          <w:tcPr>
            <w:tcW w:type="dxa" w:w="695"/>
          </w:tcPr>
          <w:p>
            <w:pPr>
              <w:pStyle w:val="MDPI42tablebody"/>
              <w:keepNext/>
              <w:spacing w:line="240" w:lineRule="auto" w:before="30" w:after="30"/>
              <w:jc w:val="center"/>
            </w:pPr>
            <w:r>
              <w:rPr>
                <w:b w:val="0"/>
                <w:i w:val="0"/>
                <w:sz w:val="12"/>
              </w:rPr>
              <w:t>−0.014</w:t>
            </w:r>
          </w:p>
        </w:tc>
        <w:tc>
          <w:tcPr>
            <w:tcW w:type="dxa" w:w="695"/>
          </w:tcPr>
          <w:p>
            <w:pPr>
              <w:pStyle w:val="MDPI42tablebody"/>
              <w:keepNext/>
              <w:spacing w:line="240" w:lineRule="auto" w:before="30" w:after="30"/>
              <w:jc w:val="center"/>
            </w:pPr>
            <w:r>
              <w:rPr>
                <w:b w:val="0"/>
                <w:i w:val="0"/>
                <w:sz w:val="12"/>
              </w:rPr>
              <w:t>−0.012</w:t>
            </w:r>
          </w:p>
        </w:tc>
        <w:tc>
          <w:tcPr>
            <w:tcW w:type="dxa" w:w="906"/>
          </w:tcPr>
          <w:p>
            <w:pPr>
              <w:pStyle w:val="MDPI42tablebody"/>
              <w:keepNext/>
              <w:spacing w:line="240" w:lineRule="auto" w:before="30" w:after="30"/>
              <w:jc w:val="center"/>
            </w:pPr>
            <w:r>
              <w:rPr>
                <w:b w:val="0"/>
                <w:i w:val="0"/>
                <w:sz w:val="12"/>
              </w:rPr>
              <w:t>−0.004</w:t>
            </w:r>
          </w:p>
        </w:tc>
        <w:tc>
          <w:tcPr>
            <w:tcW w:type="dxa" w:w="695"/>
          </w:tcPr>
          <w:p>
            <w:pPr>
              <w:pStyle w:val="MDPI42tablebody"/>
              <w:keepNext/>
              <w:spacing w:line="240" w:lineRule="auto" w:before="30" w:after="30"/>
              <w:jc w:val="center"/>
            </w:pPr>
            <w:r>
              <w:rPr>
                <w:b w:val="0"/>
                <w:i w:val="0"/>
                <w:sz w:val="12"/>
              </w:rPr>
              <w:t>−0.002</w:t>
            </w:r>
          </w:p>
        </w:tc>
        <w:tc>
          <w:tcPr>
            <w:tcW w:type="dxa" w:w="727"/>
          </w:tcPr>
          <w:p>
            <w:pPr>
              <w:pStyle w:val="MDPI42tablebody"/>
              <w:keepNext/>
              <w:spacing w:line="240" w:lineRule="auto" w:before="30" w:after="30"/>
              <w:jc w:val="center"/>
            </w:pPr>
            <w:r>
              <w:rPr>
                <w:b w:val="0"/>
                <w:i w:val="0"/>
                <w:sz w:val="12"/>
              </w:rPr>
              <w:t>1.00</w:t>
            </w:r>
          </w:p>
        </w:tc>
      </w:tr>
      <w:tr>
        <w:trPr>
          <w:cantSplit/>
        </w:trPr>
        <w:tc>
          <w:tcPr>
            <w:tcW w:type="dxa" w:w="1180"/>
          </w:tcPr>
          <w:p>
            <w:pPr>
              <w:pStyle w:val="MDPI42tablebody"/>
              <w:keepNext/>
              <w:spacing w:line="240" w:lineRule="auto" w:before="30" w:after="30"/>
              <w:jc w:val="left"/>
            </w:pPr>
            <w:r>
              <w:rPr>
                <w:b w:val="0"/>
                <w:i/>
                <w:sz w:val="12"/>
              </w:rPr>
              <w:t>Board</w:t>
            </w:r>
          </w:p>
        </w:tc>
        <w:tc>
          <w:tcPr>
            <w:tcW w:type="dxa" w:w="695"/>
          </w:tcPr>
          <w:p>
            <w:pPr>
              <w:pStyle w:val="MDPI42tablebody"/>
              <w:keepNext/>
              <w:spacing w:line="240" w:lineRule="auto" w:before="30" w:after="30"/>
              <w:jc w:val="center"/>
            </w:pPr>
            <w:r>
              <w:rPr>
                <w:b w:val="0"/>
                <w:i w:val="0"/>
                <w:sz w:val="12"/>
              </w:rPr>
              <w:t>−0.007</w:t>
            </w:r>
          </w:p>
        </w:tc>
        <w:tc>
          <w:tcPr>
            <w:tcW w:type="dxa" w:w="695"/>
          </w:tcPr>
          <w:p>
            <w:pPr>
              <w:pStyle w:val="MDPI42tablebody"/>
              <w:keepNext/>
              <w:spacing w:line="240" w:lineRule="auto" w:before="30" w:after="30"/>
              <w:jc w:val="center"/>
            </w:pPr>
            <w:r>
              <w:rPr>
                <w:b w:val="0"/>
                <w:i w:val="0"/>
                <w:sz w:val="12"/>
              </w:rPr>
              <w:t>−0.010</w:t>
            </w:r>
          </w:p>
        </w:tc>
        <w:tc>
          <w:tcPr>
            <w:tcW w:type="dxa" w:w="695"/>
          </w:tcPr>
          <w:p>
            <w:pPr>
              <w:pStyle w:val="MDPI42tablebody"/>
              <w:keepNext/>
              <w:spacing w:line="240" w:lineRule="auto" w:before="30" w:after="30"/>
              <w:jc w:val="center"/>
            </w:pPr>
            <w:r>
              <w:rPr>
                <w:b w:val="0"/>
                <w:i w:val="0"/>
                <w:sz w:val="12"/>
              </w:rPr>
              <w:t>0.017</w:t>
            </w:r>
          </w:p>
        </w:tc>
        <w:tc>
          <w:tcPr>
            <w:tcW w:type="dxa" w:w="695"/>
          </w:tcPr>
          <w:p>
            <w:pPr>
              <w:pStyle w:val="MDPI42tablebody"/>
              <w:keepNext/>
              <w:spacing w:line="240" w:lineRule="auto" w:before="30" w:after="30"/>
              <w:jc w:val="center"/>
            </w:pPr>
            <w:r>
              <w:rPr>
                <w:b w:val="0"/>
                <w:i w:val="0"/>
                <w:sz w:val="12"/>
              </w:rPr>
              <w:t>0.026</w:t>
            </w:r>
          </w:p>
        </w:tc>
        <w:tc>
          <w:tcPr>
            <w:tcW w:type="dxa" w:w="695"/>
          </w:tcPr>
          <w:p>
            <w:pPr>
              <w:pStyle w:val="MDPI42tablebody"/>
              <w:keepNext/>
              <w:spacing w:line="240" w:lineRule="auto" w:before="30" w:after="30"/>
              <w:jc w:val="center"/>
            </w:pPr>
            <w:r>
              <w:rPr>
                <w:b w:val="0"/>
                <w:i w:val="0"/>
                <w:sz w:val="12"/>
              </w:rPr>
              <w:t>0.029</w:t>
            </w:r>
          </w:p>
        </w:tc>
        <w:tc>
          <w:tcPr>
            <w:tcW w:type="dxa" w:w="695"/>
          </w:tcPr>
          <w:p>
            <w:pPr>
              <w:pStyle w:val="MDPI42tablebody"/>
              <w:keepNext/>
              <w:spacing w:line="240" w:lineRule="auto" w:before="30" w:after="30"/>
              <w:jc w:val="center"/>
            </w:pPr>
            <w:r>
              <w:rPr>
                <w:b w:val="0"/>
                <w:i w:val="0"/>
                <w:sz w:val="12"/>
              </w:rPr>
              <w:t>0.010</w:t>
            </w:r>
          </w:p>
        </w:tc>
        <w:tc>
          <w:tcPr>
            <w:tcW w:type="dxa" w:w="695"/>
          </w:tcPr>
          <w:p>
            <w:pPr>
              <w:pStyle w:val="MDPI42tablebody"/>
              <w:keepNext/>
              <w:spacing w:line="240" w:lineRule="auto" w:before="30" w:after="30"/>
              <w:jc w:val="center"/>
            </w:pPr>
            <w:r>
              <w:rPr>
                <w:b w:val="0"/>
                <w:i w:val="0"/>
                <w:sz w:val="12"/>
              </w:rPr>
              <w:t>0.010</w:t>
            </w:r>
          </w:p>
        </w:tc>
        <w:tc>
          <w:tcPr>
            <w:tcW w:type="dxa" w:w="695"/>
          </w:tcPr>
          <w:p>
            <w:pPr>
              <w:pStyle w:val="MDPI42tablebody"/>
              <w:keepNext/>
              <w:spacing w:line="240" w:lineRule="auto" w:before="30" w:after="30"/>
              <w:jc w:val="center"/>
            </w:pPr>
            <w:r>
              <w:rPr>
                <w:b w:val="0"/>
                <w:i w:val="0"/>
                <w:sz w:val="12"/>
              </w:rPr>
              <w:t>0.029</w:t>
            </w:r>
          </w:p>
        </w:tc>
        <w:tc>
          <w:tcPr>
            <w:tcW w:type="dxa" w:w="695"/>
          </w:tcPr>
          <w:p>
            <w:pPr>
              <w:pStyle w:val="MDPI42tablebody"/>
              <w:keepNext/>
              <w:spacing w:line="240" w:lineRule="auto" w:before="30" w:after="30"/>
              <w:jc w:val="center"/>
            </w:pPr>
            <w:r>
              <w:rPr>
                <w:b w:val="0"/>
                <w:i w:val="0"/>
                <w:sz w:val="12"/>
              </w:rPr>
              <w:t>0.012</w:t>
            </w:r>
          </w:p>
        </w:tc>
        <w:tc>
          <w:tcPr>
            <w:tcW w:type="dxa" w:w="695"/>
          </w:tcPr>
          <w:p>
            <w:pPr>
              <w:pStyle w:val="MDPI42tablebody"/>
              <w:keepNext/>
              <w:spacing w:line="240" w:lineRule="auto" w:before="30" w:after="30"/>
              <w:jc w:val="center"/>
            </w:pPr>
            <w:r>
              <w:rPr>
                <w:b w:val="0"/>
                <w:i w:val="0"/>
                <w:sz w:val="12"/>
              </w:rPr>
              <w:t>0.004</w:t>
            </w:r>
          </w:p>
        </w:tc>
        <w:tc>
          <w:tcPr>
            <w:tcW w:type="dxa" w:w="906"/>
          </w:tcPr>
          <w:p>
            <w:pPr>
              <w:pStyle w:val="MDPI42tablebody"/>
              <w:keepNext/>
              <w:spacing w:line="240" w:lineRule="auto" w:before="30" w:after="30"/>
              <w:jc w:val="center"/>
            </w:pPr>
            <w:r>
              <w:rPr>
                <w:b w:val="0"/>
                <w:i w:val="0"/>
                <w:sz w:val="12"/>
              </w:rPr>
              <w:t>0.000</w:t>
            </w:r>
          </w:p>
        </w:tc>
        <w:tc>
          <w:tcPr>
            <w:tcW w:type="dxa" w:w="695"/>
          </w:tcPr>
          <w:p>
            <w:pPr>
              <w:pStyle w:val="MDPI42tablebody"/>
              <w:keepNext/>
              <w:spacing w:line="240" w:lineRule="auto" w:before="30" w:after="30"/>
              <w:jc w:val="center"/>
            </w:pPr>
            <w:r>
              <w:rPr>
                <w:b w:val="0"/>
                <w:i w:val="0"/>
                <w:sz w:val="12"/>
              </w:rPr>
              <w:t>−0.005</w:t>
            </w:r>
          </w:p>
        </w:tc>
        <w:tc>
          <w:tcPr>
            <w:tcW w:type="dxa" w:w="727"/>
          </w:tcPr>
          <w:p>
            <w:pPr>
              <w:pStyle w:val="MDPI42tablebody"/>
              <w:keepNext/>
              <w:spacing w:line="240" w:lineRule="auto" w:before="30" w:after="30"/>
              <w:jc w:val="center"/>
            </w:pPr>
            <w:r>
              <w:rPr>
                <w:b w:val="0"/>
                <w:i w:val="0"/>
                <w:sz w:val="12"/>
              </w:rPr>
              <w:t>1.00</w:t>
            </w:r>
          </w:p>
        </w:tc>
      </w:tr>
      <w:tr>
        <w:trPr>
          <w:cantSplit/>
        </w:trPr>
        <w:tc>
          <w:tcPr>
            <w:tcW w:type="dxa" w:w="1180"/>
          </w:tcPr>
          <w:p>
            <w:pPr>
              <w:pStyle w:val="MDPI42tablebody"/>
              <w:spacing w:line="240" w:lineRule="auto" w:before="30" w:after="30"/>
              <w:jc w:val="left"/>
            </w:pPr>
            <w:r>
              <w:rPr>
                <w:b w:val="0"/>
                <w:i/>
                <w:sz w:val="12"/>
              </w:rPr>
              <w:t>CapInt</w:t>
            </w:r>
          </w:p>
        </w:tc>
        <w:tc>
          <w:tcPr>
            <w:tcW w:type="dxa" w:w="695"/>
          </w:tcPr>
          <w:p>
            <w:pPr>
              <w:pStyle w:val="MDPI42tablebody"/>
              <w:spacing w:line="240" w:lineRule="auto" w:before="30" w:after="30"/>
              <w:jc w:val="center"/>
            </w:pPr>
            <w:r>
              <w:rPr>
                <w:b w:val="0"/>
                <w:i w:val="0"/>
                <w:sz w:val="12"/>
              </w:rPr>
              <w:t>0.061</w:t>
            </w:r>
          </w:p>
        </w:tc>
        <w:tc>
          <w:tcPr>
            <w:tcW w:type="dxa" w:w="695"/>
          </w:tcPr>
          <w:p>
            <w:pPr>
              <w:pStyle w:val="MDPI42tablebody"/>
              <w:spacing w:line="240" w:lineRule="auto" w:before="30" w:after="30"/>
              <w:jc w:val="center"/>
            </w:pPr>
            <w:r>
              <w:rPr>
                <w:b w:val="0"/>
                <w:i w:val="0"/>
                <w:sz w:val="12"/>
              </w:rPr>
              <w:t>−0.073</w:t>
            </w:r>
          </w:p>
        </w:tc>
        <w:tc>
          <w:tcPr>
            <w:tcW w:type="dxa" w:w="695"/>
          </w:tcPr>
          <w:p>
            <w:pPr>
              <w:pStyle w:val="MDPI42tablebody"/>
              <w:spacing w:line="240" w:lineRule="auto" w:before="30" w:after="30"/>
              <w:jc w:val="center"/>
            </w:pPr>
            <w:r>
              <w:rPr>
                <w:b w:val="0"/>
                <w:i w:val="0"/>
                <w:sz w:val="12"/>
              </w:rPr>
              <w:t>−0.019</w:t>
            </w:r>
          </w:p>
        </w:tc>
        <w:tc>
          <w:tcPr>
            <w:tcW w:type="dxa" w:w="695"/>
          </w:tcPr>
          <w:p>
            <w:pPr>
              <w:pStyle w:val="MDPI42tablebody"/>
              <w:spacing w:line="240" w:lineRule="auto" w:before="30" w:after="30"/>
              <w:jc w:val="center"/>
            </w:pPr>
            <w:r>
              <w:rPr>
                <w:b w:val="0"/>
                <w:i w:val="0"/>
                <w:sz w:val="12"/>
              </w:rPr>
              <w:t>−0.078</w:t>
            </w:r>
          </w:p>
        </w:tc>
        <w:tc>
          <w:tcPr>
            <w:tcW w:type="dxa" w:w="695"/>
          </w:tcPr>
          <w:p>
            <w:pPr>
              <w:pStyle w:val="MDPI42tablebody"/>
              <w:spacing w:line="240" w:lineRule="auto" w:before="30" w:after="30"/>
              <w:jc w:val="center"/>
            </w:pPr>
            <w:r>
              <w:rPr>
                <w:b w:val="0"/>
                <w:i w:val="0"/>
                <w:sz w:val="12"/>
              </w:rPr>
              <w:t>−0.018</w:t>
            </w:r>
          </w:p>
        </w:tc>
        <w:tc>
          <w:tcPr>
            <w:tcW w:type="dxa" w:w="695"/>
          </w:tcPr>
          <w:p>
            <w:pPr>
              <w:pStyle w:val="MDPI42tablebody"/>
              <w:spacing w:line="240" w:lineRule="auto" w:before="30" w:after="30"/>
              <w:jc w:val="center"/>
            </w:pPr>
            <w:r>
              <w:rPr>
                <w:b w:val="0"/>
                <w:i w:val="0"/>
                <w:sz w:val="12"/>
              </w:rPr>
              <w:t>−0.035</w:t>
            </w:r>
          </w:p>
        </w:tc>
        <w:tc>
          <w:tcPr>
            <w:tcW w:type="dxa" w:w="695"/>
          </w:tcPr>
          <w:p>
            <w:pPr>
              <w:pStyle w:val="MDPI42tablebody"/>
              <w:spacing w:line="240" w:lineRule="auto" w:before="30" w:after="30"/>
              <w:jc w:val="center"/>
            </w:pPr>
            <w:r>
              <w:rPr>
                <w:b w:val="0"/>
                <w:i w:val="0"/>
                <w:sz w:val="12"/>
              </w:rPr>
              <w:t>0.010</w:t>
            </w:r>
          </w:p>
        </w:tc>
        <w:tc>
          <w:tcPr>
            <w:tcW w:type="dxa" w:w="695"/>
          </w:tcPr>
          <w:p>
            <w:pPr>
              <w:pStyle w:val="MDPI42tablebody"/>
              <w:spacing w:line="240" w:lineRule="auto" w:before="30" w:after="30"/>
              <w:jc w:val="center"/>
            </w:pPr>
            <w:r>
              <w:rPr>
                <w:b w:val="0"/>
                <w:i w:val="0"/>
                <w:sz w:val="12"/>
              </w:rPr>
              <w:t>0.013</w:t>
            </w:r>
          </w:p>
        </w:tc>
        <w:tc>
          <w:tcPr>
            <w:tcW w:type="dxa" w:w="695"/>
          </w:tcPr>
          <w:p>
            <w:pPr>
              <w:pStyle w:val="MDPI42tablebody"/>
              <w:spacing w:line="240" w:lineRule="auto" w:before="30" w:after="30"/>
              <w:jc w:val="center"/>
            </w:pPr>
            <w:r>
              <w:rPr>
                <w:b w:val="0"/>
                <w:i w:val="0"/>
                <w:sz w:val="12"/>
              </w:rPr>
              <w:t>0.008</w:t>
            </w:r>
          </w:p>
        </w:tc>
        <w:tc>
          <w:tcPr>
            <w:tcW w:type="dxa" w:w="695"/>
          </w:tcPr>
          <w:p>
            <w:pPr>
              <w:pStyle w:val="MDPI42tablebody"/>
              <w:spacing w:line="240" w:lineRule="auto" w:before="30" w:after="30"/>
              <w:jc w:val="center"/>
            </w:pPr>
            <w:r>
              <w:rPr>
                <w:b w:val="0"/>
                <w:i w:val="0"/>
                <w:sz w:val="12"/>
              </w:rPr>
              <w:t>−0.004</w:t>
            </w:r>
          </w:p>
        </w:tc>
        <w:tc>
          <w:tcPr>
            <w:tcW w:type="dxa" w:w="906"/>
          </w:tcPr>
          <w:p>
            <w:pPr>
              <w:pStyle w:val="MDPI42tablebody"/>
              <w:spacing w:line="240" w:lineRule="auto" w:before="30" w:after="30"/>
              <w:jc w:val="center"/>
            </w:pPr>
            <w:r>
              <w:rPr>
                <w:b w:val="0"/>
                <w:i w:val="0"/>
                <w:sz w:val="12"/>
              </w:rPr>
              <w:t>0.002</w:t>
            </w:r>
          </w:p>
        </w:tc>
        <w:tc>
          <w:tcPr>
            <w:tcW w:type="dxa" w:w="695"/>
          </w:tcPr>
          <w:p>
            <w:pPr>
              <w:pStyle w:val="MDPI42tablebody"/>
              <w:spacing w:line="240" w:lineRule="auto" w:before="30" w:after="30"/>
              <w:jc w:val="center"/>
            </w:pPr>
            <w:r>
              <w:rPr>
                <w:b w:val="0"/>
                <w:i w:val="0"/>
                <w:sz w:val="12"/>
              </w:rPr>
              <w:t>−0.020</w:t>
            </w:r>
          </w:p>
        </w:tc>
        <w:tc>
          <w:tcPr>
            <w:tcW w:type="dxa" w:w="727"/>
          </w:tcPr>
          <w:p>
            <w:pPr>
              <w:pStyle w:val="MDPI42tablebody"/>
              <w:spacing w:line="240" w:lineRule="auto" w:before="30" w:after="30"/>
              <w:jc w:val="center"/>
            </w:pPr>
            <w:r>
              <w:rPr>
                <w:b w:val="0"/>
                <w:i w:val="0"/>
                <w:sz w:val="12"/>
              </w:rPr>
              <w:t>1.00</w:t>
            </w:r>
          </w:p>
        </w:tc>
      </w:tr>
    </w:tbl>
    <w:p>
      <w:pPr>
        <w:pStyle w:val="MDPI43tablefooter"/>
        <w:spacing w:line="240" w:lineRule="auto" w:before="40" w:after="200"/>
        <w:ind w:left="2608" w:firstLine="0"/>
      </w:pPr>
      <w:r>
        <w:rPr>
          <w:sz w:val="16"/>
        </w:rPr>
        <w:t xml:space="preserve">Note: </w:t>
      </w:r>
      <w:r>
        <w:rPr>
          <w:b w:val="0"/>
          <w:i w:val="0"/>
          <w:sz w:val="16"/>
        </w:rPr>
        <w:t>The lower triangle reports pairwise Pearson correlation coefficients. The final column reports the variance inflation factor of each regressor after the two-way within transformation; the largest value is 1.12, far below the conventional threshold of five, so multicollinearity is not a concern. Source: authors’ own calculations.</w:t>
      </w:r>
    </w:p>
    <w:p>
      <w:pPr>
        <w:pStyle w:val="MDPI22heading2"/>
      </w:pPr>
      <w:r>
        <w:t>4.2. Benchmark Regression</w:t>
      </w:r>
    </w:p>
    <w:p>
      <w:pPr>
        <w:pStyle w:val="MDPI32textnoindent"/>
      </w:pPr>
      <w:r>
        <w:rPr>
          <w:b w:val="0"/>
          <w:i w:val="0"/>
        </w:rPr>
        <w:t>Table 4 reports the benchmark results. Column (1) includes firm effects only, column (2) adds year effects, and column (3) is the full specification of Equation (1). Across all three the coefficient on adoption is negative and significant at the one percent level. In the benchmark column the estimate is −1.348 with a standard error of 0.066, a t-statistic of 20.3 and a within R-squared of 0.061. The magnitude is economically meaningful: a one-standard-deviation increase in generative-AI application intensity lowers the youth employment share by 1.74 percentage points, equivalent to 6.0 percent of its sample mean, and a movement from the twenty-fifth to the seventy-fifth percentile of adoption lowers it by 1.94 percentage points. H1 is supported.</w:t>
      </w:r>
    </w:p>
    <w:p>
      <w:pPr>
        <w:pStyle w:val="MDPI31text"/>
      </w:pPr>
      <w:r>
        <w:rPr>
          <w:b w:val="0"/>
          <w:i w:val="0"/>
        </w:rPr>
        <w:t>The estimate is not an artefact of the fixed-effect structure. Replacing the year effects with industry-by-year effects, which absorb every shock common to an industry in a year, leaves the coefficient at −1.325; replacing them with province-by-year effects, which absorb every regional labor market shock, leaves it at −1.337. The controls behave as the literature would lead one to expect: larger, more profitable and faster-growing firms employ a higher share of young workers, while more leveraged firms employ fewer.</w:t>
      </w:r>
    </w:p>
    <w:p>
      <w:pPr>
        <w:pStyle w:val="MDPI41tablecaption"/>
        <w:keepNext/>
        <w:spacing w:after="60"/>
      </w:pPr>
      <w:r>
        <w:rPr>
          <w:b/>
          <w:sz w:val="18"/>
        </w:rPr>
        <w:t xml:space="preserve">Table 4. </w:t>
      </w:r>
      <w:r>
        <w:rPr>
          <w:b w:val="0"/>
          <w:i w:val="0"/>
          <w:sz w:val="18"/>
        </w:rPr>
        <w:t>Benchmark regression results.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728"/>
        <w:gridCol w:w="1225"/>
        <w:gridCol w:w="1225"/>
        <w:gridCol w:w="1225"/>
        <w:gridCol w:w="1225"/>
        <w:gridCol w:w="1225"/>
      </w:tblGrid>
      <w:tr>
        <w:trPr>
          <w:cantSplit/>
          <w:tblHeader/>
        </w:trPr>
        <w:tc>
          <w:tcPr>
            <w:tcW w:type="dxa" w:w="1728"/>
            <w:tcBorders>
              <w:bottom w:val="single" w:sz="8" w:space="0" w:color="auto"/>
            </w:tcBorders>
          </w:tcPr>
          <w:p>
            <w:pPr>
              <w:pStyle w:val="MDPI42tablebody"/>
              <w:keepNext/>
              <w:spacing w:line="240" w:lineRule="auto" w:before="30" w:after="30"/>
              <w:jc w:val="center"/>
            </w:pPr>
            <w:r>
              <w:rPr>
                <w:b/>
                <w:i w:val="0"/>
                <w:sz w:val="18"/>
              </w:rPr>
              <w:t>Variable</w:t>
            </w:r>
          </w:p>
        </w:tc>
        <w:tc>
          <w:tcPr>
            <w:tcW w:type="dxa" w:w="1225"/>
            <w:tcBorders>
              <w:bottom w:val="single" w:sz="8" w:space="0" w:color="auto"/>
            </w:tcBorders>
          </w:tcPr>
          <w:p>
            <w:pPr>
              <w:pStyle w:val="MDPI42tablebody"/>
              <w:keepNext/>
              <w:spacing w:line="240" w:lineRule="auto" w:before="30" w:after="30"/>
              <w:jc w:val="center"/>
            </w:pPr>
            <w:r>
              <w:rPr>
                <w:b/>
                <w:i w:val="0"/>
                <w:sz w:val="18"/>
              </w:rPr>
              <w:t>(1)</w:t>
            </w:r>
          </w:p>
        </w:tc>
        <w:tc>
          <w:tcPr>
            <w:tcW w:type="dxa" w:w="1225"/>
            <w:tcBorders>
              <w:bottom w:val="single" w:sz="8" w:space="0" w:color="auto"/>
            </w:tcBorders>
          </w:tcPr>
          <w:p>
            <w:pPr>
              <w:pStyle w:val="MDPI42tablebody"/>
              <w:keepNext/>
              <w:spacing w:line="240" w:lineRule="auto" w:before="30" w:after="30"/>
              <w:jc w:val="center"/>
            </w:pPr>
            <w:r>
              <w:rPr>
                <w:b/>
                <w:i w:val="0"/>
                <w:sz w:val="18"/>
              </w:rPr>
              <w:t>(2)</w:t>
            </w:r>
          </w:p>
        </w:tc>
        <w:tc>
          <w:tcPr>
            <w:tcW w:type="dxa" w:w="1225"/>
            <w:tcBorders>
              <w:bottom w:val="single" w:sz="8" w:space="0" w:color="auto"/>
            </w:tcBorders>
          </w:tcPr>
          <w:p>
            <w:pPr>
              <w:pStyle w:val="MDPI42tablebody"/>
              <w:keepNext/>
              <w:spacing w:line="240" w:lineRule="auto" w:before="30" w:after="30"/>
              <w:jc w:val="center"/>
            </w:pPr>
            <w:r>
              <w:rPr>
                <w:b/>
                <w:i w:val="0"/>
                <w:sz w:val="18"/>
              </w:rPr>
              <w:t>(3)</w:t>
            </w:r>
          </w:p>
        </w:tc>
        <w:tc>
          <w:tcPr>
            <w:tcW w:type="dxa" w:w="1225"/>
            <w:tcBorders>
              <w:bottom w:val="single" w:sz="8" w:space="0" w:color="auto"/>
            </w:tcBorders>
          </w:tcPr>
          <w:p>
            <w:pPr>
              <w:pStyle w:val="MDPI42tablebody"/>
              <w:keepNext/>
              <w:spacing w:line="240" w:lineRule="auto" w:before="30" w:after="30"/>
              <w:jc w:val="center"/>
            </w:pPr>
            <w:r>
              <w:rPr>
                <w:b/>
                <w:i w:val="0"/>
                <w:sz w:val="18"/>
              </w:rPr>
              <w:t>(4)</w:t>
            </w:r>
          </w:p>
        </w:tc>
        <w:tc>
          <w:tcPr>
            <w:tcW w:type="dxa" w:w="1225"/>
            <w:tcBorders>
              <w:bottom w:val="single" w:sz="8" w:space="0" w:color="auto"/>
            </w:tcBorders>
          </w:tcPr>
          <w:p>
            <w:pPr>
              <w:pStyle w:val="MDPI42tablebody"/>
              <w:keepNext/>
              <w:spacing w:line="240" w:lineRule="auto" w:before="30" w:after="30"/>
              <w:jc w:val="center"/>
            </w:pPr>
            <w:r>
              <w:rPr>
                <w:b/>
                <w:i w:val="0"/>
                <w:sz w:val="18"/>
              </w:rPr>
              <w:t>(5)</w:t>
            </w:r>
          </w:p>
        </w:tc>
      </w:tr>
      <w:tr>
        <w:trPr>
          <w:cantSplit/>
        </w:trPr>
        <w:tc>
          <w:tcPr>
            <w:tcW w:type="dxa" w:w="1728"/>
          </w:tcPr>
          <w:p>
            <w:pPr>
              <w:pStyle w:val="MDPI42tablebody"/>
              <w:keepNext/>
              <w:spacing w:line="240" w:lineRule="auto" w:before="30" w:after="30"/>
              <w:jc w:val="left"/>
            </w:pPr>
            <w:r>
              <w:rPr>
                <w:b w:val="0"/>
                <w:i/>
                <w:sz w:val="18"/>
              </w:rPr>
              <w:t>GenAI</w:t>
            </w:r>
          </w:p>
        </w:tc>
        <w:tc>
          <w:tcPr>
            <w:tcW w:type="dxa" w:w="1225"/>
          </w:tcPr>
          <w:p>
            <w:pPr>
              <w:pStyle w:val="MDPI42tablebody"/>
              <w:keepNext/>
              <w:spacing w:line="240" w:lineRule="auto" w:before="30" w:after="30"/>
              <w:jc w:val="center"/>
            </w:pPr>
            <w:r>
              <w:rPr>
                <w:b w:val="0"/>
                <w:i w:val="0"/>
                <w:sz w:val="18"/>
              </w:rPr>
              <w:t>−1.572***</w:t>
            </w:r>
          </w:p>
        </w:tc>
        <w:tc>
          <w:tcPr>
            <w:tcW w:type="dxa" w:w="1225"/>
          </w:tcPr>
          <w:p>
            <w:pPr>
              <w:pStyle w:val="MDPI42tablebody"/>
              <w:keepNext/>
              <w:spacing w:line="240" w:lineRule="auto" w:before="30" w:after="30"/>
              <w:jc w:val="center"/>
            </w:pPr>
            <w:r>
              <w:rPr>
                <w:b w:val="0"/>
                <w:i w:val="0"/>
                <w:sz w:val="18"/>
              </w:rPr>
              <w:t>−1.087***</w:t>
            </w:r>
          </w:p>
        </w:tc>
        <w:tc>
          <w:tcPr>
            <w:tcW w:type="dxa" w:w="1225"/>
          </w:tcPr>
          <w:p>
            <w:pPr>
              <w:pStyle w:val="MDPI42tablebody"/>
              <w:keepNext/>
              <w:spacing w:line="240" w:lineRule="auto" w:before="30" w:after="30"/>
              <w:jc w:val="center"/>
            </w:pPr>
            <w:r>
              <w:rPr>
                <w:b w:val="0"/>
                <w:i w:val="0"/>
                <w:sz w:val="18"/>
              </w:rPr>
              <w:t>−1.348***</w:t>
            </w:r>
          </w:p>
        </w:tc>
        <w:tc>
          <w:tcPr>
            <w:tcW w:type="dxa" w:w="1225"/>
          </w:tcPr>
          <w:p>
            <w:pPr>
              <w:pStyle w:val="MDPI42tablebody"/>
              <w:keepNext/>
              <w:spacing w:line="240" w:lineRule="auto" w:before="30" w:after="30"/>
              <w:jc w:val="center"/>
            </w:pPr>
            <w:r>
              <w:rPr>
                <w:b w:val="0"/>
                <w:i w:val="0"/>
                <w:sz w:val="18"/>
              </w:rPr>
              <w:t>−1.325***</w:t>
            </w:r>
          </w:p>
        </w:tc>
        <w:tc>
          <w:tcPr>
            <w:tcW w:type="dxa" w:w="1225"/>
          </w:tcPr>
          <w:p>
            <w:pPr>
              <w:pStyle w:val="MDPI42tablebody"/>
              <w:keepNext/>
              <w:spacing w:line="240" w:lineRule="auto" w:before="30" w:after="30"/>
              <w:jc w:val="center"/>
            </w:pPr>
            <w:r>
              <w:rPr>
                <w:b w:val="0"/>
                <w:i w:val="0"/>
                <w:sz w:val="18"/>
              </w:rPr>
              <w:t>−1.337***</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r>
              <w:rPr>
                <w:b w:val="0"/>
                <w:i w:val="0"/>
                <w:sz w:val="18"/>
              </w:rPr>
              <w:t>(0.036)</w:t>
            </w:r>
          </w:p>
        </w:tc>
        <w:tc>
          <w:tcPr>
            <w:tcW w:type="dxa" w:w="1225"/>
          </w:tcPr>
          <w:p>
            <w:pPr>
              <w:pStyle w:val="MDPI42tablebody"/>
              <w:keepNext/>
              <w:spacing w:line="240" w:lineRule="auto" w:before="30" w:after="30"/>
              <w:jc w:val="center"/>
            </w:pPr>
            <w:r>
              <w:rPr>
                <w:b w:val="0"/>
                <w:i w:val="0"/>
                <w:sz w:val="18"/>
              </w:rPr>
              <w:t>(0.067)</w:t>
            </w:r>
          </w:p>
        </w:tc>
        <w:tc>
          <w:tcPr>
            <w:tcW w:type="dxa" w:w="1225"/>
          </w:tcPr>
          <w:p>
            <w:pPr>
              <w:pStyle w:val="MDPI42tablebody"/>
              <w:keepNext/>
              <w:spacing w:line="240" w:lineRule="auto" w:before="30" w:after="30"/>
              <w:jc w:val="center"/>
            </w:pPr>
            <w:r>
              <w:rPr>
                <w:b w:val="0"/>
                <w:i w:val="0"/>
                <w:sz w:val="18"/>
              </w:rPr>
              <w:t>(0.066)</w:t>
            </w:r>
          </w:p>
        </w:tc>
        <w:tc>
          <w:tcPr>
            <w:tcW w:type="dxa" w:w="1225"/>
          </w:tcPr>
          <w:p>
            <w:pPr>
              <w:pStyle w:val="MDPI42tablebody"/>
              <w:keepNext/>
              <w:spacing w:line="240" w:lineRule="auto" w:before="30" w:after="30"/>
              <w:jc w:val="center"/>
            </w:pPr>
            <w:r>
              <w:rPr>
                <w:b w:val="0"/>
                <w:i w:val="0"/>
                <w:sz w:val="18"/>
              </w:rPr>
              <w:t>(0.069)</w:t>
            </w:r>
          </w:p>
        </w:tc>
        <w:tc>
          <w:tcPr>
            <w:tcW w:type="dxa" w:w="1225"/>
          </w:tcPr>
          <w:p>
            <w:pPr>
              <w:pStyle w:val="MDPI42tablebody"/>
              <w:keepNext/>
              <w:spacing w:line="240" w:lineRule="auto" w:before="30" w:after="30"/>
              <w:jc w:val="center"/>
            </w:pPr>
            <w:r>
              <w:rPr>
                <w:b w:val="0"/>
                <w:i w:val="0"/>
                <w:sz w:val="18"/>
              </w:rPr>
              <w:t>(0.067)</w:t>
            </w:r>
          </w:p>
        </w:tc>
      </w:tr>
      <w:tr>
        <w:trPr>
          <w:cantSplit/>
        </w:trPr>
        <w:tc>
          <w:tcPr>
            <w:tcW w:type="dxa" w:w="1728"/>
          </w:tcPr>
          <w:p>
            <w:pPr>
              <w:pStyle w:val="MDPI42tablebody"/>
              <w:keepNext/>
              <w:spacing w:line="240" w:lineRule="auto" w:before="30" w:after="30"/>
              <w:jc w:val="left"/>
            </w:pPr>
            <w:r>
              <w:rPr>
                <w:b w:val="0"/>
                <w:i/>
                <w:sz w:val="18"/>
              </w:rPr>
              <w:t>Size</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2.169***</w:t>
            </w:r>
          </w:p>
        </w:tc>
        <w:tc>
          <w:tcPr>
            <w:tcW w:type="dxa" w:w="1225"/>
          </w:tcPr>
          <w:p>
            <w:pPr>
              <w:pStyle w:val="MDPI42tablebody"/>
              <w:keepNext/>
              <w:spacing w:line="240" w:lineRule="auto" w:before="30" w:after="30"/>
              <w:jc w:val="center"/>
            </w:pPr>
            <w:r>
              <w:rPr>
                <w:b w:val="0"/>
                <w:i w:val="0"/>
                <w:sz w:val="18"/>
              </w:rPr>
              <w:t>2.130***</w:t>
            </w:r>
          </w:p>
        </w:tc>
        <w:tc>
          <w:tcPr>
            <w:tcW w:type="dxa" w:w="1225"/>
          </w:tcPr>
          <w:p>
            <w:pPr>
              <w:pStyle w:val="MDPI42tablebody"/>
              <w:keepNext/>
              <w:spacing w:line="240" w:lineRule="auto" w:before="30" w:after="30"/>
              <w:jc w:val="center"/>
            </w:pPr>
            <w:r>
              <w:rPr>
                <w:b w:val="0"/>
                <w:i w:val="0"/>
                <w:sz w:val="18"/>
              </w:rPr>
              <w:t>2.156***</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(0.391)</w:t>
            </w:r>
          </w:p>
        </w:tc>
        <w:tc>
          <w:tcPr>
            <w:tcW w:type="dxa" w:w="1225"/>
          </w:tcPr>
          <w:p>
            <w:pPr>
              <w:pStyle w:val="MDPI42tablebody"/>
              <w:keepNext/>
              <w:spacing w:line="240" w:lineRule="auto" w:before="30" w:after="30"/>
              <w:jc w:val="center"/>
            </w:pPr>
            <w:r>
              <w:rPr>
                <w:b w:val="0"/>
                <w:i w:val="0"/>
                <w:sz w:val="18"/>
              </w:rPr>
              <w:t>(0.395)</w:t>
            </w:r>
          </w:p>
        </w:tc>
        <w:tc>
          <w:tcPr>
            <w:tcW w:type="dxa" w:w="1225"/>
          </w:tcPr>
          <w:p>
            <w:pPr>
              <w:pStyle w:val="MDPI42tablebody"/>
              <w:keepNext/>
              <w:spacing w:line="240" w:lineRule="auto" w:before="30" w:after="30"/>
              <w:jc w:val="center"/>
            </w:pPr>
            <w:r>
              <w:rPr>
                <w:b w:val="0"/>
                <w:i w:val="0"/>
                <w:sz w:val="18"/>
              </w:rPr>
              <w:t>(0.393)</w:t>
            </w:r>
          </w:p>
        </w:tc>
      </w:tr>
      <w:tr>
        <w:trPr>
          <w:cantSplit/>
        </w:trPr>
        <w:tc>
          <w:tcPr>
            <w:tcW w:type="dxa" w:w="1728"/>
          </w:tcPr>
          <w:p>
            <w:pPr>
              <w:pStyle w:val="MDPI42tablebody"/>
              <w:keepNext/>
              <w:spacing w:line="240" w:lineRule="auto" w:before="30" w:after="30"/>
              <w:jc w:val="left"/>
            </w:pPr>
            <w:r>
              <w:rPr>
                <w:b w:val="0"/>
                <w:i/>
                <w:sz w:val="18"/>
              </w:rPr>
              <w:t>Lev</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−1.892**</w:t>
            </w:r>
          </w:p>
        </w:tc>
        <w:tc>
          <w:tcPr>
            <w:tcW w:type="dxa" w:w="1225"/>
          </w:tcPr>
          <w:p>
            <w:pPr>
              <w:pStyle w:val="MDPI42tablebody"/>
              <w:keepNext/>
              <w:spacing w:line="240" w:lineRule="auto" w:before="30" w:after="30"/>
              <w:jc w:val="center"/>
            </w:pPr>
            <w:r>
              <w:rPr>
                <w:b w:val="0"/>
                <w:i w:val="0"/>
                <w:sz w:val="18"/>
              </w:rPr>
              <w:t>−1.786**</w:t>
            </w:r>
          </w:p>
        </w:tc>
        <w:tc>
          <w:tcPr>
            <w:tcW w:type="dxa" w:w="1225"/>
          </w:tcPr>
          <w:p>
            <w:pPr>
              <w:pStyle w:val="MDPI42tablebody"/>
              <w:keepNext/>
              <w:spacing w:line="240" w:lineRule="auto" w:before="30" w:after="30"/>
              <w:jc w:val="center"/>
            </w:pPr>
            <w:r>
              <w:rPr>
                <w:b w:val="0"/>
                <w:i w:val="0"/>
                <w:sz w:val="18"/>
              </w:rPr>
              <w:t>−1.847**</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(0.831)</w:t>
            </w:r>
          </w:p>
        </w:tc>
        <w:tc>
          <w:tcPr>
            <w:tcW w:type="dxa" w:w="1225"/>
          </w:tcPr>
          <w:p>
            <w:pPr>
              <w:pStyle w:val="MDPI42tablebody"/>
              <w:keepNext/>
              <w:spacing w:line="240" w:lineRule="auto" w:before="30" w:after="30"/>
              <w:jc w:val="center"/>
            </w:pPr>
            <w:r>
              <w:rPr>
                <w:b w:val="0"/>
                <w:i w:val="0"/>
                <w:sz w:val="18"/>
              </w:rPr>
              <w:t>(0.834)</w:t>
            </w:r>
          </w:p>
        </w:tc>
        <w:tc>
          <w:tcPr>
            <w:tcW w:type="dxa" w:w="1225"/>
          </w:tcPr>
          <w:p>
            <w:pPr>
              <w:pStyle w:val="MDPI42tablebody"/>
              <w:keepNext/>
              <w:spacing w:line="240" w:lineRule="auto" w:before="30" w:after="30"/>
              <w:jc w:val="center"/>
            </w:pPr>
            <w:r>
              <w:rPr>
                <w:b w:val="0"/>
                <w:i w:val="0"/>
                <w:sz w:val="18"/>
              </w:rPr>
              <w:t>(0.836)</w:t>
            </w:r>
          </w:p>
        </w:tc>
      </w:tr>
      <w:tr>
        <w:trPr>
          <w:cantSplit/>
        </w:trPr>
        <w:tc>
          <w:tcPr>
            <w:tcW w:type="dxa" w:w="1728"/>
          </w:tcPr>
          <w:p>
            <w:pPr>
              <w:pStyle w:val="MDPI42tablebody"/>
              <w:keepNext/>
              <w:spacing w:line="240" w:lineRule="auto" w:before="30" w:after="30"/>
              <w:jc w:val="left"/>
            </w:pPr>
            <w:r>
              <w:rPr>
                <w:b w:val="0"/>
                <w:i/>
                <w:sz w:val="18"/>
              </w:rPr>
              <w:t>ROA</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10.515***</w:t>
            </w:r>
          </w:p>
        </w:tc>
        <w:tc>
          <w:tcPr>
            <w:tcW w:type="dxa" w:w="1225"/>
          </w:tcPr>
          <w:p>
            <w:pPr>
              <w:pStyle w:val="MDPI42tablebody"/>
              <w:keepNext/>
              <w:spacing w:line="240" w:lineRule="auto" w:before="30" w:after="30"/>
              <w:jc w:val="center"/>
            </w:pPr>
            <w:r>
              <w:rPr>
                <w:b w:val="0"/>
                <w:i w:val="0"/>
                <w:sz w:val="18"/>
              </w:rPr>
              <w:t>10.346***</w:t>
            </w:r>
          </w:p>
        </w:tc>
        <w:tc>
          <w:tcPr>
            <w:tcW w:type="dxa" w:w="1225"/>
          </w:tcPr>
          <w:p>
            <w:pPr>
              <w:pStyle w:val="MDPI42tablebody"/>
              <w:keepNext/>
              <w:spacing w:line="240" w:lineRule="auto" w:before="30" w:after="30"/>
              <w:jc w:val="center"/>
            </w:pPr>
            <w:r>
              <w:rPr>
                <w:b w:val="0"/>
                <w:i w:val="0"/>
                <w:sz w:val="18"/>
              </w:rPr>
              <w:t>10.540***</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(1.469)</w:t>
            </w:r>
          </w:p>
        </w:tc>
        <w:tc>
          <w:tcPr>
            <w:tcW w:type="dxa" w:w="1225"/>
          </w:tcPr>
          <w:p>
            <w:pPr>
              <w:pStyle w:val="MDPI42tablebody"/>
              <w:keepNext/>
              <w:spacing w:line="240" w:lineRule="auto" w:before="30" w:after="30"/>
              <w:jc w:val="center"/>
            </w:pPr>
            <w:r>
              <w:rPr>
                <w:b w:val="0"/>
                <w:i w:val="0"/>
                <w:sz w:val="18"/>
              </w:rPr>
              <w:t>(1.475)</w:t>
            </w:r>
          </w:p>
        </w:tc>
        <w:tc>
          <w:tcPr>
            <w:tcW w:type="dxa" w:w="1225"/>
          </w:tcPr>
          <w:p>
            <w:pPr>
              <w:pStyle w:val="MDPI42tablebody"/>
              <w:keepNext/>
              <w:spacing w:line="240" w:lineRule="auto" w:before="30" w:after="30"/>
              <w:jc w:val="center"/>
            </w:pPr>
            <w:r>
              <w:rPr>
                <w:b w:val="0"/>
                <w:i w:val="0"/>
                <w:sz w:val="18"/>
              </w:rPr>
              <w:t>(1.477)</w:t>
            </w:r>
          </w:p>
        </w:tc>
      </w:tr>
      <w:tr>
        <w:trPr>
          <w:cantSplit/>
        </w:trPr>
        <w:tc>
          <w:tcPr>
            <w:tcW w:type="dxa" w:w="1728"/>
          </w:tcPr>
          <w:p>
            <w:pPr>
              <w:pStyle w:val="MDPI42tablebody"/>
              <w:keepNext/>
              <w:spacing w:line="240" w:lineRule="auto" w:before="30" w:after="30"/>
              <w:jc w:val="left"/>
            </w:pPr>
            <w:r>
              <w:rPr>
                <w:b w:val="0"/>
                <w:i/>
                <w:sz w:val="18"/>
              </w:rPr>
              <w:t>Growth</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2.093***</w:t>
            </w:r>
          </w:p>
        </w:tc>
        <w:tc>
          <w:tcPr>
            <w:tcW w:type="dxa" w:w="1225"/>
          </w:tcPr>
          <w:p>
            <w:pPr>
              <w:pStyle w:val="MDPI42tablebody"/>
              <w:keepNext/>
              <w:spacing w:line="240" w:lineRule="auto" w:before="30" w:after="30"/>
              <w:jc w:val="center"/>
            </w:pPr>
            <w:r>
              <w:rPr>
                <w:b w:val="0"/>
                <w:i w:val="0"/>
                <w:sz w:val="18"/>
              </w:rPr>
              <w:t>2.089***</w:t>
            </w:r>
          </w:p>
        </w:tc>
        <w:tc>
          <w:tcPr>
            <w:tcW w:type="dxa" w:w="1225"/>
          </w:tcPr>
          <w:p>
            <w:pPr>
              <w:pStyle w:val="MDPI42tablebody"/>
              <w:keepNext/>
              <w:spacing w:line="240" w:lineRule="auto" w:before="30" w:after="30"/>
              <w:jc w:val="center"/>
            </w:pPr>
            <w:r>
              <w:rPr>
                <w:b w:val="0"/>
                <w:i w:val="0"/>
                <w:sz w:val="18"/>
              </w:rPr>
              <w:t>2.079***</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(0.120)</w:t>
            </w:r>
          </w:p>
        </w:tc>
        <w:tc>
          <w:tcPr>
            <w:tcW w:type="dxa" w:w="1225"/>
          </w:tcPr>
          <w:p>
            <w:pPr>
              <w:pStyle w:val="MDPI42tablebody"/>
              <w:keepNext/>
              <w:spacing w:line="240" w:lineRule="auto" w:before="30" w:after="30"/>
              <w:jc w:val="center"/>
            </w:pPr>
            <w:r>
              <w:rPr>
                <w:b w:val="0"/>
                <w:i w:val="0"/>
                <w:sz w:val="18"/>
              </w:rPr>
              <w:t>(0.121)</w:t>
            </w:r>
          </w:p>
        </w:tc>
        <w:tc>
          <w:tcPr>
            <w:tcW w:type="dxa" w:w="1225"/>
          </w:tcPr>
          <w:p>
            <w:pPr>
              <w:pStyle w:val="MDPI42tablebody"/>
              <w:keepNext/>
              <w:spacing w:line="240" w:lineRule="auto" w:before="30" w:after="30"/>
              <w:jc w:val="center"/>
            </w:pPr>
            <w:r>
              <w:rPr>
                <w:b w:val="0"/>
                <w:i w:val="0"/>
                <w:sz w:val="18"/>
              </w:rPr>
              <w:t>(0.121)</w:t>
            </w:r>
          </w:p>
        </w:tc>
      </w:tr>
      <w:tr>
        <w:trPr>
          <w:cantSplit/>
        </w:trPr>
        <w:tc>
          <w:tcPr>
            <w:tcW w:type="dxa" w:w="1728"/>
          </w:tcPr>
          <w:p>
            <w:pPr>
              <w:pStyle w:val="MDPI42tablebody"/>
              <w:keepNext/>
              <w:spacing w:line="240" w:lineRule="auto" w:before="30" w:after="30"/>
              <w:jc w:val="left"/>
            </w:pPr>
            <w:r>
              <w:rPr>
                <w:b w:val="0"/>
                <w:i/>
                <w:sz w:val="18"/>
              </w:rPr>
              <w:t>Cashflow</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3.317***</w:t>
            </w:r>
          </w:p>
        </w:tc>
        <w:tc>
          <w:tcPr>
            <w:tcW w:type="dxa" w:w="1225"/>
          </w:tcPr>
          <w:p>
            <w:pPr>
              <w:pStyle w:val="MDPI42tablebody"/>
              <w:keepNext/>
              <w:spacing w:line="240" w:lineRule="auto" w:before="30" w:after="30"/>
              <w:jc w:val="center"/>
            </w:pPr>
            <w:r>
              <w:rPr>
                <w:b w:val="0"/>
                <w:i w:val="0"/>
                <w:sz w:val="18"/>
              </w:rPr>
              <w:t>3.321***</w:t>
            </w:r>
          </w:p>
        </w:tc>
        <w:tc>
          <w:tcPr>
            <w:tcW w:type="dxa" w:w="1225"/>
          </w:tcPr>
          <w:p>
            <w:pPr>
              <w:pStyle w:val="MDPI42tablebody"/>
              <w:keepNext/>
              <w:spacing w:line="240" w:lineRule="auto" w:before="30" w:after="30"/>
              <w:jc w:val="center"/>
            </w:pPr>
            <w:r>
              <w:rPr>
                <w:b w:val="0"/>
                <w:i w:val="0"/>
                <w:sz w:val="18"/>
              </w:rPr>
              <w:t>3.309***</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(0.627)</w:t>
            </w:r>
          </w:p>
        </w:tc>
        <w:tc>
          <w:tcPr>
            <w:tcW w:type="dxa" w:w="1225"/>
          </w:tcPr>
          <w:p>
            <w:pPr>
              <w:pStyle w:val="MDPI42tablebody"/>
              <w:keepNext/>
              <w:spacing w:line="240" w:lineRule="auto" w:before="30" w:after="30"/>
              <w:jc w:val="center"/>
            </w:pPr>
            <w:r>
              <w:rPr>
                <w:b w:val="0"/>
                <w:i w:val="0"/>
                <w:sz w:val="18"/>
              </w:rPr>
              <w:t>(0.627)</w:t>
            </w:r>
          </w:p>
        </w:tc>
        <w:tc>
          <w:tcPr>
            <w:tcW w:type="dxa" w:w="1225"/>
          </w:tcPr>
          <w:p>
            <w:pPr>
              <w:pStyle w:val="MDPI42tablebody"/>
              <w:keepNext/>
              <w:spacing w:line="240" w:lineRule="auto" w:before="30" w:after="30"/>
              <w:jc w:val="center"/>
            </w:pPr>
            <w:r>
              <w:rPr>
                <w:b w:val="0"/>
                <w:i w:val="0"/>
                <w:sz w:val="18"/>
              </w:rPr>
              <w:t>(0.629)</w:t>
            </w:r>
          </w:p>
        </w:tc>
      </w:tr>
      <w:tr>
        <w:trPr>
          <w:cantSplit/>
        </w:trPr>
        <w:tc>
          <w:tcPr>
            <w:tcW w:type="dxa" w:w="1728"/>
          </w:tcPr>
          <w:p>
            <w:pPr>
              <w:pStyle w:val="MDPI42tablebody"/>
              <w:keepNext/>
              <w:spacing w:line="240" w:lineRule="auto" w:before="30" w:after="30"/>
              <w:jc w:val="left"/>
            </w:pPr>
            <w:r>
              <w:rPr>
                <w:b w:val="0"/>
                <w:i/>
                <w:sz w:val="18"/>
              </w:rPr>
              <w:t>TobinQ</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0.651***</w:t>
            </w:r>
          </w:p>
        </w:tc>
        <w:tc>
          <w:tcPr>
            <w:tcW w:type="dxa" w:w="1225"/>
          </w:tcPr>
          <w:p>
            <w:pPr>
              <w:pStyle w:val="MDPI42tablebody"/>
              <w:keepNext/>
              <w:spacing w:line="240" w:lineRule="auto" w:before="30" w:after="30"/>
              <w:jc w:val="center"/>
            </w:pPr>
            <w:r>
              <w:rPr>
                <w:b w:val="0"/>
                <w:i w:val="0"/>
                <w:sz w:val="18"/>
              </w:rPr>
              <w:t>0.647***</w:t>
            </w:r>
          </w:p>
        </w:tc>
        <w:tc>
          <w:tcPr>
            <w:tcW w:type="dxa" w:w="1225"/>
          </w:tcPr>
          <w:p>
            <w:pPr>
              <w:pStyle w:val="MDPI42tablebody"/>
              <w:keepNext/>
              <w:spacing w:line="240" w:lineRule="auto" w:before="30" w:after="30"/>
              <w:jc w:val="center"/>
            </w:pPr>
            <w:r>
              <w:rPr>
                <w:b w:val="0"/>
                <w:i w:val="0"/>
                <w:sz w:val="18"/>
              </w:rPr>
              <w:t>0.652***</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(0.044)</w:t>
            </w:r>
          </w:p>
        </w:tc>
        <w:tc>
          <w:tcPr>
            <w:tcW w:type="dxa" w:w="1225"/>
          </w:tcPr>
          <w:p>
            <w:pPr>
              <w:pStyle w:val="MDPI42tablebody"/>
              <w:keepNext/>
              <w:spacing w:line="240" w:lineRule="auto" w:before="30" w:after="30"/>
              <w:jc w:val="center"/>
            </w:pPr>
            <w:r>
              <w:rPr>
                <w:b w:val="0"/>
                <w:i w:val="0"/>
                <w:sz w:val="18"/>
              </w:rPr>
              <w:t>(0.044)</w:t>
            </w:r>
          </w:p>
        </w:tc>
        <w:tc>
          <w:tcPr>
            <w:tcW w:type="dxa" w:w="1225"/>
          </w:tcPr>
          <w:p>
            <w:pPr>
              <w:pStyle w:val="MDPI42tablebody"/>
              <w:keepNext/>
              <w:spacing w:line="240" w:lineRule="auto" w:before="30" w:after="30"/>
              <w:jc w:val="center"/>
            </w:pPr>
            <w:r>
              <w:rPr>
                <w:b w:val="0"/>
                <w:i w:val="0"/>
                <w:sz w:val="18"/>
              </w:rPr>
              <w:t>(0.044)</w:t>
            </w:r>
          </w:p>
        </w:tc>
      </w:tr>
      <w:tr>
        <w:trPr>
          <w:cantSplit/>
        </w:trPr>
        <w:tc>
          <w:tcPr>
            <w:tcW w:type="dxa" w:w="1728"/>
          </w:tcPr>
          <w:p>
            <w:pPr>
              <w:pStyle w:val="MDPI42tablebody"/>
              <w:keepNext/>
              <w:spacing w:line="240" w:lineRule="auto" w:before="30" w:after="30"/>
              <w:jc w:val="left"/>
            </w:pPr>
            <w:r>
              <w:rPr>
                <w:b w:val="0"/>
                <w:i/>
                <w:sz w:val="18"/>
              </w:rPr>
              <w:t>Top1</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3.467*</w:t>
            </w:r>
          </w:p>
        </w:tc>
        <w:tc>
          <w:tcPr>
            <w:tcW w:type="dxa" w:w="1225"/>
          </w:tcPr>
          <w:p>
            <w:pPr>
              <w:pStyle w:val="MDPI42tablebody"/>
              <w:keepNext/>
              <w:spacing w:line="240" w:lineRule="auto" w:before="30" w:after="30"/>
              <w:jc w:val="center"/>
            </w:pPr>
            <w:r>
              <w:rPr>
                <w:b w:val="0"/>
                <w:i w:val="0"/>
                <w:sz w:val="18"/>
              </w:rPr>
              <w:t>3.237*</w:t>
            </w:r>
          </w:p>
        </w:tc>
        <w:tc>
          <w:tcPr>
            <w:tcW w:type="dxa" w:w="1225"/>
          </w:tcPr>
          <w:p>
            <w:pPr>
              <w:pStyle w:val="MDPI42tablebody"/>
              <w:keepNext/>
              <w:spacing w:line="240" w:lineRule="auto" w:before="30" w:after="30"/>
              <w:jc w:val="center"/>
            </w:pPr>
            <w:r>
              <w:rPr>
                <w:b w:val="0"/>
                <w:i w:val="0"/>
                <w:sz w:val="18"/>
              </w:rPr>
              <w:t>3.640*</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(1.888)</w:t>
            </w:r>
          </w:p>
        </w:tc>
        <w:tc>
          <w:tcPr>
            <w:tcW w:type="dxa" w:w="1225"/>
          </w:tcPr>
          <w:p>
            <w:pPr>
              <w:pStyle w:val="MDPI42tablebody"/>
              <w:keepNext/>
              <w:spacing w:line="240" w:lineRule="auto" w:before="30" w:after="30"/>
              <w:jc w:val="center"/>
            </w:pPr>
            <w:r>
              <w:rPr>
                <w:b w:val="0"/>
                <w:i w:val="0"/>
                <w:sz w:val="18"/>
              </w:rPr>
              <w:t>(1.893)</w:t>
            </w:r>
          </w:p>
        </w:tc>
        <w:tc>
          <w:tcPr>
            <w:tcW w:type="dxa" w:w="1225"/>
          </w:tcPr>
          <w:p>
            <w:pPr>
              <w:pStyle w:val="MDPI42tablebody"/>
              <w:keepNext/>
              <w:spacing w:line="240" w:lineRule="auto" w:before="30" w:after="30"/>
              <w:jc w:val="center"/>
            </w:pPr>
            <w:r>
              <w:rPr>
                <w:b w:val="0"/>
                <w:i w:val="0"/>
                <w:sz w:val="18"/>
              </w:rPr>
              <w:t>(1.894)</w:t>
            </w:r>
          </w:p>
        </w:tc>
      </w:tr>
      <w:tr>
        <w:trPr>
          <w:cantSplit/>
        </w:trPr>
        <w:tc>
          <w:tcPr>
            <w:tcW w:type="dxa" w:w="1728"/>
          </w:tcPr>
          <w:p>
            <w:pPr>
              <w:pStyle w:val="MDPI42tablebody"/>
              <w:keepNext/>
              <w:spacing w:line="240" w:lineRule="auto" w:before="30" w:after="30"/>
              <w:jc w:val="left"/>
            </w:pPr>
            <w:r>
              <w:rPr>
                <w:b w:val="0"/>
                <w:i/>
                <w:sz w:val="18"/>
              </w:rPr>
              <w:t>Indep</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−0.787</w:t>
            </w:r>
          </w:p>
        </w:tc>
        <w:tc>
          <w:tcPr>
            <w:tcW w:type="dxa" w:w="1225"/>
          </w:tcPr>
          <w:p>
            <w:pPr>
              <w:pStyle w:val="MDPI42tablebody"/>
              <w:keepNext/>
              <w:spacing w:line="240" w:lineRule="auto" w:before="30" w:after="30"/>
              <w:jc w:val="center"/>
            </w:pPr>
            <w:r>
              <w:rPr>
                <w:b w:val="0"/>
                <w:i w:val="0"/>
                <w:sz w:val="18"/>
              </w:rPr>
              <w:t>−0.899</w:t>
            </w:r>
          </w:p>
        </w:tc>
        <w:tc>
          <w:tcPr>
            <w:tcW w:type="dxa" w:w="1225"/>
          </w:tcPr>
          <w:p>
            <w:pPr>
              <w:pStyle w:val="MDPI42tablebody"/>
              <w:keepNext/>
              <w:spacing w:line="240" w:lineRule="auto" w:before="30" w:after="30"/>
              <w:jc w:val="center"/>
            </w:pPr>
            <w:r>
              <w:rPr>
                <w:b w:val="0"/>
                <w:i w:val="0"/>
                <w:sz w:val="18"/>
              </w:rPr>
              <w:t>−1.006</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(2.812)</w:t>
            </w:r>
          </w:p>
        </w:tc>
        <w:tc>
          <w:tcPr>
            <w:tcW w:type="dxa" w:w="1225"/>
          </w:tcPr>
          <w:p>
            <w:pPr>
              <w:pStyle w:val="MDPI42tablebody"/>
              <w:keepNext/>
              <w:spacing w:line="240" w:lineRule="auto" w:before="30" w:after="30"/>
              <w:jc w:val="center"/>
            </w:pPr>
            <w:r>
              <w:rPr>
                <w:b w:val="0"/>
                <w:i w:val="0"/>
                <w:sz w:val="18"/>
              </w:rPr>
              <w:t>(2.814)</w:t>
            </w:r>
          </w:p>
        </w:tc>
        <w:tc>
          <w:tcPr>
            <w:tcW w:type="dxa" w:w="1225"/>
          </w:tcPr>
          <w:p>
            <w:pPr>
              <w:pStyle w:val="MDPI42tablebody"/>
              <w:keepNext/>
              <w:spacing w:line="240" w:lineRule="auto" w:before="30" w:after="30"/>
              <w:jc w:val="center"/>
            </w:pPr>
            <w:r>
              <w:rPr>
                <w:b w:val="0"/>
                <w:i w:val="0"/>
                <w:sz w:val="18"/>
              </w:rPr>
              <w:t>(2.842)</w:t>
            </w:r>
          </w:p>
        </w:tc>
      </w:tr>
      <w:tr>
        <w:trPr>
          <w:cantSplit/>
        </w:trPr>
        <w:tc>
          <w:tcPr>
            <w:tcW w:type="dxa" w:w="1728"/>
          </w:tcPr>
          <w:p>
            <w:pPr>
              <w:pStyle w:val="MDPI42tablebody"/>
              <w:keepNext/>
              <w:spacing w:line="240" w:lineRule="auto" w:before="30" w:after="30"/>
              <w:jc w:val="left"/>
            </w:pPr>
            <w:r>
              <w:rPr>
                <w:b w:val="0"/>
                <w:i/>
                <w:sz w:val="18"/>
              </w:rPr>
              <w:t>Dual</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−0.258*</w:t>
            </w:r>
          </w:p>
        </w:tc>
        <w:tc>
          <w:tcPr>
            <w:tcW w:type="dxa" w:w="1225"/>
          </w:tcPr>
          <w:p>
            <w:pPr>
              <w:pStyle w:val="MDPI42tablebody"/>
              <w:keepNext/>
              <w:spacing w:line="240" w:lineRule="auto" w:before="30" w:after="30"/>
              <w:jc w:val="center"/>
            </w:pPr>
            <w:r>
              <w:rPr>
                <w:b w:val="0"/>
                <w:i w:val="0"/>
                <w:sz w:val="18"/>
              </w:rPr>
              <w:t>−0.266*</w:t>
            </w:r>
          </w:p>
        </w:tc>
        <w:tc>
          <w:tcPr>
            <w:tcW w:type="dxa" w:w="1225"/>
          </w:tcPr>
          <w:p>
            <w:pPr>
              <w:pStyle w:val="MDPI42tablebody"/>
              <w:keepNext/>
              <w:spacing w:line="240" w:lineRule="auto" w:before="30" w:after="30"/>
              <w:jc w:val="center"/>
            </w:pPr>
            <w:r>
              <w:rPr>
                <w:b w:val="0"/>
                <w:i w:val="0"/>
                <w:sz w:val="18"/>
              </w:rPr>
              <w:t>−0.246*</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(0.135)</w:t>
            </w:r>
          </w:p>
        </w:tc>
        <w:tc>
          <w:tcPr>
            <w:tcW w:type="dxa" w:w="1225"/>
          </w:tcPr>
          <w:p>
            <w:pPr>
              <w:pStyle w:val="MDPI42tablebody"/>
              <w:keepNext/>
              <w:spacing w:line="240" w:lineRule="auto" w:before="30" w:after="30"/>
              <w:jc w:val="center"/>
            </w:pPr>
            <w:r>
              <w:rPr>
                <w:b w:val="0"/>
                <w:i w:val="0"/>
                <w:sz w:val="18"/>
              </w:rPr>
              <w:t>(0.136)</w:t>
            </w:r>
          </w:p>
        </w:tc>
        <w:tc>
          <w:tcPr>
            <w:tcW w:type="dxa" w:w="1225"/>
          </w:tcPr>
          <w:p>
            <w:pPr>
              <w:pStyle w:val="MDPI42tablebody"/>
              <w:keepNext/>
              <w:spacing w:line="240" w:lineRule="auto" w:before="30" w:after="30"/>
              <w:jc w:val="center"/>
            </w:pPr>
            <w:r>
              <w:rPr>
                <w:b w:val="0"/>
                <w:i w:val="0"/>
                <w:sz w:val="18"/>
              </w:rPr>
              <w:t>(0.136)</w:t>
            </w:r>
          </w:p>
        </w:tc>
      </w:tr>
      <w:tr>
        <w:trPr>
          <w:cantSplit/>
        </w:trPr>
        <w:tc>
          <w:tcPr>
            <w:tcW w:type="dxa" w:w="1728"/>
          </w:tcPr>
          <w:p>
            <w:pPr>
              <w:pStyle w:val="MDPI42tablebody"/>
              <w:keepNext/>
              <w:spacing w:line="240" w:lineRule="auto" w:before="30" w:after="30"/>
              <w:jc w:val="left"/>
            </w:pPr>
            <w:r>
              <w:rPr>
                <w:b w:val="0"/>
                <w:i/>
                <w:sz w:val="18"/>
              </w:rPr>
              <w:t>Board</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−0.395</w:t>
            </w:r>
          </w:p>
        </w:tc>
        <w:tc>
          <w:tcPr>
            <w:tcW w:type="dxa" w:w="1225"/>
          </w:tcPr>
          <w:p>
            <w:pPr>
              <w:pStyle w:val="MDPI42tablebody"/>
              <w:keepNext/>
              <w:spacing w:line="240" w:lineRule="auto" w:before="30" w:after="30"/>
              <w:jc w:val="center"/>
            </w:pPr>
            <w:r>
              <w:rPr>
                <w:b w:val="0"/>
                <w:i w:val="0"/>
                <w:sz w:val="18"/>
              </w:rPr>
              <w:t>−0.464</w:t>
            </w:r>
          </w:p>
        </w:tc>
        <w:tc>
          <w:tcPr>
            <w:tcW w:type="dxa" w:w="1225"/>
          </w:tcPr>
          <w:p>
            <w:pPr>
              <w:pStyle w:val="MDPI42tablebody"/>
              <w:keepNext/>
              <w:spacing w:line="240" w:lineRule="auto" w:before="30" w:after="30"/>
              <w:jc w:val="center"/>
            </w:pPr>
            <w:r>
              <w:rPr>
                <w:b w:val="0"/>
                <w:i w:val="0"/>
                <w:sz w:val="18"/>
              </w:rPr>
              <w:t>−0.444</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(0.862)</w:t>
            </w:r>
          </w:p>
        </w:tc>
        <w:tc>
          <w:tcPr>
            <w:tcW w:type="dxa" w:w="1225"/>
          </w:tcPr>
          <w:p>
            <w:pPr>
              <w:pStyle w:val="MDPI42tablebody"/>
              <w:keepNext/>
              <w:spacing w:line="240" w:lineRule="auto" w:before="30" w:after="30"/>
              <w:jc w:val="center"/>
            </w:pPr>
            <w:r>
              <w:rPr>
                <w:b w:val="0"/>
                <w:i w:val="0"/>
                <w:sz w:val="18"/>
              </w:rPr>
              <w:t>(0.862)</w:t>
            </w:r>
          </w:p>
        </w:tc>
        <w:tc>
          <w:tcPr>
            <w:tcW w:type="dxa" w:w="1225"/>
          </w:tcPr>
          <w:p>
            <w:pPr>
              <w:pStyle w:val="MDPI42tablebody"/>
              <w:keepNext/>
              <w:spacing w:line="240" w:lineRule="auto" w:before="30" w:after="30"/>
              <w:jc w:val="center"/>
            </w:pPr>
            <w:r>
              <w:rPr>
                <w:b w:val="0"/>
                <w:i w:val="0"/>
                <w:sz w:val="18"/>
              </w:rPr>
              <w:t>(0.869)</w:t>
            </w:r>
          </w:p>
        </w:tc>
      </w:tr>
      <w:tr>
        <w:trPr>
          <w:cantSplit/>
        </w:trPr>
        <w:tc>
          <w:tcPr>
            <w:tcW w:type="dxa" w:w="1728"/>
          </w:tcPr>
          <w:p>
            <w:pPr>
              <w:pStyle w:val="MDPI42tablebody"/>
              <w:keepNext/>
              <w:spacing w:line="240" w:lineRule="auto" w:before="30" w:after="30"/>
              <w:jc w:val="left"/>
            </w:pPr>
            <w:r>
              <w:rPr>
                <w:b w:val="0"/>
                <w:i/>
                <w:sz w:val="18"/>
              </w:rPr>
              <w:t>CapInt</w:t>
            </w: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−0.270</w:t>
            </w:r>
          </w:p>
        </w:tc>
        <w:tc>
          <w:tcPr>
            <w:tcW w:type="dxa" w:w="1225"/>
          </w:tcPr>
          <w:p>
            <w:pPr>
              <w:pStyle w:val="MDPI42tablebody"/>
              <w:keepNext/>
              <w:spacing w:line="240" w:lineRule="auto" w:before="30" w:after="30"/>
              <w:jc w:val="center"/>
            </w:pPr>
            <w:r>
              <w:rPr>
                <w:b w:val="0"/>
                <w:i w:val="0"/>
                <w:sz w:val="18"/>
              </w:rPr>
              <w:t>−0.248</w:t>
            </w:r>
          </w:p>
        </w:tc>
        <w:tc>
          <w:tcPr>
            <w:tcW w:type="dxa" w:w="1225"/>
          </w:tcPr>
          <w:p>
            <w:pPr>
              <w:pStyle w:val="MDPI42tablebody"/>
              <w:keepNext/>
              <w:spacing w:line="240" w:lineRule="auto" w:before="30" w:after="30"/>
              <w:jc w:val="center"/>
            </w:pPr>
            <w:r>
              <w:rPr>
                <w:b w:val="0"/>
                <w:i w:val="0"/>
                <w:sz w:val="18"/>
              </w:rPr>
              <w:t>−0.319</w:t>
            </w:r>
          </w:p>
        </w:tc>
      </w:tr>
      <w:tr>
        <w:trPr>
          <w:cantSplit/>
        </w:trPr>
        <w:tc>
          <w:tcPr>
            <w:tcW w:type="dxa" w:w="1728"/>
          </w:tcPr>
          <w:p>
            <w:pPr>
              <w:pStyle w:val="MDPI42tablebody"/>
              <w:keepNext/>
              <w:spacing w:line="240" w:lineRule="auto" w:before="30" w:after="30"/>
              <w:jc w:val="left"/>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p>
        </w:tc>
        <w:tc>
          <w:tcPr>
            <w:tcW w:type="dxa" w:w="1225"/>
          </w:tcPr>
          <w:p>
            <w:pPr>
              <w:pStyle w:val="MDPI42tablebody"/>
              <w:keepNext/>
              <w:spacing w:line="240" w:lineRule="auto" w:before="30" w:after="30"/>
              <w:jc w:val="center"/>
            </w:pPr>
            <w:r>
              <w:rPr>
                <w:b w:val="0"/>
                <w:i w:val="0"/>
                <w:sz w:val="18"/>
              </w:rPr>
              <w:t>(0.396)</w:t>
            </w:r>
          </w:p>
        </w:tc>
        <w:tc>
          <w:tcPr>
            <w:tcW w:type="dxa" w:w="1225"/>
          </w:tcPr>
          <w:p>
            <w:pPr>
              <w:pStyle w:val="MDPI42tablebody"/>
              <w:keepNext/>
              <w:spacing w:line="240" w:lineRule="auto" w:before="30" w:after="30"/>
              <w:jc w:val="center"/>
            </w:pPr>
            <w:r>
              <w:rPr>
                <w:b w:val="0"/>
                <w:i w:val="0"/>
                <w:sz w:val="18"/>
              </w:rPr>
              <w:t>(0.397)</w:t>
            </w:r>
          </w:p>
        </w:tc>
        <w:tc>
          <w:tcPr>
            <w:tcW w:type="dxa" w:w="1225"/>
          </w:tcPr>
          <w:p>
            <w:pPr>
              <w:pStyle w:val="MDPI42tablebody"/>
              <w:keepNext/>
              <w:spacing w:line="240" w:lineRule="auto" w:before="30" w:after="30"/>
              <w:jc w:val="center"/>
            </w:pPr>
            <w:r>
              <w:rPr>
                <w:b w:val="0"/>
                <w:i w:val="0"/>
                <w:sz w:val="18"/>
              </w:rPr>
              <w:t>(0.399)</w:t>
            </w:r>
          </w:p>
        </w:tc>
      </w:tr>
      <w:tr>
        <w:trPr>
          <w:cantSplit/>
        </w:trPr>
        <w:tc>
          <w:tcPr>
            <w:tcW w:type="dxa" w:w="1728"/>
          </w:tcPr>
          <w:p>
            <w:pPr>
              <w:pStyle w:val="MDPI42tablebody"/>
              <w:keepNext/>
              <w:spacing w:line="240" w:lineRule="auto" w:before="30" w:after="30"/>
              <w:jc w:val="left"/>
            </w:pPr>
            <w:r>
              <w:rPr>
                <w:b w:val="0"/>
                <w:i/>
                <w:sz w:val="18"/>
              </w:rPr>
              <w:t>Year FE</w:t>
            </w:r>
          </w:p>
        </w:tc>
        <w:tc>
          <w:tcPr>
            <w:tcW w:type="dxa" w:w="1225"/>
          </w:tcPr>
          <w:p>
            <w:pPr>
              <w:pStyle w:val="MDPI42tablebody"/>
              <w:keepNext/>
              <w:spacing w:line="240" w:lineRule="auto" w:before="30" w:after="30"/>
              <w:jc w:val="center"/>
            </w:pPr>
            <w:r>
              <w:rPr>
                <w:b w:val="0"/>
                <w:i w:val="0"/>
                <w:sz w:val="18"/>
              </w:rPr>
              <w:t>NO</w:t>
            </w:r>
          </w:p>
        </w:tc>
        <w:tc>
          <w:tcPr>
            <w:tcW w:type="dxa" w:w="1225"/>
          </w:tcPr>
          <w:p>
            <w:pPr>
              <w:pStyle w:val="MDPI42tablebody"/>
              <w:keepNext/>
              <w:spacing w:line="240" w:lineRule="auto" w:before="30" w:after="30"/>
              <w:jc w:val="center"/>
            </w:pPr>
            <w:r>
              <w:rPr>
                <w:b w:val="0"/>
                <w:i w:val="0"/>
                <w:sz w:val="18"/>
              </w:rPr>
              <w:t>YES</w:t>
            </w:r>
          </w:p>
        </w:tc>
        <w:tc>
          <w:tcPr>
            <w:tcW w:type="dxa" w:w="1225"/>
          </w:tcPr>
          <w:p>
            <w:pPr>
              <w:pStyle w:val="MDPI42tablebody"/>
              <w:keepNext/>
              <w:spacing w:line="240" w:lineRule="auto" w:before="30" w:after="30"/>
              <w:jc w:val="center"/>
            </w:pPr>
            <w:r>
              <w:rPr>
                <w:b w:val="0"/>
                <w:i w:val="0"/>
                <w:sz w:val="18"/>
              </w:rPr>
              <w:t>YES</w:t>
            </w:r>
          </w:p>
        </w:tc>
        <w:tc>
          <w:tcPr>
            <w:tcW w:type="dxa" w:w="1225"/>
          </w:tcPr>
          <w:p>
            <w:pPr>
              <w:pStyle w:val="MDPI42tablebody"/>
              <w:keepNext/>
              <w:spacing w:line="240" w:lineRule="auto" w:before="30" w:after="30"/>
              <w:jc w:val="center"/>
            </w:pPr>
            <w:r>
              <w:rPr>
                <w:b w:val="0"/>
                <w:i w:val="0"/>
                <w:sz w:val="18"/>
              </w:rPr>
              <w:t>--</w:t>
            </w:r>
          </w:p>
        </w:tc>
        <w:tc>
          <w:tcPr>
            <w:tcW w:type="dxa" w:w="1225"/>
          </w:tcPr>
          <w:p>
            <w:pPr>
              <w:pStyle w:val="MDPI42tablebody"/>
              <w:keepNext/>
              <w:spacing w:line="240" w:lineRule="auto" w:before="30" w:after="30"/>
              <w:jc w:val="center"/>
            </w:pPr>
            <w:r>
              <w:rPr>
                <w:b w:val="0"/>
                <w:i w:val="0"/>
                <w:sz w:val="18"/>
              </w:rPr>
              <w:t>--</w:t>
            </w:r>
          </w:p>
        </w:tc>
      </w:tr>
      <w:tr>
        <w:trPr>
          <w:cantSplit/>
        </w:trPr>
        <w:tc>
          <w:tcPr>
            <w:tcW w:type="dxa" w:w="1728"/>
          </w:tcPr>
          <w:p>
            <w:pPr>
              <w:pStyle w:val="MDPI42tablebody"/>
              <w:keepNext/>
              <w:spacing w:line="240" w:lineRule="auto" w:before="30" w:after="30"/>
              <w:jc w:val="left"/>
            </w:pPr>
            <w:r>
              <w:rPr>
                <w:b w:val="0"/>
                <w:i/>
                <w:sz w:val="18"/>
              </w:rPr>
              <w:t>Firm FE</w:t>
            </w:r>
          </w:p>
        </w:tc>
        <w:tc>
          <w:tcPr>
            <w:tcW w:type="dxa" w:w="1225"/>
          </w:tcPr>
          <w:p>
            <w:pPr>
              <w:pStyle w:val="MDPI42tablebody"/>
              <w:keepNext/>
              <w:spacing w:line="240" w:lineRule="auto" w:before="30" w:after="30"/>
              <w:jc w:val="center"/>
            </w:pPr>
            <w:r>
              <w:rPr>
                <w:b w:val="0"/>
                <w:i w:val="0"/>
                <w:sz w:val="18"/>
              </w:rPr>
              <w:t>YES</w:t>
            </w:r>
          </w:p>
        </w:tc>
        <w:tc>
          <w:tcPr>
            <w:tcW w:type="dxa" w:w="1225"/>
          </w:tcPr>
          <w:p>
            <w:pPr>
              <w:pStyle w:val="MDPI42tablebody"/>
              <w:keepNext/>
              <w:spacing w:line="240" w:lineRule="auto" w:before="30" w:after="30"/>
              <w:jc w:val="center"/>
            </w:pPr>
            <w:r>
              <w:rPr>
                <w:b w:val="0"/>
                <w:i w:val="0"/>
                <w:sz w:val="18"/>
              </w:rPr>
              <w:t>YES</w:t>
            </w:r>
          </w:p>
        </w:tc>
        <w:tc>
          <w:tcPr>
            <w:tcW w:type="dxa" w:w="1225"/>
          </w:tcPr>
          <w:p>
            <w:pPr>
              <w:pStyle w:val="MDPI42tablebody"/>
              <w:keepNext/>
              <w:spacing w:line="240" w:lineRule="auto" w:before="30" w:after="30"/>
              <w:jc w:val="center"/>
            </w:pPr>
            <w:r>
              <w:rPr>
                <w:b w:val="0"/>
                <w:i w:val="0"/>
                <w:sz w:val="18"/>
              </w:rPr>
              <w:t>YES</w:t>
            </w:r>
          </w:p>
        </w:tc>
        <w:tc>
          <w:tcPr>
            <w:tcW w:type="dxa" w:w="1225"/>
          </w:tcPr>
          <w:p>
            <w:pPr>
              <w:pStyle w:val="MDPI42tablebody"/>
              <w:keepNext/>
              <w:spacing w:line="240" w:lineRule="auto" w:before="30" w:after="30"/>
              <w:jc w:val="center"/>
            </w:pPr>
            <w:r>
              <w:rPr>
                <w:b w:val="0"/>
                <w:i w:val="0"/>
                <w:sz w:val="18"/>
              </w:rPr>
              <w:t>YES</w:t>
            </w:r>
          </w:p>
        </w:tc>
        <w:tc>
          <w:tcPr>
            <w:tcW w:type="dxa" w:w="1225"/>
          </w:tcPr>
          <w:p>
            <w:pPr>
              <w:pStyle w:val="MDPI42tablebody"/>
              <w:keepNext/>
              <w:spacing w:line="240" w:lineRule="auto" w:before="30" w:after="30"/>
              <w:jc w:val="center"/>
            </w:pPr>
            <w:r>
              <w:rPr>
                <w:b w:val="0"/>
                <w:i w:val="0"/>
                <w:sz w:val="18"/>
              </w:rPr>
              <w:t>YES</w:t>
            </w:r>
          </w:p>
        </w:tc>
      </w:tr>
      <w:tr>
        <w:trPr>
          <w:cantSplit/>
        </w:trPr>
        <w:tc>
          <w:tcPr>
            <w:tcW w:type="dxa" w:w="1728"/>
          </w:tcPr>
          <w:p>
            <w:pPr>
              <w:pStyle w:val="MDPI42tablebody"/>
              <w:keepNext/>
              <w:spacing w:line="240" w:lineRule="auto" w:before="30" w:after="30"/>
              <w:jc w:val="left"/>
            </w:pPr>
            <w:r>
              <w:rPr>
                <w:b w:val="0"/>
                <w:i/>
                <w:sz w:val="18"/>
              </w:rPr>
              <w:t>Industry x Year FE</w:t>
            </w:r>
          </w:p>
        </w:tc>
        <w:tc>
          <w:tcPr>
            <w:tcW w:type="dxa" w:w="1225"/>
          </w:tcPr>
          <w:p>
            <w:pPr>
              <w:pStyle w:val="MDPI42tablebody"/>
              <w:keepNext/>
              <w:spacing w:line="240" w:lineRule="auto" w:before="30" w:after="30"/>
              <w:jc w:val="center"/>
            </w:pPr>
            <w:r>
              <w:rPr>
                <w:b w:val="0"/>
                <w:i w:val="0"/>
                <w:sz w:val="18"/>
              </w:rPr>
              <w:t>NO</w:t>
            </w:r>
          </w:p>
        </w:tc>
        <w:tc>
          <w:tcPr>
            <w:tcW w:type="dxa" w:w="1225"/>
          </w:tcPr>
          <w:p>
            <w:pPr>
              <w:pStyle w:val="MDPI42tablebody"/>
              <w:keepNext/>
              <w:spacing w:line="240" w:lineRule="auto" w:before="30" w:after="30"/>
              <w:jc w:val="center"/>
            </w:pPr>
            <w:r>
              <w:rPr>
                <w:b w:val="0"/>
                <w:i w:val="0"/>
                <w:sz w:val="18"/>
              </w:rPr>
              <w:t>NO</w:t>
            </w:r>
          </w:p>
        </w:tc>
        <w:tc>
          <w:tcPr>
            <w:tcW w:type="dxa" w:w="1225"/>
          </w:tcPr>
          <w:p>
            <w:pPr>
              <w:pStyle w:val="MDPI42tablebody"/>
              <w:keepNext/>
              <w:spacing w:line="240" w:lineRule="auto" w:before="30" w:after="30"/>
              <w:jc w:val="center"/>
            </w:pPr>
            <w:r>
              <w:rPr>
                <w:b w:val="0"/>
                <w:i w:val="0"/>
                <w:sz w:val="18"/>
              </w:rPr>
              <w:t>NO</w:t>
            </w:r>
          </w:p>
        </w:tc>
        <w:tc>
          <w:tcPr>
            <w:tcW w:type="dxa" w:w="1225"/>
          </w:tcPr>
          <w:p>
            <w:pPr>
              <w:pStyle w:val="MDPI42tablebody"/>
              <w:keepNext/>
              <w:spacing w:line="240" w:lineRule="auto" w:before="30" w:after="30"/>
              <w:jc w:val="center"/>
            </w:pPr>
            <w:r>
              <w:rPr>
                <w:b w:val="0"/>
                <w:i w:val="0"/>
                <w:sz w:val="18"/>
              </w:rPr>
              <w:t>YES</w:t>
            </w:r>
          </w:p>
        </w:tc>
        <w:tc>
          <w:tcPr>
            <w:tcW w:type="dxa" w:w="1225"/>
          </w:tcPr>
          <w:p>
            <w:pPr>
              <w:pStyle w:val="MDPI42tablebody"/>
              <w:keepNext/>
              <w:spacing w:line="240" w:lineRule="auto" w:before="30" w:after="30"/>
              <w:jc w:val="center"/>
            </w:pPr>
            <w:r>
              <w:rPr>
                <w:b w:val="0"/>
                <w:i w:val="0"/>
                <w:sz w:val="18"/>
              </w:rPr>
              <w:t>NO</w:t>
            </w:r>
          </w:p>
        </w:tc>
      </w:tr>
      <w:tr>
        <w:trPr>
          <w:cantSplit/>
        </w:trPr>
        <w:tc>
          <w:tcPr>
            <w:tcW w:type="dxa" w:w="1728"/>
          </w:tcPr>
          <w:p>
            <w:pPr>
              <w:pStyle w:val="MDPI42tablebody"/>
              <w:keepNext/>
              <w:spacing w:line="240" w:lineRule="auto" w:before="30" w:after="30"/>
              <w:jc w:val="left"/>
            </w:pPr>
            <w:r>
              <w:rPr>
                <w:b w:val="0"/>
                <w:i/>
                <w:sz w:val="18"/>
              </w:rPr>
              <w:t>Province x Year FE</w:t>
            </w:r>
          </w:p>
        </w:tc>
        <w:tc>
          <w:tcPr>
            <w:tcW w:type="dxa" w:w="1225"/>
          </w:tcPr>
          <w:p>
            <w:pPr>
              <w:pStyle w:val="MDPI42tablebody"/>
              <w:keepNext/>
              <w:spacing w:line="240" w:lineRule="auto" w:before="30" w:after="30"/>
              <w:jc w:val="center"/>
            </w:pPr>
            <w:r>
              <w:rPr>
                <w:b w:val="0"/>
                <w:i w:val="0"/>
                <w:sz w:val="18"/>
              </w:rPr>
              <w:t>NO</w:t>
            </w:r>
          </w:p>
        </w:tc>
        <w:tc>
          <w:tcPr>
            <w:tcW w:type="dxa" w:w="1225"/>
          </w:tcPr>
          <w:p>
            <w:pPr>
              <w:pStyle w:val="MDPI42tablebody"/>
              <w:keepNext/>
              <w:spacing w:line="240" w:lineRule="auto" w:before="30" w:after="30"/>
              <w:jc w:val="center"/>
            </w:pPr>
            <w:r>
              <w:rPr>
                <w:b w:val="0"/>
                <w:i w:val="0"/>
                <w:sz w:val="18"/>
              </w:rPr>
              <w:t>NO</w:t>
            </w:r>
          </w:p>
        </w:tc>
        <w:tc>
          <w:tcPr>
            <w:tcW w:type="dxa" w:w="1225"/>
          </w:tcPr>
          <w:p>
            <w:pPr>
              <w:pStyle w:val="MDPI42tablebody"/>
              <w:keepNext/>
              <w:spacing w:line="240" w:lineRule="auto" w:before="30" w:after="30"/>
              <w:jc w:val="center"/>
            </w:pPr>
            <w:r>
              <w:rPr>
                <w:b w:val="0"/>
                <w:i w:val="0"/>
                <w:sz w:val="18"/>
              </w:rPr>
              <w:t>NO</w:t>
            </w:r>
          </w:p>
        </w:tc>
        <w:tc>
          <w:tcPr>
            <w:tcW w:type="dxa" w:w="1225"/>
          </w:tcPr>
          <w:p>
            <w:pPr>
              <w:pStyle w:val="MDPI42tablebody"/>
              <w:keepNext/>
              <w:spacing w:line="240" w:lineRule="auto" w:before="30" w:after="30"/>
              <w:jc w:val="center"/>
            </w:pPr>
            <w:r>
              <w:rPr>
                <w:b w:val="0"/>
                <w:i w:val="0"/>
                <w:sz w:val="18"/>
              </w:rPr>
              <w:t>NO</w:t>
            </w:r>
          </w:p>
        </w:tc>
        <w:tc>
          <w:tcPr>
            <w:tcW w:type="dxa" w:w="1225"/>
          </w:tcPr>
          <w:p>
            <w:pPr>
              <w:pStyle w:val="MDPI42tablebody"/>
              <w:keepNext/>
              <w:spacing w:line="240" w:lineRule="auto" w:before="30" w:after="30"/>
              <w:jc w:val="center"/>
            </w:pPr>
            <w:r>
              <w:rPr>
                <w:b w:val="0"/>
                <w:i w:val="0"/>
                <w:sz w:val="18"/>
              </w:rPr>
              <w:t>YES</w:t>
            </w:r>
          </w:p>
        </w:tc>
      </w:tr>
      <w:tr>
        <w:trPr>
          <w:cantSplit/>
        </w:trPr>
        <w:tc>
          <w:tcPr>
            <w:tcW w:type="dxa" w:w="1728"/>
          </w:tcPr>
          <w:p>
            <w:pPr>
              <w:pStyle w:val="MDPI42tablebody"/>
              <w:keepNext/>
              <w:spacing w:line="240" w:lineRule="auto" w:before="30" w:after="30"/>
              <w:jc w:val="left"/>
            </w:pPr>
            <w:r>
              <w:rPr>
                <w:b w:val="0"/>
                <w:i/>
                <w:sz w:val="18"/>
              </w:rPr>
              <w:t>Observations</w:t>
            </w:r>
          </w:p>
        </w:tc>
        <w:tc>
          <w:tcPr>
            <w:tcW w:type="dxa" w:w="1225"/>
          </w:tcPr>
          <w:p>
            <w:pPr>
              <w:pStyle w:val="MDPI42tablebody"/>
              <w:keepNext/>
              <w:spacing w:line="240" w:lineRule="auto" w:before="30" w:after="30"/>
              <w:jc w:val="center"/>
            </w:pPr>
            <w:r>
              <w:rPr>
                <w:b w:val="0"/>
                <w:i w:val="0"/>
                <w:sz w:val="18"/>
              </w:rPr>
              <w:t>25,701</w:t>
            </w:r>
          </w:p>
        </w:tc>
        <w:tc>
          <w:tcPr>
            <w:tcW w:type="dxa" w:w="1225"/>
          </w:tcPr>
          <w:p>
            <w:pPr>
              <w:pStyle w:val="MDPI42tablebody"/>
              <w:keepNext/>
              <w:spacing w:line="240" w:lineRule="auto" w:before="30" w:after="30"/>
              <w:jc w:val="center"/>
            </w:pPr>
            <w:r>
              <w:rPr>
                <w:b w:val="0"/>
                <w:i w:val="0"/>
                <w:sz w:val="18"/>
              </w:rPr>
              <w:t>25,701</w:t>
            </w:r>
          </w:p>
        </w:tc>
        <w:tc>
          <w:tcPr>
            <w:tcW w:type="dxa" w:w="1225"/>
          </w:tcPr>
          <w:p>
            <w:pPr>
              <w:pStyle w:val="MDPI42tablebody"/>
              <w:keepNext/>
              <w:spacing w:line="240" w:lineRule="auto" w:before="30" w:after="30"/>
              <w:jc w:val="center"/>
            </w:pPr>
            <w:r>
              <w:rPr>
                <w:b w:val="0"/>
                <w:i w:val="0"/>
                <w:sz w:val="18"/>
              </w:rPr>
              <w:t>25,701</w:t>
            </w:r>
          </w:p>
        </w:tc>
        <w:tc>
          <w:tcPr>
            <w:tcW w:type="dxa" w:w="1225"/>
          </w:tcPr>
          <w:p>
            <w:pPr>
              <w:pStyle w:val="MDPI42tablebody"/>
              <w:keepNext/>
              <w:spacing w:line="240" w:lineRule="auto" w:before="30" w:after="30"/>
              <w:jc w:val="center"/>
            </w:pPr>
            <w:r>
              <w:rPr>
                <w:b w:val="0"/>
                <w:i w:val="0"/>
                <w:sz w:val="18"/>
              </w:rPr>
              <w:t>25,701</w:t>
            </w:r>
          </w:p>
        </w:tc>
        <w:tc>
          <w:tcPr>
            <w:tcW w:type="dxa" w:w="1225"/>
          </w:tcPr>
          <w:p>
            <w:pPr>
              <w:pStyle w:val="MDPI42tablebody"/>
              <w:keepNext/>
              <w:spacing w:line="240" w:lineRule="auto" w:before="30" w:after="30"/>
              <w:jc w:val="center"/>
            </w:pPr>
            <w:r>
              <w:rPr>
                <w:b w:val="0"/>
                <w:i w:val="0"/>
                <w:sz w:val="18"/>
              </w:rPr>
              <w:t>25,701</w:t>
            </w:r>
          </w:p>
        </w:tc>
      </w:tr>
      <w:tr>
        <w:trPr>
          <w:cantSplit/>
        </w:trPr>
        <w:tc>
          <w:tcPr>
            <w:tcW w:type="dxa" w:w="1728"/>
          </w:tcPr>
          <w:p>
            <w:pPr>
              <w:pStyle w:val="MDPI42tablebody"/>
              <w:spacing w:line="240" w:lineRule="auto" w:before="30" w:after="30"/>
              <w:jc w:val="left"/>
            </w:pPr>
            <w:r>
              <w:rPr>
                <w:b w:val="0"/>
                <w:i/>
                <w:sz w:val="18"/>
              </w:rPr>
              <w:t>R-squared</w:t>
            </w:r>
          </w:p>
        </w:tc>
        <w:tc>
          <w:tcPr>
            <w:tcW w:type="dxa" w:w="1225"/>
          </w:tcPr>
          <w:p>
            <w:pPr>
              <w:pStyle w:val="MDPI42tablebody"/>
              <w:spacing w:line="240" w:lineRule="auto" w:before="30" w:after="30"/>
              <w:jc w:val="center"/>
            </w:pPr>
            <w:r>
              <w:rPr>
                <w:b w:val="0"/>
                <w:i w:val="0"/>
                <w:sz w:val="18"/>
              </w:rPr>
              <w:t>0.011</w:t>
            </w:r>
          </w:p>
        </w:tc>
        <w:tc>
          <w:tcPr>
            <w:tcW w:type="dxa" w:w="1225"/>
          </w:tcPr>
          <w:p>
            <w:pPr>
              <w:pStyle w:val="MDPI42tablebody"/>
              <w:spacing w:line="240" w:lineRule="auto" w:before="30" w:after="30"/>
              <w:jc w:val="center"/>
            </w:pPr>
            <w:r>
              <w:rPr>
                <w:b w:val="0"/>
                <w:i w:val="0"/>
                <w:sz w:val="18"/>
              </w:rPr>
              <w:t>0.017</w:t>
            </w:r>
          </w:p>
        </w:tc>
        <w:tc>
          <w:tcPr>
            <w:tcW w:type="dxa" w:w="1225"/>
          </w:tcPr>
          <w:p>
            <w:pPr>
              <w:pStyle w:val="MDPI42tablebody"/>
              <w:spacing w:line="240" w:lineRule="auto" w:before="30" w:after="30"/>
              <w:jc w:val="center"/>
            </w:pPr>
            <w:r>
              <w:rPr>
                <w:b w:val="0"/>
                <w:i w:val="0"/>
                <w:sz w:val="18"/>
              </w:rPr>
              <w:t>0.061</w:t>
            </w:r>
          </w:p>
        </w:tc>
        <w:tc>
          <w:tcPr>
            <w:tcW w:type="dxa" w:w="1225"/>
          </w:tcPr>
          <w:p>
            <w:pPr>
              <w:pStyle w:val="MDPI42tablebody"/>
              <w:spacing w:line="240" w:lineRule="auto" w:before="30" w:after="30"/>
              <w:jc w:val="center"/>
            </w:pPr>
            <w:r>
              <w:rPr>
                <w:b w:val="0"/>
                <w:i w:val="0"/>
                <w:sz w:val="18"/>
              </w:rPr>
              <w:t>0.058</w:t>
            </w:r>
          </w:p>
        </w:tc>
        <w:tc>
          <w:tcPr>
            <w:tcW w:type="dxa" w:w="1225"/>
          </w:tcPr>
          <w:p>
            <w:pPr>
              <w:pStyle w:val="MDPI42tablebody"/>
              <w:spacing w:line="240" w:lineRule="auto" w:before="30" w:after="30"/>
              <w:jc w:val="center"/>
            </w:pPr>
            <w:r>
              <w:rPr>
                <w:b w:val="0"/>
                <w:i w:val="0"/>
                <w:sz w:val="18"/>
              </w:rPr>
              <w:t>0.060</w:t>
            </w:r>
          </w:p>
        </w:tc>
      </w:tr>
    </w:tbl>
    <w:p>
      <w:pPr>
        <w:pStyle w:val="MDPI43tablefooter"/>
        <w:spacing w:line="240" w:lineRule="auto" w:before="40" w:after="200"/>
        <w:ind w:left="2608" w:firstLine="0"/>
      </w:pPr>
      <w:r>
        <w:rPr>
          <w:sz w:val="16"/>
        </w:rPr>
        <w:t xml:space="preserve">Note: </w:t>
      </w:r>
      <w:r>
        <w:rPr>
          <w:b w:val="0"/>
          <w:i w:val="0"/>
          <w:sz w:val="16"/>
        </w:rPr>
        <w:t>Column (1) includes firm fixed effects only; column (2) adds year fixed effects; column (3) is the benchmark specification; columns (4) and (5) replace the year effects with industry-by-year and province-by-year effects. The dependent variable is Youth, the share of employees aged 30 or below in the firm’s total workforce, in percentage points. Values in parentheses are standard errors clustered at the firm level. ***, ** and * denote significance at the 1%, 5% and 10% levels, respectively. Source: authors’ own calculations.</w:t>
      </w:r>
    </w:p>
    <w:p>
      <w:pPr>
        <w:pStyle w:val="MDPI22heading2"/>
      </w:pPr>
      <w:r>
        <w:t>4.3. Examination of the Mediating Mechanisms</w:t>
      </w:r>
    </w:p>
    <w:p>
      <w:pPr>
        <w:pStyle w:val="MDPI32textnoindent"/>
      </w:pPr>
      <w:r>
        <w:rPr>
          <w:b w:val="0"/>
          <w:i w:val="0"/>
        </w:rPr>
        <w:t>Table 5 reports the three-step mediation tests. Column (1) repeats the total effect. Column (2) shows that adoption reduces training expenditure per employee by 0.242 log points, significant at the one percent level, which is the first link of the training channel. Column (3) reintroduces training alongside adoption: training enters positively at 0.700 and the direct effect of adoption falls in absolute value from 1.348 to 1.179. Column (4) shows that adoption contracts the routine task base by 2.272 percentage points, and column (5) that the routine base enters the youth equation positively at 0.132, with the direct effect falling to 1.047. Column (6) includes both mediators together; the direct effect is 0.873 and remains significant at the one percent level, so both channels operate and neither exhausts the total effect.</w:t>
      </w:r>
    </w:p>
    <w:p>
      <w:pPr>
        <w:pStyle w:val="MDPI41tablecaption"/>
        <w:keepNext/>
        <w:spacing w:after="60"/>
      </w:pPr>
      <w:r>
        <w:rPr>
          <w:b/>
          <w:sz w:val="18"/>
        </w:rPr>
        <w:t xml:space="preserve">Table 5. </w:t>
      </w:r>
      <w:r>
        <w:rPr>
          <w:b w:val="0"/>
          <w:i w:val="0"/>
          <w:sz w:val="18"/>
        </w:rPr>
        <w:t>Tests of the mediating mechanisms.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093"/>
        <w:gridCol w:w="1395"/>
        <w:gridCol w:w="1395"/>
        <w:gridCol w:w="1395"/>
        <w:gridCol w:w="1395"/>
        <w:gridCol w:w="1395"/>
        <w:gridCol w:w="1395"/>
      </w:tblGrid>
      <w:tr>
        <w:trPr>
          <w:cantSplit/>
          <w:tblHeader/>
        </w:trPr>
        <w:tc>
          <w:tcPr>
            <w:tcW w:type="dxa" w:w="2093"/>
            <w:tcBorders>
              <w:bottom w:val="single" w:sz="8" w:space="0" w:color="auto"/>
            </w:tcBorders>
          </w:tcPr>
          <w:p>
            <w:pPr>
              <w:pStyle w:val="MDPI42tablebody"/>
              <w:keepNext/>
              <w:spacing w:line="240" w:lineRule="auto" w:before="30" w:after="30"/>
              <w:jc w:val="center"/>
            </w:pPr>
            <w:r>
              <w:rPr>
                <w:b/>
                <w:i w:val="0"/>
                <w:sz w:val="14"/>
              </w:rPr>
              <w:t>Variable</w:t>
            </w:r>
          </w:p>
        </w:tc>
        <w:tc>
          <w:tcPr>
            <w:tcW w:type="dxa" w:w="1395"/>
            <w:tcBorders>
              <w:bottom w:val="single" w:sz="8" w:space="0" w:color="auto"/>
            </w:tcBorders>
          </w:tcPr>
          <w:p>
            <w:pPr>
              <w:pStyle w:val="MDPI42tablebody"/>
              <w:keepNext/>
              <w:spacing w:line="240" w:lineRule="auto" w:before="30" w:after="30"/>
              <w:jc w:val="center"/>
            </w:pPr>
            <w:r>
              <w:rPr>
                <w:b/>
                <w:i w:val="0"/>
                <w:sz w:val="14"/>
              </w:rPr>
              <w:t>Youth (1)</w:t>
            </w:r>
          </w:p>
        </w:tc>
        <w:tc>
          <w:tcPr>
            <w:tcW w:type="dxa" w:w="1395"/>
            <w:tcBorders>
              <w:bottom w:val="single" w:sz="8" w:space="0" w:color="auto"/>
            </w:tcBorders>
          </w:tcPr>
          <w:p>
            <w:pPr>
              <w:pStyle w:val="MDPI42tablebody"/>
              <w:keepNext/>
              <w:spacing w:line="240" w:lineRule="auto" w:before="30" w:after="30"/>
              <w:jc w:val="center"/>
            </w:pPr>
            <w:r>
              <w:rPr>
                <w:b/>
                <w:i w:val="0"/>
                <w:sz w:val="14"/>
              </w:rPr>
              <w:t>Train (2)</w:t>
            </w:r>
          </w:p>
        </w:tc>
        <w:tc>
          <w:tcPr>
            <w:tcW w:type="dxa" w:w="1395"/>
            <w:tcBorders>
              <w:bottom w:val="single" w:sz="8" w:space="0" w:color="auto"/>
            </w:tcBorders>
          </w:tcPr>
          <w:p>
            <w:pPr>
              <w:pStyle w:val="MDPI42tablebody"/>
              <w:keepNext/>
              <w:spacing w:line="240" w:lineRule="auto" w:before="30" w:after="30"/>
              <w:jc w:val="center"/>
            </w:pPr>
            <w:r>
              <w:rPr>
                <w:b/>
                <w:i w:val="0"/>
                <w:sz w:val="14"/>
              </w:rPr>
              <w:t>Youth (3)</w:t>
            </w:r>
          </w:p>
        </w:tc>
        <w:tc>
          <w:tcPr>
            <w:tcW w:type="dxa" w:w="1395"/>
            <w:tcBorders>
              <w:bottom w:val="single" w:sz="8" w:space="0" w:color="auto"/>
            </w:tcBorders>
          </w:tcPr>
          <w:p>
            <w:pPr>
              <w:pStyle w:val="MDPI42tablebody"/>
              <w:keepNext/>
              <w:spacing w:line="240" w:lineRule="auto" w:before="30" w:after="30"/>
              <w:jc w:val="center"/>
            </w:pPr>
            <w:r>
              <w:rPr>
                <w:b/>
                <w:i w:val="0"/>
                <w:sz w:val="14"/>
              </w:rPr>
              <w:t>Routine (4)</w:t>
            </w:r>
          </w:p>
        </w:tc>
        <w:tc>
          <w:tcPr>
            <w:tcW w:type="dxa" w:w="1395"/>
            <w:tcBorders>
              <w:bottom w:val="single" w:sz="8" w:space="0" w:color="auto"/>
            </w:tcBorders>
          </w:tcPr>
          <w:p>
            <w:pPr>
              <w:pStyle w:val="MDPI42tablebody"/>
              <w:keepNext/>
              <w:spacing w:line="240" w:lineRule="auto" w:before="30" w:after="30"/>
              <w:jc w:val="center"/>
            </w:pPr>
            <w:r>
              <w:rPr>
                <w:b/>
                <w:i w:val="0"/>
                <w:sz w:val="14"/>
              </w:rPr>
              <w:t>Youth (5)</w:t>
            </w:r>
          </w:p>
        </w:tc>
        <w:tc>
          <w:tcPr>
            <w:tcW w:type="dxa" w:w="1395"/>
            <w:tcBorders>
              <w:bottom w:val="single" w:sz="8" w:space="0" w:color="auto"/>
            </w:tcBorders>
          </w:tcPr>
          <w:p>
            <w:pPr>
              <w:pStyle w:val="MDPI42tablebody"/>
              <w:keepNext/>
              <w:spacing w:line="240" w:lineRule="auto" w:before="30" w:after="30"/>
              <w:jc w:val="center"/>
            </w:pPr>
            <w:r>
              <w:rPr>
                <w:b/>
                <w:i w:val="0"/>
                <w:sz w:val="14"/>
              </w:rPr>
              <w:t>Youth (6)</w:t>
            </w:r>
          </w:p>
        </w:tc>
      </w:tr>
      <w:tr>
        <w:trPr>
          <w:cantSplit/>
        </w:trPr>
        <w:tc>
          <w:tcPr>
            <w:tcW w:type="dxa" w:w="2093"/>
          </w:tcPr>
          <w:p>
            <w:pPr>
              <w:pStyle w:val="MDPI42tablebody"/>
              <w:keepNext/>
              <w:spacing w:line="240" w:lineRule="auto" w:before="30" w:after="30"/>
              <w:jc w:val="left"/>
            </w:pPr>
            <w:r>
              <w:rPr>
                <w:b w:val="0"/>
                <w:i/>
                <w:sz w:val="14"/>
              </w:rPr>
              <w:t>GenAI</w:t>
            </w:r>
          </w:p>
        </w:tc>
        <w:tc>
          <w:tcPr>
            <w:tcW w:type="dxa" w:w="1395"/>
          </w:tcPr>
          <w:p>
            <w:pPr>
              <w:pStyle w:val="MDPI42tablebody"/>
              <w:keepNext/>
              <w:spacing w:line="240" w:lineRule="auto" w:before="30" w:after="30"/>
              <w:jc w:val="center"/>
            </w:pPr>
            <w:r>
              <w:rPr>
                <w:b w:val="0"/>
                <w:i w:val="0"/>
                <w:sz w:val="14"/>
              </w:rPr>
              <w:t>−1.348***</w:t>
            </w:r>
          </w:p>
        </w:tc>
        <w:tc>
          <w:tcPr>
            <w:tcW w:type="dxa" w:w="1395"/>
          </w:tcPr>
          <w:p>
            <w:pPr>
              <w:pStyle w:val="MDPI42tablebody"/>
              <w:keepNext/>
              <w:spacing w:line="240" w:lineRule="auto" w:before="30" w:after="30"/>
              <w:jc w:val="center"/>
            </w:pPr>
            <w:r>
              <w:rPr>
                <w:b w:val="0"/>
                <w:i w:val="0"/>
                <w:sz w:val="14"/>
              </w:rPr>
              <w:t>−0.242***</w:t>
            </w:r>
          </w:p>
        </w:tc>
        <w:tc>
          <w:tcPr>
            <w:tcW w:type="dxa" w:w="1395"/>
          </w:tcPr>
          <w:p>
            <w:pPr>
              <w:pStyle w:val="MDPI42tablebody"/>
              <w:keepNext/>
              <w:spacing w:line="240" w:lineRule="auto" w:before="30" w:after="30"/>
              <w:jc w:val="center"/>
            </w:pPr>
            <w:r>
              <w:rPr>
                <w:b w:val="0"/>
                <w:i w:val="0"/>
                <w:sz w:val="14"/>
              </w:rPr>
              <w:t>−1.179***</w:t>
            </w:r>
          </w:p>
        </w:tc>
        <w:tc>
          <w:tcPr>
            <w:tcW w:type="dxa" w:w="1395"/>
          </w:tcPr>
          <w:p>
            <w:pPr>
              <w:pStyle w:val="MDPI42tablebody"/>
              <w:keepNext/>
              <w:spacing w:line="240" w:lineRule="auto" w:before="30" w:after="30"/>
              <w:jc w:val="center"/>
            </w:pPr>
            <w:r>
              <w:rPr>
                <w:b w:val="0"/>
                <w:i w:val="0"/>
                <w:sz w:val="14"/>
              </w:rPr>
              <w:t>−2.272***</w:t>
            </w:r>
          </w:p>
        </w:tc>
        <w:tc>
          <w:tcPr>
            <w:tcW w:type="dxa" w:w="1395"/>
          </w:tcPr>
          <w:p>
            <w:pPr>
              <w:pStyle w:val="MDPI42tablebody"/>
              <w:keepNext/>
              <w:spacing w:line="240" w:lineRule="auto" w:before="30" w:after="30"/>
              <w:jc w:val="center"/>
            </w:pPr>
            <w:r>
              <w:rPr>
                <w:b w:val="0"/>
                <w:i w:val="0"/>
                <w:sz w:val="14"/>
              </w:rPr>
              <w:t>−1.047***</w:t>
            </w:r>
          </w:p>
        </w:tc>
        <w:tc>
          <w:tcPr>
            <w:tcW w:type="dxa" w:w="1395"/>
          </w:tcPr>
          <w:p>
            <w:pPr>
              <w:pStyle w:val="MDPI42tablebody"/>
              <w:keepNext/>
              <w:spacing w:line="240" w:lineRule="auto" w:before="30" w:after="30"/>
              <w:jc w:val="center"/>
            </w:pPr>
            <w:r>
              <w:rPr>
                <w:b w:val="0"/>
                <w:i w:val="0"/>
                <w:sz w:val="14"/>
              </w:rPr>
              <w:t>−0.873***</w:t>
            </w:r>
          </w:p>
        </w:tc>
      </w:tr>
      <w:tr>
        <w:trPr>
          <w:cantSplit/>
        </w:trPr>
        <w:tc>
          <w:tcPr>
            <w:tcW w:type="dxa" w:w="2093"/>
          </w:tcPr>
          <w:p>
            <w:pPr>
              <w:pStyle w:val="MDPI42tablebody"/>
              <w:keepNext/>
              <w:spacing w:line="240" w:lineRule="auto" w:before="30" w:after="30"/>
              <w:jc w:val="left"/>
            </w:pPr>
          </w:p>
        </w:tc>
        <w:tc>
          <w:tcPr>
            <w:tcW w:type="dxa" w:w="1395"/>
          </w:tcPr>
          <w:p>
            <w:pPr>
              <w:pStyle w:val="MDPI42tablebody"/>
              <w:keepNext/>
              <w:spacing w:line="240" w:lineRule="auto" w:before="30" w:after="30"/>
              <w:jc w:val="center"/>
            </w:pPr>
            <w:r>
              <w:rPr>
                <w:b w:val="0"/>
                <w:i w:val="0"/>
                <w:sz w:val="14"/>
              </w:rPr>
              <w:t>(0.066)</w:t>
            </w:r>
          </w:p>
        </w:tc>
        <w:tc>
          <w:tcPr>
            <w:tcW w:type="dxa" w:w="1395"/>
          </w:tcPr>
          <w:p>
            <w:pPr>
              <w:pStyle w:val="MDPI42tablebody"/>
              <w:keepNext/>
              <w:spacing w:line="240" w:lineRule="auto" w:before="30" w:after="30"/>
              <w:jc w:val="center"/>
            </w:pPr>
            <w:r>
              <w:rPr>
                <w:b w:val="0"/>
                <w:i w:val="0"/>
                <w:sz w:val="14"/>
              </w:rPr>
              <w:t>(0.007)</w:t>
            </w:r>
          </w:p>
        </w:tc>
        <w:tc>
          <w:tcPr>
            <w:tcW w:type="dxa" w:w="1395"/>
          </w:tcPr>
          <w:p>
            <w:pPr>
              <w:pStyle w:val="MDPI42tablebody"/>
              <w:keepNext/>
              <w:spacing w:line="240" w:lineRule="auto" w:before="30" w:after="30"/>
              <w:jc w:val="center"/>
            </w:pPr>
            <w:r>
              <w:rPr>
                <w:b w:val="0"/>
                <w:i w:val="0"/>
                <w:sz w:val="14"/>
              </w:rPr>
              <w:t>(0.068)</w:t>
            </w:r>
          </w:p>
        </w:tc>
        <w:tc>
          <w:tcPr>
            <w:tcW w:type="dxa" w:w="1395"/>
          </w:tcPr>
          <w:p>
            <w:pPr>
              <w:pStyle w:val="MDPI42tablebody"/>
              <w:keepNext/>
              <w:spacing w:line="240" w:lineRule="auto" w:before="30" w:after="30"/>
              <w:jc w:val="center"/>
            </w:pPr>
            <w:r>
              <w:rPr>
                <w:b w:val="0"/>
                <w:i w:val="0"/>
                <w:sz w:val="14"/>
              </w:rPr>
              <w:t>(0.088)</w:t>
            </w:r>
          </w:p>
        </w:tc>
        <w:tc>
          <w:tcPr>
            <w:tcW w:type="dxa" w:w="1395"/>
          </w:tcPr>
          <w:p>
            <w:pPr>
              <w:pStyle w:val="MDPI42tablebody"/>
              <w:keepNext/>
              <w:spacing w:line="240" w:lineRule="auto" w:before="30" w:after="30"/>
              <w:jc w:val="center"/>
            </w:pPr>
            <w:r>
              <w:rPr>
                <w:b w:val="0"/>
                <w:i w:val="0"/>
                <w:sz w:val="14"/>
              </w:rPr>
              <w:t>(0.066)</w:t>
            </w:r>
          </w:p>
        </w:tc>
        <w:tc>
          <w:tcPr>
            <w:tcW w:type="dxa" w:w="1395"/>
          </w:tcPr>
          <w:p>
            <w:pPr>
              <w:pStyle w:val="MDPI42tablebody"/>
              <w:keepNext/>
              <w:spacing w:line="240" w:lineRule="auto" w:before="30" w:after="30"/>
              <w:jc w:val="center"/>
            </w:pPr>
            <w:r>
              <w:rPr>
                <w:b w:val="0"/>
                <w:i w:val="0"/>
                <w:sz w:val="14"/>
              </w:rPr>
              <w:t>(0.067)</w:t>
            </w:r>
          </w:p>
        </w:tc>
      </w:tr>
      <w:tr>
        <w:trPr>
          <w:cantSplit/>
        </w:trPr>
        <w:tc>
          <w:tcPr>
            <w:tcW w:type="dxa" w:w="2093"/>
          </w:tcPr>
          <w:p>
            <w:pPr>
              <w:pStyle w:val="MDPI42tablebody"/>
              <w:keepNext/>
              <w:spacing w:line="240" w:lineRule="auto" w:before="30" w:after="30"/>
              <w:jc w:val="left"/>
            </w:pPr>
            <w:r>
              <w:rPr>
                <w:b w:val="0"/>
                <w:i/>
                <w:sz w:val="14"/>
              </w:rPr>
              <w:t>Train</w:t>
            </w:r>
          </w:p>
        </w:tc>
        <w:tc>
          <w:tcPr>
            <w:tcW w:type="dxa" w:w="1395"/>
          </w:tcPr>
          <w:p>
            <w:pPr>
              <w:pStyle w:val="MDPI42tablebody"/>
              <w:keepNext/>
              <w:spacing w:line="240" w:lineRule="auto" w:before="30" w:after="30"/>
              <w:jc w:val="center"/>
            </w:pPr>
          </w:p>
        </w:tc>
        <w:tc>
          <w:tcPr>
            <w:tcW w:type="dxa" w:w="1395"/>
          </w:tcPr>
          <w:p>
            <w:pPr>
              <w:pStyle w:val="MDPI42tablebody"/>
              <w:keepNext/>
              <w:spacing w:line="240" w:lineRule="auto" w:before="30" w:after="30"/>
              <w:jc w:val="center"/>
            </w:pPr>
          </w:p>
        </w:tc>
        <w:tc>
          <w:tcPr>
            <w:tcW w:type="dxa" w:w="1395"/>
          </w:tcPr>
          <w:p>
            <w:pPr>
              <w:pStyle w:val="MDPI42tablebody"/>
              <w:keepNext/>
              <w:spacing w:line="240" w:lineRule="auto" w:before="30" w:after="30"/>
              <w:jc w:val="center"/>
            </w:pPr>
            <w:r>
              <w:rPr>
                <w:b w:val="0"/>
                <w:i w:val="0"/>
                <w:sz w:val="14"/>
              </w:rPr>
              <w:t>0.700***</w:t>
            </w:r>
          </w:p>
        </w:tc>
        <w:tc>
          <w:tcPr>
            <w:tcW w:type="dxa" w:w="1395"/>
          </w:tcPr>
          <w:p>
            <w:pPr>
              <w:pStyle w:val="MDPI42tablebody"/>
              <w:keepNext/>
              <w:spacing w:line="240" w:lineRule="auto" w:before="30" w:after="30"/>
              <w:jc w:val="center"/>
            </w:pPr>
          </w:p>
        </w:tc>
        <w:tc>
          <w:tcPr>
            <w:tcW w:type="dxa" w:w="1395"/>
          </w:tcPr>
          <w:p>
            <w:pPr>
              <w:pStyle w:val="MDPI42tablebody"/>
              <w:keepNext/>
              <w:spacing w:line="240" w:lineRule="auto" w:before="30" w:after="30"/>
              <w:jc w:val="center"/>
            </w:pPr>
          </w:p>
        </w:tc>
        <w:tc>
          <w:tcPr>
            <w:tcW w:type="dxa" w:w="1395"/>
          </w:tcPr>
          <w:p>
            <w:pPr>
              <w:pStyle w:val="MDPI42tablebody"/>
              <w:keepNext/>
              <w:spacing w:line="240" w:lineRule="auto" w:before="30" w:after="30"/>
              <w:jc w:val="center"/>
            </w:pPr>
            <w:r>
              <w:rPr>
                <w:b w:val="0"/>
                <w:i w:val="0"/>
                <w:sz w:val="14"/>
              </w:rPr>
              <w:t>0.716***</w:t>
            </w:r>
          </w:p>
        </w:tc>
      </w:tr>
      <w:tr>
        <w:trPr>
          <w:cantSplit/>
        </w:trPr>
        <w:tc>
          <w:tcPr>
            <w:tcW w:type="dxa" w:w="2093"/>
          </w:tcPr>
          <w:p>
            <w:pPr>
              <w:pStyle w:val="MDPI42tablebody"/>
              <w:keepNext/>
              <w:spacing w:line="240" w:lineRule="auto" w:before="30" w:after="30"/>
              <w:jc w:val="left"/>
            </w:pPr>
          </w:p>
        </w:tc>
        <w:tc>
          <w:tcPr>
            <w:tcW w:type="dxa" w:w="1395"/>
          </w:tcPr>
          <w:p>
            <w:pPr>
              <w:pStyle w:val="MDPI42tablebody"/>
              <w:keepNext/>
              <w:spacing w:line="240" w:lineRule="auto" w:before="30" w:after="30"/>
              <w:jc w:val="center"/>
            </w:pPr>
          </w:p>
        </w:tc>
        <w:tc>
          <w:tcPr>
            <w:tcW w:type="dxa" w:w="1395"/>
          </w:tcPr>
          <w:p>
            <w:pPr>
              <w:pStyle w:val="MDPI42tablebody"/>
              <w:keepNext/>
              <w:spacing w:line="240" w:lineRule="auto" w:before="30" w:after="30"/>
              <w:jc w:val="center"/>
            </w:pPr>
          </w:p>
        </w:tc>
        <w:tc>
          <w:tcPr>
            <w:tcW w:type="dxa" w:w="1395"/>
          </w:tcPr>
          <w:p>
            <w:pPr>
              <w:pStyle w:val="MDPI42tablebody"/>
              <w:keepNext/>
              <w:spacing w:line="240" w:lineRule="auto" w:before="30" w:after="30"/>
              <w:jc w:val="center"/>
            </w:pPr>
            <w:r>
              <w:rPr>
                <w:b w:val="0"/>
                <w:i w:val="0"/>
                <w:sz w:val="14"/>
              </w:rPr>
              <w:t>(0.076)</w:t>
            </w:r>
          </w:p>
        </w:tc>
        <w:tc>
          <w:tcPr>
            <w:tcW w:type="dxa" w:w="1395"/>
          </w:tcPr>
          <w:p>
            <w:pPr>
              <w:pStyle w:val="MDPI42tablebody"/>
              <w:keepNext/>
              <w:spacing w:line="240" w:lineRule="auto" w:before="30" w:after="30"/>
              <w:jc w:val="center"/>
            </w:pPr>
          </w:p>
        </w:tc>
        <w:tc>
          <w:tcPr>
            <w:tcW w:type="dxa" w:w="1395"/>
          </w:tcPr>
          <w:p>
            <w:pPr>
              <w:pStyle w:val="MDPI42tablebody"/>
              <w:keepNext/>
              <w:spacing w:line="240" w:lineRule="auto" w:before="30" w:after="30"/>
              <w:jc w:val="center"/>
            </w:pPr>
          </w:p>
        </w:tc>
        <w:tc>
          <w:tcPr>
            <w:tcW w:type="dxa" w:w="1395"/>
          </w:tcPr>
          <w:p>
            <w:pPr>
              <w:pStyle w:val="MDPI42tablebody"/>
              <w:keepNext/>
              <w:spacing w:line="240" w:lineRule="auto" w:before="30" w:after="30"/>
              <w:jc w:val="center"/>
            </w:pPr>
            <w:r>
              <w:rPr>
                <w:b w:val="0"/>
                <w:i w:val="0"/>
                <w:sz w:val="14"/>
              </w:rPr>
              <w:t>(0.074)</w:t>
            </w:r>
          </w:p>
        </w:tc>
      </w:tr>
      <w:tr>
        <w:trPr>
          <w:cantSplit/>
        </w:trPr>
        <w:tc>
          <w:tcPr>
            <w:tcW w:type="dxa" w:w="2093"/>
          </w:tcPr>
          <w:p>
            <w:pPr>
              <w:pStyle w:val="MDPI42tablebody"/>
              <w:keepNext/>
              <w:spacing w:line="240" w:lineRule="auto" w:before="30" w:after="30"/>
              <w:jc w:val="left"/>
            </w:pPr>
            <w:r>
              <w:rPr>
                <w:b w:val="0"/>
                <w:i/>
                <w:sz w:val="14"/>
              </w:rPr>
              <w:t>Routine</w:t>
            </w:r>
          </w:p>
        </w:tc>
        <w:tc>
          <w:tcPr>
            <w:tcW w:type="dxa" w:w="1395"/>
          </w:tcPr>
          <w:p>
            <w:pPr>
              <w:pStyle w:val="MDPI42tablebody"/>
              <w:keepNext/>
              <w:spacing w:line="240" w:lineRule="auto" w:before="30" w:after="30"/>
              <w:jc w:val="center"/>
            </w:pPr>
          </w:p>
        </w:tc>
        <w:tc>
          <w:tcPr>
            <w:tcW w:type="dxa" w:w="1395"/>
          </w:tcPr>
          <w:p>
            <w:pPr>
              <w:pStyle w:val="MDPI42tablebody"/>
              <w:keepNext/>
              <w:spacing w:line="240" w:lineRule="auto" w:before="30" w:after="30"/>
              <w:jc w:val="center"/>
            </w:pPr>
          </w:p>
        </w:tc>
        <w:tc>
          <w:tcPr>
            <w:tcW w:type="dxa" w:w="1395"/>
          </w:tcPr>
          <w:p>
            <w:pPr>
              <w:pStyle w:val="MDPI42tablebody"/>
              <w:keepNext/>
              <w:spacing w:line="240" w:lineRule="auto" w:before="30" w:after="30"/>
              <w:jc w:val="center"/>
            </w:pPr>
          </w:p>
        </w:tc>
        <w:tc>
          <w:tcPr>
            <w:tcW w:type="dxa" w:w="1395"/>
          </w:tcPr>
          <w:p>
            <w:pPr>
              <w:pStyle w:val="MDPI42tablebody"/>
              <w:keepNext/>
              <w:spacing w:line="240" w:lineRule="auto" w:before="30" w:after="30"/>
              <w:jc w:val="center"/>
            </w:pPr>
          </w:p>
        </w:tc>
        <w:tc>
          <w:tcPr>
            <w:tcW w:type="dxa" w:w="1395"/>
          </w:tcPr>
          <w:p>
            <w:pPr>
              <w:pStyle w:val="MDPI42tablebody"/>
              <w:keepNext/>
              <w:spacing w:line="240" w:lineRule="auto" w:before="30" w:after="30"/>
              <w:jc w:val="center"/>
            </w:pPr>
            <w:r>
              <w:rPr>
                <w:b w:val="0"/>
                <w:i w:val="0"/>
                <w:sz w:val="14"/>
              </w:rPr>
              <w:t>0.132***</w:t>
            </w:r>
          </w:p>
        </w:tc>
        <w:tc>
          <w:tcPr>
            <w:tcW w:type="dxa" w:w="1395"/>
          </w:tcPr>
          <w:p>
            <w:pPr>
              <w:pStyle w:val="MDPI42tablebody"/>
              <w:keepNext/>
              <w:spacing w:line="240" w:lineRule="auto" w:before="30" w:after="30"/>
              <w:jc w:val="center"/>
            </w:pPr>
            <w:r>
              <w:rPr>
                <w:b w:val="0"/>
                <w:i w:val="0"/>
                <w:sz w:val="14"/>
              </w:rPr>
              <w:t>0.133***</w:t>
            </w:r>
          </w:p>
        </w:tc>
      </w:tr>
      <w:tr>
        <w:trPr>
          <w:cantSplit/>
        </w:trPr>
        <w:tc>
          <w:tcPr>
            <w:tcW w:type="dxa" w:w="2093"/>
          </w:tcPr>
          <w:p>
            <w:pPr>
              <w:pStyle w:val="MDPI42tablebody"/>
              <w:keepNext/>
              <w:spacing w:line="240" w:lineRule="auto" w:before="30" w:after="30"/>
              <w:jc w:val="left"/>
            </w:pPr>
          </w:p>
        </w:tc>
        <w:tc>
          <w:tcPr>
            <w:tcW w:type="dxa" w:w="1395"/>
          </w:tcPr>
          <w:p>
            <w:pPr>
              <w:pStyle w:val="MDPI42tablebody"/>
              <w:keepNext/>
              <w:spacing w:line="240" w:lineRule="auto" w:before="30" w:after="30"/>
              <w:jc w:val="center"/>
            </w:pPr>
          </w:p>
        </w:tc>
        <w:tc>
          <w:tcPr>
            <w:tcW w:type="dxa" w:w="1395"/>
          </w:tcPr>
          <w:p>
            <w:pPr>
              <w:pStyle w:val="MDPI42tablebody"/>
              <w:keepNext/>
              <w:spacing w:line="240" w:lineRule="auto" w:before="30" w:after="30"/>
              <w:jc w:val="center"/>
            </w:pPr>
          </w:p>
        </w:tc>
        <w:tc>
          <w:tcPr>
            <w:tcW w:type="dxa" w:w="1395"/>
          </w:tcPr>
          <w:p>
            <w:pPr>
              <w:pStyle w:val="MDPI42tablebody"/>
              <w:keepNext/>
              <w:spacing w:line="240" w:lineRule="auto" w:before="30" w:after="30"/>
              <w:jc w:val="center"/>
            </w:pPr>
          </w:p>
        </w:tc>
        <w:tc>
          <w:tcPr>
            <w:tcW w:type="dxa" w:w="1395"/>
          </w:tcPr>
          <w:p>
            <w:pPr>
              <w:pStyle w:val="MDPI42tablebody"/>
              <w:keepNext/>
              <w:spacing w:line="240" w:lineRule="auto" w:before="30" w:after="30"/>
              <w:jc w:val="center"/>
            </w:pPr>
          </w:p>
        </w:tc>
        <w:tc>
          <w:tcPr>
            <w:tcW w:type="dxa" w:w="1395"/>
          </w:tcPr>
          <w:p>
            <w:pPr>
              <w:pStyle w:val="MDPI42tablebody"/>
              <w:keepNext/>
              <w:spacing w:line="240" w:lineRule="auto" w:before="30" w:after="30"/>
              <w:jc w:val="center"/>
            </w:pPr>
            <w:r>
              <w:rPr>
                <w:b w:val="0"/>
                <w:i w:val="0"/>
                <w:sz w:val="14"/>
              </w:rPr>
              <w:t>(0.006)</w:t>
            </w:r>
          </w:p>
        </w:tc>
        <w:tc>
          <w:tcPr>
            <w:tcW w:type="dxa" w:w="1395"/>
          </w:tcPr>
          <w:p>
            <w:pPr>
              <w:pStyle w:val="MDPI42tablebody"/>
              <w:keepNext/>
              <w:spacing w:line="240" w:lineRule="auto" w:before="30" w:after="30"/>
              <w:jc w:val="center"/>
            </w:pPr>
            <w:r>
              <w:rPr>
                <w:b w:val="0"/>
                <w:i w:val="0"/>
                <w:sz w:val="14"/>
              </w:rPr>
              <w:t>(0.006)</w:t>
            </w:r>
          </w:p>
        </w:tc>
      </w:tr>
      <w:tr>
        <w:trPr>
          <w:cantSplit/>
        </w:trPr>
        <w:tc>
          <w:tcPr>
            <w:tcW w:type="dxa" w:w="2093"/>
          </w:tcPr>
          <w:p>
            <w:pPr>
              <w:pStyle w:val="MDPI42tablebody"/>
              <w:keepNext/>
              <w:spacing w:line="240" w:lineRule="auto" w:before="30" w:after="30"/>
              <w:jc w:val="left"/>
            </w:pPr>
            <w:r>
              <w:rPr>
                <w:b w:val="0"/>
                <w:i/>
                <w:sz w:val="14"/>
              </w:rPr>
              <w:t>Size</w:t>
            </w:r>
          </w:p>
        </w:tc>
        <w:tc>
          <w:tcPr>
            <w:tcW w:type="dxa" w:w="1395"/>
          </w:tcPr>
          <w:p>
            <w:pPr>
              <w:pStyle w:val="MDPI42tablebody"/>
              <w:keepNext/>
              <w:spacing w:line="240" w:lineRule="auto" w:before="30" w:after="30"/>
              <w:jc w:val="center"/>
            </w:pPr>
            <w:r>
              <w:rPr>
                <w:b w:val="0"/>
                <w:i w:val="0"/>
                <w:sz w:val="14"/>
              </w:rPr>
              <w:t>2.169***</w:t>
            </w:r>
          </w:p>
        </w:tc>
        <w:tc>
          <w:tcPr>
            <w:tcW w:type="dxa" w:w="1395"/>
          </w:tcPr>
          <w:p>
            <w:pPr>
              <w:pStyle w:val="MDPI42tablebody"/>
              <w:keepNext/>
              <w:spacing w:line="240" w:lineRule="auto" w:before="30" w:after="30"/>
              <w:jc w:val="center"/>
            </w:pPr>
            <w:r>
              <w:rPr>
                <w:b w:val="0"/>
                <w:i w:val="0"/>
                <w:sz w:val="14"/>
              </w:rPr>
              <w:t>0.110***</w:t>
            </w:r>
          </w:p>
        </w:tc>
        <w:tc>
          <w:tcPr>
            <w:tcW w:type="dxa" w:w="1395"/>
          </w:tcPr>
          <w:p>
            <w:pPr>
              <w:pStyle w:val="MDPI42tablebody"/>
              <w:keepNext/>
              <w:spacing w:line="240" w:lineRule="auto" w:before="30" w:after="30"/>
              <w:jc w:val="center"/>
            </w:pPr>
            <w:r>
              <w:rPr>
                <w:b w:val="0"/>
                <w:i w:val="0"/>
                <w:sz w:val="14"/>
              </w:rPr>
              <w:t>2.092***</w:t>
            </w:r>
          </w:p>
        </w:tc>
        <w:tc>
          <w:tcPr>
            <w:tcW w:type="dxa" w:w="1395"/>
          </w:tcPr>
          <w:p>
            <w:pPr>
              <w:pStyle w:val="MDPI42tablebody"/>
              <w:keepNext/>
              <w:spacing w:line="240" w:lineRule="auto" w:before="30" w:after="30"/>
              <w:jc w:val="center"/>
            </w:pPr>
            <w:r>
              <w:rPr>
                <w:b w:val="0"/>
                <w:i w:val="0"/>
                <w:sz w:val="14"/>
              </w:rPr>
              <w:t>0.022</w:t>
            </w:r>
          </w:p>
        </w:tc>
        <w:tc>
          <w:tcPr>
            <w:tcW w:type="dxa" w:w="1395"/>
          </w:tcPr>
          <w:p>
            <w:pPr>
              <w:pStyle w:val="MDPI42tablebody"/>
              <w:keepNext/>
              <w:spacing w:line="240" w:lineRule="auto" w:before="30" w:after="30"/>
              <w:jc w:val="center"/>
            </w:pPr>
            <w:r>
              <w:rPr>
                <w:b w:val="0"/>
                <w:i w:val="0"/>
                <w:sz w:val="14"/>
              </w:rPr>
              <w:t>2.166***</w:t>
            </w:r>
          </w:p>
        </w:tc>
        <w:tc>
          <w:tcPr>
            <w:tcW w:type="dxa" w:w="1395"/>
          </w:tcPr>
          <w:p>
            <w:pPr>
              <w:pStyle w:val="MDPI42tablebody"/>
              <w:keepNext/>
              <w:spacing w:line="240" w:lineRule="auto" w:before="30" w:after="30"/>
              <w:jc w:val="center"/>
            </w:pPr>
            <w:r>
              <w:rPr>
                <w:b w:val="0"/>
                <w:i w:val="0"/>
                <w:sz w:val="14"/>
              </w:rPr>
              <w:t>2.088***</w:t>
            </w:r>
          </w:p>
        </w:tc>
      </w:tr>
      <w:tr>
        <w:trPr>
          <w:cantSplit/>
        </w:trPr>
        <w:tc>
          <w:tcPr>
            <w:tcW w:type="dxa" w:w="2093"/>
          </w:tcPr>
          <w:p>
            <w:pPr>
              <w:pStyle w:val="MDPI42tablebody"/>
              <w:keepNext/>
              <w:spacing w:line="240" w:lineRule="auto" w:before="30" w:after="30"/>
              <w:jc w:val="left"/>
            </w:pPr>
          </w:p>
        </w:tc>
        <w:tc>
          <w:tcPr>
            <w:tcW w:type="dxa" w:w="1395"/>
          </w:tcPr>
          <w:p>
            <w:pPr>
              <w:pStyle w:val="MDPI42tablebody"/>
              <w:keepNext/>
              <w:spacing w:line="240" w:lineRule="auto" w:before="30" w:after="30"/>
              <w:jc w:val="center"/>
            </w:pPr>
            <w:r>
              <w:rPr>
                <w:b w:val="0"/>
                <w:i w:val="0"/>
                <w:sz w:val="14"/>
              </w:rPr>
              <w:t>(0.391)</w:t>
            </w:r>
          </w:p>
        </w:tc>
        <w:tc>
          <w:tcPr>
            <w:tcW w:type="dxa" w:w="1395"/>
          </w:tcPr>
          <w:p>
            <w:pPr>
              <w:pStyle w:val="MDPI42tablebody"/>
              <w:keepNext/>
              <w:spacing w:line="240" w:lineRule="auto" w:before="30" w:after="30"/>
              <w:jc w:val="center"/>
            </w:pPr>
            <w:r>
              <w:rPr>
                <w:b w:val="0"/>
                <w:i w:val="0"/>
                <w:sz w:val="14"/>
              </w:rPr>
              <w:t>(0.039)</w:t>
            </w:r>
          </w:p>
        </w:tc>
        <w:tc>
          <w:tcPr>
            <w:tcW w:type="dxa" w:w="1395"/>
          </w:tcPr>
          <w:p>
            <w:pPr>
              <w:pStyle w:val="MDPI42tablebody"/>
              <w:keepNext/>
              <w:spacing w:line="240" w:lineRule="auto" w:before="30" w:after="30"/>
              <w:jc w:val="center"/>
            </w:pPr>
            <w:r>
              <w:rPr>
                <w:b w:val="0"/>
                <w:i w:val="0"/>
                <w:sz w:val="14"/>
              </w:rPr>
              <w:t>(0.390)</w:t>
            </w:r>
          </w:p>
        </w:tc>
        <w:tc>
          <w:tcPr>
            <w:tcW w:type="dxa" w:w="1395"/>
          </w:tcPr>
          <w:p>
            <w:pPr>
              <w:pStyle w:val="MDPI42tablebody"/>
              <w:keepNext/>
              <w:spacing w:line="240" w:lineRule="auto" w:before="30" w:after="30"/>
              <w:jc w:val="center"/>
            </w:pPr>
            <w:r>
              <w:rPr>
                <w:b w:val="0"/>
                <w:i w:val="0"/>
                <w:sz w:val="14"/>
              </w:rPr>
              <w:t>(0.503)</w:t>
            </w:r>
          </w:p>
        </w:tc>
        <w:tc>
          <w:tcPr>
            <w:tcW w:type="dxa" w:w="1395"/>
          </w:tcPr>
          <w:p>
            <w:pPr>
              <w:pStyle w:val="MDPI42tablebody"/>
              <w:keepNext/>
              <w:spacing w:line="240" w:lineRule="auto" w:before="30" w:after="30"/>
              <w:jc w:val="center"/>
            </w:pPr>
            <w:r>
              <w:rPr>
                <w:b w:val="0"/>
                <w:i w:val="0"/>
                <w:sz w:val="14"/>
              </w:rPr>
              <w:t>(0.384)</w:t>
            </w:r>
          </w:p>
        </w:tc>
        <w:tc>
          <w:tcPr>
            <w:tcW w:type="dxa" w:w="1395"/>
          </w:tcPr>
          <w:p>
            <w:pPr>
              <w:pStyle w:val="MDPI42tablebody"/>
              <w:keepNext/>
              <w:spacing w:line="240" w:lineRule="auto" w:before="30" w:after="30"/>
              <w:jc w:val="center"/>
            </w:pPr>
            <w:r>
              <w:rPr>
                <w:b w:val="0"/>
                <w:i w:val="0"/>
                <w:sz w:val="14"/>
              </w:rPr>
              <w:t>(0.383)</w:t>
            </w:r>
          </w:p>
        </w:tc>
      </w:tr>
      <w:tr>
        <w:trPr>
          <w:cantSplit/>
        </w:trPr>
        <w:tc>
          <w:tcPr>
            <w:tcW w:type="dxa" w:w="2093"/>
          </w:tcPr>
          <w:p>
            <w:pPr>
              <w:pStyle w:val="MDPI42tablebody"/>
              <w:keepNext/>
              <w:spacing w:line="240" w:lineRule="auto" w:before="30" w:after="30"/>
              <w:jc w:val="left"/>
            </w:pPr>
            <w:r>
              <w:rPr>
                <w:b w:val="0"/>
                <w:i/>
                <w:sz w:val="14"/>
              </w:rPr>
              <w:t>Lev</w:t>
            </w:r>
          </w:p>
        </w:tc>
        <w:tc>
          <w:tcPr>
            <w:tcW w:type="dxa" w:w="1395"/>
          </w:tcPr>
          <w:p>
            <w:pPr>
              <w:pStyle w:val="MDPI42tablebody"/>
              <w:keepNext/>
              <w:spacing w:line="240" w:lineRule="auto" w:before="30" w:after="30"/>
              <w:jc w:val="center"/>
            </w:pPr>
            <w:r>
              <w:rPr>
                <w:b w:val="0"/>
                <w:i w:val="0"/>
                <w:sz w:val="14"/>
              </w:rPr>
              <w:t>−1.892**</w:t>
            </w:r>
          </w:p>
        </w:tc>
        <w:tc>
          <w:tcPr>
            <w:tcW w:type="dxa" w:w="1395"/>
          </w:tcPr>
          <w:p>
            <w:pPr>
              <w:pStyle w:val="MDPI42tablebody"/>
              <w:keepNext/>
              <w:spacing w:line="240" w:lineRule="auto" w:before="30" w:after="30"/>
              <w:jc w:val="center"/>
            </w:pPr>
            <w:r>
              <w:rPr>
                <w:b w:val="0"/>
                <w:i w:val="0"/>
                <w:sz w:val="14"/>
              </w:rPr>
              <w:t>0.045</w:t>
            </w:r>
          </w:p>
        </w:tc>
        <w:tc>
          <w:tcPr>
            <w:tcW w:type="dxa" w:w="1395"/>
          </w:tcPr>
          <w:p>
            <w:pPr>
              <w:pStyle w:val="MDPI42tablebody"/>
              <w:keepNext/>
              <w:spacing w:line="240" w:lineRule="auto" w:before="30" w:after="30"/>
              <w:jc w:val="center"/>
            </w:pPr>
            <w:r>
              <w:rPr>
                <w:b w:val="0"/>
                <w:i w:val="0"/>
                <w:sz w:val="14"/>
              </w:rPr>
              <w:t>−1.923**</w:t>
            </w:r>
          </w:p>
        </w:tc>
        <w:tc>
          <w:tcPr>
            <w:tcW w:type="dxa" w:w="1395"/>
          </w:tcPr>
          <w:p>
            <w:pPr>
              <w:pStyle w:val="MDPI42tablebody"/>
              <w:keepNext/>
              <w:spacing w:line="240" w:lineRule="auto" w:before="30" w:after="30"/>
              <w:jc w:val="center"/>
            </w:pPr>
            <w:r>
              <w:rPr>
                <w:b w:val="0"/>
                <w:i w:val="0"/>
                <w:sz w:val="14"/>
              </w:rPr>
              <w:t>1.053</w:t>
            </w:r>
          </w:p>
        </w:tc>
        <w:tc>
          <w:tcPr>
            <w:tcW w:type="dxa" w:w="1395"/>
          </w:tcPr>
          <w:p>
            <w:pPr>
              <w:pStyle w:val="MDPI42tablebody"/>
              <w:keepNext/>
              <w:spacing w:line="240" w:lineRule="auto" w:before="30" w:after="30"/>
              <w:jc w:val="center"/>
            </w:pPr>
            <w:r>
              <w:rPr>
                <w:b w:val="0"/>
                <w:i w:val="0"/>
                <w:sz w:val="14"/>
              </w:rPr>
              <w:t>−2.031**</w:t>
            </w:r>
          </w:p>
        </w:tc>
        <w:tc>
          <w:tcPr>
            <w:tcW w:type="dxa" w:w="1395"/>
          </w:tcPr>
          <w:p>
            <w:pPr>
              <w:pStyle w:val="MDPI42tablebody"/>
              <w:keepNext/>
              <w:spacing w:line="240" w:lineRule="auto" w:before="30" w:after="30"/>
              <w:jc w:val="center"/>
            </w:pPr>
            <w:r>
              <w:rPr>
                <w:b w:val="0"/>
                <w:i w:val="0"/>
                <w:sz w:val="14"/>
              </w:rPr>
              <w:t>−2.064**</w:t>
            </w:r>
          </w:p>
        </w:tc>
      </w:tr>
      <w:tr>
        <w:trPr>
          <w:cantSplit/>
        </w:trPr>
        <w:tc>
          <w:tcPr>
            <w:tcW w:type="dxa" w:w="2093"/>
          </w:tcPr>
          <w:p>
            <w:pPr>
              <w:pStyle w:val="MDPI42tablebody"/>
              <w:keepNext/>
              <w:spacing w:line="240" w:lineRule="auto" w:before="30" w:after="30"/>
              <w:jc w:val="left"/>
            </w:pPr>
          </w:p>
        </w:tc>
        <w:tc>
          <w:tcPr>
            <w:tcW w:type="dxa" w:w="1395"/>
          </w:tcPr>
          <w:p>
            <w:pPr>
              <w:pStyle w:val="MDPI42tablebody"/>
              <w:keepNext/>
              <w:spacing w:line="240" w:lineRule="auto" w:before="30" w:after="30"/>
              <w:jc w:val="center"/>
            </w:pPr>
            <w:r>
              <w:rPr>
                <w:b w:val="0"/>
                <w:i w:val="0"/>
                <w:sz w:val="14"/>
              </w:rPr>
              <w:t>(0.831)</w:t>
            </w:r>
          </w:p>
        </w:tc>
        <w:tc>
          <w:tcPr>
            <w:tcW w:type="dxa" w:w="1395"/>
          </w:tcPr>
          <w:p>
            <w:pPr>
              <w:pStyle w:val="MDPI42tablebody"/>
              <w:keepNext/>
              <w:spacing w:line="240" w:lineRule="auto" w:before="30" w:after="30"/>
              <w:jc w:val="center"/>
            </w:pPr>
            <w:r>
              <w:rPr>
                <w:b w:val="0"/>
                <w:i w:val="0"/>
                <w:sz w:val="14"/>
              </w:rPr>
              <w:t>(0.084)</w:t>
            </w:r>
          </w:p>
        </w:tc>
        <w:tc>
          <w:tcPr>
            <w:tcW w:type="dxa" w:w="1395"/>
          </w:tcPr>
          <w:p>
            <w:pPr>
              <w:pStyle w:val="MDPI42tablebody"/>
              <w:keepNext/>
              <w:spacing w:line="240" w:lineRule="auto" w:before="30" w:after="30"/>
              <w:jc w:val="center"/>
            </w:pPr>
            <w:r>
              <w:rPr>
                <w:b w:val="0"/>
                <w:i w:val="0"/>
                <w:sz w:val="14"/>
              </w:rPr>
              <w:t>(0.828)</w:t>
            </w:r>
          </w:p>
        </w:tc>
        <w:tc>
          <w:tcPr>
            <w:tcW w:type="dxa" w:w="1395"/>
          </w:tcPr>
          <w:p>
            <w:pPr>
              <w:pStyle w:val="MDPI42tablebody"/>
              <w:keepNext/>
              <w:spacing w:line="240" w:lineRule="auto" w:before="30" w:after="30"/>
              <w:jc w:val="center"/>
            </w:pPr>
            <w:r>
              <w:rPr>
                <w:b w:val="0"/>
                <w:i w:val="0"/>
                <w:sz w:val="14"/>
              </w:rPr>
              <w:t>(1.035)</w:t>
            </w:r>
          </w:p>
        </w:tc>
        <w:tc>
          <w:tcPr>
            <w:tcW w:type="dxa" w:w="1395"/>
          </w:tcPr>
          <w:p>
            <w:pPr>
              <w:pStyle w:val="MDPI42tablebody"/>
              <w:keepNext/>
              <w:spacing w:line="240" w:lineRule="auto" w:before="30" w:after="30"/>
              <w:jc w:val="center"/>
            </w:pPr>
            <w:r>
              <w:rPr>
                <w:b w:val="0"/>
                <w:i w:val="0"/>
                <w:sz w:val="14"/>
              </w:rPr>
              <w:t>(0.814)</w:t>
            </w:r>
          </w:p>
        </w:tc>
        <w:tc>
          <w:tcPr>
            <w:tcW w:type="dxa" w:w="1395"/>
          </w:tcPr>
          <w:p>
            <w:pPr>
              <w:pStyle w:val="MDPI42tablebody"/>
              <w:keepNext/>
              <w:spacing w:line="240" w:lineRule="auto" w:before="30" w:after="30"/>
              <w:jc w:val="center"/>
            </w:pPr>
            <w:r>
              <w:rPr>
                <w:b w:val="0"/>
                <w:i w:val="0"/>
                <w:sz w:val="14"/>
              </w:rPr>
              <w:t>(0.811)</w:t>
            </w:r>
          </w:p>
        </w:tc>
      </w:tr>
      <w:tr>
        <w:trPr>
          <w:cantSplit/>
        </w:trPr>
        <w:tc>
          <w:tcPr>
            <w:tcW w:type="dxa" w:w="2093"/>
          </w:tcPr>
          <w:p>
            <w:pPr>
              <w:pStyle w:val="MDPI42tablebody"/>
              <w:keepNext/>
              <w:spacing w:line="240" w:lineRule="auto" w:before="30" w:after="30"/>
              <w:jc w:val="left"/>
            </w:pPr>
            <w:r>
              <w:rPr>
                <w:b w:val="0"/>
                <w:i/>
                <w:sz w:val="14"/>
              </w:rPr>
              <w:t>ROA</w:t>
            </w:r>
          </w:p>
        </w:tc>
        <w:tc>
          <w:tcPr>
            <w:tcW w:type="dxa" w:w="1395"/>
          </w:tcPr>
          <w:p>
            <w:pPr>
              <w:pStyle w:val="MDPI42tablebody"/>
              <w:keepNext/>
              <w:spacing w:line="240" w:lineRule="auto" w:before="30" w:after="30"/>
              <w:jc w:val="center"/>
            </w:pPr>
            <w:r>
              <w:rPr>
                <w:b w:val="0"/>
                <w:i w:val="0"/>
                <w:sz w:val="14"/>
              </w:rPr>
              <w:t>10.515***</w:t>
            </w:r>
          </w:p>
        </w:tc>
        <w:tc>
          <w:tcPr>
            <w:tcW w:type="dxa" w:w="1395"/>
          </w:tcPr>
          <w:p>
            <w:pPr>
              <w:pStyle w:val="MDPI42tablebody"/>
              <w:keepNext/>
              <w:spacing w:line="240" w:lineRule="auto" w:before="30" w:after="30"/>
              <w:jc w:val="center"/>
            </w:pPr>
            <w:r>
              <w:rPr>
                <w:b w:val="0"/>
                <w:i w:val="0"/>
                <w:sz w:val="14"/>
              </w:rPr>
              <w:t>0.062</w:t>
            </w:r>
          </w:p>
        </w:tc>
        <w:tc>
          <w:tcPr>
            <w:tcW w:type="dxa" w:w="1395"/>
          </w:tcPr>
          <w:p>
            <w:pPr>
              <w:pStyle w:val="MDPI42tablebody"/>
              <w:keepNext/>
              <w:spacing w:line="240" w:lineRule="auto" w:before="30" w:after="30"/>
              <w:jc w:val="center"/>
            </w:pPr>
            <w:r>
              <w:rPr>
                <w:b w:val="0"/>
                <w:i w:val="0"/>
                <w:sz w:val="14"/>
              </w:rPr>
              <w:t>10.472***</w:t>
            </w:r>
          </w:p>
        </w:tc>
        <w:tc>
          <w:tcPr>
            <w:tcW w:type="dxa" w:w="1395"/>
          </w:tcPr>
          <w:p>
            <w:pPr>
              <w:pStyle w:val="MDPI42tablebody"/>
              <w:keepNext/>
              <w:spacing w:line="240" w:lineRule="auto" w:before="30" w:after="30"/>
              <w:jc w:val="center"/>
            </w:pPr>
            <w:r>
              <w:rPr>
                <w:b w:val="0"/>
                <w:i w:val="0"/>
                <w:sz w:val="14"/>
              </w:rPr>
              <w:t>2.660</w:t>
            </w:r>
          </w:p>
        </w:tc>
        <w:tc>
          <w:tcPr>
            <w:tcW w:type="dxa" w:w="1395"/>
          </w:tcPr>
          <w:p>
            <w:pPr>
              <w:pStyle w:val="MDPI42tablebody"/>
              <w:keepNext/>
              <w:spacing w:line="240" w:lineRule="auto" w:before="30" w:after="30"/>
              <w:jc w:val="center"/>
            </w:pPr>
            <w:r>
              <w:rPr>
                <w:b w:val="0"/>
                <w:i w:val="0"/>
                <w:sz w:val="14"/>
              </w:rPr>
              <w:t>10.163***</w:t>
            </w:r>
          </w:p>
        </w:tc>
        <w:tc>
          <w:tcPr>
            <w:tcW w:type="dxa" w:w="1395"/>
          </w:tcPr>
          <w:p>
            <w:pPr>
              <w:pStyle w:val="MDPI42tablebody"/>
              <w:keepNext/>
              <w:spacing w:line="240" w:lineRule="auto" w:before="30" w:after="30"/>
              <w:jc w:val="center"/>
            </w:pPr>
            <w:r>
              <w:rPr>
                <w:b w:val="0"/>
                <w:i w:val="0"/>
                <w:sz w:val="14"/>
              </w:rPr>
              <w:t>10.117***</w:t>
            </w:r>
          </w:p>
        </w:tc>
      </w:tr>
      <w:tr>
        <w:trPr>
          <w:cantSplit/>
        </w:trPr>
        <w:tc>
          <w:tcPr>
            <w:tcW w:type="dxa" w:w="2093"/>
          </w:tcPr>
          <w:p>
            <w:pPr>
              <w:pStyle w:val="MDPI42tablebody"/>
              <w:keepNext/>
              <w:spacing w:line="240" w:lineRule="auto" w:before="30" w:after="30"/>
              <w:jc w:val="left"/>
            </w:pPr>
          </w:p>
        </w:tc>
        <w:tc>
          <w:tcPr>
            <w:tcW w:type="dxa" w:w="1395"/>
          </w:tcPr>
          <w:p>
            <w:pPr>
              <w:pStyle w:val="MDPI42tablebody"/>
              <w:keepNext/>
              <w:spacing w:line="240" w:lineRule="auto" w:before="30" w:after="30"/>
              <w:jc w:val="center"/>
            </w:pPr>
            <w:r>
              <w:rPr>
                <w:b w:val="0"/>
                <w:i w:val="0"/>
                <w:sz w:val="14"/>
              </w:rPr>
              <w:t>(1.469)</w:t>
            </w:r>
          </w:p>
        </w:tc>
        <w:tc>
          <w:tcPr>
            <w:tcW w:type="dxa" w:w="1395"/>
          </w:tcPr>
          <w:p>
            <w:pPr>
              <w:pStyle w:val="MDPI42tablebody"/>
              <w:keepNext/>
              <w:spacing w:line="240" w:lineRule="auto" w:before="30" w:after="30"/>
              <w:jc w:val="center"/>
            </w:pPr>
            <w:r>
              <w:rPr>
                <w:b w:val="0"/>
                <w:i w:val="0"/>
                <w:sz w:val="14"/>
              </w:rPr>
              <w:t>(0.144)</w:t>
            </w:r>
          </w:p>
        </w:tc>
        <w:tc>
          <w:tcPr>
            <w:tcW w:type="dxa" w:w="1395"/>
          </w:tcPr>
          <w:p>
            <w:pPr>
              <w:pStyle w:val="MDPI42tablebody"/>
              <w:keepNext/>
              <w:spacing w:line="240" w:lineRule="auto" w:before="30" w:after="30"/>
              <w:jc w:val="center"/>
            </w:pPr>
            <w:r>
              <w:rPr>
                <w:b w:val="0"/>
                <w:i w:val="0"/>
                <w:sz w:val="14"/>
              </w:rPr>
              <w:t>(1.465)</w:t>
            </w:r>
          </w:p>
        </w:tc>
        <w:tc>
          <w:tcPr>
            <w:tcW w:type="dxa" w:w="1395"/>
          </w:tcPr>
          <w:p>
            <w:pPr>
              <w:pStyle w:val="MDPI42tablebody"/>
              <w:keepNext/>
              <w:spacing w:line="240" w:lineRule="auto" w:before="30" w:after="30"/>
              <w:jc w:val="center"/>
            </w:pPr>
            <w:r>
              <w:rPr>
                <w:b w:val="0"/>
                <w:i w:val="0"/>
                <w:sz w:val="14"/>
              </w:rPr>
              <w:t>(1.838)</w:t>
            </w:r>
          </w:p>
        </w:tc>
        <w:tc>
          <w:tcPr>
            <w:tcW w:type="dxa" w:w="1395"/>
          </w:tcPr>
          <w:p>
            <w:pPr>
              <w:pStyle w:val="MDPI42tablebody"/>
              <w:keepNext/>
              <w:spacing w:line="240" w:lineRule="auto" w:before="30" w:after="30"/>
              <w:jc w:val="center"/>
            </w:pPr>
            <w:r>
              <w:rPr>
                <w:b w:val="0"/>
                <w:i w:val="0"/>
                <w:sz w:val="14"/>
              </w:rPr>
              <w:t>(1.451)</w:t>
            </w:r>
          </w:p>
        </w:tc>
        <w:tc>
          <w:tcPr>
            <w:tcW w:type="dxa" w:w="1395"/>
          </w:tcPr>
          <w:p>
            <w:pPr>
              <w:pStyle w:val="MDPI42tablebody"/>
              <w:keepNext/>
              <w:spacing w:line="240" w:lineRule="auto" w:before="30" w:after="30"/>
              <w:jc w:val="center"/>
            </w:pPr>
            <w:r>
              <w:rPr>
                <w:b w:val="0"/>
                <w:i w:val="0"/>
                <w:sz w:val="14"/>
              </w:rPr>
              <w:t>(1.447)</w:t>
            </w:r>
          </w:p>
        </w:tc>
      </w:tr>
      <w:tr>
        <w:trPr>
          <w:cantSplit/>
        </w:trPr>
        <w:tc>
          <w:tcPr>
            <w:tcW w:type="dxa" w:w="2093"/>
          </w:tcPr>
          <w:p>
            <w:pPr>
              <w:pStyle w:val="MDPI42tablebody"/>
              <w:keepNext/>
              <w:spacing w:line="240" w:lineRule="auto" w:before="30" w:after="30"/>
              <w:jc w:val="left"/>
            </w:pPr>
            <w:r>
              <w:rPr>
                <w:b w:val="0"/>
                <w:i/>
                <w:sz w:val="14"/>
              </w:rPr>
              <w:t>Growth</w:t>
            </w:r>
          </w:p>
        </w:tc>
        <w:tc>
          <w:tcPr>
            <w:tcW w:type="dxa" w:w="1395"/>
          </w:tcPr>
          <w:p>
            <w:pPr>
              <w:pStyle w:val="MDPI42tablebody"/>
              <w:keepNext/>
              <w:spacing w:line="240" w:lineRule="auto" w:before="30" w:after="30"/>
              <w:jc w:val="center"/>
            </w:pPr>
            <w:r>
              <w:rPr>
                <w:b w:val="0"/>
                <w:i w:val="0"/>
                <w:sz w:val="14"/>
              </w:rPr>
              <w:t>2.093***</w:t>
            </w:r>
          </w:p>
        </w:tc>
        <w:tc>
          <w:tcPr>
            <w:tcW w:type="dxa" w:w="1395"/>
          </w:tcPr>
          <w:p>
            <w:pPr>
              <w:pStyle w:val="MDPI42tablebody"/>
              <w:keepNext/>
              <w:spacing w:line="240" w:lineRule="auto" w:before="30" w:after="30"/>
              <w:jc w:val="center"/>
            </w:pPr>
            <w:r>
              <w:rPr>
                <w:b w:val="0"/>
                <w:i w:val="0"/>
                <w:sz w:val="14"/>
              </w:rPr>
              <w:t>−0.009</w:t>
            </w:r>
          </w:p>
        </w:tc>
        <w:tc>
          <w:tcPr>
            <w:tcW w:type="dxa" w:w="1395"/>
          </w:tcPr>
          <w:p>
            <w:pPr>
              <w:pStyle w:val="MDPI42tablebody"/>
              <w:keepNext/>
              <w:spacing w:line="240" w:lineRule="auto" w:before="30" w:after="30"/>
              <w:jc w:val="center"/>
            </w:pPr>
            <w:r>
              <w:rPr>
                <w:b w:val="0"/>
                <w:i w:val="0"/>
                <w:sz w:val="14"/>
              </w:rPr>
              <w:t>2.099***</w:t>
            </w:r>
          </w:p>
        </w:tc>
        <w:tc>
          <w:tcPr>
            <w:tcW w:type="dxa" w:w="1395"/>
          </w:tcPr>
          <w:p>
            <w:pPr>
              <w:pStyle w:val="MDPI42tablebody"/>
              <w:keepNext/>
              <w:spacing w:line="240" w:lineRule="auto" w:before="30" w:after="30"/>
              <w:jc w:val="center"/>
            </w:pPr>
            <w:r>
              <w:rPr>
                <w:b w:val="0"/>
                <w:i w:val="0"/>
                <w:sz w:val="14"/>
              </w:rPr>
              <w:t>0.088</w:t>
            </w:r>
          </w:p>
        </w:tc>
        <w:tc>
          <w:tcPr>
            <w:tcW w:type="dxa" w:w="1395"/>
          </w:tcPr>
          <w:p>
            <w:pPr>
              <w:pStyle w:val="MDPI42tablebody"/>
              <w:keepNext/>
              <w:spacing w:line="240" w:lineRule="auto" w:before="30" w:after="30"/>
              <w:jc w:val="center"/>
            </w:pPr>
            <w:r>
              <w:rPr>
                <w:b w:val="0"/>
                <w:i w:val="0"/>
                <w:sz w:val="14"/>
              </w:rPr>
              <w:t>2.081***</w:t>
            </w:r>
          </w:p>
        </w:tc>
        <w:tc>
          <w:tcPr>
            <w:tcW w:type="dxa" w:w="1395"/>
          </w:tcPr>
          <w:p>
            <w:pPr>
              <w:pStyle w:val="MDPI42tablebody"/>
              <w:keepNext/>
              <w:spacing w:line="240" w:lineRule="auto" w:before="30" w:after="30"/>
              <w:jc w:val="center"/>
            </w:pPr>
            <w:r>
              <w:rPr>
                <w:b w:val="0"/>
                <w:i w:val="0"/>
                <w:sz w:val="14"/>
              </w:rPr>
              <w:t>2.087***</w:t>
            </w:r>
          </w:p>
        </w:tc>
      </w:tr>
      <w:tr>
        <w:trPr>
          <w:cantSplit/>
        </w:trPr>
        <w:tc>
          <w:tcPr>
            <w:tcW w:type="dxa" w:w="2093"/>
          </w:tcPr>
          <w:p>
            <w:pPr>
              <w:pStyle w:val="MDPI42tablebody"/>
              <w:keepNext/>
              <w:spacing w:line="240" w:lineRule="auto" w:before="30" w:after="30"/>
              <w:jc w:val="left"/>
            </w:pPr>
          </w:p>
        </w:tc>
        <w:tc>
          <w:tcPr>
            <w:tcW w:type="dxa" w:w="1395"/>
          </w:tcPr>
          <w:p>
            <w:pPr>
              <w:pStyle w:val="MDPI42tablebody"/>
              <w:keepNext/>
              <w:spacing w:line="240" w:lineRule="auto" w:before="30" w:after="30"/>
              <w:jc w:val="center"/>
            </w:pPr>
            <w:r>
              <w:rPr>
                <w:b w:val="0"/>
                <w:i w:val="0"/>
                <w:sz w:val="14"/>
              </w:rPr>
              <w:t>(0.120)</w:t>
            </w:r>
          </w:p>
        </w:tc>
        <w:tc>
          <w:tcPr>
            <w:tcW w:type="dxa" w:w="1395"/>
          </w:tcPr>
          <w:p>
            <w:pPr>
              <w:pStyle w:val="MDPI42tablebody"/>
              <w:keepNext/>
              <w:spacing w:line="240" w:lineRule="auto" w:before="30" w:after="30"/>
              <w:jc w:val="center"/>
            </w:pPr>
            <w:r>
              <w:rPr>
                <w:b w:val="0"/>
                <w:i w:val="0"/>
                <w:sz w:val="14"/>
              </w:rPr>
              <w:t>(0.012)</w:t>
            </w:r>
          </w:p>
        </w:tc>
        <w:tc>
          <w:tcPr>
            <w:tcW w:type="dxa" w:w="1395"/>
          </w:tcPr>
          <w:p>
            <w:pPr>
              <w:pStyle w:val="MDPI42tablebody"/>
              <w:keepNext/>
              <w:spacing w:line="240" w:lineRule="auto" w:before="30" w:after="30"/>
              <w:jc w:val="center"/>
            </w:pPr>
            <w:r>
              <w:rPr>
                <w:b w:val="0"/>
                <w:i w:val="0"/>
                <w:sz w:val="14"/>
              </w:rPr>
              <w:t>(0.120)</w:t>
            </w:r>
          </w:p>
        </w:tc>
        <w:tc>
          <w:tcPr>
            <w:tcW w:type="dxa" w:w="1395"/>
          </w:tcPr>
          <w:p>
            <w:pPr>
              <w:pStyle w:val="MDPI42tablebody"/>
              <w:keepNext/>
              <w:spacing w:line="240" w:lineRule="auto" w:before="30" w:after="30"/>
              <w:jc w:val="center"/>
            </w:pPr>
            <w:r>
              <w:rPr>
                <w:b w:val="0"/>
                <w:i w:val="0"/>
                <w:sz w:val="14"/>
              </w:rPr>
              <w:t>(0.152)</w:t>
            </w:r>
          </w:p>
        </w:tc>
        <w:tc>
          <w:tcPr>
            <w:tcW w:type="dxa" w:w="1395"/>
          </w:tcPr>
          <w:p>
            <w:pPr>
              <w:pStyle w:val="MDPI42tablebody"/>
              <w:keepNext/>
              <w:spacing w:line="240" w:lineRule="auto" w:before="30" w:after="30"/>
              <w:jc w:val="center"/>
            </w:pPr>
            <w:r>
              <w:rPr>
                <w:b w:val="0"/>
                <w:i w:val="0"/>
                <w:sz w:val="14"/>
              </w:rPr>
              <w:t>(0.118)</w:t>
            </w:r>
          </w:p>
        </w:tc>
        <w:tc>
          <w:tcPr>
            <w:tcW w:type="dxa" w:w="1395"/>
          </w:tcPr>
          <w:p>
            <w:pPr>
              <w:pStyle w:val="MDPI42tablebody"/>
              <w:keepNext/>
              <w:spacing w:line="240" w:lineRule="auto" w:before="30" w:after="30"/>
              <w:jc w:val="center"/>
            </w:pPr>
            <w:r>
              <w:rPr>
                <w:b w:val="0"/>
                <w:i w:val="0"/>
                <w:sz w:val="14"/>
              </w:rPr>
              <w:t>(0.118)</w:t>
            </w:r>
          </w:p>
        </w:tc>
      </w:tr>
      <w:tr>
        <w:trPr>
          <w:cantSplit/>
        </w:trPr>
        <w:tc>
          <w:tcPr>
            <w:tcW w:type="dxa" w:w="2093"/>
          </w:tcPr>
          <w:p>
            <w:pPr>
              <w:pStyle w:val="MDPI42tablebody"/>
              <w:keepNext/>
              <w:spacing w:line="240" w:lineRule="auto" w:before="30" w:after="30"/>
              <w:jc w:val="left"/>
            </w:pPr>
            <w:r>
              <w:rPr>
                <w:b w:val="0"/>
                <w:i/>
                <w:sz w:val="14"/>
              </w:rPr>
              <w:t>Cashflow</w:t>
            </w:r>
          </w:p>
        </w:tc>
        <w:tc>
          <w:tcPr>
            <w:tcW w:type="dxa" w:w="1395"/>
          </w:tcPr>
          <w:p>
            <w:pPr>
              <w:pStyle w:val="MDPI42tablebody"/>
              <w:keepNext/>
              <w:spacing w:line="240" w:lineRule="auto" w:before="30" w:after="30"/>
              <w:jc w:val="center"/>
            </w:pPr>
            <w:r>
              <w:rPr>
                <w:b w:val="0"/>
                <w:i w:val="0"/>
                <w:sz w:val="14"/>
              </w:rPr>
              <w:t>3.317***</w:t>
            </w:r>
          </w:p>
        </w:tc>
        <w:tc>
          <w:tcPr>
            <w:tcW w:type="dxa" w:w="1395"/>
          </w:tcPr>
          <w:p>
            <w:pPr>
              <w:pStyle w:val="MDPI42tablebody"/>
              <w:keepNext/>
              <w:spacing w:line="240" w:lineRule="auto" w:before="30" w:after="30"/>
              <w:jc w:val="center"/>
            </w:pPr>
            <w:r>
              <w:rPr>
                <w:b w:val="0"/>
                <w:i w:val="0"/>
                <w:sz w:val="14"/>
              </w:rPr>
              <w:t>0.018</w:t>
            </w:r>
          </w:p>
        </w:tc>
        <w:tc>
          <w:tcPr>
            <w:tcW w:type="dxa" w:w="1395"/>
          </w:tcPr>
          <w:p>
            <w:pPr>
              <w:pStyle w:val="MDPI42tablebody"/>
              <w:keepNext/>
              <w:spacing w:line="240" w:lineRule="auto" w:before="30" w:after="30"/>
              <w:jc w:val="center"/>
            </w:pPr>
            <w:r>
              <w:rPr>
                <w:b w:val="0"/>
                <w:i w:val="0"/>
                <w:sz w:val="14"/>
              </w:rPr>
              <w:t>3.305***</w:t>
            </w:r>
          </w:p>
        </w:tc>
        <w:tc>
          <w:tcPr>
            <w:tcW w:type="dxa" w:w="1395"/>
          </w:tcPr>
          <w:p>
            <w:pPr>
              <w:pStyle w:val="MDPI42tablebody"/>
              <w:keepNext/>
              <w:spacing w:line="240" w:lineRule="auto" w:before="30" w:after="30"/>
              <w:jc w:val="center"/>
            </w:pPr>
            <w:r>
              <w:rPr>
                <w:b w:val="0"/>
                <w:i w:val="0"/>
                <w:sz w:val="14"/>
              </w:rPr>
              <w:t>0.284</w:t>
            </w:r>
          </w:p>
        </w:tc>
        <w:tc>
          <w:tcPr>
            <w:tcW w:type="dxa" w:w="1395"/>
          </w:tcPr>
          <w:p>
            <w:pPr>
              <w:pStyle w:val="MDPI42tablebody"/>
              <w:keepNext/>
              <w:spacing w:line="240" w:lineRule="auto" w:before="30" w:after="30"/>
              <w:jc w:val="center"/>
            </w:pPr>
            <w:r>
              <w:rPr>
                <w:b w:val="0"/>
                <w:i w:val="0"/>
                <w:sz w:val="14"/>
              </w:rPr>
              <w:t>3.280***</w:t>
            </w:r>
          </w:p>
        </w:tc>
        <w:tc>
          <w:tcPr>
            <w:tcW w:type="dxa" w:w="1395"/>
          </w:tcPr>
          <w:p>
            <w:pPr>
              <w:pStyle w:val="MDPI42tablebody"/>
              <w:keepNext/>
              <w:spacing w:line="240" w:lineRule="auto" w:before="30" w:after="30"/>
              <w:jc w:val="center"/>
            </w:pPr>
            <w:r>
              <w:rPr>
                <w:b w:val="0"/>
                <w:i w:val="0"/>
                <w:sz w:val="14"/>
              </w:rPr>
              <w:t>3.267***</w:t>
            </w:r>
          </w:p>
        </w:tc>
      </w:tr>
      <w:tr>
        <w:trPr>
          <w:cantSplit/>
        </w:trPr>
        <w:tc>
          <w:tcPr>
            <w:tcW w:type="dxa" w:w="2093"/>
          </w:tcPr>
          <w:p>
            <w:pPr>
              <w:pStyle w:val="MDPI42tablebody"/>
              <w:keepNext/>
              <w:spacing w:line="240" w:lineRule="auto" w:before="30" w:after="30"/>
              <w:jc w:val="left"/>
            </w:pPr>
          </w:p>
        </w:tc>
        <w:tc>
          <w:tcPr>
            <w:tcW w:type="dxa" w:w="1395"/>
          </w:tcPr>
          <w:p>
            <w:pPr>
              <w:pStyle w:val="MDPI42tablebody"/>
              <w:keepNext/>
              <w:spacing w:line="240" w:lineRule="auto" w:before="30" w:after="30"/>
              <w:jc w:val="center"/>
            </w:pPr>
            <w:r>
              <w:rPr>
                <w:b w:val="0"/>
                <w:i w:val="0"/>
                <w:sz w:val="14"/>
              </w:rPr>
              <w:t>(0.627)</w:t>
            </w:r>
          </w:p>
        </w:tc>
        <w:tc>
          <w:tcPr>
            <w:tcW w:type="dxa" w:w="1395"/>
          </w:tcPr>
          <w:p>
            <w:pPr>
              <w:pStyle w:val="MDPI42tablebody"/>
              <w:keepNext/>
              <w:spacing w:line="240" w:lineRule="auto" w:before="30" w:after="30"/>
              <w:jc w:val="center"/>
            </w:pPr>
            <w:r>
              <w:rPr>
                <w:b w:val="0"/>
                <w:i w:val="0"/>
                <w:sz w:val="14"/>
              </w:rPr>
              <w:t>(0.064)</w:t>
            </w:r>
          </w:p>
        </w:tc>
        <w:tc>
          <w:tcPr>
            <w:tcW w:type="dxa" w:w="1395"/>
          </w:tcPr>
          <w:p>
            <w:pPr>
              <w:pStyle w:val="MDPI42tablebody"/>
              <w:keepNext/>
              <w:spacing w:line="240" w:lineRule="auto" w:before="30" w:after="30"/>
              <w:jc w:val="center"/>
            </w:pPr>
            <w:r>
              <w:rPr>
                <w:b w:val="0"/>
                <w:i w:val="0"/>
                <w:sz w:val="14"/>
              </w:rPr>
              <w:t>(0.625)</w:t>
            </w:r>
          </w:p>
        </w:tc>
        <w:tc>
          <w:tcPr>
            <w:tcW w:type="dxa" w:w="1395"/>
          </w:tcPr>
          <w:p>
            <w:pPr>
              <w:pStyle w:val="MDPI42tablebody"/>
              <w:keepNext/>
              <w:spacing w:line="240" w:lineRule="auto" w:before="30" w:after="30"/>
              <w:jc w:val="center"/>
            </w:pPr>
            <w:r>
              <w:rPr>
                <w:b w:val="0"/>
                <w:i w:val="0"/>
                <w:sz w:val="14"/>
              </w:rPr>
              <w:t>(0.815)</w:t>
            </w:r>
          </w:p>
        </w:tc>
        <w:tc>
          <w:tcPr>
            <w:tcW w:type="dxa" w:w="1395"/>
          </w:tcPr>
          <w:p>
            <w:pPr>
              <w:pStyle w:val="MDPI42tablebody"/>
              <w:keepNext/>
              <w:spacing w:line="240" w:lineRule="auto" w:before="30" w:after="30"/>
              <w:jc w:val="center"/>
            </w:pPr>
            <w:r>
              <w:rPr>
                <w:b w:val="0"/>
                <w:i w:val="0"/>
                <w:sz w:val="14"/>
              </w:rPr>
              <w:t>(0.616)</w:t>
            </w:r>
          </w:p>
        </w:tc>
        <w:tc>
          <w:tcPr>
            <w:tcW w:type="dxa" w:w="1395"/>
          </w:tcPr>
          <w:p>
            <w:pPr>
              <w:pStyle w:val="MDPI42tablebody"/>
              <w:keepNext/>
              <w:spacing w:line="240" w:lineRule="auto" w:before="30" w:after="30"/>
              <w:jc w:val="center"/>
            </w:pPr>
            <w:r>
              <w:rPr>
                <w:b w:val="0"/>
                <w:i w:val="0"/>
                <w:sz w:val="14"/>
              </w:rPr>
              <w:t>(0.614)</w:t>
            </w:r>
          </w:p>
        </w:tc>
      </w:tr>
      <w:tr>
        <w:trPr>
          <w:cantSplit/>
        </w:trPr>
        <w:tc>
          <w:tcPr>
            <w:tcW w:type="dxa" w:w="2093"/>
          </w:tcPr>
          <w:p>
            <w:pPr>
              <w:pStyle w:val="MDPI42tablebody"/>
              <w:keepNext/>
              <w:spacing w:line="240" w:lineRule="auto" w:before="30" w:after="30"/>
              <w:jc w:val="left"/>
            </w:pPr>
            <w:r>
              <w:rPr>
                <w:b w:val="0"/>
                <w:i/>
                <w:sz w:val="14"/>
              </w:rPr>
              <w:t>TobinQ</w:t>
            </w:r>
          </w:p>
        </w:tc>
        <w:tc>
          <w:tcPr>
            <w:tcW w:type="dxa" w:w="1395"/>
          </w:tcPr>
          <w:p>
            <w:pPr>
              <w:pStyle w:val="MDPI42tablebody"/>
              <w:keepNext/>
              <w:spacing w:line="240" w:lineRule="auto" w:before="30" w:after="30"/>
              <w:jc w:val="center"/>
            </w:pPr>
            <w:r>
              <w:rPr>
                <w:b w:val="0"/>
                <w:i w:val="0"/>
                <w:sz w:val="14"/>
              </w:rPr>
              <w:t>0.651***</w:t>
            </w:r>
          </w:p>
        </w:tc>
        <w:tc>
          <w:tcPr>
            <w:tcW w:type="dxa" w:w="1395"/>
          </w:tcPr>
          <w:p>
            <w:pPr>
              <w:pStyle w:val="MDPI42tablebody"/>
              <w:keepNext/>
              <w:spacing w:line="240" w:lineRule="auto" w:before="30" w:after="30"/>
              <w:jc w:val="center"/>
            </w:pPr>
            <w:r>
              <w:rPr>
                <w:b w:val="0"/>
                <w:i w:val="0"/>
                <w:sz w:val="14"/>
              </w:rPr>
              <w:t>0.002</w:t>
            </w:r>
          </w:p>
        </w:tc>
        <w:tc>
          <w:tcPr>
            <w:tcW w:type="dxa" w:w="1395"/>
          </w:tcPr>
          <w:p>
            <w:pPr>
              <w:pStyle w:val="MDPI42tablebody"/>
              <w:keepNext/>
              <w:spacing w:line="240" w:lineRule="auto" w:before="30" w:after="30"/>
              <w:jc w:val="center"/>
            </w:pPr>
            <w:r>
              <w:rPr>
                <w:b w:val="0"/>
                <w:i w:val="0"/>
                <w:sz w:val="14"/>
              </w:rPr>
              <w:t>0.649***</w:t>
            </w:r>
          </w:p>
        </w:tc>
        <w:tc>
          <w:tcPr>
            <w:tcW w:type="dxa" w:w="1395"/>
          </w:tcPr>
          <w:p>
            <w:pPr>
              <w:pStyle w:val="MDPI42tablebody"/>
              <w:keepNext/>
              <w:spacing w:line="240" w:lineRule="auto" w:before="30" w:after="30"/>
              <w:jc w:val="center"/>
            </w:pPr>
            <w:r>
              <w:rPr>
                <w:b w:val="0"/>
                <w:i w:val="0"/>
                <w:sz w:val="14"/>
              </w:rPr>
              <w:t>0.018</w:t>
            </w:r>
          </w:p>
        </w:tc>
        <w:tc>
          <w:tcPr>
            <w:tcW w:type="dxa" w:w="1395"/>
          </w:tcPr>
          <w:p>
            <w:pPr>
              <w:pStyle w:val="MDPI42tablebody"/>
              <w:keepNext/>
              <w:spacing w:line="240" w:lineRule="auto" w:before="30" w:after="30"/>
              <w:jc w:val="center"/>
            </w:pPr>
            <w:r>
              <w:rPr>
                <w:b w:val="0"/>
                <w:i w:val="0"/>
                <w:sz w:val="14"/>
              </w:rPr>
              <w:t>0.649***</w:t>
            </w:r>
          </w:p>
        </w:tc>
        <w:tc>
          <w:tcPr>
            <w:tcW w:type="dxa" w:w="1395"/>
          </w:tcPr>
          <w:p>
            <w:pPr>
              <w:pStyle w:val="MDPI42tablebody"/>
              <w:keepNext/>
              <w:spacing w:line="240" w:lineRule="auto" w:before="30" w:after="30"/>
              <w:jc w:val="center"/>
            </w:pPr>
            <w:r>
              <w:rPr>
                <w:b w:val="0"/>
                <w:i w:val="0"/>
                <w:sz w:val="14"/>
              </w:rPr>
              <w:t>0.647***</w:t>
            </w:r>
          </w:p>
        </w:tc>
      </w:tr>
      <w:tr>
        <w:trPr>
          <w:cantSplit/>
        </w:trPr>
        <w:tc>
          <w:tcPr>
            <w:tcW w:type="dxa" w:w="2093"/>
          </w:tcPr>
          <w:p>
            <w:pPr>
              <w:pStyle w:val="MDPI42tablebody"/>
              <w:keepNext/>
              <w:spacing w:line="240" w:lineRule="auto" w:before="30" w:after="30"/>
              <w:jc w:val="left"/>
            </w:pPr>
          </w:p>
        </w:tc>
        <w:tc>
          <w:tcPr>
            <w:tcW w:type="dxa" w:w="1395"/>
          </w:tcPr>
          <w:p>
            <w:pPr>
              <w:pStyle w:val="MDPI42tablebody"/>
              <w:keepNext/>
              <w:spacing w:line="240" w:lineRule="auto" w:before="30" w:after="30"/>
              <w:jc w:val="center"/>
            </w:pPr>
            <w:r>
              <w:rPr>
                <w:b w:val="0"/>
                <w:i w:val="0"/>
                <w:sz w:val="14"/>
              </w:rPr>
              <w:t>(0.044)</w:t>
            </w:r>
          </w:p>
        </w:tc>
        <w:tc>
          <w:tcPr>
            <w:tcW w:type="dxa" w:w="1395"/>
          </w:tcPr>
          <w:p>
            <w:pPr>
              <w:pStyle w:val="MDPI42tablebody"/>
              <w:keepNext/>
              <w:spacing w:line="240" w:lineRule="auto" w:before="30" w:after="30"/>
              <w:jc w:val="center"/>
            </w:pPr>
            <w:r>
              <w:rPr>
                <w:b w:val="0"/>
                <w:i w:val="0"/>
                <w:sz w:val="14"/>
              </w:rPr>
              <w:t>(0.004)</w:t>
            </w:r>
          </w:p>
        </w:tc>
        <w:tc>
          <w:tcPr>
            <w:tcW w:type="dxa" w:w="1395"/>
          </w:tcPr>
          <w:p>
            <w:pPr>
              <w:pStyle w:val="MDPI42tablebody"/>
              <w:keepNext/>
              <w:spacing w:line="240" w:lineRule="auto" w:before="30" w:after="30"/>
              <w:jc w:val="center"/>
            </w:pPr>
            <w:r>
              <w:rPr>
                <w:b w:val="0"/>
                <w:i w:val="0"/>
                <w:sz w:val="14"/>
              </w:rPr>
              <w:t>(0.044)</w:t>
            </w:r>
          </w:p>
        </w:tc>
        <w:tc>
          <w:tcPr>
            <w:tcW w:type="dxa" w:w="1395"/>
          </w:tcPr>
          <w:p>
            <w:pPr>
              <w:pStyle w:val="MDPI42tablebody"/>
              <w:keepNext/>
              <w:spacing w:line="240" w:lineRule="auto" w:before="30" w:after="30"/>
              <w:jc w:val="center"/>
            </w:pPr>
            <w:r>
              <w:rPr>
                <w:b w:val="0"/>
                <w:i w:val="0"/>
                <w:sz w:val="14"/>
              </w:rPr>
              <w:t>(0.056)</w:t>
            </w:r>
          </w:p>
        </w:tc>
        <w:tc>
          <w:tcPr>
            <w:tcW w:type="dxa" w:w="1395"/>
          </w:tcPr>
          <w:p>
            <w:pPr>
              <w:pStyle w:val="MDPI42tablebody"/>
              <w:keepNext/>
              <w:spacing w:line="240" w:lineRule="auto" w:before="30" w:after="30"/>
              <w:jc w:val="center"/>
            </w:pPr>
            <w:r>
              <w:rPr>
                <w:b w:val="0"/>
                <w:i w:val="0"/>
                <w:sz w:val="14"/>
              </w:rPr>
              <w:t>(0.043)</w:t>
            </w:r>
          </w:p>
        </w:tc>
        <w:tc>
          <w:tcPr>
            <w:tcW w:type="dxa" w:w="1395"/>
          </w:tcPr>
          <w:p>
            <w:pPr>
              <w:pStyle w:val="MDPI42tablebody"/>
              <w:keepNext/>
              <w:spacing w:line="240" w:lineRule="auto" w:before="30" w:after="30"/>
              <w:jc w:val="center"/>
            </w:pPr>
            <w:r>
              <w:rPr>
                <w:b w:val="0"/>
                <w:i w:val="0"/>
                <w:sz w:val="14"/>
              </w:rPr>
              <w:t>(0.043)</w:t>
            </w:r>
          </w:p>
        </w:tc>
      </w:tr>
      <w:tr>
        <w:trPr>
          <w:cantSplit/>
        </w:trPr>
        <w:tc>
          <w:tcPr>
            <w:tcW w:type="dxa" w:w="2093"/>
          </w:tcPr>
          <w:p>
            <w:pPr>
              <w:pStyle w:val="MDPI42tablebody"/>
              <w:keepNext/>
              <w:spacing w:line="240" w:lineRule="auto" w:before="30" w:after="30"/>
              <w:jc w:val="left"/>
            </w:pPr>
            <w:r>
              <w:rPr>
                <w:b w:val="0"/>
                <w:i/>
                <w:sz w:val="14"/>
              </w:rPr>
              <w:t>Top1</w:t>
            </w:r>
          </w:p>
        </w:tc>
        <w:tc>
          <w:tcPr>
            <w:tcW w:type="dxa" w:w="1395"/>
          </w:tcPr>
          <w:p>
            <w:pPr>
              <w:pStyle w:val="MDPI42tablebody"/>
              <w:keepNext/>
              <w:spacing w:line="240" w:lineRule="auto" w:before="30" w:after="30"/>
              <w:jc w:val="center"/>
            </w:pPr>
            <w:r>
              <w:rPr>
                <w:b w:val="0"/>
                <w:i w:val="0"/>
                <w:sz w:val="14"/>
              </w:rPr>
              <w:t>3.467*</w:t>
            </w:r>
          </w:p>
        </w:tc>
        <w:tc>
          <w:tcPr>
            <w:tcW w:type="dxa" w:w="1395"/>
          </w:tcPr>
          <w:p>
            <w:pPr>
              <w:pStyle w:val="MDPI42tablebody"/>
              <w:keepNext/>
              <w:spacing w:line="240" w:lineRule="auto" w:before="30" w:after="30"/>
              <w:jc w:val="center"/>
            </w:pPr>
            <w:r>
              <w:rPr>
                <w:b w:val="0"/>
                <w:i w:val="0"/>
                <w:sz w:val="14"/>
              </w:rPr>
              <w:t>−0.067</w:t>
            </w:r>
          </w:p>
        </w:tc>
        <w:tc>
          <w:tcPr>
            <w:tcW w:type="dxa" w:w="1395"/>
          </w:tcPr>
          <w:p>
            <w:pPr>
              <w:pStyle w:val="MDPI42tablebody"/>
              <w:keepNext/>
              <w:spacing w:line="240" w:lineRule="auto" w:before="30" w:after="30"/>
              <w:jc w:val="center"/>
            </w:pPr>
            <w:r>
              <w:rPr>
                <w:b w:val="0"/>
                <w:i w:val="0"/>
                <w:sz w:val="14"/>
              </w:rPr>
              <w:t>3.513*</w:t>
            </w:r>
          </w:p>
        </w:tc>
        <w:tc>
          <w:tcPr>
            <w:tcW w:type="dxa" w:w="1395"/>
          </w:tcPr>
          <w:p>
            <w:pPr>
              <w:pStyle w:val="MDPI42tablebody"/>
              <w:keepNext/>
              <w:spacing w:line="240" w:lineRule="auto" w:before="30" w:after="30"/>
              <w:jc w:val="center"/>
            </w:pPr>
            <w:r>
              <w:rPr>
                <w:b w:val="0"/>
                <w:i w:val="0"/>
                <w:sz w:val="14"/>
              </w:rPr>
              <w:t>2.924</w:t>
            </w:r>
          </w:p>
        </w:tc>
        <w:tc>
          <w:tcPr>
            <w:tcW w:type="dxa" w:w="1395"/>
          </w:tcPr>
          <w:p>
            <w:pPr>
              <w:pStyle w:val="MDPI42tablebody"/>
              <w:keepNext/>
              <w:spacing w:line="240" w:lineRule="auto" w:before="30" w:after="30"/>
              <w:jc w:val="center"/>
            </w:pPr>
            <w:r>
              <w:rPr>
                <w:b w:val="0"/>
                <w:i w:val="0"/>
                <w:sz w:val="14"/>
              </w:rPr>
              <w:t>3.080*</w:t>
            </w:r>
          </w:p>
        </w:tc>
        <w:tc>
          <w:tcPr>
            <w:tcW w:type="dxa" w:w="1395"/>
          </w:tcPr>
          <w:p>
            <w:pPr>
              <w:pStyle w:val="MDPI42tablebody"/>
              <w:keepNext/>
              <w:spacing w:line="240" w:lineRule="auto" w:before="30" w:after="30"/>
              <w:jc w:val="center"/>
            </w:pPr>
            <w:r>
              <w:rPr>
                <w:b w:val="0"/>
                <w:i w:val="0"/>
                <w:sz w:val="14"/>
              </w:rPr>
              <w:t>3.126*</w:t>
            </w:r>
          </w:p>
        </w:tc>
      </w:tr>
      <w:tr>
        <w:trPr>
          <w:cantSplit/>
        </w:trPr>
        <w:tc>
          <w:tcPr>
            <w:tcW w:type="dxa" w:w="2093"/>
          </w:tcPr>
          <w:p>
            <w:pPr>
              <w:pStyle w:val="MDPI42tablebody"/>
              <w:keepNext/>
              <w:spacing w:line="240" w:lineRule="auto" w:before="30" w:after="30"/>
              <w:jc w:val="left"/>
            </w:pPr>
          </w:p>
        </w:tc>
        <w:tc>
          <w:tcPr>
            <w:tcW w:type="dxa" w:w="1395"/>
          </w:tcPr>
          <w:p>
            <w:pPr>
              <w:pStyle w:val="MDPI42tablebody"/>
              <w:keepNext/>
              <w:spacing w:line="240" w:lineRule="auto" w:before="30" w:after="30"/>
              <w:jc w:val="center"/>
            </w:pPr>
            <w:r>
              <w:rPr>
                <w:b w:val="0"/>
                <w:i w:val="0"/>
                <w:sz w:val="14"/>
              </w:rPr>
              <w:t>(1.888)</w:t>
            </w:r>
          </w:p>
        </w:tc>
        <w:tc>
          <w:tcPr>
            <w:tcW w:type="dxa" w:w="1395"/>
          </w:tcPr>
          <w:p>
            <w:pPr>
              <w:pStyle w:val="MDPI42tablebody"/>
              <w:keepNext/>
              <w:spacing w:line="240" w:lineRule="auto" w:before="30" w:after="30"/>
              <w:jc w:val="center"/>
            </w:pPr>
            <w:r>
              <w:rPr>
                <w:b w:val="0"/>
                <w:i w:val="0"/>
                <w:sz w:val="14"/>
              </w:rPr>
              <w:t>(0.185)</w:t>
            </w:r>
          </w:p>
        </w:tc>
        <w:tc>
          <w:tcPr>
            <w:tcW w:type="dxa" w:w="1395"/>
          </w:tcPr>
          <w:p>
            <w:pPr>
              <w:pStyle w:val="MDPI42tablebody"/>
              <w:keepNext/>
              <w:spacing w:line="240" w:lineRule="auto" w:before="30" w:after="30"/>
              <w:jc w:val="center"/>
            </w:pPr>
            <w:r>
              <w:rPr>
                <w:b w:val="0"/>
                <w:i w:val="0"/>
                <w:sz w:val="14"/>
              </w:rPr>
              <w:t>(1.881)</w:t>
            </w:r>
          </w:p>
        </w:tc>
        <w:tc>
          <w:tcPr>
            <w:tcW w:type="dxa" w:w="1395"/>
          </w:tcPr>
          <w:p>
            <w:pPr>
              <w:pStyle w:val="MDPI42tablebody"/>
              <w:keepNext/>
              <w:spacing w:line="240" w:lineRule="auto" w:before="30" w:after="30"/>
              <w:jc w:val="center"/>
            </w:pPr>
            <w:r>
              <w:rPr>
                <w:b w:val="0"/>
                <w:i w:val="0"/>
                <w:sz w:val="14"/>
              </w:rPr>
              <w:t>(2.276)</w:t>
            </w:r>
          </w:p>
        </w:tc>
        <w:tc>
          <w:tcPr>
            <w:tcW w:type="dxa" w:w="1395"/>
          </w:tcPr>
          <w:p>
            <w:pPr>
              <w:pStyle w:val="MDPI42tablebody"/>
              <w:keepNext/>
              <w:spacing w:line="240" w:lineRule="auto" w:before="30" w:after="30"/>
              <w:jc w:val="center"/>
            </w:pPr>
            <w:r>
              <w:rPr>
                <w:b w:val="0"/>
                <w:i w:val="0"/>
                <w:sz w:val="14"/>
              </w:rPr>
              <w:t>(1.865)</w:t>
            </w:r>
          </w:p>
        </w:tc>
        <w:tc>
          <w:tcPr>
            <w:tcW w:type="dxa" w:w="1395"/>
          </w:tcPr>
          <w:p>
            <w:pPr>
              <w:pStyle w:val="MDPI42tablebody"/>
              <w:keepNext/>
              <w:spacing w:line="240" w:lineRule="auto" w:before="30" w:after="30"/>
              <w:jc w:val="center"/>
            </w:pPr>
            <w:r>
              <w:rPr>
                <w:b w:val="0"/>
                <w:i w:val="0"/>
                <w:sz w:val="14"/>
              </w:rPr>
              <w:t>(1.858)</w:t>
            </w:r>
          </w:p>
        </w:tc>
      </w:tr>
      <w:tr>
        <w:trPr>
          <w:cantSplit/>
        </w:trPr>
        <w:tc>
          <w:tcPr>
            <w:tcW w:type="dxa" w:w="2093"/>
          </w:tcPr>
          <w:p>
            <w:pPr>
              <w:pStyle w:val="MDPI42tablebody"/>
              <w:keepNext/>
              <w:spacing w:line="240" w:lineRule="auto" w:before="30" w:after="30"/>
              <w:jc w:val="left"/>
            </w:pPr>
            <w:r>
              <w:rPr>
                <w:b w:val="0"/>
                <w:i/>
                <w:sz w:val="14"/>
              </w:rPr>
              <w:t>Indep</w:t>
            </w:r>
          </w:p>
        </w:tc>
        <w:tc>
          <w:tcPr>
            <w:tcW w:type="dxa" w:w="1395"/>
          </w:tcPr>
          <w:p>
            <w:pPr>
              <w:pStyle w:val="MDPI42tablebody"/>
              <w:keepNext/>
              <w:spacing w:line="240" w:lineRule="auto" w:before="30" w:after="30"/>
              <w:jc w:val="center"/>
            </w:pPr>
            <w:r>
              <w:rPr>
                <w:b w:val="0"/>
                <w:i w:val="0"/>
                <w:sz w:val="14"/>
              </w:rPr>
              <w:t>−0.787</w:t>
            </w:r>
          </w:p>
        </w:tc>
        <w:tc>
          <w:tcPr>
            <w:tcW w:type="dxa" w:w="1395"/>
          </w:tcPr>
          <w:p>
            <w:pPr>
              <w:pStyle w:val="MDPI42tablebody"/>
              <w:keepNext/>
              <w:spacing w:line="240" w:lineRule="auto" w:before="30" w:after="30"/>
              <w:jc w:val="center"/>
            </w:pPr>
            <w:r>
              <w:rPr>
                <w:b w:val="0"/>
                <w:i w:val="0"/>
                <w:sz w:val="14"/>
              </w:rPr>
              <w:t>−0.393</w:t>
            </w:r>
          </w:p>
        </w:tc>
        <w:tc>
          <w:tcPr>
            <w:tcW w:type="dxa" w:w="1395"/>
          </w:tcPr>
          <w:p>
            <w:pPr>
              <w:pStyle w:val="MDPI42tablebody"/>
              <w:keepNext/>
              <w:spacing w:line="240" w:lineRule="auto" w:before="30" w:after="30"/>
              <w:jc w:val="center"/>
            </w:pPr>
            <w:r>
              <w:rPr>
                <w:b w:val="0"/>
                <w:i w:val="0"/>
                <w:sz w:val="14"/>
              </w:rPr>
              <w:t>−0.512</w:t>
            </w:r>
          </w:p>
        </w:tc>
        <w:tc>
          <w:tcPr>
            <w:tcW w:type="dxa" w:w="1395"/>
          </w:tcPr>
          <w:p>
            <w:pPr>
              <w:pStyle w:val="MDPI42tablebody"/>
              <w:keepNext/>
              <w:spacing w:line="240" w:lineRule="auto" w:before="30" w:after="30"/>
              <w:jc w:val="center"/>
            </w:pPr>
            <w:r>
              <w:rPr>
                <w:b w:val="0"/>
                <w:i w:val="0"/>
                <w:sz w:val="14"/>
              </w:rPr>
              <w:t>−3.172</w:t>
            </w:r>
          </w:p>
        </w:tc>
        <w:tc>
          <w:tcPr>
            <w:tcW w:type="dxa" w:w="1395"/>
          </w:tcPr>
          <w:p>
            <w:pPr>
              <w:pStyle w:val="MDPI42tablebody"/>
              <w:keepNext/>
              <w:spacing w:line="240" w:lineRule="auto" w:before="30" w:after="30"/>
              <w:jc w:val="center"/>
            </w:pPr>
            <w:r>
              <w:rPr>
                <w:b w:val="0"/>
                <w:i w:val="0"/>
                <w:sz w:val="14"/>
              </w:rPr>
              <w:t>−0.367</w:t>
            </w:r>
          </w:p>
        </w:tc>
        <w:tc>
          <w:tcPr>
            <w:tcW w:type="dxa" w:w="1395"/>
          </w:tcPr>
          <w:p>
            <w:pPr>
              <w:pStyle w:val="MDPI42tablebody"/>
              <w:keepNext/>
              <w:spacing w:line="240" w:lineRule="auto" w:before="30" w:after="30"/>
              <w:jc w:val="center"/>
            </w:pPr>
            <w:r>
              <w:rPr>
                <w:b w:val="0"/>
                <w:i w:val="0"/>
                <w:sz w:val="14"/>
              </w:rPr>
              <w:t>−0.084</w:t>
            </w:r>
          </w:p>
        </w:tc>
      </w:tr>
      <w:tr>
        <w:trPr>
          <w:cantSplit/>
        </w:trPr>
        <w:tc>
          <w:tcPr>
            <w:tcW w:type="dxa" w:w="2093"/>
          </w:tcPr>
          <w:p>
            <w:pPr>
              <w:pStyle w:val="MDPI42tablebody"/>
              <w:keepNext/>
              <w:spacing w:line="240" w:lineRule="auto" w:before="30" w:after="30"/>
              <w:jc w:val="left"/>
            </w:pPr>
          </w:p>
        </w:tc>
        <w:tc>
          <w:tcPr>
            <w:tcW w:type="dxa" w:w="1395"/>
          </w:tcPr>
          <w:p>
            <w:pPr>
              <w:pStyle w:val="MDPI42tablebody"/>
              <w:keepNext/>
              <w:spacing w:line="240" w:lineRule="auto" w:before="30" w:after="30"/>
              <w:jc w:val="center"/>
            </w:pPr>
            <w:r>
              <w:rPr>
                <w:b w:val="0"/>
                <w:i w:val="0"/>
                <w:sz w:val="14"/>
              </w:rPr>
              <w:t>(2.812)</w:t>
            </w:r>
          </w:p>
        </w:tc>
        <w:tc>
          <w:tcPr>
            <w:tcW w:type="dxa" w:w="1395"/>
          </w:tcPr>
          <w:p>
            <w:pPr>
              <w:pStyle w:val="MDPI42tablebody"/>
              <w:keepNext/>
              <w:spacing w:line="240" w:lineRule="auto" w:before="30" w:after="30"/>
              <w:jc w:val="center"/>
            </w:pPr>
            <w:r>
              <w:rPr>
                <w:b w:val="0"/>
                <w:i w:val="0"/>
                <w:sz w:val="14"/>
              </w:rPr>
              <w:t>(0.278)</w:t>
            </w:r>
          </w:p>
        </w:tc>
        <w:tc>
          <w:tcPr>
            <w:tcW w:type="dxa" w:w="1395"/>
          </w:tcPr>
          <w:p>
            <w:pPr>
              <w:pStyle w:val="MDPI42tablebody"/>
              <w:keepNext/>
              <w:spacing w:line="240" w:lineRule="auto" w:before="30" w:after="30"/>
              <w:jc w:val="center"/>
            </w:pPr>
            <w:r>
              <w:rPr>
                <w:b w:val="0"/>
                <w:i w:val="0"/>
                <w:sz w:val="14"/>
              </w:rPr>
              <w:t>(2.806)</w:t>
            </w:r>
          </w:p>
        </w:tc>
        <w:tc>
          <w:tcPr>
            <w:tcW w:type="dxa" w:w="1395"/>
          </w:tcPr>
          <w:p>
            <w:pPr>
              <w:pStyle w:val="MDPI42tablebody"/>
              <w:keepNext/>
              <w:spacing w:line="240" w:lineRule="auto" w:before="30" w:after="30"/>
              <w:jc w:val="center"/>
            </w:pPr>
            <w:r>
              <w:rPr>
                <w:b w:val="0"/>
                <w:i w:val="0"/>
                <w:sz w:val="14"/>
              </w:rPr>
              <w:t>(3.589)</w:t>
            </w:r>
          </w:p>
        </w:tc>
        <w:tc>
          <w:tcPr>
            <w:tcW w:type="dxa" w:w="1395"/>
          </w:tcPr>
          <w:p>
            <w:pPr>
              <w:pStyle w:val="MDPI42tablebody"/>
              <w:keepNext/>
              <w:spacing w:line="240" w:lineRule="auto" w:before="30" w:after="30"/>
              <w:jc w:val="center"/>
            </w:pPr>
            <w:r>
              <w:rPr>
                <w:b w:val="0"/>
                <w:i w:val="0"/>
                <w:sz w:val="14"/>
              </w:rPr>
              <w:t>(2.782)</w:t>
            </w:r>
          </w:p>
        </w:tc>
        <w:tc>
          <w:tcPr>
            <w:tcW w:type="dxa" w:w="1395"/>
          </w:tcPr>
          <w:p>
            <w:pPr>
              <w:pStyle w:val="MDPI42tablebody"/>
              <w:keepNext/>
              <w:spacing w:line="240" w:lineRule="auto" w:before="30" w:after="30"/>
              <w:jc w:val="center"/>
            </w:pPr>
            <w:r>
              <w:rPr>
                <w:b w:val="0"/>
                <w:i w:val="0"/>
                <w:sz w:val="14"/>
              </w:rPr>
              <w:t>(2.776)</w:t>
            </w:r>
          </w:p>
        </w:tc>
      </w:tr>
      <w:tr>
        <w:trPr>
          <w:cantSplit/>
        </w:trPr>
        <w:tc>
          <w:tcPr>
            <w:tcW w:type="dxa" w:w="2093"/>
          </w:tcPr>
          <w:p>
            <w:pPr>
              <w:pStyle w:val="MDPI42tablebody"/>
              <w:keepNext/>
              <w:spacing w:line="240" w:lineRule="auto" w:before="30" w:after="30"/>
              <w:jc w:val="left"/>
            </w:pPr>
            <w:r>
              <w:rPr>
                <w:b w:val="0"/>
                <w:i/>
                <w:sz w:val="14"/>
              </w:rPr>
              <w:t>Dual</w:t>
            </w:r>
          </w:p>
        </w:tc>
        <w:tc>
          <w:tcPr>
            <w:tcW w:type="dxa" w:w="1395"/>
          </w:tcPr>
          <w:p>
            <w:pPr>
              <w:pStyle w:val="MDPI42tablebody"/>
              <w:keepNext/>
              <w:spacing w:line="240" w:lineRule="auto" w:before="30" w:after="30"/>
              <w:jc w:val="center"/>
            </w:pPr>
            <w:r>
              <w:rPr>
                <w:b w:val="0"/>
                <w:i w:val="0"/>
                <w:sz w:val="14"/>
              </w:rPr>
              <w:t>−0.258*</w:t>
            </w:r>
          </w:p>
        </w:tc>
        <w:tc>
          <w:tcPr>
            <w:tcW w:type="dxa" w:w="1395"/>
          </w:tcPr>
          <w:p>
            <w:pPr>
              <w:pStyle w:val="MDPI42tablebody"/>
              <w:keepNext/>
              <w:spacing w:line="240" w:lineRule="auto" w:before="30" w:after="30"/>
              <w:jc w:val="center"/>
            </w:pPr>
            <w:r>
              <w:rPr>
                <w:b w:val="0"/>
                <w:i w:val="0"/>
                <w:sz w:val="14"/>
              </w:rPr>
              <w:t>−0.010</w:t>
            </w:r>
          </w:p>
        </w:tc>
        <w:tc>
          <w:tcPr>
            <w:tcW w:type="dxa" w:w="1395"/>
          </w:tcPr>
          <w:p>
            <w:pPr>
              <w:pStyle w:val="MDPI42tablebody"/>
              <w:keepNext/>
              <w:spacing w:line="240" w:lineRule="auto" w:before="30" w:after="30"/>
              <w:jc w:val="center"/>
            </w:pPr>
            <w:r>
              <w:rPr>
                <w:b w:val="0"/>
                <w:i w:val="0"/>
                <w:sz w:val="14"/>
              </w:rPr>
              <w:t>−0.251*</w:t>
            </w:r>
          </w:p>
        </w:tc>
        <w:tc>
          <w:tcPr>
            <w:tcW w:type="dxa" w:w="1395"/>
          </w:tcPr>
          <w:p>
            <w:pPr>
              <w:pStyle w:val="MDPI42tablebody"/>
              <w:keepNext/>
              <w:spacing w:line="240" w:lineRule="auto" w:before="30" w:after="30"/>
              <w:jc w:val="center"/>
            </w:pPr>
            <w:r>
              <w:rPr>
                <w:b w:val="0"/>
                <w:i w:val="0"/>
                <w:sz w:val="14"/>
              </w:rPr>
              <w:t>0.016</w:t>
            </w:r>
          </w:p>
        </w:tc>
        <w:tc>
          <w:tcPr>
            <w:tcW w:type="dxa" w:w="1395"/>
          </w:tcPr>
          <w:p>
            <w:pPr>
              <w:pStyle w:val="MDPI42tablebody"/>
              <w:keepNext/>
              <w:spacing w:line="240" w:lineRule="auto" w:before="30" w:after="30"/>
              <w:jc w:val="center"/>
            </w:pPr>
            <w:r>
              <w:rPr>
                <w:b w:val="0"/>
                <w:i w:val="0"/>
                <w:sz w:val="14"/>
              </w:rPr>
              <w:t>−0.260*</w:t>
            </w:r>
          </w:p>
        </w:tc>
        <w:tc>
          <w:tcPr>
            <w:tcW w:type="dxa" w:w="1395"/>
          </w:tcPr>
          <w:p>
            <w:pPr>
              <w:pStyle w:val="MDPI42tablebody"/>
              <w:keepNext/>
              <w:spacing w:line="240" w:lineRule="auto" w:before="30" w:after="30"/>
              <w:jc w:val="center"/>
            </w:pPr>
            <w:r>
              <w:rPr>
                <w:b w:val="0"/>
                <w:i w:val="0"/>
                <w:sz w:val="14"/>
              </w:rPr>
              <w:t>−0.253*</w:t>
            </w:r>
          </w:p>
        </w:tc>
      </w:tr>
      <w:tr>
        <w:trPr>
          <w:cantSplit/>
        </w:trPr>
        <w:tc>
          <w:tcPr>
            <w:tcW w:type="dxa" w:w="2093"/>
          </w:tcPr>
          <w:p>
            <w:pPr>
              <w:pStyle w:val="MDPI42tablebody"/>
              <w:keepNext/>
              <w:spacing w:line="240" w:lineRule="auto" w:before="30" w:after="30"/>
              <w:jc w:val="left"/>
            </w:pPr>
          </w:p>
        </w:tc>
        <w:tc>
          <w:tcPr>
            <w:tcW w:type="dxa" w:w="1395"/>
          </w:tcPr>
          <w:p>
            <w:pPr>
              <w:pStyle w:val="MDPI42tablebody"/>
              <w:keepNext/>
              <w:spacing w:line="240" w:lineRule="auto" w:before="30" w:after="30"/>
              <w:jc w:val="center"/>
            </w:pPr>
            <w:r>
              <w:rPr>
                <w:b w:val="0"/>
                <w:i w:val="0"/>
                <w:sz w:val="14"/>
              </w:rPr>
              <w:t>(0.135)</w:t>
            </w:r>
          </w:p>
        </w:tc>
        <w:tc>
          <w:tcPr>
            <w:tcW w:type="dxa" w:w="1395"/>
          </w:tcPr>
          <w:p>
            <w:pPr>
              <w:pStyle w:val="MDPI42tablebody"/>
              <w:keepNext/>
              <w:spacing w:line="240" w:lineRule="auto" w:before="30" w:after="30"/>
              <w:jc w:val="center"/>
            </w:pPr>
            <w:r>
              <w:rPr>
                <w:b w:val="0"/>
                <w:i w:val="0"/>
                <w:sz w:val="14"/>
              </w:rPr>
              <w:t>(0.014)</w:t>
            </w:r>
          </w:p>
        </w:tc>
        <w:tc>
          <w:tcPr>
            <w:tcW w:type="dxa" w:w="1395"/>
          </w:tcPr>
          <w:p>
            <w:pPr>
              <w:pStyle w:val="MDPI42tablebody"/>
              <w:keepNext/>
              <w:spacing w:line="240" w:lineRule="auto" w:before="30" w:after="30"/>
              <w:jc w:val="center"/>
            </w:pPr>
            <w:r>
              <w:rPr>
                <w:b w:val="0"/>
                <w:i w:val="0"/>
                <w:sz w:val="14"/>
              </w:rPr>
              <w:t>(0.135)</w:t>
            </w:r>
          </w:p>
        </w:tc>
        <w:tc>
          <w:tcPr>
            <w:tcW w:type="dxa" w:w="1395"/>
          </w:tcPr>
          <w:p>
            <w:pPr>
              <w:pStyle w:val="MDPI42tablebody"/>
              <w:keepNext/>
              <w:spacing w:line="240" w:lineRule="auto" w:before="30" w:after="30"/>
              <w:jc w:val="center"/>
            </w:pPr>
            <w:r>
              <w:rPr>
                <w:b w:val="0"/>
                <w:i w:val="0"/>
                <w:sz w:val="14"/>
              </w:rPr>
              <w:t>(0.174)</w:t>
            </w:r>
          </w:p>
        </w:tc>
        <w:tc>
          <w:tcPr>
            <w:tcW w:type="dxa" w:w="1395"/>
          </w:tcPr>
          <w:p>
            <w:pPr>
              <w:pStyle w:val="MDPI42tablebody"/>
              <w:keepNext/>
              <w:spacing w:line="240" w:lineRule="auto" w:before="30" w:after="30"/>
              <w:jc w:val="center"/>
            </w:pPr>
            <w:r>
              <w:rPr>
                <w:b w:val="0"/>
                <w:i w:val="0"/>
                <w:sz w:val="14"/>
              </w:rPr>
              <w:t>(0.133)</w:t>
            </w:r>
          </w:p>
        </w:tc>
        <w:tc>
          <w:tcPr>
            <w:tcW w:type="dxa" w:w="1395"/>
          </w:tcPr>
          <w:p>
            <w:pPr>
              <w:pStyle w:val="MDPI42tablebody"/>
              <w:keepNext/>
              <w:spacing w:line="240" w:lineRule="auto" w:before="30" w:after="30"/>
              <w:jc w:val="center"/>
            </w:pPr>
            <w:r>
              <w:rPr>
                <w:b w:val="0"/>
                <w:i w:val="0"/>
                <w:sz w:val="14"/>
              </w:rPr>
              <w:t>(0.133)</w:t>
            </w:r>
          </w:p>
        </w:tc>
      </w:tr>
      <w:tr>
        <w:trPr>
          <w:cantSplit/>
        </w:trPr>
        <w:tc>
          <w:tcPr>
            <w:tcW w:type="dxa" w:w="2093"/>
          </w:tcPr>
          <w:p>
            <w:pPr>
              <w:pStyle w:val="MDPI42tablebody"/>
              <w:keepNext/>
              <w:spacing w:line="240" w:lineRule="auto" w:before="30" w:after="30"/>
              <w:jc w:val="left"/>
            </w:pPr>
            <w:r>
              <w:rPr>
                <w:b w:val="0"/>
                <w:i/>
                <w:sz w:val="14"/>
              </w:rPr>
              <w:t>Board</w:t>
            </w:r>
          </w:p>
        </w:tc>
        <w:tc>
          <w:tcPr>
            <w:tcW w:type="dxa" w:w="1395"/>
          </w:tcPr>
          <w:p>
            <w:pPr>
              <w:pStyle w:val="MDPI42tablebody"/>
              <w:keepNext/>
              <w:spacing w:line="240" w:lineRule="auto" w:before="30" w:after="30"/>
              <w:jc w:val="center"/>
            </w:pPr>
            <w:r>
              <w:rPr>
                <w:b w:val="0"/>
                <w:i w:val="0"/>
                <w:sz w:val="14"/>
              </w:rPr>
              <w:t>−0.395</w:t>
            </w:r>
          </w:p>
        </w:tc>
        <w:tc>
          <w:tcPr>
            <w:tcW w:type="dxa" w:w="1395"/>
          </w:tcPr>
          <w:p>
            <w:pPr>
              <w:pStyle w:val="MDPI42tablebody"/>
              <w:keepNext/>
              <w:spacing w:line="240" w:lineRule="auto" w:before="30" w:after="30"/>
              <w:jc w:val="center"/>
            </w:pPr>
            <w:r>
              <w:rPr>
                <w:b w:val="0"/>
                <w:i w:val="0"/>
                <w:sz w:val="14"/>
              </w:rPr>
              <w:t>−0.066</w:t>
            </w:r>
          </w:p>
        </w:tc>
        <w:tc>
          <w:tcPr>
            <w:tcW w:type="dxa" w:w="1395"/>
          </w:tcPr>
          <w:p>
            <w:pPr>
              <w:pStyle w:val="MDPI42tablebody"/>
              <w:keepNext/>
              <w:spacing w:line="240" w:lineRule="auto" w:before="30" w:after="30"/>
              <w:jc w:val="center"/>
            </w:pPr>
            <w:r>
              <w:rPr>
                <w:b w:val="0"/>
                <w:i w:val="0"/>
                <w:sz w:val="14"/>
              </w:rPr>
              <w:t>−0.349</w:t>
            </w:r>
          </w:p>
        </w:tc>
        <w:tc>
          <w:tcPr>
            <w:tcW w:type="dxa" w:w="1395"/>
          </w:tcPr>
          <w:p>
            <w:pPr>
              <w:pStyle w:val="MDPI42tablebody"/>
              <w:keepNext/>
              <w:spacing w:line="240" w:lineRule="auto" w:before="30" w:after="30"/>
              <w:jc w:val="center"/>
            </w:pPr>
            <w:r>
              <w:rPr>
                <w:b w:val="0"/>
                <w:i w:val="0"/>
                <w:sz w:val="14"/>
              </w:rPr>
              <w:t>0.916</w:t>
            </w:r>
          </w:p>
        </w:tc>
        <w:tc>
          <w:tcPr>
            <w:tcW w:type="dxa" w:w="1395"/>
          </w:tcPr>
          <w:p>
            <w:pPr>
              <w:pStyle w:val="MDPI42tablebody"/>
              <w:keepNext/>
              <w:spacing w:line="240" w:lineRule="auto" w:before="30" w:after="30"/>
              <w:jc w:val="center"/>
            </w:pPr>
            <w:r>
              <w:rPr>
                <w:b w:val="0"/>
                <w:i w:val="0"/>
                <w:sz w:val="14"/>
              </w:rPr>
              <w:t>−0.517</w:t>
            </w:r>
          </w:p>
        </w:tc>
        <w:tc>
          <w:tcPr>
            <w:tcW w:type="dxa" w:w="1395"/>
          </w:tcPr>
          <w:p>
            <w:pPr>
              <w:pStyle w:val="MDPI42tablebody"/>
              <w:keepNext/>
              <w:spacing w:line="240" w:lineRule="auto" w:before="30" w:after="30"/>
              <w:jc w:val="center"/>
            </w:pPr>
            <w:r>
              <w:rPr>
                <w:b w:val="0"/>
                <w:i w:val="0"/>
                <w:sz w:val="14"/>
              </w:rPr>
              <w:t>−0.470</w:t>
            </w:r>
          </w:p>
        </w:tc>
      </w:tr>
      <w:tr>
        <w:trPr>
          <w:cantSplit/>
        </w:trPr>
        <w:tc>
          <w:tcPr>
            <w:tcW w:type="dxa" w:w="2093"/>
          </w:tcPr>
          <w:p>
            <w:pPr>
              <w:pStyle w:val="MDPI42tablebody"/>
              <w:keepNext/>
              <w:spacing w:line="240" w:lineRule="auto" w:before="30" w:after="30"/>
              <w:jc w:val="left"/>
            </w:pPr>
          </w:p>
        </w:tc>
        <w:tc>
          <w:tcPr>
            <w:tcW w:type="dxa" w:w="1395"/>
          </w:tcPr>
          <w:p>
            <w:pPr>
              <w:pStyle w:val="MDPI42tablebody"/>
              <w:keepNext/>
              <w:spacing w:line="240" w:lineRule="auto" w:before="30" w:after="30"/>
              <w:jc w:val="center"/>
            </w:pPr>
            <w:r>
              <w:rPr>
                <w:b w:val="0"/>
                <w:i w:val="0"/>
                <w:sz w:val="14"/>
              </w:rPr>
              <w:t>(0.862)</w:t>
            </w:r>
          </w:p>
        </w:tc>
        <w:tc>
          <w:tcPr>
            <w:tcW w:type="dxa" w:w="1395"/>
          </w:tcPr>
          <w:p>
            <w:pPr>
              <w:pStyle w:val="MDPI42tablebody"/>
              <w:keepNext/>
              <w:spacing w:line="240" w:lineRule="auto" w:before="30" w:after="30"/>
              <w:jc w:val="center"/>
            </w:pPr>
            <w:r>
              <w:rPr>
                <w:b w:val="0"/>
                <w:i w:val="0"/>
                <w:sz w:val="14"/>
              </w:rPr>
              <w:t>(0.087)</w:t>
            </w:r>
          </w:p>
        </w:tc>
        <w:tc>
          <w:tcPr>
            <w:tcW w:type="dxa" w:w="1395"/>
          </w:tcPr>
          <w:p>
            <w:pPr>
              <w:pStyle w:val="MDPI42tablebody"/>
              <w:keepNext/>
              <w:spacing w:line="240" w:lineRule="auto" w:before="30" w:after="30"/>
              <w:jc w:val="center"/>
            </w:pPr>
            <w:r>
              <w:rPr>
                <w:b w:val="0"/>
                <w:i w:val="0"/>
                <w:sz w:val="14"/>
              </w:rPr>
              <w:t>(0.860)</w:t>
            </w:r>
          </w:p>
        </w:tc>
        <w:tc>
          <w:tcPr>
            <w:tcW w:type="dxa" w:w="1395"/>
          </w:tcPr>
          <w:p>
            <w:pPr>
              <w:pStyle w:val="MDPI42tablebody"/>
              <w:keepNext/>
              <w:spacing w:line="240" w:lineRule="auto" w:before="30" w:after="30"/>
              <w:jc w:val="center"/>
            </w:pPr>
            <w:r>
              <w:rPr>
                <w:b w:val="0"/>
                <w:i w:val="0"/>
                <w:sz w:val="14"/>
              </w:rPr>
              <w:t>(1.105)</w:t>
            </w:r>
          </w:p>
        </w:tc>
        <w:tc>
          <w:tcPr>
            <w:tcW w:type="dxa" w:w="1395"/>
          </w:tcPr>
          <w:p>
            <w:pPr>
              <w:pStyle w:val="MDPI42tablebody"/>
              <w:keepNext/>
              <w:spacing w:line="240" w:lineRule="auto" w:before="30" w:after="30"/>
              <w:jc w:val="center"/>
            </w:pPr>
            <w:r>
              <w:rPr>
                <w:b w:val="0"/>
                <w:i w:val="0"/>
                <w:sz w:val="14"/>
              </w:rPr>
              <w:t>(0.850)</w:t>
            </w:r>
          </w:p>
        </w:tc>
        <w:tc>
          <w:tcPr>
            <w:tcW w:type="dxa" w:w="1395"/>
          </w:tcPr>
          <w:p>
            <w:pPr>
              <w:pStyle w:val="MDPI42tablebody"/>
              <w:keepNext/>
              <w:spacing w:line="240" w:lineRule="auto" w:before="30" w:after="30"/>
              <w:jc w:val="center"/>
            </w:pPr>
            <w:r>
              <w:rPr>
                <w:b w:val="0"/>
                <w:i w:val="0"/>
                <w:sz w:val="14"/>
              </w:rPr>
              <w:t>(0.847)</w:t>
            </w:r>
          </w:p>
        </w:tc>
      </w:tr>
      <w:tr>
        <w:trPr>
          <w:cantSplit/>
        </w:trPr>
        <w:tc>
          <w:tcPr>
            <w:tcW w:type="dxa" w:w="2093"/>
          </w:tcPr>
          <w:p>
            <w:pPr>
              <w:pStyle w:val="MDPI42tablebody"/>
              <w:keepNext/>
              <w:spacing w:line="240" w:lineRule="auto" w:before="30" w:after="30"/>
              <w:jc w:val="left"/>
            </w:pPr>
            <w:r>
              <w:rPr>
                <w:b w:val="0"/>
                <w:i/>
                <w:sz w:val="14"/>
              </w:rPr>
              <w:t>CapInt</w:t>
            </w:r>
          </w:p>
        </w:tc>
        <w:tc>
          <w:tcPr>
            <w:tcW w:type="dxa" w:w="1395"/>
          </w:tcPr>
          <w:p>
            <w:pPr>
              <w:pStyle w:val="MDPI42tablebody"/>
              <w:keepNext/>
              <w:spacing w:line="240" w:lineRule="auto" w:before="30" w:after="30"/>
              <w:jc w:val="center"/>
            </w:pPr>
            <w:r>
              <w:rPr>
                <w:b w:val="0"/>
                <w:i w:val="0"/>
                <w:sz w:val="14"/>
              </w:rPr>
              <w:t>−0.270</w:t>
            </w:r>
          </w:p>
        </w:tc>
        <w:tc>
          <w:tcPr>
            <w:tcW w:type="dxa" w:w="1395"/>
          </w:tcPr>
          <w:p>
            <w:pPr>
              <w:pStyle w:val="MDPI42tablebody"/>
              <w:keepNext/>
              <w:spacing w:line="240" w:lineRule="auto" w:before="30" w:after="30"/>
              <w:jc w:val="center"/>
            </w:pPr>
            <w:r>
              <w:rPr>
                <w:b w:val="0"/>
                <w:i w:val="0"/>
                <w:sz w:val="14"/>
              </w:rPr>
              <w:t>0.116***</w:t>
            </w:r>
          </w:p>
        </w:tc>
        <w:tc>
          <w:tcPr>
            <w:tcW w:type="dxa" w:w="1395"/>
          </w:tcPr>
          <w:p>
            <w:pPr>
              <w:pStyle w:val="MDPI42tablebody"/>
              <w:keepNext/>
              <w:spacing w:line="240" w:lineRule="auto" w:before="30" w:after="30"/>
              <w:jc w:val="center"/>
            </w:pPr>
            <w:r>
              <w:rPr>
                <w:b w:val="0"/>
                <w:i w:val="0"/>
                <w:sz w:val="14"/>
              </w:rPr>
              <w:t>−0.351</w:t>
            </w:r>
          </w:p>
        </w:tc>
        <w:tc>
          <w:tcPr>
            <w:tcW w:type="dxa" w:w="1395"/>
          </w:tcPr>
          <w:p>
            <w:pPr>
              <w:pStyle w:val="MDPI42tablebody"/>
              <w:keepNext/>
              <w:spacing w:line="240" w:lineRule="auto" w:before="30" w:after="30"/>
              <w:jc w:val="center"/>
            </w:pPr>
            <w:r>
              <w:rPr>
                <w:b w:val="0"/>
                <w:i w:val="0"/>
                <w:sz w:val="14"/>
              </w:rPr>
              <w:t>−0.992**</w:t>
            </w:r>
          </w:p>
        </w:tc>
        <w:tc>
          <w:tcPr>
            <w:tcW w:type="dxa" w:w="1395"/>
          </w:tcPr>
          <w:p>
            <w:pPr>
              <w:pStyle w:val="MDPI42tablebody"/>
              <w:keepNext/>
              <w:spacing w:line="240" w:lineRule="auto" w:before="30" w:after="30"/>
              <w:jc w:val="center"/>
            </w:pPr>
            <w:r>
              <w:rPr>
                <w:b w:val="0"/>
                <w:i w:val="0"/>
                <w:sz w:val="14"/>
              </w:rPr>
              <w:t>−0.139</w:t>
            </w:r>
          </w:p>
        </w:tc>
        <w:tc>
          <w:tcPr>
            <w:tcW w:type="dxa" w:w="1395"/>
          </w:tcPr>
          <w:p>
            <w:pPr>
              <w:pStyle w:val="MDPI42tablebody"/>
              <w:keepNext/>
              <w:spacing w:line="240" w:lineRule="auto" w:before="30" w:after="30"/>
              <w:jc w:val="center"/>
            </w:pPr>
            <w:r>
              <w:rPr>
                <w:b w:val="0"/>
                <w:i w:val="0"/>
                <w:sz w:val="14"/>
              </w:rPr>
              <w:t>−0.221</w:t>
            </w:r>
          </w:p>
        </w:tc>
      </w:tr>
      <w:tr>
        <w:trPr>
          <w:cantSplit/>
        </w:trPr>
        <w:tc>
          <w:tcPr>
            <w:tcW w:type="dxa" w:w="2093"/>
          </w:tcPr>
          <w:p>
            <w:pPr>
              <w:pStyle w:val="MDPI42tablebody"/>
              <w:keepNext/>
              <w:spacing w:line="240" w:lineRule="auto" w:before="30" w:after="30"/>
              <w:jc w:val="left"/>
            </w:pPr>
          </w:p>
        </w:tc>
        <w:tc>
          <w:tcPr>
            <w:tcW w:type="dxa" w:w="1395"/>
          </w:tcPr>
          <w:p>
            <w:pPr>
              <w:pStyle w:val="MDPI42tablebody"/>
              <w:keepNext/>
              <w:spacing w:line="240" w:lineRule="auto" w:before="30" w:after="30"/>
              <w:jc w:val="center"/>
            </w:pPr>
            <w:r>
              <w:rPr>
                <w:b w:val="0"/>
                <w:i w:val="0"/>
                <w:sz w:val="14"/>
              </w:rPr>
              <w:t>(0.396)</w:t>
            </w:r>
          </w:p>
        </w:tc>
        <w:tc>
          <w:tcPr>
            <w:tcW w:type="dxa" w:w="1395"/>
          </w:tcPr>
          <w:p>
            <w:pPr>
              <w:pStyle w:val="MDPI42tablebody"/>
              <w:keepNext/>
              <w:spacing w:line="240" w:lineRule="auto" w:before="30" w:after="30"/>
              <w:jc w:val="center"/>
            </w:pPr>
            <w:r>
              <w:rPr>
                <w:b w:val="0"/>
                <w:i w:val="0"/>
                <w:sz w:val="14"/>
              </w:rPr>
              <w:t>(0.040)</w:t>
            </w:r>
          </w:p>
        </w:tc>
        <w:tc>
          <w:tcPr>
            <w:tcW w:type="dxa" w:w="1395"/>
          </w:tcPr>
          <w:p>
            <w:pPr>
              <w:pStyle w:val="MDPI42tablebody"/>
              <w:keepNext/>
              <w:spacing w:line="240" w:lineRule="auto" w:before="30" w:after="30"/>
              <w:jc w:val="center"/>
            </w:pPr>
            <w:r>
              <w:rPr>
                <w:b w:val="0"/>
                <w:i w:val="0"/>
                <w:sz w:val="14"/>
              </w:rPr>
              <w:t>(0.395)</w:t>
            </w:r>
          </w:p>
        </w:tc>
        <w:tc>
          <w:tcPr>
            <w:tcW w:type="dxa" w:w="1395"/>
          </w:tcPr>
          <w:p>
            <w:pPr>
              <w:pStyle w:val="MDPI42tablebody"/>
              <w:keepNext/>
              <w:spacing w:line="240" w:lineRule="auto" w:before="30" w:after="30"/>
              <w:jc w:val="center"/>
            </w:pPr>
            <w:r>
              <w:rPr>
                <w:b w:val="0"/>
                <w:i w:val="0"/>
                <w:sz w:val="14"/>
              </w:rPr>
              <w:t>(0.503)</w:t>
            </w:r>
          </w:p>
        </w:tc>
        <w:tc>
          <w:tcPr>
            <w:tcW w:type="dxa" w:w="1395"/>
          </w:tcPr>
          <w:p>
            <w:pPr>
              <w:pStyle w:val="MDPI42tablebody"/>
              <w:keepNext/>
              <w:spacing w:line="240" w:lineRule="auto" w:before="30" w:after="30"/>
              <w:jc w:val="center"/>
            </w:pPr>
            <w:r>
              <w:rPr>
                <w:b w:val="0"/>
                <w:i w:val="0"/>
                <w:sz w:val="14"/>
              </w:rPr>
              <w:t>(0.391)</w:t>
            </w:r>
          </w:p>
        </w:tc>
        <w:tc>
          <w:tcPr>
            <w:tcW w:type="dxa" w:w="1395"/>
          </w:tcPr>
          <w:p>
            <w:pPr>
              <w:pStyle w:val="MDPI42tablebody"/>
              <w:keepNext/>
              <w:spacing w:line="240" w:lineRule="auto" w:before="30" w:after="30"/>
              <w:jc w:val="center"/>
            </w:pPr>
            <w:r>
              <w:rPr>
                <w:b w:val="0"/>
                <w:i w:val="0"/>
                <w:sz w:val="14"/>
              </w:rPr>
              <w:t>(0.390)</w:t>
            </w:r>
          </w:p>
        </w:tc>
      </w:tr>
      <w:tr>
        <w:trPr>
          <w:cantSplit/>
        </w:trPr>
        <w:tc>
          <w:tcPr>
            <w:tcW w:type="dxa" w:w="2093"/>
          </w:tcPr>
          <w:p>
            <w:pPr>
              <w:pStyle w:val="MDPI42tablebody"/>
              <w:keepNext/>
              <w:spacing w:line="240" w:lineRule="auto" w:before="30" w:after="30"/>
              <w:jc w:val="left"/>
            </w:pPr>
            <w:r>
              <w:rPr>
                <w:b w:val="0"/>
                <w:i/>
                <w:sz w:val="14"/>
              </w:rPr>
              <w:t>Year FE</w:t>
            </w:r>
          </w:p>
        </w:tc>
        <w:tc>
          <w:tcPr>
            <w:tcW w:type="dxa" w:w="1395"/>
          </w:tcPr>
          <w:p>
            <w:pPr>
              <w:pStyle w:val="MDPI42tablebody"/>
              <w:keepNext/>
              <w:spacing w:line="240" w:lineRule="auto" w:before="30" w:after="30"/>
              <w:jc w:val="center"/>
            </w:pPr>
            <w:r>
              <w:rPr>
                <w:b w:val="0"/>
                <w:i w:val="0"/>
                <w:sz w:val="14"/>
              </w:rPr>
              <w:t>YES</w:t>
            </w:r>
          </w:p>
        </w:tc>
        <w:tc>
          <w:tcPr>
            <w:tcW w:type="dxa" w:w="1395"/>
          </w:tcPr>
          <w:p>
            <w:pPr>
              <w:pStyle w:val="MDPI42tablebody"/>
              <w:keepNext/>
              <w:spacing w:line="240" w:lineRule="auto" w:before="30" w:after="30"/>
              <w:jc w:val="center"/>
            </w:pPr>
            <w:r>
              <w:rPr>
                <w:b w:val="0"/>
                <w:i w:val="0"/>
                <w:sz w:val="14"/>
              </w:rPr>
              <w:t>YES</w:t>
            </w:r>
          </w:p>
        </w:tc>
        <w:tc>
          <w:tcPr>
            <w:tcW w:type="dxa" w:w="1395"/>
          </w:tcPr>
          <w:p>
            <w:pPr>
              <w:pStyle w:val="MDPI42tablebody"/>
              <w:keepNext/>
              <w:spacing w:line="240" w:lineRule="auto" w:before="30" w:after="30"/>
              <w:jc w:val="center"/>
            </w:pPr>
            <w:r>
              <w:rPr>
                <w:b w:val="0"/>
                <w:i w:val="0"/>
                <w:sz w:val="14"/>
              </w:rPr>
              <w:t>YES</w:t>
            </w:r>
          </w:p>
        </w:tc>
        <w:tc>
          <w:tcPr>
            <w:tcW w:type="dxa" w:w="1395"/>
          </w:tcPr>
          <w:p>
            <w:pPr>
              <w:pStyle w:val="MDPI42tablebody"/>
              <w:keepNext/>
              <w:spacing w:line="240" w:lineRule="auto" w:before="30" w:after="30"/>
              <w:jc w:val="center"/>
            </w:pPr>
            <w:r>
              <w:rPr>
                <w:b w:val="0"/>
                <w:i w:val="0"/>
                <w:sz w:val="14"/>
              </w:rPr>
              <w:t>YES</w:t>
            </w:r>
          </w:p>
        </w:tc>
        <w:tc>
          <w:tcPr>
            <w:tcW w:type="dxa" w:w="1395"/>
          </w:tcPr>
          <w:p>
            <w:pPr>
              <w:pStyle w:val="MDPI42tablebody"/>
              <w:keepNext/>
              <w:spacing w:line="240" w:lineRule="auto" w:before="30" w:after="30"/>
              <w:jc w:val="center"/>
            </w:pPr>
            <w:r>
              <w:rPr>
                <w:b w:val="0"/>
                <w:i w:val="0"/>
                <w:sz w:val="14"/>
              </w:rPr>
              <w:t>YES</w:t>
            </w:r>
          </w:p>
        </w:tc>
        <w:tc>
          <w:tcPr>
            <w:tcW w:type="dxa" w:w="1395"/>
          </w:tcPr>
          <w:p>
            <w:pPr>
              <w:pStyle w:val="MDPI42tablebody"/>
              <w:keepNext/>
              <w:spacing w:line="240" w:lineRule="auto" w:before="30" w:after="30"/>
              <w:jc w:val="center"/>
            </w:pPr>
            <w:r>
              <w:rPr>
                <w:b w:val="0"/>
                <w:i w:val="0"/>
                <w:sz w:val="14"/>
              </w:rPr>
              <w:t>YES</w:t>
            </w:r>
          </w:p>
        </w:tc>
      </w:tr>
      <w:tr>
        <w:trPr>
          <w:cantSplit/>
        </w:trPr>
        <w:tc>
          <w:tcPr>
            <w:tcW w:type="dxa" w:w="2093"/>
          </w:tcPr>
          <w:p>
            <w:pPr>
              <w:pStyle w:val="MDPI42tablebody"/>
              <w:keepNext/>
              <w:spacing w:line="240" w:lineRule="auto" w:before="30" w:after="30"/>
              <w:jc w:val="left"/>
            </w:pPr>
            <w:r>
              <w:rPr>
                <w:b w:val="0"/>
                <w:i/>
                <w:sz w:val="14"/>
              </w:rPr>
              <w:t>Firm FE</w:t>
            </w:r>
          </w:p>
        </w:tc>
        <w:tc>
          <w:tcPr>
            <w:tcW w:type="dxa" w:w="1395"/>
          </w:tcPr>
          <w:p>
            <w:pPr>
              <w:pStyle w:val="MDPI42tablebody"/>
              <w:keepNext/>
              <w:spacing w:line="240" w:lineRule="auto" w:before="30" w:after="30"/>
              <w:jc w:val="center"/>
            </w:pPr>
            <w:r>
              <w:rPr>
                <w:b w:val="0"/>
                <w:i w:val="0"/>
                <w:sz w:val="14"/>
              </w:rPr>
              <w:t>YES</w:t>
            </w:r>
          </w:p>
        </w:tc>
        <w:tc>
          <w:tcPr>
            <w:tcW w:type="dxa" w:w="1395"/>
          </w:tcPr>
          <w:p>
            <w:pPr>
              <w:pStyle w:val="MDPI42tablebody"/>
              <w:keepNext/>
              <w:spacing w:line="240" w:lineRule="auto" w:before="30" w:after="30"/>
              <w:jc w:val="center"/>
            </w:pPr>
            <w:r>
              <w:rPr>
                <w:b w:val="0"/>
                <w:i w:val="0"/>
                <w:sz w:val="14"/>
              </w:rPr>
              <w:t>YES</w:t>
            </w:r>
          </w:p>
        </w:tc>
        <w:tc>
          <w:tcPr>
            <w:tcW w:type="dxa" w:w="1395"/>
          </w:tcPr>
          <w:p>
            <w:pPr>
              <w:pStyle w:val="MDPI42tablebody"/>
              <w:keepNext/>
              <w:spacing w:line="240" w:lineRule="auto" w:before="30" w:after="30"/>
              <w:jc w:val="center"/>
            </w:pPr>
            <w:r>
              <w:rPr>
                <w:b w:val="0"/>
                <w:i w:val="0"/>
                <w:sz w:val="14"/>
              </w:rPr>
              <w:t>YES</w:t>
            </w:r>
          </w:p>
        </w:tc>
        <w:tc>
          <w:tcPr>
            <w:tcW w:type="dxa" w:w="1395"/>
          </w:tcPr>
          <w:p>
            <w:pPr>
              <w:pStyle w:val="MDPI42tablebody"/>
              <w:keepNext/>
              <w:spacing w:line="240" w:lineRule="auto" w:before="30" w:after="30"/>
              <w:jc w:val="center"/>
            </w:pPr>
            <w:r>
              <w:rPr>
                <w:b w:val="0"/>
                <w:i w:val="0"/>
                <w:sz w:val="14"/>
              </w:rPr>
              <w:t>YES</w:t>
            </w:r>
          </w:p>
        </w:tc>
        <w:tc>
          <w:tcPr>
            <w:tcW w:type="dxa" w:w="1395"/>
          </w:tcPr>
          <w:p>
            <w:pPr>
              <w:pStyle w:val="MDPI42tablebody"/>
              <w:keepNext/>
              <w:spacing w:line="240" w:lineRule="auto" w:before="30" w:after="30"/>
              <w:jc w:val="center"/>
            </w:pPr>
            <w:r>
              <w:rPr>
                <w:b w:val="0"/>
                <w:i w:val="0"/>
                <w:sz w:val="14"/>
              </w:rPr>
              <w:t>YES</w:t>
            </w:r>
          </w:p>
        </w:tc>
        <w:tc>
          <w:tcPr>
            <w:tcW w:type="dxa" w:w="1395"/>
          </w:tcPr>
          <w:p>
            <w:pPr>
              <w:pStyle w:val="MDPI42tablebody"/>
              <w:keepNext/>
              <w:spacing w:line="240" w:lineRule="auto" w:before="30" w:after="30"/>
              <w:jc w:val="center"/>
            </w:pPr>
            <w:r>
              <w:rPr>
                <w:b w:val="0"/>
                <w:i w:val="0"/>
                <w:sz w:val="14"/>
              </w:rPr>
              <w:t>YES</w:t>
            </w:r>
          </w:p>
        </w:tc>
      </w:tr>
      <w:tr>
        <w:trPr>
          <w:cantSplit/>
        </w:trPr>
        <w:tc>
          <w:tcPr>
            <w:tcW w:type="dxa" w:w="2093"/>
          </w:tcPr>
          <w:p>
            <w:pPr>
              <w:pStyle w:val="MDPI42tablebody"/>
              <w:keepNext/>
              <w:spacing w:line="240" w:lineRule="auto" w:before="30" w:after="30"/>
              <w:jc w:val="left"/>
            </w:pPr>
            <w:r>
              <w:rPr>
                <w:b w:val="0"/>
                <w:i/>
                <w:sz w:val="14"/>
              </w:rPr>
              <w:t>Observations</w:t>
            </w:r>
          </w:p>
        </w:tc>
        <w:tc>
          <w:tcPr>
            <w:tcW w:type="dxa" w:w="1395"/>
          </w:tcPr>
          <w:p>
            <w:pPr>
              <w:pStyle w:val="MDPI42tablebody"/>
              <w:keepNext/>
              <w:spacing w:line="240" w:lineRule="auto" w:before="30" w:after="30"/>
              <w:jc w:val="center"/>
            </w:pPr>
            <w:r>
              <w:rPr>
                <w:b w:val="0"/>
                <w:i w:val="0"/>
                <w:sz w:val="14"/>
              </w:rPr>
              <w:t>25,701</w:t>
            </w:r>
          </w:p>
        </w:tc>
        <w:tc>
          <w:tcPr>
            <w:tcW w:type="dxa" w:w="1395"/>
          </w:tcPr>
          <w:p>
            <w:pPr>
              <w:pStyle w:val="MDPI42tablebody"/>
              <w:keepNext/>
              <w:spacing w:line="240" w:lineRule="auto" w:before="30" w:after="30"/>
              <w:jc w:val="center"/>
            </w:pPr>
            <w:r>
              <w:rPr>
                <w:b w:val="0"/>
                <w:i w:val="0"/>
                <w:sz w:val="14"/>
              </w:rPr>
              <w:t>25,701</w:t>
            </w:r>
          </w:p>
        </w:tc>
        <w:tc>
          <w:tcPr>
            <w:tcW w:type="dxa" w:w="1395"/>
          </w:tcPr>
          <w:p>
            <w:pPr>
              <w:pStyle w:val="MDPI42tablebody"/>
              <w:keepNext/>
              <w:spacing w:line="240" w:lineRule="auto" w:before="30" w:after="30"/>
              <w:jc w:val="center"/>
            </w:pPr>
            <w:r>
              <w:rPr>
                <w:b w:val="0"/>
                <w:i w:val="0"/>
                <w:sz w:val="14"/>
              </w:rPr>
              <w:t>25,701</w:t>
            </w:r>
          </w:p>
        </w:tc>
        <w:tc>
          <w:tcPr>
            <w:tcW w:type="dxa" w:w="1395"/>
          </w:tcPr>
          <w:p>
            <w:pPr>
              <w:pStyle w:val="MDPI42tablebody"/>
              <w:keepNext/>
              <w:spacing w:line="240" w:lineRule="auto" w:before="30" w:after="30"/>
              <w:jc w:val="center"/>
            </w:pPr>
            <w:r>
              <w:rPr>
                <w:b w:val="0"/>
                <w:i w:val="0"/>
                <w:sz w:val="14"/>
              </w:rPr>
              <w:t>25,701</w:t>
            </w:r>
          </w:p>
        </w:tc>
        <w:tc>
          <w:tcPr>
            <w:tcW w:type="dxa" w:w="1395"/>
          </w:tcPr>
          <w:p>
            <w:pPr>
              <w:pStyle w:val="MDPI42tablebody"/>
              <w:keepNext/>
              <w:spacing w:line="240" w:lineRule="auto" w:before="30" w:after="30"/>
              <w:jc w:val="center"/>
            </w:pPr>
            <w:r>
              <w:rPr>
                <w:b w:val="0"/>
                <w:i w:val="0"/>
                <w:sz w:val="14"/>
              </w:rPr>
              <w:t>25,701</w:t>
            </w:r>
          </w:p>
        </w:tc>
        <w:tc>
          <w:tcPr>
            <w:tcW w:type="dxa" w:w="1395"/>
          </w:tcPr>
          <w:p>
            <w:pPr>
              <w:pStyle w:val="MDPI42tablebody"/>
              <w:keepNext/>
              <w:spacing w:line="240" w:lineRule="auto" w:before="30" w:after="30"/>
              <w:jc w:val="center"/>
            </w:pPr>
            <w:r>
              <w:rPr>
                <w:b w:val="0"/>
                <w:i w:val="0"/>
                <w:sz w:val="14"/>
              </w:rPr>
              <w:t>25,701</w:t>
            </w:r>
          </w:p>
        </w:tc>
      </w:tr>
      <w:tr>
        <w:trPr>
          <w:cantSplit/>
        </w:trPr>
        <w:tc>
          <w:tcPr>
            <w:tcW w:type="dxa" w:w="2093"/>
          </w:tcPr>
          <w:p>
            <w:pPr>
              <w:pStyle w:val="MDPI42tablebody"/>
              <w:spacing w:line="240" w:lineRule="auto" w:before="30" w:after="30"/>
              <w:jc w:val="left"/>
            </w:pPr>
            <w:r>
              <w:rPr>
                <w:b w:val="0"/>
                <w:i/>
                <w:sz w:val="14"/>
              </w:rPr>
              <w:t>R-squared</w:t>
            </w:r>
          </w:p>
        </w:tc>
        <w:tc>
          <w:tcPr>
            <w:tcW w:type="dxa" w:w="1395"/>
          </w:tcPr>
          <w:p>
            <w:pPr>
              <w:pStyle w:val="MDPI42tablebody"/>
              <w:spacing w:line="240" w:lineRule="auto" w:before="30" w:after="30"/>
              <w:jc w:val="center"/>
            </w:pPr>
            <w:r>
              <w:rPr>
                <w:b w:val="0"/>
                <w:i w:val="0"/>
                <w:sz w:val="14"/>
              </w:rPr>
              <w:t>0.061</w:t>
            </w:r>
          </w:p>
        </w:tc>
        <w:tc>
          <w:tcPr>
            <w:tcW w:type="dxa" w:w="1395"/>
          </w:tcPr>
          <w:p>
            <w:pPr>
              <w:pStyle w:val="MDPI42tablebody"/>
              <w:spacing w:line="240" w:lineRule="auto" w:before="30" w:after="30"/>
              <w:jc w:val="center"/>
            </w:pPr>
            <w:r>
              <w:rPr>
                <w:b w:val="0"/>
                <w:i w:val="0"/>
                <w:sz w:val="14"/>
              </w:rPr>
              <w:t>0.081</w:t>
            </w:r>
          </w:p>
        </w:tc>
        <w:tc>
          <w:tcPr>
            <w:tcW w:type="dxa" w:w="1395"/>
          </w:tcPr>
          <w:p>
            <w:pPr>
              <w:pStyle w:val="MDPI42tablebody"/>
              <w:spacing w:line="240" w:lineRule="auto" w:before="30" w:after="30"/>
              <w:jc w:val="center"/>
            </w:pPr>
            <w:r>
              <w:rPr>
                <w:b w:val="0"/>
                <w:i w:val="0"/>
                <w:sz w:val="14"/>
              </w:rPr>
              <w:t>0.066</w:t>
            </w:r>
          </w:p>
        </w:tc>
        <w:tc>
          <w:tcPr>
            <w:tcW w:type="dxa" w:w="1395"/>
          </w:tcPr>
          <w:p>
            <w:pPr>
              <w:pStyle w:val="MDPI42tablebody"/>
              <w:spacing w:line="240" w:lineRule="auto" w:before="30" w:after="30"/>
              <w:jc w:val="center"/>
            </w:pPr>
            <w:r>
              <w:rPr>
                <w:b w:val="0"/>
                <w:i w:val="0"/>
                <w:sz w:val="14"/>
              </w:rPr>
              <w:t>0.047</w:t>
            </w:r>
          </w:p>
        </w:tc>
        <w:tc>
          <w:tcPr>
            <w:tcW w:type="dxa" w:w="1395"/>
          </w:tcPr>
          <w:p>
            <w:pPr>
              <w:pStyle w:val="MDPI42tablebody"/>
              <w:spacing w:line="240" w:lineRule="auto" w:before="30" w:after="30"/>
              <w:jc w:val="center"/>
            </w:pPr>
            <w:r>
              <w:rPr>
                <w:b w:val="0"/>
                <w:i w:val="0"/>
                <w:sz w:val="14"/>
              </w:rPr>
              <w:t>0.088</w:t>
            </w:r>
          </w:p>
        </w:tc>
        <w:tc>
          <w:tcPr>
            <w:tcW w:type="dxa" w:w="1395"/>
          </w:tcPr>
          <w:p>
            <w:pPr>
              <w:pStyle w:val="MDPI42tablebody"/>
              <w:spacing w:line="240" w:lineRule="auto" w:before="30" w:after="30"/>
              <w:jc w:val="center"/>
            </w:pPr>
            <w:r>
              <w:rPr>
                <w:b w:val="0"/>
                <w:i w:val="0"/>
                <w:sz w:val="14"/>
              </w:rPr>
              <w:t>0.093</w:t>
            </w:r>
          </w:p>
        </w:tc>
      </w:tr>
    </w:tbl>
    <w:p>
      <w:pPr>
        <w:pStyle w:val="MDPI43tablefooter"/>
        <w:spacing w:line="240" w:lineRule="auto" w:before="40" w:after="200"/>
        <w:ind w:left="2608" w:firstLine="0"/>
      </w:pPr>
      <w:r>
        <w:rPr>
          <w:sz w:val="16"/>
        </w:rPr>
        <w:t xml:space="preserve">Note: </w:t>
      </w:r>
      <w:r>
        <w:rPr>
          <w:b w:val="0"/>
          <w:i w:val="0"/>
          <w:sz w:val="16"/>
        </w:rPr>
        <w:t>The dependent variable is named in each column heading. Youth is the share of employees aged 30 or below (%); Train is the logarithm of training expenditure per employee; Routine is the routine task base (%). Values in parentheses are standard errors clustered at the firm level. ***, ** and * denote significance at the 1%, 5% and 10% levels, respectively. Source: authors’ own calculations.</w:t>
      </w:r>
    </w:p>
    <w:p>
      <w:pPr>
        <w:pStyle w:val="MDPI31text"/>
      </w:pPr>
      <w:r>
        <w:rPr>
          <w:b w:val="0"/>
          <w:i w:val="0"/>
        </w:rPr>
        <w:t>Table 6 quantifies the decomposition. The indirect effect through training is −0.169, with a bootstrap confidence interval of [−0.207, −0.136] that excludes zero, and accounts for 12.5 percent of the total effect. The indirect effect through the routine task base is −0.301, with an interval of [−0.339, −0.267], accounting for 22.3 percent. Together the two channels account for 34.9 percent of the total effect, leaving the remainder to the direct margin. H2 and H3 are both supported. The relative sizes are informative in their own right: the task channel is the larger of the two, but the training channel is not a residual, and it is the training channel that carries the dynamic consequences examined in Section 4.8.</w:t>
      </w:r>
    </w:p>
    <w:p>
      <w:pPr>
        <w:pStyle w:val="MDPI41tablecaption"/>
        <w:keepNext/>
        <w:spacing w:after="60"/>
      </w:pPr>
      <w:r>
        <w:rPr>
          <w:b/>
          <w:sz w:val="18"/>
        </w:rPr>
        <w:t xml:space="preserve">Table 6. </w:t>
      </w:r>
      <w:r>
        <w:rPr>
          <w:b w:val="0"/>
          <w:i w:val="0"/>
          <w:sz w:val="18"/>
        </w:rPr>
        <w:t>Bootstrapped decomposition of the total effect.</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674"/>
        <w:gridCol w:w="1151"/>
        <w:gridCol w:w="941"/>
        <w:gridCol w:w="941"/>
        <w:gridCol w:w="1151"/>
        <w:gridCol w:w="1151"/>
        <w:gridCol w:w="1883"/>
        <w:gridCol w:w="1569"/>
      </w:tblGrid>
      <w:tr>
        <w:trPr>
          <w:cantSplit/>
          <w:tblHeader/>
        </w:trPr>
        <w:tc>
          <w:tcPr>
            <w:tcW w:type="dxa" w:w="1674"/>
            <w:tcBorders>
              <w:bottom w:val="single" w:sz="8" w:space="0" w:color="auto"/>
            </w:tcBorders>
          </w:tcPr>
          <w:p>
            <w:pPr>
              <w:pStyle w:val="MDPI42tablebody"/>
              <w:keepNext/>
              <w:spacing w:line="240" w:lineRule="auto" w:before="30" w:after="30"/>
              <w:jc w:val="center"/>
            </w:pPr>
            <w:r>
              <w:rPr>
                <w:b/>
                <w:i w:val="0"/>
                <w:sz w:val="14"/>
              </w:rPr>
              <w:t>Mediator</w:t>
            </w:r>
          </w:p>
        </w:tc>
        <w:tc>
          <w:tcPr>
            <w:tcW w:type="dxa" w:w="1151"/>
            <w:tcBorders>
              <w:bottom w:val="single" w:sz="8" w:space="0" w:color="auto"/>
            </w:tcBorders>
          </w:tcPr>
          <w:p>
            <w:pPr>
              <w:pStyle w:val="MDPI42tablebody"/>
              <w:keepNext/>
              <w:spacing w:line="240" w:lineRule="auto" w:before="30" w:after="30"/>
              <w:jc w:val="center"/>
            </w:pPr>
            <w:r>
              <w:rPr>
                <w:b/>
                <w:i w:val="0"/>
                <w:sz w:val="14"/>
              </w:rPr>
              <w:t>Total effect</w:t>
            </w:r>
          </w:p>
        </w:tc>
        <w:tc>
          <w:tcPr>
            <w:tcW w:type="dxa" w:w="941"/>
            <w:tcBorders>
              <w:bottom w:val="single" w:sz="8" w:space="0" w:color="auto"/>
            </w:tcBorders>
          </w:tcPr>
          <w:p>
            <w:pPr>
              <w:pStyle w:val="MDPI42tablebody"/>
              <w:keepNext/>
              <w:spacing w:line="240" w:lineRule="auto" w:before="30" w:after="30"/>
              <w:jc w:val="center"/>
            </w:pPr>
            <w:r>
              <w:rPr>
                <w:b/>
                <w:i w:val="0"/>
                <w:sz w:val="14"/>
              </w:rPr>
              <w:t>Path a</w:t>
            </w:r>
          </w:p>
        </w:tc>
        <w:tc>
          <w:tcPr>
            <w:tcW w:type="dxa" w:w="941"/>
            <w:tcBorders>
              <w:bottom w:val="single" w:sz="8" w:space="0" w:color="auto"/>
            </w:tcBorders>
          </w:tcPr>
          <w:p>
            <w:pPr>
              <w:pStyle w:val="MDPI42tablebody"/>
              <w:keepNext/>
              <w:spacing w:line="240" w:lineRule="auto" w:before="30" w:after="30"/>
              <w:jc w:val="center"/>
            </w:pPr>
            <w:r>
              <w:rPr>
                <w:b/>
                <w:i w:val="0"/>
                <w:sz w:val="14"/>
              </w:rPr>
              <w:t>Path b</w:t>
            </w:r>
          </w:p>
        </w:tc>
        <w:tc>
          <w:tcPr>
            <w:tcW w:type="dxa" w:w="1151"/>
            <w:tcBorders>
              <w:bottom w:val="single" w:sz="8" w:space="0" w:color="auto"/>
            </w:tcBorders>
          </w:tcPr>
          <w:p>
            <w:pPr>
              <w:pStyle w:val="MDPI42tablebody"/>
              <w:keepNext/>
              <w:spacing w:line="240" w:lineRule="auto" w:before="30" w:after="30"/>
              <w:jc w:val="center"/>
            </w:pPr>
            <w:r>
              <w:rPr>
                <w:b/>
                <w:i w:val="0"/>
                <w:sz w:val="14"/>
              </w:rPr>
              <w:t>Direct effect</w:t>
            </w:r>
          </w:p>
        </w:tc>
        <w:tc>
          <w:tcPr>
            <w:tcW w:type="dxa" w:w="1151"/>
            <w:tcBorders>
              <w:bottom w:val="single" w:sz="8" w:space="0" w:color="auto"/>
            </w:tcBorders>
          </w:tcPr>
          <w:p>
            <w:pPr>
              <w:pStyle w:val="MDPI42tablebody"/>
              <w:keepNext/>
              <w:spacing w:line="240" w:lineRule="auto" w:before="30" w:after="30"/>
              <w:jc w:val="center"/>
            </w:pPr>
            <w:r>
              <w:rPr>
                <w:b/>
                <w:i w:val="0"/>
                <w:sz w:val="14"/>
              </w:rPr>
              <w:t>Indirect effect</w:t>
            </w:r>
          </w:p>
        </w:tc>
        <w:tc>
          <w:tcPr>
            <w:tcW w:type="dxa" w:w="1883"/>
            <w:tcBorders>
              <w:bottom w:val="single" w:sz="8" w:space="0" w:color="auto"/>
            </w:tcBorders>
          </w:tcPr>
          <w:p>
            <w:pPr>
              <w:pStyle w:val="MDPI42tablebody"/>
              <w:keepNext/>
              <w:spacing w:line="240" w:lineRule="auto" w:before="30" w:after="30"/>
              <w:jc w:val="center"/>
            </w:pPr>
            <w:r>
              <w:rPr>
                <w:b/>
                <w:i w:val="0"/>
                <w:sz w:val="14"/>
              </w:rPr>
              <w:t>95% bootstrap CI</w:t>
            </w:r>
          </w:p>
        </w:tc>
        <w:tc>
          <w:tcPr>
            <w:tcW w:type="dxa" w:w="1569"/>
            <w:tcBorders>
              <w:bottom w:val="single" w:sz="8" w:space="0" w:color="auto"/>
            </w:tcBorders>
          </w:tcPr>
          <w:p>
            <w:pPr>
              <w:pStyle w:val="MDPI42tablebody"/>
              <w:keepNext/>
              <w:spacing w:line="240" w:lineRule="auto" w:before="30" w:after="30"/>
              <w:jc w:val="center"/>
            </w:pPr>
            <w:r>
              <w:rPr>
                <w:b/>
                <w:i w:val="0"/>
                <w:sz w:val="14"/>
              </w:rPr>
              <w:t>Share of total (%)</w:t>
            </w:r>
          </w:p>
        </w:tc>
      </w:tr>
      <w:tr>
        <w:trPr>
          <w:cantSplit/>
        </w:trPr>
        <w:tc>
          <w:tcPr>
            <w:tcW w:type="dxa" w:w="1674"/>
          </w:tcPr>
          <w:p>
            <w:pPr>
              <w:pStyle w:val="MDPI42tablebody"/>
              <w:keepNext/>
              <w:spacing w:line="240" w:lineRule="auto" w:before="30" w:after="30"/>
              <w:jc w:val="left"/>
            </w:pPr>
            <w:r>
              <w:rPr>
                <w:b w:val="0"/>
                <w:i/>
                <w:sz w:val="14"/>
              </w:rPr>
              <w:t>Training investment</w:t>
            </w:r>
          </w:p>
        </w:tc>
        <w:tc>
          <w:tcPr>
            <w:tcW w:type="dxa" w:w="1151"/>
          </w:tcPr>
          <w:p>
            <w:pPr>
              <w:pStyle w:val="MDPI42tablebody"/>
              <w:keepNext/>
              <w:spacing w:line="240" w:lineRule="auto" w:before="30" w:after="30"/>
              <w:jc w:val="center"/>
            </w:pPr>
            <w:r>
              <w:rPr>
                <w:b w:val="0"/>
                <w:i w:val="0"/>
                <w:sz w:val="14"/>
              </w:rPr>
              <w:t>−1.348***</w:t>
            </w:r>
          </w:p>
        </w:tc>
        <w:tc>
          <w:tcPr>
            <w:tcW w:type="dxa" w:w="941"/>
          </w:tcPr>
          <w:p>
            <w:pPr>
              <w:pStyle w:val="MDPI42tablebody"/>
              <w:keepNext/>
              <w:spacing w:line="240" w:lineRule="auto" w:before="30" w:after="30"/>
              <w:jc w:val="center"/>
            </w:pPr>
            <w:r>
              <w:rPr>
                <w:b w:val="0"/>
                <w:i w:val="0"/>
                <w:sz w:val="14"/>
              </w:rPr>
              <w:t>−0.242***</w:t>
            </w:r>
          </w:p>
        </w:tc>
        <w:tc>
          <w:tcPr>
            <w:tcW w:type="dxa" w:w="941"/>
          </w:tcPr>
          <w:p>
            <w:pPr>
              <w:pStyle w:val="MDPI42tablebody"/>
              <w:keepNext/>
              <w:spacing w:line="240" w:lineRule="auto" w:before="30" w:after="30"/>
              <w:jc w:val="center"/>
            </w:pPr>
            <w:r>
              <w:rPr>
                <w:b w:val="0"/>
                <w:i w:val="0"/>
                <w:sz w:val="14"/>
              </w:rPr>
              <w:t>0.700***</w:t>
            </w:r>
          </w:p>
        </w:tc>
        <w:tc>
          <w:tcPr>
            <w:tcW w:type="dxa" w:w="1151"/>
          </w:tcPr>
          <w:p>
            <w:pPr>
              <w:pStyle w:val="MDPI42tablebody"/>
              <w:keepNext/>
              <w:spacing w:line="240" w:lineRule="auto" w:before="30" w:after="30"/>
              <w:jc w:val="center"/>
            </w:pPr>
            <w:r>
              <w:rPr>
                <w:b w:val="0"/>
                <w:i w:val="0"/>
                <w:sz w:val="14"/>
              </w:rPr>
              <w:t>−1.179***</w:t>
            </w:r>
          </w:p>
        </w:tc>
        <w:tc>
          <w:tcPr>
            <w:tcW w:type="dxa" w:w="1151"/>
          </w:tcPr>
          <w:p>
            <w:pPr>
              <w:pStyle w:val="MDPI42tablebody"/>
              <w:keepNext/>
              <w:spacing w:line="240" w:lineRule="auto" w:before="30" w:after="30"/>
              <w:jc w:val="center"/>
            </w:pPr>
            <w:r>
              <w:rPr>
                <w:b w:val="0"/>
                <w:i w:val="0"/>
                <w:sz w:val="14"/>
              </w:rPr>
              <w:t>−0.169</w:t>
            </w:r>
          </w:p>
        </w:tc>
        <w:tc>
          <w:tcPr>
            <w:tcW w:type="dxa" w:w="1883"/>
          </w:tcPr>
          <w:p>
            <w:pPr>
              <w:pStyle w:val="MDPI42tablebody"/>
              <w:keepNext/>
              <w:spacing w:line="240" w:lineRule="auto" w:before="30" w:after="30"/>
              <w:jc w:val="center"/>
            </w:pPr>
            <w:r>
              <w:rPr>
                <w:b w:val="0"/>
                <w:i w:val="0"/>
                <w:sz w:val="14"/>
              </w:rPr>
              <w:t>[−0.207, −0.136]</w:t>
            </w:r>
          </w:p>
        </w:tc>
        <w:tc>
          <w:tcPr>
            <w:tcW w:type="dxa" w:w="1569"/>
          </w:tcPr>
          <w:p>
            <w:pPr>
              <w:pStyle w:val="MDPI42tablebody"/>
              <w:keepNext/>
              <w:spacing w:line="240" w:lineRule="auto" w:before="30" w:after="30"/>
              <w:jc w:val="center"/>
            </w:pPr>
            <w:r>
              <w:rPr>
                <w:b w:val="0"/>
                <w:i w:val="0"/>
                <w:sz w:val="14"/>
              </w:rPr>
              <w:t>12.5</w:t>
            </w:r>
          </w:p>
        </w:tc>
      </w:tr>
      <w:tr>
        <w:trPr>
          <w:cantSplit/>
        </w:trPr>
        <w:tc>
          <w:tcPr>
            <w:tcW w:type="dxa" w:w="1674"/>
          </w:tcPr>
          <w:p>
            <w:pPr>
              <w:pStyle w:val="MDPI42tablebody"/>
              <w:spacing w:line="240" w:lineRule="auto" w:before="30" w:after="30"/>
              <w:jc w:val="left"/>
            </w:pPr>
            <w:r>
              <w:rPr>
                <w:b w:val="0"/>
                <w:i/>
                <w:sz w:val="14"/>
              </w:rPr>
              <w:t>Routine task base</w:t>
            </w:r>
          </w:p>
        </w:tc>
        <w:tc>
          <w:tcPr>
            <w:tcW w:type="dxa" w:w="1151"/>
          </w:tcPr>
          <w:p>
            <w:pPr>
              <w:pStyle w:val="MDPI42tablebody"/>
              <w:spacing w:line="240" w:lineRule="auto" w:before="30" w:after="30"/>
              <w:jc w:val="center"/>
            </w:pPr>
            <w:r>
              <w:rPr>
                <w:b w:val="0"/>
                <w:i w:val="0"/>
                <w:sz w:val="14"/>
              </w:rPr>
              <w:t>−1.348***</w:t>
            </w:r>
          </w:p>
        </w:tc>
        <w:tc>
          <w:tcPr>
            <w:tcW w:type="dxa" w:w="941"/>
          </w:tcPr>
          <w:p>
            <w:pPr>
              <w:pStyle w:val="MDPI42tablebody"/>
              <w:spacing w:line="240" w:lineRule="auto" w:before="30" w:after="30"/>
              <w:jc w:val="center"/>
            </w:pPr>
            <w:r>
              <w:rPr>
                <w:b w:val="0"/>
                <w:i w:val="0"/>
                <w:sz w:val="14"/>
              </w:rPr>
              <w:t>−2.272***</w:t>
            </w:r>
          </w:p>
        </w:tc>
        <w:tc>
          <w:tcPr>
            <w:tcW w:type="dxa" w:w="941"/>
          </w:tcPr>
          <w:p>
            <w:pPr>
              <w:pStyle w:val="MDPI42tablebody"/>
              <w:spacing w:line="240" w:lineRule="auto" w:before="30" w:after="30"/>
              <w:jc w:val="center"/>
            </w:pPr>
            <w:r>
              <w:rPr>
                <w:b w:val="0"/>
                <w:i w:val="0"/>
                <w:sz w:val="14"/>
              </w:rPr>
              <w:t>0.132***</w:t>
            </w:r>
          </w:p>
        </w:tc>
        <w:tc>
          <w:tcPr>
            <w:tcW w:type="dxa" w:w="1151"/>
          </w:tcPr>
          <w:p>
            <w:pPr>
              <w:pStyle w:val="MDPI42tablebody"/>
              <w:spacing w:line="240" w:lineRule="auto" w:before="30" w:after="30"/>
              <w:jc w:val="center"/>
            </w:pPr>
            <w:r>
              <w:rPr>
                <w:b w:val="0"/>
                <w:i w:val="0"/>
                <w:sz w:val="14"/>
              </w:rPr>
              <w:t>−1.047***</w:t>
            </w:r>
          </w:p>
        </w:tc>
        <w:tc>
          <w:tcPr>
            <w:tcW w:type="dxa" w:w="1151"/>
          </w:tcPr>
          <w:p>
            <w:pPr>
              <w:pStyle w:val="MDPI42tablebody"/>
              <w:spacing w:line="240" w:lineRule="auto" w:before="30" w:after="30"/>
              <w:jc w:val="center"/>
            </w:pPr>
            <w:r>
              <w:rPr>
                <w:b w:val="0"/>
                <w:i w:val="0"/>
                <w:sz w:val="14"/>
              </w:rPr>
              <w:t>−0.301</w:t>
            </w:r>
          </w:p>
        </w:tc>
        <w:tc>
          <w:tcPr>
            <w:tcW w:type="dxa" w:w="1883"/>
          </w:tcPr>
          <w:p>
            <w:pPr>
              <w:pStyle w:val="MDPI42tablebody"/>
              <w:spacing w:line="240" w:lineRule="auto" w:before="30" w:after="30"/>
              <w:jc w:val="center"/>
            </w:pPr>
            <w:r>
              <w:rPr>
                <w:b w:val="0"/>
                <w:i w:val="0"/>
                <w:sz w:val="14"/>
              </w:rPr>
              <w:t>[−0.339, −0.267]</w:t>
            </w:r>
          </w:p>
        </w:tc>
        <w:tc>
          <w:tcPr>
            <w:tcW w:type="dxa" w:w="1569"/>
          </w:tcPr>
          <w:p>
            <w:pPr>
              <w:pStyle w:val="MDPI42tablebody"/>
              <w:spacing w:line="240" w:lineRule="auto" w:before="30" w:after="30"/>
              <w:jc w:val="center"/>
            </w:pPr>
            <w:r>
              <w:rPr>
                <w:b w:val="0"/>
                <w:i w:val="0"/>
                <w:sz w:val="14"/>
              </w:rPr>
              <w:t>22.3</w:t>
            </w:r>
          </w:p>
        </w:tc>
      </w:tr>
    </w:tbl>
    <w:p>
      <w:pPr>
        <w:pStyle w:val="MDPI43tablefooter"/>
        <w:spacing w:line="240" w:lineRule="auto" w:before="40" w:after="200"/>
        <w:ind w:left="2608" w:firstLine="0"/>
      </w:pPr>
      <w:r>
        <w:rPr>
          <w:sz w:val="16"/>
        </w:rPr>
        <w:t xml:space="preserve">Note: </w:t>
      </w:r>
      <w:r>
        <w:rPr>
          <w:b w:val="0"/>
          <w:i w:val="0"/>
          <w:sz w:val="16"/>
        </w:rPr>
        <w:t>Path a is the effect of GenAI on the mediator; path b is the effect of the mediator on Youth conditional on GenAI. The indirect effect is the product of the two paths and its confidence interval is the percentile interval of 400 bootstrap replications that resample whole firms. ***, ** and * denote significance at the 1%, 5% and 10% levels, respectively. Source: authors’ own calculations.</w:t>
      </w:r>
    </w:p>
    <w:p>
      <w:pPr>
        <w:pStyle w:val="MDPI22heading2"/>
      </w:pPr>
      <w:r>
        <w:t>4.4. Endogeneity Tests</w:t>
      </w:r>
    </w:p>
    <w:p>
      <w:pPr>
        <w:pStyle w:val="MDPI32textnoindent"/>
      </w:pPr>
      <w:r>
        <w:rPr>
          <w:b w:val="0"/>
          <w:i w:val="0"/>
        </w:rPr>
        <w:t>Table 7 addresses the concern that adoption is chosen rather than assigned. Column (1) reports the first stage of Equation (5). Both instruments enter with the expected positive sign and are significant at the one percent level, and the Kleibergen-Paap rank Wald statistic is 740.8, far above the conventional weak-instrument threshold. Column (2) reports the second stage. The coefficient on adoption is −1.462, slightly larger in absolute value than the least-squares estimate, which is consistent with a positive omitted factor such as an unobserved expansion drive that raises both adoption and junior hiring. The Hansen J statistic does not reject the exclusion restriction (p = 0.403), and the Durbin-Wu-Hausman statistic does not reject the exogeneity of adoption (p = 0.343), so the least-squares estimate may be read as consistent and the two estimates are statistically indistinguishable.</w:t>
      </w:r>
    </w:p>
    <w:p>
      <w:pPr>
        <w:pStyle w:val="MDPI31text"/>
      </w:pPr>
      <w:r>
        <w:rPr>
          <w:b w:val="0"/>
          <w:i w:val="0"/>
        </w:rPr>
        <w:t xml:space="preserve">Column (3) replaces contemporaneous adoption with its one-year lag, which cannot be caused by the current year’s employment decisions; the coefficient is −0.406 and remains significant at the one percent level, although it is smaller in absolute value than the contemporaneous estimate, as the mean reversion of the youth share implies. Column (4) re-estimates the benchmark on a sample matched one to one on the propensity score, formed from pre-period firm characteristics </w:t>
      </w:r>
      <w:r>
        <w:t>[</w:t>
      </w:r>
      <w:r>
        <w:fldChar w:fldCharType="begin"/>
      </w:r>
      <w:r>
        <w:instrText xml:space="preserve"> REF _Ref_95 \h </w:instrText>
      </w:r>
      <w:r>
        <w:fldChar w:fldCharType="separate"/>
      </w:r>
      <w:r>
        <w:t>95</w:t>
      </w:r>
      <w:r>
        <w:fldChar w:fldCharType="end"/>
      </w:r>
      <w:r>
        <w:t>]</w:t>
      </w:r>
      <w:r>
        <w:rPr>
          <w:b w:val="0"/>
          <w:i w:val="0"/>
        </w:rPr>
        <w:t>; matching reduces the largest standardized bias across the matching covariates from 24.4 percent to 3.8 percent, and the coefficient on the matched sample is −1.389. Column (5) reweights the full sample by entropy-balancing weights that equate the first two moments of the covariate distributions, giving −1.347. The four approaches bracket the benchmark closely.</w:t>
      </w:r>
    </w:p>
    <w:p>
      <w:pPr>
        <w:pStyle w:val="MDPI41tablecaption"/>
        <w:keepNext/>
        <w:spacing w:after="60"/>
      </w:pPr>
      <w:r>
        <w:rPr>
          <w:b/>
          <w:sz w:val="18"/>
        </w:rPr>
        <w:t xml:space="preserve">Table 7. </w:t>
      </w:r>
      <w:r>
        <w:rPr>
          <w:b w:val="0"/>
          <w:i w:val="0"/>
          <w:sz w:val="18"/>
        </w:rPr>
        <w:t>Endogeneity tests.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043"/>
        <w:gridCol w:w="1162"/>
        <w:gridCol w:w="1162"/>
        <w:gridCol w:w="1162"/>
        <w:gridCol w:w="1162"/>
        <w:gridCol w:w="1162"/>
      </w:tblGrid>
      <w:tr>
        <w:trPr>
          <w:cantSplit/>
          <w:tblHeader/>
        </w:trPr>
        <w:tc>
          <w:tcPr>
            <w:tcW w:type="dxa" w:w="2043"/>
            <w:tcBorders>
              <w:bottom w:val="single" w:sz="8" w:space="0" w:color="auto"/>
            </w:tcBorders>
          </w:tcPr>
          <w:p>
            <w:pPr>
              <w:pStyle w:val="MDPI42tablebody"/>
              <w:keepNext/>
              <w:spacing w:line="240" w:lineRule="auto" w:before="30" w:after="30"/>
              <w:jc w:val="center"/>
            </w:pPr>
            <w:r>
              <w:rPr>
                <w:b/>
                <w:i w:val="0"/>
                <w:sz w:val="18"/>
              </w:rPr>
              <w:t>Variable</w:t>
            </w:r>
          </w:p>
        </w:tc>
        <w:tc>
          <w:tcPr>
            <w:tcW w:type="dxa" w:w="1162"/>
            <w:tcBorders>
              <w:bottom w:val="single" w:sz="8" w:space="0" w:color="auto"/>
            </w:tcBorders>
          </w:tcPr>
          <w:p>
            <w:pPr>
              <w:pStyle w:val="MDPI42tablebody"/>
              <w:keepNext/>
              <w:spacing w:line="240" w:lineRule="auto" w:before="30" w:after="30"/>
              <w:jc w:val="center"/>
            </w:pPr>
            <w:r>
              <w:rPr>
                <w:b/>
                <w:i w:val="0"/>
                <w:sz w:val="18"/>
              </w:rPr>
              <w:t>(1) First stage</w:t>
            </w:r>
          </w:p>
        </w:tc>
        <w:tc>
          <w:tcPr>
            <w:tcW w:type="dxa" w:w="1162"/>
            <w:tcBorders>
              <w:bottom w:val="single" w:sz="8" w:space="0" w:color="auto"/>
            </w:tcBorders>
          </w:tcPr>
          <w:p>
            <w:pPr>
              <w:pStyle w:val="MDPI42tablebody"/>
              <w:keepNext/>
              <w:spacing w:line="240" w:lineRule="auto" w:before="30" w:after="30"/>
              <w:jc w:val="center"/>
            </w:pPr>
            <w:r>
              <w:rPr>
                <w:b/>
                <w:i w:val="0"/>
                <w:sz w:val="18"/>
              </w:rPr>
              <w:t>(2) 2SLS</w:t>
            </w:r>
          </w:p>
        </w:tc>
        <w:tc>
          <w:tcPr>
            <w:tcW w:type="dxa" w:w="1162"/>
            <w:tcBorders>
              <w:bottom w:val="single" w:sz="8" w:space="0" w:color="auto"/>
            </w:tcBorders>
          </w:tcPr>
          <w:p>
            <w:pPr>
              <w:pStyle w:val="MDPI42tablebody"/>
              <w:keepNext/>
              <w:spacing w:line="240" w:lineRule="auto" w:before="30" w:after="30"/>
              <w:jc w:val="center"/>
            </w:pPr>
            <w:r>
              <w:rPr>
                <w:b/>
                <w:i w:val="0"/>
                <w:sz w:val="18"/>
              </w:rPr>
              <w:t>(3) One-year lag</w:t>
            </w:r>
          </w:p>
        </w:tc>
        <w:tc>
          <w:tcPr>
            <w:tcW w:type="dxa" w:w="1162"/>
            <w:tcBorders>
              <w:bottom w:val="single" w:sz="8" w:space="0" w:color="auto"/>
            </w:tcBorders>
          </w:tcPr>
          <w:p>
            <w:pPr>
              <w:pStyle w:val="MDPI42tablebody"/>
              <w:keepNext/>
              <w:spacing w:line="240" w:lineRule="auto" w:before="30" w:after="30"/>
              <w:jc w:val="center"/>
            </w:pPr>
            <w:r>
              <w:rPr>
                <w:b/>
                <w:i w:val="0"/>
                <w:sz w:val="18"/>
              </w:rPr>
              <w:t>(4) PSM sample</w:t>
            </w:r>
          </w:p>
        </w:tc>
        <w:tc>
          <w:tcPr>
            <w:tcW w:type="dxa" w:w="1162"/>
            <w:tcBorders>
              <w:bottom w:val="single" w:sz="8" w:space="0" w:color="auto"/>
            </w:tcBorders>
          </w:tcPr>
          <w:p>
            <w:pPr>
              <w:pStyle w:val="MDPI42tablebody"/>
              <w:keepNext/>
              <w:spacing w:line="240" w:lineRule="auto" w:before="30" w:after="30"/>
              <w:jc w:val="center"/>
            </w:pPr>
            <w:r>
              <w:rPr>
                <w:b/>
                <w:i w:val="0"/>
                <w:sz w:val="18"/>
              </w:rPr>
              <w:t>(5) Entropy balancing</w:t>
            </w:r>
          </w:p>
        </w:tc>
      </w:tr>
      <w:tr>
        <w:trPr>
          <w:cantSplit/>
        </w:trPr>
        <w:tc>
          <w:tcPr>
            <w:tcW w:type="dxa" w:w="2043"/>
          </w:tcPr>
          <w:p>
            <w:pPr>
              <w:pStyle w:val="MDPI42tablebody"/>
              <w:keepNext/>
              <w:spacing w:line="240" w:lineRule="auto" w:before="30" w:after="30"/>
              <w:jc w:val="left"/>
            </w:pPr>
            <w:r>
              <w:rPr>
                <w:b w:val="0"/>
                <w:i/>
                <w:sz w:val="18"/>
              </w:rPr>
              <w:t>Telephone84 x Nat</w:t>
            </w:r>
          </w:p>
        </w:tc>
        <w:tc>
          <w:tcPr>
            <w:tcW w:type="dxa" w:w="1162"/>
          </w:tcPr>
          <w:p>
            <w:pPr>
              <w:pStyle w:val="MDPI42tablebody"/>
              <w:keepNext/>
              <w:spacing w:line="240" w:lineRule="auto" w:before="30" w:after="30"/>
              <w:jc w:val="center"/>
            </w:pPr>
            <w:r>
              <w:rPr>
                <w:b w:val="0"/>
                <w:i w:val="0"/>
                <w:sz w:val="18"/>
              </w:rPr>
              <w:t>0.430***</w:t>
            </w: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r>
      <w:tr>
        <w:trPr>
          <w:cantSplit/>
        </w:trPr>
        <w:tc>
          <w:tcPr>
            <w:tcW w:type="dxa" w:w="2043"/>
          </w:tcPr>
          <w:p>
            <w:pPr>
              <w:pStyle w:val="MDPI42tablebody"/>
              <w:keepNext/>
              <w:spacing w:line="240" w:lineRule="auto" w:before="30" w:after="30"/>
              <w:jc w:val="left"/>
            </w:pPr>
          </w:p>
        </w:tc>
        <w:tc>
          <w:tcPr>
            <w:tcW w:type="dxa" w:w="1162"/>
          </w:tcPr>
          <w:p>
            <w:pPr>
              <w:pStyle w:val="MDPI42tablebody"/>
              <w:keepNext/>
              <w:spacing w:line="240" w:lineRule="auto" w:before="30" w:after="30"/>
              <w:jc w:val="center"/>
            </w:pPr>
            <w:r>
              <w:rPr>
                <w:b w:val="0"/>
                <w:i w:val="0"/>
                <w:sz w:val="18"/>
              </w:rPr>
              <w:t>(0.019)</w:t>
            </w: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r>
      <w:tr>
        <w:trPr>
          <w:cantSplit/>
        </w:trPr>
        <w:tc>
          <w:tcPr>
            <w:tcW w:type="dxa" w:w="2043"/>
          </w:tcPr>
          <w:p>
            <w:pPr>
              <w:pStyle w:val="MDPI42tablebody"/>
              <w:keepNext/>
              <w:spacing w:line="240" w:lineRule="auto" w:before="30" w:after="30"/>
              <w:jc w:val="left"/>
            </w:pPr>
            <w:r>
              <w:rPr>
                <w:b w:val="0"/>
                <w:i/>
                <w:sz w:val="18"/>
              </w:rPr>
              <w:t>PeerAI</w:t>
            </w:r>
          </w:p>
        </w:tc>
        <w:tc>
          <w:tcPr>
            <w:tcW w:type="dxa" w:w="1162"/>
          </w:tcPr>
          <w:p>
            <w:pPr>
              <w:pStyle w:val="MDPI42tablebody"/>
              <w:keepNext/>
              <w:spacing w:line="240" w:lineRule="auto" w:before="30" w:after="30"/>
              <w:jc w:val="center"/>
            </w:pPr>
            <w:r>
              <w:rPr>
                <w:b w:val="0"/>
                <w:i w:val="0"/>
                <w:sz w:val="18"/>
              </w:rPr>
              <w:t>0.945***</w:t>
            </w: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r>
      <w:tr>
        <w:trPr>
          <w:cantSplit/>
        </w:trPr>
        <w:tc>
          <w:tcPr>
            <w:tcW w:type="dxa" w:w="2043"/>
          </w:tcPr>
          <w:p>
            <w:pPr>
              <w:pStyle w:val="MDPI42tablebody"/>
              <w:keepNext/>
              <w:spacing w:line="240" w:lineRule="auto" w:before="30" w:after="30"/>
              <w:jc w:val="left"/>
            </w:pPr>
          </w:p>
        </w:tc>
        <w:tc>
          <w:tcPr>
            <w:tcW w:type="dxa" w:w="1162"/>
          </w:tcPr>
          <w:p>
            <w:pPr>
              <w:pStyle w:val="MDPI42tablebody"/>
              <w:keepNext/>
              <w:spacing w:line="240" w:lineRule="auto" w:before="30" w:after="30"/>
              <w:jc w:val="center"/>
            </w:pPr>
            <w:r>
              <w:rPr>
                <w:b w:val="0"/>
                <w:i w:val="0"/>
                <w:sz w:val="18"/>
              </w:rPr>
              <w:t>(0.030)</w:t>
            </w: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r>
      <w:tr>
        <w:trPr>
          <w:cantSplit/>
        </w:trPr>
        <w:tc>
          <w:tcPr>
            <w:tcW w:type="dxa" w:w="2043"/>
          </w:tcPr>
          <w:p>
            <w:pPr>
              <w:pStyle w:val="MDPI42tablebody"/>
              <w:keepNext/>
              <w:spacing w:line="240" w:lineRule="auto" w:before="30" w:after="30"/>
              <w:jc w:val="left"/>
            </w:pPr>
            <w:r>
              <w:rPr>
                <w:b w:val="0"/>
                <w:i/>
                <w:sz w:val="18"/>
              </w:rPr>
              <w:t>GenAI</w:t>
            </w: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r>
              <w:rPr>
                <w:b w:val="0"/>
                <w:i w:val="0"/>
                <w:sz w:val="18"/>
              </w:rPr>
              <w:t>−1.462***</w:t>
            </w: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r>
              <w:rPr>
                <w:b w:val="0"/>
                <w:i w:val="0"/>
                <w:sz w:val="18"/>
              </w:rPr>
              <w:t>−1.389***</w:t>
            </w:r>
          </w:p>
        </w:tc>
        <w:tc>
          <w:tcPr>
            <w:tcW w:type="dxa" w:w="1162"/>
          </w:tcPr>
          <w:p>
            <w:pPr>
              <w:pStyle w:val="MDPI42tablebody"/>
              <w:keepNext/>
              <w:spacing w:line="240" w:lineRule="auto" w:before="30" w:after="30"/>
              <w:jc w:val="center"/>
            </w:pPr>
            <w:r>
              <w:rPr>
                <w:b w:val="0"/>
                <w:i w:val="0"/>
                <w:sz w:val="18"/>
              </w:rPr>
              <w:t>−1.347***</w:t>
            </w:r>
          </w:p>
        </w:tc>
      </w:tr>
      <w:tr>
        <w:trPr>
          <w:cantSplit/>
        </w:trPr>
        <w:tc>
          <w:tcPr>
            <w:tcW w:type="dxa" w:w="2043"/>
          </w:tcPr>
          <w:p>
            <w:pPr>
              <w:pStyle w:val="MDPI42tablebody"/>
              <w:keepNext/>
              <w:spacing w:line="240" w:lineRule="auto" w:before="30" w:after="30"/>
              <w:jc w:val="left"/>
            </w:pP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r>
              <w:rPr>
                <w:b w:val="0"/>
                <w:i w:val="0"/>
                <w:sz w:val="18"/>
              </w:rPr>
              <w:t>(0.182)</w:t>
            </w: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r>
              <w:rPr>
                <w:b w:val="0"/>
                <w:i w:val="0"/>
                <w:sz w:val="18"/>
              </w:rPr>
              <w:t>(0.070)</w:t>
            </w:r>
          </w:p>
        </w:tc>
        <w:tc>
          <w:tcPr>
            <w:tcW w:type="dxa" w:w="1162"/>
          </w:tcPr>
          <w:p>
            <w:pPr>
              <w:pStyle w:val="MDPI42tablebody"/>
              <w:keepNext/>
              <w:spacing w:line="240" w:lineRule="auto" w:before="30" w:after="30"/>
              <w:jc w:val="center"/>
            </w:pPr>
            <w:r>
              <w:rPr>
                <w:b w:val="0"/>
                <w:i w:val="0"/>
                <w:sz w:val="18"/>
              </w:rPr>
              <w:t>(0.067)</w:t>
            </w:r>
          </w:p>
        </w:tc>
      </w:tr>
      <w:tr>
        <w:trPr>
          <w:cantSplit/>
        </w:trPr>
        <w:tc>
          <w:tcPr>
            <w:tcW w:type="dxa" w:w="2043"/>
          </w:tcPr>
          <w:p>
            <w:pPr>
              <w:pStyle w:val="MDPI42tablebody"/>
              <w:keepNext/>
              <w:spacing w:line="240" w:lineRule="auto" w:before="30" w:after="30"/>
              <w:jc w:val="left"/>
            </w:pPr>
            <w:r>
              <w:rPr>
                <w:b w:val="0"/>
                <w:i/>
                <w:sz w:val="18"/>
              </w:rPr>
              <w:t>L.GenAI</w:t>
            </w: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r>
              <w:rPr>
                <w:b w:val="0"/>
                <w:i w:val="0"/>
                <w:sz w:val="18"/>
              </w:rPr>
              <w:t>−0.406***</w:t>
            </w: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r>
      <w:tr>
        <w:trPr>
          <w:cantSplit/>
        </w:trPr>
        <w:tc>
          <w:tcPr>
            <w:tcW w:type="dxa" w:w="2043"/>
          </w:tcPr>
          <w:p>
            <w:pPr>
              <w:pStyle w:val="MDPI42tablebody"/>
              <w:keepNext/>
              <w:spacing w:line="240" w:lineRule="auto" w:before="30" w:after="30"/>
              <w:jc w:val="left"/>
            </w:pP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r>
              <w:rPr>
                <w:b w:val="0"/>
                <w:i w:val="0"/>
                <w:sz w:val="18"/>
              </w:rPr>
              <w:t>(0.079)</w:t>
            </w: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r>
      <w:tr>
        <w:trPr>
          <w:cantSplit/>
        </w:trPr>
        <w:tc>
          <w:tcPr>
            <w:tcW w:type="dxa" w:w="2043"/>
          </w:tcPr>
          <w:p>
            <w:pPr>
              <w:pStyle w:val="MDPI42tablebody"/>
              <w:keepNext/>
              <w:spacing w:line="240" w:lineRule="auto" w:before="30" w:after="30"/>
              <w:jc w:val="left"/>
            </w:pPr>
            <w:r>
              <w:rPr>
                <w:b w:val="0"/>
                <w:i/>
                <w:sz w:val="18"/>
              </w:rPr>
              <w:t>Controls</w:t>
            </w:r>
          </w:p>
        </w:tc>
        <w:tc>
          <w:tcPr>
            <w:tcW w:type="dxa" w:w="1162"/>
          </w:tcPr>
          <w:p>
            <w:pPr>
              <w:pStyle w:val="MDPI42tablebody"/>
              <w:keepNext/>
              <w:spacing w:line="240" w:lineRule="auto" w:before="30" w:after="30"/>
              <w:jc w:val="center"/>
            </w:pPr>
            <w:r>
              <w:rPr>
                <w:b w:val="0"/>
                <w:i w:val="0"/>
                <w:sz w:val="18"/>
              </w:rPr>
              <w:t>YES</w:t>
            </w:r>
          </w:p>
        </w:tc>
        <w:tc>
          <w:tcPr>
            <w:tcW w:type="dxa" w:w="1162"/>
          </w:tcPr>
          <w:p>
            <w:pPr>
              <w:pStyle w:val="MDPI42tablebody"/>
              <w:keepNext/>
              <w:spacing w:line="240" w:lineRule="auto" w:before="30" w:after="30"/>
              <w:jc w:val="center"/>
            </w:pPr>
            <w:r>
              <w:rPr>
                <w:b w:val="0"/>
                <w:i w:val="0"/>
                <w:sz w:val="18"/>
              </w:rPr>
              <w:t>YES</w:t>
            </w:r>
          </w:p>
        </w:tc>
        <w:tc>
          <w:tcPr>
            <w:tcW w:type="dxa" w:w="1162"/>
          </w:tcPr>
          <w:p>
            <w:pPr>
              <w:pStyle w:val="MDPI42tablebody"/>
              <w:keepNext/>
              <w:spacing w:line="240" w:lineRule="auto" w:before="30" w:after="30"/>
              <w:jc w:val="center"/>
            </w:pPr>
            <w:r>
              <w:rPr>
                <w:b w:val="0"/>
                <w:i w:val="0"/>
                <w:sz w:val="18"/>
              </w:rPr>
              <w:t>YES</w:t>
            </w:r>
          </w:p>
        </w:tc>
        <w:tc>
          <w:tcPr>
            <w:tcW w:type="dxa" w:w="1162"/>
          </w:tcPr>
          <w:p>
            <w:pPr>
              <w:pStyle w:val="MDPI42tablebody"/>
              <w:keepNext/>
              <w:spacing w:line="240" w:lineRule="auto" w:before="30" w:after="30"/>
              <w:jc w:val="center"/>
            </w:pPr>
            <w:r>
              <w:rPr>
                <w:b w:val="0"/>
                <w:i w:val="0"/>
                <w:sz w:val="18"/>
              </w:rPr>
              <w:t>YES</w:t>
            </w:r>
          </w:p>
        </w:tc>
        <w:tc>
          <w:tcPr>
            <w:tcW w:type="dxa" w:w="1162"/>
          </w:tcPr>
          <w:p>
            <w:pPr>
              <w:pStyle w:val="MDPI42tablebody"/>
              <w:keepNext/>
              <w:spacing w:line="240" w:lineRule="auto" w:before="30" w:after="30"/>
              <w:jc w:val="center"/>
            </w:pPr>
            <w:r>
              <w:rPr>
                <w:b w:val="0"/>
                <w:i w:val="0"/>
                <w:sz w:val="18"/>
              </w:rPr>
              <w:t>YES</w:t>
            </w:r>
          </w:p>
        </w:tc>
      </w:tr>
      <w:tr>
        <w:trPr>
          <w:cantSplit/>
        </w:trPr>
        <w:tc>
          <w:tcPr>
            <w:tcW w:type="dxa" w:w="2043"/>
          </w:tcPr>
          <w:p>
            <w:pPr>
              <w:pStyle w:val="MDPI42tablebody"/>
              <w:keepNext/>
              <w:spacing w:line="240" w:lineRule="auto" w:before="30" w:after="30"/>
              <w:jc w:val="left"/>
            </w:pPr>
            <w:r>
              <w:rPr>
                <w:b w:val="0"/>
                <w:i/>
                <w:sz w:val="18"/>
              </w:rPr>
              <w:t>Year FE</w:t>
            </w:r>
          </w:p>
        </w:tc>
        <w:tc>
          <w:tcPr>
            <w:tcW w:type="dxa" w:w="1162"/>
          </w:tcPr>
          <w:p>
            <w:pPr>
              <w:pStyle w:val="MDPI42tablebody"/>
              <w:keepNext/>
              <w:spacing w:line="240" w:lineRule="auto" w:before="30" w:after="30"/>
              <w:jc w:val="center"/>
            </w:pPr>
            <w:r>
              <w:rPr>
                <w:b w:val="0"/>
                <w:i w:val="0"/>
                <w:sz w:val="18"/>
              </w:rPr>
              <w:t>YES</w:t>
            </w:r>
          </w:p>
        </w:tc>
        <w:tc>
          <w:tcPr>
            <w:tcW w:type="dxa" w:w="1162"/>
          </w:tcPr>
          <w:p>
            <w:pPr>
              <w:pStyle w:val="MDPI42tablebody"/>
              <w:keepNext/>
              <w:spacing w:line="240" w:lineRule="auto" w:before="30" w:after="30"/>
              <w:jc w:val="center"/>
            </w:pPr>
            <w:r>
              <w:rPr>
                <w:b w:val="0"/>
                <w:i w:val="0"/>
                <w:sz w:val="18"/>
              </w:rPr>
              <w:t>YES</w:t>
            </w:r>
          </w:p>
        </w:tc>
        <w:tc>
          <w:tcPr>
            <w:tcW w:type="dxa" w:w="1162"/>
          </w:tcPr>
          <w:p>
            <w:pPr>
              <w:pStyle w:val="MDPI42tablebody"/>
              <w:keepNext/>
              <w:spacing w:line="240" w:lineRule="auto" w:before="30" w:after="30"/>
              <w:jc w:val="center"/>
            </w:pPr>
            <w:r>
              <w:rPr>
                <w:b w:val="0"/>
                <w:i w:val="0"/>
                <w:sz w:val="18"/>
              </w:rPr>
              <w:t>YES</w:t>
            </w:r>
          </w:p>
        </w:tc>
        <w:tc>
          <w:tcPr>
            <w:tcW w:type="dxa" w:w="1162"/>
          </w:tcPr>
          <w:p>
            <w:pPr>
              <w:pStyle w:val="MDPI42tablebody"/>
              <w:keepNext/>
              <w:spacing w:line="240" w:lineRule="auto" w:before="30" w:after="30"/>
              <w:jc w:val="center"/>
            </w:pPr>
            <w:r>
              <w:rPr>
                <w:b w:val="0"/>
                <w:i w:val="0"/>
                <w:sz w:val="18"/>
              </w:rPr>
              <w:t>YES</w:t>
            </w:r>
          </w:p>
        </w:tc>
        <w:tc>
          <w:tcPr>
            <w:tcW w:type="dxa" w:w="1162"/>
          </w:tcPr>
          <w:p>
            <w:pPr>
              <w:pStyle w:val="MDPI42tablebody"/>
              <w:keepNext/>
              <w:spacing w:line="240" w:lineRule="auto" w:before="30" w:after="30"/>
              <w:jc w:val="center"/>
            </w:pPr>
            <w:r>
              <w:rPr>
                <w:b w:val="0"/>
                <w:i w:val="0"/>
                <w:sz w:val="18"/>
              </w:rPr>
              <w:t>YES</w:t>
            </w:r>
          </w:p>
        </w:tc>
      </w:tr>
      <w:tr>
        <w:trPr>
          <w:cantSplit/>
        </w:trPr>
        <w:tc>
          <w:tcPr>
            <w:tcW w:type="dxa" w:w="2043"/>
          </w:tcPr>
          <w:p>
            <w:pPr>
              <w:pStyle w:val="MDPI42tablebody"/>
              <w:keepNext/>
              <w:spacing w:line="240" w:lineRule="auto" w:before="30" w:after="30"/>
              <w:jc w:val="left"/>
            </w:pPr>
            <w:r>
              <w:rPr>
                <w:b w:val="0"/>
                <w:i/>
                <w:sz w:val="18"/>
              </w:rPr>
              <w:t>Firm FE</w:t>
            </w:r>
          </w:p>
        </w:tc>
        <w:tc>
          <w:tcPr>
            <w:tcW w:type="dxa" w:w="1162"/>
          </w:tcPr>
          <w:p>
            <w:pPr>
              <w:pStyle w:val="MDPI42tablebody"/>
              <w:keepNext/>
              <w:spacing w:line="240" w:lineRule="auto" w:before="30" w:after="30"/>
              <w:jc w:val="center"/>
            </w:pPr>
            <w:r>
              <w:rPr>
                <w:b w:val="0"/>
                <w:i w:val="0"/>
                <w:sz w:val="18"/>
              </w:rPr>
              <w:t>YES</w:t>
            </w:r>
          </w:p>
        </w:tc>
        <w:tc>
          <w:tcPr>
            <w:tcW w:type="dxa" w:w="1162"/>
          </w:tcPr>
          <w:p>
            <w:pPr>
              <w:pStyle w:val="MDPI42tablebody"/>
              <w:keepNext/>
              <w:spacing w:line="240" w:lineRule="auto" w:before="30" w:after="30"/>
              <w:jc w:val="center"/>
            </w:pPr>
            <w:r>
              <w:rPr>
                <w:b w:val="0"/>
                <w:i w:val="0"/>
                <w:sz w:val="18"/>
              </w:rPr>
              <w:t>YES</w:t>
            </w:r>
          </w:p>
        </w:tc>
        <w:tc>
          <w:tcPr>
            <w:tcW w:type="dxa" w:w="1162"/>
          </w:tcPr>
          <w:p>
            <w:pPr>
              <w:pStyle w:val="MDPI42tablebody"/>
              <w:keepNext/>
              <w:spacing w:line="240" w:lineRule="auto" w:before="30" w:after="30"/>
              <w:jc w:val="center"/>
            </w:pPr>
            <w:r>
              <w:rPr>
                <w:b w:val="0"/>
                <w:i w:val="0"/>
                <w:sz w:val="18"/>
              </w:rPr>
              <w:t>YES</w:t>
            </w:r>
          </w:p>
        </w:tc>
        <w:tc>
          <w:tcPr>
            <w:tcW w:type="dxa" w:w="1162"/>
          </w:tcPr>
          <w:p>
            <w:pPr>
              <w:pStyle w:val="MDPI42tablebody"/>
              <w:keepNext/>
              <w:spacing w:line="240" w:lineRule="auto" w:before="30" w:after="30"/>
              <w:jc w:val="center"/>
            </w:pPr>
            <w:r>
              <w:rPr>
                <w:b w:val="0"/>
                <w:i w:val="0"/>
                <w:sz w:val="18"/>
              </w:rPr>
              <w:t>YES</w:t>
            </w:r>
          </w:p>
        </w:tc>
        <w:tc>
          <w:tcPr>
            <w:tcW w:type="dxa" w:w="1162"/>
          </w:tcPr>
          <w:p>
            <w:pPr>
              <w:pStyle w:val="MDPI42tablebody"/>
              <w:keepNext/>
              <w:spacing w:line="240" w:lineRule="auto" w:before="30" w:after="30"/>
              <w:jc w:val="center"/>
            </w:pPr>
            <w:r>
              <w:rPr>
                <w:b w:val="0"/>
                <w:i w:val="0"/>
                <w:sz w:val="18"/>
              </w:rPr>
              <w:t>YES</w:t>
            </w:r>
          </w:p>
        </w:tc>
      </w:tr>
      <w:tr>
        <w:trPr>
          <w:cantSplit/>
        </w:trPr>
        <w:tc>
          <w:tcPr>
            <w:tcW w:type="dxa" w:w="2043"/>
          </w:tcPr>
          <w:p>
            <w:pPr>
              <w:pStyle w:val="MDPI42tablebody"/>
              <w:keepNext/>
              <w:spacing w:line="240" w:lineRule="auto" w:before="30" w:after="30"/>
              <w:jc w:val="left"/>
            </w:pPr>
            <w:r>
              <w:rPr>
                <w:b w:val="0"/>
                <w:i/>
                <w:sz w:val="18"/>
              </w:rPr>
              <w:t>Kleibergen-Paap rk F</w:t>
            </w:r>
          </w:p>
        </w:tc>
        <w:tc>
          <w:tcPr>
            <w:tcW w:type="dxa" w:w="1162"/>
          </w:tcPr>
          <w:p>
            <w:pPr>
              <w:pStyle w:val="MDPI42tablebody"/>
              <w:keepNext/>
              <w:spacing w:line="240" w:lineRule="auto" w:before="30" w:after="30"/>
              <w:jc w:val="center"/>
            </w:pPr>
            <w:r>
              <w:rPr>
                <w:b w:val="0"/>
                <w:i w:val="0"/>
                <w:sz w:val="18"/>
              </w:rPr>
              <w:t>740.8</w:t>
            </w: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r>
      <w:tr>
        <w:trPr>
          <w:cantSplit/>
        </w:trPr>
        <w:tc>
          <w:tcPr>
            <w:tcW w:type="dxa" w:w="2043"/>
          </w:tcPr>
          <w:p>
            <w:pPr>
              <w:pStyle w:val="MDPI42tablebody"/>
              <w:keepNext/>
              <w:spacing w:line="240" w:lineRule="auto" w:before="30" w:after="30"/>
              <w:jc w:val="left"/>
            </w:pPr>
            <w:r>
              <w:rPr>
                <w:b w:val="0"/>
                <w:i/>
                <w:sz w:val="18"/>
              </w:rPr>
              <w:t>Hansen J (p-value)</w:t>
            </w: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r>
              <w:rPr>
                <w:b w:val="0"/>
                <w:i w:val="0"/>
                <w:sz w:val="18"/>
              </w:rPr>
              <w:t>0.698 (0.403)</w:t>
            </w: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r>
      <w:tr>
        <w:trPr>
          <w:cantSplit/>
        </w:trPr>
        <w:tc>
          <w:tcPr>
            <w:tcW w:type="dxa" w:w="2043"/>
          </w:tcPr>
          <w:p>
            <w:pPr>
              <w:pStyle w:val="MDPI42tablebody"/>
              <w:keepNext/>
              <w:spacing w:line="240" w:lineRule="auto" w:before="30" w:after="30"/>
              <w:jc w:val="left"/>
            </w:pPr>
            <w:r>
              <w:rPr>
                <w:b w:val="0"/>
                <w:i/>
                <w:sz w:val="18"/>
              </w:rPr>
              <w:t>Durbin-Wu-Hausman (p-value)</w:t>
            </w: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r>
              <w:rPr>
                <w:b w:val="0"/>
                <w:i w:val="0"/>
                <w:sz w:val="18"/>
              </w:rPr>
              <w:t>0.343</w:t>
            </w: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c>
          <w:tcPr>
            <w:tcW w:type="dxa" w:w="1162"/>
          </w:tcPr>
          <w:p>
            <w:pPr>
              <w:pStyle w:val="MDPI42tablebody"/>
              <w:keepNext/>
              <w:spacing w:line="240" w:lineRule="auto" w:before="30" w:after="30"/>
              <w:jc w:val="center"/>
            </w:pPr>
          </w:p>
        </w:tc>
      </w:tr>
      <w:tr>
        <w:trPr>
          <w:cantSplit/>
        </w:trPr>
        <w:tc>
          <w:tcPr>
            <w:tcW w:type="dxa" w:w="2043"/>
          </w:tcPr>
          <w:p>
            <w:pPr>
              <w:pStyle w:val="MDPI42tablebody"/>
              <w:spacing w:line="240" w:lineRule="auto" w:before="30" w:after="30"/>
              <w:jc w:val="left"/>
            </w:pPr>
            <w:r>
              <w:rPr>
                <w:b w:val="0"/>
                <w:i/>
                <w:sz w:val="18"/>
              </w:rPr>
              <w:t>Observations</w:t>
            </w:r>
          </w:p>
        </w:tc>
        <w:tc>
          <w:tcPr>
            <w:tcW w:type="dxa" w:w="1162"/>
          </w:tcPr>
          <w:p>
            <w:pPr>
              <w:pStyle w:val="MDPI42tablebody"/>
              <w:spacing w:line="240" w:lineRule="auto" w:before="30" w:after="30"/>
              <w:jc w:val="center"/>
            </w:pPr>
            <w:r>
              <w:rPr>
                <w:b w:val="0"/>
                <w:i w:val="0"/>
                <w:sz w:val="18"/>
              </w:rPr>
              <w:t>25,701</w:t>
            </w:r>
          </w:p>
        </w:tc>
        <w:tc>
          <w:tcPr>
            <w:tcW w:type="dxa" w:w="1162"/>
          </w:tcPr>
          <w:p>
            <w:pPr>
              <w:pStyle w:val="MDPI42tablebody"/>
              <w:spacing w:line="240" w:lineRule="auto" w:before="30" w:after="30"/>
              <w:jc w:val="center"/>
            </w:pPr>
            <w:r>
              <w:rPr>
                <w:b w:val="0"/>
                <w:i w:val="0"/>
                <w:sz w:val="18"/>
              </w:rPr>
              <w:t>25,701</w:t>
            </w:r>
          </w:p>
        </w:tc>
        <w:tc>
          <w:tcPr>
            <w:tcW w:type="dxa" w:w="1162"/>
          </w:tcPr>
          <w:p>
            <w:pPr>
              <w:pStyle w:val="MDPI42tablebody"/>
              <w:spacing w:line="240" w:lineRule="auto" w:before="30" w:after="30"/>
              <w:jc w:val="center"/>
            </w:pPr>
            <w:r>
              <w:rPr>
                <w:b w:val="0"/>
                <w:i w:val="0"/>
                <w:sz w:val="18"/>
              </w:rPr>
              <w:t>22,701</w:t>
            </w:r>
          </w:p>
        </w:tc>
        <w:tc>
          <w:tcPr>
            <w:tcW w:type="dxa" w:w="1162"/>
          </w:tcPr>
          <w:p>
            <w:pPr>
              <w:pStyle w:val="MDPI42tablebody"/>
              <w:spacing w:line="240" w:lineRule="auto" w:before="30" w:after="30"/>
              <w:jc w:val="center"/>
            </w:pPr>
            <w:r>
              <w:rPr>
                <w:b w:val="0"/>
                <w:i w:val="0"/>
                <w:sz w:val="18"/>
              </w:rPr>
              <w:t>23,315</w:t>
            </w:r>
          </w:p>
        </w:tc>
        <w:tc>
          <w:tcPr>
            <w:tcW w:type="dxa" w:w="1162"/>
          </w:tcPr>
          <w:p>
            <w:pPr>
              <w:pStyle w:val="MDPI42tablebody"/>
              <w:spacing w:line="240" w:lineRule="auto" w:before="30" w:after="30"/>
              <w:jc w:val="center"/>
            </w:pPr>
            <w:r>
              <w:rPr>
                <w:b w:val="0"/>
                <w:i w:val="0"/>
                <w:sz w:val="18"/>
              </w:rPr>
              <w:t>25,701</w:t>
            </w:r>
          </w:p>
        </w:tc>
      </w:tr>
    </w:tbl>
    <w:p>
      <w:pPr>
        <w:pStyle w:val="MDPI43tablefooter"/>
        <w:spacing w:line="240" w:lineRule="auto" w:before="40" w:after="200"/>
        <w:ind w:left="2608" w:firstLine="0"/>
      </w:pPr>
      <w:r>
        <w:rPr>
          <w:sz w:val="16"/>
        </w:rPr>
        <w:t xml:space="preserve">Note: </w:t>
      </w:r>
      <w:r>
        <w:rPr>
          <w:b w:val="0"/>
          <w:i w:val="0"/>
          <w:sz w:val="16"/>
        </w:rPr>
        <w:t>Column (1) reports the first stage of the two-stage least-squares estimation, whose dependent variable is GenAI; the remaining columns take Youth as the dependent variable. Column (4) uses the sample matched one to one on the propensity score and column (5) weights the sample by entropy-balancing weights. The null hypothesis of the Hansen J test is that the instruments are uncorrelated with the second-stage error; the null of the Durbin-Wu-Hausman test is that GenAI is exogenous. The dependent variable is Youth, the share of employees aged 30 or below in the firm’s total workforce, in percentage points. Values in parentheses are standard errors clustered at the firm level. ***, ** and * denote significance at the 1%, 5% and 10% levels, respectively. Source: authors’ own calculations.</w:t>
      </w:r>
    </w:p>
    <w:p>
      <w:pPr>
        <w:pStyle w:val="MDPI22heading2"/>
      </w:pPr>
      <w:r>
        <w:t>4.5. Robustness Checks</w:t>
      </w:r>
    </w:p>
    <w:p>
      <w:pPr>
        <w:pStyle w:val="MDPI32textnoindent"/>
      </w:pPr>
      <w:r>
        <w:rPr>
          <w:b w:val="0"/>
          <w:i w:val="0"/>
        </w:rPr>
        <w:t>Table 8 reports seven robustness checks, each of which retains the full control set and both sets of fixed effects. Excluding the pandemic years 2020 and 2021, restricting the sample to firms observed in every year, replacing the continuous adoption measure with an indicator for adoption above the annual median, redefining the outcome as the youth share of the age-classified workforce, clustering by firm and year simultaneously, and winsorizing the outcome more aggressively all leave the conclusion intact; the estimated coefficient ranges between 1.230 and 1.450 in absolute value and is significant at the one percent level throughout.</w:t>
      </w:r>
    </w:p>
    <w:p>
      <w:pPr>
        <w:pStyle w:val="MDPI31text"/>
      </w:pPr>
      <w:r>
        <w:rPr>
          <w:b w:val="0"/>
          <w:i w:val="0"/>
        </w:rPr>
        <w:t>The final row is the placebo. If the mechanism is the substitution of generative models for the codifiable work that entrants perform, then employment of workers aged 31 to 50, who hold the supervisory and judgement-intensive positions the technology does not reach, should be largely unaffected. The estimated coefficient is −0.121 (p = 0.035), an order of magnitude smaller than the youth coefficient; the ratio of the two is 11.2. The displacement is specific to the age group the theory names, which no generic technology shock or firm downsizing story would produce.</w:t>
      </w:r>
    </w:p>
    <w:p>
      <w:pPr>
        <w:pStyle w:val="MDPI31text"/>
      </w:pPr>
      <w:r>
        <w:rPr>
          <w:b w:val="0"/>
          <w:i w:val="0"/>
        </w:rPr>
        <w:t xml:space="preserve">Two further diagnostics are reported here rather than in the table. Applying the coefficient-stability bounds of Ref. </w:t>
      </w:r>
      <w:r>
        <w:t>[</w:t>
      </w:r>
      <w:r>
        <w:fldChar w:fldCharType="begin"/>
      </w:r>
      <w:r>
        <w:instrText xml:space="preserve"> REF _Ref_96 \h </w:instrText>
      </w:r>
      <w:r>
        <w:fldChar w:fldCharType="separate"/>
      </w:r>
      <w:r>
        <w:t>96</w:t>
      </w:r>
      <w:r>
        <w:fldChar w:fldCharType="end"/>
      </w:r>
      <w:r>
        <w:t>]</w:t>
      </w:r>
      <w:r>
        <w:rPr>
          <w:b w:val="0"/>
          <w:i w:val="0"/>
        </w:rPr>
        <w:t xml:space="preserve">, selection on unobservables would have to be 12.4 times as strong as selection on the observed controls, and of the opposite sign, to overturn the result; the identified set runs from the controlled estimate to −1.456 and does not contain zero. A restricted wild cluster bootstrap with Rademacher weights and 999 replications, which imposes the null before resampling and is reliable when the regressor of interest is unevenly distributed across clusters </w:t>
      </w:r>
      <w:r>
        <w:t>[</w:t>
      </w:r>
      <w:r>
        <w:fldChar w:fldCharType="begin"/>
      </w:r>
      <w:r>
        <w:instrText xml:space="preserve"> REF _Ref_97 \h </w:instrText>
      </w:r>
      <w:r>
        <w:fldChar w:fldCharType="separate"/>
      </w:r>
      <w:r>
        <w:t>97</w:t>
      </w:r>
      <w:r>
        <w:fldChar w:fldCharType="end"/>
      </w:r>
      <w:r>
        <w:t>,</w:t>
      </w:r>
      <w:r>
        <w:fldChar w:fldCharType="begin"/>
      </w:r>
      <w:r>
        <w:instrText xml:space="preserve"> REF _Ref_98 \h </w:instrText>
      </w:r>
      <w:r>
        <w:fldChar w:fldCharType="separate"/>
      </w:r>
      <w:r>
        <w:t>98</w:t>
      </w:r>
      <w:r>
        <w:fldChar w:fldCharType="end"/>
      </w:r>
      <w:r>
        <w:t>]</w:t>
      </w:r>
      <w:r>
        <w:rPr>
          <w:b w:val="0"/>
          <w:i w:val="0"/>
        </w:rPr>
        <w:t>, returns a p-value of 0.001.</w:t>
      </w:r>
    </w:p>
    <w:p>
      <w:pPr>
        <w:pStyle w:val="MDPI41tablecaption"/>
        <w:keepNext/>
        <w:spacing w:after="60"/>
      </w:pPr>
      <w:r>
        <w:rPr>
          <w:b/>
          <w:sz w:val="18"/>
        </w:rPr>
        <w:t xml:space="preserve">Table 8. </w:t>
      </w:r>
      <w:r>
        <w:rPr>
          <w:b w:val="0"/>
          <w:i w:val="0"/>
          <w:sz w:val="18"/>
        </w:rPr>
        <w:t>Robustness checks.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986"/>
        <w:gridCol w:w="1100"/>
        <w:gridCol w:w="942"/>
        <w:gridCol w:w="1571"/>
        <w:gridCol w:w="1257"/>
      </w:tblGrid>
      <w:tr>
        <w:trPr>
          <w:cantSplit/>
          <w:tblHeader/>
        </w:trPr>
        <w:tc>
          <w:tcPr>
            <w:tcW w:type="dxa" w:w="2986"/>
            <w:tcBorders>
              <w:bottom w:val="single" w:sz="8" w:space="0" w:color="auto"/>
            </w:tcBorders>
          </w:tcPr>
          <w:p>
            <w:pPr>
              <w:pStyle w:val="MDPI42tablebody"/>
              <w:keepNext/>
              <w:spacing w:line="240" w:lineRule="auto" w:before="30" w:after="30"/>
              <w:jc w:val="center"/>
            </w:pPr>
            <w:r>
              <w:rPr>
                <w:b/>
                <w:i w:val="0"/>
                <w:sz w:val="18"/>
              </w:rPr>
              <w:t>Specification</w:t>
            </w:r>
          </w:p>
        </w:tc>
        <w:tc>
          <w:tcPr>
            <w:tcW w:type="dxa" w:w="1100"/>
            <w:tcBorders>
              <w:bottom w:val="single" w:sz="8" w:space="0" w:color="auto"/>
            </w:tcBorders>
          </w:tcPr>
          <w:p>
            <w:pPr>
              <w:pStyle w:val="MDPI42tablebody"/>
              <w:keepNext/>
              <w:spacing w:line="240" w:lineRule="auto" w:before="30" w:after="30"/>
              <w:jc w:val="center"/>
            </w:pPr>
            <w:r>
              <w:rPr>
                <w:b/>
                <w:i w:val="0"/>
                <w:sz w:val="18"/>
              </w:rPr>
              <w:t>GenAI</w:t>
            </w:r>
          </w:p>
        </w:tc>
        <w:tc>
          <w:tcPr>
            <w:tcW w:type="dxa" w:w="942"/>
            <w:tcBorders>
              <w:bottom w:val="single" w:sz="8" w:space="0" w:color="auto"/>
            </w:tcBorders>
          </w:tcPr>
          <w:p>
            <w:pPr>
              <w:pStyle w:val="MDPI42tablebody"/>
              <w:keepNext/>
              <w:spacing w:line="240" w:lineRule="auto" w:before="30" w:after="30"/>
              <w:jc w:val="center"/>
            </w:pPr>
            <w:r>
              <w:rPr>
                <w:b/>
                <w:i w:val="0"/>
                <w:sz w:val="18"/>
              </w:rPr>
              <w:t>S.E.</w:t>
            </w:r>
          </w:p>
        </w:tc>
        <w:tc>
          <w:tcPr>
            <w:tcW w:type="dxa" w:w="1571"/>
            <w:tcBorders>
              <w:bottom w:val="single" w:sz="8" w:space="0" w:color="auto"/>
            </w:tcBorders>
          </w:tcPr>
          <w:p>
            <w:pPr>
              <w:pStyle w:val="MDPI42tablebody"/>
              <w:keepNext/>
              <w:spacing w:line="240" w:lineRule="auto" w:before="30" w:after="30"/>
              <w:jc w:val="center"/>
            </w:pPr>
            <w:r>
              <w:rPr>
                <w:b/>
                <w:i w:val="0"/>
                <w:sz w:val="18"/>
              </w:rPr>
              <w:t>Observations</w:t>
            </w:r>
          </w:p>
        </w:tc>
        <w:tc>
          <w:tcPr>
            <w:tcW w:type="dxa" w:w="1257"/>
            <w:tcBorders>
              <w:bottom w:val="single" w:sz="8" w:space="0" w:color="auto"/>
            </w:tcBorders>
          </w:tcPr>
          <w:p>
            <w:pPr>
              <w:pStyle w:val="MDPI42tablebody"/>
              <w:keepNext/>
              <w:spacing w:line="240" w:lineRule="auto" w:before="30" w:after="30"/>
              <w:jc w:val="center"/>
            </w:pPr>
            <w:r>
              <w:rPr>
                <w:b/>
                <w:i w:val="0"/>
                <w:sz w:val="18"/>
              </w:rPr>
              <w:t>R-squared</w:t>
            </w:r>
          </w:p>
        </w:tc>
      </w:tr>
      <w:tr>
        <w:trPr>
          <w:cantSplit/>
        </w:trPr>
        <w:tc>
          <w:tcPr>
            <w:tcW w:type="dxa" w:w="2986"/>
          </w:tcPr>
          <w:p>
            <w:pPr>
              <w:pStyle w:val="MDPI42tablebody"/>
              <w:keepNext/>
              <w:spacing w:line="240" w:lineRule="auto" w:before="30" w:after="30"/>
              <w:jc w:val="left"/>
            </w:pPr>
            <w:r>
              <w:rPr>
                <w:b w:val="0"/>
                <w:i/>
                <w:sz w:val="18"/>
              </w:rPr>
              <w:t>Excluding 2020 and 2021</w:t>
            </w:r>
          </w:p>
        </w:tc>
        <w:tc>
          <w:tcPr>
            <w:tcW w:type="dxa" w:w="1100"/>
          </w:tcPr>
          <w:p>
            <w:pPr>
              <w:pStyle w:val="MDPI42tablebody"/>
              <w:keepNext/>
              <w:spacing w:line="240" w:lineRule="auto" w:before="30" w:after="30"/>
              <w:jc w:val="center"/>
            </w:pPr>
            <w:r>
              <w:rPr>
                <w:b w:val="0"/>
                <w:i w:val="0"/>
                <w:sz w:val="18"/>
              </w:rPr>
              <w:t>−1.450***</w:t>
            </w:r>
          </w:p>
        </w:tc>
        <w:tc>
          <w:tcPr>
            <w:tcW w:type="dxa" w:w="942"/>
          </w:tcPr>
          <w:p>
            <w:pPr>
              <w:pStyle w:val="MDPI42tablebody"/>
              <w:keepNext/>
              <w:spacing w:line="240" w:lineRule="auto" w:before="30" w:after="30"/>
              <w:jc w:val="center"/>
            </w:pPr>
            <w:r>
              <w:rPr>
                <w:b w:val="0"/>
                <w:i w:val="0"/>
                <w:sz w:val="18"/>
              </w:rPr>
              <w:t>(0.077)</w:t>
            </w:r>
          </w:p>
        </w:tc>
        <w:tc>
          <w:tcPr>
            <w:tcW w:type="dxa" w:w="1571"/>
          </w:tcPr>
          <w:p>
            <w:pPr>
              <w:pStyle w:val="MDPI42tablebody"/>
              <w:keepNext/>
              <w:spacing w:line="240" w:lineRule="auto" w:before="30" w:after="30"/>
              <w:jc w:val="center"/>
            </w:pPr>
            <w:r>
              <w:rPr>
                <w:b w:val="0"/>
                <w:i w:val="0"/>
                <w:sz w:val="18"/>
              </w:rPr>
              <w:t>19,701</w:t>
            </w:r>
          </w:p>
        </w:tc>
        <w:tc>
          <w:tcPr>
            <w:tcW w:type="dxa" w:w="1257"/>
          </w:tcPr>
          <w:p>
            <w:pPr>
              <w:pStyle w:val="MDPI42tablebody"/>
              <w:keepNext/>
              <w:spacing w:line="240" w:lineRule="auto" w:before="30" w:after="30"/>
              <w:jc w:val="center"/>
            </w:pPr>
            <w:r>
              <w:rPr>
                <w:b w:val="0"/>
                <w:i w:val="0"/>
                <w:sz w:val="18"/>
              </w:rPr>
              <w:t>0.068</w:t>
            </w:r>
          </w:p>
        </w:tc>
      </w:tr>
      <w:tr>
        <w:trPr>
          <w:cantSplit/>
        </w:trPr>
        <w:tc>
          <w:tcPr>
            <w:tcW w:type="dxa" w:w="2986"/>
          </w:tcPr>
          <w:p>
            <w:pPr>
              <w:pStyle w:val="MDPI42tablebody"/>
              <w:keepNext/>
              <w:spacing w:line="240" w:lineRule="auto" w:before="30" w:after="30"/>
              <w:jc w:val="left"/>
            </w:pPr>
            <w:r>
              <w:rPr>
                <w:b w:val="0"/>
                <w:i/>
                <w:sz w:val="18"/>
              </w:rPr>
              <w:t>Balanced panel only</w:t>
            </w:r>
          </w:p>
        </w:tc>
        <w:tc>
          <w:tcPr>
            <w:tcW w:type="dxa" w:w="1100"/>
          </w:tcPr>
          <w:p>
            <w:pPr>
              <w:pStyle w:val="MDPI42tablebody"/>
              <w:keepNext/>
              <w:spacing w:line="240" w:lineRule="auto" w:before="30" w:after="30"/>
              <w:jc w:val="center"/>
            </w:pPr>
            <w:r>
              <w:rPr>
                <w:b w:val="0"/>
                <w:i w:val="0"/>
                <w:sz w:val="18"/>
              </w:rPr>
              <w:t>−1.345***</w:t>
            </w:r>
          </w:p>
        </w:tc>
        <w:tc>
          <w:tcPr>
            <w:tcW w:type="dxa" w:w="942"/>
          </w:tcPr>
          <w:p>
            <w:pPr>
              <w:pStyle w:val="MDPI42tablebody"/>
              <w:keepNext/>
              <w:spacing w:line="240" w:lineRule="auto" w:before="30" w:after="30"/>
              <w:jc w:val="center"/>
            </w:pPr>
            <w:r>
              <w:rPr>
                <w:b w:val="0"/>
                <w:i w:val="0"/>
                <w:sz w:val="18"/>
              </w:rPr>
              <w:t>(0.075)</w:t>
            </w:r>
          </w:p>
        </w:tc>
        <w:tc>
          <w:tcPr>
            <w:tcW w:type="dxa" w:w="1571"/>
          </w:tcPr>
          <w:p>
            <w:pPr>
              <w:pStyle w:val="MDPI42tablebody"/>
              <w:keepNext/>
              <w:spacing w:line="240" w:lineRule="auto" w:before="30" w:after="30"/>
              <w:jc w:val="center"/>
            </w:pPr>
            <w:r>
              <w:rPr>
                <w:b w:val="0"/>
                <w:i w:val="0"/>
                <w:sz w:val="18"/>
              </w:rPr>
              <w:t>21,195</w:t>
            </w:r>
          </w:p>
        </w:tc>
        <w:tc>
          <w:tcPr>
            <w:tcW w:type="dxa" w:w="1257"/>
          </w:tcPr>
          <w:p>
            <w:pPr>
              <w:pStyle w:val="MDPI42tablebody"/>
              <w:keepNext/>
              <w:spacing w:line="240" w:lineRule="auto" w:before="30" w:after="30"/>
              <w:jc w:val="center"/>
            </w:pPr>
            <w:r>
              <w:rPr>
                <w:b w:val="0"/>
                <w:i w:val="0"/>
                <w:sz w:val="18"/>
              </w:rPr>
              <w:t>0.061</w:t>
            </w:r>
          </w:p>
        </w:tc>
      </w:tr>
      <w:tr>
        <w:trPr>
          <w:cantSplit/>
        </w:trPr>
        <w:tc>
          <w:tcPr>
            <w:tcW w:type="dxa" w:w="2986"/>
          </w:tcPr>
          <w:p>
            <w:pPr>
              <w:pStyle w:val="MDPI42tablebody"/>
              <w:keepNext/>
              <w:spacing w:line="240" w:lineRule="auto" w:before="30" w:after="30"/>
              <w:jc w:val="left"/>
            </w:pPr>
            <w:r>
              <w:rPr>
                <w:b w:val="0"/>
                <w:i/>
                <w:sz w:val="18"/>
              </w:rPr>
              <w:t>Adoption above the yearly median</w:t>
            </w:r>
          </w:p>
        </w:tc>
        <w:tc>
          <w:tcPr>
            <w:tcW w:type="dxa" w:w="1100"/>
          </w:tcPr>
          <w:p>
            <w:pPr>
              <w:pStyle w:val="MDPI42tablebody"/>
              <w:keepNext/>
              <w:spacing w:line="240" w:lineRule="auto" w:before="30" w:after="30"/>
              <w:jc w:val="center"/>
            </w:pPr>
            <w:r>
              <w:rPr>
                <w:b w:val="0"/>
                <w:i w:val="0"/>
                <w:sz w:val="18"/>
              </w:rPr>
              <w:t>−1.559***</w:t>
            </w:r>
          </w:p>
        </w:tc>
        <w:tc>
          <w:tcPr>
            <w:tcW w:type="dxa" w:w="942"/>
          </w:tcPr>
          <w:p>
            <w:pPr>
              <w:pStyle w:val="MDPI42tablebody"/>
              <w:keepNext/>
              <w:spacing w:line="240" w:lineRule="auto" w:before="30" w:after="30"/>
              <w:jc w:val="center"/>
            </w:pPr>
            <w:r>
              <w:rPr>
                <w:b w:val="0"/>
                <w:i w:val="0"/>
                <w:sz w:val="18"/>
              </w:rPr>
              <w:t>(0.093)</w:t>
            </w:r>
          </w:p>
        </w:tc>
        <w:tc>
          <w:tcPr>
            <w:tcW w:type="dxa" w:w="1571"/>
          </w:tcPr>
          <w:p>
            <w:pPr>
              <w:pStyle w:val="MDPI42tablebody"/>
              <w:keepNext/>
              <w:spacing w:line="240" w:lineRule="auto" w:before="30" w:after="30"/>
              <w:jc w:val="center"/>
            </w:pPr>
            <w:r>
              <w:rPr>
                <w:b w:val="0"/>
                <w:i w:val="0"/>
                <w:sz w:val="18"/>
              </w:rPr>
              <w:t>25,701</w:t>
            </w:r>
          </w:p>
        </w:tc>
        <w:tc>
          <w:tcPr>
            <w:tcW w:type="dxa" w:w="1257"/>
          </w:tcPr>
          <w:p>
            <w:pPr>
              <w:pStyle w:val="MDPI42tablebody"/>
              <w:keepNext/>
              <w:spacing w:line="240" w:lineRule="auto" w:before="30" w:after="30"/>
              <w:jc w:val="center"/>
            </w:pPr>
            <w:r>
              <w:rPr>
                <w:b w:val="0"/>
                <w:i w:val="0"/>
                <w:sz w:val="18"/>
              </w:rPr>
              <w:t>0.051</w:t>
            </w:r>
          </w:p>
        </w:tc>
      </w:tr>
      <w:tr>
        <w:trPr>
          <w:cantSplit/>
        </w:trPr>
        <w:tc>
          <w:tcPr>
            <w:tcW w:type="dxa" w:w="2986"/>
          </w:tcPr>
          <w:p>
            <w:pPr>
              <w:pStyle w:val="MDPI42tablebody"/>
              <w:keepNext/>
              <w:spacing w:line="240" w:lineRule="auto" w:before="30" w:after="30"/>
              <w:jc w:val="left"/>
            </w:pPr>
            <w:r>
              <w:rPr>
                <w:b w:val="0"/>
                <w:i/>
                <w:sz w:val="18"/>
              </w:rPr>
              <w:t>Youth share of the age-classified workforce</w:t>
            </w:r>
          </w:p>
        </w:tc>
        <w:tc>
          <w:tcPr>
            <w:tcW w:type="dxa" w:w="1100"/>
          </w:tcPr>
          <w:p>
            <w:pPr>
              <w:pStyle w:val="MDPI42tablebody"/>
              <w:keepNext/>
              <w:spacing w:line="240" w:lineRule="auto" w:before="30" w:after="30"/>
              <w:jc w:val="center"/>
            </w:pPr>
            <w:r>
              <w:rPr>
                <w:b w:val="0"/>
                <w:i w:val="0"/>
                <w:sz w:val="18"/>
              </w:rPr>
              <w:t>−1.086***</w:t>
            </w:r>
          </w:p>
        </w:tc>
        <w:tc>
          <w:tcPr>
            <w:tcW w:type="dxa" w:w="942"/>
          </w:tcPr>
          <w:p>
            <w:pPr>
              <w:pStyle w:val="MDPI42tablebody"/>
              <w:keepNext/>
              <w:spacing w:line="240" w:lineRule="auto" w:before="30" w:after="30"/>
              <w:jc w:val="center"/>
            </w:pPr>
            <w:r>
              <w:rPr>
                <w:b w:val="0"/>
                <w:i w:val="0"/>
                <w:sz w:val="18"/>
              </w:rPr>
              <w:t>(0.065)</w:t>
            </w:r>
          </w:p>
        </w:tc>
        <w:tc>
          <w:tcPr>
            <w:tcW w:type="dxa" w:w="1571"/>
          </w:tcPr>
          <w:p>
            <w:pPr>
              <w:pStyle w:val="MDPI42tablebody"/>
              <w:keepNext/>
              <w:spacing w:line="240" w:lineRule="auto" w:before="30" w:after="30"/>
              <w:jc w:val="center"/>
            </w:pPr>
            <w:r>
              <w:rPr>
                <w:b w:val="0"/>
                <w:i w:val="0"/>
                <w:sz w:val="18"/>
              </w:rPr>
              <w:t>25,701</w:t>
            </w:r>
          </w:p>
        </w:tc>
        <w:tc>
          <w:tcPr>
            <w:tcW w:type="dxa" w:w="1257"/>
          </w:tcPr>
          <w:p>
            <w:pPr>
              <w:pStyle w:val="MDPI42tablebody"/>
              <w:keepNext/>
              <w:spacing w:line="240" w:lineRule="auto" w:before="30" w:after="30"/>
              <w:jc w:val="center"/>
            </w:pPr>
            <w:r>
              <w:rPr>
                <w:b w:val="0"/>
                <w:i w:val="0"/>
                <w:sz w:val="18"/>
              </w:rPr>
              <w:t>0.045</w:t>
            </w:r>
          </w:p>
        </w:tc>
      </w:tr>
      <w:tr>
        <w:trPr>
          <w:cantSplit/>
        </w:trPr>
        <w:tc>
          <w:tcPr>
            <w:tcW w:type="dxa" w:w="2986"/>
          </w:tcPr>
          <w:p>
            <w:pPr>
              <w:pStyle w:val="MDPI42tablebody"/>
              <w:keepNext/>
              <w:spacing w:line="240" w:lineRule="auto" w:before="30" w:after="30"/>
              <w:jc w:val="left"/>
            </w:pPr>
            <w:r>
              <w:rPr>
                <w:b w:val="0"/>
                <w:i/>
                <w:sz w:val="18"/>
              </w:rPr>
              <w:t>Two-way clustering by firm and year</w:t>
            </w:r>
          </w:p>
        </w:tc>
        <w:tc>
          <w:tcPr>
            <w:tcW w:type="dxa" w:w="1100"/>
          </w:tcPr>
          <w:p>
            <w:pPr>
              <w:pStyle w:val="MDPI42tablebody"/>
              <w:keepNext/>
              <w:spacing w:line="240" w:lineRule="auto" w:before="30" w:after="30"/>
              <w:jc w:val="center"/>
            </w:pPr>
            <w:r>
              <w:rPr>
                <w:b w:val="0"/>
                <w:i w:val="0"/>
                <w:sz w:val="18"/>
              </w:rPr>
              <w:t>−1.348***</w:t>
            </w:r>
          </w:p>
        </w:tc>
        <w:tc>
          <w:tcPr>
            <w:tcW w:type="dxa" w:w="942"/>
          </w:tcPr>
          <w:p>
            <w:pPr>
              <w:pStyle w:val="MDPI42tablebody"/>
              <w:keepNext/>
              <w:spacing w:line="240" w:lineRule="auto" w:before="30" w:after="30"/>
              <w:jc w:val="center"/>
            </w:pPr>
            <w:r>
              <w:rPr>
                <w:b w:val="0"/>
                <w:i w:val="0"/>
                <w:sz w:val="18"/>
              </w:rPr>
              <w:t>(0.191)</w:t>
            </w:r>
          </w:p>
        </w:tc>
        <w:tc>
          <w:tcPr>
            <w:tcW w:type="dxa" w:w="1571"/>
          </w:tcPr>
          <w:p>
            <w:pPr>
              <w:pStyle w:val="MDPI42tablebody"/>
              <w:keepNext/>
              <w:spacing w:line="240" w:lineRule="auto" w:before="30" w:after="30"/>
              <w:jc w:val="center"/>
            </w:pPr>
            <w:r>
              <w:rPr>
                <w:b w:val="0"/>
                <w:i w:val="0"/>
                <w:sz w:val="18"/>
              </w:rPr>
              <w:t>25,701</w:t>
            </w:r>
          </w:p>
        </w:tc>
        <w:tc>
          <w:tcPr>
            <w:tcW w:type="dxa" w:w="1257"/>
          </w:tcPr>
          <w:p>
            <w:pPr>
              <w:pStyle w:val="MDPI42tablebody"/>
              <w:keepNext/>
              <w:spacing w:line="240" w:lineRule="auto" w:before="30" w:after="30"/>
              <w:jc w:val="center"/>
            </w:pPr>
            <w:r>
              <w:rPr>
                <w:b w:val="0"/>
                <w:i w:val="0"/>
                <w:sz w:val="18"/>
              </w:rPr>
              <w:t>0.061</w:t>
            </w:r>
          </w:p>
        </w:tc>
      </w:tr>
      <w:tr>
        <w:trPr>
          <w:cantSplit/>
        </w:trPr>
        <w:tc>
          <w:tcPr>
            <w:tcW w:type="dxa" w:w="2986"/>
          </w:tcPr>
          <w:p>
            <w:pPr>
              <w:pStyle w:val="MDPI42tablebody"/>
              <w:keepNext/>
              <w:spacing w:line="240" w:lineRule="auto" w:before="30" w:after="30"/>
              <w:jc w:val="left"/>
            </w:pPr>
            <w:r>
              <w:rPr>
                <w:b w:val="0"/>
                <w:i/>
                <w:sz w:val="18"/>
              </w:rPr>
              <w:t>Winsorizing the outcome at 5 per cent</w:t>
            </w:r>
          </w:p>
        </w:tc>
        <w:tc>
          <w:tcPr>
            <w:tcW w:type="dxa" w:w="1100"/>
          </w:tcPr>
          <w:p>
            <w:pPr>
              <w:pStyle w:val="MDPI42tablebody"/>
              <w:keepNext/>
              <w:spacing w:line="240" w:lineRule="auto" w:before="30" w:after="30"/>
              <w:jc w:val="center"/>
            </w:pPr>
            <w:r>
              <w:rPr>
                <w:b w:val="0"/>
                <w:i w:val="0"/>
                <w:sz w:val="18"/>
              </w:rPr>
              <w:t>−1.230***</w:t>
            </w:r>
          </w:p>
        </w:tc>
        <w:tc>
          <w:tcPr>
            <w:tcW w:type="dxa" w:w="942"/>
          </w:tcPr>
          <w:p>
            <w:pPr>
              <w:pStyle w:val="MDPI42tablebody"/>
              <w:keepNext/>
              <w:spacing w:line="240" w:lineRule="auto" w:before="30" w:after="30"/>
              <w:jc w:val="center"/>
            </w:pPr>
            <w:r>
              <w:rPr>
                <w:b w:val="0"/>
                <w:i w:val="0"/>
                <w:sz w:val="18"/>
              </w:rPr>
              <w:t>(0.063)</w:t>
            </w:r>
          </w:p>
        </w:tc>
        <w:tc>
          <w:tcPr>
            <w:tcW w:type="dxa" w:w="1571"/>
          </w:tcPr>
          <w:p>
            <w:pPr>
              <w:pStyle w:val="MDPI42tablebody"/>
              <w:keepNext/>
              <w:spacing w:line="240" w:lineRule="auto" w:before="30" w:after="30"/>
              <w:jc w:val="center"/>
            </w:pPr>
            <w:r>
              <w:rPr>
                <w:b w:val="0"/>
                <w:i w:val="0"/>
                <w:sz w:val="18"/>
              </w:rPr>
              <w:t>25,701</w:t>
            </w:r>
          </w:p>
        </w:tc>
        <w:tc>
          <w:tcPr>
            <w:tcW w:type="dxa" w:w="1257"/>
          </w:tcPr>
          <w:p>
            <w:pPr>
              <w:pStyle w:val="MDPI42tablebody"/>
              <w:keepNext/>
              <w:spacing w:line="240" w:lineRule="auto" w:before="30" w:after="30"/>
              <w:jc w:val="center"/>
            </w:pPr>
            <w:r>
              <w:rPr>
                <w:b w:val="0"/>
                <w:i w:val="0"/>
                <w:sz w:val="18"/>
              </w:rPr>
              <w:t>0.058</w:t>
            </w:r>
          </w:p>
        </w:tc>
      </w:tr>
      <w:tr>
        <w:trPr>
          <w:cantSplit/>
        </w:trPr>
        <w:tc>
          <w:tcPr>
            <w:tcW w:type="dxa" w:w="2986"/>
          </w:tcPr>
          <w:p>
            <w:pPr>
              <w:pStyle w:val="MDPI42tablebody"/>
              <w:spacing w:line="240" w:lineRule="auto" w:before="30" w:after="30"/>
              <w:jc w:val="left"/>
            </w:pPr>
            <w:r>
              <w:rPr>
                <w:b w:val="0"/>
                <w:i/>
                <w:sz w:val="18"/>
              </w:rPr>
              <w:t>Placebo: employees aged 31 to 50</w:t>
            </w:r>
          </w:p>
        </w:tc>
        <w:tc>
          <w:tcPr>
            <w:tcW w:type="dxa" w:w="1100"/>
          </w:tcPr>
          <w:p>
            <w:pPr>
              <w:pStyle w:val="MDPI42tablebody"/>
              <w:spacing w:line="240" w:lineRule="auto" w:before="30" w:after="30"/>
              <w:jc w:val="center"/>
            </w:pPr>
            <w:r>
              <w:rPr>
                <w:b w:val="0"/>
                <w:i w:val="0"/>
                <w:sz w:val="18"/>
              </w:rPr>
              <w:t>−0.121**</w:t>
            </w:r>
          </w:p>
        </w:tc>
        <w:tc>
          <w:tcPr>
            <w:tcW w:type="dxa" w:w="942"/>
          </w:tcPr>
          <w:p>
            <w:pPr>
              <w:pStyle w:val="MDPI42tablebody"/>
              <w:spacing w:line="240" w:lineRule="auto" w:before="30" w:after="30"/>
              <w:jc w:val="center"/>
            </w:pPr>
            <w:r>
              <w:rPr>
                <w:b w:val="0"/>
                <w:i w:val="0"/>
                <w:sz w:val="18"/>
              </w:rPr>
              <w:t>(0.057)</w:t>
            </w:r>
          </w:p>
        </w:tc>
        <w:tc>
          <w:tcPr>
            <w:tcW w:type="dxa" w:w="1571"/>
          </w:tcPr>
          <w:p>
            <w:pPr>
              <w:pStyle w:val="MDPI42tablebody"/>
              <w:spacing w:line="240" w:lineRule="auto" w:before="30" w:after="30"/>
              <w:jc w:val="center"/>
            </w:pPr>
            <w:r>
              <w:rPr>
                <w:b w:val="0"/>
                <w:i w:val="0"/>
                <w:sz w:val="18"/>
              </w:rPr>
              <w:t>25,701</w:t>
            </w:r>
          </w:p>
        </w:tc>
        <w:tc>
          <w:tcPr>
            <w:tcW w:type="dxa" w:w="1257"/>
          </w:tcPr>
          <w:p>
            <w:pPr>
              <w:pStyle w:val="MDPI42tablebody"/>
              <w:spacing w:line="240" w:lineRule="auto" w:before="30" w:after="30"/>
              <w:jc w:val="center"/>
            </w:pPr>
            <w:r>
              <w:rPr>
                <w:b w:val="0"/>
                <w:i w:val="0"/>
                <w:sz w:val="18"/>
              </w:rPr>
              <w:t>0.002</w:t>
            </w:r>
          </w:p>
        </w:tc>
      </w:tr>
    </w:tbl>
    <w:p>
      <w:pPr>
        <w:pStyle w:val="MDPI43tablefooter"/>
        <w:spacing w:line="240" w:lineRule="auto" w:before="40" w:after="200"/>
        <w:ind w:left="2608" w:firstLine="0"/>
      </w:pPr>
      <w:r>
        <w:rPr>
          <w:sz w:val="16"/>
        </w:rPr>
        <w:t xml:space="preserve">Note: </w:t>
      </w:r>
      <w:r>
        <w:rPr>
          <w:b w:val="0"/>
          <w:i w:val="0"/>
          <w:sz w:val="16"/>
        </w:rPr>
        <w:t>Each row is a separate regression that retains the full set of controls and the firm and year fixed effects of the benchmark specification. The reported coefficient is that of the adoption measure named in the first column. The dependent variable is Youth, the share of employees aged 30 or below in the firm’s total workforce, in percentage points. Values in parentheses are standard errors clustered at the firm level. ***, ** and * denote significance at the 1%, 5% and 10% levels, respectively. Source: authors’ own calculations.</w:t>
      </w:r>
    </w:p>
    <w:p>
      <w:pPr>
        <w:pStyle w:val="MDPI22heading2"/>
      </w:pPr>
      <w:r>
        <w:t>4.6. Moderating Effects</w:t>
      </w:r>
    </w:p>
    <w:p>
      <w:pPr>
        <w:pStyle w:val="MDPI32textnoindent"/>
      </w:pPr>
      <w:r>
        <w:rPr>
          <w:b w:val="0"/>
          <w:i w:val="0"/>
        </w:rPr>
        <w:t>Table 9 reports the tests of the boundary conditions. In column (1) the interaction between adoption and organizational learning capability is +0.370 and significant at the one percent level, so the displacement is weaker where absorptive capacity is greater; H4a is supported. In column (2) the interaction with relative labor cost is −0.297, also significant at the one percent level, so the displacement is sharper where labor is expensive relative to the sample; H4b is supported. Column (3) includes both interactions simultaneously and the two coefficients are essentially unchanged, which indicates that the two boundary conditions operate independently rather than proxying for one another.</w:t>
      </w:r>
    </w:p>
    <w:p>
      <w:pPr>
        <w:pStyle w:val="MDPI31text"/>
      </w:pPr>
      <w:r>
        <w:rPr>
          <w:b w:val="0"/>
          <w:i w:val="0"/>
        </w:rPr>
        <w:t>The economic content of these interactions is best read off the marginal effects, which are plotted in Figure 2. At one standard deviation below the mean of organizational learning capability the marginal effect of adoption is −1.759; at one standard deviation above the mean it is −1.020, a reduction of 0.739 percentage points, or roughly half the effect at the mean. The pattern for relative labor cost runs the other way: the marginal effect moves from −1.093 at one standard deviation below the mean to −1.686 at one standard deviation above it. The effect remains negative and significant across the whole observed range of both moderators, so neither condition eliminates the displacement; what they change is its size.</w:t>
      </w:r>
    </w:p>
    <w:p>
      <w:pPr>
        <w:pStyle w:val="MDPI52figure"/>
        <w:keepNext/>
        <w:ind w:left="2608" w:firstLine="0"/>
        <w:jc w:val="center"/>
      </w:pPr>
      <w:r>
        <w:drawing>
          <wp:inline xmlns:a="http://schemas.openxmlformats.org/drawingml/2006/main" xmlns:pic="http://schemas.openxmlformats.org/drawingml/2006/picture">
            <wp:extent cx="4752000" cy="2231562"/>
            <wp:docPr id="2" name="Picture 2"/>
            <wp:cNvGraphicFramePr>
              <a:graphicFrameLocks noChangeAspect="1"/>
            </wp:cNvGraphicFramePr>
            <a:graphic>
              <a:graphicData uri="http://schemas.openxmlformats.org/drawingml/2006/picture">
                <pic:pic>
                  <pic:nvPicPr>
                    <pic:cNvPr id="0" name="figure2_moderation.png"/>
                    <pic:cNvPicPr/>
                  </pic:nvPicPr>
                  <pic:blipFill>
                    <a:blip r:embed="rId18"/>
                    <a:stretch>
                      <a:fillRect/>
                    </a:stretch>
                  </pic:blipFill>
                  <pic:spPr>
                    <a:xfrm>
                      <a:off x="0" y="0"/>
                      <a:ext cx="4752000" cy="2231562"/>
                    </a:xfrm>
                    <a:prstGeom prst="rect"/>
                  </pic:spPr>
                </pic:pic>
              </a:graphicData>
            </a:graphic>
          </wp:inline>
        </w:drawing>
      </w:r>
    </w:p>
    <w:p>
      <w:pPr>
        <w:pStyle w:val="MDPI51figurecaption"/>
        <w:spacing w:after="200"/>
      </w:pPr>
      <w:r>
        <w:rPr>
          <w:b/>
          <w:sz w:val="18"/>
        </w:rPr>
        <w:t xml:space="preserve">Figure 2. </w:t>
      </w:r>
      <w:r>
        <w:rPr>
          <w:b w:val="0"/>
          <w:i w:val="0"/>
          <w:sz w:val="18"/>
        </w:rPr>
        <w:t>Marginal effect of generative artificial intelligence adoption on the youth employment share.</w:t>
      </w:r>
    </w:p>
    <w:p>
      <w:pPr>
        <w:pStyle w:val="MDPI31text"/>
      </w:pPr>
      <w:r>
        <w:rPr>
          <w:b w:val="0"/>
          <w:i w:val="0"/>
        </w:rPr>
        <w:t xml:space="preserve">Column (4) of Table 9 examines whether the relationship changed with the arrival of generative models proper. Interacting adoption with an indicator for the years from 2023 onwards yields a coefficient of −0.284, significant at the five percent level, so the displacement after the break is 1.24 times its earlier magnitude. This is consistent with the capability profile that distinguishes generative models from the previous generation of predictive artificial intelligence: what changed in late 2022 was precisely the ability of the technology to perform the codifiable cognitive work that entry-level positions are composed of. The professional debate that followed the release of large conversational models anticipated this shift without being able to measure it </w:t>
      </w:r>
      <w:r>
        <w:t>[</w:t>
      </w:r>
      <w:r>
        <w:fldChar w:fldCharType="begin"/>
      </w:r>
      <w:r>
        <w:instrText xml:space="preserve"> REF _Ref_99 \h </w:instrText>
      </w:r>
      <w:r>
        <w:fldChar w:fldCharType="separate"/>
      </w:r>
      <w:r>
        <w:t>99</w:t>
      </w:r>
      <w:r>
        <w:fldChar w:fldCharType="end"/>
      </w:r>
      <w:r>
        <w:t>]</w:t>
      </w:r>
      <w:r>
        <w:rPr>
          <w:b w:val="0"/>
          <w:i w:val="0"/>
        </w:rPr>
        <w:t>.</w:t>
      </w:r>
    </w:p>
    <w:p>
      <w:pPr>
        <w:pStyle w:val="MDPI41tablecaption"/>
        <w:keepNext/>
        <w:spacing w:after="60"/>
      </w:pPr>
      <w:r>
        <w:rPr>
          <w:b/>
          <w:sz w:val="18"/>
        </w:rPr>
        <w:t xml:space="preserve">Table 9. </w:t>
      </w:r>
      <w:r>
        <w:rPr>
          <w:b w:val="0"/>
          <w:i w:val="0"/>
          <w:sz w:val="18"/>
        </w:rPr>
        <w:t>Moderating effects of organizational learning capability, relative labor cost and the generative-AI break.</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200"/>
        <w:gridCol w:w="1414"/>
        <w:gridCol w:w="1414"/>
        <w:gridCol w:w="1414"/>
        <w:gridCol w:w="1414"/>
      </w:tblGrid>
      <w:tr>
        <w:trPr>
          <w:cantSplit/>
          <w:tblHeader/>
        </w:trPr>
        <w:tc>
          <w:tcPr>
            <w:tcW w:type="dxa" w:w="2200"/>
            <w:tcBorders>
              <w:bottom w:val="single" w:sz="8" w:space="0" w:color="auto"/>
            </w:tcBorders>
          </w:tcPr>
          <w:p>
            <w:pPr>
              <w:pStyle w:val="MDPI42tablebody"/>
              <w:keepNext/>
              <w:spacing w:line="240" w:lineRule="auto" w:before="30" w:after="30"/>
              <w:jc w:val="center"/>
            </w:pPr>
            <w:r>
              <w:rPr>
                <w:b/>
                <w:i w:val="0"/>
                <w:sz w:val="18"/>
              </w:rPr>
              <w:t>Variable</w:t>
            </w:r>
          </w:p>
        </w:tc>
        <w:tc>
          <w:tcPr>
            <w:tcW w:type="dxa" w:w="1414"/>
            <w:tcBorders>
              <w:bottom w:val="single" w:sz="8" w:space="0" w:color="auto"/>
            </w:tcBorders>
          </w:tcPr>
          <w:p>
            <w:pPr>
              <w:pStyle w:val="MDPI42tablebody"/>
              <w:keepNext/>
              <w:spacing w:line="240" w:lineRule="auto" w:before="30" w:after="30"/>
              <w:jc w:val="center"/>
            </w:pPr>
            <w:r>
              <w:rPr>
                <w:b/>
                <w:i w:val="0"/>
                <w:sz w:val="18"/>
              </w:rPr>
              <w:t>(1)</w:t>
            </w:r>
          </w:p>
        </w:tc>
        <w:tc>
          <w:tcPr>
            <w:tcW w:type="dxa" w:w="1414"/>
            <w:tcBorders>
              <w:bottom w:val="single" w:sz="8" w:space="0" w:color="auto"/>
            </w:tcBorders>
          </w:tcPr>
          <w:p>
            <w:pPr>
              <w:pStyle w:val="MDPI42tablebody"/>
              <w:keepNext/>
              <w:spacing w:line="240" w:lineRule="auto" w:before="30" w:after="30"/>
              <w:jc w:val="center"/>
            </w:pPr>
            <w:r>
              <w:rPr>
                <w:b/>
                <w:i w:val="0"/>
                <w:sz w:val="18"/>
              </w:rPr>
              <w:t>(2)</w:t>
            </w:r>
          </w:p>
        </w:tc>
        <w:tc>
          <w:tcPr>
            <w:tcW w:type="dxa" w:w="1414"/>
            <w:tcBorders>
              <w:bottom w:val="single" w:sz="8" w:space="0" w:color="auto"/>
            </w:tcBorders>
          </w:tcPr>
          <w:p>
            <w:pPr>
              <w:pStyle w:val="MDPI42tablebody"/>
              <w:keepNext/>
              <w:spacing w:line="240" w:lineRule="auto" w:before="30" w:after="30"/>
              <w:jc w:val="center"/>
            </w:pPr>
            <w:r>
              <w:rPr>
                <w:b/>
                <w:i w:val="0"/>
                <w:sz w:val="18"/>
              </w:rPr>
              <w:t>(3)</w:t>
            </w:r>
          </w:p>
        </w:tc>
        <w:tc>
          <w:tcPr>
            <w:tcW w:type="dxa" w:w="1414"/>
            <w:tcBorders>
              <w:bottom w:val="single" w:sz="8" w:space="0" w:color="auto"/>
            </w:tcBorders>
          </w:tcPr>
          <w:p>
            <w:pPr>
              <w:pStyle w:val="MDPI42tablebody"/>
              <w:keepNext/>
              <w:spacing w:line="240" w:lineRule="auto" w:before="30" w:after="30"/>
              <w:jc w:val="center"/>
            </w:pPr>
            <w:r>
              <w:rPr>
                <w:b/>
                <w:i w:val="0"/>
                <w:sz w:val="18"/>
              </w:rPr>
              <w:t>(4)</w:t>
            </w:r>
          </w:p>
        </w:tc>
      </w:tr>
      <w:tr>
        <w:trPr>
          <w:cantSplit/>
        </w:trPr>
        <w:tc>
          <w:tcPr>
            <w:tcW w:type="dxa" w:w="2200"/>
          </w:tcPr>
          <w:p>
            <w:pPr>
              <w:pStyle w:val="MDPI42tablebody"/>
              <w:keepNext/>
              <w:spacing w:line="240" w:lineRule="auto" w:before="30" w:after="30"/>
              <w:jc w:val="left"/>
            </w:pPr>
            <w:r>
              <w:rPr>
                <w:b w:val="0"/>
                <w:i/>
                <w:sz w:val="18"/>
              </w:rPr>
              <w:t>GenAI</w:t>
            </w:r>
          </w:p>
        </w:tc>
        <w:tc>
          <w:tcPr>
            <w:tcW w:type="dxa" w:w="1414"/>
          </w:tcPr>
          <w:p>
            <w:pPr>
              <w:pStyle w:val="MDPI42tablebody"/>
              <w:keepNext/>
              <w:spacing w:line="240" w:lineRule="auto" w:before="30" w:after="30"/>
              <w:jc w:val="center"/>
            </w:pPr>
            <w:r>
              <w:rPr>
                <w:b w:val="0"/>
                <w:i w:val="0"/>
                <w:sz w:val="18"/>
              </w:rPr>
              <w:t>−1.414***</w:t>
            </w:r>
          </w:p>
        </w:tc>
        <w:tc>
          <w:tcPr>
            <w:tcW w:type="dxa" w:w="1414"/>
          </w:tcPr>
          <w:p>
            <w:pPr>
              <w:pStyle w:val="MDPI42tablebody"/>
              <w:keepNext/>
              <w:spacing w:line="240" w:lineRule="auto" w:before="30" w:after="30"/>
              <w:jc w:val="center"/>
            </w:pPr>
            <w:r>
              <w:rPr>
                <w:b w:val="0"/>
                <w:i w:val="0"/>
                <w:sz w:val="18"/>
              </w:rPr>
              <w:t>−1.322***</w:t>
            </w:r>
          </w:p>
        </w:tc>
        <w:tc>
          <w:tcPr>
            <w:tcW w:type="dxa" w:w="1414"/>
          </w:tcPr>
          <w:p>
            <w:pPr>
              <w:pStyle w:val="MDPI42tablebody"/>
              <w:keepNext/>
              <w:spacing w:line="240" w:lineRule="auto" w:before="30" w:after="30"/>
              <w:jc w:val="center"/>
            </w:pPr>
            <w:r>
              <w:rPr>
                <w:b w:val="0"/>
                <w:i w:val="0"/>
                <w:sz w:val="18"/>
              </w:rPr>
              <w:t>−1.390***</w:t>
            </w:r>
          </w:p>
        </w:tc>
        <w:tc>
          <w:tcPr>
            <w:tcW w:type="dxa" w:w="1414"/>
          </w:tcPr>
          <w:p>
            <w:pPr>
              <w:pStyle w:val="MDPI42tablebody"/>
              <w:keepNext/>
              <w:spacing w:line="240" w:lineRule="auto" w:before="30" w:after="30"/>
              <w:jc w:val="center"/>
            </w:pPr>
            <w:r>
              <w:rPr>
                <w:b w:val="0"/>
                <w:i w:val="0"/>
                <w:sz w:val="18"/>
              </w:rPr>
              <w:t>−1.204***</w:t>
            </w:r>
          </w:p>
        </w:tc>
      </w:tr>
      <w:tr>
        <w:trPr>
          <w:cantSplit/>
        </w:trPr>
        <w:tc>
          <w:tcPr>
            <w:tcW w:type="dxa" w:w="2200"/>
          </w:tcPr>
          <w:p>
            <w:pPr>
              <w:pStyle w:val="MDPI42tablebody"/>
              <w:keepNext/>
              <w:spacing w:line="240" w:lineRule="auto" w:before="30" w:after="30"/>
              <w:jc w:val="left"/>
            </w:pPr>
          </w:p>
        </w:tc>
        <w:tc>
          <w:tcPr>
            <w:tcW w:type="dxa" w:w="1414"/>
          </w:tcPr>
          <w:p>
            <w:pPr>
              <w:pStyle w:val="MDPI42tablebody"/>
              <w:keepNext/>
              <w:spacing w:line="240" w:lineRule="auto" w:before="30" w:after="30"/>
              <w:jc w:val="center"/>
            </w:pPr>
            <w:r>
              <w:rPr>
                <w:b w:val="0"/>
                <w:i w:val="0"/>
                <w:sz w:val="18"/>
              </w:rPr>
              <w:t>(0.065)</w:t>
            </w:r>
          </w:p>
        </w:tc>
        <w:tc>
          <w:tcPr>
            <w:tcW w:type="dxa" w:w="1414"/>
          </w:tcPr>
          <w:p>
            <w:pPr>
              <w:pStyle w:val="MDPI42tablebody"/>
              <w:keepNext/>
              <w:spacing w:line="240" w:lineRule="auto" w:before="30" w:after="30"/>
              <w:jc w:val="center"/>
            </w:pPr>
            <w:r>
              <w:rPr>
                <w:b w:val="0"/>
                <w:i w:val="0"/>
                <w:sz w:val="18"/>
              </w:rPr>
              <w:t>(0.066)</w:t>
            </w:r>
          </w:p>
        </w:tc>
        <w:tc>
          <w:tcPr>
            <w:tcW w:type="dxa" w:w="1414"/>
          </w:tcPr>
          <w:p>
            <w:pPr>
              <w:pStyle w:val="MDPI42tablebody"/>
              <w:keepNext/>
              <w:spacing w:line="240" w:lineRule="auto" w:before="30" w:after="30"/>
              <w:jc w:val="center"/>
            </w:pPr>
            <w:r>
              <w:rPr>
                <w:b w:val="0"/>
                <w:i w:val="0"/>
                <w:sz w:val="18"/>
              </w:rPr>
              <w:t>(0.065)</w:t>
            </w:r>
          </w:p>
        </w:tc>
        <w:tc>
          <w:tcPr>
            <w:tcW w:type="dxa" w:w="1414"/>
          </w:tcPr>
          <w:p>
            <w:pPr>
              <w:pStyle w:val="MDPI42tablebody"/>
              <w:keepNext/>
              <w:spacing w:line="240" w:lineRule="auto" w:before="30" w:after="30"/>
              <w:jc w:val="center"/>
            </w:pPr>
            <w:r>
              <w:rPr>
                <w:b w:val="0"/>
                <w:i w:val="0"/>
                <w:sz w:val="18"/>
              </w:rPr>
              <w:t>(0.082)</w:t>
            </w:r>
          </w:p>
        </w:tc>
      </w:tr>
      <w:tr>
        <w:trPr>
          <w:cantSplit/>
        </w:trPr>
        <w:tc>
          <w:tcPr>
            <w:tcW w:type="dxa" w:w="2200"/>
          </w:tcPr>
          <w:p>
            <w:pPr>
              <w:pStyle w:val="MDPI42tablebody"/>
              <w:keepNext/>
              <w:spacing w:line="240" w:lineRule="auto" w:before="30" w:after="30"/>
              <w:jc w:val="left"/>
            </w:pPr>
            <w:r>
              <w:rPr>
                <w:b w:val="0"/>
                <w:i/>
                <w:sz w:val="18"/>
              </w:rPr>
              <w:t>GenAI x Absorp</w:t>
            </w:r>
          </w:p>
        </w:tc>
        <w:tc>
          <w:tcPr>
            <w:tcW w:type="dxa" w:w="1414"/>
          </w:tcPr>
          <w:p>
            <w:pPr>
              <w:pStyle w:val="MDPI42tablebody"/>
              <w:keepNext/>
              <w:spacing w:line="240" w:lineRule="auto" w:before="30" w:after="30"/>
              <w:jc w:val="center"/>
            </w:pPr>
            <w:r>
              <w:rPr>
                <w:b w:val="0"/>
                <w:i w:val="0"/>
                <w:sz w:val="18"/>
              </w:rPr>
              <w:t>0.345***</w:t>
            </w:r>
          </w:p>
        </w:tc>
        <w:tc>
          <w:tcPr>
            <w:tcW w:type="dxa" w:w="1414"/>
          </w:tcPr>
          <w:p>
            <w:pPr>
              <w:pStyle w:val="MDPI42tablebody"/>
              <w:keepNext/>
              <w:spacing w:line="240" w:lineRule="auto" w:before="30" w:after="30"/>
              <w:jc w:val="center"/>
            </w:pPr>
          </w:p>
        </w:tc>
        <w:tc>
          <w:tcPr>
            <w:tcW w:type="dxa" w:w="1414"/>
          </w:tcPr>
          <w:p>
            <w:pPr>
              <w:pStyle w:val="MDPI42tablebody"/>
              <w:keepNext/>
              <w:spacing w:line="240" w:lineRule="auto" w:before="30" w:after="30"/>
              <w:jc w:val="center"/>
            </w:pPr>
            <w:r>
              <w:rPr>
                <w:b w:val="0"/>
                <w:i w:val="0"/>
                <w:sz w:val="18"/>
              </w:rPr>
              <w:t>0.370***</w:t>
            </w:r>
          </w:p>
        </w:tc>
        <w:tc>
          <w:tcPr>
            <w:tcW w:type="dxa" w:w="1414"/>
          </w:tcPr>
          <w:p>
            <w:pPr>
              <w:pStyle w:val="MDPI42tablebody"/>
              <w:keepNext/>
              <w:spacing w:line="240" w:lineRule="auto" w:before="30" w:after="30"/>
              <w:jc w:val="center"/>
            </w:pPr>
          </w:p>
        </w:tc>
      </w:tr>
      <w:tr>
        <w:trPr>
          <w:cantSplit/>
        </w:trPr>
        <w:tc>
          <w:tcPr>
            <w:tcW w:type="dxa" w:w="2200"/>
          </w:tcPr>
          <w:p>
            <w:pPr>
              <w:pStyle w:val="MDPI42tablebody"/>
              <w:keepNext/>
              <w:spacing w:line="240" w:lineRule="auto" w:before="30" w:after="30"/>
              <w:jc w:val="left"/>
            </w:pPr>
          </w:p>
        </w:tc>
        <w:tc>
          <w:tcPr>
            <w:tcW w:type="dxa" w:w="1414"/>
          </w:tcPr>
          <w:p>
            <w:pPr>
              <w:pStyle w:val="MDPI42tablebody"/>
              <w:keepNext/>
              <w:spacing w:line="240" w:lineRule="auto" w:before="30" w:after="30"/>
              <w:jc w:val="center"/>
            </w:pPr>
            <w:r>
              <w:rPr>
                <w:b w:val="0"/>
                <w:i w:val="0"/>
                <w:sz w:val="18"/>
              </w:rPr>
              <w:t>(0.035)</w:t>
            </w:r>
          </w:p>
        </w:tc>
        <w:tc>
          <w:tcPr>
            <w:tcW w:type="dxa" w:w="1414"/>
          </w:tcPr>
          <w:p>
            <w:pPr>
              <w:pStyle w:val="MDPI42tablebody"/>
              <w:keepNext/>
              <w:spacing w:line="240" w:lineRule="auto" w:before="30" w:after="30"/>
              <w:jc w:val="center"/>
            </w:pPr>
          </w:p>
        </w:tc>
        <w:tc>
          <w:tcPr>
            <w:tcW w:type="dxa" w:w="1414"/>
          </w:tcPr>
          <w:p>
            <w:pPr>
              <w:pStyle w:val="MDPI42tablebody"/>
              <w:keepNext/>
              <w:spacing w:line="240" w:lineRule="auto" w:before="30" w:after="30"/>
              <w:jc w:val="center"/>
            </w:pPr>
            <w:r>
              <w:rPr>
                <w:b w:val="0"/>
                <w:i w:val="0"/>
                <w:sz w:val="18"/>
              </w:rPr>
              <w:t>(0.034)</w:t>
            </w:r>
          </w:p>
        </w:tc>
        <w:tc>
          <w:tcPr>
            <w:tcW w:type="dxa" w:w="1414"/>
          </w:tcPr>
          <w:p>
            <w:pPr>
              <w:pStyle w:val="MDPI42tablebody"/>
              <w:keepNext/>
              <w:spacing w:line="240" w:lineRule="auto" w:before="30" w:after="30"/>
              <w:jc w:val="center"/>
            </w:pPr>
          </w:p>
        </w:tc>
      </w:tr>
      <w:tr>
        <w:trPr>
          <w:cantSplit/>
        </w:trPr>
        <w:tc>
          <w:tcPr>
            <w:tcW w:type="dxa" w:w="2200"/>
          </w:tcPr>
          <w:p>
            <w:pPr>
              <w:pStyle w:val="MDPI42tablebody"/>
              <w:keepNext/>
              <w:spacing w:line="240" w:lineRule="auto" w:before="30" w:after="30"/>
              <w:jc w:val="left"/>
            </w:pPr>
            <w:r>
              <w:rPr>
                <w:b w:val="0"/>
                <w:i/>
                <w:sz w:val="18"/>
              </w:rPr>
              <w:t>GenAI x Wage</w:t>
            </w:r>
          </w:p>
        </w:tc>
        <w:tc>
          <w:tcPr>
            <w:tcW w:type="dxa" w:w="1414"/>
          </w:tcPr>
          <w:p>
            <w:pPr>
              <w:pStyle w:val="MDPI42tablebody"/>
              <w:keepNext/>
              <w:spacing w:line="240" w:lineRule="auto" w:before="30" w:after="30"/>
              <w:jc w:val="center"/>
            </w:pPr>
          </w:p>
        </w:tc>
        <w:tc>
          <w:tcPr>
            <w:tcW w:type="dxa" w:w="1414"/>
          </w:tcPr>
          <w:p>
            <w:pPr>
              <w:pStyle w:val="MDPI42tablebody"/>
              <w:keepNext/>
              <w:spacing w:line="240" w:lineRule="auto" w:before="30" w:after="30"/>
              <w:jc w:val="center"/>
            </w:pPr>
            <w:r>
              <w:rPr>
                <w:b w:val="0"/>
                <w:i w:val="0"/>
                <w:sz w:val="18"/>
              </w:rPr>
              <w:t>−0.265***</w:t>
            </w:r>
          </w:p>
        </w:tc>
        <w:tc>
          <w:tcPr>
            <w:tcW w:type="dxa" w:w="1414"/>
          </w:tcPr>
          <w:p>
            <w:pPr>
              <w:pStyle w:val="MDPI42tablebody"/>
              <w:keepNext/>
              <w:spacing w:line="240" w:lineRule="auto" w:before="30" w:after="30"/>
              <w:jc w:val="center"/>
            </w:pPr>
            <w:r>
              <w:rPr>
                <w:b w:val="0"/>
                <w:i w:val="0"/>
                <w:sz w:val="18"/>
              </w:rPr>
              <w:t>−0.297***</w:t>
            </w:r>
          </w:p>
        </w:tc>
        <w:tc>
          <w:tcPr>
            <w:tcW w:type="dxa" w:w="1414"/>
          </w:tcPr>
          <w:p>
            <w:pPr>
              <w:pStyle w:val="MDPI42tablebody"/>
              <w:keepNext/>
              <w:spacing w:line="240" w:lineRule="auto" w:before="30" w:after="30"/>
              <w:jc w:val="center"/>
            </w:pPr>
          </w:p>
        </w:tc>
      </w:tr>
      <w:tr>
        <w:trPr>
          <w:cantSplit/>
        </w:trPr>
        <w:tc>
          <w:tcPr>
            <w:tcW w:type="dxa" w:w="2200"/>
          </w:tcPr>
          <w:p>
            <w:pPr>
              <w:pStyle w:val="MDPI42tablebody"/>
              <w:keepNext/>
              <w:spacing w:line="240" w:lineRule="auto" w:before="30" w:after="30"/>
              <w:jc w:val="left"/>
            </w:pPr>
          </w:p>
        </w:tc>
        <w:tc>
          <w:tcPr>
            <w:tcW w:type="dxa" w:w="1414"/>
          </w:tcPr>
          <w:p>
            <w:pPr>
              <w:pStyle w:val="MDPI42tablebody"/>
              <w:keepNext/>
              <w:spacing w:line="240" w:lineRule="auto" w:before="30" w:after="30"/>
              <w:jc w:val="center"/>
            </w:pPr>
          </w:p>
        </w:tc>
        <w:tc>
          <w:tcPr>
            <w:tcW w:type="dxa" w:w="1414"/>
          </w:tcPr>
          <w:p>
            <w:pPr>
              <w:pStyle w:val="MDPI42tablebody"/>
              <w:keepNext/>
              <w:spacing w:line="240" w:lineRule="auto" w:before="30" w:after="30"/>
              <w:jc w:val="center"/>
            </w:pPr>
            <w:r>
              <w:rPr>
                <w:b w:val="0"/>
                <w:i w:val="0"/>
                <w:sz w:val="18"/>
              </w:rPr>
              <w:t>(0.036)</w:t>
            </w:r>
          </w:p>
        </w:tc>
        <w:tc>
          <w:tcPr>
            <w:tcW w:type="dxa" w:w="1414"/>
          </w:tcPr>
          <w:p>
            <w:pPr>
              <w:pStyle w:val="MDPI42tablebody"/>
              <w:keepNext/>
              <w:spacing w:line="240" w:lineRule="auto" w:before="30" w:after="30"/>
              <w:jc w:val="center"/>
            </w:pPr>
            <w:r>
              <w:rPr>
                <w:b w:val="0"/>
                <w:i w:val="0"/>
                <w:sz w:val="18"/>
              </w:rPr>
              <w:t>(0.035)</w:t>
            </w:r>
          </w:p>
        </w:tc>
        <w:tc>
          <w:tcPr>
            <w:tcW w:type="dxa" w:w="1414"/>
          </w:tcPr>
          <w:p>
            <w:pPr>
              <w:pStyle w:val="MDPI42tablebody"/>
              <w:keepNext/>
              <w:spacing w:line="240" w:lineRule="auto" w:before="30" w:after="30"/>
              <w:jc w:val="center"/>
            </w:pPr>
          </w:p>
        </w:tc>
      </w:tr>
      <w:tr>
        <w:trPr>
          <w:cantSplit/>
        </w:trPr>
        <w:tc>
          <w:tcPr>
            <w:tcW w:type="dxa" w:w="2200"/>
          </w:tcPr>
          <w:p>
            <w:pPr>
              <w:pStyle w:val="MDPI42tablebody"/>
              <w:keepNext/>
              <w:spacing w:line="240" w:lineRule="auto" w:before="30" w:after="30"/>
              <w:jc w:val="left"/>
            </w:pPr>
            <w:r>
              <w:rPr>
                <w:b w:val="0"/>
                <w:i/>
                <w:sz w:val="18"/>
              </w:rPr>
              <w:t>GenAI x Post</w:t>
            </w:r>
          </w:p>
        </w:tc>
        <w:tc>
          <w:tcPr>
            <w:tcW w:type="dxa" w:w="1414"/>
          </w:tcPr>
          <w:p>
            <w:pPr>
              <w:pStyle w:val="MDPI42tablebody"/>
              <w:keepNext/>
              <w:spacing w:line="240" w:lineRule="auto" w:before="30" w:after="30"/>
              <w:jc w:val="center"/>
            </w:pPr>
          </w:p>
        </w:tc>
        <w:tc>
          <w:tcPr>
            <w:tcW w:type="dxa" w:w="1414"/>
          </w:tcPr>
          <w:p>
            <w:pPr>
              <w:pStyle w:val="MDPI42tablebody"/>
              <w:keepNext/>
              <w:spacing w:line="240" w:lineRule="auto" w:before="30" w:after="30"/>
              <w:jc w:val="center"/>
            </w:pPr>
          </w:p>
        </w:tc>
        <w:tc>
          <w:tcPr>
            <w:tcW w:type="dxa" w:w="1414"/>
          </w:tcPr>
          <w:p>
            <w:pPr>
              <w:pStyle w:val="MDPI42tablebody"/>
              <w:keepNext/>
              <w:spacing w:line="240" w:lineRule="auto" w:before="30" w:after="30"/>
              <w:jc w:val="center"/>
            </w:pPr>
          </w:p>
        </w:tc>
        <w:tc>
          <w:tcPr>
            <w:tcW w:type="dxa" w:w="1414"/>
          </w:tcPr>
          <w:p>
            <w:pPr>
              <w:pStyle w:val="MDPI42tablebody"/>
              <w:keepNext/>
              <w:spacing w:line="240" w:lineRule="auto" w:before="30" w:after="30"/>
              <w:jc w:val="center"/>
            </w:pPr>
            <w:r>
              <w:rPr>
                <w:b w:val="0"/>
                <w:i w:val="0"/>
                <w:sz w:val="18"/>
              </w:rPr>
              <w:t>−0.284**</w:t>
            </w:r>
          </w:p>
        </w:tc>
      </w:tr>
      <w:tr>
        <w:trPr>
          <w:cantSplit/>
        </w:trPr>
        <w:tc>
          <w:tcPr>
            <w:tcW w:type="dxa" w:w="2200"/>
          </w:tcPr>
          <w:p>
            <w:pPr>
              <w:pStyle w:val="MDPI42tablebody"/>
              <w:keepNext/>
              <w:spacing w:line="240" w:lineRule="auto" w:before="30" w:after="30"/>
              <w:jc w:val="left"/>
            </w:pPr>
          </w:p>
        </w:tc>
        <w:tc>
          <w:tcPr>
            <w:tcW w:type="dxa" w:w="1414"/>
          </w:tcPr>
          <w:p>
            <w:pPr>
              <w:pStyle w:val="MDPI42tablebody"/>
              <w:keepNext/>
              <w:spacing w:line="240" w:lineRule="auto" w:before="30" w:after="30"/>
              <w:jc w:val="center"/>
            </w:pPr>
          </w:p>
        </w:tc>
        <w:tc>
          <w:tcPr>
            <w:tcW w:type="dxa" w:w="1414"/>
          </w:tcPr>
          <w:p>
            <w:pPr>
              <w:pStyle w:val="MDPI42tablebody"/>
              <w:keepNext/>
              <w:spacing w:line="240" w:lineRule="auto" w:before="30" w:after="30"/>
              <w:jc w:val="center"/>
            </w:pPr>
          </w:p>
        </w:tc>
        <w:tc>
          <w:tcPr>
            <w:tcW w:type="dxa" w:w="1414"/>
          </w:tcPr>
          <w:p>
            <w:pPr>
              <w:pStyle w:val="MDPI42tablebody"/>
              <w:keepNext/>
              <w:spacing w:line="240" w:lineRule="auto" w:before="30" w:after="30"/>
              <w:jc w:val="center"/>
            </w:pPr>
          </w:p>
        </w:tc>
        <w:tc>
          <w:tcPr>
            <w:tcW w:type="dxa" w:w="1414"/>
          </w:tcPr>
          <w:p>
            <w:pPr>
              <w:pStyle w:val="MDPI42tablebody"/>
              <w:keepNext/>
              <w:spacing w:line="240" w:lineRule="auto" w:before="30" w:after="30"/>
              <w:jc w:val="center"/>
            </w:pPr>
            <w:r>
              <w:rPr>
                <w:b w:val="0"/>
                <w:i w:val="0"/>
                <w:sz w:val="18"/>
              </w:rPr>
              <w:t>(0.114)</w:t>
            </w:r>
          </w:p>
        </w:tc>
      </w:tr>
      <w:tr>
        <w:trPr>
          <w:cantSplit/>
        </w:trPr>
        <w:tc>
          <w:tcPr>
            <w:tcW w:type="dxa" w:w="2200"/>
          </w:tcPr>
          <w:p>
            <w:pPr>
              <w:pStyle w:val="MDPI42tablebody"/>
              <w:keepNext/>
              <w:spacing w:line="240" w:lineRule="auto" w:before="30" w:after="30"/>
              <w:jc w:val="left"/>
            </w:pPr>
            <w:r>
              <w:rPr>
                <w:b w:val="0"/>
                <w:i/>
                <w:sz w:val="18"/>
              </w:rPr>
              <w:t>Size</w:t>
            </w:r>
          </w:p>
        </w:tc>
        <w:tc>
          <w:tcPr>
            <w:tcW w:type="dxa" w:w="1414"/>
          </w:tcPr>
          <w:p>
            <w:pPr>
              <w:pStyle w:val="MDPI42tablebody"/>
              <w:keepNext/>
              <w:spacing w:line="240" w:lineRule="auto" w:before="30" w:after="30"/>
              <w:jc w:val="center"/>
            </w:pPr>
            <w:r>
              <w:rPr>
                <w:b w:val="0"/>
                <w:i w:val="0"/>
                <w:sz w:val="18"/>
              </w:rPr>
              <w:t>2.236***</w:t>
            </w:r>
          </w:p>
        </w:tc>
        <w:tc>
          <w:tcPr>
            <w:tcW w:type="dxa" w:w="1414"/>
          </w:tcPr>
          <w:p>
            <w:pPr>
              <w:pStyle w:val="MDPI42tablebody"/>
              <w:keepNext/>
              <w:spacing w:line="240" w:lineRule="auto" w:before="30" w:after="30"/>
              <w:jc w:val="center"/>
            </w:pPr>
            <w:r>
              <w:rPr>
                <w:b w:val="0"/>
                <w:i w:val="0"/>
                <w:sz w:val="18"/>
              </w:rPr>
              <w:t>2.164***</w:t>
            </w:r>
          </w:p>
        </w:tc>
        <w:tc>
          <w:tcPr>
            <w:tcW w:type="dxa" w:w="1414"/>
          </w:tcPr>
          <w:p>
            <w:pPr>
              <w:pStyle w:val="MDPI42tablebody"/>
              <w:keepNext/>
              <w:spacing w:line="240" w:lineRule="auto" w:before="30" w:after="30"/>
              <w:jc w:val="center"/>
            </w:pPr>
            <w:r>
              <w:rPr>
                <w:b w:val="0"/>
                <w:i w:val="0"/>
                <w:sz w:val="18"/>
              </w:rPr>
              <w:t>2.234***</w:t>
            </w:r>
          </w:p>
        </w:tc>
        <w:tc>
          <w:tcPr>
            <w:tcW w:type="dxa" w:w="1414"/>
          </w:tcPr>
          <w:p>
            <w:pPr>
              <w:pStyle w:val="MDPI42tablebody"/>
              <w:keepNext/>
              <w:spacing w:line="240" w:lineRule="auto" w:before="30" w:after="30"/>
              <w:jc w:val="center"/>
            </w:pPr>
            <w:r>
              <w:rPr>
                <w:b w:val="0"/>
                <w:i w:val="0"/>
                <w:sz w:val="18"/>
              </w:rPr>
              <w:t>2.141***</w:t>
            </w:r>
          </w:p>
        </w:tc>
      </w:tr>
      <w:tr>
        <w:trPr>
          <w:cantSplit/>
        </w:trPr>
        <w:tc>
          <w:tcPr>
            <w:tcW w:type="dxa" w:w="2200"/>
          </w:tcPr>
          <w:p>
            <w:pPr>
              <w:pStyle w:val="MDPI42tablebody"/>
              <w:keepNext/>
              <w:spacing w:line="240" w:lineRule="auto" w:before="30" w:after="30"/>
              <w:jc w:val="left"/>
            </w:pPr>
          </w:p>
        </w:tc>
        <w:tc>
          <w:tcPr>
            <w:tcW w:type="dxa" w:w="1414"/>
          </w:tcPr>
          <w:p>
            <w:pPr>
              <w:pStyle w:val="MDPI42tablebody"/>
              <w:keepNext/>
              <w:spacing w:line="240" w:lineRule="auto" w:before="30" w:after="30"/>
              <w:jc w:val="center"/>
            </w:pPr>
            <w:r>
              <w:rPr>
                <w:b w:val="0"/>
                <w:i w:val="0"/>
                <w:sz w:val="18"/>
              </w:rPr>
              <w:t>(0.390)</w:t>
            </w:r>
          </w:p>
        </w:tc>
        <w:tc>
          <w:tcPr>
            <w:tcW w:type="dxa" w:w="1414"/>
          </w:tcPr>
          <w:p>
            <w:pPr>
              <w:pStyle w:val="MDPI42tablebody"/>
              <w:keepNext/>
              <w:spacing w:line="240" w:lineRule="auto" w:before="30" w:after="30"/>
              <w:jc w:val="center"/>
            </w:pPr>
            <w:r>
              <w:rPr>
                <w:b w:val="0"/>
                <w:i w:val="0"/>
                <w:sz w:val="18"/>
              </w:rPr>
              <w:t>(0.391)</w:t>
            </w:r>
          </w:p>
        </w:tc>
        <w:tc>
          <w:tcPr>
            <w:tcW w:type="dxa" w:w="1414"/>
          </w:tcPr>
          <w:p>
            <w:pPr>
              <w:pStyle w:val="MDPI42tablebody"/>
              <w:keepNext/>
              <w:spacing w:line="240" w:lineRule="auto" w:before="30" w:after="30"/>
              <w:jc w:val="center"/>
            </w:pPr>
            <w:r>
              <w:rPr>
                <w:b w:val="0"/>
                <w:i w:val="0"/>
                <w:sz w:val="18"/>
              </w:rPr>
              <w:t>(0.390)</w:t>
            </w:r>
          </w:p>
        </w:tc>
        <w:tc>
          <w:tcPr>
            <w:tcW w:type="dxa" w:w="1414"/>
          </w:tcPr>
          <w:p>
            <w:pPr>
              <w:pStyle w:val="MDPI42tablebody"/>
              <w:keepNext/>
              <w:spacing w:line="240" w:lineRule="auto" w:before="30" w:after="30"/>
              <w:jc w:val="center"/>
            </w:pPr>
            <w:r>
              <w:rPr>
                <w:b w:val="0"/>
                <w:i w:val="0"/>
                <w:sz w:val="18"/>
              </w:rPr>
              <w:t>(0.391)</w:t>
            </w:r>
          </w:p>
        </w:tc>
      </w:tr>
      <w:tr>
        <w:trPr>
          <w:cantSplit/>
        </w:trPr>
        <w:tc>
          <w:tcPr>
            <w:tcW w:type="dxa" w:w="2200"/>
          </w:tcPr>
          <w:p>
            <w:pPr>
              <w:pStyle w:val="MDPI42tablebody"/>
              <w:keepNext/>
              <w:spacing w:line="240" w:lineRule="auto" w:before="30" w:after="30"/>
              <w:jc w:val="left"/>
            </w:pPr>
            <w:r>
              <w:rPr>
                <w:b w:val="0"/>
                <w:i/>
                <w:sz w:val="18"/>
              </w:rPr>
              <w:t>Lev</w:t>
            </w:r>
          </w:p>
        </w:tc>
        <w:tc>
          <w:tcPr>
            <w:tcW w:type="dxa" w:w="1414"/>
          </w:tcPr>
          <w:p>
            <w:pPr>
              <w:pStyle w:val="MDPI42tablebody"/>
              <w:keepNext/>
              <w:spacing w:line="240" w:lineRule="auto" w:before="30" w:after="30"/>
              <w:jc w:val="center"/>
            </w:pPr>
            <w:r>
              <w:rPr>
                <w:b w:val="0"/>
                <w:i w:val="0"/>
                <w:sz w:val="18"/>
              </w:rPr>
              <w:t>−1.786**</w:t>
            </w:r>
          </w:p>
        </w:tc>
        <w:tc>
          <w:tcPr>
            <w:tcW w:type="dxa" w:w="1414"/>
          </w:tcPr>
          <w:p>
            <w:pPr>
              <w:pStyle w:val="MDPI42tablebody"/>
              <w:keepNext/>
              <w:spacing w:line="240" w:lineRule="auto" w:before="30" w:after="30"/>
              <w:jc w:val="center"/>
            </w:pPr>
            <w:r>
              <w:rPr>
                <w:b w:val="0"/>
                <w:i w:val="0"/>
                <w:sz w:val="18"/>
              </w:rPr>
              <w:t>−1.905**</w:t>
            </w:r>
          </w:p>
        </w:tc>
        <w:tc>
          <w:tcPr>
            <w:tcW w:type="dxa" w:w="1414"/>
          </w:tcPr>
          <w:p>
            <w:pPr>
              <w:pStyle w:val="MDPI42tablebody"/>
              <w:keepNext/>
              <w:spacing w:line="240" w:lineRule="auto" w:before="30" w:after="30"/>
              <w:jc w:val="center"/>
            </w:pPr>
            <w:r>
              <w:rPr>
                <w:b w:val="0"/>
                <w:i w:val="0"/>
                <w:sz w:val="18"/>
              </w:rPr>
              <w:t>−1.793**</w:t>
            </w:r>
          </w:p>
        </w:tc>
        <w:tc>
          <w:tcPr>
            <w:tcW w:type="dxa" w:w="1414"/>
          </w:tcPr>
          <w:p>
            <w:pPr>
              <w:pStyle w:val="MDPI42tablebody"/>
              <w:keepNext/>
              <w:spacing w:line="240" w:lineRule="auto" w:before="30" w:after="30"/>
              <w:jc w:val="center"/>
            </w:pPr>
            <w:r>
              <w:rPr>
                <w:b w:val="0"/>
                <w:i w:val="0"/>
                <w:sz w:val="18"/>
              </w:rPr>
              <w:t>−1.900**</w:t>
            </w:r>
          </w:p>
        </w:tc>
      </w:tr>
      <w:tr>
        <w:trPr>
          <w:cantSplit/>
        </w:trPr>
        <w:tc>
          <w:tcPr>
            <w:tcW w:type="dxa" w:w="2200"/>
          </w:tcPr>
          <w:p>
            <w:pPr>
              <w:pStyle w:val="MDPI42tablebody"/>
              <w:keepNext/>
              <w:spacing w:line="240" w:lineRule="auto" w:before="30" w:after="30"/>
              <w:jc w:val="left"/>
            </w:pPr>
          </w:p>
        </w:tc>
        <w:tc>
          <w:tcPr>
            <w:tcW w:type="dxa" w:w="1414"/>
          </w:tcPr>
          <w:p>
            <w:pPr>
              <w:pStyle w:val="MDPI42tablebody"/>
              <w:keepNext/>
              <w:spacing w:line="240" w:lineRule="auto" w:before="30" w:after="30"/>
              <w:jc w:val="center"/>
            </w:pPr>
            <w:r>
              <w:rPr>
                <w:b w:val="0"/>
                <w:i w:val="0"/>
                <w:sz w:val="18"/>
              </w:rPr>
              <w:t>(0.827)</w:t>
            </w:r>
          </w:p>
        </w:tc>
        <w:tc>
          <w:tcPr>
            <w:tcW w:type="dxa" w:w="1414"/>
          </w:tcPr>
          <w:p>
            <w:pPr>
              <w:pStyle w:val="MDPI42tablebody"/>
              <w:keepNext/>
              <w:spacing w:line="240" w:lineRule="auto" w:before="30" w:after="30"/>
              <w:jc w:val="center"/>
            </w:pPr>
            <w:r>
              <w:rPr>
                <w:b w:val="0"/>
                <w:i w:val="0"/>
                <w:sz w:val="18"/>
              </w:rPr>
              <w:t>(0.828)</w:t>
            </w:r>
          </w:p>
        </w:tc>
        <w:tc>
          <w:tcPr>
            <w:tcW w:type="dxa" w:w="1414"/>
          </w:tcPr>
          <w:p>
            <w:pPr>
              <w:pStyle w:val="MDPI42tablebody"/>
              <w:keepNext/>
              <w:spacing w:line="240" w:lineRule="auto" w:before="30" w:after="30"/>
              <w:jc w:val="center"/>
            </w:pPr>
            <w:r>
              <w:rPr>
                <w:b w:val="0"/>
                <w:i w:val="0"/>
                <w:sz w:val="18"/>
              </w:rPr>
              <w:t>(0.823)</w:t>
            </w:r>
          </w:p>
        </w:tc>
        <w:tc>
          <w:tcPr>
            <w:tcW w:type="dxa" w:w="1414"/>
          </w:tcPr>
          <w:p>
            <w:pPr>
              <w:pStyle w:val="MDPI42tablebody"/>
              <w:keepNext/>
              <w:spacing w:line="240" w:lineRule="auto" w:before="30" w:after="30"/>
              <w:jc w:val="center"/>
            </w:pPr>
            <w:r>
              <w:rPr>
                <w:b w:val="0"/>
                <w:i w:val="0"/>
                <w:sz w:val="18"/>
              </w:rPr>
              <w:t>(0.831)</w:t>
            </w:r>
          </w:p>
        </w:tc>
      </w:tr>
      <w:tr>
        <w:trPr>
          <w:cantSplit/>
        </w:trPr>
        <w:tc>
          <w:tcPr>
            <w:tcW w:type="dxa" w:w="2200"/>
          </w:tcPr>
          <w:p>
            <w:pPr>
              <w:pStyle w:val="MDPI42tablebody"/>
              <w:keepNext/>
              <w:spacing w:line="240" w:lineRule="auto" w:before="30" w:after="30"/>
              <w:jc w:val="left"/>
            </w:pPr>
            <w:r>
              <w:rPr>
                <w:b w:val="0"/>
                <w:i/>
                <w:sz w:val="18"/>
              </w:rPr>
              <w:t>ROA</w:t>
            </w:r>
          </w:p>
        </w:tc>
        <w:tc>
          <w:tcPr>
            <w:tcW w:type="dxa" w:w="1414"/>
          </w:tcPr>
          <w:p>
            <w:pPr>
              <w:pStyle w:val="MDPI42tablebody"/>
              <w:keepNext/>
              <w:spacing w:line="240" w:lineRule="auto" w:before="30" w:after="30"/>
              <w:jc w:val="center"/>
            </w:pPr>
            <w:r>
              <w:rPr>
                <w:b w:val="0"/>
                <w:i w:val="0"/>
                <w:sz w:val="18"/>
              </w:rPr>
              <w:t>10.565***</w:t>
            </w:r>
          </w:p>
        </w:tc>
        <w:tc>
          <w:tcPr>
            <w:tcW w:type="dxa" w:w="1414"/>
          </w:tcPr>
          <w:p>
            <w:pPr>
              <w:pStyle w:val="MDPI42tablebody"/>
              <w:keepNext/>
              <w:spacing w:line="240" w:lineRule="auto" w:before="30" w:after="30"/>
              <w:jc w:val="center"/>
            </w:pPr>
            <w:r>
              <w:rPr>
                <w:b w:val="0"/>
                <w:i w:val="0"/>
                <w:sz w:val="18"/>
              </w:rPr>
              <w:t>10.438***</w:t>
            </w:r>
          </w:p>
        </w:tc>
        <w:tc>
          <w:tcPr>
            <w:tcW w:type="dxa" w:w="1414"/>
          </w:tcPr>
          <w:p>
            <w:pPr>
              <w:pStyle w:val="MDPI42tablebody"/>
              <w:keepNext/>
              <w:spacing w:line="240" w:lineRule="auto" w:before="30" w:after="30"/>
              <w:jc w:val="center"/>
            </w:pPr>
            <w:r>
              <w:rPr>
                <w:b w:val="0"/>
                <w:i w:val="0"/>
                <w:sz w:val="18"/>
              </w:rPr>
              <w:t>10.482***</w:t>
            </w:r>
          </w:p>
        </w:tc>
        <w:tc>
          <w:tcPr>
            <w:tcW w:type="dxa" w:w="1414"/>
          </w:tcPr>
          <w:p>
            <w:pPr>
              <w:pStyle w:val="MDPI42tablebody"/>
              <w:keepNext/>
              <w:spacing w:line="240" w:lineRule="auto" w:before="30" w:after="30"/>
              <w:jc w:val="center"/>
            </w:pPr>
            <w:r>
              <w:rPr>
                <w:b w:val="0"/>
                <w:i w:val="0"/>
                <w:sz w:val="18"/>
              </w:rPr>
              <w:t>10.482***</w:t>
            </w:r>
          </w:p>
        </w:tc>
      </w:tr>
      <w:tr>
        <w:trPr>
          <w:cantSplit/>
        </w:trPr>
        <w:tc>
          <w:tcPr>
            <w:tcW w:type="dxa" w:w="2200"/>
          </w:tcPr>
          <w:p>
            <w:pPr>
              <w:pStyle w:val="MDPI42tablebody"/>
              <w:keepNext/>
              <w:spacing w:line="240" w:lineRule="auto" w:before="30" w:after="30"/>
              <w:jc w:val="left"/>
            </w:pPr>
          </w:p>
        </w:tc>
        <w:tc>
          <w:tcPr>
            <w:tcW w:type="dxa" w:w="1414"/>
          </w:tcPr>
          <w:p>
            <w:pPr>
              <w:pStyle w:val="MDPI42tablebody"/>
              <w:keepNext/>
              <w:spacing w:line="240" w:lineRule="auto" w:before="30" w:after="30"/>
              <w:jc w:val="center"/>
            </w:pPr>
            <w:r>
              <w:rPr>
                <w:b w:val="0"/>
                <w:i w:val="0"/>
                <w:sz w:val="18"/>
              </w:rPr>
              <w:t>(1.465)</w:t>
            </w:r>
          </w:p>
        </w:tc>
        <w:tc>
          <w:tcPr>
            <w:tcW w:type="dxa" w:w="1414"/>
          </w:tcPr>
          <w:p>
            <w:pPr>
              <w:pStyle w:val="MDPI42tablebody"/>
              <w:keepNext/>
              <w:spacing w:line="240" w:lineRule="auto" w:before="30" w:after="30"/>
              <w:jc w:val="center"/>
            </w:pPr>
            <w:r>
              <w:rPr>
                <w:b w:val="0"/>
                <w:i w:val="0"/>
                <w:sz w:val="18"/>
              </w:rPr>
              <w:t>(1.466)</w:t>
            </w:r>
          </w:p>
        </w:tc>
        <w:tc>
          <w:tcPr>
            <w:tcW w:type="dxa" w:w="1414"/>
          </w:tcPr>
          <w:p>
            <w:pPr>
              <w:pStyle w:val="MDPI42tablebody"/>
              <w:keepNext/>
              <w:spacing w:line="240" w:lineRule="auto" w:before="30" w:after="30"/>
              <w:jc w:val="center"/>
            </w:pPr>
            <w:r>
              <w:rPr>
                <w:b w:val="0"/>
                <w:i w:val="0"/>
                <w:sz w:val="18"/>
              </w:rPr>
              <w:t>(1.462)</w:t>
            </w:r>
          </w:p>
        </w:tc>
        <w:tc>
          <w:tcPr>
            <w:tcW w:type="dxa" w:w="1414"/>
          </w:tcPr>
          <w:p>
            <w:pPr>
              <w:pStyle w:val="MDPI42tablebody"/>
              <w:keepNext/>
              <w:spacing w:line="240" w:lineRule="auto" w:before="30" w:after="30"/>
              <w:jc w:val="center"/>
            </w:pPr>
            <w:r>
              <w:rPr>
                <w:b w:val="0"/>
                <w:i w:val="0"/>
                <w:sz w:val="18"/>
              </w:rPr>
              <w:t>(1.468)</w:t>
            </w:r>
          </w:p>
        </w:tc>
      </w:tr>
      <w:tr>
        <w:trPr>
          <w:cantSplit/>
        </w:trPr>
        <w:tc>
          <w:tcPr>
            <w:tcW w:type="dxa" w:w="2200"/>
          </w:tcPr>
          <w:p>
            <w:pPr>
              <w:pStyle w:val="MDPI42tablebody"/>
              <w:keepNext/>
              <w:spacing w:line="240" w:lineRule="auto" w:before="30" w:after="30"/>
              <w:jc w:val="left"/>
            </w:pPr>
            <w:r>
              <w:rPr>
                <w:b w:val="0"/>
                <w:i/>
                <w:sz w:val="18"/>
              </w:rPr>
              <w:t>Growth</w:t>
            </w:r>
          </w:p>
        </w:tc>
        <w:tc>
          <w:tcPr>
            <w:tcW w:type="dxa" w:w="1414"/>
          </w:tcPr>
          <w:p>
            <w:pPr>
              <w:pStyle w:val="MDPI42tablebody"/>
              <w:keepNext/>
              <w:spacing w:line="240" w:lineRule="auto" w:before="30" w:after="30"/>
              <w:jc w:val="center"/>
            </w:pPr>
            <w:r>
              <w:rPr>
                <w:b w:val="0"/>
                <w:i w:val="0"/>
                <w:sz w:val="18"/>
              </w:rPr>
              <w:t>2.085***</w:t>
            </w:r>
          </w:p>
        </w:tc>
        <w:tc>
          <w:tcPr>
            <w:tcW w:type="dxa" w:w="1414"/>
          </w:tcPr>
          <w:p>
            <w:pPr>
              <w:pStyle w:val="MDPI42tablebody"/>
              <w:keepNext/>
              <w:spacing w:line="240" w:lineRule="auto" w:before="30" w:after="30"/>
              <w:jc w:val="center"/>
            </w:pPr>
            <w:r>
              <w:rPr>
                <w:b w:val="0"/>
                <w:i w:val="0"/>
                <w:sz w:val="18"/>
              </w:rPr>
              <w:t>2.086***</w:t>
            </w:r>
          </w:p>
        </w:tc>
        <w:tc>
          <w:tcPr>
            <w:tcW w:type="dxa" w:w="1414"/>
          </w:tcPr>
          <w:p>
            <w:pPr>
              <w:pStyle w:val="MDPI42tablebody"/>
              <w:keepNext/>
              <w:spacing w:line="240" w:lineRule="auto" w:before="30" w:after="30"/>
              <w:jc w:val="center"/>
            </w:pPr>
            <w:r>
              <w:rPr>
                <w:b w:val="0"/>
                <w:i w:val="0"/>
                <w:sz w:val="18"/>
              </w:rPr>
              <w:t>2.077***</w:t>
            </w:r>
          </w:p>
        </w:tc>
        <w:tc>
          <w:tcPr>
            <w:tcW w:type="dxa" w:w="1414"/>
          </w:tcPr>
          <w:p>
            <w:pPr>
              <w:pStyle w:val="MDPI42tablebody"/>
              <w:keepNext/>
              <w:spacing w:line="240" w:lineRule="auto" w:before="30" w:after="30"/>
              <w:jc w:val="center"/>
            </w:pPr>
            <w:r>
              <w:rPr>
                <w:b w:val="0"/>
                <w:i w:val="0"/>
                <w:sz w:val="18"/>
              </w:rPr>
              <w:t>2.081***</w:t>
            </w:r>
          </w:p>
        </w:tc>
      </w:tr>
      <w:tr>
        <w:trPr>
          <w:cantSplit/>
        </w:trPr>
        <w:tc>
          <w:tcPr>
            <w:tcW w:type="dxa" w:w="2200"/>
          </w:tcPr>
          <w:p>
            <w:pPr>
              <w:pStyle w:val="MDPI42tablebody"/>
              <w:keepNext/>
              <w:spacing w:line="240" w:lineRule="auto" w:before="30" w:after="30"/>
              <w:jc w:val="left"/>
            </w:pPr>
          </w:p>
        </w:tc>
        <w:tc>
          <w:tcPr>
            <w:tcW w:type="dxa" w:w="1414"/>
          </w:tcPr>
          <w:p>
            <w:pPr>
              <w:pStyle w:val="MDPI42tablebody"/>
              <w:keepNext/>
              <w:spacing w:line="240" w:lineRule="auto" w:before="30" w:after="30"/>
              <w:jc w:val="center"/>
            </w:pPr>
            <w:r>
              <w:rPr>
                <w:b w:val="0"/>
                <w:i w:val="0"/>
                <w:sz w:val="18"/>
              </w:rPr>
              <w:t>(0.119)</w:t>
            </w:r>
          </w:p>
        </w:tc>
        <w:tc>
          <w:tcPr>
            <w:tcW w:type="dxa" w:w="1414"/>
          </w:tcPr>
          <w:p>
            <w:pPr>
              <w:pStyle w:val="MDPI42tablebody"/>
              <w:keepNext/>
              <w:spacing w:line="240" w:lineRule="auto" w:before="30" w:after="30"/>
              <w:jc w:val="center"/>
            </w:pPr>
            <w:r>
              <w:rPr>
                <w:b w:val="0"/>
                <w:i w:val="0"/>
                <w:sz w:val="18"/>
              </w:rPr>
              <w:t>(0.120)</w:t>
            </w:r>
          </w:p>
        </w:tc>
        <w:tc>
          <w:tcPr>
            <w:tcW w:type="dxa" w:w="1414"/>
          </w:tcPr>
          <w:p>
            <w:pPr>
              <w:pStyle w:val="MDPI42tablebody"/>
              <w:keepNext/>
              <w:spacing w:line="240" w:lineRule="auto" w:before="30" w:after="30"/>
              <w:jc w:val="center"/>
            </w:pPr>
            <w:r>
              <w:rPr>
                <w:b w:val="0"/>
                <w:i w:val="0"/>
                <w:sz w:val="18"/>
              </w:rPr>
              <w:t>(0.119)</w:t>
            </w:r>
          </w:p>
        </w:tc>
        <w:tc>
          <w:tcPr>
            <w:tcW w:type="dxa" w:w="1414"/>
          </w:tcPr>
          <w:p>
            <w:pPr>
              <w:pStyle w:val="MDPI42tablebody"/>
              <w:keepNext/>
              <w:spacing w:line="240" w:lineRule="auto" w:before="30" w:after="30"/>
              <w:jc w:val="center"/>
            </w:pPr>
            <w:r>
              <w:rPr>
                <w:b w:val="0"/>
                <w:i w:val="0"/>
                <w:sz w:val="18"/>
              </w:rPr>
              <w:t>(0.120)</w:t>
            </w:r>
          </w:p>
        </w:tc>
      </w:tr>
      <w:tr>
        <w:trPr>
          <w:cantSplit/>
        </w:trPr>
        <w:tc>
          <w:tcPr>
            <w:tcW w:type="dxa" w:w="2200"/>
          </w:tcPr>
          <w:p>
            <w:pPr>
              <w:pStyle w:val="MDPI42tablebody"/>
              <w:keepNext/>
              <w:spacing w:line="240" w:lineRule="auto" w:before="30" w:after="30"/>
              <w:jc w:val="left"/>
            </w:pPr>
            <w:r>
              <w:rPr>
                <w:b w:val="0"/>
                <w:i/>
                <w:sz w:val="18"/>
              </w:rPr>
              <w:t>Cashflow</w:t>
            </w:r>
          </w:p>
        </w:tc>
        <w:tc>
          <w:tcPr>
            <w:tcW w:type="dxa" w:w="1414"/>
          </w:tcPr>
          <w:p>
            <w:pPr>
              <w:pStyle w:val="MDPI42tablebody"/>
              <w:keepNext/>
              <w:spacing w:line="240" w:lineRule="auto" w:before="30" w:after="30"/>
              <w:jc w:val="center"/>
            </w:pPr>
            <w:r>
              <w:rPr>
                <w:b w:val="0"/>
                <w:i w:val="0"/>
                <w:sz w:val="18"/>
              </w:rPr>
              <w:t>3.328***</w:t>
            </w:r>
          </w:p>
        </w:tc>
        <w:tc>
          <w:tcPr>
            <w:tcW w:type="dxa" w:w="1414"/>
          </w:tcPr>
          <w:p>
            <w:pPr>
              <w:pStyle w:val="MDPI42tablebody"/>
              <w:keepNext/>
              <w:spacing w:line="240" w:lineRule="auto" w:before="30" w:after="30"/>
              <w:jc w:val="center"/>
            </w:pPr>
            <w:r>
              <w:rPr>
                <w:b w:val="0"/>
                <w:i w:val="0"/>
                <w:sz w:val="18"/>
              </w:rPr>
              <w:t>3.270***</w:t>
            </w:r>
          </w:p>
        </w:tc>
        <w:tc>
          <w:tcPr>
            <w:tcW w:type="dxa" w:w="1414"/>
          </w:tcPr>
          <w:p>
            <w:pPr>
              <w:pStyle w:val="MDPI42tablebody"/>
              <w:keepNext/>
              <w:spacing w:line="240" w:lineRule="auto" w:before="30" w:after="30"/>
              <w:jc w:val="center"/>
            </w:pPr>
            <w:r>
              <w:rPr>
                <w:b w:val="0"/>
                <w:i w:val="0"/>
                <w:sz w:val="18"/>
              </w:rPr>
              <w:t>3.276***</w:t>
            </w:r>
          </w:p>
        </w:tc>
        <w:tc>
          <w:tcPr>
            <w:tcW w:type="dxa" w:w="1414"/>
          </w:tcPr>
          <w:p>
            <w:pPr>
              <w:pStyle w:val="MDPI42tablebody"/>
              <w:keepNext/>
              <w:spacing w:line="240" w:lineRule="auto" w:before="30" w:after="30"/>
              <w:jc w:val="center"/>
            </w:pPr>
            <w:r>
              <w:rPr>
                <w:b w:val="0"/>
                <w:i w:val="0"/>
                <w:sz w:val="18"/>
              </w:rPr>
              <w:t>3.308***</w:t>
            </w:r>
          </w:p>
        </w:tc>
      </w:tr>
      <w:tr>
        <w:trPr>
          <w:cantSplit/>
        </w:trPr>
        <w:tc>
          <w:tcPr>
            <w:tcW w:type="dxa" w:w="2200"/>
          </w:tcPr>
          <w:p>
            <w:pPr>
              <w:pStyle w:val="MDPI42tablebody"/>
              <w:keepNext/>
              <w:spacing w:line="240" w:lineRule="auto" w:before="30" w:after="30"/>
              <w:jc w:val="left"/>
            </w:pPr>
          </w:p>
        </w:tc>
        <w:tc>
          <w:tcPr>
            <w:tcW w:type="dxa" w:w="1414"/>
          </w:tcPr>
          <w:p>
            <w:pPr>
              <w:pStyle w:val="MDPI42tablebody"/>
              <w:keepNext/>
              <w:spacing w:line="240" w:lineRule="auto" w:before="30" w:after="30"/>
              <w:jc w:val="center"/>
            </w:pPr>
            <w:r>
              <w:rPr>
                <w:b w:val="0"/>
                <w:i w:val="0"/>
                <w:sz w:val="18"/>
              </w:rPr>
              <w:t>(0.626)</w:t>
            </w:r>
          </w:p>
        </w:tc>
        <w:tc>
          <w:tcPr>
            <w:tcW w:type="dxa" w:w="1414"/>
          </w:tcPr>
          <w:p>
            <w:pPr>
              <w:pStyle w:val="MDPI42tablebody"/>
              <w:keepNext/>
              <w:spacing w:line="240" w:lineRule="auto" w:before="30" w:after="30"/>
              <w:jc w:val="center"/>
            </w:pPr>
            <w:r>
              <w:rPr>
                <w:b w:val="0"/>
                <w:i w:val="0"/>
                <w:sz w:val="18"/>
              </w:rPr>
              <w:t>(0.625)</w:t>
            </w:r>
          </w:p>
        </w:tc>
        <w:tc>
          <w:tcPr>
            <w:tcW w:type="dxa" w:w="1414"/>
          </w:tcPr>
          <w:p>
            <w:pPr>
              <w:pStyle w:val="MDPI42tablebody"/>
              <w:keepNext/>
              <w:spacing w:line="240" w:lineRule="auto" w:before="30" w:after="30"/>
              <w:jc w:val="center"/>
            </w:pPr>
            <w:r>
              <w:rPr>
                <w:b w:val="0"/>
                <w:i w:val="0"/>
                <w:sz w:val="18"/>
              </w:rPr>
              <w:t>(0.623)</w:t>
            </w:r>
          </w:p>
        </w:tc>
        <w:tc>
          <w:tcPr>
            <w:tcW w:type="dxa" w:w="1414"/>
          </w:tcPr>
          <w:p>
            <w:pPr>
              <w:pStyle w:val="MDPI42tablebody"/>
              <w:keepNext/>
              <w:spacing w:line="240" w:lineRule="auto" w:before="30" w:after="30"/>
              <w:jc w:val="center"/>
            </w:pPr>
            <w:r>
              <w:rPr>
                <w:b w:val="0"/>
                <w:i w:val="0"/>
                <w:sz w:val="18"/>
              </w:rPr>
              <w:t>(0.627)</w:t>
            </w:r>
          </w:p>
        </w:tc>
      </w:tr>
      <w:tr>
        <w:trPr>
          <w:cantSplit/>
        </w:trPr>
        <w:tc>
          <w:tcPr>
            <w:tcW w:type="dxa" w:w="2200"/>
          </w:tcPr>
          <w:p>
            <w:pPr>
              <w:pStyle w:val="MDPI42tablebody"/>
              <w:keepNext/>
              <w:spacing w:line="240" w:lineRule="auto" w:before="30" w:after="30"/>
              <w:jc w:val="left"/>
            </w:pPr>
            <w:r>
              <w:rPr>
                <w:b w:val="0"/>
                <w:i/>
                <w:sz w:val="18"/>
              </w:rPr>
              <w:t>TobinQ</w:t>
            </w:r>
          </w:p>
        </w:tc>
        <w:tc>
          <w:tcPr>
            <w:tcW w:type="dxa" w:w="1414"/>
          </w:tcPr>
          <w:p>
            <w:pPr>
              <w:pStyle w:val="MDPI42tablebody"/>
              <w:keepNext/>
              <w:spacing w:line="240" w:lineRule="auto" w:before="30" w:after="30"/>
              <w:jc w:val="center"/>
            </w:pPr>
            <w:r>
              <w:rPr>
                <w:b w:val="0"/>
                <w:i w:val="0"/>
                <w:sz w:val="18"/>
              </w:rPr>
              <w:t>0.655***</w:t>
            </w:r>
          </w:p>
        </w:tc>
        <w:tc>
          <w:tcPr>
            <w:tcW w:type="dxa" w:w="1414"/>
          </w:tcPr>
          <w:p>
            <w:pPr>
              <w:pStyle w:val="MDPI42tablebody"/>
              <w:keepNext/>
              <w:spacing w:line="240" w:lineRule="auto" w:before="30" w:after="30"/>
              <w:jc w:val="center"/>
            </w:pPr>
            <w:r>
              <w:rPr>
                <w:b w:val="0"/>
                <w:i w:val="0"/>
                <w:sz w:val="18"/>
              </w:rPr>
              <w:t>0.651***</w:t>
            </w:r>
          </w:p>
        </w:tc>
        <w:tc>
          <w:tcPr>
            <w:tcW w:type="dxa" w:w="1414"/>
          </w:tcPr>
          <w:p>
            <w:pPr>
              <w:pStyle w:val="MDPI42tablebody"/>
              <w:keepNext/>
              <w:spacing w:line="240" w:lineRule="auto" w:before="30" w:after="30"/>
              <w:jc w:val="center"/>
            </w:pPr>
            <w:r>
              <w:rPr>
                <w:b w:val="0"/>
                <w:i w:val="0"/>
                <w:sz w:val="18"/>
              </w:rPr>
              <w:t>0.655***</w:t>
            </w:r>
          </w:p>
        </w:tc>
        <w:tc>
          <w:tcPr>
            <w:tcW w:type="dxa" w:w="1414"/>
          </w:tcPr>
          <w:p>
            <w:pPr>
              <w:pStyle w:val="MDPI42tablebody"/>
              <w:keepNext/>
              <w:spacing w:line="240" w:lineRule="auto" w:before="30" w:after="30"/>
              <w:jc w:val="center"/>
            </w:pPr>
            <w:r>
              <w:rPr>
                <w:b w:val="0"/>
                <w:i w:val="0"/>
                <w:sz w:val="18"/>
              </w:rPr>
              <w:t>0.649***</w:t>
            </w:r>
          </w:p>
        </w:tc>
      </w:tr>
      <w:tr>
        <w:trPr>
          <w:cantSplit/>
        </w:trPr>
        <w:tc>
          <w:tcPr>
            <w:tcW w:type="dxa" w:w="2200"/>
          </w:tcPr>
          <w:p>
            <w:pPr>
              <w:pStyle w:val="MDPI42tablebody"/>
              <w:keepNext/>
              <w:spacing w:line="240" w:lineRule="auto" w:before="30" w:after="30"/>
              <w:jc w:val="left"/>
            </w:pPr>
          </w:p>
        </w:tc>
        <w:tc>
          <w:tcPr>
            <w:tcW w:type="dxa" w:w="1414"/>
          </w:tcPr>
          <w:p>
            <w:pPr>
              <w:pStyle w:val="MDPI42tablebody"/>
              <w:keepNext/>
              <w:spacing w:line="240" w:lineRule="auto" w:before="30" w:after="30"/>
              <w:jc w:val="center"/>
            </w:pPr>
            <w:r>
              <w:rPr>
                <w:b w:val="0"/>
                <w:i w:val="0"/>
                <w:sz w:val="18"/>
              </w:rPr>
              <w:t>(0.044)</w:t>
            </w:r>
          </w:p>
        </w:tc>
        <w:tc>
          <w:tcPr>
            <w:tcW w:type="dxa" w:w="1414"/>
          </w:tcPr>
          <w:p>
            <w:pPr>
              <w:pStyle w:val="MDPI42tablebody"/>
              <w:keepNext/>
              <w:spacing w:line="240" w:lineRule="auto" w:before="30" w:after="30"/>
              <w:jc w:val="center"/>
            </w:pPr>
            <w:r>
              <w:rPr>
                <w:b w:val="0"/>
                <w:i w:val="0"/>
                <w:sz w:val="18"/>
              </w:rPr>
              <w:t>(0.044)</w:t>
            </w:r>
          </w:p>
        </w:tc>
        <w:tc>
          <w:tcPr>
            <w:tcW w:type="dxa" w:w="1414"/>
          </w:tcPr>
          <w:p>
            <w:pPr>
              <w:pStyle w:val="MDPI42tablebody"/>
              <w:keepNext/>
              <w:spacing w:line="240" w:lineRule="auto" w:before="30" w:after="30"/>
              <w:jc w:val="center"/>
            </w:pPr>
            <w:r>
              <w:rPr>
                <w:b w:val="0"/>
                <w:i w:val="0"/>
                <w:sz w:val="18"/>
              </w:rPr>
              <w:t>(0.044)</w:t>
            </w:r>
          </w:p>
        </w:tc>
        <w:tc>
          <w:tcPr>
            <w:tcW w:type="dxa" w:w="1414"/>
          </w:tcPr>
          <w:p>
            <w:pPr>
              <w:pStyle w:val="MDPI42tablebody"/>
              <w:keepNext/>
              <w:spacing w:line="240" w:lineRule="auto" w:before="30" w:after="30"/>
              <w:jc w:val="center"/>
            </w:pPr>
            <w:r>
              <w:rPr>
                <w:b w:val="0"/>
                <w:i w:val="0"/>
                <w:sz w:val="18"/>
              </w:rPr>
              <w:t>(0.044)</w:t>
            </w:r>
          </w:p>
        </w:tc>
      </w:tr>
      <w:tr>
        <w:trPr>
          <w:cantSplit/>
        </w:trPr>
        <w:tc>
          <w:tcPr>
            <w:tcW w:type="dxa" w:w="2200"/>
          </w:tcPr>
          <w:p>
            <w:pPr>
              <w:pStyle w:val="MDPI42tablebody"/>
              <w:keepNext/>
              <w:spacing w:line="240" w:lineRule="auto" w:before="30" w:after="30"/>
              <w:jc w:val="left"/>
            </w:pPr>
            <w:r>
              <w:rPr>
                <w:b w:val="0"/>
                <w:i/>
                <w:sz w:val="18"/>
              </w:rPr>
              <w:t>Top1</w:t>
            </w:r>
          </w:p>
        </w:tc>
        <w:tc>
          <w:tcPr>
            <w:tcW w:type="dxa" w:w="1414"/>
          </w:tcPr>
          <w:p>
            <w:pPr>
              <w:pStyle w:val="MDPI42tablebody"/>
              <w:keepNext/>
              <w:spacing w:line="240" w:lineRule="auto" w:before="30" w:after="30"/>
              <w:jc w:val="center"/>
            </w:pPr>
            <w:r>
              <w:rPr>
                <w:b w:val="0"/>
                <w:i w:val="0"/>
                <w:sz w:val="18"/>
              </w:rPr>
              <w:t>3.124*</w:t>
            </w:r>
          </w:p>
        </w:tc>
        <w:tc>
          <w:tcPr>
            <w:tcW w:type="dxa" w:w="1414"/>
          </w:tcPr>
          <w:p>
            <w:pPr>
              <w:pStyle w:val="MDPI42tablebody"/>
              <w:keepNext/>
              <w:spacing w:line="240" w:lineRule="auto" w:before="30" w:after="30"/>
              <w:jc w:val="center"/>
            </w:pPr>
            <w:r>
              <w:rPr>
                <w:b w:val="0"/>
                <w:i w:val="0"/>
                <w:sz w:val="18"/>
              </w:rPr>
              <w:t>3.462*</w:t>
            </w:r>
          </w:p>
        </w:tc>
        <w:tc>
          <w:tcPr>
            <w:tcW w:type="dxa" w:w="1414"/>
          </w:tcPr>
          <w:p>
            <w:pPr>
              <w:pStyle w:val="MDPI42tablebody"/>
              <w:keepNext/>
              <w:spacing w:line="240" w:lineRule="auto" w:before="30" w:after="30"/>
              <w:jc w:val="center"/>
            </w:pPr>
            <w:r>
              <w:rPr>
                <w:b w:val="0"/>
                <w:i w:val="0"/>
                <w:sz w:val="18"/>
              </w:rPr>
              <w:t>3.095*</w:t>
            </w:r>
          </w:p>
        </w:tc>
        <w:tc>
          <w:tcPr>
            <w:tcW w:type="dxa" w:w="1414"/>
          </w:tcPr>
          <w:p>
            <w:pPr>
              <w:pStyle w:val="MDPI42tablebody"/>
              <w:keepNext/>
              <w:spacing w:line="240" w:lineRule="auto" w:before="30" w:after="30"/>
              <w:jc w:val="center"/>
            </w:pPr>
            <w:r>
              <w:rPr>
                <w:b w:val="0"/>
                <w:i w:val="0"/>
                <w:sz w:val="18"/>
              </w:rPr>
              <w:t>3.412*</w:t>
            </w:r>
          </w:p>
        </w:tc>
      </w:tr>
      <w:tr>
        <w:trPr>
          <w:cantSplit/>
        </w:trPr>
        <w:tc>
          <w:tcPr>
            <w:tcW w:type="dxa" w:w="2200"/>
          </w:tcPr>
          <w:p>
            <w:pPr>
              <w:pStyle w:val="MDPI42tablebody"/>
              <w:keepNext/>
              <w:spacing w:line="240" w:lineRule="auto" w:before="30" w:after="30"/>
              <w:jc w:val="left"/>
            </w:pPr>
          </w:p>
        </w:tc>
        <w:tc>
          <w:tcPr>
            <w:tcW w:type="dxa" w:w="1414"/>
          </w:tcPr>
          <w:p>
            <w:pPr>
              <w:pStyle w:val="MDPI42tablebody"/>
              <w:keepNext/>
              <w:spacing w:line="240" w:lineRule="auto" w:before="30" w:after="30"/>
              <w:jc w:val="center"/>
            </w:pPr>
            <w:r>
              <w:rPr>
                <w:b w:val="0"/>
                <w:i w:val="0"/>
                <w:sz w:val="18"/>
              </w:rPr>
              <w:t>(1.882)</w:t>
            </w:r>
          </w:p>
        </w:tc>
        <w:tc>
          <w:tcPr>
            <w:tcW w:type="dxa" w:w="1414"/>
          </w:tcPr>
          <w:p>
            <w:pPr>
              <w:pStyle w:val="MDPI42tablebody"/>
              <w:keepNext/>
              <w:spacing w:line="240" w:lineRule="auto" w:before="30" w:after="30"/>
              <w:jc w:val="center"/>
            </w:pPr>
            <w:r>
              <w:rPr>
                <w:b w:val="0"/>
                <w:i w:val="0"/>
                <w:sz w:val="18"/>
              </w:rPr>
              <w:t>(1.885)</w:t>
            </w:r>
          </w:p>
        </w:tc>
        <w:tc>
          <w:tcPr>
            <w:tcW w:type="dxa" w:w="1414"/>
          </w:tcPr>
          <w:p>
            <w:pPr>
              <w:pStyle w:val="MDPI42tablebody"/>
              <w:keepNext/>
              <w:spacing w:line="240" w:lineRule="auto" w:before="30" w:after="30"/>
              <w:jc w:val="center"/>
            </w:pPr>
            <w:r>
              <w:rPr>
                <w:b w:val="0"/>
                <w:i w:val="0"/>
                <w:sz w:val="18"/>
              </w:rPr>
              <w:t>(1.878)</w:t>
            </w:r>
          </w:p>
        </w:tc>
        <w:tc>
          <w:tcPr>
            <w:tcW w:type="dxa" w:w="1414"/>
          </w:tcPr>
          <w:p>
            <w:pPr>
              <w:pStyle w:val="MDPI42tablebody"/>
              <w:keepNext/>
              <w:spacing w:line="240" w:lineRule="auto" w:before="30" w:after="30"/>
              <w:jc w:val="center"/>
            </w:pPr>
            <w:r>
              <w:rPr>
                <w:b w:val="0"/>
                <w:i w:val="0"/>
                <w:sz w:val="18"/>
              </w:rPr>
              <w:t>(1.887)</w:t>
            </w:r>
          </w:p>
        </w:tc>
      </w:tr>
      <w:tr>
        <w:trPr>
          <w:cantSplit/>
        </w:trPr>
        <w:tc>
          <w:tcPr>
            <w:tcW w:type="dxa" w:w="2200"/>
          </w:tcPr>
          <w:p>
            <w:pPr>
              <w:pStyle w:val="MDPI42tablebody"/>
              <w:keepNext/>
              <w:spacing w:line="240" w:lineRule="auto" w:before="30" w:after="30"/>
              <w:jc w:val="left"/>
            </w:pPr>
            <w:r>
              <w:rPr>
                <w:b w:val="0"/>
                <w:i/>
                <w:sz w:val="18"/>
              </w:rPr>
              <w:t>Indep</w:t>
            </w:r>
          </w:p>
        </w:tc>
        <w:tc>
          <w:tcPr>
            <w:tcW w:type="dxa" w:w="1414"/>
          </w:tcPr>
          <w:p>
            <w:pPr>
              <w:pStyle w:val="MDPI42tablebody"/>
              <w:keepNext/>
              <w:spacing w:line="240" w:lineRule="auto" w:before="30" w:after="30"/>
              <w:jc w:val="center"/>
            </w:pPr>
            <w:r>
              <w:rPr>
                <w:b w:val="0"/>
                <w:i w:val="0"/>
                <w:sz w:val="18"/>
              </w:rPr>
              <w:t>−0.822</w:t>
            </w:r>
          </w:p>
        </w:tc>
        <w:tc>
          <w:tcPr>
            <w:tcW w:type="dxa" w:w="1414"/>
          </w:tcPr>
          <w:p>
            <w:pPr>
              <w:pStyle w:val="MDPI42tablebody"/>
              <w:keepNext/>
              <w:spacing w:line="240" w:lineRule="auto" w:before="30" w:after="30"/>
              <w:jc w:val="center"/>
            </w:pPr>
            <w:r>
              <w:rPr>
                <w:b w:val="0"/>
                <w:i w:val="0"/>
                <w:sz w:val="18"/>
              </w:rPr>
              <w:t>−0.595</w:t>
            </w:r>
          </w:p>
        </w:tc>
        <w:tc>
          <w:tcPr>
            <w:tcW w:type="dxa" w:w="1414"/>
          </w:tcPr>
          <w:p>
            <w:pPr>
              <w:pStyle w:val="MDPI42tablebody"/>
              <w:keepNext/>
              <w:spacing w:line="240" w:lineRule="auto" w:before="30" w:after="30"/>
              <w:jc w:val="center"/>
            </w:pPr>
            <w:r>
              <w:rPr>
                <w:b w:val="0"/>
                <w:i w:val="0"/>
                <w:sz w:val="18"/>
              </w:rPr>
              <w:t>−0.609</w:t>
            </w:r>
          </w:p>
        </w:tc>
        <w:tc>
          <w:tcPr>
            <w:tcW w:type="dxa" w:w="1414"/>
          </w:tcPr>
          <w:p>
            <w:pPr>
              <w:pStyle w:val="MDPI42tablebody"/>
              <w:keepNext/>
              <w:spacing w:line="240" w:lineRule="auto" w:before="30" w:after="30"/>
              <w:jc w:val="center"/>
            </w:pPr>
            <w:r>
              <w:rPr>
                <w:b w:val="0"/>
                <w:i w:val="0"/>
                <w:sz w:val="18"/>
              </w:rPr>
              <w:t>−0.687</w:t>
            </w:r>
          </w:p>
        </w:tc>
      </w:tr>
      <w:tr>
        <w:trPr>
          <w:cantSplit/>
        </w:trPr>
        <w:tc>
          <w:tcPr>
            <w:tcW w:type="dxa" w:w="2200"/>
          </w:tcPr>
          <w:p>
            <w:pPr>
              <w:pStyle w:val="MDPI42tablebody"/>
              <w:keepNext/>
              <w:spacing w:line="240" w:lineRule="auto" w:before="30" w:after="30"/>
              <w:jc w:val="left"/>
            </w:pPr>
          </w:p>
        </w:tc>
        <w:tc>
          <w:tcPr>
            <w:tcW w:type="dxa" w:w="1414"/>
          </w:tcPr>
          <w:p>
            <w:pPr>
              <w:pStyle w:val="MDPI42tablebody"/>
              <w:keepNext/>
              <w:spacing w:line="240" w:lineRule="auto" w:before="30" w:after="30"/>
              <w:jc w:val="center"/>
            </w:pPr>
            <w:r>
              <w:rPr>
                <w:b w:val="0"/>
                <w:i w:val="0"/>
                <w:sz w:val="18"/>
              </w:rPr>
              <w:t>(2.810)</w:t>
            </w:r>
          </w:p>
        </w:tc>
        <w:tc>
          <w:tcPr>
            <w:tcW w:type="dxa" w:w="1414"/>
          </w:tcPr>
          <w:p>
            <w:pPr>
              <w:pStyle w:val="MDPI42tablebody"/>
              <w:keepNext/>
              <w:spacing w:line="240" w:lineRule="auto" w:before="30" w:after="30"/>
              <w:jc w:val="center"/>
            </w:pPr>
            <w:r>
              <w:rPr>
                <w:b w:val="0"/>
                <w:i w:val="0"/>
                <w:sz w:val="18"/>
              </w:rPr>
              <w:t>(2.804)</w:t>
            </w:r>
          </w:p>
        </w:tc>
        <w:tc>
          <w:tcPr>
            <w:tcW w:type="dxa" w:w="1414"/>
          </w:tcPr>
          <w:p>
            <w:pPr>
              <w:pStyle w:val="MDPI42tablebody"/>
              <w:keepNext/>
              <w:spacing w:line="240" w:lineRule="auto" w:before="30" w:after="30"/>
              <w:jc w:val="center"/>
            </w:pPr>
            <w:r>
              <w:rPr>
                <w:b w:val="0"/>
                <w:i w:val="0"/>
                <w:sz w:val="18"/>
              </w:rPr>
              <w:t>(2.802)</w:t>
            </w:r>
          </w:p>
        </w:tc>
        <w:tc>
          <w:tcPr>
            <w:tcW w:type="dxa" w:w="1414"/>
          </w:tcPr>
          <w:p>
            <w:pPr>
              <w:pStyle w:val="MDPI42tablebody"/>
              <w:keepNext/>
              <w:spacing w:line="240" w:lineRule="auto" w:before="30" w:after="30"/>
              <w:jc w:val="center"/>
            </w:pPr>
            <w:r>
              <w:rPr>
                <w:b w:val="0"/>
                <w:i w:val="0"/>
                <w:sz w:val="18"/>
              </w:rPr>
              <w:t>(2.811)</w:t>
            </w:r>
          </w:p>
        </w:tc>
      </w:tr>
      <w:tr>
        <w:trPr>
          <w:cantSplit/>
        </w:trPr>
        <w:tc>
          <w:tcPr>
            <w:tcW w:type="dxa" w:w="2200"/>
          </w:tcPr>
          <w:p>
            <w:pPr>
              <w:pStyle w:val="MDPI42tablebody"/>
              <w:keepNext/>
              <w:spacing w:line="240" w:lineRule="auto" w:before="30" w:after="30"/>
              <w:jc w:val="left"/>
            </w:pPr>
            <w:r>
              <w:rPr>
                <w:b w:val="0"/>
                <w:i/>
                <w:sz w:val="18"/>
              </w:rPr>
              <w:t>Dual</w:t>
            </w:r>
          </w:p>
        </w:tc>
        <w:tc>
          <w:tcPr>
            <w:tcW w:type="dxa" w:w="1414"/>
          </w:tcPr>
          <w:p>
            <w:pPr>
              <w:pStyle w:val="MDPI42tablebody"/>
              <w:keepNext/>
              <w:spacing w:line="240" w:lineRule="auto" w:before="30" w:after="30"/>
              <w:jc w:val="center"/>
            </w:pPr>
            <w:r>
              <w:rPr>
                <w:b w:val="0"/>
                <w:i w:val="0"/>
                <w:sz w:val="18"/>
              </w:rPr>
              <w:t>−0.266**</w:t>
            </w:r>
          </w:p>
        </w:tc>
        <w:tc>
          <w:tcPr>
            <w:tcW w:type="dxa" w:w="1414"/>
          </w:tcPr>
          <w:p>
            <w:pPr>
              <w:pStyle w:val="MDPI42tablebody"/>
              <w:keepNext/>
              <w:spacing w:line="240" w:lineRule="auto" w:before="30" w:after="30"/>
              <w:jc w:val="center"/>
            </w:pPr>
            <w:r>
              <w:rPr>
                <w:b w:val="0"/>
                <w:i w:val="0"/>
                <w:sz w:val="18"/>
              </w:rPr>
              <w:t>−0.260*</w:t>
            </w:r>
          </w:p>
        </w:tc>
        <w:tc>
          <w:tcPr>
            <w:tcW w:type="dxa" w:w="1414"/>
          </w:tcPr>
          <w:p>
            <w:pPr>
              <w:pStyle w:val="MDPI42tablebody"/>
              <w:keepNext/>
              <w:spacing w:line="240" w:lineRule="auto" w:before="30" w:after="30"/>
              <w:jc w:val="center"/>
            </w:pPr>
            <w:r>
              <w:rPr>
                <w:b w:val="0"/>
                <w:i w:val="0"/>
                <w:sz w:val="18"/>
              </w:rPr>
              <w:t>−0.270**</w:t>
            </w:r>
          </w:p>
        </w:tc>
        <w:tc>
          <w:tcPr>
            <w:tcW w:type="dxa" w:w="1414"/>
          </w:tcPr>
          <w:p>
            <w:pPr>
              <w:pStyle w:val="MDPI42tablebody"/>
              <w:keepNext/>
              <w:spacing w:line="240" w:lineRule="auto" w:before="30" w:after="30"/>
              <w:jc w:val="center"/>
            </w:pPr>
            <w:r>
              <w:rPr>
                <w:b w:val="0"/>
                <w:i w:val="0"/>
                <w:sz w:val="18"/>
              </w:rPr>
              <w:t>−0.256*</w:t>
            </w:r>
          </w:p>
        </w:tc>
      </w:tr>
      <w:tr>
        <w:trPr>
          <w:cantSplit/>
        </w:trPr>
        <w:tc>
          <w:tcPr>
            <w:tcW w:type="dxa" w:w="2200"/>
          </w:tcPr>
          <w:p>
            <w:pPr>
              <w:pStyle w:val="MDPI42tablebody"/>
              <w:keepNext/>
              <w:spacing w:line="240" w:lineRule="auto" w:before="30" w:after="30"/>
              <w:jc w:val="left"/>
            </w:pPr>
          </w:p>
        </w:tc>
        <w:tc>
          <w:tcPr>
            <w:tcW w:type="dxa" w:w="1414"/>
          </w:tcPr>
          <w:p>
            <w:pPr>
              <w:pStyle w:val="MDPI42tablebody"/>
              <w:keepNext/>
              <w:spacing w:line="240" w:lineRule="auto" w:before="30" w:after="30"/>
              <w:jc w:val="center"/>
            </w:pPr>
            <w:r>
              <w:rPr>
                <w:b w:val="0"/>
                <w:i w:val="0"/>
                <w:sz w:val="18"/>
              </w:rPr>
              <w:t>(0.135)</w:t>
            </w:r>
          </w:p>
        </w:tc>
        <w:tc>
          <w:tcPr>
            <w:tcW w:type="dxa" w:w="1414"/>
          </w:tcPr>
          <w:p>
            <w:pPr>
              <w:pStyle w:val="MDPI42tablebody"/>
              <w:keepNext/>
              <w:spacing w:line="240" w:lineRule="auto" w:before="30" w:after="30"/>
              <w:jc w:val="center"/>
            </w:pPr>
            <w:r>
              <w:rPr>
                <w:b w:val="0"/>
                <w:i w:val="0"/>
                <w:sz w:val="18"/>
              </w:rPr>
              <w:t>(0.135)</w:t>
            </w:r>
          </w:p>
        </w:tc>
        <w:tc>
          <w:tcPr>
            <w:tcW w:type="dxa" w:w="1414"/>
          </w:tcPr>
          <w:p>
            <w:pPr>
              <w:pStyle w:val="MDPI42tablebody"/>
              <w:keepNext/>
              <w:spacing w:line="240" w:lineRule="auto" w:before="30" w:after="30"/>
              <w:jc w:val="center"/>
            </w:pPr>
            <w:r>
              <w:rPr>
                <w:b w:val="0"/>
                <w:i w:val="0"/>
                <w:sz w:val="18"/>
              </w:rPr>
              <w:t>(0.135)</w:t>
            </w:r>
          </w:p>
        </w:tc>
        <w:tc>
          <w:tcPr>
            <w:tcW w:type="dxa" w:w="1414"/>
          </w:tcPr>
          <w:p>
            <w:pPr>
              <w:pStyle w:val="MDPI42tablebody"/>
              <w:keepNext/>
              <w:spacing w:line="240" w:lineRule="auto" w:before="30" w:after="30"/>
              <w:jc w:val="center"/>
            </w:pPr>
            <w:r>
              <w:rPr>
                <w:b w:val="0"/>
                <w:i w:val="0"/>
                <w:sz w:val="18"/>
              </w:rPr>
              <w:t>(0.135)</w:t>
            </w:r>
          </w:p>
        </w:tc>
      </w:tr>
      <w:tr>
        <w:trPr>
          <w:cantSplit/>
        </w:trPr>
        <w:tc>
          <w:tcPr>
            <w:tcW w:type="dxa" w:w="2200"/>
          </w:tcPr>
          <w:p>
            <w:pPr>
              <w:pStyle w:val="MDPI42tablebody"/>
              <w:keepNext/>
              <w:spacing w:line="240" w:lineRule="auto" w:before="30" w:after="30"/>
              <w:jc w:val="left"/>
            </w:pPr>
            <w:r>
              <w:rPr>
                <w:b w:val="0"/>
                <w:i/>
                <w:sz w:val="18"/>
              </w:rPr>
              <w:t>Board</w:t>
            </w:r>
          </w:p>
        </w:tc>
        <w:tc>
          <w:tcPr>
            <w:tcW w:type="dxa" w:w="1414"/>
          </w:tcPr>
          <w:p>
            <w:pPr>
              <w:pStyle w:val="MDPI42tablebody"/>
              <w:keepNext/>
              <w:spacing w:line="240" w:lineRule="auto" w:before="30" w:after="30"/>
              <w:jc w:val="center"/>
            </w:pPr>
            <w:r>
              <w:rPr>
                <w:b w:val="0"/>
                <w:i w:val="0"/>
                <w:sz w:val="18"/>
              </w:rPr>
              <w:t>−0.416</w:t>
            </w:r>
          </w:p>
        </w:tc>
        <w:tc>
          <w:tcPr>
            <w:tcW w:type="dxa" w:w="1414"/>
          </w:tcPr>
          <w:p>
            <w:pPr>
              <w:pStyle w:val="MDPI42tablebody"/>
              <w:keepNext/>
              <w:spacing w:line="240" w:lineRule="auto" w:before="30" w:after="30"/>
              <w:jc w:val="center"/>
            </w:pPr>
            <w:r>
              <w:rPr>
                <w:b w:val="0"/>
                <w:i w:val="0"/>
                <w:sz w:val="18"/>
              </w:rPr>
              <w:t>−0.352</w:t>
            </w:r>
          </w:p>
        </w:tc>
        <w:tc>
          <w:tcPr>
            <w:tcW w:type="dxa" w:w="1414"/>
          </w:tcPr>
          <w:p>
            <w:pPr>
              <w:pStyle w:val="MDPI42tablebody"/>
              <w:keepNext/>
              <w:spacing w:line="240" w:lineRule="auto" w:before="30" w:after="30"/>
              <w:jc w:val="center"/>
            </w:pPr>
            <w:r>
              <w:rPr>
                <w:b w:val="0"/>
                <w:i w:val="0"/>
                <w:sz w:val="18"/>
              </w:rPr>
              <w:t>−0.369</w:t>
            </w:r>
          </w:p>
        </w:tc>
        <w:tc>
          <w:tcPr>
            <w:tcW w:type="dxa" w:w="1414"/>
          </w:tcPr>
          <w:p>
            <w:pPr>
              <w:pStyle w:val="MDPI42tablebody"/>
              <w:keepNext/>
              <w:spacing w:line="240" w:lineRule="auto" w:before="30" w:after="30"/>
              <w:jc w:val="center"/>
            </w:pPr>
            <w:r>
              <w:rPr>
                <w:b w:val="0"/>
                <w:i w:val="0"/>
                <w:sz w:val="18"/>
              </w:rPr>
              <w:t>−0.384</w:t>
            </w:r>
          </w:p>
        </w:tc>
      </w:tr>
      <w:tr>
        <w:trPr>
          <w:cantSplit/>
        </w:trPr>
        <w:tc>
          <w:tcPr>
            <w:tcW w:type="dxa" w:w="2200"/>
          </w:tcPr>
          <w:p>
            <w:pPr>
              <w:pStyle w:val="MDPI42tablebody"/>
              <w:keepNext/>
              <w:spacing w:line="240" w:lineRule="auto" w:before="30" w:after="30"/>
              <w:jc w:val="left"/>
            </w:pPr>
          </w:p>
        </w:tc>
        <w:tc>
          <w:tcPr>
            <w:tcW w:type="dxa" w:w="1414"/>
          </w:tcPr>
          <w:p>
            <w:pPr>
              <w:pStyle w:val="MDPI42tablebody"/>
              <w:keepNext/>
              <w:spacing w:line="240" w:lineRule="auto" w:before="30" w:after="30"/>
              <w:jc w:val="center"/>
            </w:pPr>
            <w:r>
              <w:rPr>
                <w:b w:val="0"/>
                <w:i w:val="0"/>
                <w:sz w:val="18"/>
              </w:rPr>
              <w:t>(0.860)</w:t>
            </w:r>
          </w:p>
        </w:tc>
        <w:tc>
          <w:tcPr>
            <w:tcW w:type="dxa" w:w="1414"/>
          </w:tcPr>
          <w:p>
            <w:pPr>
              <w:pStyle w:val="MDPI42tablebody"/>
              <w:keepNext/>
              <w:spacing w:line="240" w:lineRule="auto" w:before="30" w:after="30"/>
              <w:jc w:val="center"/>
            </w:pPr>
            <w:r>
              <w:rPr>
                <w:b w:val="0"/>
                <w:i w:val="0"/>
                <w:sz w:val="18"/>
              </w:rPr>
              <w:t>(0.861)</w:t>
            </w:r>
          </w:p>
        </w:tc>
        <w:tc>
          <w:tcPr>
            <w:tcW w:type="dxa" w:w="1414"/>
          </w:tcPr>
          <w:p>
            <w:pPr>
              <w:pStyle w:val="MDPI42tablebody"/>
              <w:keepNext/>
              <w:spacing w:line="240" w:lineRule="auto" w:before="30" w:after="30"/>
              <w:jc w:val="center"/>
            </w:pPr>
            <w:r>
              <w:rPr>
                <w:b w:val="0"/>
                <w:i w:val="0"/>
                <w:sz w:val="18"/>
              </w:rPr>
              <w:t>(0.859)</w:t>
            </w:r>
          </w:p>
        </w:tc>
        <w:tc>
          <w:tcPr>
            <w:tcW w:type="dxa" w:w="1414"/>
          </w:tcPr>
          <w:p>
            <w:pPr>
              <w:pStyle w:val="MDPI42tablebody"/>
              <w:keepNext/>
              <w:spacing w:line="240" w:lineRule="auto" w:before="30" w:after="30"/>
              <w:jc w:val="center"/>
            </w:pPr>
            <w:r>
              <w:rPr>
                <w:b w:val="0"/>
                <w:i w:val="0"/>
                <w:sz w:val="18"/>
              </w:rPr>
              <w:t>(0.862)</w:t>
            </w:r>
          </w:p>
        </w:tc>
      </w:tr>
      <w:tr>
        <w:trPr>
          <w:cantSplit/>
        </w:trPr>
        <w:tc>
          <w:tcPr>
            <w:tcW w:type="dxa" w:w="2200"/>
          </w:tcPr>
          <w:p>
            <w:pPr>
              <w:pStyle w:val="MDPI42tablebody"/>
              <w:keepNext/>
              <w:spacing w:line="240" w:lineRule="auto" w:before="30" w:after="30"/>
              <w:jc w:val="left"/>
            </w:pPr>
            <w:r>
              <w:rPr>
                <w:b w:val="0"/>
                <w:i/>
                <w:sz w:val="18"/>
              </w:rPr>
              <w:t>CapInt</w:t>
            </w:r>
          </w:p>
        </w:tc>
        <w:tc>
          <w:tcPr>
            <w:tcW w:type="dxa" w:w="1414"/>
          </w:tcPr>
          <w:p>
            <w:pPr>
              <w:pStyle w:val="MDPI42tablebody"/>
              <w:keepNext/>
              <w:spacing w:line="240" w:lineRule="auto" w:before="30" w:after="30"/>
              <w:jc w:val="center"/>
            </w:pPr>
            <w:r>
              <w:rPr>
                <w:b w:val="0"/>
                <w:i w:val="0"/>
                <w:sz w:val="18"/>
              </w:rPr>
              <w:t>−0.288</w:t>
            </w:r>
          </w:p>
        </w:tc>
        <w:tc>
          <w:tcPr>
            <w:tcW w:type="dxa" w:w="1414"/>
          </w:tcPr>
          <w:p>
            <w:pPr>
              <w:pStyle w:val="MDPI42tablebody"/>
              <w:keepNext/>
              <w:spacing w:line="240" w:lineRule="auto" w:before="30" w:after="30"/>
              <w:jc w:val="center"/>
            </w:pPr>
            <w:r>
              <w:rPr>
                <w:b w:val="0"/>
                <w:i w:val="0"/>
                <w:sz w:val="18"/>
              </w:rPr>
              <w:t>−0.276</w:t>
            </w:r>
          </w:p>
        </w:tc>
        <w:tc>
          <w:tcPr>
            <w:tcW w:type="dxa" w:w="1414"/>
          </w:tcPr>
          <w:p>
            <w:pPr>
              <w:pStyle w:val="MDPI42tablebody"/>
              <w:keepNext/>
              <w:spacing w:line="240" w:lineRule="auto" w:before="30" w:after="30"/>
              <w:jc w:val="center"/>
            </w:pPr>
            <w:r>
              <w:rPr>
                <w:b w:val="0"/>
                <w:i w:val="0"/>
                <w:sz w:val="18"/>
              </w:rPr>
              <w:t>−0.295</w:t>
            </w:r>
          </w:p>
        </w:tc>
        <w:tc>
          <w:tcPr>
            <w:tcW w:type="dxa" w:w="1414"/>
          </w:tcPr>
          <w:p>
            <w:pPr>
              <w:pStyle w:val="MDPI42tablebody"/>
              <w:keepNext/>
              <w:spacing w:line="240" w:lineRule="auto" w:before="30" w:after="30"/>
              <w:jc w:val="center"/>
            </w:pPr>
            <w:r>
              <w:rPr>
                <w:b w:val="0"/>
                <w:i w:val="0"/>
                <w:sz w:val="18"/>
              </w:rPr>
              <w:t>−0.271</w:t>
            </w:r>
          </w:p>
        </w:tc>
      </w:tr>
      <w:tr>
        <w:trPr>
          <w:cantSplit/>
        </w:trPr>
        <w:tc>
          <w:tcPr>
            <w:tcW w:type="dxa" w:w="2200"/>
          </w:tcPr>
          <w:p>
            <w:pPr>
              <w:pStyle w:val="MDPI42tablebody"/>
              <w:keepNext/>
              <w:spacing w:line="240" w:lineRule="auto" w:before="30" w:after="30"/>
              <w:jc w:val="left"/>
            </w:pPr>
          </w:p>
        </w:tc>
        <w:tc>
          <w:tcPr>
            <w:tcW w:type="dxa" w:w="1414"/>
          </w:tcPr>
          <w:p>
            <w:pPr>
              <w:pStyle w:val="MDPI42tablebody"/>
              <w:keepNext/>
              <w:spacing w:line="240" w:lineRule="auto" w:before="30" w:after="30"/>
              <w:jc w:val="center"/>
            </w:pPr>
            <w:r>
              <w:rPr>
                <w:b w:val="0"/>
                <w:i w:val="0"/>
                <w:sz w:val="18"/>
              </w:rPr>
              <w:t>(0.393)</w:t>
            </w:r>
          </w:p>
        </w:tc>
        <w:tc>
          <w:tcPr>
            <w:tcW w:type="dxa" w:w="1414"/>
          </w:tcPr>
          <w:p>
            <w:pPr>
              <w:pStyle w:val="MDPI42tablebody"/>
              <w:keepNext/>
              <w:spacing w:line="240" w:lineRule="auto" w:before="30" w:after="30"/>
              <w:jc w:val="center"/>
            </w:pPr>
            <w:r>
              <w:rPr>
                <w:b w:val="0"/>
                <w:i w:val="0"/>
                <w:sz w:val="18"/>
              </w:rPr>
              <w:t>(0.395)</w:t>
            </w:r>
          </w:p>
        </w:tc>
        <w:tc>
          <w:tcPr>
            <w:tcW w:type="dxa" w:w="1414"/>
          </w:tcPr>
          <w:p>
            <w:pPr>
              <w:pStyle w:val="MDPI42tablebody"/>
              <w:keepNext/>
              <w:spacing w:line="240" w:lineRule="auto" w:before="30" w:after="30"/>
              <w:jc w:val="center"/>
            </w:pPr>
            <w:r>
              <w:rPr>
                <w:b w:val="0"/>
                <w:i w:val="0"/>
                <w:sz w:val="18"/>
              </w:rPr>
              <w:t>(0.392)</w:t>
            </w:r>
          </w:p>
        </w:tc>
        <w:tc>
          <w:tcPr>
            <w:tcW w:type="dxa" w:w="1414"/>
          </w:tcPr>
          <w:p>
            <w:pPr>
              <w:pStyle w:val="MDPI42tablebody"/>
              <w:keepNext/>
              <w:spacing w:line="240" w:lineRule="auto" w:before="30" w:after="30"/>
              <w:jc w:val="center"/>
            </w:pPr>
            <w:r>
              <w:rPr>
                <w:b w:val="0"/>
                <w:i w:val="0"/>
                <w:sz w:val="18"/>
              </w:rPr>
              <w:t>(0.396)</w:t>
            </w:r>
          </w:p>
        </w:tc>
      </w:tr>
      <w:tr>
        <w:trPr>
          <w:cantSplit/>
        </w:trPr>
        <w:tc>
          <w:tcPr>
            <w:tcW w:type="dxa" w:w="2200"/>
          </w:tcPr>
          <w:p>
            <w:pPr>
              <w:pStyle w:val="MDPI42tablebody"/>
              <w:keepNext/>
              <w:spacing w:line="240" w:lineRule="auto" w:before="30" w:after="30"/>
              <w:jc w:val="left"/>
            </w:pPr>
            <w:r>
              <w:rPr>
                <w:b w:val="0"/>
                <w:i/>
                <w:sz w:val="18"/>
              </w:rPr>
              <w:t>Year FE</w:t>
            </w:r>
          </w:p>
        </w:tc>
        <w:tc>
          <w:tcPr>
            <w:tcW w:type="dxa" w:w="1414"/>
          </w:tcPr>
          <w:p>
            <w:pPr>
              <w:pStyle w:val="MDPI42tablebody"/>
              <w:keepNext/>
              <w:spacing w:line="240" w:lineRule="auto" w:before="30" w:after="30"/>
              <w:jc w:val="center"/>
            </w:pPr>
            <w:r>
              <w:rPr>
                <w:b w:val="0"/>
                <w:i w:val="0"/>
                <w:sz w:val="18"/>
              </w:rPr>
              <w:t>YES</w:t>
            </w:r>
          </w:p>
        </w:tc>
        <w:tc>
          <w:tcPr>
            <w:tcW w:type="dxa" w:w="1414"/>
          </w:tcPr>
          <w:p>
            <w:pPr>
              <w:pStyle w:val="MDPI42tablebody"/>
              <w:keepNext/>
              <w:spacing w:line="240" w:lineRule="auto" w:before="30" w:after="30"/>
              <w:jc w:val="center"/>
            </w:pPr>
            <w:r>
              <w:rPr>
                <w:b w:val="0"/>
                <w:i w:val="0"/>
                <w:sz w:val="18"/>
              </w:rPr>
              <w:t>YES</w:t>
            </w:r>
          </w:p>
        </w:tc>
        <w:tc>
          <w:tcPr>
            <w:tcW w:type="dxa" w:w="1414"/>
          </w:tcPr>
          <w:p>
            <w:pPr>
              <w:pStyle w:val="MDPI42tablebody"/>
              <w:keepNext/>
              <w:spacing w:line="240" w:lineRule="auto" w:before="30" w:after="30"/>
              <w:jc w:val="center"/>
            </w:pPr>
            <w:r>
              <w:rPr>
                <w:b w:val="0"/>
                <w:i w:val="0"/>
                <w:sz w:val="18"/>
              </w:rPr>
              <w:t>YES</w:t>
            </w:r>
          </w:p>
        </w:tc>
        <w:tc>
          <w:tcPr>
            <w:tcW w:type="dxa" w:w="1414"/>
          </w:tcPr>
          <w:p>
            <w:pPr>
              <w:pStyle w:val="MDPI42tablebody"/>
              <w:keepNext/>
              <w:spacing w:line="240" w:lineRule="auto" w:before="30" w:after="30"/>
              <w:jc w:val="center"/>
            </w:pPr>
            <w:r>
              <w:rPr>
                <w:b w:val="0"/>
                <w:i w:val="0"/>
                <w:sz w:val="18"/>
              </w:rPr>
              <w:t>YES</w:t>
            </w:r>
          </w:p>
        </w:tc>
      </w:tr>
      <w:tr>
        <w:trPr>
          <w:cantSplit/>
        </w:trPr>
        <w:tc>
          <w:tcPr>
            <w:tcW w:type="dxa" w:w="2200"/>
          </w:tcPr>
          <w:p>
            <w:pPr>
              <w:pStyle w:val="MDPI42tablebody"/>
              <w:keepNext/>
              <w:spacing w:line="240" w:lineRule="auto" w:before="30" w:after="30"/>
              <w:jc w:val="left"/>
            </w:pPr>
            <w:r>
              <w:rPr>
                <w:b w:val="0"/>
                <w:i/>
                <w:sz w:val="18"/>
              </w:rPr>
              <w:t>Firm FE</w:t>
            </w:r>
          </w:p>
        </w:tc>
        <w:tc>
          <w:tcPr>
            <w:tcW w:type="dxa" w:w="1414"/>
          </w:tcPr>
          <w:p>
            <w:pPr>
              <w:pStyle w:val="MDPI42tablebody"/>
              <w:keepNext/>
              <w:spacing w:line="240" w:lineRule="auto" w:before="30" w:after="30"/>
              <w:jc w:val="center"/>
            </w:pPr>
            <w:r>
              <w:rPr>
                <w:b w:val="0"/>
                <w:i w:val="0"/>
                <w:sz w:val="18"/>
              </w:rPr>
              <w:t>YES</w:t>
            </w:r>
          </w:p>
        </w:tc>
        <w:tc>
          <w:tcPr>
            <w:tcW w:type="dxa" w:w="1414"/>
          </w:tcPr>
          <w:p>
            <w:pPr>
              <w:pStyle w:val="MDPI42tablebody"/>
              <w:keepNext/>
              <w:spacing w:line="240" w:lineRule="auto" w:before="30" w:after="30"/>
              <w:jc w:val="center"/>
            </w:pPr>
            <w:r>
              <w:rPr>
                <w:b w:val="0"/>
                <w:i w:val="0"/>
                <w:sz w:val="18"/>
              </w:rPr>
              <w:t>YES</w:t>
            </w:r>
          </w:p>
        </w:tc>
        <w:tc>
          <w:tcPr>
            <w:tcW w:type="dxa" w:w="1414"/>
          </w:tcPr>
          <w:p>
            <w:pPr>
              <w:pStyle w:val="MDPI42tablebody"/>
              <w:keepNext/>
              <w:spacing w:line="240" w:lineRule="auto" w:before="30" w:after="30"/>
              <w:jc w:val="center"/>
            </w:pPr>
            <w:r>
              <w:rPr>
                <w:b w:val="0"/>
                <w:i w:val="0"/>
                <w:sz w:val="18"/>
              </w:rPr>
              <w:t>YES</w:t>
            </w:r>
          </w:p>
        </w:tc>
        <w:tc>
          <w:tcPr>
            <w:tcW w:type="dxa" w:w="1414"/>
          </w:tcPr>
          <w:p>
            <w:pPr>
              <w:pStyle w:val="MDPI42tablebody"/>
              <w:keepNext/>
              <w:spacing w:line="240" w:lineRule="auto" w:before="30" w:after="30"/>
              <w:jc w:val="center"/>
            </w:pPr>
            <w:r>
              <w:rPr>
                <w:b w:val="0"/>
                <w:i w:val="0"/>
                <w:sz w:val="18"/>
              </w:rPr>
              <w:t>YES</w:t>
            </w:r>
          </w:p>
        </w:tc>
      </w:tr>
      <w:tr>
        <w:trPr>
          <w:cantSplit/>
        </w:trPr>
        <w:tc>
          <w:tcPr>
            <w:tcW w:type="dxa" w:w="2200"/>
          </w:tcPr>
          <w:p>
            <w:pPr>
              <w:pStyle w:val="MDPI42tablebody"/>
              <w:keepNext/>
              <w:spacing w:line="240" w:lineRule="auto" w:before="30" w:after="30"/>
              <w:jc w:val="left"/>
            </w:pPr>
            <w:r>
              <w:rPr>
                <w:b w:val="0"/>
                <w:i/>
                <w:sz w:val="18"/>
              </w:rPr>
              <w:t>Observations</w:t>
            </w:r>
          </w:p>
        </w:tc>
        <w:tc>
          <w:tcPr>
            <w:tcW w:type="dxa" w:w="1414"/>
          </w:tcPr>
          <w:p>
            <w:pPr>
              <w:pStyle w:val="MDPI42tablebody"/>
              <w:keepNext/>
              <w:spacing w:line="240" w:lineRule="auto" w:before="30" w:after="30"/>
              <w:jc w:val="center"/>
            </w:pPr>
            <w:r>
              <w:rPr>
                <w:b w:val="0"/>
                <w:i w:val="0"/>
                <w:sz w:val="18"/>
              </w:rPr>
              <w:t>25,701</w:t>
            </w:r>
          </w:p>
        </w:tc>
        <w:tc>
          <w:tcPr>
            <w:tcW w:type="dxa" w:w="1414"/>
          </w:tcPr>
          <w:p>
            <w:pPr>
              <w:pStyle w:val="MDPI42tablebody"/>
              <w:keepNext/>
              <w:spacing w:line="240" w:lineRule="auto" w:before="30" w:after="30"/>
              <w:jc w:val="center"/>
            </w:pPr>
            <w:r>
              <w:rPr>
                <w:b w:val="0"/>
                <w:i w:val="0"/>
                <w:sz w:val="18"/>
              </w:rPr>
              <w:t>25,701</w:t>
            </w:r>
          </w:p>
        </w:tc>
        <w:tc>
          <w:tcPr>
            <w:tcW w:type="dxa" w:w="1414"/>
          </w:tcPr>
          <w:p>
            <w:pPr>
              <w:pStyle w:val="MDPI42tablebody"/>
              <w:keepNext/>
              <w:spacing w:line="240" w:lineRule="auto" w:before="30" w:after="30"/>
              <w:jc w:val="center"/>
            </w:pPr>
            <w:r>
              <w:rPr>
                <w:b w:val="0"/>
                <w:i w:val="0"/>
                <w:sz w:val="18"/>
              </w:rPr>
              <w:t>25,701</w:t>
            </w:r>
          </w:p>
        </w:tc>
        <w:tc>
          <w:tcPr>
            <w:tcW w:type="dxa" w:w="1414"/>
          </w:tcPr>
          <w:p>
            <w:pPr>
              <w:pStyle w:val="MDPI42tablebody"/>
              <w:keepNext/>
              <w:spacing w:line="240" w:lineRule="auto" w:before="30" w:after="30"/>
              <w:jc w:val="center"/>
            </w:pPr>
            <w:r>
              <w:rPr>
                <w:b w:val="0"/>
                <w:i w:val="0"/>
                <w:sz w:val="18"/>
              </w:rPr>
              <w:t>25,701</w:t>
            </w:r>
          </w:p>
        </w:tc>
      </w:tr>
      <w:tr>
        <w:trPr>
          <w:cantSplit/>
        </w:trPr>
        <w:tc>
          <w:tcPr>
            <w:tcW w:type="dxa" w:w="2200"/>
          </w:tcPr>
          <w:p>
            <w:pPr>
              <w:pStyle w:val="MDPI42tablebody"/>
              <w:spacing w:line="240" w:lineRule="auto" w:before="30" w:after="30"/>
              <w:jc w:val="left"/>
            </w:pPr>
            <w:r>
              <w:rPr>
                <w:b w:val="0"/>
                <w:i/>
                <w:sz w:val="18"/>
              </w:rPr>
              <w:t>R-squared</w:t>
            </w:r>
          </w:p>
        </w:tc>
        <w:tc>
          <w:tcPr>
            <w:tcW w:type="dxa" w:w="1414"/>
          </w:tcPr>
          <w:p>
            <w:pPr>
              <w:pStyle w:val="MDPI42tablebody"/>
              <w:spacing w:line="240" w:lineRule="auto" w:before="30" w:after="30"/>
              <w:jc w:val="center"/>
            </w:pPr>
            <w:r>
              <w:rPr>
                <w:b w:val="0"/>
                <w:i w:val="0"/>
                <w:sz w:val="18"/>
              </w:rPr>
              <w:t>0.067</w:t>
            </w:r>
          </w:p>
        </w:tc>
        <w:tc>
          <w:tcPr>
            <w:tcW w:type="dxa" w:w="1414"/>
          </w:tcPr>
          <w:p>
            <w:pPr>
              <w:pStyle w:val="MDPI42tablebody"/>
              <w:spacing w:line="240" w:lineRule="auto" w:before="30" w:after="30"/>
              <w:jc w:val="center"/>
            </w:pPr>
            <w:r>
              <w:rPr>
                <w:b w:val="0"/>
                <w:i w:val="0"/>
                <w:sz w:val="18"/>
              </w:rPr>
              <w:t>0.065</w:t>
            </w:r>
          </w:p>
        </w:tc>
        <w:tc>
          <w:tcPr>
            <w:tcW w:type="dxa" w:w="1414"/>
          </w:tcPr>
          <w:p>
            <w:pPr>
              <w:pStyle w:val="MDPI42tablebody"/>
              <w:spacing w:line="240" w:lineRule="auto" w:before="30" w:after="30"/>
              <w:jc w:val="center"/>
            </w:pPr>
            <w:r>
              <w:rPr>
                <w:b w:val="0"/>
                <w:i w:val="0"/>
                <w:sz w:val="18"/>
              </w:rPr>
              <w:t>0.072</w:t>
            </w:r>
          </w:p>
        </w:tc>
        <w:tc>
          <w:tcPr>
            <w:tcW w:type="dxa" w:w="1414"/>
          </w:tcPr>
          <w:p>
            <w:pPr>
              <w:pStyle w:val="MDPI42tablebody"/>
              <w:spacing w:line="240" w:lineRule="auto" w:before="30" w:after="30"/>
              <w:jc w:val="center"/>
            </w:pPr>
            <w:r>
              <w:rPr>
                <w:b w:val="0"/>
                <w:i w:val="0"/>
                <w:sz w:val="18"/>
              </w:rPr>
              <w:t>0.062</w:t>
            </w:r>
          </w:p>
        </w:tc>
      </w:tr>
    </w:tbl>
    <w:p>
      <w:pPr>
        <w:pStyle w:val="MDPI43tablefooter"/>
        <w:spacing w:line="240" w:lineRule="auto" w:before="40" w:after="200"/>
        <w:ind w:left="2608" w:firstLine="0"/>
      </w:pPr>
      <w:r>
        <w:rPr>
          <w:sz w:val="16"/>
        </w:rPr>
        <w:t xml:space="preserve">Note: </w:t>
      </w:r>
      <w:r>
        <w:rPr>
          <w:b w:val="0"/>
          <w:i w:val="0"/>
          <w:sz w:val="16"/>
        </w:rPr>
        <w:t>Absorp and Wage are standardized before the interaction is formed, so the coefficient on GenAI is the effect at the sample mean of the moderator. Post equals one from 2023 onwards. The dependent variable is Youth, the share of employees aged 30 or below in the firm’s total workforce, in percentage points. Values in parentheses are standard errors clustered at the firm level. ***, ** and * denote significance at the 1%, 5% and 10% levels, respectively. Source: authors’ own calculations.</w:t>
      </w:r>
    </w:p>
    <w:p>
      <w:pPr>
        <w:pStyle w:val="MDPI22heading2"/>
      </w:pPr>
      <w:r>
        <w:t>4.7. Heterogeneity Analysis</w:t>
      </w:r>
    </w:p>
    <w:p>
      <w:pPr>
        <w:pStyle w:val="MDPI32textnoindent"/>
      </w:pPr>
      <w:r>
        <w:rPr>
          <w:b w:val="0"/>
          <w:i w:val="0"/>
        </w:rPr>
        <w:t>Table 10 splits the sample along four dimensions and tests the equality of the adoption coefficient across each pair of subsamples. The effect is 1.502 in labor-intensive industries against 1.153 in capital-intensive ones, and the difference is significant (p = 0.009); the displacement is concentrated where the routine task base was large to begin with, which corroborates the task channel of Section 4.3. The effect is 1.529 in the eastern coastal provinces against 1.257 inland (p = 0.053), consistent with the relative labor cost moderator, since coastal wages are higher. The effect is 1.180 in state-owned enterprises against 1.420 in non-state firms (p = 0.087); state ownership attenuates the displacement, which is what the employment-stabilization obligations carried by these firms would predict. The split between high-technology and other industries yields coefficients of 1.255 and 1.435, whose difference is not statistically significant (p = 0.185); the relevant firm-level attribute appears to be learning capability, which Section 4.6 measures directly, rather than industry classification, which proxies for it only loosely.</w:t>
      </w:r>
    </w:p>
    <w:p>
      <w:pPr>
        <w:pStyle w:val="MDPI41tablecaption"/>
        <w:keepNext/>
        <w:spacing w:after="60"/>
      </w:pPr>
      <w:r>
        <w:rPr>
          <w:b/>
          <w:sz w:val="18"/>
        </w:rPr>
        <w:t xml:space="preserve">Table 10. </w:t>
      </w:r>
      <w:r>
        <w:rPr>
          <w:b w:val="0"/>
          <w:i w:val="0"/>
          <w:sz w:val="18"/>
        </w:rPr>
        <w:t>Heterogeneity analysis.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511"/>
        <w:gridCol w:w="1151"/>
        <w:gridCol w:w="941"/>
        <w:gridCol w:w="1151"/>
        <w:gridCol w:w="941"/>
        <w:gridCol w:w="1046"/>
        <w:gridCol w:w="941"/>
        <w:gridCol w:w="889"/>
        <w:gridCol w:w="889"/>
      </w:tblGrid>
      <w:tr>
        <w:trPr>
          <w:cantSplit/>
          <w:tblHeader/>
        </w:trPr>
        <w:tc>
          <w:tcPr>
            <w:tcW w:type="dxa" w:w="2511"/>
            <w:tcBorders>
              <w:bottom w:val="single" w:sz="8" w:space="0" w:color="auto"/>
            </w:tcBorders>
          </w:tcPr>
          <w:p>
            <w:pPr>
              <w:pStyle w:val="MDPI42tablebody"/>
              <w:keepNext/>
              <w:spacing w:line="240" w:lineRule="auto" w:before="30" w:after="30"/>
              <w:jc w:val="center"/>
            </w:pPr>
            <w:r>
              <w:rPr>
                <w:b/>
                <w:i w:val="0"/>
                <w:sz w:val="14"/>
              </w:rPr>
              <w:t>Subsample</w:t>
            </w:r>
          </w:p>
        </w:tc>
        <w:tc>
          <w:tcPr>
            <w:tcW w:type="dxa" w:w="1151"/>
            <w:tcBorders>
              <w:bottom w:val="single" w:sz="8" w:space="0" w:color="auto"/>
            </w:tcBorders>
          </w:tcPr>
          <w:p>
            <w:pPr>
              <w:pStyle w:val="MDPI42tablebody"/>
              <w:keepNext/>
              <w:spacing w:line="240" w:lineRule="auto" w:before="30" w:after="30"/>
              <w:jc w:val="center"/>
            </w:pPr>
            <w:r>
              <w:rPr>
                <w:b/>
                <w:i w:val="0"/>
                <w:sz w:val="14"/>
              </w:rPr>
              <w:t>Group A</w:t>
            </w:r>
          </w:p>
        </w:tc>
        <w:tc>
          <w:tcPr>
            <w:tcW w:type="dxa" w:w="941"/>
            <w:tcBorders>
              <w:bottom w:val="single" w:sz="8" w:space="0" w:color="auto"/>
            </w:tcBorders>
          </w:tcPr>
          <w:p>
            <w:pPr>
              <w:pStyle w:val="MDPI42tablebody"/>
              <w:keepNext/>
              <w:spacing w:line="240" w:lineRule="auto" w:before="30" w:after="30"/>
              <w:jc w:val="center"/>
            </w:pPr>
            <w:r>
              <w:rPr>
                <w:b/>
                <w:i w:val="0"/>
                <w:sz w:val="14"/>
              </w:rPr>
              <w:t>S.E.</w:t>
            </w:r>
          </w:p>
        </w:tc>
        <w:tc>
          <w:tcPr>
            <w:tcW w:type="dxa" w:w="1151"/>
            <w:tcBorders>
              <w:bottom w:val="single" w:sz="8" w:space="0" w:color="auto"/>
            </w:tcBorders>
          </w:tcPr>
          <w:p>
            <w:pPr>
              <w:pStyle w:val="MDPI42tablebody"/>
              <w:keepNext/>
              <w:spacing w:line="240" w:lineRule="auto" w:before="30" w:after="30"/>
              <w:jc w:val="center"/>
            </w:pPr>
            <w:r>
              <w:rPr>
                <w:b/>
                <w:i w:val="0"/>
                <w:sz w:val="14"/>
              </w:rPr>
              <w:t>Group B</w:t>
            </w:r>
          </w:p>
        </w:tc>
        <w:tc>
          <w:tcPr>
            <w:tcW w:type="dxa" w:w="941"/>
            <w:tcBorders>
              <w:bottom w:val="single" w:sz="8" w:space="0" w:color="auto"/>
            </w:tcBorders>
          </w:tcPr>
          <w:p>
            <w:pPr>
              <w:pStyle w:val="MDPI42tablebody"/>
              <w:keepNext/>
              <w:spacing w:line="240" w:lineRule="auto" w:before="30" w:after="30"/>
              <w:jc w:val="center"/>
            </w:pPr>
            <w:r>
              <w:rPr>
                <w:b/>
                <w:i w:val="0"/>
                <w:sz w:val="14"/>
              </w:rPr>
              <w:t>S.E.</w:t>
            </w:r>
          </w:p>
        </w:tc>
        <w:tc>
          <w:tcPr>
            <w:tcW w:type="dxa" w:w="1046"/>
            <w:tcBorders>
              <w:bottom w:val="single" w:sz="8" w:space="0" w:color="auto"/>
            </w:tcBorders>
          </w:tcPr>
          <w:p>
            <w:pPr>
              <w:pStyle w:val="MDPI42tablebody"/>
              <w:keepNext/>
              <w:spacing w:line="240" w:lineRule="auto" w:before="30" w:after="30"/>
              <w:jc w:val="center"/>
            </w:pPr>
            <w:r>
              <w:rPr>
                <w:b/>
                <w:i w:val="0"/>
                <w:sz w:val="14"/>
              </w:rPr>
              <w:t>Difference</w:t>
            </w:r>
          </w:p>
        </w:tc>
        <w:tc>
          <w:tcPr>
            <w:tcW w:type="dxa" w:w="941"/>
            <w:tcBorders>
              <w:bottom w:val="single" w:sz="8" w:space="0" w:color="auto"/>
            </w:tcBorders>
          </w:tcPr>
          <w:p>
            <w:pPr>
              <w:pStyle w:val="MDPI42tablebody"/>
              <w:keepNext/>
              <w:spacing w:line="240" w:lineRule="auto" w:before="30" w:after="30"/>
              <w:jc w:val="center"/>
            </w:pPr>
            <w:r>
              <w:rPr>
                <w:b/>
                <w:i w:val="0"/>
                <w:sz w:val="14"/>
              </w:rPr>
              <w:t>p-value</w:t>
            </w:r>
          </w:p>
        </w:tc>
        <w:tc>
          <w:tcPr>
            <w:tcW w:type="dxa" w:w="889"/>
            <w:tcBorders>
              <w:bottom w:val="single" w:sz="8" w:space="0" w:color="auto"/>
            </w:tcBorders>
          </w:tcPr>
          <w:p>
            <w:pPr>
              <w:pStyle w:val="MDPI42tablebody"/>
              <w:keepNext/>
              <w:spacing w:line="240" w:lineRule="auto" w:before="30" w:after="30"/>
              <w:jc w:val="center"/>
            </w:pPr>
            <w:r>
              <w:rPr>
                <w:b/>
                <w:i w:val="0"/>
                <w:sz w:val="14"/>
              </w:rPr>
              <w:t>N (A)</w:t>
            </w:r>
          </w:p>
        </w:tc>
        <w:tc>
          <w:tcPr>
            <w:tcW w:type="dxa" w:w="889"/>
            <w:tcBorders>
              <w:bottom w:val="single" w:sz="8" w:space="0" w:color="auto"/>
            </w:tcBorders>
          </w:tcPr>
          <w:p>
            <w:pPr>
              <w:pStyle w:val="MDPI42tablebody"/>
              <w:keepNext/>
              <w:spacing w:line="240" w:lineRule="auto" w:before="30" w:after="30"/>
              <w:jc w:val="center"/>
            </w:pPr>
            <w:r>
              <w:rPr>
                <w:b/>
                <w:i w:val="0"/>
                <w:sz w:val="14"/>
              </w:rPr>
              <w:t>N (B)</w:t>
            </w:r>
          </w:p>
        </w:tc>
      </w:tr>
      <w:tr>
        <w:trPr>
          <w:cantSplit/>
        </w:trPr>
        <w:tc>
          <w:tcPr>
            <w:tcW w:type="dxa" w:w="2511"/>
          </w:tcPr>
          <w:p>
            <w:pPr>
              <w:pStyle w:val="MDPI42tablebody"/>
              <w:keepNext/>
              <w:spacing w:line="240" w:lineRule="auto" w:before="30" w:after="30"/>
              <w:jc w:val="left"/>
            </w:pPr>
            <w:r>
              <w:rPr>
                <w:b w:val="0"/>
                <w:i/>
                <w:sz w:val="14"/>
              </w:rPr>
              <w:t>State-owned / Non-state-owned</w:t>
            </w:r>
          </w:p>
        </w:tc>
        <w:tc>
          <w:tcPr>
            <w:tcW w:type="dxa" w:w="1151"/>
          </w:tcPr>
          <w:p>
            <w:pPr>
              <w:pStyle w:val="MDPI42tablebody"/>
              <w:keepNext/>
              <w:spacing w:line="240" w:lineRule="auto" w:before="30" w:after="30"/>
              <w:jc w:val="center"/>
            </w:pPr>
            <w:r>
              <w:rPr>
                <w:b w:val="0"/>
                <w:i w:val="0"/>
                <w:sz w:val="14"/>
              </w:rPr>
              <w:t>−1.180***</w:t>
            </w:r>
          </w:p>
        </w:tc>
        <w:tc>
          <w:tcPr>
            <w:tcW w:type="dxa" w:w="941"/>
          </w:tcPr>
          <w:p>
            <w:pPr>
              <w:pStyle w:val="MDPI42tablebody"/>
              <w:keepNext/>
              <w:spacing w:line="240" w:lineRule="auto" w:before="30" w:after="30"/>
              <w:jc w:val="center"/>
            </w:pPr>
            <w:r>
              <w:rPr>
                <w:b w:val="0"/>
                <w:i w:val="0"/>
                <w:sz w:val="14"/>
              </w:rPr>
              <w:t>(0.115)</w:t>
            </w:r>
          </w:p>
        </w:tc>
        <w:tc>
          <w:tcPr>
            <w:tcW w:type="dxa" w:w="1151"/>
          </w:tcPr>
          <w:p>
            <w:pPr>
              <w:pStyle w:val="MDPI42tablebody"/>
              <w:keepNext/>
              <w:spacing w:line="240" w:lineRule="auto" w:before="30" w:after="30"/>
              <w:jc w:val="center"/>
            </w:pPr>
            <w:r>
              <w:rPr>
                <w:b w:val="0"/>
                <w:i w:val="0"/>
                <w:sz w:val="14"/>
              </w:rPr>
              <w:t>−1.420***</w:t>
            </w:r>
          </w:p>
        </w:tc>
        <w:tc>
          <w:tcPr>
            <w:tcW w:type="dxa" w:w="941"/>
          </w:tcPr>
          <w:p>
            <w:pPr>
              <w:pStyle w:val="MDPI42tablebody"/>
              <w:keepNext/>
              <w:spacing w:line="240" w:lineRule="auto" w:before="30" w:after="30"/>
              <w:jc w:val="center"/>
            </w:pPr>
            <w:r>
              <w:rPr>
                <w:b w:val="0"/>
                <w:i w:val="0"/>
                <w:sz w:val="14"/>
              </w:rPr>
              <w:t>(0.081)</w:t>
            </w:r>
          </w:p>
        </w:tc>
        <w:tc>
          <w:tcPr>
            <w:tcW w:type="dxa" w:w="1046"/>
          </w:tcPr>
          <w:p>
            <w:pPr>
              <w:pStyle w:val="MDPI42tablebody"/>
              <w:keepNext/>
              <w:spacing w:line="240" w:lineRule="auto" w:before="30" w:after="30"/>
              <w:jc w:val="center"/>
            </w:pPr>
            <w:r>
              <w:rPr>
                <w:b w:val="0"/>
                <w:i w:val="0"/>
                <w:sz w:val="14"/>
              </w:rPr>
              <w:t>0.240</w:t>
            </w:r>
          </w:p>
        </w:tc>
        <w:tc>
          <w:tcPr>
            <w:tcW w:type="dxa" w:w="941"/>
          </w:tcPr>
          <w:p>
            <w:pPr>
              <w:pStyle w:val="MDPI42tablebody"/>
              <w:keepNext/>
              <w:spacing w:line="240" w:lineRule="auto" w:before="30" w:after="30"/>
              <w:jc w:val="center"/>
            </w:pPr>
            <w:r>
              <w:rPr>
                <w:b w:val="0"/>
                <w:i w:val="0"/>
                <w:sz w:val="14"/>
              </w:rPr>
              <w:t>0.087</w:t>
            </w:r>
          </w:p>
        </w:tc>
        <w:tc>
          <w:tcPr>
            <w:tcW w:type="dxa" w:w="889"/>
          </w:tcPr>
          <w:p>
            <w:pPr>
              <w:pStyle w:val="MDPI42tablebody"/>
              <w:keepNext/>
              <w:spacing w:line="240" w:lineRule="auto" w:before="30" w:after="30"/>
              <w:jc w:val="center"/>
            </w:pPr>
            <w:r>
              <w:rPr>
                <w:b w:val="0"/>
                <w:i w:val="0"/>
                <w:sz w:val="14"/>
              </w:rPr>
              <w:t>8,067</w:t>
            </w:r>
          </w:p>
        </w:tc>
        <w:tc>
          <w:tcPr>
            <w:tcW w:type="dxa" w:w="889"/>
          </w:tcPr>
          <w:p>
            <w:pPr>
              <w:pStyle w:val="MDPI42tablebody"/>
              <w:keepNext/>
              <w:spacing w:line="240" w:lineRule="auto" w:before="30" w:after="30"/>
              <w:jc w:val="center"/>
            </w:pPr>
            <w:r>
              <w:rPr>
                <w:b w:val="0"/>
                <w:i w:val="0"/>
                <w:sz w:val="14"/>
              </w:rPr>
              <w:t>17,634</w:t>
            </w:r>
          </w:p>
        </w:tc>
      </w:tr>
      <w:tr>
        <w:trPr>
          <w:cantSplit/>
        </w:trPr>
        <w:tc>
          <w:tcPr>
            <w:tcW w:type="dxa" w:w="2511"/>
          </w:tcPr>
          <w:p>
            <w:pPr>
              <w:pStyle w:val="MDPI42tablebody"/>
              <w:keepNext/>
              <w:spacing w:line="240" w:lineRule="auto" w:before="30" w:after="30"/>
              <w:jc w:val="left"/>
            </w:pPr>
            <w:r>
              <w:rPr>
                <w:b w:val="0"/>
                <w:i/>
                <w:sz w:val="14"/>
              </w:rPr>
              <w:t>High-technology / Non-high-technology</w:t>
            </w:r>
          </w:p>
        </w:tc>
        <w:tc>
          <w:tcPr>
            <w:tcW w:type="dxa" w:w="1151"/>
          </w:tcPr>
          <w:p>
            <w:pPr>
              <w:pStyle w:val="MDPI42tablebody"/>
              <w:keepNext/>
              <w:spacing w:line="240" w:lineRule="auto" w:before="30" w:after="30"/>
              <w:jc w:val="center"/>
            </w:pPr>
            <w:r>
              <w:rPr>
                <w:b w:val="0"/>
                <w:i w:val="0"/>
                <w:sz w:val="14"/>
              </w:rPr>
              <w:t>−1.255***</w:t>
            </w:r>
          </w:p>
        </w:tc>
        <w:tc>
          <w:tcPr>
            <w:tcW w:type="dxa" w:w="941"/>
          </w:tcPr>
          <w:p>
            <w:pPr>
              <w:pStyle w:val="MDPI42tablebody"/>
              <w:keepNext/>
              <w:spacing w:line="240" w:lineRule="auto" w:before="30" w:after="30"/>
              <w:jc w:val="center"/>
            </w:pPr>
            <w:r>
              <w:rPr>
                <w:b w:val="0"/>
                <w:i w:val="0"/>
                <w:sz w:val="14"/>
              </w:rPr>
              <w:t>(0.099)</w:t>
            </w:r>
          </w:p>
        </w:tc>
        <w:tc>
          <w:tcPr>
            <w:tcW w:type="dxa" w:w="1151"/>
          </w:tcPr>
          <w:p>
            <w:pPr>
              <w:pStyle w:val="MDPI42tablebody"/>
              <w:keepNext/>
              <w:spacing w:line="240" w:lineRule="auto" w:before="30" w:after="30"/>
              <w:jc w:val="center"/>
            </w:pPr>
            <w:r>
              <w:rPr>
                <w:b w:val="0"/>
                <w:i w:val="0"/>
                <w:sz w:val="14"/>
              </w:rPr>
              <w:t>−1.435***</w:t>
            </w:r>
          </w:p>
        </w:tc>
        <w:tc>
          <w:tcPr>
            <w:tcW w:type="dxa" w:w="941"/>
          </w:tcPr>
          <w:p>
            <w:pPr>
              <w:pStyle w:val="MDPI42tablebody"/>
              <w:keepNext/>
              <w:spacing w:line="240" w:lineRule="auto" w:before="30" w:after="30"/>
              <w:jc w:val="center"/>
            </w:pPr>
            <w:r>
              <w:rPr>
                <w:b w:val="0"/>
                <w:i w:val="0"/>
                <w:sz w:val="14"/>
              </w:rPr>
              <w:t>(0.093)</w:t>
            </w:r>
          </w:p>
        </w:tc>
        <w:tc>
          <w:tcPr>
            <w:tcW w:type="dxa" w:w="1046"/>
          </w:tcPr>
          <w:p>
            <w:pPr>
              <w:pStyle w:val="MDPI42tablebody"/>
              <w:keepNext/>
              <w:spacing w:line="240" w:lineRule="auto" w:before="30" w:after="30"/>
              <w:jc w:val="center"/>
            </w:pPr>
            <w:r>
              <w:rPr>
                <w:b w:val="0"/>
                <w:i w:val="0"/>
                <w:sz w:val="14"/>
              </w:rPr>
              <w:t>0.180</w:t>
            </w:r>
          </w:p>
        </w:tc>
        <w:tc>
          <w:tcPr>
            <w:tcW w:type="dxa" w:w="941"/>
          </w:tcPr>
          <w:p>
            <w:pPr>
              <w:pStyle w:val="MDPI42tablebody"/>
              <w:keepNext/>
              <w:spacing w:line="240" w:lineRule="auto" w:before="30" w:after="30"/>
              <w:jc w:val="center"/>
            </w:pPr>
            <w:r>
              <w:rPr>
                <w:b w:val="0"/>
                <w:i w:val="0"/>
                <w:sz w:val="14"/>
              </w:rPr>
              <w:t>0.185</w:t>
            </w:r>
          </w:p>
        </w:tc>
        <w:tc>
          <w:tcPr>
            <w:tcW w:type="dxa" w:w="889"/>
          </w:tcPr>
          <w:p>
            <w:pPr>
              <w:pStyle w:val="MDPI42tablebody"/>
              <w:keepNext/>
              <w:spacing w:line="240" w:lineRule="auto" w:before="30" w:after="30"/>
              <w:jc w:val="center"/>
            </w:pPr>
            <w:r>
              <w:rPr>
                <w:b w:val="0"/>
                <w:i w:val="0"/>
                <w:sz w:val="14"/>
              </w:rPr>
              <w:t>11,761</w:t>
            </w:r>
          </w:p>
        </w:tc>
        <w:tc>
          <w:tcPr>
            <w:tcW w:type="dxa" w:w="889"/>
          </w:tcPr>
          <w:p>
            <w:pPr>
              <w:pStyle w:val="MDPI42tablebody"/>
              <w:keepNext/>
              <w:spacing w:line="240" w:lineRule="auto" w:before="30" w:after="30"/>
              <w:jc w:val="center"/>
            </w:pPr>
            <w:r>
              <w:rPr>
                <w:b w:val="0"/>
                <w:i w:val="0"/>
                <w:sz w:val="14"/>
              </w:rPr>
              <w:t>13,940</w:t>
            </w:r>
          </w:p>
        </w:tc>
      </w:tr>
      <w:tr>
        <w:trPr>
          <w:cantSplit/>
        </w:trPr>
        <w:tc>
          <w:tcPr>
            <w:tcW w:type="dxa" w:w="2511"/>
          </w:tcPr>
          <w:p>
            <w:pPr>
              <w:pStyle w:val="MDPI42tablebody"/>
              <w:keepNext/>
              <w:spacing w:line="240" w:lineRule="auto" w:before="30" w:after="30"/>
              <w:jc w:val="left"/>
            </w:pPr>
            <w:r>
              <w:rPr>
                <w:b w:val="0"/>
                <w:i/>
                <w:sz w:val="14"/>
              </w:rPr>
              <w:t>Eastern region / Central and western region</w:t>
            </w:r>
          </w:p>
        </w:tc>
        <w:tc>
          <w:tcPr>
            <w:tcW w:type="dxa" w:w="1151"/>
          </w:tcPr>
          <w:p>
            <w:pPr>
              <w:pStyle w:val="MDPI42tablebody"/>
              <w:keepNext/>
              <w:spacing w:line="240" w:lineRule="auto" w:before="30" w:after="30"/>
              <w:jc w:val="center"/>
            </w:pPr>
            <w:r>
              <w:rPr>
                <w:b w:val="0"/>
                <w:i w:val="0"/>
                <w:sz w:val="14"/>
              </w:rPr>
              <w:t>−1.529***</w:t>
            </w:r>
          </w:p>
        </w:tc>
        <w:tc>
          <w:tcPr>
            <w:tcW w:type="dxa" w:w="941"/>
          </w:tcPr>
          <w:p>
            <w:pPr>
              <w:pStyle w:val="MDPI42tablebody"/>
              <w:keepNext/>
              <w:spacing w:line="240" w:lineRule="auto" w:before="30" w:after="30"/>
              <w:jc w:val="center"/>
            </w:pPr>
            <w:r>
              <w:rPr>
                <w:b w:val="0"/>
                <w:i w:val="0"/>
                <w:sz w:val="14"/>
              </w:rPr>
              <w:t>(0.115)</w:t>
            </w:r>
          </w:p>
        </w:tc>
        <w:tc>
          <w:tcPr>
            <w:tcW w:type="dxa" w:w="1151"/>
          </w:tcPr>
          <w:p>
            <w:pPr>
              <w:pStyle w:val="MDPI42tablebody"/>
              <w:keepNext/>
              <w:spacing w:line="240" w:lineRule="auto" w:before="30" w:after="30"/>
              <w:jc w:val="center"/>
            </w:pPr>
            <w:r>
              <w:rPr>
                <w:b w:val="0"/>
                <w:i w:val="0"/>
                <w:sz w:val="14"/>
              </w:rPr>
              <w:t>−1.257***</w:t>
            </w:r>
          </w:p>
        </w:tc>
        <w:tc>
          <w:tcPr>
            <w:tcW w:type="dxa" w:w="941"/>
          </w:tcPr>
          <w:p>
            <w:pPr>
              <w:pStyle w:val="MDPI42tablebody"/>
              <w:keepNext/>
              <w:spacing w:line="240" w:lineRule="auto" w:before="30" w:after="30"/>
              <w:jc w:val="center"/>
            </w:pPr>
            <w:r>
              <w:rPr>
                <w:b w:val="0"/>
                <w:i w:val="0"/>
                <w:sz w:val="14"/>
              </w:rPr>
              <w:t>(0.081)</w:t>
            </w:r>
          </w:p>
        </w:tc>
        <w:tc>
          <w:tcPr>
            <w:tcW w:type="dxa" w:w="1046"/>
          </w:tcPr>
          <w:p>
            <w:pPr>
              <w:pStyle w:val="MDPI42tablebody"/>
              <w:keepNext/>
              <w:spacing w:line="240" w:lineRule="auto" w:before="30" w:after="30"/>
              <w:jc w:val="center"/>
            </w:pPr>
            <w:r>
              <w:rPr>
                <w:b w:val="0"/>
                <w:i w:val="0"/>
                <w:sz w:val="14"/>
              </w:rPr>
              <w:t>−0.272</w:t>
            </w:r>
          </w:p>
        </w:tc>
        <w:tc>
          <w:tcPr>
            <w:tcW w:type="dxa" w:w="941"/>
          </w:tcPr>
          <w:p>
            <w:pPr>
              <w:pStyle w:val="MDPI42tablebody"/>
              <w:keepNext/>
              <w:spacing w:line="240" w:lineRule="auto" w:before="30" w:after="30"/>
              <w:jc w:val="center"/>
            </w:pPr>
            <w:r>
              <w:rPr>
                <w:b w:val="0"/>
                <w:i w:val="0"/>
                <w:sz w:val="14"/>
              </w:rPr>
              <w:t>0.053</w:t>
            </w:r>
          </w:p>
        </w:tc>
        <w:tc>
          <w:tcPr>
            <w:tcW w:type="dxa" w:w="889"/>
          </w:tcPr>
          <w:p>
            <w:pPr>
              <w:pStyle w:val="MDPI42tablebody"/>
              <w:keepNext/>
              <w:spacing w:line="240" w:lineRule="auto" w:before="30" w:after="30"/>
              <w:jc w:val="center"/>
            </w:pPr>
            <w:r>
              <w:rPr>
                <w:b w:val="0"/>
                <w:i w:val="0"/>
                <w:sz w:val="14"/>
              </w:rPr>
              <w:t>8,771</w:t>
            </w:r>
          </w:p>
        </w:tc>
        <w:tc>
          <w:tcPr>
            <w:tcW w:type="dxa" w:w="889"/>
          </w:tcPr>
          <w:p>
            <w:pPr>
              <w:pStyle w:val="MDPI42tablebody"/>
              <w:keepNext/>
              <w:spacing w:line="240" w:lineRule="auto" w:before="30" w:after="30"/>
              <w:jc w:val="center"/>
            </w:pPr>
            <w:r>
              <w:rPr>
                <w:b w:val="0"/>
                <w:i w:val="0"/>
                <w:sz w:val="14"/>
              </w:rPr>
              <w:t>16,930</w:t>
            </w:r>
          </w:p>
        </w:tc>
      </w:tr>
      <w:tr>
        <w:trPr>
          <w:cantSplit/>
        </w:trPr>
        <w:tc>
          <w:tcPr>
            <w:tcW w:type="dxa" w:w="2511"/>
          </w:tcPr>
          <w:p>
            <w:pPr>
              <w:pStyle w:val="MDPI42tablebody"/>
              <w:spacing w:line="240" w:lineRule="auto" w:before="30" w:after="30"/>
              <w:jc w:val="left"/>
            </w:pPr>
            <w:r>
              <w:rPr>
                <w:b w:val="0"/>
                <w:i/>
                <w:sz w:val="14"/>
              </w:rPr>
              <w:t>Labor-intensive / Capital-intensive</w:t>
            </w:r>
          </w:p>
        </w:tc>
        <w:tc>
          <w:tcPr>
            <w:tcW w:type="dxa" w:w="1151"/>
          </w:tcPr>
          <w:p>
            <w:pPr>
              <w:pStyle w:val="MDPI42tablebody"/>
              <w:spacing w:line="240" w:lineRule="auto" w:before="30" w:after="30"/>
              <w:jc w:val="center"/>
            </w:pPr>
            <w:r>
              <w:rPr>
                <w:b w:val="0"/>
                <w:i w:val="0"/>
                <w:sz w:val="14"/>
              </w:rPr>
              <w:t>−1.502***</w:t>
            </w:r>
          </w:p>
        </w:tc>
        <w:tc>
          <w:tcPr>
            <w:tcW w:type="dxa" w:w="941"/>
          </w:tcPr>
          <w:p>
            <w:pPr>
              <w:pStyle w:val="MDPI42tablebody"/>
              <w:spacing w:line="240" w:lineRule="auto" w:before="30" w:after="30"/>
              <w:jc w:val="center"/>
            </w:pPr>
            <w:r>
              <w:rPr>
                <w:b w:val="0"/>
                <w:i w:val="0"/>
                <w:sz w:val="14"/>
              </w:rPr>
              <w:t>(0.087)</w:t>
            </w:r>
          </w:p>
        </w:tc>
        <w:tc>
          <w:tcPr>
            <w:tcW w:type="dxa" w:w="1151"/>
          </w:tcPr>
          <w:p>
            <w:pPr>
              <w:pStyle w:val="MDPI42tablebody"/>
              <w:spacing w:line="240" w:lineRule="auto" w:before="30" w:after="30"/>
              <w:jc w:val="center"/>
            </w:pPr>
            <w:r>
              <w:rPr>
                <w:b w:val="0"/>
                <w:i w:val="0"/>
                <w:sz w:val="14"/>
              </w:rPr>
              <w:t>−1.153***</w:t>
            </w:r>
          </w:p>
        </w:tc>
        <w:tc>
          <w:tcPr>
            <w:tcW w:type="dxa" w:w="941"/>
          </w:tcPr>
          <w:p>
            <w:pPr>
              <w:pStyle w:val="MDPI42tablebody"/>
              <w:spacing w:line="240" w:lineRule="auto" w:before="30" w:after="30"/>
              <w:jc w:val="center"/>
            </w:pPr>
            <w:r>
              <w:rPr>
                <w:b w:val="0"/>
                <w:i w:val="0"/>
                <w:sz w:val="14"/>
              </w:rPr>
              <w:t>(0.101)</w:t>
            </w:r>
          </w:p>
        </w:tc>
        <w:tc>
          <w:tcPr>
            <w:tcW w:type="dxa" w:w="1046"/>
          </w:tcPr>
          <w:p>
            <w:pPr>
              <w:pStyle w:val="MDPI42tablebody"/>
              <w:spacing w:line="240" w:lineRule="auto" w:before="30" w:after="30"/>
              <w:jc w:val="center"/>
            </w:pPr>
            <w:r>
              <w:rPr>
                <w:b w:val="0"/>
                <w:i w:val="0"/>
                <w:sz w:val="14"/>
              </w:rPr>
              <w:t>−0.348</w:t>
            </w:r>
          </w:p>
        </w:tc>
        <w:tc>
          <w:tcPr>
            <w:tcW w:type="dxa" w:w="941"/>
          </w:tcPr>
          <w:p>
            <w:pPr>
              <w:pStyle w:val="MDPI42tablebody"/>
              <w:spacing w:line="240" w:lineRule="auto" w:before="30" w:after="30"/>
              <w:jc w:val="center"/>
            </w:pPr>
            <w:r>
              <w:rPr>
                <w:b w:val="0"/>
                <w:i w:val="0"/>
                <w:sz w:val="14"/>
              </w:rPr>
              <w:t>0.009</w:t>
            </w:r>
          </w:p>
        </w:tc>
        <w:tc>
          <w:tcPr>
            <w:tcW w:type="dxa" w:w="889"/>
          </w:tcPr>
          <w:p>
            <w:pPr>
              <w:pStyle w:val="MDPI42tablebody"/>
              <w:spacing w:line="240" w:lineRule="auto" w:before="30" w:after="30"/>
              <w:jc w:val="center"/>
            </w:pPr>
            <w:r>
              <w:rPr>
                <w:b w:val="0"/>
                <w:i w:val="0"/>
                <w:sz w:val="14"/>
              </w:rPr>
              <w:t>15,364</w:t>
            </w:r>
          </w:p>
        </w:tc>
        <w:tc>
          <w:tcPr>
            <w:tcW w:type="dxa" w:w="889"/>
          </w:tcPr>
          <w:p>
            <w:pPr>
              <w:pStyle w:val="MDPI42tablebody"/>
              <w:spacing w:line="240" w:lineRule="auto" w:before="30" w:after="30"/>
              <w:jc w:val="center"/>
            </w:pPr>
            <w:r>
              <w:rPr>
                <w:b w:val="0"/>
                <w:i w:val="0"/>
                <w:sz w:val="14"/>
              </w:rPr>
              <w:t>10,337</w:t>
            </w:r>
          </w:p>
        </w:tc>
      </w:tr>
    </w:tbl>
    <w:p>
      <w:pPr>
        <w:pStyle w:val="MDPI43tablefooter"/>
        <w:spacing w:line="240" w:lineRule="auto" w:before="40" w:after="200"/>
        <w:ind w:left="2608" w:firstLine="0"/>
      </w:pPr>
      <w:r>
        <w:rPr>
          <w:sz w:val="16"/>
        </w:rPr>
        <w:t xml:space="preserve">Note: </w:t>
      </w:r>
      <w:r>
        <w:rPr>
          <w:b w:val="0"/>
          <w:i w:val="0"/>
          <w:sz w:val="16"/>
        </w:rPr>
        <w:t>Each row reports two separate regressions run on the subsamples named in the first column, both retaining the full set of controls and the firm and year fixed effects. The difference is the group A coefficient minus the group B coefficient and the p-value is that of a test of their equality. The dependent variable is Youth, the share of employees aged 30 or below in the firm’s total workforce, in percentage points. Values in parentheses are standard errors clustered at the firm level. ***, ** and * denote significance at the 1%, 5% and 10% levels, respectively. Source: authors’ own calculations.</w:t>
      </w:r>
    </w:p>
    <w:p>
      <w:pPr>
        <w:pStyle w:val="MDPI22heading2"/>
      </w:pPr>
      <w:r>
        <w:t>4.8. The Feedback System</w:t>
      </w:r>
    </w:p>
    <w:p>
      <w:pPr>
        <w:pStyle w:val="MDPI32textnoindent"/>
      </w:pPr>
      <w:r>
        <w:rPr>
          <w:b w:val="0"/>
          <w:i w:val="0"/>
        </w:rPr>
        <w:t>The results so far describe a chain running from adoption to employment. Table 11 estimates the system of Equation (6) and asks whether the chain closes. The rows are equations and the columns are the lagged variables entering them. The forward arcs replicate the single-equation findings: lagged adoption enters the training equation at −0.058 and the youth equation at −0.639, both significant at the one percent level. The return arcs are the new result. Lagged training investment enters the adoption equation at −0.347 and lagged youth employment at −0.032, both significant at the one percent level in the panel Granger causality tests. A firm whose skill-formation subsystem has been depleted adopts more generative artificial intelligence in the following year, not less. H5 is supported in its causal content.</w:t>
      </w:r>
    </w:p>
    <w:p>
      <w:pPr>
        <w:pStyle w:val="MDPI31text"/>
      </w:pPr>
      <w:r>
        <w:rPr>
          <w:b w:val="0"/>
          <w:i w:val="0"/>
        </w:rPr>
        <w:t>The system is dynamically stable. The moduli of the companion eigenvalues are 0.722, 0.379 and 0.229, all inside the unit circle, so the reinforcing loop amplifies disturbances without setting off an explosive trajectory. This is the substantively important case: the trap is real but bounded, which means that the accumulated displacement is finite and that an intervention on the return arc can reverse it. A two-lag specification, estimated on 19,701 observations, returns the same signs on both return arcs (−0.346 and −0.033, both p &lt; 0.01) and a largest modulus of 0.574.</w:t>
      </w:r>
    </w:p>
    <w:p>
      <w:pPr>
        <w:pStyle w:val="MDPI41tablecaption"/>
        <w:keepNext/>
        <w:spacing w:after="60"/>
      </w:pPr>
      <w:r>
        <w:rPr>
          <w:b/>
          <w:sz w:val="18"/>
        </w:rPr>
        <w:t xml:space="preserve">Table 11. </w:t>
      </w:r>
      <w:r>
        <w:rPr>
          <w:b w:val="0"/>
          <w:i w:val="0"/>
          <w:sz w:val="18"/>
        </w:rPr>
        <w:t>Panel vector autoregression estimates and Granger causality tests.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671"/>
        <w:gridCol w:w="1728"/>
        <w:gridCol w:w="1728"/>
        <w:gridCol w:w="1728"/>
      </w:tblGrid>
      <w:tr>
        <w:trPr>
          <w:cantSplit/>
          <w:tblHeader/>
        </w:trPr>
        <w:tc>
          <w:tcPr>
            <w:tcW w:type="dxa" w:w="2671"/>
            <w:tcBorders>
              <w:bottom w:val="single" w:sz="8" w:space="0" w:color="auto"/>
            </w:tcBorders>
          </w:tcPr>
          <w:p>
            <w:pPr>
              <w:pStyle w:val="MDPI42tablebody"/>
              <w:keepNext/>
              <w:spacing w:line="240" w:lineRule="auto" w:before="30" w:after="30"/>
              <w:jc w:val="center"/>
            </w:pPr>
            <w:r>
              <w:rPr>
                <w:b/>
                <w:i w:val="0"/>
                <w:sz w:val="18"/>
              </w:rPr>
              <w:t>Equation</w:t>
            </w:r>
          </w:p>
        </w:tc>
        <w:tc>
          <w:tcPr>
            <w:tcW w:type="dxa" w:w="1728"/>
            <w:tcBorders>
              <w:bottom w:val="single" w:sz="8" w:space="0" w:color="auto"/>
            </w:tcBorders>
          </w:tcPr>
          <w:p>
            <w:pPr>
              <w:pStyle w:val="MDPI42tablebody"/>
              <w:keepNext/>
              <w:spacing w:line="240" w:lineRule="auto" w:before="30" w:after="30"/>
              <w:jc w:val="center"/>
            </w:pPr>
            <w:r>
              <w:rPr>
                <w:b/>
                <w:i w:val="0"/>
                <w:sz w:val="18"/>
              </w:rPr>
              <w:t>L.GenAI</w:t>
            </w:r>
          </w:p>
        </w:tc>
        <w:tc>
          <w:tcPr>
            <w:tcW w:type="dxa" w:w="1728"/>
            <w:tcBorders>
              <w:bottom w:val="single" w:sz="8" w:space="0" w:color="auto"/>
            </w:tcBorders>
          </w:tcPr>
          <w:p>
            <w:pPr>
              <w:pStyle w:val="MDPI42tablebody"/>
              <w:keepNext/>
              <w:spacing w:line="240" w:lineRule="auto" w:before="30" w:after="30"/>
              <w:jc w:val="center"/>
            </w:pPr>
            <w:r>
              <w:rPr>
                <w:b/>
                <w:i w:val="0"/>
                <w:sz w:val="18"/>
              </w:rPr>
              <w:t>L.Train</w:t>
            </w:r>
          </w:p>
        </w:tc>
        <w:tc>
          <w:tcPr>
            <w:tcW w:type="dxa" w:w="1728"/>
            <w:tcBorders>
              <w:bottom w:val="single" w:sz="8" w:space="0" w:color="auto"/>
            </w:tcBorders>
          </w:tcPr>
          <w:p>
            <w:pPr>
              <w:pStyle w:val="MDPI42tablebody"/>
              <w:keepNext/>
              <w:spacing w:line="240" w:lineRule="auto" w:before="30" w:after="30"/>
              <w:jc w:val="center"/>
            </w:pPr>
            <w:r>
              <w:rPr>
                <w:b/>
                <w:i w:val="0"/>
                <w:sz w:val="18"/>
              </w:rPr>
              <w:t>L.Youth</w:t>
            </w:r>
          </w:p>
        </w:tc>
      </w:tr>
      <w:tr>
        <w:trPr>
          <w:cantSplit/>
        </w:trPr>
        <w:tc>
          <w:tcPr>
            <w:tcW w:type="dxa" w:w="2671"/>
          </w:tcPr>
          <w:p>
            <w:pPr>
              <w:pStyle w:val="MDPI42tablebody"/>
              <w:keepNext/>
              <w:spacing w:line="240" w:lineRule="auto" w:before="30" w:after="30"/>
              <w:jc w:val="left"/>
            </w:pPr>
            <w:r>
              <w:rPr>
                <w:b w:val="0"/>
                <w:i/>
                <w:sz w:val="18"/>
              </w:rPr>
              <w:t>GenAI equation</w:t>
            </w:r>
          </w:p>
        </w:tc>
        <w:tc>
          <w:tcPr>
            <w:tcW w:type="dxa" w:w="1728"/>
          </w:tcPr>
          <w:p>
            <w:pPr>
              <w:pStyle w:val="MDPI42tablebody"/>
              <w:keepNext/>
              <w:spacing w:line="240" w:lineRule="auto" w:before="30" w:after="30"/>
              <w:jc w:val="center"/>
            </w:pPr>
            <w:r>
              <w:rPr>
                <w:b w:val="0"/>
                <w:i w:val="0"/>
                <w:sz w:val="18"/>
              </w:rPr>
              <w:t>0.531***</w:t>
            </w:r>
          </w:p>
        </w:tc>
        <w:tc>
          <w:tcPr>
            <w:tcW w:type="dxa" w:w="1728"/>
          </w:tcPr>
          <w:p>
            <w:pPr>
              <w:pStyle w:val="MDPI42tablebody"/>
              <w:keepNext/>
              <w:spacing w:line="240" w:lineRule="auto" w:before="30" w:after="30"/>
              <w:jc w:val="center"/>
            </w:pPr>
            <w:r>
              <w:rPr>
                <w:b w:val="0"/>
                <w:i w:val="0"/>
                <w:sz w:val="18"/>
              </w:rPr>
              <w:t>−0.347***</w:t>
            </w:r>
          </w:p>
        </w:tc>
        <w:tc>
          <w:tcPr>
            <w:tcW w:type="dxa" w:w="1728"/>
          </w:tcPr>
          <w:p>
            <w:pPr>
              <w:pStyle w:val="MDPI42tablebody"/>
              <w:keepNext/>
              <w:spacing w:line="240" w:lineRule="auto" w:before="30" w:after="30"/>
              <w:jc w:val="center"/>
            </w:pPr>
            <w:r>
              <w:rPr>
                <w:b w:val="0"/>
                <w:i w:val="0"/>
                <w:sz w:val="18"/>
              </w:rPr>
              <w:t>−0.032***</w:t>
            </w:r>
          </w:p>
        </w:tc>
      </w:tr>
      <w:tr>
        <w:trPr>
          <w:cantSplit/>
        </w:trPr>
        <w:tc>
          <w:tcPr>
            <w:tcW w:type="dxa" w:w="2671"/>
          </w:tcPr>
          <w:p>
            <w:pPr>
              <w:pStyle w:val="MDPI42tablebody"/>
              <w:keepNext/>
              <w:spacing w:line="240" w:lineRule="auto" w:before="30" w:after="30"/>
              <w:jc w:val="left"/>
            </w:pPr>
          </w:p>
        </w:tc>
        <w:tc>
          <w:tcPr>
            <w:tcW w:type="dxa" w:w="1728"/>
          </w:tcPr>
          <w:p>
            <w:pPr>
              <w:pStyle w:val="MDPI42tablebody"/>
              <w:keepNext/>
              <w:spacing w:line="240" w:lineRule="auto" w:before="30" w:after="30"/>
              <w:jc w:val="center"/>
            </w:pPr>
            <w:r>
              <w:rPr>
                <w:b w:val="0"/>
                <w:i w:val="0"/>
                <w:sz w:val="18"/>
              </w:rPr>
              <w:t>(0.012)</w:t>
            </w:r>
          </w:p>
        </w:tc>
        <w:tc>
          <w:tcPr>
            <w:tcW w:type="dxa" w:w="1728"/>
          </w:tcPr>
          <w:p>
            <w:pPr>
              <w:pStyle w:val="MDPI42tablebody"/>
              <w:keepNext/>
              <w:spacing w:line="240" w:lineRule="auto" w:before="30" w:after="30"/>
              <w:jc w:val="center"/>
            </w:pPr>
            <w:r>
              <w:rPr>
                <w:b w:val="0"/>
                <w:i w:val="0"/>
                <w:sz w:val="18"/>
              </w:rPr>
              <w:t>(0.011)</w:t>
            </w:r>
          </w:p>
        </w:tc>
        <w:tc>
          <w:tcPr>
            <w:tcW w:type="dxa" w:w="1728"/>
          </w:tcPr>
          <w:p>
            <w:pPr>
              <w:pStyle w:val="MDPI42tablebody"/>
              <w:keepNext/>
              <w:spacing w:line="240" w:lineRule="auto" w:before="30" w:after="30"/>
              <w:jc w:val="center"/>
            </w:pPr>
            <w:r>
              <w:rPr>
                <w:b w:val="0"/>
                <w:i w:val="0"/>
                <w:sz w:val="18"/>
              </w:rPr>
              <w:t>(0.001)</w:t>
            </w:r>
          </w:p>
        </w:tc>
      </w:tr>
      <w:tr>
        <w:trPr>
          <w:cantSplit/>
        </w:trPr>
        <w:tc>
          <w:tcPr>
            <w:tcW w:type="dxa" w:w="2671"/>
          </w:tcPr>
          <w:p>
            <w:pPr>
              <w:pStyle w:val="MDPI42tablebody"/>
              <w:keepNext/>
              <w:spacing w:line="240" w:lineRule="auto" w:before="30" w:after="30"/>
              <w:jc w:val="left"/>
            </w:pPr>
            <w:r>
              <w:rPr>
                <w:b w:val="0"/>
                <w:i/>
                <w:sz w:val="18"/>
              </w:rPr>
              <w:t>Train equation</w:t>
            </w:r>
          </w:p>
        </w:tc>
        <w:tc>
          <w:tcPr>
            <w:tcW w:type="dxa" w:w="1728"/>
          </w:tcPr>
          <w:p>
            <w:pPr>
              <w:pStyle w:val="MDPI42tablebody"/>
              <w:keepNext/>
              <w:spacing w:line="240" w:lineRule="auto" w:before="30" w:after="30"/>
              <w:jc w:val="center"/>
            </w:pPr>
            <w:r>
              <w:rPr>
                <w:b w:val="0"/>
                <w:i w:val="0"/>
                <w:sz w:val="18"/>
              </w:rPr>
              <w:t>−0.058***</w:t>
            </w:r>
          </w:p>
        </w:tc>
        <w:tc>
          <w:tcPr>
            <w:tcW w:type="dxa" w:w="1728"/>
          </w:tcPr>
          <w:p>
            <w:pPr>
              <w:pStyle w:val="MDPI42tablebody"/>
              <w:keepNext/>
              <w:spacing w:line="240" w:lineRule="auto" w:before="30" w:after="30"/>
              <w:jc w:val="center"/>
            </w:pPr>
            <w:r>
              <w:rPr>
                <w:b w:val="0"/>
                <w:i w:val="0"/>
                <w:sz w:val="18"/>
              </w:rPr>
              <w:t>0.501***</w:t>
            </w:r>
          </w:p>
        </w:tc>
        <w:tc>
          <w:tcPr>
            <w:tcW w:type="dxa" w:w="1728"/>
          </w:tcPr>
          <w:p>
            <w:pPr>
              <w:pStyle w:val="MDPI42tablebody"/>
              <w:keepNext/>
              <w:spacing w:line="240" w:lineRule="auto" w:before="30" w:after="30"/>
              <w:jc w:val="center"/>
            </w:pPr>
            <w:r>
              <w:rPr>
                <w:b w:val="0"/>
                <w:i w:val="0"/>
                <w:sz w:val="18"/>
              </w:rPr>
              <w:t>0.008***</w:t>
            </w:r>
          </w:p>
        </w:tc>
      </w:tr>
      <w:tr>
        <w:trPr>
          <w:cantSplit/>
        </w:trPr>
        <w:tc>
          <w:tcPr>
            <w:tcW w:type="dxa" w:w="2671"/>
          </w:tcPr>
          <w:p>
            <w:pPr>
              <w:pStyle w:val="MDPI42tablebody"/>
              <w:keepNext/>
              <w:spacing w:line="240" w:lineRule="auto" w:before="30" w:after="30"/>
              <w:jc w:val="left"/>
            </w:pPr>
          </w:p>
        </w:tc>
        <w:tc>
          <w:tcPr>
            <w:tcW w:type="dxa" w:w="1728"/>
          </w:tcPr>
          <w:p>
            <w:pPr>
              <w:pStyle w:val="MDPI42tablebody"/>
              <w:keepNext/>
              <w:spacing w:line="240" w:lineRule="auto" w:before="30" w:after="30"/>
              <w:jc w:val="center"/>
            </w:pPr>
            <w:r>
              <w:rPr>
                <w:b w:val="0"/>
                <w:i w:val="0"/>
                <w:sz w:val="18"/>
              </w:rPr>
              <w:t>(0.010)</w:t>
            </w:r>
          </w:p>
        </w:tc>
        <w:tc>
          <w:tcPr>
            <w:tcW w:type="dxa" w:w="1728"/>
          </w:tcPr>
          <w:p>
            <w:pPr>
              <w:pStyle w:val="MDPI42tablebody"/>
              <w:keepNext/>
              <w:spacing w:line="240" w:lineRule="auto" w:before="30" w:after="30"/>
              <w:jc w:val="center"/>
            </w:pPr>
            <w:r>
              <w:rPr>
                <w:b w:val="0"/>
                <w:i w:val="0"/>
                <w:sz w:val="18"/>
              </w:rPr>
              <w:t>(0.012)</w:t>
            </w:r>
          </w:p>
        </w:tc>
        <w:tc>
          <w:tcPr>
            <w:tcW w:type="dxa" w:w="1728"/>
          </w:tcPr>
          <w:p>
            <w:pPr>
              <w:pStyle w:val="MDPI42tablebody"/>
              <w:keepNext/>
              <w:spacing w:line="240" w:lineRule="auto" w:before="30" w:after="30"/>
              <w:jc w:val="center"/>
            </w:pPr>
            <w:r>
              <w:rPr>
                <w:b w:val="0"/>
                <w:i w:val="0"/>
                <w:sz w:val="18"/>
              </w:rPr>
              <w:t>(0.001)</w:t>
            </w:r>
          </w:p>
        </w:tc>
      </w:tr>
      <w:tr>
        <w:trPr>
          <w:cantSplit/>
        </w:trPr>
        <w:tc>
          <w:tcPr>
            <w:tcW w:type="dxa" w:w="2671"/>
          </w:tcPr>
          <w:p>
            <w:pPr>
              <w:pStyle w:val="MDPI42tablebody"/>
              <w:keepNext/>
              <w:spacing w:line="240" w:lineRule="auto" w:before="30" w:after="30"/>
              <w:jc w:val="left"/>
            </w:pPr>
            <w:r>
              <w:rPr>
                <w:b w:val="0"/>
                <w:i/>
                <w:sz w:val="18"/>
              </w:rPr>
              <w:t>Youth equation</w:t>
            </w:r>
          </w:p>
        </w:tc>
        <w:tc>
          <w:tcPr>
            <w:tcW w:type="dxa" w:w="1728"/>
          </w:tcPr>
          <w:p>
            <w:pPr>
              <w:pStyle w:val="MDPI42tablebody"/>
              <w:keepNext/>
              <w:spacing w:line="240" w:lineRule="auto" w:before="30" w:after="30"/>
              <w:jc w:val="center"/>
            </w:pPr>
            <w:r>
              <w:rPr>
                <w:b w:val="0"/>
                <w:i w:val="0"/>
                <w:sz w:val="18"/>
              </w:rPr>
              <w:t>−0.639***</w:t>
            </w:r>
          </w:p>
        </w:tc>
        <w:tc>
          <w:tcPr>
            <w:tcW w:type="dxa" w:w="1728"/>
          </w:tcPr>
          <w:p>
            <w:pPr>
              <w:pStyle w:val="MDPI42tablebody"/>
              <w:keepNext/>
              <w:spacing w:line="240" w:lineRule="auto" w:before="30" w:after="30"/>
              <w:jc w:val="center"/>
            </w:pPr>
            <w:r>
              <w:rPr>
                <w:b w:val="0"/>
                <w:i w:val="0"/>
                <w:sz w:val="18"/>
              </w:rPr>
              <w:t>0.855***</w:t>
            </w:r>
          </w:p>
        </w:tc>
        <w:tc>
          <w:tcPr>
            <w:tcW w:type="dxa" w:w="1728"/>
          </w:tcPr>
          <w:p>
            <w:pPr>
              <w:pStyle w:val="MDPI42tablebody"/>
              <w:keepNext/>
              <w:spacing w:line="240" w:lineRule="auto" w:before="30" w:after="30"/>
              <w:jc w:val="center"/>
            </w:pPr>
            <w:r>
              <w:rPr>
                <w:b w:val="0"/>
                <w:i w:val="0"/>
                <w:sz w:val="18"/>
              </w:rPr>
              <w:t>0.298***</w:t>
            </w:r>
          </w:p>
        </w:tc>
      </w:tr>
      <w:tr>
        <w:trPr>
          <w:cantSplit/>
        </w:trPr>
        <w:tc>
          <w:tcPr>
            <w:tcW w:type="dxa" w:w="2671"/>
          </w:tcPr>
          <w:p>
            <w:pPr>
              <w:pStyle w:val="MDPI42tablebody"/>
              <w:keepNext/>
              <w:spacing w:line="240" w:lineRule="auto" w:before="30" w:after="30"/>
              <w:jc w:val="left"/>
            </w:pPr>
          </w:p>
        </w:tc>
        <w:tc>
          <w:tcPr>
            <w:tcW w:type="dxa" w:w="1728"/>
          </w:tcPr>
          <w:p>
            <w:pPr>
              <w:pStyle w:val="MDPI42tablebody"/>
              <w:keepNext/>
              <w:spacing w:line="240" w:lineRule="auto" w:before="30" w:after="30"/>
              <w:jc w:val="center"/>
            </w:pPr>
            <w:r>
              <w:rPr>
                <w:b w:val="0"/>
                <w:i w:val="0"/>
                <w:sz w:val="18"/>
              </w:rPr>
              <w:t>(0.092)</w:t>
            </w:r>
          </w:p>
        </w:tc>
        <w:tc>
          <w:tcPr>
            <w:tcW w:type="dxa" w:w="1728"/>
          </w:tcPr>
          <w:p>
            <w:pPr>
              <w:pStyle w:val="MDPI42tablebody"/>
              <w:keepNext/>
              <w:spacing w:line="240" w:lineRule="auto" w:before="30" w:after="30"/>
              <w:jc w:val="center"/>
            </w:pPr>
            <w:r>
              <w:rPr>
                <w:b w:val="0"/>
                <w:i w:val="0"/>
                <w:sz w:val="18"/>
              </w:rPr>
              <w:t>(0.100)</w:t>
            </w:r>
          </w:p>
        </w:tc>
        <w:tc>
          <w:tcPr>
            <w:tcW w:type="dxa" w:w="1728"/>
          </w:tcPr>
          <w:p>
            <w:pPr>
              <w:pStyle w:val="MDPI42tablebody"/>
              <w:keepNext/>
              <w:spacing w:line="240" w:lineRule="auto" w:before="30" w:after="30"/>
              <w:jc w:val="center"/>
            </w:pPr>
            <w:r>
              <w:rPr>
                <w:b w:val="0"/>
                <w:i w:val="0"/>
                <w:sz w:val="18"/>
              </w:rPr>
              <w:t>(0.011)</w:t>
            </w:r>
          </w:p>
        </w:tc>
      </w:tr>
      <w:tr>
        <w:trPr>
          <w:cantSplit/>
        </w:trPr>
        <w:tc>
          <w:tcPr>
            <w:tcW w:type="dxa" w:w="2671"/>
          </w:tcPr>
          <w:p>
            <w:pPr>
              <w:pStyle w:val="MDPI42tablebody"/>
              <w:keepNext/>
              <w:spacing w:line="240" w:lineRule="auto" w:before="30" w:after="30"/>
              <w:jc w:val="left"/>
            </w:pPr>
            <w:r>
              <w:rPr>
                <w:b w:val="0"/>
                <w:i/>
                <w:sz w:val="18"/>
              </w:rPr>
              <w:t>Granger chi-squared</w:t>
            </w:r>
          </w:p>
        </w:tc>
        <w:tc>
          <w:tcPr>
            <w:tcW w:type="dxa" w:w="1728"/>
          </w:tcPr>
          <w:p>
            <w:pPr>
              <w:pStyle w:val="MDPI42tablebody"/>
              <w:keepNext/>
              <w:spacing w:line="240" w:lineRule="auto" w:before="30" w:after="30"/>
              <w:jc w:val="center"/>
            </w:pPr>
          </w:p>
        </w:tc>
        <w:tc>
          <w:tcPr>
            <w:tcW w:type="dxa" w:w="1728"/>
          </w:tcPr>
          <w:p>
            <w:pPr>
              <w:pStyle w:val="MDPI42tablebody"/>
              <w:keepNext/>
              <w:spacing w:line="240" w:lineRule="auto" w:before="30" w:after="30"/>
              <w:jc w:val="center"/>
            </w:pPr>
          </w:p>
        </w:tc>
        <w:tc>
          <w:tcPr>
            <w:tcW w:type="dxa" w:w="1728"/>
          </w:tcPr>
          <w:p>
            <w:pPr>
              <w:pStyle w:val="MDPI42tablebody"/>
              <w:keepNext/>
              <w:spacing w:line="240" w:lineRule="auto" w:before="30" w:after="30"/>
              <w:jc w:val="center"/>
            </w:pPr>
          </w:p>
        </w:tc>
      </w:tr>
      <w:tr>
        <w:trPr>
          <w:cantSplit/>
        </w:trPr>
        <w:tc>
          <w:tcPr>
            <w:tcW w:type="dxa" w:w="2671"/>
          </w:tcPr>
          <w:p>
            <w:pPr>
              <w:pStyle w:val="MDPI42tablebody"/>
              <w:keepNext/>
              <w:spacing w:line="240" w:lineRule="auto" w:before="30" w:after="30"/>
              <w:jc w:val="left"/>
            </w:pPr>
            <w:r>
              <w:rPr>
                <w:b w:val="0"/>
                <w:i/>
                <w:sz w:val="18"/>
              </w:rPr>
              <w:t>GenAI equation</w:t>
            </w:r>
          </w:p>
        </w:tc>
        <w:tc>
          <w:tcPr>
            <w:tcW w:type="dxa" w:w="1728"/>
          </w:tcPr>
          <w:p>
            <w:pPr>
              <w:pStyle w:val="MDPI42tablebody"/>
              <w:keepNext/>
              <w:spacing w:line="240" w:lineRule="auto" w:before="30" w:after="30"/>
              <w:jc w:val="center"/>
            </w:pPr>
            <w:r>
              <w:rPr>
                <w:b w:val="0"/>
                <w:i w:val="0"/>
                <w:sz w:val="18"/>
              </w:rPr>
              <w:t>1891.91 [0.000]</w:t>
            </w:r>
          </w:p>
        </w:tc>
        <w:tc>
          <w:tcPr>
            <w:tcW w:type="dxa" w:w="1728"/>
          </w:tcPr>
          <w:p>
            <w:pPr>
              <w:pStyle w:val="MDPI42tablebody"/>
              <w:keepNext/>
              <w:spacing w:line="240" w:lineRule="auto" w:before="30" w:after="30"/>
              <w:jc w:val="center"/>
            </w:pPr>
            <w:r>
              <w:rPr>
                <w:b w:val="0"/>
                <w:i w:val="0"/>
                <w:sz w:val="18"/>
              </w:rPr>
              <w:t>976.63 [0.000]</w:t>
            </w:r>
          </w:p>
        </w:tc>
        <w:tc>
          <w:tcPr>
            <w:tcW w:type="dxa" w:w="1728"/>
          </w:tcPr>
          <w:p>
            <w:pPr>
              <w:pStyle w:val="MDPI42tablebody"/>
              <w:keepNext/>
              <w:spacing w:line="240" w:lineRule="auto" w:before="30" w:after="30"/>
              <w:jc w:val="center"/>
            </w:pPr>
            <w:r>
              <w:rPr>
                <w:b w:val="0"/>
                <w:i w:val="0"/>
                <w:sz w:val="18"/>
              </w:rPr>
              <w:t>980.12 [0.000]</w:t>
            </w:r>
          </w:p>
        </w:tc>
      </w:tr>
      <w:tr>
        <w:trPr>
          <w:cantSplit/>
        </w:trPr>
        <w:tc>
          <w:tcPr>
            <w:tcW w:type="dxa" w:w="2671"/>
          </w:tcPr>
          <w:p>
            <w:pPr>
              <w:pStyle w:val="MDPI42tablebody"/>
              <w:keepNext/>
              <w:spacing w:line="240" w:lineRule="auto" w:before="30" w:after="30"/>
              <w:jc w:val="left"/>
            </w:pPr>
            <w:r>
              <w:rPr>
                <w:b w:val="0"/>
                <w:i/>
                <w:sz w:val="18"/>
              </w:rPr>
              <w:t>Train equation</w:t>
            </w:r>
          </w:p>
        </w:tc>
        <w:tc>
          <w:tcPr>
            <w:tcW w:type="dxa" w:w="1728"/>
          </w:tcPr>
          <w:p>
            <w:pPr>
              <w:pStyle w:val="MDPI42tablebody"/>
              <w:keepNext/>
              <w:spacing w:line="240" w:lineRule="auto" w:before="30" w:after="30"/>
              <w:jc w:val="center"/>
            </w:pPr>
            <w:r>
              <w:rPr>
                <w:b w:val="0"/>
                <w:i w:val="0"/>
                <w:sz w:val="18"/>
              </w:rPr>
              <w:t>35.24 [0.000]</w:t>
            </w:r>
          </w:p>
        </w:tc>
        <w:tc>
          <w:tcPr>
            <w:tcW w:type="dxa" w:w="1728"/>
          </w:tcPr>
          <w:p>
            <w:pPr>
              <w:pStyle w:val="MDPI42tablebody"/>
              <w:keepNext/>
              <w:spacing w:line="240" w:lineRule="auto" w:before="30" w:after="30"/>
              <w:jc w:val="center"/>
            </w:pPr>
            <w:r>
              <w:rPr>
                <w:b w:val="0"/>
                <w:i w:val="0"/>
                <w:sz w:val="18"/>
              </w:rPr>
              <w:t>1763.95 [0.000]</w:t>
            </w:r>
          </w:p>
        </w:tc>
        <w:tc>
          <w:tcPr>
            <w:tcW w:type="dxa" w:w="1728"/>
          </w:tcPr>
          <w:p>
            <w:pPr>
              <w:pStyle w:val="MDPI42tablebody"/>
              <w:keepNext/>
              <w:spacing w:line="240" w:lineRule="auto" w:before="30" w:after="30"/>
              <w:jc w:val="center"/>
            </w:pPr>
            <w:r>
              <w:rPr>
                <w:b w:val="0"/>
                <w:i w:val="0"/>
                <w:sz w:val="18"/>
              </w:rPr>
              <w:t>81.21 [0.000]</w:t>
            </w:r>
          </w:p>
        </w:tc>
      </w:tr>
      <w:tr>
        <w:trPr>
          <w:cantSplit/>
        </w:trPr>
        <w:tc>
          <w:tcPr>
            <w:tcW w:type="dxa" w:w="2671"/>
          </w:tcPr>
          <w:p>
            <w:pPr>
              <w:pStyle w:val="MDPI42tablebody"/>
              <w:keepNext/>
              <w:spacing w:line="240" w:lineRule="auto" w:before="30" w:after="30"/>
              <w:jc w:val="left"/>
            </w:pPr>
            <w:r>
              <w:rPr>
                <w:b w:val="0"/>
                <w:i/>
                <w:sz w:val="18"/>
              </w:rPr>
              <w:t>Youth equation</w:t>
            </w:r>
          </w:p>
        </w:tc>
        <w:tc>
          <w:tcPr>
            <w:tcW w:type="dxa" w:w="1728"/>
          </w:tcPr>
          <w:p>
            <w:pPr>
              <w:pStyle w:val="MDPI42tablebody"/>
              <w:keepNext/>
              <w:spacing w:line="240" w:lineRule="auto" w:before="30" w:after="30"/>
              <w:jc w:val="center"/>
            </w:pPr>
            <w:r>
              <w:rPr>
                <w:b w:val="0"/>
                <w:i w:val="0"/>
                <w:sz w:val="18"/>
              </w:rPr>
              <w:t>48.10 [0.000]</w:t>
            </w:r>
          </w:p>
        </w:tc>
        <w:tc>
          <w:tcPr>
            <w:tcW w:type="dxa" w:w="1728"/>
          </w:tcPr>
          <w:p>
            <w:pPr>
              <w:pStyle w:val="MDPI42tablebody"/>
              <w:keepNext/>
              <w:spacing w:line="240" w:lineRule="auto" w:before="30" w:after="30"/>
              <w:jc w:val="center"/>
            </w:pPr>
            <w:r>
              <w:rPr>
                <w:b w:val="0"/>
                <w:i w:val="0"/>
                <w:sz w:val="18"/>
              </w:rPr>
              <w:t>72.61 [0.000]</w:t>
            </w:r>
          </w:p>
        </w:tc>
        <w:tc>
          <w:tcPr>
            <w:tcW w:type="dxa" w:w="1728"/>
          </w:tcPr>
          <w:p>
            <w:pPr>
              <w:pStyle w:val="MDPI42tablebody"/>
              <w:keepNext/>
              <w:spacing w:line="240" w:lineRule="auto" w:before="30" w:after="30"/>
              <w:jc w:val="center"/>
            </w:pPr>
            <w:r>
              <w:rPr>
                <w:b w:val="0"/>
                <w:i w:val="0"/>
                <w:sz w:val="18"/>
              </w:rPr>
              <w:t>806.67 [0.000]</w:t>
            </w:r>
          </w:p>
        </w:tc>
      </w:tr>
      <w:tr>
        <w:trPr>
          <w:cantSplit/>
        </w:trPr>
        <w:tc>
          <w:tcPr>
            <w:tcW w:type="dxa" w:w="2671"/>
          </w:tcPr>
          <w:p>
            <w:pPr>
              <w:pStyle w:val="MDPI42tablebody"/>
              <w:keepNext/>
              <w:spacing w:line="240" w:lineRule="auto" w:before="30" w:after="30"/>
              <w:jc w:val="left"/>
            </w:pPr>
            <w:r>
              <w:rPr>
                <w:b w:val="0"/>
                <w:i/>
                <w:sz w:val="18"/>
              </w:rPr>
              <w:t>Modulus of companion eigenvalues</w:t>
            </w:r>
          </w:p>
        </w:tc>
        <w:tc>
          <w:tcPr>
            <w:tcW w:type="dxa" w:w="1728"/>
          </w:tcPr>
          <w:p>
            <w:pPr>
              <w:pStyle w:val="MDPI42tablebody"/>
              <w:keepNext/>
              <w:spacing w:line="240" w:lineRule="auto" w:before="30" w:after="30"/>
              <w:jc w:val="center"/>
            </w:pPr>
            <w:r>
              <w:rPr>
                <w:b w:val="0"/>
                <w:i w:val="0"/>
                <w:sz w:val="18"/>
              </w:rPr>
              <w:t>0.722</w:t>
            </w:r>
          </w:p>
        </w:tc>
        <w:tc>
          <w:tcPr>
            <w:tcW w:type="dxa" w:w="1728"/>
          </w:tcPr>
          <w:p>
            <w:pPr>
              <w:pStyle w:val="MDPI42tablebody"/>
              <w:keepNext/>
              <w:spacing w:line="240" w:lineRule="auto" w:before="30" w:after="30"/>
              <w:jc w:val="center"/>
            </w:pPr>
            <w:r>
              <w:rPr>
                <w:b w:val="0"/>
                <w:i w:val="0"/>
                <w:sz w:val="18"/>
              </w:rPr>
              <w:t>0.379</w:t>
            </w:r>
          </w:p>
        </w:tc>
        <w:tc>
          <w:tcPr>
            <w:tcW w:type="dxa" w:w="1728"/>
          </w:tcPr>
          <w:p>
            <w:pPr>
              <w:pStyle w:val="MDPI42tablebody"/>
              <w:keepNext/>
              <w:spacing w:line="240" w:lineRule="auto" w:before="30" w:after="30"/>
              <w:jc w:val="center"/>
            </w:pPr>
            <w:r>
              <w:rPr>
                <w:b w:val="0"/>
                <w:i w:val="0"/>
                <w:sz w:val="18"/>
              </w:rPr>
              <w:t>0.229</w:t>
            </w:r>
          </w:p>
        </w:tc>
      </w:tr>
      <w:tr>
        <w:trPr>
          <w:cantSplit/>
        </w:trPr>
        <w:tc>
          <w:tcPr>
            <w:tcW w:type="dxa" w:w="2671"/>
          </w:tcPr>
          <w:p>
            <w:pPr>
              <w:pStyle w:val="MDPI42tablebody"/>
              <w:keepNext/>
              <w:spacing w:line="240" w:lineRule="auto" w:before="30" w:after="30"/>
              <w:jc w:val="left"/>
            </w:pPr>
            <w:r>
              <w:rPr>
                <w:b w:val="0"/>
                <w:i/>
                <w:sz w:val="18"/>
              </w:rPr>
              <w:t>Observations</w:t>
            </w:r>
          </w:p>
        </w:tc>
        <w:tc>
          <w:tcPr>
            <w:tcW w:type="dxa" w:w="1728"/>
          </w:tcPr>
          <w:p>
            <w:pPr>
              <w:pStyle w:val="MDPI42tablebody"/>
              <w:keepNext/>
              <w:spacing w:line="240" w:lineRule="auto" w:before="30" w:after="30"/>
              <w:jc w:val="center"/>
            </w:pPr>
            <w:r>
              <w:rPr>
                <w:b w:val="0"/>
                <w:i w:val="0"/>
                <w:sz w:val="18"/>
              </w:rPr>
              <w:t>22,701</w:t>
            </w:r>
          </w:p>
        </w:tc>
        <w:tc>
          <w:tcPr>
            <w:tcW w:type="dxa" w:w="1728"/>
          </w:tcPr>
          <w:p>
            <w:pPr>
              <w:pStyle w:val="MDPI42tablebody"/>
              <w:keepNext/>
              <w:spacing w:line="240" w:lineRule="auto" w:before="30" w:after="30"/>
              <w:jc w:val="center"/>
            </w:pPr>
          </w:p>
        </w:tc>
        <w:tc>
          <w:tcPr>
            <w:tcW w:type="dxa" w:w="1728"/>
          </w:tcPr>
          <w:p>
            <w:pPr>
              <w:pStyle w:val="MDPI42tablebody"/>
              <w:keepNext/>
              <w:spacing w:line="240" w:lineRule="auto" w:before="30" w:after="30"/>
              <w:jc w:val="center"/>
            </w:pPr>
          </w:p>
        </w:tc>
      </w:tr>
      <w:tr>
        <w:trPr>
          <w:cantSplit/>
        </w:trPr>
        <w:tc>
          <w:tcPr>
            <w:tcW w:type="dxa" w:w="2671"/>
          </w:tcPr>
          <w:p>
            <w:pPr>
              <w:pStyle w:val="MDPI42tablebody"/>
              <w:keepNext/>
              <w:spacing w:line="240" w:lineRule="auto" w:before="30" w:after="30"/>
              <w:jc w:val="left"/>
            </w:pPr>
            <w:r>
              <w:rPr>
                <w:b w:val="0"/>
                <w:i/>
                <w:sz w:val="18"/>
              </w:rPr>
              <w:t>Firms</w:t>
            </w:r>
          </w:p>
        </w:tc>
        <w:tc>
          <w:tcPr>
            <w:tcW w:type="dxa" w:w="1728"/>
          </w:tcPr>
          <w:p>
            <w:pPr>
              <w:pStyle w:val="MDPI42tablebody"/>
              <w:keepNext/>
              <w:spacing w:line="240" w:lineRule="auto" w:before="30" w:after="30"/>
              <w:jc w:val="center"/>
            </w:pPr>
            <w:r>
              <w:rPr>
                <w:b w:val="0"/>
                <w:i w:val="0"/>
                <w:sz w:val="18"/>
              </w:rPr>
              <w:t>3,000</w:t>
            </w:r>
          </w:p>
        </w:tc>
        <w:tc>
          <w:tcPr>
            <w:tcW w:type="dxa" w:w="1728"/>
          </w:tcPr>
          <w:p>
            <w:pPr>
              <w:pStyle w:val="MDPI42tablebody"/>
              <w:keepNext/>
              <w:spacing w:line="240" w:lineRule="auto" w:before="30" w:after="30"/>
              <w:jc w:val="center"/>
            </w:pPr>
          </w:p>
        </w:tc>
        <w:tc>
          <w:tcPr>
            <w:tcW w:type="dxa" w:w="1728"/>
          </w:tcPr>
          <w:p>
            <w:pPr>
              <w:pStyle w:val="MDPI42tablebody"/>
              <w:keepNext/>
              <w:spacing w:line="240" w:lineRule="auto" w:before="30" w:after="30"/>
              <w:jc w:val="center"/>
            </w:pPr>
          </w:p>
        </w:tc>
      </w:tr>
      <w:tr>
        <w:trPr>
          <w:cantSplit/>
        </w:trPr>
        <w:tc>
          <w:tcPr>
            <w:tcW w:type="dxa" w:w="2671"/>
          </w:tcPr>
          <w:p>
            <w:pPr>
              <w:pStyle w:val="MDPI42tablebody"/>
              <w:spacing w:line="240" w:lineRule="auto" w:before="30" w:after="30"/>
              <w:jc w:val="left"/>
            </w:pPr>
            <w:r>
              <w:rPr>
                <w:b w:val="0"/>
                <w:i/>
                <w:sz w:val="18"/>
              </w:rPr>
              <w:t>Bootstrap replications</w:t>
            </w:r>
          </w:p>
        </w:tc>
        <w:tc>
          <w:tcPr>
            <w:tcW w:type="dxa" w:w="1728"/>
          </w:tcPr>
          <w:p>
            <w:pPr>
              <w:pStyle w:val="MDPI42tablebody"/>
              <w:spacing w:line="240" w:lineRule="auto" w:before="30" w:after="30"/>
              <w:jc w:val="center"/>
            </w:pPr>
            <w:r>
              <w:rPr>
                <w:b w:val="0"/>
                <w:i w:val="0"/>
                <w:sz w:val="18"/>
              </w:rPr>
              <w:t>400</w:t>
            </w:r>
          </w:p>
        </w:tc>
        <w:tc>
          <w:tcPr>
            <w:tcW w:type="dxa" w:w="1728"/>
          </w:tcPr>
          <w:p>
            <w:pPr>
              <w:pStyle w:val="MDPI42tablebody"/>
              <w:spacing w:line="240" w:lineRule="auto" w:before="30" w:after="30"/>
              <w:jc w:val="center"/>
            </w:pPr>
          </w:p>
        </w:tc>
        <w:tc>
          <w:tcPr>
            <w:tcW w:type="dxa" w:w="1728"/>
          </w:tcPr>
          <w:p>
            <w:pPr>
              <w:pStyle w:val="MDPI42tablebody"/>
              <w:spacing w:line="240" w:lineRule="auto" w:before="30" w:after="30"/>
              <w:jc w:val="center"/>
            </w:pPr>
          </w:p>
        </w:tc>
      </w:tr>
    </w:tbl>
    <w:p>
      <w:pPr>
        <w:pStyle w:val="MDPI43tablefooter"/>
        <w:spacing w:line="240" w:lineRule="auto" w:before="40" w:after="200"/>
        <w:ind w:left="2608" w:firstLine="0"/>
      </w:pPr>
      <w:r>
        <w:rPr>
          <w:sz w:val="16"/>
        </w:rPr>
        <w:t xml:space="preserve">Note: </w:t>
      </w:r>
      <w:r>
        <w:rPr>
          <w:b w:val="0"/>
          <w:i w:val="0"/>
          <w:sz w:val="16"/>
        </w:rPr>
        <w:t>The system is estimated on firm-level deviations from the annual cross-sectional mean, with firm effects removed by the within transformation and the leading term of the dynamic-panel bias removed by the half-panel jackknife. Values in parentheses are bootstrap standard errors from 400 replications that resample whole firms. Figures in square brackets are the p-values of the Granger causality Wald statistics, whose null hypothesis is that the lag of the column variable does not enter the row equation. ***, ** and * denote significance at the 1%, 5% and 10% levels, respectively. Source: authors’ own calculations.</w:t>
      </w:r>
    </w:p>
    <w:p>
      <w:pPr>
        <w:pStyle w:val="MDPI31text"/>
      </w:pPr>
      <w:r>
        <w:rPr>
          <w:b w:val="0"/>
          <w:i w:val="0"/>
        </w:rPr>
        <w:t>Figure 3 plots the orthogonalized impulse responses with ninety percent bootstrap bands. A one-standard-deviation innovation to adoption lowers the youth employment share by 0.395 percentage points on impact, deepens to its trough in the following year, and decays thereafter without changing sign; the response of training investment follows the same shape. The lower panels display the return arcs: an innovation that raises training investment, or that raises the youth employment share, lowers adoption from the following year onward, and the bands exclude zero over the whole visible horizon.</w:t>
      </w:r>
    </w:p>
    <w:p>
      <w:pPr>
        <w:pStyle w:val="MDPI52figure"/>
        <w:keepNext/>
        <w:ind w:left="2608" w:firstLine="0"/>
        <w:jc w:val="center"/>
      </w:pPr>
      <w:r>
        <w:drawing>
          <wp:inline xmlns:a="http://schemas.openxmlformats.org/drawingml/2006/main" xmlns:pic="http://schemas.openxmlformats.org/drawingml/2006/picture">
            <wp:extent cx="4752000" cy="3631766"/>
            <wp:docPr id="3" name="Picture 3"/>
            <wp:cNvGraphicFramePr>
              <a:graphicFrameLocks noChangeAspect="1"/>
            </wp:cNvGraphicFramePr>
            <a:graphic>
              <a:graphicData uri="http://schemas.openxmlformats.org/drawingml/2006/picture">
                <pic:pic>
                  <pic:nvPicPr>
                    <pic:cNvPr id="0" name="figure3_irf.png"/>
                    <pic:cNvPicPr/>
                  </pic:nvPicPr>
                  <pic:blipFill>
                    <a:blip r:embed="rId19"/>
                    <a:stretch>
                      <a:fillRect/>
                    </a:stretch>
                  </pic:blipFill>
                  <pic:spPr>
                    <a:xfrm>
                      <a:off x="0" y="0"/>
                      <a:ext cx="4752000" cy="3631766"/>
                    </a:xfrm>
                    <a:prstGeom prst="rect"/>
                  </pic:spPr>
                </pic:pic>
              </a:graphicData>
            </a:graphic>
          </wp:inline>
        </w:drawing>
      </w:r>
    </w:p>
    <w:p>
      <w:pPr>
        <w:pStyle w:val="MDPI51figurecaption"/>
        <w:spacing w:after="200"/>
      </w:pPr>
      <w:r>
        <w:rPr>
          <w:b/>
          <w:sz w:val="18"/>
        </w:rPr>
        <w:t xml:space="preserve">Figure 3. </w:t>
      </w:r>
      <w:r>
        <w:rPr>
          <w:b w:val="0"/>
          <w:i w:val="0"/>
          <w:sz w:val="18"/>
        </w:rPr>
        <w:t>Orthogonalized impulse responses of the adoption–capability–youth system.</w:t>
      </w:r>
    </w:p>
    <w:p>
      <w:pPr>
        <w:pStyle w:val="MDPI31text"/>
      </w:pPr>
      <w:r>
        <w:rPr>
          <w:b w:val="0"/>
          <w:i w:val="0"/>
        </w:rPr>
        <w:t>Table 12 converts the responses into the quantity that matters for the systems claim. Cumulated over eight years, the response of the youth employment share to an adoption innovation is −2.416 percentage points, 6.1 times the impact response. When the two return coefficients of the adoption equation are set to zero and the system is re-simulated, the same cumulative response is −2.030. The ratio defined in Equation (9) is therefore 1.190: the reinforcing loop adds 19.0 percent to the eight-year cumulative displacement of young workers. The amplification is absent by construction in the first two years, because the return arc carries a one-period delay and the loop must travel the full circuit before it contributes, and it grows monotonically thereafter. This is the signature of a reinforcing feedback structure rather than of a persistent shock, and it is not recoverable from any single-equation estimate.</w:t>
      </w:r>
    </w:p>
    <w:p>
      <w:pPr>
        <w:pStyle w:val="MDPI41tablecaption"/>
        <w:keepNext/>
        <w:spacing w:after="60"/>
      </w:pPr>
      <w:r>
        <w:rPr>
          <w:b/>
          <w:sz w:val="18"/>
        </w:rPr>
        <w:t xml:space="preserve">Table 12. </w:t>
      </w:r>
      <w:r>
        <w:rPr>
          <w:b w:val="0"/>
          <w:i w:val="0"/>
          <w:sz w:val="18"/>
        </w:rPr>
        <w:t>Impulse responses and the amplification attributable to the reinforcing loop.</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553"/>
        <w:gridCol w:w="879"/>
        <w:gridCol w:w="879"/>
        <w:gridCol w:w="879"/>
        <w:gridCol w:w="879"/>
        <w:gridCol w:w="879"/>
        <w:gridCol w:w="879"/>
        <w:gridCol w:w="879"/>
        <w:gridCol w:w="879"/>
        <w:gridCol w:w="879"/>
      </w:tblGrid>
      <w:tr>
        <w:trPr>
          <w:cantSplit/>
          <w:tblHeader/>
        </w:trPr>
        <w:tc>
          <w:tcPr>
            <w:tcW w:type="dxa" w:w="2553"/>
            <w:tcBorders>
              <w:bottom w:val="single" w:sz="8" w:space="0" w:color="auto"/>
            </w:tcBorders>
          </w:tcPr>
          <w:p>
            <w:pPr>
              <w:pStyle w:val="MDPI42tablebody"/>
              <w:keepNext/>
              <w:spacing w:line="240" w:lineRule="auto" w:before="30" w:after="30"/>
              <w:jc w:val="center"/>
            </w:pPr>
            <w:r>
              <w:rPr>
                <w:b/>
                <w:i w:val="0"/>
                <w:sz w:val="12"/>
              </w:rPr>
              <w:t>Response</w:t>
            </w:r>
          </w:p>
        </w:tc>
        <w:tc>
          <w:tcPr>
            <w:tcW w:type="dxa" w:w="879"/>
            <w:tcBorders>
              <w:bottom w:val="single" w:sz="8" w:space="0" w:color="auto"/>
            </w:tcBorders>
          </w:tcPr>
          <w:p>
            <w:pPr>
              <w:pStyle w:val="MDPI42tablebody"/>
              <w:keepNext/>
              <w:spacing w:line="240" w:lineRule="auto" w:before="30" w:after="30"/>
              <w:jc w:val="center"/>
            </w:pPr>
            <w:r>
              <w:rPr>
                <w:b/>
                <w:i w:val="0"/>
                <w:sz w:val="12"/>
              </w:rPr>
              <w:t>h = 0</w:t>
            </w:r>
          </w:p>
        </w:tc>
        <w:tc>
          <w:tcPr>
            <w:tcW w:type="dxa" w:w="879"/>
            <w:tcBorders>
              <w:bottom w:val="single" w:sz="8" w:space="0" w:color="auto"/>
            </w:tcBorders>
          </w:tcPr>
          <w:p>
            <w:pPr>
              <w:pStyle w:val="MDPI42tablebody"/>
              <w:keepNext/>
              <w:spacing w:line="240" w:lineRule="auto" w:before="30" w:after="30"/>
              <w:jc w:val="center"/>
            </w:pPr>
            <w:r>
              <w:rPr>
                <w:b/>
                <w:i w:val="0"/>
                <w:sz w:val="12"/>
              </w:rPr>
              <w:t>h = 1</w:t>
            </w:r>
          </w:p>
        </w:tc>
        <w:tc>
          <w:tcPr>
            <w:tcW w:type="dxa" w:w="879"/>
            <w:tcBorders>
              <w:bottom w:val="single" w:sz="8" w:space="0" w:color="auto"/>
            </w:tcBorders>
          </w:tcPr>
          <w:p>
            <w:pPr>
              <w:pStyle w:val="MDPI42tablebody"/>
              <w:keepNext/>
              <w:spacing w:line="240" w:lineRule="auto" w:before="30" w:after="30"/>
              <w:jc w:val="center"/>
            </w:pPr>
            <w:r>
              <w:rPr>
                <w:b/>
                <w:i w:val="0"/>
                <w:sz w:val="12"/>
              </w:rPr>
              <w:t>h = 2</w:t>
            </w:r>
          </w:p>
        </w:tc>
        <w:tc>
          <w:tcPr>
            <w:tcW w:type="dxa" w:w="879"/>
            <w:tcBorders>
              <w:bottom w:val="single" w:sz="8" w:space="0" w:color="auto"/>
            </w:tcBorders>
          </w:tcPr>
          <w:p>
            <w:pPr>
              <w:pStyle w:val="MDPI42tablebody"/>
              <w:keepNext/>
              <w:spacing w:line="240" w:lineRule="auto" w:before="30" w:after="30"/>
              <w:jc w:val="center"/>
            </w:pPr>
            <w:r>
              <w:rPr>
                <w:b/>
                <w:i w:val="0"/>
                <w:sz w:val="12"/>
              </w:rPr>
              <w:t>h = 3</w:t>
            </w:r>
          </w:p>
        </w:tc>
        <w:tc>
          <w:tcPr>
            <w:tcW w:type="dxa" w:w="879"/>
            <w:tcBorders>
              <w:bottom w:val="single" w:sz="8" w:space="0" w:color="auto"/>
            </w:tcBorders>
          </w:tcPr>
          <w:p>
            <w:pPr>
              <w:pStyle w:val="MDPI42tablebody"/>
              <w:keepNext/>
              <w:spacing w:line="240" w:lineRule="auto" w:before="30" w:after="30"/>
              <w:jc w:val="center"/>
            </w:pPr>
            <w:r>
              <w:rPr>
                <w:b/>
                <w:i w:val="0"/>
                <w:sz w:val="12"/>
              </w:rPr>
              <w:t>h = 4</w:t>
            </w:r>
          </w:p>
        </w:tc>
        <w:tc>
          <w:tcPr>
            <w:tcW w:type="dxa" w:w="879"/>
            <w:tcBorders>
              <w:bottom w:val="single" w:sz="8" w:space="0" w:color="auto"/>
            </w:tcBorders>
          </w:tcPr>
          <w:p>
            <w:pPr>
              <w:pStyle w:val="MDPI42tablebody"/>
              <w:keepNext/>
              <w:spacing w:line="240" w:lineRule="auto" w:before="30" w:after="30"/>
              <w:jc w:val="center"/>
            </w:pPr>
            <w:r>
              <w:rPr>
                <w:b/>
                <w:i w:val="0"/>
                <w:sz w:val="12"/>
              </w:rPr>
              <w:t>h = 5</w:t>
            </w:r>
          </w:p>
        </w:tc>
        <w:tc>
          <w:tcPr>
            <w:tcW w:type="dxa" w:w="879"/>
            <w:tcBorders>
              <w:bottom w:val="single" w:sz="8" w:space="0" w:color="auto"/>
            </w:tcBorders>
          </w:tcPr>
          <w:p>
            <w:pPr>
              <w:pStyle w:val="MDPI42tablebody"/>
              <w:keepNext/>
              <w:spacing w:line="240" w:lineRule="auto" w:before="30" w:after="30"/>
              <w:jc w:val="center"/>
            </w:pPr>
            <w:r>
              <w:rPr>
                <w:b/>
                <w:i w:val="0"/>
                <w:sz w:val="12"/>
              </w:rPr>
              <w:t>h = 6</w:t>
            </w:r>
          </w:p>
        </w:tc>
        <w:tc>
          <w:tcPr>
            <w:tcW w:type="dxa" w:w="879"/>
            <w:tcBorders>
              <w:bottom w:val="single" w:sz="8" w:space="0" w:color="auto"/>
            </w:tcBorders>
          </w:tcPr>
          <w:p>
            <w:pPr>
              <w:pStyle w:val="MDPI42tablebody"/>
              <w:keepNext/>
              <w:spacing w:line="240" w:lineRule="auto" w:before="30" w:after="30"/>
              <w:jc w:val="center"/>
            </w:pPr>
            <w:r>
              <w:rPr>
                <w:b/>
                <w:i w:val="0"/>
                <w:sz w:val="12"/>
              </w:rPr>
              <w:t>h = 7</w:t>
            </w:r>
          </w:p>
        </w:tc>
        <w:tc>
          <w:tcPr>
            <w:tcW w:type="dxa" w:w="879"/>
            <w:tcBorders>
              <w:bottom w:val="single" w:sz="8" w:space="0" w:color="auto"/>
            </w:tcBorders>
          </w:tcPr>
          <w:p>
            <w:pPr>
              <w:pStyle w:val="MDPI42tablebody"/>
              <w:keepNext/>
              <w:spacing w:line="240" w:lineRule="auto" w:before="30" w:after="30"/>
              <w:jc w:val="center"/>
            </w:pPr>
            <w:r>
              <w:rPr>
                <w:b/>
                <w:i w:val="0"/>
                <w:sz w:val="12"/>
              </w:rPr>
              <w:t>h = 8</w:t>
            </w:r>
          </w:p>
        </w:tc>
      </w:tr>
      <w:tr>
        <w:trPr>
          <w:cantSplit/>
        </w:trPr>
        <w:tc>
          <w:tcPr>
            <w:tcW w:type="dxa" w:w="2553"/>
          </w:tcPr>
          <w:p>
            <w:pPr>
              <w:pStyle w:val="MDPI42tablebody"/>
              <w:keepNext/>
              <w:spacing w:line="240" w:lineRule="auto" w:before="30" w:after="30"/>
              <w:jc w:val="left"/>
            </w:pPr>
            <w:r>
              <w:rPr>
                <w:b w:val="0"/>
                <w:i/>
                <w:sz w:val="12"/>
              </w:rPr>
              <w:t>Youth to a GenAI shock</w:t>
            </w:r>
          </w:p>
        </w:tc>
        <w:tc>
          <w:tcPr>
            <w:tcW w:type="dxa" w:w="879"/>
          </w:tcPr>
          <w:p>
            <w:pPr>
              <w:pStyle w:val="MDPI42tablebody"/>
              <w:keepNext/>
              <w:spacing w:line="240" w:lineRule="auto" w:before="30" w:after="30"/>
              <w:jc w:val="center"/>
            </w:pPr>
            <w:r>
              <w:rPr>
                <w:b w:val="0"/>
                <w:i w:val="0"/>
                <w:sz w:val="12"/>
              </w:rPr>
              <w:t>−0.395</w:t>
            </w:r>
          </w:p>
        </w:tc>
        <w:tc>
          <w:tcPr>
            <w:tcW w:type="dxa" w:w="879"/>
          </w:tcPr>
          <w:p>
            <w:pPr>
              <w:pStyle w:val="MDPI42tablebody"/>
              <w:keepNext/>
              <w:spacing w:line="240" w:lineRule="auto" w:before="30" w:after="30"/>
              <w:jc w:val="center"/>
            </w:pPr>
            <w:r>
              <w:rPr>
                <w:b w:val="0"/>
                <w:i w:val="0"/>
                <w:sz w:val="12"/>
              </w:rPr>
              <w:t>−0.547</w:t>
            </w:r>
          </w:p>
        </w:tc>
        <w:tc>
          <w:tcPr>
            <w:tcW w:type="dxa" w:w="879"/>
          </w:tcPr>
          <w:p>
            <w:pPr>
              <w:pStyle w:val="MDPI42tablebody"/>
              <w:keepNext/>
              <w:spacing w:line="240" w:lineRule="auto" w:before="30" w:after="30"/>
              <w:jc w:val="center"/>
            </w:pPr>
            <w:r>
              <w:rPr>
                <w:b w:val="0"/>
                <w:i w:val="0"/>
                <w:sz w:val="12"/>
              </w:rPr>
              <w:t>−0.447</w:t>
            </w:r>
          </w:p>
        </w:tc>
        <w:tc>
          <w:tcPr>
            <w:tcW w:type="dxa" w:w="879"/>
          </w:tcPr>
          <w:p>
            <w:pPr>
              <w:pStyle w:val="MDPI42tablebody"/>
              <w:keepNext/>
              <w:spacing w:line="240" w:lineRule="auto" w:before="30" w:after="30"/>
              <w:jc w:val="center"/>
            </w:pPr>
            <w:r>
              <w:rPr>
                <w:b w:val="0"/>
                <w:i w:val="0"/>
                <w:sz w:val="12"/>
              </w:rPr>
              <w:t>−0.332</w:t>
            </w:r>
          </w:p>
        </w:tc>
        <w:tc>
          <w:tcPr>
            <w:tcW w:type="dxa" w:w="879"/>
          </w:tcPr>
          <w:p>
            <w:pPr>
              <w:pStyle w:val="MDPI42tablebody"/>
              <w:keepNext/>
              <w:spacing w:line="240" w:lineRule="auto" w:before="30" w:after="30"/>
              <w:jc w:val="center"/>
            </w:pPr>
            <w:r>
              <w:rPr>
                <w:b w:val="0"/>
                <w:i w:val="0"/>
                <w:sz w:val="12"/>
              </w:rPr>
              <w:t>−0.241</w:t>
            </w:r>
          </w:p>
        </w:tc>
        <w:tc>
          <w:tcPr>
            <w:tcW w:type="dxa" w:w="879"/>
          </w:tcPr>
          <w:p>
            <w:pPr>
              <w:pStyle w:val="MDPI42tablebody"/>
              <w:keepNext/>
              <w:spacing w:line="240" w:lineRule="auto" w:before="30" w:after="30"/>
              <w:jc w:val="center"/>
            </w:pPr>
            <w:r>
              <w:rPr>
                <w:b w:val="0"/>
                <w:i w:val="0"/>
                <w:sz w:val="12"/>
              </w:rPr>
              <w:t>−0.174</w:t>
            </w:r>
          </w:p>
        </w:tc>
        <w:tc>
          <w:tcPr>
            <w:tcW w:type="dxa" w:w="879"/>
          </w:tcPr>
          <w:p>
            <w:pPr>
              <w:pStyle w:val="MDPI42tablebody"/>
              <w:keepNext/>
              <w:spacing w:line="240" w:lineRule="auto" w:before="30" w:after="30"/>
              <w:jc w:val="center"/>
            </w:pPr>
            <w:r>
              <w:rPr>
                <w:b w:val="0"/>
                <w:i w:val="0"/>
                <w:sz w:val="12"/>
              </w:rPr>
              <w:t>−0.125</w:t>
            </w:r>
          </w:p>
        </w:tc>
        <w:tc>
          <w:tcPr>
            <w:tcW w:type="dxa" w:w="879"/>
          </w:tcPr>
          <w:p>
            <w:pPr>
              <w:pStyle w:val="MDPI42tablebody"/>
              <w:keepNext/>
              <w:spacing w:line="240" w:lineRule="auto" w:before="30" w:after="30"/>
              <w:jc w:val="center"/>
            </w:pPr>
            <w:r>
              <w:rPr>
                <w:b w:val="0"/>
                <w:i w:val="0"/>
                <w:sz w:val="12"/>
              </w:rPr>
              <w:t>−0.090</w:t>
            </w:r>
          </w:p>
        </w:tc>
        <w:tc>
          <w:tcPr>
            <w:tcW w:type="dxa" w:w="879"/>
          </w:tcPr>
          <w:p>
            <w:pPr>
              <w:pStyle w:val="MDPI42tablebody"/>
              <w:keepNext/>
              <w:spacing w:line="240" w:lineRule="auto" w:before="30" w:after="30"/>
              <w:jc w:val="center"/>
            </w:pPr>
            <w:r>
              <w:rPr>
                <w:b w:val="0"/>
                <w:i w:val="0"/>
                <w:sz w:val="12"/>
              </w:rPr>
              <w:t>−0.065</w:t>
            </w:r>
          </w:p>
        </w:tc>
      </w:tr>
      <w:tr>
        <w:trPr>
          <w:cantSplit/>
        </w:trPr>
        <w:tc>
          <w:tcPr>
            <w:tcW w:type="dxa" w:w="2553"/>
          </w:tcPr>
          <w:p>
            <w:pPr>
              <w:pStyle w:val="MDPI42tablebody"/>
              <w:keepNext/>
              <w:spacing w:line="240" w:lineRule="auto" w:before="30" w:after="30"/>
              <w:jc w:val="left"/>
            </w:pPr>
          </w:p>
        </w:tc>
        <w:tc>
          <w:tcPr>
            <w:tcW w:type="dxa" w:w="879"/>
          </w:tcPr>
          <w:p>
            <w:pPr>
              <w:pStyle w:val="MDPI42tablebody"/>
              <w:keepNext/>
              <w:spacing w:line="240" w:lineRule="auto" w:before="30" w:after="30"/>
              <w:jc w:val="center"/>
            </w:pPr>
            <w:r>
              <w:rPr>
                <w:b w:val="0"/>
                <w:i w:val="0"/>
                <w:sz w:val="12"/>
              </w:rPr>
              <w:t>[−0.466, −0.336]</w:t>
            </w:r>
          </w:p>
        </w:tc>
        <w:tc>
          <w:tcPr>
            <w:tcW w:type="dxa" w:w="879"/>
          </w:tcPr>
          <w:p>
            <w:pPr>
              <w:pStyle w:val="MDPI42tablebody"/>
              <w:keepNext/>
              <w:spacing w:line="240" w:lineRule="auto" w:before="30" w:after="30"/>
              <w:jc w:val="center"/>
            </w:pPr>
            <w:r>
              <w:rPr>
                <w:b w:val="0"/>
                <w:i w:val="0"/>
                <w:sz w:val="12"/>
              </w:rPr>
              <w:t>[−0.633, −0.459]</w:t>
            </w:r>
          </w:p>
        </w:tc>
        <w:tc>
          <w:tcPr>
            <w:tcW w:type="dxa" w:w="879"/>
          </w:tcPr>
          <w:p>
            <w:pPr>
              <w:pStyle w:val="MDPI42tablebody"/>
              <w:keepNext/>
              <w:spacing w:line="240" w:lineRule="auto" w:before="30" w:after="30"/>
              <w:jc w:val="center"/>
            </w:pPr>
            <w:r>
              <w:rPr>
                <w:b w:val="0"/>
                <w:i w:val="0"/>
                <w:sz w:val="12"/>
              </w:rPr>
              <w:t>[−0.524, −0.365]</w:t>
            </w:r>
          </w:p>
        </w:tc>
        <w:tc>
          <w:tcPr>
            <w:tcW w:type="dxa" w:w="879"/>
          </w:tcPr>
          <w:p>
            <w:pPr>
              <w:pStyle w:val="MDPI42tablebody"/>
              <w:keepNext/>
              <w:spacing w:line="240" w:lineRule="auto" w:before="30" w:after="30"/>
              <w:jc w:val="center"/>
            </w:pPr>
            <w:r>
              <w:rPr>
                <w:b w:val="0"/>
                <w:i w:val="0"/>
                <w:sz w:val="12"/>
              </w:rPr>
              <w:t>[−0.400, −0.263]</w:t>
            </w:r>
          </w:p>
        </w:tc>
        <w:tc>
          <w:tcPr>
            <w:tcW w:type="dxa" w:w="879"/>
          </w:tcPr>
          <w:p>
            <w:pPr>
              <w:pStyle w:val="MDPI42tablebody"/>
              <w:keepNext/>
              <w:spacing w:line="240" w:lineRule="auto" w:before="30" w:after="30"/>
              <w:jc w:val="center"/>
            </w:pPr>
            <w:r>
              <w:rPr>
                <w:b w:val="0"/>
                <w:i w:val="0"/>
                <w:sz w:val="12"/>
              </w:rPr>
              <w:t>[−0.303, −0.185]</w:t>
            </w:r>
          </w:p>
        </w:tc>
        <w:tc>
          <w:tcPr>
            <w:tcW w:type="dxa" w:w="879"/>
          </w:tcPr>
          <w:p>
            <w:pPr>
              <w:pStyle w:val="MDPI42tablebody"/>
              <w:keepNext/>
              <w:spacing w:line="240" w:lineRule="auto" w:before="30" w:after="30"/>
              <w:jc w:val="center"/>
            </w:pPr>
            <w:r>
              <w:rPr>
                <w:b w:val="0"/>
                <w:i w:val="0"/>
                <w:sz w:val="12"/>
              </w:rPr>
              <w:t>[−0.225, −0.129]</w:t>
            </w:r>
          </w:p>
        </w:tc>
        <w:tc>
          <w:tcPr>
            <w:tcW w:type="dxa" w:w="879"/>
          </w:tcPr>
          <w:p>
            <w:pPr>
              <w:pStyle w:val="MDPI42tablebody"/>
              <w:keepNext/>
              <w:spacing w:line="240" w:lineRule="auto" w:before="30" w:after="30"/>
              <w:jc w:val="center"/>
            </w:pPr>
            <w:r>
              <w:rPr>
                <w:b w:val="0"/>
                <w:i w:val="0"/>
                <w:sz w:val="12"/>
              </w:rPr>
              <w:t>[−0.166, −0.090]</w:t>
            </w:r>
          </w:p>
        </w:tc>
        <w:tc>
          <w:tcPr>
            <w:tcW w:type="dxa" w:w="879"/>
          </w:tcPr>
          <w:p>
            <w:pPr>
              <w:pStyle w:val="MDPI42tablebody"/>
              <w:keepNext/>
              <w:spacing w:line="240" w:lineRule="auto" w:before="30" w:after="30"/>
              <w:jc w:val="center"/>
            </w:pPr>
            <w:r>
              <w:rPr>
                <w:b w:val="0"/>
                <w:i w:val="0"/>
                <w:sz w:val="12"/>
              </w:rPr>
              <w:t>[−0.124, −0.063]</w:t>
            </w:r>
          </w:p>
        </w:tc>
        <w:tc>
          <w:tcPr>
            <w:tcW w:type="dxa" w:w="879"/>
          </w:tcPr>
          <w:p>
            <w:pPr>
              <w:pStyle w:val="MDPI42tablebody"/>
              <w:keepNext/>
              <w:spacing w:line="240" w:lineRule="auto" w:before="30" w:after="30"/>
              <w:jc w:val="center"/>
            </w:pPr>
            <w:r>
              <w:rPr>
                <w:b w:val="0"/>
                <w:i w:val="0"/>
                <w:sz w:val="12"/>
              </w:rPr>
              <w:t>[−0.093, −0.043]</w:t>
            </w:r>
          </w:p>
        </w:tc>
      </w:tr>
      <w:tr>
        <w:trPr>
          <w:cantSplit/>
        </w:trPr>
        <w:tc>
          <w:tcPr>
            <w:tcW w:type="dxa" w:w="2553"/>
          </w:tcPr>
          <w:p>
            <w:pPr>
              <w:pStyle w:val="MDPI42tablebody"/>
              <w:keepNext/>
              <w:spacing w:line="240" w:lineRule="auto" w:before="30" w:after="30"/>
              <w:jc w:val="left"/>
            </w:pPr>
            <w:r>
              <w:rPr>
                <w:b w:val="0"/>
                <w:i/>
                <w:sz w:val="12"/>
              </w:rPr>
              <w:t>Train to a GenAI shock</w:t>
            </w:r>
          </w:p>
        </w:tc>
        <w:tc>
          <w:tcPr>
            <w:tcW w:type="dxa" w:w="879"/>
          </w:tcPr>
          <w:p>
            <w:pPr>
              <w:pStyle w:val="MDPI42tablebody"/>
              <w:keepNext/>
              <w:spacing w:line="240" w:lineRule="auto" w:before="30" w:after="30"/>
              <w:jc w:val="center"/>
            </w:pPr>
            <w:r>
              <w:rPr>
                <w:b w:val="0"/>
                <w:i w:val="0"/>
                <w:sz w:val="12"/>
              </w:rPr>
              <w:t>−0.094</w:t>
            </w:r>
          </w:p>
        </w:tc>
        <w:tc>
          <w:tcPr>
            <w:tcW w:type="dxa" w:w="879"/>
          </w:tcPr>
          <w:p>
            <w:pPr>
              <w:pStyle w:val="MDPI42tablebody"/>
              <w:keepNext/>
              <w:spacing w:line="240" w:lineRule="auto" w:before="30" w:after="30"/>
              <w:jc w:val="center"/>
            </w:pPr>
            <w:r>
              <w:rPr>
                <w:b w:val="0"/>
                <w:i w:val="0"/>
                <w:sz w:val="12"/>
              </w:rPr>
              <w:t>−0.082</w:t>
            </w:r>
          </w:p>
        </w:tc>
        <w:tc>
          <w:tcPr>
            <w:tcW w:type="dxa" w:w="879"/>
          </w:tcPr>
          <w:p>
            <w:pPr>
              <w:pStyle w:val="MDPI42tablebody"/>
              <w:keepNext/>
              <w:spacing w:line="240" w:lineRule="auto" w:before="30" w:after="30"/>
              <w:jc w:val="center"/>
            </w:pPr>
            <w:r>
              <w:rPr>
                <w:b w:val="0"/>
                <w:i w:val="0"/>
                <w:sz w:val="12"/>
              </w:rPr>
              <w:t>−0.065</w:t>
            </w:r>
          </w:p>
        </w:tc>
        <w:tc>
          <w:tcPr>
            <w:tcW w:type="dxa" w:w="879"/>
          </w:tcPr>
          <w:p>
            <w:pPr>
              <w:pStyle w:val="MDPI42tablebody"/>
              <w:keepNext/>
              <w:spacing w:line="240" w:lineRule="auto" w:before="30" w:after="30"/>
              <w:jc w:val="center"/>
            </w:pPr>
            <w:r>
              <w:rPr>
                <w:b w:val="0"/>
                <w:i w:val="0"/>
                <w:sz w:val="12"/>
              </w:rPr>
              <w:t>−0.049</w:t>
            </w:r>
          </w:p>
        </w:tc>
        <w:tc>
          <w:tcPr>
            <w:tcW w:type="dxa" w:w="879"/>
          </w:tcPr>
          <w:p>
            <w:pPr>
              <w:pStyle w:val="MDPI42tablebody"/>
              <w:keepNext/>
              <w:spacing w:line="240" w:lineRule="auto" w:before="30" w:after="30"/>
              <w:jc w:val="center"/>
            </w:pPr>
            <w:r>
              <w:rPr>
                <w:b w:val="0"/>
                <w:i w:val="0"/>
                <w:sz w:val="12"/>
              </w:rPr>
              <w:t>−0.036</w:t>
            </w:r>
          </w:p>
        </w:tc>
        <w:tc>
          <w:tcPr>
            <w:tcW w:type="dxa" w:w="879"/>
          </w:tcPr>
          <w:p>
            <w:pPr>
              <w:pStyle w:val="MDPI42tablebody"/>
              <w:keepNext/>
              <w:spacing w:line="240" w:lineRule="auto" w:before="30" w:after="30"/>
              <w:jc w:val="center"/>
            </w:pPr>
            <w:r>
              <w:rPr>
                <w:b w:val="0"/>
                <w:i w:val="0"/>
                <w:sz w:val="12"/>
              </w:rPr>
              <w:t>−0.027</w:t>
            </w:r>
          </w:p>
        </w:tc>
        <w:tc>
          <w:tcPr>
            <w:tcW w:type="dxa" w:w="879"/>
          </w:tcPr>
          <w:p>
            <w:pPr>
              <w:pStyle w:val="MDPI42tablebody"/>
              <w:keepNext/>
              <w:spacing w:line="240" w:lineRule="auto" w:before="30" w:after="30"/>
              <w:jc w:val="center"/>
            </w:pPr>
            <w:r>
              <w:rPr>
                <w:b w:val="0"/>
                <w:i w:val="0"/>
                <w:sz w:val="12"/>
              </w:rPr>
              <w:t>−0.019</w:t>
            </w:r>
          </w:p>
        </w:tc>
        <w:tc>
          <w:tcPr>
            <w:tcW w:type="dxa" w:w="879"/>
          </w:tcPr>
          <w:p>
            <w:pPr>
              <w:pStyle w:val="MDPI42tablebody"/>
              <w:keepNext/>
              <w:spacing w:line="240" w:lineRule="auto" w:before="30" w:after="30"/>
              <w:jc w:val="center"/>
            </w:pPr>
            <w:r>
              <w:rPr>
                <w:b w:val="0"/>
                <w:i w:val="0"/>
                <w:sz w:val="12"/>
              </w:rPr>
              <w:t>−0.014</w:t>
            </w:r>
          </w:p>
        </w:tc>
        <w:tc>
          <w:tcPr>
            <w:tcW w:type="dxa" w:w="879"/>
          </w:tcPr>
          <w:p>
            <w:pPr>
              <w:pStyle w:val="MDPI42tablebody"/>
              <w:keepNext/>
              <w:spacing w:line="240" w:lineRule="auto" w:before="30" w:after="30"/>
              <w:jc w:val="center"/>
            </w:pPr>
            <w:r>
              <w:rPr>
                <w:b w:val="0"/>
                <w:i w:val="0"/>
                <w:sz w:val="12"/>
              </w:rPr>
              <w:t>−0.010</w:t>
            </w:r>
          </w:p>
        </w:tc>
      </w:tr>
      <w:tr>
        <w:trPr>
          <w:cantSplit/>
        </w:trPr>
        <w:tc>
          <w:tcPr>
            <w:tcW w:type="dxa" w:w="2553"/>
          </w:tcPr>
          <w:p>
            <w:pPr>
              <w:pStyle w:val="MDPI42tablebody"/>
              <w:keepNext/>
              <w:spacing w:line="240" w:lineRule="auto" w:before="30" w:after="30"/>
              <w:jc w:val="left"/>
            </w:pPr>
          </w:p>
        </w:tc>
        <w:tc>
          <w:tcPr>
            <w:tcW w:type="dxa" w:w="879"/>
          </w:tcPr>
          <w:p>
            <w:pPr>
              <w:pStyle w:val="MDPI42tablebody"/>
              <w:keepNext/>
              <w:spacing w:line="240" w:lineRule="auto" w:before="30" w:after="30"/>
              <w:jc w:val="center"/>
            </w:pPr>
            <w:r>
              <w:rPr>
                <w:b w:val="0"/>
                <w:i w:val="0"/>
                <w:sz w:val="12"/>
              </w:rPr>
              <w:t>[−0.099, −0.088]</w:t>
            </w:r>
          </w:p>
        </w:tc>
        <w:tc>
          <w:tcPr>
            <w:tcW w:type="dxa" w:w="879"/>
          </w:tcPr>
          <w:p>
            <w:pPr>
              <w:pStyle w:val="MDPI42tablebody"/>
              <w:keepNext/>
              <w:spacing w:line="240" w:lineRule="auto" w:before="30" w:after="30"/>
              <w:jc w:val="center"/>
            </w:pPr>
            <w:r>
              <w:rPr>
                <w:b w:val="0"/>
                <w:i w:val="0"/>
                <w:sz w:val="12"/>
              </w:rPr>
              <w:t>[−0.091, −0.072]</w:t>
            </w:r>
          </w:p>
        </w:tc>
        <w:tc>
          <w:tcPr>
            <w:tcW w:type="dxa" w:w="879"/>
          </w:tcPr>
          <w:p>
            <w:pPr>
              <w:pStyle w:val="MDPI42tablebody"/>
              <w:keepNext/>
              <w:spacing w:line="240" w:lineRule="auto" w:before="30" w:after="30"/>
              <w:jc w:val="center"/>
            </w:pPr>
            <w:r>
              <w:rPr>
                <w:b w:val="0"/>
                <w:i w:val="0"/>
                <w:sz w:val="12"/>
              </w:rPr>
              <w:t>[−0.075, −0.055]</w:t>
            </w:r>
          </w:p>
        </w:tc>
        <w:tc>
          <w:tcPr>
            <w:tcW w:type="dxa" w:w="879"/>
          </w:tcPr>
          <w:p>
            <w:pPr>
              <w:pStyle w:val="MDPI42tablebody"/>
              <w:keepNext/>
              <w:spacing w:line="240" w:lineRule="auto" w:before="30" w:after="30"/>
              <w:jc w:val="center"/>
            </w:pPr>
            <w:r>
              <w:rPr>
                <w:b w:val="0"/>
                <w:i w:val="0"/>
                <w:sz w:val="12"/>
              </w:rPr>
              <w:t>[−0.058, −0.040]</w:t>
            </w:r>
          </w:p>
        </w:tc>
        <w:tc>
          <w:tcPr>
            <w:tcW w:type="dxa" w:w="879"/>
          </w:tcPr>
          <w:p>
            <w:pPr>
              <w:pStyle w:val="MDPI42tablebody"/>
              <w:keepNext/>
              <w:spacing w:line="240" w:lineRule="auto" w:before="30" w:after="30"/>
              <w:jc w:val="center"/>
            </w:pPr>
            <w:r>
              <w:rPr>
                <w:b w:val="0"/>
                <w:i w:val="0"/>
                <w:sz w:val="12"/>
              </w:rPr>
              <w:t>[−0.045, −0.028]</w:t>
            </w:r>
          </w:p>
        </w:tc>
        <w:tc>
          <w:tcPr>
            <w:tcW w:type="dxa" w:w="879"/>
          </w:tcPr>
          <w:p>
            <w:pPr>
              <w:pStyle w:val="MDPI42tablebody"/>
              <w:keepNext/>
              <w:spacing w:line="240" w:lineRule="auto" w:before="30" w:after="30"/>
              <w:jc w:val="center"/>
            </w:pPr>
            <w:r>
              <w:rPr>
                <w:b w:val="0"/>
                <w:i w:val="0"/>
                <w:sz w:val="12"/>
              </w:rPr>
              <w:t>[−0.034, −0.020]</w:t>
            </w:r>
          </w:p>
        </w:tc>
        <w:tc>
          <w:tcPr>
            <w:tcW w:type="dxa" w:w="879"/>
          </w:tcPr>
          <w:p>
            <w:pPr>
              <w:pStyle w:val="MDPI42tablebody"/>
              <w:keepNext/>
              <w:spacing w:line="240" w:lineRule="auto" w:before="30" w:after="30"/>
              <w:jc w:val="center"/>
            </w:pPr>
            <w:r>
              <w:rPr>
                <w:b w:val="0"/>
                <w:i w:val="0"/>
                <w:sz w:val="12"/>
              </w:rPr>
              <w:t>[−0.025, −0.014]</w:t>
            </w:r>
          </w:p>
        </w:tc>
        <w:tc>
          <w:tcPr>
            <w:tcW w:type="dxa" w:w="879"/>
          </w:tcPr>
          <w:p>
            <w:pPr>
              <w:pStyle w:val="MDPI42tablebody"/>
              <w:keepNext/>
              <w:spacing w:line="240" w:lineRule="auto" w:before="30" w:after="30"/>
              <w:jc w:val="center"/>
            </w:pPr>
            <w:r>
              <w:rPr>
                <w:b w:val="0"/>
                <w:i w:val="0"/>
                <w:sz w:val="12"/>
              </w:rPr>
              <w:t>[−0.019, −0.010]</w:t>
            </w:r>
          </w:p>
        </w:tc>
        <w:tc>
          <w:tcPr>
            <w:tcW w:type="dxa" w:w="879"/>
          </w:tcPr>
          <w:p>
            <w:pPr>
              <w:pStyle w:val="MDPI42tablebody"/>
              <w:keepNext/>
              <w:spacing w:line="240" w:lineRule="auto" w:before="30" w:after="30"/>
              <w:jc w:val="center"/>
            </w:pPr>
            <w:r>
              <w:rPr>
                <w:b w:val="0"/>
                <w:i w:val="0"/>
                <w:sz w:val="12"/>
              </w:rPr>
              <w:t>[−0.014, −0.007]</w:t>
            </w:r>
          </w:p>
        </w:tc>
      </w:tr>
      <w:tr>
        <w:trPr>
          <w:cantSplit/>
        </w:trPr>
        <w:tc>
          <w:tcPr>
            <w:tcW w:type="dxa" w:w="2553"/>
          </w:tcPr>
          <w:p>
            <w:pPr>
              <w:pStyle w:val="MDPI42tablebody"/>
              <w:keepNext/>
              <w:spacing w:line="240" w:lineRule="auto" w:before="30" w:after="30"/>
              <w:jc w:val="left"/>
            </w:pPr>
            <w:r>
              <w:rPr>
                <w:b w:val="0"/>
                <w:i/>
                <w:sz w:val="12"/>
              </w:rPr>
              <w:t>GenAI to a Train shock</w:t>
            </w:r>
          </w:p>
        </w:tc>
        <w:tc>
          <w:tcPr>
            <w:tcW w:type="dxa" w:w="879"/>
          </w:tcPr>
          <w:p>
            <w:pPr>
              <w:pStyle w:val="MDPI42tablebody"/>
              <w:keepNext/>
              <w:spacing w:line="240" w:lineRule="auto" w:before="30" w:after="30"/>
              <w:jc w:val="center"/>
            </w:pPr>
            <w:r>
              <w:rPr>
                <w:b w:val="0"/>
                <w:i w:val="0"/>
                <w:sz w:val="12"/>
              </w:rPr>
              <w:t>0.000</w:t>
            </w:r>
          </w:p>
        </w:tc>
        <w:tc>
          <w:tcPr>
            <w:tcW w:type="dxa" w:w="879"/>
          </w:tcPr>
          <w:p>
            <w:pPr>
              <w:pStyle w:val="MDPI42tablebody"/>
              <w:keepNext/>
              <w:spacing w:line="240" w:lineRule="auto" w:before="30" w:after="30"/>
              <w:jc w:val="center"/>
            </w:pPr>
            <w:r>
              <w:rPr>
                <w:b w:val="0"/>
                <w:i w:val="0"/>
                <w:sz w:val="12"/>
              </w:rPr>
              <w:t>−0.185</w:t>
            </w:r>
          </w:p>
        </w:tc>
        <w:tc>
          <w:tcPr>
            <w:tcW w:type="dxa" w:w="879"/>
          </w:tcPr>
          <w:p>
            <w:pPr>
              <w:pStyle w:val="MDPI42tablebody"/>
              <w:keepNext/>
              <w:spacing w:line="240" w:lineRule="auto" w:before="30" w:after="30"/>
              <w:jc w:val="center"/>
            </w:pPr>
            <w:r>
              <w:rPr>
                <w:b w:val="0"/>
                <w:i w:val="0"/>
                <w:sz w:val="12"/>
              </w:rPr>
              <w:t>−0.204</w:t>
            </w:r>
          </w:p>
        </w:tc>
        <w:tc>
          <w:tcPr>
            <w:tcW w:type="dxa" w:w="879"/>
          </w:tcPr>
          <w:p>
            <w:pPr>
              <w:pStyle w:val="MDPI42tablebody"/>
              <w:keepNext/>
              <w:spacing w:line="240" w:lineRule="auto" w:before="30" w:after="30"/>
              <w:jc w:val="center"/>
            </w:pPr>
            <w:r>
              <w:rPr>
                <w:b w:val="0"/>
                <w:i w:val="0"/>
                <w:sz w:val="12"/>
              </w:rPr>
              <w:t>−0.174</w:t>
            </w:r>
          </w:p>
        </w:tc>
        <w:tc>
          <w:tcPr>
            <w:tcW w:type="dxa" w:w="879"/>
          </w:tcPr>
          <w:p>
            <w:pPr>
              <w:pStyle w:val="MDPI42tablebody"/>
              <w:keepNext/>
              <w:spacing w:line="240" w:lineRule="auto" w:before="30" w:after="30"/>
              <w:jc w:val="center"/>
            </w:pPr>
            <w:r>
              <w:rPr>
                <w:b w:val="0"/>
                <w:i w:val="0"/>
                <w:sz w:val="12"/>
              </w:rPr>
              <w:t>−0.135</w:t>
            </w:r>
          </w:p>
        </w:tc>
        <w:tc>
          <w:tcPr>
            <w:tcW w:type="dxa" w:w="879"/>
          </w:tcPr>
          <w:p>
            <w:pPr>
              <w:pStyle w:val="MDPI42tablebody"/>
              <w:keepNext/>
              <w:spacing w:line="240" w:lineRule="auto" w:before="30" w:after="30"/>
              <w:jc w:val="center"/>
            </w:pPr>
            <w:r>
              <w:rPr>
                <w:b w:val="0"/>
                <w:i w:val="0"/>
                <w:sz w:val="12"/>
              </w:rPr>
              <w:t>−0.102</w:t>
            </w:r>
          </w:p>
        </w:tc>
        <w:tc>
          <w:tcPr>
            <w:tcW w:type="dxa" w:w="879"/>
          </w:tcPr>
          <w:p>
            <w:pPr>
              <w:pStyle w:val="MDPI42tablebody"/>
              <w:keepNext/>
              <w:spacing w:line="240" w:lineRule="auto" w:before="30" w:after="30"/>
              <w:jc w:val="center"/>
            </w:pPr>
            <w:r>
              <w:rPr>
                <w:b w:val="0"/>
                <w:i w:val="0"/>
                <w:sz w:val="12"/>
              </w:rPr>
              <w:t>−0.075</w:t>
            </w:r>
          </w:p>
        </w:tc>
        <w:tc>
          <w:tcPr>
            <w:tcW w:type="dxa" w:w="879"/>
          </w:tcPr>
          <w:p>
            <w:pPr>
              <w:pStyle w:val="MDPI42tablebody"/>
              <w:keepNext/>
              <w:spacing w:line="240" w:lineRule="auto" w:before="30" w:after="30"/>
              <w:jc w:val="center"/>
            </w:pPr>
            <w:r>
              <w:rPr>
                <w:b w:val="0"/>
                <w:i w:val="0"/>
                <w:sz w:val="12"/>
              </w:rPr>
              <w:t>−0.055</w:t>
            </w:r>
          </w:p>
        </w:tc>
        <w:tc>
          <w:tcPr>
            <w:tcW w:type="dxa" w:w="879"/>
          </w:tcPr>
          <w:p>
            <w:pPr>
              <w:pStyle w:val="MDPI42tablebody"/>
              <w:keepNext/>
              <w:spacing w:line="240" w:lineRule="auto" w:before="30" w:after="30"/>
              <w:jc w:val="center"/>
            </w:pPr>
            <w:r>
              <w:rPr>
                <w:b w:val="0"/>
                <w:i w:val="0"/>
                <w:sz w:val="12"/>
              </w:rPr>
              <w:t>−0.040</w:t>
            </w:r>
          </w:p>
        </w:tc>
      </w:tr>
      <w:tr>
        <w:trPr>
          <w:cantSplit/>
        </w:trPr>
        <w:tc>
          <w:tcPr>
            <w:tcW w:type="dxa" w:w="2553"/>
          </w:tcPr>
          <w:p>
            <w:pPr>
              <w:pStyle w:val="MDPI42tablebody"/>
              <w:keepNext/>
              <w:spacing w:line="240" w:lineRule="auto" w:before="30" w:after="30"/>
              <w:jc w:val="left"/>
            </w:pPr>
          </w:p>
        </w:tc>
        <w:tc>
          <w:tcPr>
            <w:tcW w:type="dxa" w:w="879"/>
          </w:tcPr>
          <w:p>
            <w:pPr>
              <w:pStyle w:val="MDPI42tablebody"/>
              <w:keepNext/>
              <w:spacing w:line="240" w:lineRule="auto" w:before="30" w:after="30"/>
              <w:jc w:val="center"/>
            </w:pPr>
            <w:r>
              <w:rPr>
                <w:b w:val="0"/>
                <w:i w:val="0"/>
                <w:sz w:val="12"/>
              </w:rPr>
              <w:t>[0.000, 0.000]</w:t>
            </w:r>
          </w:p>
        </w:tc>
        <w:tc>
          <w:tcPr>
            <w:tcW w:type="dxa" w:w="879"/>
          </w:tcPr>
          <w:p>
            <w:pPr>
              <w:pStyle w:val="MDPI42tablebody"/>
              <w:keepNext/>
              <w:spacing w:line="240" w:lineRule="auto" w:before="30" w:after="30"/>
              <w:jc w:val="center"/>
            </w:pPr>
            <w:r>
              <w:rPr>
                <w:b w:val="0"/>
                <w:i w:val="0"/>
                <w:sz w:val="12"/>
              </w:rPr>
              <w:t>[−0.195, −0.176]</w:t>
            </w:r>
          </w:p>
        </w:tc>
        <w:tc>
          <w:tcPr>
            <w:tcW w:type="dxa" w:w="879"/>
          </w:tcPr>
          <w:p>
            <w:pPr>
              <w:pStyle w:val="MDPI42tablebody"/>
              <w:keepNext/>
              <w:spacing w:line="240" w:lineRule="auto" w:before="30" w:after="30"/>
              <w:jc w:val="center"/>
            </w:pPr>
            <w:r>
              <w:rPr>
                <w:b w:val="0"/>
                <w:i w:val="0"/>
                <w:sz w:val="12"/>
              </w:rPr>
              <w:t>[−0.216, −0.192]</w:t>
            </w:r>
          </w:p>
        </w:tc>
        <w:tc>
          <w:tcPr>
            <w:tcW w:type="dxa" w:w="879"/>
          </w:tcPr>
          <w:p>
            <w:pPr>
              <w:pStyle w:val="MDPI42tablebody"/>
              <w:keepNext/>
              <w:spacing w:line="240" w:lineRule="auto" w:before="30" w:after="30"/>
              <w:jc w:val="center"/>
            </w:pPr>
            <w:r>
              <w:rPr>
                <w:b w:val="0"/>
                <w:i w:val="0"/>
                <w:sz w:val="12"/>
              </w:rPr>
              <w:t>[−0.187, −0.161]</w:t>
            </w:r>
          </w:p>
        </w:tc>
        <w:tc>
          <w:tcPr>
            <w:tcW w:type="dxa" w:w="879"/>
          </w:tcPr>
          <w:p>
            <w:pPr>
              <w:pStyle w:val="MDPI42tablebody"/>
              <w:keepNext/>
              <w:spacing w:line="240" w:lineRule="auto" w:before="30" w:after="30"/>
              <w:jc w:val="center"/>
            </w:pPr>
            <w:r>
              <w:rPr>
                <w:b w:val="0"/>
                <w:i w:val="0"/>
                <w:sz w:val="12"/>
              </w:rPr>
              <w:t>[−0.149, −0.123]</w:t>
            </w:r>
          </w:p>
        </w:tc>
        <w:tc>
          <w:tcPr>
            <w:tcW w:type="dxa" w:w="879"/>
          </w:tcPr>
          <w:p>
            <w:pPr>
              <w:pStyle w:val="MDPI42tablebody"/>
              <w:keepNext/>
              <w:spacing w:line="240" w:lineRule="auto" w:before="30" w:after="30"/>
              <w:jc w:val="center"/>
            </w:pPr>
            <w:r>
              <w:rPr>
                <w:b w:val="0"/>
                <w:i w:val="0"/>
                <w:sz w:val="12"/>
              </w:rPr>
              <w:t>[−0.115, −0.090]</w:t>
            </w:r>
          </w:p>
        </w:tc>
        <w:tc>
          <w:tcPr>
            <w:tcW w:type="dxa" w:w="879"/>
          </w:tcPr>
          <w:p>
            <w:pPr>
              <w:pStyle w:val="MDPI42tablebody"/>
              <w:keepNext/>
              <w:spacing w:line="240" w:lineRule="auto" w:before="30" w:after="30"/>
              <w:jc w:val="center"/>
            </w:pPr>
            <w:r>
              <w:rPr>
                <w:b w:val="0"/>
                <w:i w:val="0"/>
                <w:sz w:val="12"/>
              </w:rPr>
              <w:t>[−0.087, −0.064]</w:t>
            </w:r>
          </w:p>
        </w:tc>
        <w:tc>
          <w:tcPr>
            <w:tcW w:type="dxa" w:w="879"/>
          </w:tcPr>
          <w:p>
            <w:pPr>
              <w:pStyle w:val="MDPI42tablebody"/>
              <w:keepNext/>
              <w:spacing w:line="240" w:lineRule="auto" w:before="30" w:after="30"/>
              <w:jc w:val="center"/>
            </w:pPr>
            <w:r>
              <w:rPr>
                <w:b w:val="0"/>
                <w:i w:val="0"/>
                <w:sz w:val="12"/>
              </w:rPr>
              <w:t>[−0.066, −0.045]</w:t>
            </w:r>
          </w:p>
        </w:tc>
        <w:tc>
          <w:tcPr>
            <w:tcW w:type="dxa" w:w="879"/>
          </w:tcPr>
          <w:p>
            <w:pPr>
              <w:pStyle w:val="MDPI42tablebody"/>
              <w:keepNext/>
              <w:spacing w:line="240" w:lineRule="auto" w:before="30" w:after="30"/>
              <w:jc w:val="center"/>
            </w:pPr>
            <w:r>
              <w:rPr>
                <w:b w:val="0"/>
                <w:i w:val="0"/>
                <w:sz w:val="12"/>
              </w:rPr>
              <w:t>[−0.049, −0.032]</w:t>
            </w:r>
          </w:p>
        </w:tc>
      </w:tr>
      <w:tr>
        <w:trPr>
          <w:cantSplit/>
        </w:trPr>
        <w:tc>
          <w:tcPr>
            <w:tcW w:type="dxa" w:w="2553"/>
          </w:tcPr>
          <w:p>
            <w:pPr>
              <w:pStyle w:val="MDPI42tablebody"/>
              <w:keepNext/>
              <w:spacing w:line="240" w:lineRule="auto" w:before="30" w:after="30"/>
              <w:jc w:val="left"/>
            </w:pPr>
            <w:r>
              <w:rPr>
                <w:b w:val="0"/>
                <w:i/>
                <w:sz w:val="12"/>
              </w:rPr>
              <w:t>GenAI to a Youth shock</w:t>
            </w:r>
          </w:p>
        </w:tc>
        <w:tc>
          <w:tcPr>
            <w:tcW w:type="dxa" w:w="879"/>
          </w:tcPr>
          <w:p>
            <w:pPr>
              <w:pStyle w:val="MDPI42tablebody"/>
              <w:keepNext/>
              <w:spacing w:line="240" w:lineRule="auto" w:before="30" w:after="30"/>
              <w:jc w:val="center"/>
            </w:pPr>
            <w:r>
              <w:rPr>
                <w:b w:val="0"/>
                <w:i w:val="0"/>
                <w:sz w:val="12"/>
              </w:rPr>
              <w:t>0.000</w:t>
            </w:r>
          </w:p>
        </w:tc>
        <w:tc>
          <w:tcPr>
            <w:tcW w:type="dxa" w:w="879"/>
          </w:tcPr>
          <w:p>
            <w:pPr>
              <w:pStyle w:val="MDPI42tablebody"/>
              <w:keepNext/>
              <w:spacing w:line="240" w:lineRule="auto" w:before="30" w:after="30"/>
              <w:jc w:val="center"/>
            </w:pPr>
            <w:r>
              <w:rPr>
                <w:b w:val="0"/>
                <w:i w:val="0"/>
                <w:sz w:val="12"/>
              </w:rPr>
              <w:t>−0.168</w:t>
            </w:r>
          </w:p>
        </w:tc>
        <w:tc>
          <w:tcPr>
            <w:tcW w:type="dxa" w:w="879"/>
          </w:tcPr>
          <w:p>
            <w:pPr>
              <w:pStyle w:val="MDPI42tablebody"/>
              <w:keepNext/>
              <w:spacing w:line="240" w:lineRule="auto" w:before="30" w:after="30"/>
              <w:jc w:val="center"/>
            </w:pPr>
            <w:r>
              <w:rPr>
                <w:b w:val="0"/>
                <w:i w:val="0"/>
                <w:sz w:val="12"/>
              </w:rPr>
              <w:t>−0.154</w:t>
            </w:r>
          </w:p>
        </w:tc>
        <w:tc>
          <w:tcPr>
            <w:tcW w:type="dxa" w:w="879"/>
          </w:tcPr>
          <w:p>
            <w:pPr>
              <w:pStyle w:val="MDPI42tablebody"/>
              <w:keepNext/>
              <w:spacing w:line="240" w:lineRule="auto" w:before="30" w:after="30"/>
              <w:jc w:val="center"/>
            </w:pPr>
            <w:r>
              <w:rPr>
                <w:b w:val="0"/>
                <w:i w:val="0"/>
                <w:sz w:val="12"/>
              </w:rPr>
              <w:t>−0.116</w:t>
            </w:r>
          </w:p>
        </w:tc>
        <w:tc>
          <w:tcPr>
            <w:tcW w:type="dxa" w:w="879"/>
          </w:tcPr>
          <w:p>
            <w:pPr>
              <w:pStyle w:val="MDPI42tablebody"/>
              <w:keepNext/>
              <w:spacing w:line="240" w:lineRule="auto" w:before="30" w:after="30"/>
              <w:jc w:val="center"/>
            </w:pPr>
            <w:r>
              <w:rPr>
                <w:b w:val="0"/>
                <w:i w:val="0"/>
                <w:sz w:val="12"/>
              </w:rPr>
              <w:t>−0.084</w:t>
            </w:r>
          </w:p>
        </w:tc>
        <w:tc>
          <w:tcPr>
            <w:tcW w:type="dxa" w:w="879"/>
          </w:tcPr>
          <w:p>
            <w:pPr>
              <w:pStyle w:val="MDPI42tablebody"/>
              <w:keepNext/>
              <w:spacing w:line="240" w:lineRule="auto" w:before="30" w:after="30"/>
              <w:jc w:val="center"/>
            </w:pPr>
            <w:r>
              <w:rPr>
                <w:b w:val="0"/>
                <w:i w:val="0"/>
                <w:sz w:val="12"/>
              </w:rPr>
              <w:t>−0.061</w:t>
            </w:r>
          </w:p>
        </w:tc>
        <w:tc>
          <w:tcPr>
            <w:tcW w:type="dxa" w:w="879"/>
          </w:tcPr>
          <w:p>
            <w:pPr>
              <w:pStyle w:val="MDPI42tablebody"/>
              <w:keepNext/>
              <w:spacing w:line="240" w:lineRule="auto" w:before="30" w:after="30"/>
              <w:jc w:val="center"/>
            </w:pPr>
            <w:r>
              <w:rPr>
                <w:b w:val="0"/>
                <w:i w:val="0"/>
                <w:sz w:val="12"/>
              </w:rPr>
              <w:t>−0.043</w:t>
            </w:r>
          </w:p>
        </w:tc>
        <w:tc>
          <w:tcPr>
            <w:tcW w:type="dxa" w:w="879"/>
          </w:tcPr>
          <w:p>
            <w:pPr>
              <w:pStyle w:val="MDPI42tablebody"/>
              <w:keepNext/>
              <w:spacing w:line="240" w:lineRule="auto" w:before="30" w:after="30"/>
              <w:jc w:val="center"/>
            </w:pPr>
            <w:r>
              <w:rPr>
                <w:b w:val="0"/>
                <w:i w:val="0"/>
                <w:sz w:val="12"/>
              </w:rPr>
              <w:t>−0.031</w:t>
            </w:r>
          </w:p>
        </w:tc>
        <w:tc>
          <w:tcPr>
            <w:tcW w:type="dxa" w:w="879"/>
          </w:tcPr>
          <w:p>
            <w:pPr>
              <w:pStyle w:val="MDPI42tablebody"/>
              <w:keepNext/>
              <w:spacing w:line="240" w:lineRule="auto" w:before="30" w:after="30"/>
              <w:jc w:val="center"/>
            </w:pPr>
            <w:r>
              <w:rPr>
                <w:b w:val="0"/>
                <w:i w:val="0"/>
                <w:sz w:val="12"/>
              </w:rPr>
              <w:t>−0.023</w:t>
            </w:r>
          </w:p>
        </w:tc>
      </w:tr>
      <w:tr>
        <w:trPr>
          <w:cantSplit/>
        </w:trPr>
        <w:tc>
          <w:tcPr>
            <w:tcW w:type="dxa" w:w="2553"/>
          </w:tcPr>
          <w:p>
            <w:pPr>
              <w:pStyle w:val="MDPI42tablebody"/>
              <w:keepNext/>
              <w:spacing w:line="240" w:lineRule="auto" w:before="30" w:after="30"/>
              <w:jc w:val="left"/>
            </w:pPr>
          </w:p>
        </w:tc>
        <w:tc>
          <w:tcPr>
            <w:tcW w:type="dxa" w:w="879"/>
          </w:tcPr>
          <w:p>
            <w:pPr>
              <w:pStyle w:val="MDPI42tablebody"/>
              <w:keepNext/>
              <w:spacing w:line="240" w:lineRule="auto" w:before="30" w:after="30"/>
              <w:jc w:val="center"/>
            </w:pPr>
            <w:r>
              <w:rPr>
                <w:b w:val="0"/>
                <w:i w:val="0"/>
                <w:sz w:val="12"/>
              </w:rPr>
              <w:t>[0.000, 0.000]</w:t>
            </w:r>
          </w:p>
        </w:tc>
        <w:tc>
          <w:tcPr>
            <w:tcW w:type="dxa" w:w="879"/>
          </w:tcPr>
          <w:p>
            <w:pPr>
              <w:pStyle w:val="MDPI42tablebody"/>
              <w:keepNext/>
              <w:spacing w:line="240" w:lineRule="auto" w:before="30" w:after="30"/>
              <w:jc w:val="center"/>
            </w:pPr>
            <w:r>
              <w:rPr>
                <w:b w:val="0"/>
                <w:i w:val="0"/>
                <w:sz w:val="12"/>
              </w:rPr>
              <w:t>[−0.177, −0.159]</w:t>
            </w:r>
          </w:p>
        </w:tc>
        <w:tc>
          <w:tcPr>
            <w:tcW w:type="dxa" w:w="879"/>
          </w:tcPr>
          <w:p>
            <w:pPr>
              <w:pStyle w:val="MDPI42tablebody"/>
              <w:keepNext/>
              <w:spacing w:line="240" w:lineRule="auto" w:before="30" w:after="30"/>
              <w:jc w:val="center"/>
            </w:pPr>
            <w:r>
              <w:rPr>
                <w:b w:val="0"/>
                <w:i w:val="0"/>
                <w:sz w:val="12"/>
              </w:rPr>
              <w:t>[−0.164, −0.144]</w:t>
            </w:r>
          </w:p>
        </w:tc>
        <w:tc>
          <w:tcPr>
            <w:tcW w:type="dxa" w:w="879"/>
          </w:tcPr>
          <w:p>
            <w:pPr>
              <w:pStyle w:val="MDPI42tablebody"/>
              <w:keepNext/>
              <w:spacing w:line="240" w:lineRule="auto" w:before="30" w:after="30"/>
              <w:jc w:val="center"/>
            </w:pPr>
            <w:r>
              <w:rPr>
                <w:b w:val="0"/>
                <w:i w:val="0"/>
                <w:sz w:val="12"/>
              </w:rPr>
              <w:t>[−0.126, −0.106]</w:t>
            </w:r>
          </w:p>
        </w:tc>
        <w:tc>
          <w:tcPr>
            <w:tcW w:type="dxa" w:w="879"/>
          </w:tcPr>
          <w:p>
            <w:pPr>
              <w:pStyle w:val="MDPI42tablebody"/>
              <w:keepNext/>
              <w:spacing w:line="240" w:lineRule="auto" w:before="30" w:after="30"/>
              <w:jc w:val="center"/>
            </w:pPr>
            <w:r>
              <w:rPr>
                <w:b w:val="0"/>
                <w:i w:val="0"/>
                <w:sz w:val="12"/>
              </w:rPr>
              <w:t>[−0.094, −0.075]</w:t>
            </w:r>
          </w:p>
        </w:tc>
        <w:tc>
          <w:tcPr>
            <w:tcW w:type="dxa" w:w="879"/>
          </w:tcPr>
          <w:p>
            <w:pPr>
              <w:pStyle w:val="MDPI42tablebody"/>
              <w:keepNext/>
              <w:spacing w:line="240" w:lineRule="auto" w:before="30" w:after="30"/>
              <w:jc w:val="center"/>
            </w:pPr>
            <w:r>
              <w:rPr>
                <w:b w:val="0"/>
                <w:i w:val="0"/>
                <w:sz w:val="12"/>
              </w:rPr>
              <w:t>[−0.070, −0.052]</w:t>
            </w:r>
          </w:p>
        </w:tc>
        <w:tc>
          <w:tcPr>
            <w:tcW w:type="dxa" w:w="879"/>
          </w:tcPr>
          <w:p>
            <w:pPr>
              <w:pStyle w:val="MDPI42tablebody"/>
              <w:keepNext/>
              <w:spacing w:line="240" w:lineRule="auto" w:before="30" w:after="30"/>
              <w:jc w:val="center"/>
            </w:pPr>
            <w:r>
              <w:rPr>
                <w:b w:val="0"/>
                <w:i w:val="0"/>
                <w:sz w:val="12"/>
              </w:rPr>
              <w:t>[−0.051, −0.036]</w:t>
            </w:r>
          </w:p>
        </w:tc>
        <w:tc>
          <w:tcPr>
            <w:tcW w:type="dxa" w:w="879"/>
          </w:tcPr>
          <w:p>
            <w:pPr>
              <w:pStyle w:val="MDPI42tablebody"/>
              <w:keepNext/>
              <w:spacing w:line="240" w:lineRule="auto" w:before="30" w:after="30"/>
              <w:jc w:val="center"/>
            </w:pPr>
            <w:r>
              <w:rPr>
                <w:b w:val="0"/>
                <w:i w:val="0"/>
                <w:sz w:val="12"/>
              </w:rPr>
              <w:t>[−0.038, −0.025]</w:t>
            </w:r>
          </w:p>
        </w:tc>
        <w:tc>
          <w:tcPr>
            <w:tcW w:type="dxa" w:w="879"/>
          </w:tcPr>
          <w:p>
            <w:pPr>
              <w:pStyle w:val="MDPI42tablebody"/>
              <w:keepNext/>
              <w:spacing w:line="240" w:lineRule="auto" w:before="30" w:after="30"/>
              <w:jc w:val="center"/>
            </w:pPr>
            <w:r>
              <w:rPr>
                <w:b w:val="0"/>
                <w:i w:val="0"/>
                <w:sz w:val="12"/>
              </w:rPr>
              <w:t>[−0.028, −0.017]</w:t>
            </w:r>
          </w:p>
        </w:tc>
      </w:tr>
      <w:tr>
        <w:trPr>
          <w:cantSplit/>
        </w:trPr>
        <w:tc>
          <w:tcPr>
            <w:tcW w:type="dxa" w:w="2553"/>
          </w:tcPr>
          <w:p>
            <w:pPr>
              <w:pStyle w:val="MDPI42tablebody"/>
              <w:keepNext/>
              <w:spacing w:line="240" w:lineRule="auto" w:before="30" w:after="30"/>
              <w:jc w:val="left"/>
            </w:pPr>
            <w:r>
              <w:rPr>
                <w:b w:val="0"/>
                <w:i/>
                <w:sz w:val="12"/>
              </w:rPr>
              <w:t>Cumulative Youth response, closed loop</w:t>
            </w:r>
          </w:p>
        </w:tc>
        <w:tc>
          <w:tcPr>
            <w:tcW w:type="dxa" w:w="879"/>
          </w:tcPr>
          <w:p>
            <w:pPr>
              <w:pStyle w:val="MDPI42tablebody"/>
              <w:keepNext/>
              <w:spacing w:line="240" w:lineRule="auto" w:before="30" w:after="30"/>
              <w:jc w:val="center"/>
            </w:pPr>
            <w:r>
              <w:rPr>
                <w:b w:val="0"/>
                <w:i w:val="0"/>
                <w:sz w:val="12"/>
              </w:rPr>
              <w:t>−0.395</w:t>
            </w:r>
          </w:p>
        </w:tc>
        <w:tc>
          <w:tcPr>
            <w:tcW w:type="dxa" w:w="879"/>
          </w:tcPr>
          <w:p>
            <w:pPr>
              <w:pStyle w:val="MDPI42tablebody"/>
              <w:keepNext/>
              <w:spacing w:line="240" w:lineRule="auto" w:before="30" w:after="30"/>
              <w:jc w:val="center"/>
            </w:pPr>
            <w:r>
              <w:rPr>
                <w:b w:val="0"/>
                <w:i w:val="0"/>
                <w:sz w:val="12"/>
              </w:rPr>
              <w:t>−0.941</w:t>
            </w:r>
          </w:p>
        </w:tc>
        <w:tc>
          <w:tcPr>
            <w:tcW w:type="dxa" w:w="879"/>
          </w:tcPr>
          <w:p>
            <w:pPr>
              <w:pStyle w:val="MDPI42tablebody"/>
              <w:keepNext/>
              <w:spacing w:line="240" w:lineRule="auto" w:before="30" w:after="30"/>
              <w:jc w:val="center"/>
            </w:pPr>
            <w:r>
              <w:rPr>
                <w:b w:val="0"/>
                <w:i w:val="0"/>
                <w:sz w:val="12"/>
              </w:rPr>
              <w:t>−1.389</w:t>
            </w:r>
          </w:p>
        </w:tc>
        <w:tc>
          <w:tcPr>
            <w:tcW w:type="dxa" w:w="879"/>
          </w:tcPr>
          <w:p>
            <w:pPr>
              <w:pStyle w:val="MDPI42tablebody"/>
              <w:keepNext/>
              <w:spacing w:line="240" w:lineRule="auto" w:before="30" w:after="30"/>
              <w:jc w:val="center"/>
            </w:pPr>
            <w:r>
              <w:rPr>
                <w:b w:val="0"/>
                <w:i w:val="0"/>
                <w:sz w:val="12"/>
              </w:rPr>
              <w:t>−1.721</w:t>
            </w:r>
          </w:p>
        </w:tc>
        <w:tc>
          <w:tcPr>
            <w:tcW w:type="dxa" w:w="879"/>
          </w:tcPr>
          <w:p>
            <w:pPr>
              <w:pStyle w:val="MDPI42tablebody"/>
              <w:keepNext/>
              <w:spacing w:line="240" w:lineRule="auto" w:before="30" w:after="30"/>
              <w:jc w:val="center"/>
            </w:pPr>
            <w:r>
              <w:rPr>
                <w:b w:val="0"/>
                <w:i w:val="0"/>
                <w:sz w:val="12"/>
              </w:rPr>
              <w:t>−1.962</w:t>
            </w:r>
          </w:p>
        </w:tc>
        <w:tc>
          <w:tcPr>
            <w:tcW w:type="dxa" w:w="879"/>
          </w:tcPr>
          <w:p>
            <w:pPr>
              <w:pStyle w:val="MDPI42tablebody"/>
              <w:keepNext/>
              <w:spacing w:line="240" w:lineRule="auto" w:before="30" w:after="30"/>
              <w:jc w:val="center"/>
            </w:pPr>
            <w:r>
              <w:rPr>
                <w:b w:val="0"/>
                <w:i w:val="0"/>
                <w:sz w:val="12"/>
              </w:rPr>
              <w:t>−2.136</w:t>
            </w:r>
          </w:p>
        </w:tc>
        <w:tc>
          <w:tcPr>
            <w:tcW w:type="dxa" w:w="879"/>
          </w:tcPr>
          <w:p>
            <w:pPr>
              <w:pStyle w:val="MDPI42tablebody"/>
              <w:keepNext/>
              <w:spacing w:line="240" w:lineRule="auto" w:before="30" w:after="30"/>
              <w:jc w:val="center"/>
            </w:pPr>
            <w:r>
              <w:rPr>
                <w:b w:val="0"/>
                <w:i w:val="0"/>
                <w:sz w:val="12"/>
              </w:rPr>
              <w:t>−2.261</w:t>
            </w:r>
          </w:p>
        </w:tc>
        <w:tc>
          <w:tcPr>
            <w:tcW w:type="dxa" w:w="879"/>
          </w:tcPr>
          <w:p>
            <w:pPr>
              <w:pStyle w:val="MDPI42tablebody"/>
              <w:keepNext/>
              <w:spacing w:line="240" w:lineRule="auto" w:before="30" w:after="30"/>
              <w:jc w:val="center"/>
            </w:pPr>
            <w:r>
              <w:rPr>
                <w:b w:val="0"/>
                <w:i w:val="0"/>
                <w:sz w:val="12"/>
              </w:rPr>
              <w:t>−2.351</w:t>
            </w:r>
          </w:p>
        </w:tc>
        <w:tc>
          <w:tcPr>
            <w:tcW w:type="dxa" w:w="879"/>
          </w:tcPr>
          <w:p>
            <w:pPr>
              <w:pStyle w:val="MDPI42tablebody"/>
              <w:keepNext/>
              <w:spacing w:line="240" w:lineRule="auto" w:before="30" w:after="30"/>
              <w:jc w:val="center"/>
            </w:pPr>
            <w:r>
              <w:rPr>
                <w:b w:val="0"/>
                <w:i w:val="0"/>
                <w:sz w:val="12"/>
              </w:rPr>
              <w:t>−2.416</w:t>
            </w:r>
          </w:p>
        </w:tc>
      </w:tr>
      <w:tr>
        <w:trPr>
          <w:cantSplit/>
        </w:trPr>
        <w:tc>
          <w:tcPr>
            <w:tcW w:type="dxa" w:w="2553"/>
          </w:tcPr>
          <w:p>
            <w:pPr>
              <w:pStyle w:val="MDPI42tablebody"/>
              <w:keepNext/>
              <w:spacing w:line="240" w:lineRule="auto" w:before="30" w:after="30"/>
              <w:jc w:val="left"/>
            </w:pPr>
            <w:r>
              <w:rPr>
                <w:b w:val="0"/>
                <w:i/>
                <w:sz w:val="12"/>
              </w:rPr>
              <w:t>Cumulative Youth response, loop suppressed</w:t>
            </w:r>
          </w:p>
        </w:tc>
        <w:tc>
          <w:tcPr>
            <w:tcW w:type="dxa" w:w="879"/>
          </w:tcPr>
          <w:p>
            <w:pPr>
              <w:pStyle w:val="MDPI42tablebody"/>
              <w:keepNext/>
              <w:spacing w:line="240" w:lineRule="auto" w:before="30" w:after="30"/>
              <w:jc w:val="center"/>
            </w:pPr>
            <w:r>
              <w:rPr>
                <w:b w:val="0"/>
                <w:i w:val="0"/>
                <w:sz w:val="12"/>
              </w:rPr>
              <w:t>−0.395</w:t>
            </w:r>
          </w:p>
        </w:tc>
        <w:tc>
          <w:tcPr>
            <w:tcW w:type="dxa" w:w="879"/>
          </w:tcPr>
          <w:p>
            <w:pPr>
              <w:pStyle w:val="MDPI42tablebody"/>
              <w:keepNext/>
              <w:spacing w:line="240" w:lineRule="auto" w:before="30" w:after="30"/>
              <w:jc w:val="center"/>
            </w:pPr>
            <w:r>
              <w:rPr>
                <w:b w:val="0"/>
                <w:i w:val="0"/>
                <w:sz w:val="12"/>
              </w:rPr>
              <w:t>−0.941</w:t>
            </w:r>
          </w:p>
        </w:tc>
        <w:tc>
          <w:tcPr>
            <w:tcW w:type="dxa" w:w="879"/>
          </w:tcPr>
          <w:p>
            <w:pPr>
              <w:pStyle w:val="MDPI42tablebody"/>
              <w:keepNext/>
              <w:spacing w:line="240" w:lineRule="auto" w:before="30" w:after="30"/>
              <w:jc w:val="center"/>
            </w:pPr>
            <w:r>
              <w:rPr>
                <w:b w:val="0"/>
                <w:i w:val="0"/>
                <w:sz w:val="12"/>
              </w:rPr>
              <w:t>−1.360</w:t>
            </w:r>
          </w:p>
        </w:tc>
        <w:tc>
          <w:tcPr>
            <w:tcW w:type="dxa" w:w="879"/>
          </w:tcPr>
          <w:p>
            <w:pPr>
              <w:pStyle w:val="MDPI42tablebody"/>
              <w:keepNext/>
              <w:spacing w:line="240" w:lineRule="auto" w:before="30" w:after="30"/>
              <w:jc w:val="center"/>
            </w:pPr>
            <w:r>
              <w:rPr>
                <w:b w:val="0"/>
                <w:i w:val="0"/>
                <w:sz w:val="12"/>
              </w:rPr>
              <w:t>−1.636</w:t>
            </w:r>
          </w:p>
        </w:tc>
        <w:tc>
          <w:tcPr>
            <w:tcW w:type="dxa" w:w="879"/>
          </w:tcPr>
          <w:p>
            <w:pPr>
              <w:pStyle w:val="MDPI42tablebody"/>
              <w:keepNext/>
              <w:spacing w:line="240" w:lineRule="auto" w:before="30" w:after="30"/>
              <w:jc w:val="center"/>
            </w:pPr>
            <w:r>
              <w:rPr>
                <w:b w:val="0"/>
                <w:i w:val="0"/>
                <w:sz w:val="12"/>
              </w:rPr>
              <w:t>−1.808</w:t>
            </w:r>
          </w:p>
        </w:tc>
        <w:tc>
          <w:tcPr>
            <w:tcW w:type="dxa" w:w="879"/>
          </w:tcPr>
          <w:p>
            <w:pPr>
              <w:pStyle w:val="MDPI42tablebody"/>
              <w:keepNext/>
              <w:spacing w:line="240" w:lineRule="auto" w:before="30" w:after="30"/>
              <w:jc w:val="center"/>
            </w:pPr>
            <w:r>
              <w:rPr>
                <w:b w:val="0"/>
                <w:i w:val="0"/>
                <w:sz w:val="12"/>
              </w:rPr>
              <w:t>−1.912</w:t>
            </w:r>
          </w:p>
        </w:tc>
        <w:tc>
          <w:tcPr>
            <w:tcW w:type="dxa" w:w="879"/>
          </w:tcPr>
          <w:p>
            <w:pPr>
              <w:pStyle w:val="MDPI42tablebody"/>
              <w:keepNext/>
              <w:spacing w:line="240" w:lineRule="auto" w:before="30" w:after="30"/>
              <w:jc w:val="center"/>
            </w:pPr>
            <w:r>
              <w:rPr>
                <w:b w:val="0"/>
                <w:i w:val="0"/>
                <w:sz w:val="12"/>
              </w:rPr>
              <w:t>−1.973</w:t>
            </w:r>
          </w:p>
        </w:tc>
        <w:tc>
          <w:tcPr>
            <w:tcW w:type="dxa" w:w="879"/>
          </w:tcPr>
          <w:p>
            <w:pPr>
              <w:pStyle w:val="MDPI42tablebody"/>
              <w:keepNext/>
              <w:spacing w:line="240" w:lineRule="auto" w:before="30" w:after="30"/>
              <w:jc w:val="center"/>
            </w:pPr>
            <w:r>
              <w:rPr>
                <w:b w:val="0"/>
                <w:i w:val="0"/>
                <w:sz w:val="12"/>
              </w:rPr>
              <w:t>−2.009</w:t>
            </w:r>
          </w:p>
        </w:tc>
        <w:tc>
          <w:tcPr>
            <w:tcW w:type="dxa" w:w="879"/>
          </w:tcPr>
          <w:p>
            <w:pPr>
              <w:pStyle w:val="MDPI42tablebody"/>
              <w:keepNext/>
              <w:spacing w:line="240" w:lineRule="auto" w:before="30" w:after="30"/>
              <w:jc w:val="center"/>
            </w:pPr>
            <w:r>
              <w:rPr>
                <w:b w:val="0"/>
                <w:i w:val="0"/>
                <w:sz w:val="12"/>
              </w:rPr>
              <w:t>−2.030</w:t>
            </w:r>
          </w:p>
        </w:tc>
      </w:tr>
      <w:tr>
        <w:trPr>
          <w:cantSplit/>
        </w:trPr>
        <w:tc>
          <w:tcPr>
            <w:tcW w:type="dxa" w:w="2553"/>
          </w:tcPr>
          <w:p>
            <w:pPr>
              <w:pStyle w:val="MDPI42tablebody"/>
              <w:spacing w:line="240" w:lineRule="auto" w:before="30" w:after="30"/>
              <w:jc w:val="left"/>
            </w:pPr>
            <w:r>
              <w:rPr>
                <w:b w:val="0"/>
                <w:i/>
                <w:sz w:val="12"/>
              </w:rPr>
              <w:t>Amplification factor</w:t>
            </w:r>
          </w:p>
        </w:tc>
        <w:tc>
          <w:tcPr>
            <w:tcW w:type="dxa" w:w="879"/>
          </w:tcPr>
          <w:p>
            <w:pPr>
              <w:pStyle w:val="MDPI42tablebody"/>
              <w:spacing w:line="240" w:lineRule="auto" w:before="30" w:after="30"/>
              <w:jc w:val="center"/>
            </w:pPr>
            <w:r>
              <w:rPr>
                <w:b w:val="0"/>
                <w:i w:val="0"/>
                <w:sz w:val="12"/>
              </w:rPr>
              <w:t>1.000</w:t>
            </w:r>
          </w:p>
        </w:tc>
        <w:tc>
          <w:tcPr>
            <w:tcW w:type="dxa" w:w="879"/>
          </w:tcPr>
          <w:p>
            <w:pPr>
              <w:pStyle w:val="MDPI42tablebody"/>
              <w:spacing w:line="240" w:lineRule="auto" w:before="30" w:after="30"/>
              <w:jc w:val="center"/>
            </w:pPr>
            <w:r>
              <w:rPr>
                <w:b w:val="0"/>
                <w:i w:val="0"/>
                <w:sz w:val="12"/>
              </w:rPr>
              <w:t>1.000</w:t>
            </w:r>
          </w:p>
        </w:tc>
        <w:tc>
          <w:tcPr>
            <w:tcW w:type="dxa" w:w="879"/>
          </w:tcPr>
          <w:p>
            <w:pPr>
              <w:pStyle w:val="MDPI42tablebody"/>
              <w:spacing w:line="240" w:lineRule="auto" w:before="30" w:after="30"/>
              <w:jc w:val="center"/>
            </w:pPr>
            <w:r>
              <w:rPr>
                <w:b w:val="0"/>
                <w:i w:val="0"/>
                <w:sz w:val="12"/>
              </w:rPr>
              <w:t>1.021</w:t>
            </w:r>
          </w:p>
        </w:tc>
        <w:tc>
          <w:tcPr>
            <w:tcW w:type="dxa" w:w="879"/>
          </w:tcPr>
          <w:p>
            <w:pPr>
              <w:pStyle w:val="MDPI42tablebody"/>
              <w:spacing w:line="240" w:lineRule="auto" w:before="30" w:after="30"/>
              <w:jc w:val="center"/>
            </w:pPr>
            <w:r>
              <w:rPr>
                <w:b w:val="0"/>
                <w:i w:val="0"/>
                <w:sz w:val="12"/>
              </w:rPr>
              <w:t>1.052</w:t>
            </w:r>
          </w:p>
        </w:tc>
        <w:tc>
          <w:tcPr>
            <w:tcW w:type="dxa" w:w="879"/>
          </w:tcPr>
          <w:p>
            <w:pPr>
              <w:pStyle w:val="MDPI42tablebody"/>
              <w:spacing w:line="240" w:lineRule="auto" w:before="30" w:after="30"/>
              <w:jc w:val="center"/>
            </w:pPr>
            <w:r>
              <w:rPr>
                <w:b w:val="0"/>
                <w:i w:val="0"/>
                <w:sz w:val="12"/>
              </w:rPr>
              <w:t>1.085</w:t>
            </w:r>
          </w:p>
        </w:tc>
        <w:tc>
          <w:tcPr>
            <w:tcW w:type="dxa" w:w="879"/>
          </w:tcPr>
          <w:p>
            <w:pPr>
              <w:pStyle w:val="MDPI42tablebody"/>
              <w:spacing w:line="240" w:lineRule="auto" w:before="30" w:after="30"/>
              <w:jc w:val="center"/>
            </w:pPr>
            <w:r>
              <w:rPr>
                <w:b w:val="0"/>
                <w:i w:val="0"/>
                <w:sz w:val="12"/>
              </w:rPr>
              <w:t>1.117</w:t>
            </w:r>
          </w:p>
        </w:tc>
        <w:tc>
          <w:tcPr>
            <w:tcW w:type="dxa" w:w="879"/>
          </w:tcPr>
          <w:p>
            <w:pPr>
              <w:pStyle w:val="MDPI42tablebody"/>
              <w:spacing w:line="240" w:lineRule="auto" w:before="30" w:after="30"/>
              <w:jc w:val="center"/>
            </w:pPr>
            <w:r>
              <w:rPr>
                <w:b w:val="0"/>
                <w:i w:val="0"/>
                <w:sz w:val="12"/>
              </w:rPr>
              <w:t>1.146</w:t>
            </w:r>
          </w:p>
        </w:tc>
        <w:tc>
          <w:tcPr>
            <w:tcW w:type="dxa" w:w="879"/>
          </w:tcPr>
          <w:p>
            <w:pPr>
              <w:pStyle w:val="MDPI42tablebody"/>
              <w:spacing w:line="240" w:lineRule="auto" w:before="30" w:after="30"/>
              <w:jc w:val="center"/>
            </w:pPr>
            <w:r>
              <w:rPr>
                <w:b w:val="0"/>
                <w:i w:val="0"/>
                <w:sz w:val="12"/>
              </w:rPr>
              <w:t>1.170</w:t>
            </w:r>
          </w:p>
        </w:tc>
        <w:tc>
          <w:tcPr>
            <w:tcW w:type="dxa" w:w="879"/>
          </w:tcPr>
          <w:p>
            <w:pPr>
              <w:pStyle w:val="MDPI42tablebody"/>
              <w:spacing w:line="240" w:lineRule="auto" w:before="30" w:after="30"/>
              <w:jc w:val="center"/>
            </w:pPr>
            <w:r>
              <w:rPr>
                <w:b w:val="0"/>
                <w:i w:val="0"/>
                <w:sz w:val="12"/>
              </w:rPr>
              <w:t>1.190</w:t>
            </w:r>
          </w:p>
        </w:tc>
      </w:tr>
    </w:tbl>
    <w:p>
      <w:pPr>
        <w:pStyle w:val="MDPI43tablefooter"/>
        <w:spacing w:line="240" w:lineRule="auto" w:before="40" w:after="200"/>
        <w:ind w:left="2608" w:firstLine="0"/>
      </w:pPr>
      <w:r>
        <w:rPr>
          <w:sz w:val="16"/>
        </w:rPr>
        <w:t xml:space="preserve">Note: </w:t>
      </w:r>
      <w:r>
        <w:rPr>
          <w:b w:val="0"/>
          <w:i w:val="0"/>
          <w:sz w:val="16"/>
        </w:rPr>
        <w:t>Responses are orthogonalized by a Cholesky decomposition with the variables ordered GenAI, Train, Youth, so that adoption may move the other two contemporaneously but not the reverse. Figures in square brackets are 90% bootstrap intervals. The loop-suppressed path sets the two return coefficients of the GenAI equation to zero and re-simulates the system; the amplification factor is the ratio of the two cumulative paths. Source: authors’ own calculations.</w:t>
      </w:r>
    </w:p>
    <w:p>
      <w:pPr>
        <w:pStyle w:val="MDPI21heading1"/>
      </w:pPr>
      <w:r>
        <w:t>5. Discussion and Implications</w:t>
      </w:r>
    </w:p>
    <w:p>
      <w:pPr>
        <w:pStyle w:val="MDPI22heading2"/>
      </w:pPr>
      <w:r>
        <w:t>5.1. The Displacement of Entry-Level Labor (H1)</w:t>
      </w:r>
    </w:p>
    <w:p>
      <w:pPr>
        <w:pStyle w:val="MDPI32textnoindent"/>
      </w:pPr>
      <w:r>
        <w:rPr>
          <w:b w:val="0"/>
          <w:i w:val="0"/>
        </w:rPr>
        <w:t xml:space="preserve">Hypothesis 1 was confirmed. Generative artificial intelligence adoption reduces the youth employment share of the adopting firm, by 1.74 percentage points per standard deviation of adoption intensity, and the estimate survives the replacement of the year effects with industry-by-year and province-by-year effects, an overidentified instrumental-variable design, propensity score matching, entropy balancing and six robustness specifications. The result is consistent with the exposure evidence of Refs. </w:t>
      </w:r>
      <w:r>
        <w:t>[</w:t>
      </w:r>
      <w:r>
        <w:fldChar w:fldCharType="begin"/>
      </w:r>
      <w:r>
        <w:instrText xml:space="preserve"> REF _Ref_15 \h </w:instrText>
      </w:r>
      <w:r>
        <w:fldChar w:fldCharType="separate"/>
      </w:r>
      <w:r>
        <w:t>15</w:t>
      </w:r>
      <w:r>
        <w:fldChar w:fldCharType="end"/>
      </w:r>
      <w:r>
        <w:t>]</w:t>
      </w:r>
      <w:r>
        <w:rPr>
          <w:b w:val="0"/>
          <w:i w:val="0"/>
        </w:rPr>
        <w:t xml:space="preserve"> and </w:t>
      </w:r>
      <w:r>
        <w:t>[</w:t>
      </w:r>
      <w:r>
        <w:fldChar w:fldCharType="begin"/>
      </w:r>
      <w:r>
        <w:instrText xml:space="preserve"> REF _Ref_16 \h </w:instrText>
      </w:r>
      <w:r>
        <w:fldChar w:fldCharType="separate"/>
      </w:r>
      <w:r>
        <w:t>16</w:t>
      </w:r>
      <w:r>
        <w:fldChar w:fldCharType="end"/>
      </w:r>
      <w:r>
        <w:t>]</w:t>
      </w:r>
      <w:r>
        <w:rPr>
          <w:b w:val="0"/>
          <w:i w:val="0"/>
        </w:rPr>
        <w:t xml:space="preserve"> and with the aggregate relative decline in young workers’ employment documented by Ref. </w:t>
      </w:r>
      <w:r>
        <w:t>[</w:t>
      </w:r>
      <w:r>
        <w:fldChar w:fldCharType="begin"/>
      </w:r>
      <w:r>
        <w:instrText xml:space="preserve"> REF _Ref_17 \h </w:instrText>
      </w:r>
      <w:r>
        <w:fldChar w:fldCharType="separate"/>
      </w:r>
      <w:r>
        <w:t>17</w:t>
      </w:r>
      <w:r>
        <w:fldChar w:fldCharType="end"/>
      </w:r>
      <w:r>
        <w:t>]</w:t>
      </w:r>
      <w:r>
        <w:rPr>
          <w:b w:val="0"/>
          <w:i w:val="0"/>
        </w:rPr>
        <w:t>, and it locates that decline inside the firm, where the hiring decision is actually taken. The placebo result is what gives the finding its interpretive force: the effect on employees aged 31 to 50 is 11.2 times smaller, so what the estimates capture is not a general contraction of employment but a change in its age composition.</w:t>
      </w:r>
    </w:p>
    <w:p>
      <w:pPr>
        <w:pStyle w:val="MDPI22heading2"/>
      </w:pPr>
      <w:r>
        <w:t>5.2. Two Mechanisms of Displacement (H2 and H3)</w:t>
      </w:r>
    </w:p>
    <w:p>
      <w:pPr>
        <w:pStyle w:val="MDPI32textnoindent"/>
      </w:pPr>
      <w:r>
        <w:rPr>
          <w:b w:val="0"/>
          <w:i w:val="0"/>
        </w:rPr>
        <w:t xml:space="preserve">Hypotheses 2 and 3 were both supported, and their relative sizes carry a message that neither hypothesis alone conveys. The contraction of the routine task base accounts for 22.3 percent of the total effect, which is the mechanism the task-based framework of Refs. </w:t>
      </w:r>
      <w:r>
        <w:t>[</w:t>
      </w:r>
      <w:r>
        <w:fldChar w:fldCharType="begin"/>
      </w:r>
      <w:r>
        <w:instrText xml:space="preserve"> REF _Ref_19 \h </w:instrText>
      </w:r>
      <w:r>
        <w:fldChar w:fldCharType="separate"/>
      </w:r>
      <w:r>
        <w:t>19</w:t>
      </w:r>
      <w:r>
        <w:fldChar w:fldCharType="end"/>
      </w:r>
      <w:r>
        <w:t>]</w:t>
      </w:r>
      <w:r>
        <w:rPr>
          <w:b w:val="0"/>
          <w:i w:val="0"/>
        </w:rPr>
        <w:t xml:space="preserve"> and </w:t>
      </w:r>
      <w:r>
        <w:t>[</w:t>
      </w:r>
      <w:r>
        <w:fldChar w:fldCharType="begin"/>
      </w:r>
      <w:r>
        <w:instrText xml:space="preserve"> REF _Ref_44 \h </w:instrText>
      </w:r>
      <w:r>
        <w:fldChar w:fldCharType="separate"/>
      </w:r>
      <w:r>
        <w:t>44</w:t>
      </w:r>
      <w:r>
        <w:fldChar w:fldCharType="end"/>
      </w:r>
      <w:r>
        <w:t>]</w:t>
      </w:r>
      <w:r>
        <w:rPr>
          <w:b w:val="0"/>
          <w:i w:val="0"/>
        </w:rPr>
        <w:t xml:space="preserve"> predicts and which most of the existing literature assumes to be the whole story. The suppression of training investment accounts for a further 12.5 percent, a channel that the task-based framework does not contain at all, because it treats labor as an input to be allocated rather than an asset to be produced. This second channel is the point at which the labor economics of automation meets the organizational learning tradition of Refs. </w:t>
      </w:r>
      <w:r>
        <w:t>[</w:t>
      </w:r>
      <w:r>
        <w:fldChar w:fldCharType="begin"/>
      </w:r>
      <w:r>
        <w:instrText xml:space="preserve"> REF _Ref_32 \h </w:instrText>
      </w:r>
      <w:r>
        <w:fldChar w:fldCharType="separate"/>
      </w:r>
      <w:r>
        <w:t>32</w:t>
      </w:r>
      <w:r>
        <w:fldChar w:fldCharType="end"/>
      </w:r>
      <w:r>
        <w:t>]</w:t>
      </w:r>
      <w:r>
        <w:rPr>
          <w:b w:val="0"/>
          <w:i w:val="0"/>
        </w:rPr>
        <w:t xml:space="preserve"> and </w:t>
      </w:r>
      <w:r>
        <w:t>[</w:t>
      </w:r>
      <w:r>
        <w:fldChar w:fldCharType="begin"/>
      </w:r>
      <w:r>
        <w:instrText xml:space="preserve"> REF _Ref_36 \h </w:instrText>
      </w:r>
      <w:r>
        <w:fldChar w:fldCharType="separate"/>
      </w:r>
      <w:r>
        <w:t>36</w:t>
      </w:r>
      <w:r>
        <w:fldChar w:fldCharType="end"/>
      </w:r>
      <w:r>
        <w:t>]</w:t>
      </w:r>
      <w:r>
        <w:rPr>
          <w:b w:val="0"/>
          <w:i w:val="0"/>
        </w:rPr>
        <w:t xml:space="preserve">. A firm that reduces its training outlay when it adopts is not merely hiring fewer juniors this year; it is dismantling the apparatus by which it converts juniors into seniors, which is precisely the asset that Refs. </w:t>
      </w:r>
      <w:r>
        <w:t>[</w:t>
      </w:r>
      <w:r>
        <w:fldChar w:fldCharType="begin"/>
      </w:r>
      <w:r>
        <w:instrText xml:space="preserve"> REF _Ref_28 \h </w:instrText>
      </w:r>
      <w:r>
        <w:fldChar w:fldCharType="separate"/>
      </w:r>
      <w:r>
        <w:t>28</w:t>
      </w:r>
      <w:r>
        <w:fldChar w:fldCharType="end"/>
      </w:r>
      <w:r>
        <w:t>]</w:t>
      </w:r>
      <w:r>
        <w:rPr>
          <w:b w:val="0"/>
          <w:i w:val="0"/>
        </w:rPr>
        <w:t xml:space="preserve"> and </w:t>
      </w:r>
      <w:r>
        <w:t>[</w:t>
      </w:r>
      <w:r>
        <w:fldChar w:fldCharType="begin"/>
      </w:r>
      <w:r>
        <w:instrText xml:space="preserve"> REF _Ref_29 \h </w:instrText>
      </w:r>
      <w:r>
        <w:fldChar w:fldCharType="separate"/>
      </w:r>
      <w:r>
        <w:t>29</w:t>
      </w:r>
      <w:r>
        <w:fldChar w:fldCharType="end"/>
      </w:r>
      <w:r>
        <w:t>]</w:t>
      </w:r>
      <w:r>
        <w:rPr>
          <w:b w:val="0"/>
          <w:i w:val="0"/>
        </w:rPr>
        <w:t xml:space="preserve"> identified as unavailable on the external market.</w:t>
      </w:r>
    </w:p>
    <w:p>
      <w:pPr>
        <w:pStyle w:val="MDPI22heading2"/>
      </w:pPr>
      <w:r>
        <w:t>5.3. What Weakens and What Sharpens the Effect (H4a and H4b)</w:t>
      </w:r>
    </w:p>
    <w:p>
      <w:pPr>
        <w:pStyle w:val="MDPI32textnoindent"/>
      </w:pPr>
      <w:r>
        <w:rPr>
          <w:b w:val="0"/>
          <w:i w:val="0"/>
        </w:rPr>
        <w:t xml:space="preserve">Hypotheses 4a and 4b were both validated. The displacement is roughly halved in firms one standard deviation above the mean of organizational learning capability and correspondingly deepened in firms above the mean of relative labor cost, and the two conditions operate independently. This is the empirical content of the socio-technical proposition that the technical and social subsystems must be jointly optimized </w:t>
      </w:r>
      <w:r>
        <w:t>[</w:t>
      </w:r>
      <w:r>
        <w:fldChar w:fldCharType="begin"/>
      </w:r>
      <w:r>
        <w:instrText xml:space="preserve"> REF _Ref_39 \h </w:instrText>
      </w:r>
      <w:r>
        <w:fldChar w:fldCharType="separate"/>
      </w:r>
      <w:r>
        <w:t>39</w:t>
      </w:r>
      <w:r>
        <w:fldChar w:fldCharType="end"/>
      </w:r>
      <w:r>
        <w:t>,</w:t>
      </w:r>
      <w:r>
        <w:fldChar w:fldCharType="begin"/>
      </w:r>
      <w:r>
        <w:instrText xml:space="preserve"> REF _Ref_40 \h </w:instrText>
      </w:r>
      <w:r>
        <w:fldChar w:fldCharType="separate"/>
      </w:r>
      <w:r>
        <w:t>40</w:t>
      </w:r>
      <w:r>
        <w:fldChar w:fldCharType="end"/>
      </w:r>
      <w:r>
        <w:t>]</w:t>
      </w:r>
      <w:r>
        <w:rPr>
          <w:b w:val="0"/>
          <w:i w:val="0"/>
        </w:rPr>
        <w:t>: the same technology, adopted at the same measured intensity, produces materially different employment outcomes depending on the organizational capacity that receives it. The heterogeneity results in Section 4.7 reinforce the reading. Industry classification, which proxies for learning capability only loosely, does not discriminate between firms, whereas the direct measure does; and the labor-intensity split, which proxies for the size of the routine task base, discriminates sharply. The determinants of the outcome are firm-level and, in the case of learning capability, constructible.</w:t>
      </w:r>
    </w:p>
    <w:p>
      <w:pPr>
        <w:pStyle w:val="MDPI22heading2"/>
      </w:pPr>
      <w:r>
        <w:t>5.4. The Reinforcing Loop and the Capability Trap (H5)</w:t>
      </w:r>
    </w:p>
    <w:p>
      <w:pPr>
        <w:pStyle w:val="MDPI32textnoindent"/>
      </w:pPr>
      <w:r>
        <w:rPr>
          <w:b w:val="0"/>
          <w:i w:val="0"/>
        </w:rPr>
        <w:t xml:space="preserve">Hypothesis 5 is strongly supported by the system estimates, and it is the finding on which the contribution of this paper rests. The two return arcs are negative and significant: a firm whose training investment has fallen, and whose youth cohort has thinned, adopts more generative artificial intelligence in the following year. The structure is exactly the capability trap described by Ref. </w:t>
      </w:r>
      <w:r>
        <w:t>[</w:t>
      </w:r>
      <w:r>
        <w:fldChar w:fldCharType="begin"/>
      </w:r>
      <w:r>
        <w:instrText xml:space="preserve"> REF _Ref_34 \h </w:instrText>
      </w:r>
      <w:r>
        <w:fldChar w:fldCharType="separate"/>
      </w:r>
      <w:r>
        <w:t>34</w:t>
      </w:r>
      <w:r>
        <w:fldChar w:fldCharType="end"/>
      </w:r>
      <w:r>
        <w:t>]</w:t>
      </w:r>
      <w:r>
        <w:rPr>
          <w:b w:val="0"/>
          <w:i w:val="0"/>
        </w:rPr>
        <w:t xml:space="preserve"> and formalized by Ref. </w:t>
      </w:r>
      <w:r>
        <w:t>[</w:t>
      </w:r>
      <w:r>
        <w:fldChar w:fldCharType="begin"/>
      </w:r>
      <w:r>
        <w:instrText xml:space="preserve"> REF _Ref_35 \h </w:instrText>
      </w:r>
      <w:r>
        <w:fldChar w:fldCharType="separate"/>
      </w:r>
      <w:r>
        <w:t>35</w:t>
      </w:r>
      <w:r>
        <w:fldChar w:fldCharType="end"/>
      </w:r>
      <w:r>
        <w:t>]</w:t>
      </w:r>
      <w:r>
        <w:rPr>
          <w:b w:val="0"/>
          <w:i w:val="0"/>
        </w:rPr>
        <w:t xml:space="preserve">. A short-run fix and a long-run capability investment compete for the same managerial attention; the fix pays immediately and the investment pays late; choosing the fix degrades the capability whose weakness makes the fix attractive; and the pull toward the fix is therefore stronger next period than it was this period. No step in this sequence requires a mistake. The pathology is a property of the loop, not of the decision-maker, which is why the loop and not the decision is the object of intervention </w:t>
      </w:r>
      <w:r>
        <w:t>[</w:t>
      </w:r>
      <w:r>
        <w:fldChar w:fldCharType="begin"/>
      </w:r>
      <w:r>
        <w:instrText xml:space="preserve"> REF _Ref_70 \h </w:instrText>
      </w:r>
      <w:r>
        <w:fldChar w:fldCharType="separate"/>
      </w:r>
      <w:r>
        <w:t>70</w:t>
      </w:r>
      <w:r>
        <w:fldChar w:fldCharType="end"/>
      </w:r>
      <w:r>
        <w:t>]</w:t>
      </w:r>
      <w:r>
        <w:rPr>
          <w:b w:val="0"/>
          <w:i w:val="0"/>
        </w:rPr>
        <w:t>.</w:t>
      </w:r>
    </w:p>
    <w:p>
      <w:pPr>
        <w:pStyle w:val="MDPI31text"/>
      </w:pPr>
      <w:r>
        <w:rPr>
          <w:b w:val="0"/>
          <w:i w:val="0"/>
        </w:rPr>
        <w:t xml:space="preserve">The quantitative content is that the loop adds 19.0 percent to the eight-year cumulative displacement. Two readings follow. The first is methodological: any estimate of the effect of generative artificial intelligence on youth employment obtained from a single equation understates the total effect by roughly this margin, because it holds constant a variable that the outcome itself moves. The second is substantive: because the largest eigenvalue is 0.722 rather than greater than one, the trap is bounded, the accumulation converges, and an intervention that cuts the return arc, rather than one that resists the initial adoption, returns the system to the smaller open-loop path. This is what a leverage point means in the systems sense: a place where a small structural change produces a large behavioral change, identified from the structure of the loop rather than from the size of any single coefficient </w:t>
      </w:r>
      <w:r>
        <w:t>[</w:t>
      </w:r>
      <w:r>
        <w:fldChar w:fldCharType="begin"/>
      </w:r>
      <w:r>
        <w:instrText xml:space="preserve"> REF _Ref_68 \h </w:instrText>
      </w:r>
      <w:r>
        <w:fldChar w:fldCharType="separate"/>
      </w:r>
      <w:r>
        <w:t>68</w:t>
      </w:r>
      <w:r>
        <w:fldChar w:fldCharType="end"/>
      </w:r>
      <w:r>
        <w:t>,</w:t>
      </w:r>
      <w:r>
        <w:fldChar w:fldCharType="begin"/>
      </w:r>
      <w:r>
        <w:instrText xml:space="preserve"> REF _Ref_70 \h </w:instrText>
      </w:r>
      <w:r>
        <w:fldChar w:fldCharType="separate"/>
      </w:r>
      <w:r>
        <w:t>70</w:t>
      </w:r>
      <w:r>
        <w:fldChar w:fldCharType="end"/>
      </w:r>
      <w:r>
        <w:t>,</w:t>
      </w:r>
      <w:r>
        <w:fldChar w:fldCharType="begin"/>
      </w:r>
      <w:r>
        <w:instrText xml:space="preserve"> REF _Ref_71 \h </w:instrText>
      </w:r>
      <w:r>
        <w:fldChar w:fldCharType="separate"/>
      </w:r>
      <w:r>
        <w:t>71</w:t>
      </w:r>
      <w:r>
        <w:fldChar w:fldCharType="end"/>
      </w:r>
      <w:r>
        <w:t>]</w:t>
      </w:r>
      <w:r>
        <w:rPr>
          <w:b w:val="0"/>
          <w:i w:val="0"/>
        </w:rPr>
        <w:t>.</w:t>
      </w:r>
    </w:p>
    <w:p>
      <w:pPr>
        <w:pStyle w:val="MDPI22heading2"/>
      </w:pPr>
      <w:r>
        <w:t>5.5. Theoretical Contributions</w:t>
      </w:r>
    </w:p>
    <w:p>
      <w:pPr>
        <w:pStyle w:val="MDPI32textnoindent"/>
      </w:pPr>
      <w:r>
        <w:rPr>
          <w:b w:val="0"/>
          <w:i w:val="0"/>
        </w:rPr>
        <w:t xml:space="preserve">This study makes three theoretical contributions. First, it reconceptualizes the relationship between generative artificial intelligence and youth employment as a feedback structure rather than a treatment effect, and supplies the first firm-level estimate of the return arc together with a measure of the amplification it produces. This extends the task-based framework of Refs. </w:t>
      </w:r>
      <w:r>
        <w:t>[</w:t>
      </w:r>
      <w:r>
        <w:fldChar w:fldCharType="begin"/>
      </w:r>
      <w:r>
        <w:instrText xml:space="preserve"> REF _Ref_19 \h </w:instrText>
      </w:r>
      <w:r>
        <w:fldChar w:fldCharType="separate"/>
      </w:r>
      <w:r>
        <w:t>19</w:t>
      </w:r>
      <w:r>
        <w:fldChar w:fldCharType="end"/>
      </w:r>
      <w:r>
        <w:t>]</w:t>
      </w:r>
      <w:r>
        <w:rPr>
          <w:b w:val="0"/>
          <w:i w:val="0"/>
        </w:rPr>
        <w:t xml:space="preserve"> and </w:t>
      </w:r>
      <w:r>
        <w:t>[</w:t>
      </w:r>
      <w:r>
        <w:fldChar w:fldCharType="begin"/>
      </w:r>
      <w:r>
        <w:instrText xml:space="preserve"> REF _Ref_20 \h </w:instrText>
      </w:r>
      <w:r>
        <w:fldChar w:fldCharType="separate"/>
      </w:r>
      <w:r>
        <w:t>20</w:t>
      </w:r>
      <w:r>
        <w:fldChar w:fldCharType="end"/>
      </w:r>
      <w:r>
        <w:t>]</w:t>
      </w:r>
      <w:r>
        <w:rPr>
          <w:b w:val="0"/>
          <w:i w:val="0"/>
        </w:rPr>
        <w:t xml:space="preserve"> in a direction that framework does not itself provide, because the framework has no representation of the firm’s technology choice as a function of its own workforce composition. Second, it brings the capability trap of Refs. </w:t>
      </w:r>
      <w:r>
        <w:t>[</w:t>
      </w:r>
      <w:r>
        <w:fldChar w:fldCharType="begin"/>
      </w:r>
      <w:r>
        <w:instrText xml:space="preserve"> REF _Ref_34 \h </w:instrText>
      </w:r>
      <w:r>
        <w:fldChar w:fldCharType="separate"/>
      </w:r>
      <w:r>
        <w:t>34</w:t>
      </w:r>
      <w:r>
        <w:fldChar w:fldCharType="end"/>
      </w:r>
      <w:r>
        <w:t>]</w:t>
      </w:r>
      <w:r>
        <w:rPr>
          <w:b w:val="0"/>
          <w:i w:val="0"/>
        </w:rPr>
        <w:t xml:space="preserve"> and </w:t>
      </w:r>
      <w:r>
        <w:t>[</w:t>
      </w:r>
      <w:r>
        <w:fldChar w:fldCharType="begin"/>
      </w:r>
      <w:r>
        <w:instrText xml:space="preserve"> REF _Ref_35 \h </w:instrText>
      </w:r>
      <w:r>
        <w:fldChar w:fldCharType="separate"/>
      </w:r>
      <w:r>
        <w:t>35</w:t>
      </w:r>
      <w:r>
        <w:fldChar w:fldCharType="end"/>
      </w:r>
      <w:r>
        <w:t>]</w:t>
      </w:r>
      <w:r>
        <w:rPr>
          <w:b w:val="0"/>
          <w:i w:val="0"/>
        </w:rPr>
        <w:t xml:space="preserve">, previously demonstrated for process improvement and maintenance, to bear on human capital, and shows that the same structure governs the erosion of a firm’s skill-formation system. Third, it operationalizes the socio-technical proposition of Refs. </w:t>
      </w:r>
      <w:r>
        <w:t>[</w:t>
      </w:r>
      <w:r>
        <w:fldChar w:fldCharType="begin"/>
      </w:r>
      <w:r>
        <w:instrText xml:space="preserve"> REF _Ref_39 \h </w:instrText>
      </w:r>
      <w:r>
        <w:fldChar w:fldCharType="separate"/>
      </w:r>
      <w:r>
        <w:t>39</w:t>
      </w:r>
      <w:r>
        <w:fldChar w:fldCharType="end"/>
      </w:r>
      <w:r>
        <w:t>]</w:t>
      </w:r>
      <w:r>
        <w:rPr>
          <w:b w:val="0"/>
          <w:i w:val="0"/>
        </w:rPr>
        <w:t xml:space="preserve"> and </w:t>
      </w:r>
      <w:r>
        <w:t>[</w:t>
      </w:r>
      <w:r>
        <w:fldChar w:fldCharType="begin"/>
      </w:r>
      <w:r>
        <w:instrText xml:space="preserve"> REF _Ref_40 \h </w:instrText>
      </w:r>
      <w:r>
        <w:fldChar w:fldCharType="separate"/>
      </w:r>
      <w:r>
        <w:t>40</w:t>
      </w:r>
      <w:r>
        <w:fldChar w:fldCharType="end"/>
      </w:r>
      <w:r>
        <w:t>]</w:t>
      </w:r>
      <w:r>
        <w:rPr>
          <w:b w:val="0"/>
          <w:i w:val="0"/>
        </w:rPr>
        <w:t xml:space="preserve"> in a form that can be estimated, by showing that the employment consequence of a fixed technical intensity varies systematically with a measurable property of the social subsystem.</w:t>
      </w:r>
    </w:p>
    <w:p>
      <w:pPr>
        <w:pStyle w:val="MDPI22heading2"/>
      </w:pPr>
      <w:r>
        <w:t>5.6. Managerial and Policy Implications</w:t>
      </w:r>
    </w:p>
    <w:p>
      <w:pPr>
        <w:pStyle w:val="MDPI32textnoindent"/>
      </w:pPr>
      <w:r>
        <w:rPr>
          <w:b w:val="0"/>
          <w:i w:val="0"/>
        </w:rPr>
        <w:t>For firm managers, the results argue against evaluating generative artificial intelligence deployments on the cost saving of the period in which they are made. The saving is real, and so is the erosion of the pipeline that produces the firm’s future senior staff; the second is delayed and therefore systematically underweighted. Three concrete practices follow: ring-fence the training budget from the productivity savings that adoption generates, so that the two decisions are not made against one another; redesign entry-level roles around the complementary tasks that the technology creates, namely prompt design, output verification, data curation and workflow integration, rather than eliminating the roles whose original tasks the technology absorbs; and monitor the age structure of the workforce as a leading indicator of capability, not as a by-product of hiring.</w:t>
      </w:r>
    </w:p>
    <w:p>
      <w:pPr>
        <w:pStyle w:val="MDPI31text"/>
      </w:pPr>
      <w:r>
        <w:rPr>
          <w:b w:val="0"/>
          <w:i w:val="0"/>
        </w:rPr>
        <w:t>For human resource and workforce development functions, the moderation results identify organizational learning capability as the leverage point. Because the same adoption intensity displaces roughly half as much youth employment in firms with strong absorptive capacity, investment in that capacity is not a competing use of funds but the condition under which adoption and youth employment cease to be substitutes.</w:t>
      </w:r>
    </w:p>
    <w:p>
      <w:pPr>
        <w:pStyle w:val="MDPI31text"/>
      </w:pPr>
      <w:r>
        <w:rPr>
          <w:b w:val="0"/>
          <w:i w:val="0"/>
        </w:rPr>
        <w:t xml:space="preserve">For policymakers, the implications are addressed to specific actors. Employment ministries and local labor bureaux should recognize that subsidies attached to the act of hiring a graduate operate on the forward arc of the loop and will be partly undone by the return arc; instruments that condition support on verified training provision, rather than on headcount alone, act on the arc that closes the loop and are correspondingly more durable. Industrial and technology regulators implementing national artificial-intelligence strategies </w:t>
      </w:r>
      <w:r>
        <w:t>[</w:t>
      </w:r>
      <w:r>
        <w:fldChar w:fldCharType="begin"/>
      </w:r>
      <w:r>
        <w:instrText xml:space="preserve"> REF _Ref_100 \h </w:instrText>
      </w:r>
      <w:r>
        <w:fldChar w:fldCharType="separate"/>
      </w:r>
      <w:r>
        <w:t>100</w:t>
      </w:r>
      <w:r>
        <w:fldChar w:fldCharType="end"/>
      </w:r>
      <w:r>
        <w:t>,</w:t>
      </w:r>
      <w:r>
        <w:fldChar w:fldCharType="begin"/>
      </w:r>
      <w:r>
        <w:instrText xml:space="preserve"> REF _Ref_101 \h </w:instrText>
      </w:r>
      <w:r>
        <w:fldChar w:fldCharType="separate"/>
      </w:r>
      <w:r>
        <w:t>101</w:t>
      </w:r>
      <w:r>
        <w:fldChar w:fldCharType="end"/>
      </w:r>
      <w:r>
        <w:t>]</w:t>
      </w:r>
      <w:r>
        <w:rPr>
          <w:b w:val="0"/>
          <w:i w:val="0"/>
        </w:rPr>
        <w:t xml:space="preserve"> should incorporate workforce development conditions into deployment incentives, since the evidence here indicates that adoption and skill formation are not automatically complementary at the firm level. Education authorities facing record graduate cohorts </w:t>
      </w:r>
      <w:r>
        <w:t>[</w:t>
      </w:r>
      <w:r>
        <w:fldChar w:fldCharType="begin"/>
      </w:r>
      <w:r>
        <w:instrText xml:space="preserve"> REF _Ref_2 \h </w:instrText>
      </w:r>
      <w:r>
        <w:fldChar w:fldCharType="separate"/>
      </w:r>
      <w:r>
        <w:t>2</w:t>
      </w:r>
      <w:r>
        <w:fldChar w:fldCharType="end"/>
      </w:r>
      <w:r>
        <w:t>]</w:t>
      </w:r>
      <w:r>
        <w:rPr>
          <w:b w:val="0"/>
          <w:i w:val="0"/>
        </w:rPr>
        <w:t xml:space="preserve"> should note that the tasks disappearing from entry-level roles are the codifiable ones, so curricula that certify verification, judgement and model-integration skills address the margin that is actually moving. Finally, state-owned enterprises, whose displacement coefficient is the smallest in Table 10, are already functioning as a partial buffer; the finding argues for making that role explicit and time-limited rather than incidental, since a buffer that is not accompanied by training provision postpones the trap without disarming it.</w:t>
      </w:r>
    </w:p>
    <w:p>
      <w:pPr>
        <w:pStyle w:val="MDPI22heading2"/>
      </w:pPr>
      <w:r>
        <w:t>5.7. Limitations and Future Research Directions</w:t>
      </w:r>
    </w:p>
    <w:p>
      <w:pPr>
        <w:pStyle w:val="MDPI32textnoindent"/>
      </w:pPr>
      <w:r>
        <w:rPr>
          <w:b w:val="0"/>
          <w:i w:val="0"/>
        </w:rPr>
        <w:t>Several limitations qualify these findings and point to further work. First, adoption is measured from annual-report text, which captures the intensity with which a firm reports applying the technology rather than verified deployment; firms may over-report to signal modernity, and although firm fixed effects absorb persistent differences in disclosure style, time-varying strategic disclosure would remain. Linking the text measure to procurement records or to model-usage telemetry would sharpen the measurement. Second, the sample covers listed firms, which are larger and more formal than the enterprises that employ most young Chinese workers; the direction of the bias is not obvious, since listed firms adopt earlier but also carry more structured internal labor markets, and extending the design to survey data on small and medium enterprises would settle it. Third, the panel covers 9 years, of which only the last two lie after the generative-AI break, so the impulse responses beyond a three-year horizon are extrapolations of the estimated dynamics rather than direct observations; re-estimating the system as the post-break window lengthens is the natural next step. Fourth, the analysis stops at the firm boundary and therefore cannot say whether the young workers not hired by adopting firms are absorbed elsewhere in the economy; combining firm-level adoption with matched employer-employee records would identify the destination of the displaced. Fifth, the identification of the return arc rests on a recursive ordering of the system, and although the ordering is the conventional one for a technology variable that is decided before the annual workforce plan is executed, a design with an external shifter of training investment would provide a stronger test. Finally, the mediators measured here do not exhaust the mechanism; organizational structure, supervisory capacity and the internal promotion ladder are plausible additional channels that richer personnel data would allow future research to examine.</w:t>
      </w:r>
    </w:p>
    <w:p>
      <w:pPr>
        <w:pStyle w:val="MDPI21heading1"/>
      </w:pPr>
      <w:r>
        <w:t>6. Conclusions</w:t>
      </w:r>
    </w:p>
    <w:p>
      <w:pPr>
        <w:pStyle w:val="MDPI32textnoindent"/>
      </w:pPr>
      <w:r>
        <w:rPr>
          <w:b w:val="0"/>
          <w:i w:val="0"/>
        </w:rPr>
        <w:t>Entry-level work is the first rung of the ladder by which economies produce experienced workers, and generative artificial intelligence is most capable at exactly the tasks that rung is made of. Using 25,701 firm-year observations for 3,000 Chinese A-share listed firms over 2016–2024, this study finds that a one-standard-deviation increase in generative-AI application intensity lowers the youth employment share by 1.74 percentage points, or 6.0 percent of its mean, while employment of workers aged 31 to 50 is barely affected. The displacement operates through two measurable channels: a contracting routine task base, which accounts for 22.3 percent of the total effect, and suppressed investment in employee training, which accounts for a further 12.5 percent. It is weaker where organizational learning capability is stronger and sharper where relative labor costs are higher, and it is about a quarter larger after the generative-AI break of late 2022 than before it.</w:t>
      </w:r>
    </w:p>
    <w:p>
      <w:pPr>
        <w:pStyle w:val="MDPI31text"/>
      </w:pPr>
      <w:r>
        <w:rPr>
          <w:b w:val="0"/>
          <w:i w:val="0"/>
        </w:rPr>
        <w:t>The central finding is structural rather than marginal. The adoption-capability-youth relationship is not a one-way shock but a reinforcing loop: firms whose training investment and youth cohort have contracted adopt more generative artificial intelligence in the following year, and this return arc amplifies the eight-year cumulative displacement by 19.0 percent relative to a system in which the loop is switched off. Because the largest eigenvalue of the estimated system is 0.722, the trap is bounded rather than explosive, which is what makes it addressable. The policy conclusion follows from the structure: interventions aimed at the moment of adoption operate on the forward arc and are partly undone by the return arc, whereas instruments that protect training provision act on the arc that closes the loop. For a country entering a decade of record graduate cohorts, the difference between the two is the difference between slowing the erosion of the first rung and stopping it.</w:t>
      </w:r>
    </w:p>
    <w:p>
      <w:pPr>
        <w:pStyle w:val="MDPI62backmatter"/>
        <w:spacing w:before="120"/>
      </w:pPr>
      <w:r>
        <w:rPr>
          <w:b/>
          <w:sz w:val="18"/>
        </w:rPr>
        <w:t xml:space="preserve">Author Contributions: </w:t>
      </w:r>
      <w:r>
        <w:rPr>
          <w:b w:val="0"/>
          <w:i w:val="0"/>
          <w:sz w:val="18"/>
        </w:rPr>
        <w:t>Conceptualization, X.C. and T.M.; methodology, X.C.; software, X.C.; validation, T.M.; formal analysis, X.C.; investigation, X.C. and T.M.; resources, T.M.; data curation, X.C.; writing—original draft preparation, X.C.; writing—review and editing, T.M.; visualization, X.C.; supervision, T.M.; project administration, T.M. All authors have read and agreed to the published version of the manuscript.</w:t>
      </w:r>
    </w:p>
    <w:p>
      <w:pPr>
        <w:pStyle w:val="MDPI62backmatter"/>
        <w:spacing w:before="120"/>
      </w:pPr>
      <w:r>
        <w:rPr>
          <w:b/>
          <w:sz w:val="18"/>
        </w:rPr>
        <w:t xml:space="preserve">Funding: </w:t>
      </w:r>
      <w:r>
        <w:rPr>
          <w:b w:val="0"/>
          <w:i w:val="0"/>
          <w:sz w:val="18"/>
        </w:rPr>
        <w:t>This research received no external funding.</w:t>
      </w:r>
    </w:p>
    <w:p>
      <w:pPr>
        <w:pStyle w:val="MDPI62backmatter"/>
        <w:spacing w:before="120"/>
      </w:pPr>
      <w:r>
        <w:rPr>
          <w:b/>
          <w:sz w:val="18"/>
        </w:rPr>
        <w:t xml:space="preserve">Institutional Review Board Statement: </w:t>
      </w:r>
      <w:r>
        <w:rPr>
          <w:b w:val="0"/>
          <w:i w:val="0"/>
          <w:sz w:val="18"/>
        </w:rPr>
        <w:t>Not applicable.</w:t>
      </w:r>
    </w:p>
    <w:p>
      <w:pPr>
        <w:pStyle w:val="MDPI62backmatter"/>
        <w:spacing w:before="120"/>
      </w:pPr>
      <w:r>
        <w:rPr>
          <w:b/>
          <w:sz w:val="18"/>
        </w:rPr>
        <w:t xml:space="preserve">Informed Consent Statement: </w:t>
      </w:r>
      <w:r>
        <w:rPr>
          <w:b w:val="0"/>
          <w:i w:val="0"/>
          <w:sz w:val="18"/>
        </w:rPr>
        <w:t>Not applicable.</w:t>
      </w:r>
    </w:p>
    <w:p>
      <w:pPr>
        <w:pStyle w:val="MDPI62backmatter"/>
        <w:spacing w:before="120"/>
      </w:pPr>
      <w:r>
        <w:rPr>
          <w:b/>
          <w:sz w:val="18"/>
        </w:rPr>
        <w:t xml:space="preserve">Data Availability Statement: </w:t>
      </w:r>
      <w:r>
        <w:rPr>
          <w:b w:val="0"/>
          <w:i w:val="0"/>
          <w:sz w:val="18"/>
        </w:rPr>
        <w:t>The firm-level data underlying this study were obtained from the China Stock Market and Accounting Research database and the disclosure archives of the Shanghai and Shenzhen stock exchanges under license and are therefore not publicly available. The estimation code that reproduces every table and figure is available from the corresponding author upon reasonable request.</w:t>
      </w:r>
    </w:p>
    <w:p>
      <w:pPr>
        <w:pStyle w:val="MDPI62backmatter"/>
        <w:spacing w:before="120"/>
      </w:pPr>
      <w:r>
        <w:rPr>
          <w:b/>
          <w:sz w:val="18"/>
        </w:rPr>
        <w:t xml:space="preserve">Conflicts of Interest: </w:t>
      </w:r>
      <w:r>
        <w:rPr>
          <w:b w:val="0"/>
          <w:i w:val="0"/>
          <w:sz w:val="18"/>
        </w:rPr>
        <w:t>The authors declare no conflicts of interest.</w:t>
      </w:r>
    </w:p>
    <w:p>
      <w:pPr>
        <w:pStyle w:val="MDPI21heading1"/>
        <w:ind w:left="0" w:firstLine="0"/>
      </w:pPr>
      <w:r>
        <w:t>References</w:t>
      </w:r>
    </w:p>
    <w:p>
      <w:pPr>
        <w:pStyle w:val="MDPI32textnoindent"/>
        <w:spacing w:line="240" w:lineRule="auto" w:before="0" w:after="40"/>
        <w:ind w:left="425" w:hanging="425"/>
        <w:tabs>
          <w:tab w:val="left" w:pos="425"/>
        </w:tabs>
      </w:pPr>
      <w:bookmarkStart w:id="1001" w:name="_Ref_1"/>
      <w:r>
        <w:rPr>
          <w:b w:val="0"/>
          <w:sz w:val="18"/>
        </w:rPr>
        <w:t>1</w:t>
      </w:r>
      <w:bookmarkEnd w:id="1001"/>
      <w:r>
        <w:rPr>
          <w:sz w:val="18"/>
        </w:rPr>
        <w:t>.</w:t>
        <w:tab/>
      </w:r>
      <w:r>
        <w:rPr>
          <w:b w:val="0"/>
          <w:i w:val="0"/>
          <w:sz w:val="18"/>
        </w:rPr>
        <w:t xml:space="preserve">International Labour Organization. </w:t>
      </w:r>
      <w:r>
        <w:rPr>
          <w:b w:val="0"/>
          <w:i/>
          <w:sz w:val="18"/>
        </w:rPr>
        <w:t xml:space="preserve">World Employment and Social Outlook: Trends 2025; </w:t>
      </w:r>
      <w:r>
        <w:rPr>
          <w:b w:val="0"/>
          <w:i w:val="0"/>
          <w:sz w:val="18"/>
        </w:rPr>
        <w:t>International Labour Office: Geneva, Switzerland, 2025.</w:t>
      </w:r>
    </w:p>
    <w:p>
      <w:pPr>
        <w:pStyle w:val="MDPI32textnoindent"/>
        <w:spacing w:line="240" w:lineRule="auto" w:before="0" w:after="40"/>
        <w:ind w:left="425" w:hanging="425"/>
        <w:tabs>
          <w:tab w:val="left" w:pos="425"/>
        </w:tabs>
      </w:pPr>
      <w:bookmarkStart w:id="1002" w:name="_Ref_2"/>
      <w:r>
        <w:rPr>
          <w:b w:val="0"/>
          <w:sz w:val="18"/>
        </w:rPr>
        <w:t>2</w:t>
      </w:r>
      <w:bookmarkEnd w:id="1002"/>
      <w:r>
        <w:rPr>
          <w:sz w:val="18"/>
        </w:rPr>
        <w:t>.</w:t>
        <w:tab/>
      </w:r>
      <w:r>
        <w:rPr>
          <w:b w:val="0"/>
          <w:i w:val="0"/>
          <w:sz w:val="18"/>
        </w:rPr>
        <w:t xml:space="preserve">Ministry of Education of the People’s Republic of China. </w:t>
      </w:r>
      <w:r>
        <w:rPr>
          <w:b w:val="0"/>
          <w:i w:val="0"/>
          <w:sz w:val="18"/>
        </w:rPr>
        <w:t xml:space="preserve">The Number of College Graduates Nationwide Is Expected to Reach 12.22 Million in 2025. </w:t>
      </w:r>
      <w:r>
        <w:rPr>
          <w:b w:val="0"/>
          <w:i w:val="0"/>
          <w:sz w:val="18"/>
        </w:rPr>
        <w:t>Available online: http://www.moe.gov.cn/ (accessed on 20 March 2026).</w:t>
      </w:r>
    </w:p>
    <w:p>
      <w:pPr>
        <w:pStyle w:val="MDPI32textnoindent"/>
        <w:spacing w:line="240" w:lineRule="auto" w:before="0" w:after="40"/>
        <w:ind w:left="425" w:hanging="425"/>
        <w:tabs>
          <w:tab w:val="left" w:pos="425"/>
        </w:tabs>
      </w:pPr>
      <w:bookmarkStart w:id="1003" w:name="_Ref_3"/>
      <w:r>
        <w:rPr>
          <w:b w:val="0"/>
          <w:sz w:val="18"/>
        </w:rPr>
        <w:t>3</w:t>
      </w:r>
      <w:bookmarkEnd w:id="1003"/>
      <w:r>
        <w:rPr>
          <w:sz w:val="18"/>
        </w:rPr>
        <w:t>.</w:t>
        <w:tab/>
      </w:r>
      <w:r>
        <w:rPr>
          <w:b w:val="0"/>
          <w:i w:val="0"/>
          <w:sz w:val="18"/>
        </w:rPr>
        <w:t xml:space="preserve">National Bureau of Statistics of China. </w:t>
      </w:r>
      <w:r>
        <w:rPr>
          <w:b w:val="0"/>
          <w:i w:val="0"/>
          <w:sz w:val="18"/>
        </w:rPr>
        <w:t xml:space="preserve">Surveyed Urban Unemployment Rate of the Population Aged 16 to 24 Excluding Students. </w:t>
      </w:r>
      <w:r>
        <w:rPr>
          <w:b w:val="0"/>
          <w:i w:val="0"/>
          <w:sz w:val="18"/>
        </w:rPr>
        <w:t>Available online: https://www.stats.gov.cn/english/ (accessed on 20 March 2026).</w:t>
      </w:r>
    </w:p>
    <w:p>
      <w:pPr>
        <w:pStyle w:val="MDPI32textnoindent"/>
        <w:spacing w:line="240" w:lineRule="auto" w:before="0" w:after="40"/>
        <w:ind w:left="425" w:hanging="425"/>
        <w:tabs>
          <w:tab w:val="left" w:pos="425"/>
        </w:tabs>
      </w:pPr>
      <w:bookmarkStart w:id="1004" w:name="_Ref_4"/>
      <w:r>
        <w:rPr>
          <w:b w:val="0"/>
          <w:sz w:val="18"/>
        </w:rPr>
        <w:t>4</w:t>
      </w:r>
      <w:bookmarkEnd w:id="1004"/>
      <w:r>
        <w:rPr>
          <w:sz w:val="18"/>
        </w:rPr>
        <w:t>.</w:t>
        <w:tab/>
      </w:r>
      <w:r>
        <w:rPr>
          <w:b w:val="0"/>
          <w:i w:val="0"/>
          <w:sz w:val="18"/>
        </w:rPr>
        <w:t xml:space="preserve">International Labour Organization. </w:t>
      </w:r>
      <w:r>
        <w:rPr>
          <w:b w:val="0"/>
          <w:i/>
          <w:sz w:val="18"/>
        </w:rPr>
        <w:t xml:space="preserve">Global Employment Trends for Youth 2024: Decent Work, Brighter Futures; </w:t>
      </w:r>
      <w:r>
        <w:rPr>
          <w:b w:val="0"/>
          <w:i w:val="0"/>
          <w:sz w:val="18"/>
        </w:rPr>
        <w:t>International Labour Office: Geneva, Switzerland, 2024.</w:t>
      </w:r>
    </w:p>
    <w:p>
      <w:pPr>
        <w:pStyle w:val="MDPI32textnoindent"/>
        <w:spacing w:line="240" w:lineRule="auto" w:before="0" w:after="40"/>
        <w:ind w:left="425" w:hanging="425"/>
        <w:tabs>
          <w:tab w:val="left" w:pos="425"/>
        </w:tabs>
      </w:pPr>
      <w:bookmarkStart w:id="1005" w:name="_Ref_5"/>
      <w:r>
        <w:rPr>
          <w:b w:val="0"/>
          <w:sz w:val="18"/>
        </w:rPr>
        <w:t>5</w:t>
      </w:r>
      <w:bookmarkEnd w:id="1005"/>
      <w:r>
        <w:rPr>
          <w:sz w:val="18"/>
        </w:rPr>
        <w:t>.</w:t>
        <w:tab/>
      </w:r>
      <w:r>
        <w:rPr>
          <w:b w:val="0"/>
          <w:i w:val="0"/>
          <w:sz w:val="18"/>
        </w:rPr>
        <w:t xml:space="preserve">World Economic Forum. </w:t>
      </w:r>
      <w:r>
        <w:rPr>
          <w:b w:val="0"/>
          <w:i/>
          <w:sz w:val="18"/>
        </w:rPr>
        <w:t xml:space="preserve">The Future of Jobs Report 2025; </w:t>
      </w:r>
      <w:r>
        <w:rPr>
          <w:b w:val="0"/>
          <w:i w:val="0"/>
          <w:sz w:val="18"/>
        </w:rPr>
        <w:t>World Economic Forum: Geneva, Switzerland, 2025.</w:t>
      </w:r>
    </w:p>
    <w:p>
      <w:pPr>
        <w:pStyle w:val="MDPI32textnoindent"/>
        <w:spacing w:line="240" w:lineRule="auto" w:before="0" w:after="40"/>
        <w:ind w:left="425" w:hanging="425"/>
        <w:tabs>
          <w:tab w:val="left" w:pos="425"/>
        </w:tabs>
      </w:pPr>
      <w:bookmarkStart w:id="1006" w:name="_Ref_6"/>
      <w:r>
        <w:rPr>
          <w:b w:val="0"/>
          <w:sz w:val="18"/>
        </w:rPr>
        <w:t>6</w:t>
      </w:r>
      <w:bookmarkEnd w:id="1006"/>
      <w:r>
        <w:rPr>
          <w:sz w:val="18"/>
        </w:rPr>
        <w:t>.</w:t>
        <w:tab/>
      </w:r>
      <w:r>
        <w:rPr>
          <w:b w:val="0"/>
          <w:i w:val="0"/>
          <w:sz w:val="18"/>
        </w:rPr>
        <w:t xml:space="preserve">Kahn, L.B. </w:t>
      </w:r>
      <w:r>
        <w:rPr>
          <w:b w:val="0"/>
          <w:i w:val="0"/>
          <w:sz w:val="18"/>
        </w:rPr>
        <w:t xml:space="preserve">The Long-Term Labor Market Consequences of Graduating from College in a Bad Economy. </w:t>
      </w:r>
      <w:r>
        <w:rPr>
          <w:b w:val="0"/>
          <w:i/>
          <w:sz w:val="18"/>
        </w:rPr>
        <w:t xml:space="preserve">Labour Econ. </w:t>
      </w:r>
      <w:r>
        <w:rPr>
          <w:b/>
          <w:i w:val="0"/>
          <w:sz w:val="18"/>
        </w:rPr>
        <w:t>2010</w:t>
      </w:r>
      <w:r>
        <w:rPr>
          <w:b w:val="0"/>
          <w:i w:val="0"/>
          <w:sz w:val="18"/>
        </w:rPr>
        <w:t xml:space="preserve">, </w:t>
      </w:r>
      <w:r>
        <w:rPr>
          <w:b w:val="0"/>
          <w:i/>
          <w:sz w:val="18"/>
        </w:rPr>
        <w:t>17</w:t>
      </w:r>
      <w:r>
        <w:rPr>
          <w:b w:val="0"/>
          <w:i w:val="0"/>
          <w:sz w:val="18"/>
        </w:rPr>
        <w:t>, 303–316.</w:t>
      </w:r>
      <w:r>
        <w:rPr>
          <w:b w:val="0"/>
          <w:i w:val="0"/>
          <w:sz w:val="18"/>
        </w:rPr>
        <w:t xml:space="preserve"> [CrossRef]</w:t>
      </w:r>
    </w:p>
    <w:p>
      <w:pPr>
        <w:pStyle w:val="MDPI32textnoindent"/>
        <w:spacing w:line="240" w:lineRule="auto" w:before="0" w:after="40"/>
        <w:ind w:left="425" w:hanging="425"/>
        <w:tabs>
          <w:tab w:val="left" w:pos="425"/>
        </w:tabs>
      </w:pPr>
      <w:bookmarkStart w:id="1007" w:name="_Ref_7"/>
      <w:r>
        <w:rPr>
          <w:b w:val="0"/>
          <w:sz w:val="18"/>
        </w:rPr>
        <w:t>7</w:t>
      </w:r>
      <w:bookmarkEnd w:id="1007"/>
      <w:r>
        <w:rPr>
          <w:sz w:val="18"/>
        </w:rPr>
        <w:t>.</w:t>
        <w:tab/>
      </w:r>
      <w:r>
        <w:rPr>
          <w:b w:val="0"/>
          <w:i w:val="0"/>
          <w:sz w:val="18"/>
        </w:rPr>
        <w:t xml:space="preserve">Oreopoulos, P.; von Wachter, T.; Heisz, A. </w:t>
      </w:r>
      <w:r>
        <w:rPr>
          <w:b w:val="0"/>
          <w:i w:val="0"/>
          <w:sz w:val="18"/>
        </w:rPr>
        <w:t xml:space="preserve">The Short- and Long-Term Career Effects of Graduating in a Recession. </w:t>
      </w:r>
      <w:r>
        <w:rPr>
          <w:b w:val="0"/>
          <w:i/>
          <w:sz w:val="18"/>
        </w:rPr>
        <w:t xml:space="preserve">Am. Econ. J. Appl. Econ. </w:t>
      </w:r>
      <w:r>
        <w:rPr>
          <w:b/>
          <w:i w:val="0"/>
          <w:sz w:val="18"/>
        </w:rPr>
        <w:t>2012</w:t>
      </w:r>
      <w:r>
        <w:rPr>
          <w:b w:val="0"/>
          <w:i w:val="0"/>
          <w:sz w:val="18"/>
        </w:rPr>
        <w:t xml:space="preserve">, </w:t>
      </w:r>
      <w:r>
        <w:rPr>
          <w:b w:val="0"/>
          <w:i/>
          <w:sz w:val="18"/>
        </w:rPr>
        <w:t>4</w:t>
      </w:r>
      <w:r>
        <w:rPr>
          <w:b w:val="0"/>
          <w:i w:val="0"/>
          <w:sz w:val="18"/>
        </w:rPr>
        <w:t>, 1–29.</w:t>
      </w:r>
      <w:r>
        <w:rPr>
          <w:b w:val="0"/>
          <w:i w:val="0"/>
          <w:sz w:val="18"/>
        </w:rPr>
        <w:t xml:space="preserve"> [CrossRef]</w:t>
      </w:r>
    </w:p>
    <w:p>
      <w:pPr>
        <w:pStyle w:val="MDPI32textnoindent"/>
        <w:spacing w:line="240" w:lineRule="auto" w:before="0" w:after="40"/>
        <w:ind w:left="425" w:hanging="425"/>
        <w:tabs>
          <w:tab w:val="left" w:pos="425"/>
        </w:tabs>
      </w:pPr>
      <w:bookmarkStart w:id="1008" w:name="_Ref_8"/>
      <w:r>
        <w:rPr>
          <w:b w:val="0"/>
          <w:sz w:val="18"/>
        </w:rPr>
        <w:t>8</w:t>
      </w:r>
      <w:bookmarkEnd w:id="1008"/>
      <w:r>
        <w:rPr>
          <w:sz w:val="18"/>
        </w:rPr>
        <w:t>.</w:t>
        <w:tab/>
      </w:r>
      <w:r>
        <w:rPr>
          <w:b w:val="0"/>
          <w:i w:val="0"/>
          <w:sz w:val="18"/>
        </w:rPr>
        <w:t xml:space="preserve">Schwandt, H.; von Wachter, T. </w:t>
      </w:r>
      <w:r>
        <w:rPr>
          <w:b w:val="0"/>
          <w:i w:val="0"/>
          <w:sz w:val="18"/>
        </w:rPr>
        <w:t xml:space="preserve">Unlucky Cohorts: Estimating the Long-Term Effects of Entering the Labor Market in a Recession in Large Cross-Sectional Data Sets. </w:t>
      </w:r>
      <w:r>
        <w:rPr>
          <w:b w:val="0"/>
          <w:i/>
          <w:sz w:val="18"/>
        </w:rPr>
        <w:t xml:space="preserve">J. Labor Econ. </w:t>
      </w:r>
      <w:r>
        <w:rPr>
          <w:b/>
          <w:i w:val="0"/>
          <w:sz w:val="18"/>
        </w:rPr>
        <w:t>2019</w:t>
      </w:r>
      <w:r>
        <w:rPr>
          <w:b w:val="0"/>
          <w:i w:val="0"/>
          <w:sz w:val="18"/>
        </w:rPr>
        <w:t xml:space="preserve">, </w:t>
      </w:r>
      <w:r>
        <w:rPr>
          <w:b w:val="0"/>
          <w:i/>
          <w:sz w:val="18"/>
        </w:rPr>
        <w:t>37</w:t>
      </w:r>
      <w:r>
        <w:rPr>
          <w:b w:val="0"/>
          <w:i w:val="0"/>
          <w:sz w:val="18"/>
        </w:rPr>
        <w:t>, S161–S198.</w:t>
      </w:r>
      <w:r>
        <w:rPr>
          <w:b w:val="0"/>
          <w:i w:val="0"/>
          <w:sz w:val="18"/>
        </w:rPr>
        <w:t xml:space="preserve"> [CrossRef]</w:t>
      </w:r>
    </w:p>
    <w:p>
      <w:pPr>
        <w:pStyle w:val="MDPI32textnoindent"/>
        <w:spacing w:line="240" w:lineRule="auto" w:before="0" w:after="40"/>
        <w:ind w:left="425" w:hanging="425"/>
        <w:tabs>
          <w:tab w:val="left" w:pos="425"/>
        </w:tabs>
      </w:pPr>
      <w:bookmarkStart w:id="1009" w:name="_Ref_9"/>
      <w:r>
        <w:rPr>
          <w:b w:val="0"/>
          <w:sz w:val="18"/>
        </w:rPr>
        <w:t>9</w:t>
      </w:r>
      <w:bookmarkEnd w:id="1009"/>
      <w:r>
        <w:rPr>
          <w:sz w:val="18"/>
        </w:rPr>
        <w:t>.</w:t>
        <w:tab/>
      </w:r>
      <w:r>
        <w:rPr>
          <w:b w:val="0"/>
          <w:i w:val="0"/>
          <w:sz w:val="18"/>
        </w:rPr>
        <w:t xml:space="preserve">von Wachter, T. </w:t>
      </w:r>
      <w:r>
        <w:rPr>
          <w:b w:val="0"/>
          <w:i w:val="0"/>
          <w:sz w:val="18"/>
        </w:rPr>
        <w:t xml:space="preserve">The Persistent Effects of Initial Labor Market Conditions for Young Adults and Their Sources. </w:t>
      </w:r>
      <w:r>
        <w:rPr>
          <w:b w:val="0"/>
          <w:i/>
          <w:sz w:val="18"/>
        </w:rPr>
        <w:t xml:space="preserve">J. Econ. Perspect. </w:t>
      </w:r>
      <w:r>
        <w:rPr>
          <w:b/>
          <w:i w:val="0"/>
          <w:sz w:val="18"/>
        </w:rPr>
        <w:t>2020</w:t>
      </w:r>
      <w:r>
        <w:rPr>
          <w:b w:val="0"/>
          <w:i w:val="0"/>
          <w:sz w:val="18"/>
        </w:rPr>
        <w:t xml:space="preserve">, </w:t>
      </w:r>
      <w:r>
        <w:rPr>
          <w:b w:val="0"/>
          <w:i/>
          <w:sz w:val="18"/>
        </w:rPr>
        <w:t>34</w:t>
      </w:r>
      <w:r>
        <w:rPr>
          <w:b w:val="0"/>
          <w:i w:val="0"/>
          <w:sz w:val="18"/>
        </w:rPr>
        <w:t>, 168–194.</w:t>
      </w:r>
      <w:r>
        <w:rPr>
          <w:b w:val="0"/>
          <w:i w:val="0"/>
          <w:sz w:val="18"/>
        </w:rPr>
        <w:t xml:space="preserve"> [CrossRef]</w:t>
      </w:r>
    </w:p>
    <w:p>
      <w:pPr>
        <w:pStyle w:val="MDPI32textnoindent"/>
        <w:spacing w:line="240" w:lineRule="auto" w:before="0" w:after="40"/>
        <w:ind w:left="425" w:hanging="425"/>
        <w:tabs>
          <w:tab w:val="left" w:pos="425"/>
        </w:tabs>
      </w:pPr>
      <w:bookmarkStart w:id="1010" w:name="_Ref_10"/>
      <w:r>
        <w:rPr>
          <w:b w:val="0"/>
          <w:sz w:val="18"/>
        </w:rPr>
        <w:t>10</w:t>
      </w:r>
      <w:bookmarkEnd w:id="1010"/>
      <w:r>
        <w:rPr>
          <w:sz w:val="18"/>
        </w:rPr>
        <w:t>.</w:t>
        <w:tab/>
      </w:r>
      <w:r>
        <w:rPr>
          <w:b w:val="0"/>
          <w:i w:val="0"/>
          <w:sz w:val="18"/>
        </w:rPr>
        <w:t xml:space="preserve">Bick, A.; Blandin, A.; Deming, D.J. </w:t>
      </w:r>
      <w:r>
        <w:rPr>
          <w:b w:val="0"/>
          <w:i/>
          <w:sz w:val="18"/>
        </w:rPr>
        <w:t xml:space="preserve">The Rapid Adoption of Generative AI; </w:t>
      </w:r>
      <w:r>
        <w:rPr>
          <w:b w:val="0"/>
          <w:i w:val="0"/>
          <w:sz w:val="18"/>
        </w:rPr>
        <w:t xml:space="preserve">NBER Working Paper 32966; </w:t>
      </w:r>
      <w:r>
        <w:rPr>
          <w:b w:val="0"/>
          <w:i w:val="0"/>
          <w:sz w:val="18"/>
        </w:rPr>
        <w:t>National Bureau of Economic Research: Cambridge, MA, USA, 2024.</w:t>
      </w:r>
    </w:p>
    <w:p>
      <w:pPr>
        <w:pStyle w:val="MDPI32textnoindent"/>
        <w:spacing w:line="240" w:lineRule="auto" w:before="0" w:after="40"/>
        <w:ind w:left="425" w:hanging="425"/>
        <w:tabs>
          <w:tab w:val="left" w:pos="425"/>
        </w:tabs>
      </w:pPr>
      <w:bookmarkStart w:id="1011" w:name="_Ref_11"/>
      <w:r>
        <w:rPr>
          <w:b w:val="0"/>
          <w:sz w:val="18"/>
        </w:rPr>
        <w:t>11</w:t>
      </w:r>
      <w:bookmarkEnd w:id="1011"/>
      <w:r>
        <w:rPr>
          <w:sz w:val="18"/>
        </w:rPr>
        <w:t>.</w:t>
        <w:tab/>
      </w:r>
      <w:r>
        <w:rPr>
          <w:b w:val="0"/>
          <w:i w:val="0"/>
          <w:sz w:val="18"/>
        </w:rPr>
        <w:t xml:space="preserve">Brynjolfsson, E.; Li, D.; Raymond, L.R. </w:t>
      </w:r>
      <w:r>
        <w:rPr>
          <w:b w:val="0"/>
          <w:i w:val="0"/>
          <w:sz w:val="18"/>
        </w:rPr>
        <w:t xml:space="preserve">Generative AI at Work. </w:t>
      </w:r>
      <w:r>
        <w:rPr>
          <w:b w:val="0"/>
          <w:i/>
          <w:sz w:val="18"/>
        </w:rPr>
        <w:t xml:space="preserve">Q. J. Econ. </w:t>
      </w:r>
      <w:r>
        <w:rPr>
          <w:b/>
          <w:i w:val="0"/>
          <w:sz w:val="18"/>
        </w:rPr>
        <w:t>2025</w:t>
      </w:r>
      <w:r>
        <w:rPr>
          <w:b w:val="0"/>
          <w:i w:val="0"/>
          <w:sz w:val="18"/>
        </w:rPr>
        <w:t xml:space="preserve">, </w:t>
      </w:r>
      <w:r>
        <w:rPr>
          <w:b w:val="0"/>
          <w:i/>
          <w:sz w:val="18"/>
        </w:rPr>
        <w:t>140</w:t>
      </w:r>
      <w:r>
        <w:rPr>
          <w:b w:val="0"/>
          <w:i w:val="0"/>
          <w:sz w:val="18"/>
        </w:rPr>
        <w:t>, 889–942.</w:t>
      </w:r>
      <w:r>
        <w:rPr>
          <w:b w:val="0"/>
          <w:i w:val="0"/>
          <w:sz w:val="18"/>
        </w:rPr>
        <w:t xml:space="preserve"> [CrossRef]</w:t>
      </w:r>
    </w:p>
    <w:p>
      <w:pPr>
        <w:pStyle w:val="MDPI32textnoindent"/>
        <w:spacing w:line="240" w:lineRule="auto" w:before="0" w:after="40"/>
        <w:ind w:left="425" w:hanging="425"/>
        <w:tabs>
          <w:tab w:val="left" w:pos="425"/>
        </w:tabs>
      </w:pPr>
      <w:bookmarkStart w:id="1012" w:name="_Ref_12"/>
      <w:r>
        <w:rPr>
          <w:b w:val="0"/>
          <w:sz w:val="18"/>
        </w:rPr>
        <w:t>12</w:t>
      </w:r>
      <w:bookmarkEnd w:id="1012"/>
      <w:r>
        <w:rPr>
          <w:sz w:val="18"/>
        </w:rPr>
        <w:t>.</w:t>
        <w:tab/>
      </w:r>
      <w:r>
        <w:rPr>
          <w:b w:val="0"/>
          <w:i w:val="0"/>
          <w:sz w:val="18"/>
        </w:rPr>
        <w:t xml:space="preserve">Noy, S.; Zhang, W. </w:t>
      </w:r>
      <w:r>
        <w:rPr>
          <w:b w:val="0"/>
          <w:i w:val="0"/>
          <w:sz w:val="18"/>
        </w:rPr>
        <w:t xml:space="preserve">Experimental Evidence on the Productivity Effects of Generative Artificial Intelligence. </w:t>
      </w:r>
      <w:r>
        <w:rPr>
          <w:b w:val="0"/>
          <w:i/>
          <w:sz w:val="18"/>
        </w:rPr>
        <w:t xml:space="preserve">Science </w:t>
      </w:r>
      <w:r>
        <w:rPr>
          <w:b/>
          <w:i w:val="0"/>
          <w:sz w:val="18"/>
        </w:rPr>
        <w:t>2023</w:t>
      </w:r>
      <w:r>
        <w:rPr>
          <w:b w:val="0"/>
          <w:i w:val="0"/>
          <w:sz w:val="18"/>
        </w:rPr>
        <w:t xml:space="preserve">, </w:t>
      </w:r>
      <w:r>
        <w:rPr>
          <w:b w:val="0"/>
          <w:i/>
          <w:sz w:val="18"/>
        </w:rPr>
        <w:t>381</w:t>
      </w:r>
      <w:r>
        <w:rPr>
          <w:b w:val="0"/>
          <w:i w:val="0"/>
          <w:sz w:val="18"/>
        </w:rPr>
        <w:t>, 187–192.</w:t>
      </w:r>
      <w:r>
        <w:rPr>
          <w:b w:val="0"/>
          <w:i w:val="0"/>
          <w:sz w:val="18"/>
        </w:rPr>
        <w:t xml:space="preserve"> [CrossRef]</w:t>
      </w:r>
    </w:p>
    <w:p>
      <w:pPr>
        <w:pStyle w:val="MDPI32textnoindent"/>
        <w:spacing w:line="240" w:lineRule="auto" w:before="0" w:after="40"/>
        <w:ind w:left="425" w:hanging="425"/>
        <w:tabs>
          <w:tab w:val="left" w:pos="425"/>
        </w:tabs>
      </w:pPr>
      <w:bookmarkStart w:id="1013" w:name="_Ref_13"/>
      <w:r>
        <w:rPr>
          <w:b w:val="0"/>
          <w:sz w:val="18"/>
        </w:rPr>
        <w:t>13</w:t>
      </w:r>
      <w:bookmarkEnd w:id="1013"/>
      <w:r>
        <w:rPr>
          <w:sz w:val="18"/>
        </w:rPr>
        <w:t>.</w:t>
        <w:tab/>
      </w:r>
      <w:r>
        <w:rPr>
          <w:b w:val="0"/>
          <w:i w:val="0"/>
          <w:sz w:val="18"/>
        </w:rPr>
        <w:t xml:space="preserve">Dell’Acqua, F.; McFowland, E., III; Mollick, E.R.; Lifshitz-Assaf, H.; Kellogg, K.C.; Rajendran, S.; Krayer, L.; Candelon, F.; Lakhani, K.R. </w:t>
      </w:r>
      <w:r>
        <w:rPr>
          <w:b w:val="0"/>
          <w:i w:val="0"/>
          <w:sz w:val="18"/>
        </w:rPr>
        <w:t xml:space="preserve">Navigating the Jagged Technological Frontier: Field Experimental Evidence of the Effects of Artificial Intelligence on Knowledge Worker Productivity and Quality. </w:t>
      </w:r>
      <w:r>
        <w:rPr>
          <w:b w:val="0"/>
          <w:i/>
          <w:sz w:val="18"/>
        </w:rPr>
        <w:t xml:space="preserve">Organ.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14" w:name="_Ref_14"/>
      <w:r>
        <w:rPr>
          <w:b w:val="0"/>
          <w:sz w:val="18"/>
        </w:rPr>
        <w:t>14</w:t>
      </w:r>
      <w:bookmarkEnd w:id="1014"/>
      <w:r>
        <w:rPr>
          <w:sz w:val="18"/>
        </w:rPr>
        <w:t>.</w:t>
        <w:tab/>
      </w:r>
      <w:r>
        <w:rPr>
          <w:b w:val="0"/>
          <w:i w:val="0"/>
          <w:sz w:val="18"/>
        </w:rPr>
        <w:t xml:space="preserve">Peng, S.; Kalliamvakou, E.; Cihon, P.; Demirer, M. </w:t>
      </w:r>
      <w:r>
        <w:rPr>
          <w:b w:val="0"/>
          <w:i w:val="0"/>
          <w:sz w:val="18"/>
        </w:rPr>
        <w:t xml:space="preserve">The Impact of AI on Developer Productivity: Evidence from GitHub Copilot. </w:t>
      </w:r>
      <w:r>
        <w:rPr>
          <w:b w:val="0"/>
          <w:i/>
          <w:sz w:val="18"/>
        </w:rPr>
        <w:t xml:space="preserve">arXiv </w:t>
      </w:r>
      <w:r>
        <w:rPr>
          <w:b/>
          <w:i w:val="0"/>
          <w:sz w:val="18"/>
        </w:rPr>
        <w:t>2023</w:t>
      </w:r>
      <w:r>
        <w:rPr>
          <w:b w:val="0"/>
          <w:i w:val="0"/>
          <w:sz w:val="18"/>
        </w:rPr>
        <w:t xml:space="preserve">, </w:t>
      </w:r>
      <w:r>
        <w:rPr>
          <w:b w:val="0"/>
          <w:i w:val="0"/>
          <w:sz w:val="18"/>
        </w:rPr>
        <w:t>arXiv:2302.06590.</w:t>
      </w:r>
    </w:p>
    <w:p>
      <w:pPr>
        <w:pStyle w:val="MDPI32textnoindent"/>
        <w:spacing w:line="240" w:lineRule="auto" w:before="0" w:after="40"/>
        <w:ind w:left="425" w:hanging="425"/>
        <w:tabs>
          <w:tab w:val="left" w:pos="425"/>
        </w:tabs>
      </w:pPr>
      <w:bookmarkStart w:id="1015" w:name="_Ref_15"/>
      <w:r>
        <w:rPr>
          <w:b w:val="0"/>
          <w:sz w:val="18"/>
        </w:rPr>
        <w:t>15</w:t>
      </w:r>
      <w:bookmarkEnd w:id="1015"/>
      <w:r>
        <w:rPr>
          <w:sz w:val="18"/>
        </w:rPr>
        <w:t>.</w:t>
        <w:tab/>
      </w:r>
      <w:r>
        <w:rPr>
          <w:b w:val="0"/>
          <w:i w:val="0"/>
          <w:sz w:val="18"/>
        </w:rPr>
        <w:t xml:space="preserve">Eloundou, T.; Manning, S.; Mishkin, P.; Rock, D. </w:t>
      </w:r>
      <w:r>
        <w:rPr>
          <w:b w:val="0"/>
          <w:i w:val="0"/>
          <w:sz w:val="18"/>
        </w:rPr>
        <w:t xml:space="preserve">GPTs Are GPTs: Labor Market Impact Potential of LLMs. </w:t>
      </w:r>
      <w:r>
        <w:rPr>
          <w:b w:val="0"/>
          <w:i/>
          <w:sz w:val="18"/>
        </w:rPr>
        <w:t xml:space="preserve">Science </w:t>
      </w:r>
      <w:r>
        <w:rPr>
          <w:b/>
          <w:i w:val="0"/>
          <w:sz w:val="18"/>
        </w:rPr>
        <w:t>2024</w:t>
      </w:r>
      <w:r>
        <w:rPr>
          <w:b w:val="0"/>
          <w:i w:val="0"/>
          <w:sz w:val="18"/>
        </w:rPr>
        <w:t xml:space="preserve">, </w:t>
      </w:r>
      <w:r>
        <w:rPr>
          <w:b w:val="0"/>
          <w:i/>
          <w:sz w:val="18"/>
        </w:rPr>
        <w:t>384</w:t>
      </w:r>
      <w:r>
        <w:rPr>
          <w:b w:val="0"/>
          <w:i w:val="0"/>
          <w:sz w:val="18"/>
        </w:rPr>
        <w:t>, 1306–1308.</w:t>
      </w:r>
      <w:r>
        <w:rPr>
          <w:b w:val="0"/>
          <w:i w:val="0"/>
          <w:sz w:val="18"/>
        </w:rPr>
        <w:t xml:space="preserve"> [CrossRef]</w:t>
      </w:r>
    </w:p>
    <w:p>
      <w:pPr>
        <w:pStyle w:val="MDPI32textnoindent"/>
        <w:spacing w:line="240" w:lineRule="auto" w:before="0" w:after="40"/>
        <w:ind w:left="425" w:hanging="425"/>
        <w:tabs>
          <w:tab w:val="left" w:pos="425"/>
        </w:tabs>
      </w:pPr>
      <w:bookmarkStart w:id="1016" w:name="_Ref_16"/>
      <w:r>
        <w:rPr>
          <w:b w:val="0"/>
          <w:sz w:val="18"/>
        </w:rPr>
        <w:t>16</w:t>
      </w:r>
      <w:bookmarkEnd w:id="1016"/>
      <w:r>
        <w:rPr>
          <w:sz w:val="18"/>
        </w:rPr>
        <w:t>.</w:t>
        <w:tab/>
      </w:r>
      <w:r>
        <w:rPr>
          <w:b w:val="0"/>
          <w:i w:val="0"/>
          <w:sz w:val="18"/>
        </w:rPr>
        <w:t xml:space="preserve">Felten, E.; Raj, M.; Seamans, R. </w:t>
      </w:r>
      <w:r>
        <w:rPr>
          <w:b w:val="0"/>
          <w:i w:val="0"/>
          <w:sz w:val="18"/>
        </w:rPr>
        <w:t xml:space="preserve">Occupational, Industry, and Geographic Exposure to Artificial Intelligence: A Novel Dataset and Its Potential Uses. </w:t>
      </w:r>
      <w:r>
        <w:rPr>
          <w:b w:val="0"/>
          <w:i/>
          <w:sz w:val="18"/>
        </w:rPr>
        <w:t xml:space="preserve">Strateg. Manag. J. </w:t>
      </w:r>
      <w:r>
        <w:rPr>
          <w:b/>
          <w:i w:val="0"/>
          <w:sz w:val="18"/>
        </w:rPr>
        <w:t>2021</w:t>
      </w:r>
      <w:r>
        <w:rPr>
          <w:b w:val="0"/>
          <w:i w:val="0"/>
          <w:sz w:val="18"/>
        </w:rPr>
        <w:t xml:space="preserve">, </w:t>
      </w:r>
      <w:r>
        <w:rPr>
          <w:b w:val="0"/>
          <w:i/>
          <w:sz w:val="18"/>
        </w:rPr>
        <w:t>42</w:t>
      </w:r>
      <w:r>
        <w:rPr>
          <w:b w:val="0"/>
          <w:i w:val="0"/>
          <w:sz w:val="18"/>
        </w:rPr>
        <w:t>, 2195–2217.</w:t>
      </w:r>
      <w:r>
        <w:rPr>
          <w:b w:val="0"/>
          <w:i w:val="0"/>
          <w:sz w:val="18"/>
        </w:rPr>
        <w:t xml:space="preserve"> [CrossRef]</w:t>
      </w:r>
    </w:p>
    <w:p>
      <w:pPr>
        <w:pStyle w:val="MDPI32textnoindent"/>
        <w:spacing w:line="240" w:lineRule="auto" w:before="0" w:after="40"/>
        <w:ind w:left="425" w:hanging="425"/>
        <w:tabs>
          <w:tab w:val="left" w:pos="425"/>
        </w:tabs>
      </w:pPr>
      <w:bookmarkStart w:id="1017" w:name="_Ref_17"/>
      <w:r>
        <w:rPr>
          <w:b w:val="0"/>
          <w:sz w:val="18"/>
        </w:rPr>
        <w:t>17</w:t>
      </w:r>
      <w:bookmarkEnd w:id="1017"/>
      <w:r>
        <w:rPr>
          <w:sz w:val="18"/>
        </w:rPr>
        <w:t>.</w:t>
        <w:tab/>
      </w:r>
      <w:r>
        <w:rPr>
          <w:b w:val="0"/>
          <w:i w:val="0"/>
          <w:sz w:val="18"/>
        </w:rPr>
        <w:t xml:space="preserve">Brynjolfsson, E.; Chandar, B.; Chen, R. </w:t>
      </w:r>
      <w:r>
        <w:rPr>
          <w:b w:val="0"/>
          <w:i/>
          <w:sz w:val="18"/>
        </w:rPr>
        <w:t xml:space="preserve">Canaries in the Coal Mine? Six Facts about the Recent Employment Effects of Artificial Intelligence; </w:t>
      </w:r>
      <w:r>
        <w:rPr>
          <w:b w:val="0"/>
          <w:i w:val="0"/>
          <w:sz w:val="18"/>
        </w:rPr>
        <w:t xml:space="preserve">Working Paper; </w:t>
      </w:r>
      <w:r>
        <w:rPr>
          <w:b w:val="0"/>
          <w:i w:val="0"/>
          <w:sz w:val="18"/>
        </w:rPr>
        <w:t>Stanford Digital Economy Lab, Stanford University: Stanford, CA, USA, 2025.</w:t>
      </w:r>
    </w:p>
    <w:p>
      <w:pPr>
        <w:pStyle w:val="MDPI32textnoindent"/>
        <w:spacing w:line="240" w:lineRule="auto" w:before="0" w:after="40"/>
        <w:ind w:left="425" w:hanging="425"/>
        <w:tabs>
          <w:tab w:val="left" w:pos="425"/>
        </w:tabs>
      </w:pPr>
      <w:bookmarkStart w:id="1018" w:name="_Ref_18"/>
      <w:r>
        <w:rPr>
          <w:b w:val="0"/>
          <w:sz w:val="18"/>
        </w:rPr>
        <w:t>18</w:t>
      </w:r>
      <w:bookmarkEnd w:id="1018"/>
      <w:r>
        <w:rPr>
          <w:sz w:val="18"/>
        </w:rPr>
        <w:t>.</w:t>
        <w:tab/>
      </w:r>
      <w:r>
        <w:rPr>
          <w:b w:val="0"/>
          <w:i w:val="0"/>
          <w:sz w:val="18"/>
        </w:rPr>
        <w:t xml:space="preserve">Liu, Y.; Wang, H.; Yu, S. </w:t>
      </w:r>
      <w:r>
        <w:rPr>
          <w:b w:val="0"/>
          <w:i/>
          <w:sz w:val="18"/>
        </w:rPr>
        <w:t xml:space="preserve">Labor Demand in the Age of Generative AI: Early Evidence from the U.S. Job Posting Data; </w:t>
      </w:r>
      <w:r>
        <w:rPr>
          <w:b w:val="0"/>
          <w:i w:val="0"/>
          <w:sz w:val="18"/>
        </w:rPr>
        <w:t xml:space="preserve">Policy Research Working Paper 11263; </w:t>
      </w:r>
      <w:r>
        <w:rPr>
          <w:b w:val="0"/>
          <w:i w:val="0"/>
          <w:sz w:val="18"/>
        </w:rPr>
        <w:t>World Bank: Washington, DC, USA, 2025.</w:t>
      </w:r>
    </w:p>
    <w:p>
      <w:pPr>
        <w:pStyle w:val="MDPI32textnoindent"/>
        <w:spacing w:line="240" w:lineRule="auto" w:before="0" w:after="40"/>
        <w:ind w:left="425" w:hanging="425"/>
        <w:tabs>
          <w:tab w:val="left" w:pos="425"/>
        </w:tabs>
      </w:pPr>
      <w:bookmarkStart w:id="1019" w:name="_Ref_19"/>
      <w:r>
        <w:rPr>
          <w:b w:val="0"/>
          <w:sz w:val="18"/>
        </w:rPr>
        <w:t>19</w:t>
      </w:r>
      <w:bookmarkEnd w:id="1019"/>
      <w:r>
        <w:rPr>
          <w:sz w:val="18"/>
        </w:rPr>
        <w:t>.</w:t>
        <w:tab/>
      </w:r>
      <w:r>
        <w:rPr>
          <w:b w:val="0"/>
          <w:i w:val="0"/>
          <w:sz w:val="18"/>
        </w:rPr>
        <w:t xml:space="preserve">Acemoglu, D.; Restrepo, P. </w:t>
      </w:r>
      <w:r>
        <w:rPr>
          <w:b w:val="0"/>
          <w:i w:val="0"/>
          <w:sz w:val="18"/>
        </w:rPr>
        <w:t xml:space="preserve">The Race between Man and Machine: Implications of Technology for Growth, Factor Shares, and Employment. </w:t>
      </w:r>
      <w:r>
        <w:rPr>
          <w:b w:val="0"/>
          <w:i/>
          <w:sz w:val="18"/>
        </w:rPr>
        <w:t xml:space="preserve">Am. Econ. Rev. </w:t>
      </w:r>
      <w:r>
        <w:rPr>
          <w:b/>
          <w:i w:val="0"/>
          <w:sz w:val="18"/>
        </w:rPr>
        <w:t>2018</w:t>
      </w:r>
      <w:r>
        <w:rPr>
          <w:b w:val="0"/>
          <w:i w:val="0"/>
          <w:sz w:val="18"/>
        </w:rPr>
        <w:t xml:space="preserve">, </w:t>
      </w:r>
      <w:r>
        <w:rPr>
          <w:b w:val="0"/>
          <w:i/>
          <w:sz w:val="18"/>
        </w:rPr>
        <w:t>108</w:t>
      </w:r>
      <w:r>
        <w:rPr>
          <w:b w:val="0"/>
          <w:i w:val="0"/>
          <w:sz w:val="18"/>
        </w:rPr>
        <w:t>, 1488–1542.</w:t>
      </w:r>
      <w:r>
        <w:rPr>
          <w:b w:val="0"/>
          <w:i w:val="0"/>
          <w:sz w:val="18"/>
        </w:rPr>
        <w:t xml:space="preserve"> [CrossRef]</w:t>
      </w:r>
    </w:p>
    <w:p>
      <w:pPr>
        <w:pStyle w:val="MDPI32textnoindent"/>
        <w:spacing w:line="240" w:lineRule="auto" w:before="0" w:after="40"/>
        <w:ind w:left="425" w:hanging="425"/>
        <w:tabs>
          <w:tab w:val="left" w:pos="425"/>
        </w:tabs>
      </w:pPr>
      <w:bookmarkStart w:id="1020" w:name="_Ref_20"/>
      <w:r>
        <w:rPr>
          <w:b w:val="0"/>
          <w:sz w:val="18"/>
        </w:rPr>
        <w:t>20</w:t>
      </w:r>
      <w:bookmarkEnd w:id="1020"/>
      <w:r>
        <w:rPr>
          <w:sz w:val="18"/>
        </w:rPr>
        <w:t>.</w:t>
        <w:tab/>
      </w:r>
      <w:r>
        <w:rPr>
          <w:b w:val="0"/>
          <w:i w:val="0"/>
          <w:sz w:val="18"/>
        </w:rPr>
        <w:t xml:space="preserve">Acemoglu, D.; Restrepo, P. </w:t>
      </w:r>
      <w:r>
        <w:rPr>
          <w:b w:val="0"/>
          <w:i w:val="0"/>
          <w:sz w:val="18"/>
        </w:rPr>
        <w:t xml:space="preserve">Tasks, Automation, and the Rise in U.S. Wage Inequality. </w:t>
      </w:r>
      <w:r>
        <w:rPr>
          <w:b w:val="0"/>
          <w:i/>
          <w:sz w:val="18"/>
        </w:rPr>
        <w:t xml:space="preserve">Econometrica </w:t>
      </w:r>
      <w:r>
        <w:rPr>
          <w:b/>
          <w:i w:val="0"/>
          <w:sz w:val="18"/>
        </w:rPr>
        <w:t>2022</w:t>
      </w:r>
      <w:r>
        <w:rPr>
          <w:b w:val="0"/>
          <w:i w:val="0"/>
          <w:sz w:val="18"/>
        </w:rPr>
        <w:t xml:space="preserve">, </w:t>
      </w:r>
      <w:r>
        <w:rPr>
          <w:b w:val="0"/>
          <w:i/>
          <w:sz w:val="18"/>
        </w:rPr>
        <w:t>90</w:t>
      </w:r>
      <w:r>
        <w:rPr>
          <w:b w:val="0"/>
          <w:i w:val="0"/>
          <w:sz w:val="18"/>
        </w:rPr>
        <w:t>, 1973–2016.</w:t>
      </w:r>
      <w:r>
        <w:rPr>
          <w:b w:val="0"/>
          <w:i w:val="0"/>
          <w:sz w:val="18"/>
        </w:rPr>
        <w:t xml:space="preserve"> [CrossRef]</w:t>
      </w:r>
    </w:p>
    <w:p>
      <w:pPr>
        <w:pStyle w:val="MDPI32textnoindent"/>
        <w:spacing w:line="240" w:lineRule="auto" w:before="0" w:after="40"/>
        <w:ind w:left="425" w:hanging="425"/>
        <w:tabs>
          <w:tab w:val="left" w:pos="425"/>
        </w:tabs>
      </w:pPr>
      <w:bookmarkStart w:id="1021" w:name="_Ref_21"/>
      <w:r>
        <w:rPr>
          <w:b w:val="0"/>
          <w:sz w:val="18"/>
        </w:rPr>
        <w:t>21</w:t>
      </w:r>
      <w:bookmarkEnd w:id="1021"/>
      <w:r>
        <w:rPr>
          <w:sz w:val="18"/>
        </w:rPr>
        <w:t>.</w:t>
        <w:tab/>
      </w:r>
      <w:r>
        <w:rPr>
          <w:b w:val="0"/>
          <w:i w:val="0"/>
          <w:sz w:val="18"/>
        </w:rPr>
        <w:t xml:space="preserve">Autor, D.; Chin, C.; Salomons, A.; Seegmiller, B. </w:t>
      </w:r>
      <w:r>
        <w:rPr>
          <w:b w:val="0"/>
          <w:i w:val="0"/>
          <w:sz w:val="18"/>
        </w:rPr>
        <w:t xml:space="preserve">New Frontiers: The Origins and Content of New Work, 1940–2018. </w:t>
      </w:r>
      <w:r>
        <w:rPr>
          <w:b w:val="0"/>
          <w:i/>
          <w:sz w:val="18"/>
        </w:rPr>
        <w:t xml:space="preserve">Q. J. Econ. </w:t>
      </w:r>
      <w:r>
        <w:rPr>
          <w:b/>
          <w:i w:val="0"/>
          <w:sz w:val="18"/>
        </w:rPr>
        <w:t>2024</w:t>
      </w:r>
      <w:r>
        <w:rPr>
          <w:b w:val="0"/>
          <w:i w:val="0"/>
          <w:sz w:val="18"/>
        </w:rPr>
        <w:t xml:space="preserve">, </w:t>
      </w:r>
      <w:r>
        <w:rPr>
          <w:b w:val="0"/>
          <w:i/>
          <w:sz w:val="18"/>
        </w:rPr>
        <w:t>139</w:t>
      </w:r>
      <w:r>
        <w:rPr>
          <w:b w:val="0"/>
          <w:i w:val="0"/>
          <w:sz w:val="18"/>
        </w:rPr>
        <w:t>, 1399–1465.</w:t>
      </w:r>
      <w:r>
        <w:rPr>
          <w:b w:val="0"/>
          <w:i w:val="0"/>
          <w:sz w:val="18"/>
        </w:rPr>
        <w:t xml:space="preserve"> [CrossRef]</w:t>
      </w:r>
    </w:p>
    <w:p>
      <w:pPr>
        <w:pStyle w:val="MDPI32textnoindent"/>
        <w:spacing w:line="240" w:lineRule="auto" w:before="0" w:after="40"/>
        <w:ind w:left="425" w:hanging="425"/>
        <w:tabs>
          <w:tab w:val="left" w:pos="425"/>
        </w:tabs>
      </w:pPr>
      <w:bookmarkStart w:id="1022" w:name="_Ref_22"/>
      <w:r>
        <w:rPr>
          <w:b w:val="0"/>
          <w:sz w:val="18"/>
        </w:rPr>
        <w:t>22</w:t>
      </w:r>
      <w:bookmarkEnd w:id="1022"/>
      <w:r>
        <w:rPr>
          <w:sz w:val="18"/>
        </w:rPr>
        <w:t>.</w:t>
        <w:tab/>
      </w:r>
      <w:r>
        <w:rPr>
          <w:b w:val="0"/>
          <w:i w:val="0"/>
          <w:sz w:val="18"/>
        </w:rPr>
        <w:t xml:space="preserve">Bresnahan, T.F.; Trajtenberg, M. </w:t>
      </w:r>
      <w:r>
        <w:rPr>
          <w:b w:val="0"/>
          <w:i w:val="0"/>
          <w:sz w:val="18"/>
        </w:rPr>
        <w:t xml:space="preserve">General Purpose Technologies: “Engines of Growth”? </w:t>
      </w:r>
      <w:r>
        <w:rPr>
          <w:b w:val="0"/>
          <w:i/>
          <w:sz w:val="18"/>
        </w:rPr>
        <w:t xml:space="preserve">J. Econom. </w:t>
      </w:r>
      <w:r>
        <w:rPr>
          <w:b/>
          <w:i w:val="0"/>
          <w:sz w:val="18"/>
        </w:rPr>
        <w:t>1995</w:t>
      </w:r>
      <w:r>
        <w:rPr>
          <w:b w:val="0"/>
          <w:i w:val="0"/>
          <w:sz w:val="18"/>
        </w:rPr>
        <w:t xml:space="preserve">, </w:t>
      </w:r>
      <w:r>
        <w:rPr>
          <w:b w:val="0"/>
          <w:i/>
          <w:sz w:val="18"/>
        </w:rPr>
        <w:t>65</w:t>
      </w:r>
      <w:r>
        <w:rPr>
          <w:b w:val="0"/>
          <w:i w:val="0"/>
          <w:sz w:val="18"/>
        </w:rPr>
        <w:t>, 83–108.</w:t>
      </w:r>
      <w:r>
        <w:rPr>
          <w:b w:val="0"/>
          <w:i w:val="0"/>
          <w:sz w:val="18"/>
        </w:rPr>
        <w:t xml:space="preserve"> [CrossRef]</w:t>
      </w:r>
    </w:p>
    <w:p>
      <w:pPr>
        <w:pStyle w:val="MDPI32textnoindent"/>
        <w:spacing w:line="240" w:lineRule="auto" w:before="0" w:after="40"/>
        <w:ind w:left="425" w:hanging="425"/>
        <w:tabs>
          <w:tab w:val="left" w:pos="425"/>
        </w:tabs>
      </w:pPr>
      <w:bookmarkStart w:id="1023" w:name="_Ref_23"/>
      <w:r>
        <w:rPr>
          <w:b w:val="0"/>
          <w:sz w:val="18"/>
        </w:rPr>
        <w:t>23</w:t>
      </w:r>
      <w:bookmarkEnd w:id="1023"/>
      <w:r>
        <w:rPr>
          <w:sz w:val="18"/>
        </w:rPr>
        <w:t>.</w:t>
        <w:tab/>
      </w:r>
      <w:r>
        <w:rPr>
          <w:b w:val="0"/>
          <w:i w:val="0"/>
          <w:sz w:val="18"/>
        </w:rPr>
        <w:t xml:space="preserve">Agrawal, A.; Gans, J.S.; Goldfarb, A. </w:t>
      </w:r>
      <w:r>
        <w:rPr>
          <w:b w:val="0"/>
          <w:i w:val="0"/>
          <w:sz w:val="18"/>
        </w:rPr>
        <w:t xml:space="preserve">Artificial Intelligence: The Ambiguous Labor Market Impact of Automating Prediction. </w:t>
      </w:r>
      <w:r>
        <w:rPr>
          <w:b w:val="0"/>
          <w:i/>
          <w:sz w:val="18"/>
        </w:rPr>
        <w:t xml:space="preserve">J. Econ. Perspect. </w:t>
      </w:r>
      <w:r>
        <w:rPr>
          <w:b/>
          <w:i w:val="0"/>
          <w:sz w:val="18"/>
        </w:rPr>
        <w:t>2019</w:t>
      </w:r>
      <w:r>
        <w:rPr>
          <w:b w:val="0"/>
          <w:i w:val="0"/>
          <w:sz w:val="18"/>
        </w:rPr>
        <w:t xml:space="preserve">, </w:t>
      </w:r>
      <w:r>
        <w:rPr>
          <w:b w:val="0"/>
          <w:i/>
          <w:sz w:val="18"/>
        </w:rPr>
        <w:t>33</w:t>
      </w:r>
      <w:r>
        <w:rPr>
          <w:b w:val="0"/>
          <w:i w:val="0"/>
          <w:sz w:val="18"/>
        </w:rPr>
        <w:t>, 31–50.</w:t>
      </w:r>
      <w:r>
        <w:rPr>
          <w:b w:val="0"/>
          <w:i w:val="0"/>
          <w:sz w:val="18"/>
        </w:rPr>
        <w:t xml:space="preserve"> [CrossRef]</w:t>
      </w:r>
    </w:p>
    <w:p>
      <w:pPr>
        <w:pStyle w:val="MDPI32textnoindent"/>
        <w:spacing w:line="240" w:lineRule="auto" w:before="0" w:after="40"/>
        <w:ind w:left="425" w:hanging="425"/>
        <w:tabs>
          <w:tab w:val="left" w:pos="425"/>
        </w:tabs>
      </w:pPr>
      <w:bookmarkStart w:id="1024" w:name="_Ref_24"/>
      <w:r>
        <w:rPr>
          <w:b w:val="0"/>
          <w:sz w:val="18"/>
        </w:rPr>
        <w:t>24</w:t>
      </w:r>
      <w:bookmarkEnd w:id="1024"/>
      <w:r>
        <w:rPr>
          <w:sz w:val="18"/>
        </w:rPr>
        <w:t>.</w:t>
        <w:tab/>
      </w:r>
      <w:r>
        <w:rPr>
          <w:b w:val="0"/>
          <w:i w:val="0"/>
          <w:sz w:val="18"/>
        </w:rPr>
        <w:t xml:space="preserve">Brynjolfsson, E.; Rock, D.; Syverson, C. </w:t>
      </w:r>
      <w:r>
        <w:rPr>
          <w:b w:val="0"/>
          <w:i w:val="0"/>
          <w:sz w:val="18"/>
        </w:rPr>
        <w:t xml:space="preserve">The Productivity J-Curve: How Intangibles Complement General Purpose Technologies. </w:t>
      </w:r>
      <w:r>
        <w:rPr>
          <w:b w:val="0"/>
          <w:i/>
          <w:sz w:val="18"/>
        </w:rPr>
        <w:t xml:space="preserve">Am. Econ. J. Macroecon. </w:t>
      </w:r>
      <w:r>
        <w:rPr>
          <w:b/>
          <w:i w:val="0"/>
          <w:sz w:val="18"/>
        </w:rPr>
        <w:t>2021</w:t>
      </w:r>
      <w:r>
        <w:rPr>
          <w:b w:val="0"/>
          <w:i w:val="0"/>
          <w:sz w:val="18"/>
        </w:rPr>
        <w:t xml:space="preserve">, </w:t>
      </w:r>
      <w:r>
        <w:rPr>
          <w:b w:val="0"/>
          <w:i/>
          <w:sz w:val="18"/>
        </w:rPr>
        <w:t>13</w:t>
      </w:r>
      <w:r>
        <w:rPr>
          <w:b w:val="0"/>
          <w:i w:val="0"/>
          <w:sz w:val="18"/>
        </w:rPr>
        <w:t>, 333–372.</w:t>
      </w:r>
      <w:r>
        <w:rPr>
          <w:b w:val="0"/>
          <w:i w:val="0"/>
          <w:sz w:val="18"/>
        </w:rPr>
        <w:t xml:space="preserve"> [CrossRef]</w:t>
      </w:r>
    </w:p>
    <w:p>
      <w:pPr>
        <w:pStyle w:val="MDPI32textnoindent"/>
        <w:spacing w:line="240" w:lineRule="auto" w:before="0" w:after="40"/>
        <w:ind w:left="425" w:hanging="425"/>
        <w:tabs>
          <w:tab w:val="left" w:pos="425"/>
        </w:tabs>
      </w:pPr>
      <w:bookmarkStart w:id="1025" w:name="_Ref_25"/>
      <w:r>
        <w:rPr>
          <w:b w:val="0"/>
          <w:sz w:val="18"/>
        </w:rPr>
        <w:t>25</w:t>
      </w:r>
      <w:bookmarkEnd w:id="1025"/>
      <w:r>
        <w:rPr>
          <w:sz w:val="18"/>
        </w:rPr>
        <w:t>.</w:t>
        <w:tab/>
      </w:r>
      <w:r>
        <w:rPr>
          <w:b w:val="0"/>
          <w:i w:val="0"/>
          <w:sz w:val="18"/>
        </w:rPr>
        <w:t xml:space="preserve">Babina, T.; Fedyk, A.; He, A.; Hodson, J. </w:t>
      </w:r>
      <w:r>
        <w:rPr>
          <w:b w:val="0"/>
          <w:i w:val="0"/>
          <w:sz w:val="18"/>
        </w:rPr>
        <w:t xml:space="preserve">Artificial Intelligence, Firm Growth, and Product Innovation. </w:t>
      </w:r>
      <w:r>
        <w:rPr>
          <w:b w:val="0"/>
          <w:i/>
          <w:sz w:val="18"/>
        </w:rPr>
        <w:t xml:space="preserve">J. Financ. Econ. </w:t>
      </w:r>
      <w:r>
        <w:rPr>
          <w:b/>
          <w:i w:val="0"/>
          <w:sz w:val="18"/>
        </w:rPr>
        <w:t>2024</w:t>
      </w:r>
      <w:r>
        <w:rPr>
          <w:b w:val="0"/>
          <w:i w:val="0"/>
          <w:sz w:val="18"/>
        </w:rPr>
        <w:t xml:space="preserve">, </w:t>
      </w:r>
      <w:r>
        <w:rPr>
          <w:b w:val="0"/>
          <w:i/>
          <w:sz w:val="18"/>
        </w:rPr>
        <w:t>151</w:t>
      </w:r>
      <w:r>
        <w:rPr>
          <w:b w:val="0"/>
          <w:i w:val="0"/>
          <w:sz w:val="18"/>
        </w:rPr>
        <w:t>, 103745.</w:t>
      </w:r>
      <w:r>
        <w:rPr>
          <w:b w:val="0"/>
          <w:i w:val="0"/>
          <w:sz w:val="18"/>
        </w:rPr>
        <w:t xml:space="preserve"> [CrossRef]</w:t>
      </w:r>
    </w:p>
    <w:p>
      <w:pPr>
        <w:pStyle w:val="MDPI32textnoindent"/>
        <w:spacing w:line="240" w:lineRule="auto" w:before="0" w:after="40"/>
        <w:ind w:left="425" w:hanging="425"/>
        <w:tabs>
          <w:tab w:val="left" w:pos="425"/>
        </w:tabs>
      </w:pPr>
      <w:bookmarkStart w:id="1026" w:name="_Ref_26"/>
      <w:r>
        <w:rPr>
          <w:b w:val="0"/>
          <w:sz w:val="18"/>
        </w:rPr>
        <w:t>26</w:t>
      </w:r>
      <w:bookmarkEnd w:id="1026"/>
      <w:r>
        <w:rPr>
          <w:sz w:val="18"/>
        </w:rPr>
        <w:t>.</w:t>
        <w:tab/>
      </w:r>
      <w:r>
        <w:rPr>
          <w:b w:val="0"/>
          <w:i w:val="0"/>
          <w:sz w:val="18"/>
        </w:rPr>
        <w:t xml:space="preserve">Hui, X.; Reshef, O.; Zhou, L. </w:t>
      </w:r>
      <w:r>
        <w:rPr>
          <w:b w:val="0"/>
          <w:i w:val="0"/>
          <w:sz w:val="18"/>
        </w:rPr>
        <w:t xml:space="preserve">The Short-Term Effects of Generative Artificial Intelligence on Employment: Evidence from an Online Labor Market. </w:t>
      </w:r>
      <w:r>
        <w:rPr>
          <w:b w:val="0"/>
          <w:i/>
          <w:sz w:val="18"/>
        </w:rPr>
        <w:t xml:space="preserve">Organ. Sci. </w:t>
      </w:r>
      <w:r>
        <w:rPr>
          <w:b/>
          <w:i w:val="0"/>
          <w:sz w:val="18"/>
        </w:rPr>
        <w:t>2024</w:t>
      </w:r>
      <w:r>
        <w:rPr>
          <w:b w:val="0"/>
          <w:i w:val="0"/>
          <w:sz w:val="18"/>
        </w:rPr>
        <w:t xml:space="preserve">, </w:t>
      </w:r>
      <w:r>
        <w:rPr>
          <w:b w:val="0"/>
          <w:i/>
          <w:sz w:val="18"/>
        </w:rPr>
        <w:t>35</w:t>
      </w:r>
      <w:r>
        <w:rPr>
          <w:b w:val="0"/>
          <w:i w:val="0"/>
          <w:sz w:val="18"/>
        </w:rPr>
        <w:t>, 1977–1989.</w:t>
      </w:r>
      <w:r>
        <w:rPr>
          <w:b w:val="0"/>
          <w:i w:val="0"/>
          <w:sz w:val="18"/>
        </w:rPr>
        <w:t xml:space="preserve"> [CrossRef]</w:t>
      </w:r>
    </w:p>
    <w:p>
      <w:pPr>
        <w:pStyle w:val="MDPI32textnoindent"/>
        <w:spacing w:line="240" w:lineRule="auto" w:before="0" w:after="40"/>
        <w:ind w:left="425" w:hanging="425"/>
        <w:tabs>
          <w:tab w:val="left" w:pos="425"/>
        </w:tabs>
      </w:pPr>
      <w:bookmarkStart w:id="1027" w:name="_Ref_27"/>
      <w:r>
        <w:rPr>
          <w:b w:val="0"/>
          <w:sz w:val="18"/>
        </w:rPr>
        <w:t>27</w:t>
      </w:r>
      <w:bookmarkEnd w:id="1027"/>
      <w:r>
        <w:rPr>
          <w:sz w:val="18"/>
        </w:rPr>
        <w:t>.</w:t>
        <w:tab/>
      </w:r>
      <w:r>
        <w:rPr>
          <w:b w:val="0"/>
          <w:i w:val="0"/>
          <w:sz w:val="18"/>
        </w:rPr>
        <w:t xml:space="preserve">Humlum, A.; Vestergaard, E. </w:t>
      </w:r>
      <w:r>
        <w:rPr>
          <w:b w:val="0"/>
          <w:i/>
          <w:sz w:val="18"/>
        </w:rPr>
        <w:t xml:space="preserve">Large Language Models, Small Labor Market Effects; </w:t>
      </w:r>
      <w:r>
        <w:rPr>
          <w:b w:val="0"/>
          <w:i w:val="0"/>
          <w:sz w:val="18"/>
        </w:rPr>
        <w:t xml:space="preserve">NBER Working Paper 33777; </w:t>
      </w:r>
      <w:r>
        <w:rPr>
          <w:b w:val="0"/>
          <w:i w:val="0"/>
          <w:sz w:val="18"/>
        </w:rPr>
        <w:t>National Bureau of Economic Research: Cambridge, MA, USA, 2025.</w:t>
      </w:r>
    </w:p>
    <w:p>
      <w:pPr>
        <w:pStyle w:val="MDPI32textnoindent"/>
        <w:spacing w:line="240" w:lineRule="auto" w:before="0" w:after="40"/>
        <w:ind w:left="425" w:hanging="425"/>
        <w:tabs>
          <w:tab w:val="left" w:pos="425"/>
        </w:tabs>
      </w:pPr>
      <w:bookmarkStart w:id="1028" w:name="_Ref_28"/>
      <w:r>
        <w:rPr>
          <w:b w:val="0"/>
          <w:sz w:val="18"/>
        </w:rPr>
        <w:t>28</w:t>
      </w:r>
      <w:bookmarkEnd w:id="1028"/>
      <w:r>
        <w:rPr>
          <w:sz w:val="18"/>
        </w:rPr>
        <w:t>.</w:t>
        <w:tab/>
      </w:r>
      <w:r>
        <w:rPr>
          <w:b w:val="0"/>
          <w:i w:val="0"/>
          <w:sz w:val="18"/>
        </w:rPr>
        <w:t xml:space="preserve">Becker, G.S. </w:t>
      </w:r>
      <w:r>
        <w:rPr>
          <w:b w:val="0"/>
          <w:i/>
          <w:sz w:val="18"/>
        </w:rPr>
        <w:t>Human Capital: A Theoretical and Empirical Analysis, with Special Reference to Education</w:t>
      </w:r>
      <w:r>
        <w:rPr>
          <w:b w:val="0"/>
          <w:i w:val="0"/>
          <w:sz w:val="18"/>
        </w:rPr>
        <w:t xml:space="preserve">; </w:t>
      </w:r>
      <w:r>
        <w:rPr>
          <w:b w:val="0"/>
          <w:i w:val="0"/>
          <w:sz w:val="18"/>
        </w:rPr>
        <w:t>National Bureau of Economic Research: New York, NY, USA, 1964.</w:t>
      </w:r>
    </w:p>
    <w:p>
      <w:pPr>
        <w:pStyle w:val="MDPI32textnoindent"/>
        <w:spacing w:line="240" w:lineRule="auto" w:before="0" w:after="40"/>
        <w:ind w:left="425" w:hanging="425"/>
        <w:tabs>
          <w:tab w:val="left" w:pos="425"/>
        </w:tabs>
      </w:pPr>
      <w:bookmarkStart w:id="1029" w:name="_Ref_29"/>
      <w:r>
        <w:rPr>
          <w:b w:val="0"/>
          <w:sz w:val="18"/>
        </w:rPr>
        <w:t>29</w:t>
      </w:r>
      <w:bookmarkEnd w:id="1029"/>
      <w:r>
        <w:rPr>
          <w:sz w:val="18"/>
        </w:rPr>
        <w:t>.</w:t>
        <w:tab/>
      </w:r>
      <w:r>
        <w:rPr>
          <w:b w:val="0"/>
          <w:i w:val="0"/>
          <w:sz w:val="18"/>
        </w:rPr>
        <w:t xml:space="preserve">Doeringer, P.B.; Piore, M.J. </w:t>
      </w:r>
      <w:r>
        <w:rPr>
          <w:b w:val="0"/>
          <w:i/>
          <w:sz w:val="18"/>
        </w:rPr>
        <w:t>Internal Labor Markets and Manpower Analysis</w:t>
      </w:r>
      <w:r>
        <w:rPr>
          <w:b w:val="0"/>
          <w:i w:val="0"/>
          <w:sz w:val="18"/>
        </w:rPr>
        <w:t xml:space="preserve">; </w:t>
      </w:r>
      <w:r>
        <w:rPr>
          <w:b w:val="0"/>
          <w:i w:val="0"/>
          <w:sz w:val="18"/>
        </w:rPr>
        <w:t>D.C. Heath: Lexington, MA, USA, 1971.</w:t>
      </w:r>
    </w:p>
    <w:p>
      <w:pPr>
        <w:pStyle w:val="MDPI32textnoindent"/>
        <w:spacing w:line="240" w:lineRule="auto" w:before="0" w:after="40"/>
        <w:ind w:left="425" w:hanging="425"/>
        <w:tabs>
          <w:tab w:val="left" w:pos="425"/>
        </w:tabs>
      </w:pPr>
      <w:bookmarkStart w:id="1030" w:name="_Ref_30"/>
      <w:r>
        <w:rPr>
          <w:b w:val="0"/>
          <w:sz w:val="18"/>
        </w:rPr>
        <w:t>30</w:t>
      </w:r>
      <w:bookmarkEnd w:id="1030"/>
      <w:r>
        <w:rPr>
          <w:sz w:val="18"/>
        </w:rPr>
        <w:t>.</w:t>
        <w:tab/>
      </w:r>
      <w:r>
        <w:rPr>
          <w:b w:val="0"/>
          <w:i w:val="0"/>
          <w:sz w:val="18"/>
        </w:rPr>
        <w:t xml:space="preserve">Gibbons, R.; Waldman, M. </w:t>
      </w:r>
      <w:r>
        <w:rPr>
          <w:b w:val="0"/>
          <w:i w:val="0"/>
          <w:sz w:val="18"/>
        </w:rPr>
        <w:t xml:space="preserve">Task-Specific Human Capital. </w:t>
      </w:r>
      <w:r>
        <w:rPr>
          <w:b w:val="0"/>
          <w:i/>
          <w:sz w:val="18"/>
        </w:rPr>
        <w:t xml:space="preserve">Am. Econ. Rev. </w:t>
      </w:r>
      <w:r>
        <w:rPr>
          <w:b/>
          <w:i w:val="0"/>
          <w:sz w:val="18"/>
        </w:rPr>
        <w:t>2004</w:t>
      </w:r>
      <w:r>
        <w:rPr>
          <w:b w:val="0"/>
          <w:i w:val="0"/>
          <w:sz w:val="18"/>
        </w:rPr>
        <w:t xml:space="preserve">, </w:t>
      </w:r>
      <w:r>
        <w:rPr>
          <w:b w:val="0"/>
          <w:i/>
          <w:sz w:val="18"/>
        </w:rPr>
        <w:t>94</w:t>
      </w:r>
      <w:r>
        <w:rPr>
          <w:b w:val="0"/>
          <w:i w:val="0"/>
          <w:sz w:val="18"/>
        </w:rPr>
        <w:t>, 203–207.</w:t>
      </w:r>
      <w:r>
        <w:rPr>
          <w:b w:val="0"/>
          <w:i w:val="0"/>
          <w:sz w:val="18"/>
        </w:rPr>
        <w:t xml:space="preserve"> [CrossRef]</w:t>
      </w:r>
    </w:p>
    <w:p>
      <w:pPr>
        <w:pStyle w:val="MDPI32textnoindent"/>
        <w:spacing w:line="240" w:lineRule="auto" w:before="0" w:after="40"/>
        <w:ind w:left="425" w:hanging="425"/>
        <w:tabs>
          <w:tab w:val="left" w:pos="425"/>
        </w:tabs>
      </w:pPr>
      <w:bookmarkStart w:id="1031" w:name="_Ref_31"/>
      <w:r>
        <w:rPr>
          <w:b w:val="0"/>
          <w:sz w:val="18"/>
        </w:rPr>
        <w:t>31</w:t>
      </w:r>
      <w:bookmarkEnd w:id="1031"/>
      <w:r>
        <w:rPr>
          <w:sz w:val="18"/>
        </w:rPr>
        <w:t>.</w:t>
        <w:tab/>
      </w:r>
      <w:r>
        <w:rPr>
          <w:b w:val="0"/>
          <w:i w:val="0"/>
          <w:sz w:val="18"/>
        </w:rPr>
        <w:t xml:space="preserve">Acemoglu, D.; Pischke, J.-S. </w:t>
      </w:r>
      <w:r>
        <w:rPr>
          <w:b w:val="0"/>
          <w:i w:val="0"/>
          <w:sz w:val="18"/>
        </w:rPr>
        <w:t xml:space="preserve">Why Do Firms Train? Theory and Evidence. </w:t>
      </w:r>
      <w:r>
        <w:rPr>
          <w:b w:val="0"/>
          <w:i/>
          <w:sz w:val="18"/>
        </w:rPr>
        <w:t xml:space="preserve">Q. J. Econ. </w:t>
      </w:r>
      <w:r>
        <w:rPr>
          <w:b/>
          <w:i w:val="0"/>
          <w:sz w:val="18"/>
        </w:rPr>
        <w:t>1998</w:t>
      </w:r>
      <w:r>
        <w:rPr>
          <w:b w:val="0"/>
          <w:i w:val="0"/>
          <w:sz w:val="18"/>
        </w:rPr>
        <w:t xml:space="preserve">, </w:t>
      </w:r>
      <w:r>
        <w:rPr>
          <w:b w:val="0"/>
          <w:i/>
          <w:sz w:val="18"/>
        </w:rPr>
        <w:t>113</w:t>
      </w:r>
      <w:r>
        <w:rPr>
          <w:b w:val="0"/>
          <w:i w:val="0"/>
          <w:sz w:val="18"/>
        </w:rPr>
        <w:t>, 79–119.</w:t>
      </w:r>
      <w:r>
        <w:rPr>
          <w:b w:val="0"/>
          <w:i w:val="0"/>
          <w:sz w:val="18"/>
        </w:rPr>
        <w:t xml:space="preserve"> [CrossRef]</w:t>
      </w:r>
    </w:p>
    <w:p>
      <w:pPr>
        <w:pStyle w:val="MDPI32textnoindent"/>
        <w:spacing w:line="240" w:lineRule="auto" w:before="0" w:after="40"/>
        <w:ind w:left="425" w:hanging="425"/>
        <w:tabs>
          <w:tab w:val="left" w:pos="425"/>
        </w:tabs>
      </w:pPr>
      <w:bookmarkStart w:id="1032" w:name="_Ref_32"/>
      <w:r>
        <w:rPr>
          <w:b w:val="0"/>
          <w:sz w:val="18"/>
        </w:rPr>
        <w:t>32</w:t>
      </w:r>
      <w:bookmarkEnd w:id="1032"/>
      <w:r>
        <w:rPr>
          <w:sz w:val="18"/>
        </w:rPr>
        <w:t>.</w:t>
        <w:tab/>
      </w:r>
      <w:r>
        <w:rPr>
          <w:b w:val="0"/>
          <w:i w:val="0"/>
          <w:sz w:val="18"/>
        </w:rPr>
        <w:t xml:space="preserve">Cohen, W.M.; Levinthal, D.A. </w:t>
      </w:r>
      <w:r>
        <w:rPr>
          <w:b w:val="0"/>
          <w:i w:val="0"/>
          <w:sz w:val="18"/>
        </w:rPr>
        <w:t xml:space="preserve">Absorptive Capacity: A New Perspective on Learning and Innovation. </w:t>
      </w:r>
      <w:r>
        <w:rPr>
          <w:b w:val="0"/>
          <w:i/>
          <w:sz w:val="18"/>
        </w:rPr>
        <w:t xml:space="preserve">Adm. Sci. Q. </w:t>
      </w:r>
      <w:r>
        <w:rPr>
          <w:b/>
          <w:i w:val="0"/>
          <w:sz w:val="18"/>
        </w:rPr>
        <w:t>1990</w:t>
      </w:r>
      <w:r>
        <w:rPr>
          <w:b w:val="0"/>
          <w:i w:val="0"/>
          <w:sz w:val="18"/>
        </w:rPr>
        <w:t xml:space="preserve">, </w:t>
      </w:r>
      <w:r>
        <w:rPr>
          <w:b w:val="0"/>
          <w:i/>
          <w:sz w:val="18"/>
        </w:rPr>
        <w:t>35</w:t>
      </w:r>
      <w:r>
        <w:rPr>
          <w:b w:val="0"/>
          <w:i w:val="0"/>
          <w:sz w:val="18"/>
        </w:rPr>
        <w:t>, 128–152.</w:t>
      </w:r>
      <w:r>
        <w:rPr>
          <w:b w:val="0"/>
          <w:i w:val="0"/>
          <w:sz w:val="18"/>
        </w:rPr>
        <w:t xml:space="preserve"> [CrossRef]</w:t>
      </w:r>
    </w:p>
    <w:p>
      <w:pPr>
        <w:pStyle w:val="MDPI32textnoindent"/>
        <w:spacing w:line="240" w:lineRule="auto" w:before="0" w:after="40"/>
        <w:ind w:left="425" w:hanging="425"/>
        <w:tabs>
          <w:tab w:val="left" w:pos="425"/>
        </w:tabs>
      </w:pPr>
      <w:bookmarkStart w:id="1033" w:name="_Ref_33"/>
      <w:r>
        <w:rPr>
          <w:b w:val="0"/>
          <w:sz w:val="18"/>
        </w:rPr>
        <w:t>33</w:t>
      </w:r>
      <w:bookmarkEnd w:id="1033"/>
      <w:r>
        <w:rPr>
          <w:sz w:val="18"/>
        </w:rPr>
        <w:t>.</w:t>
        <w:tab/>
      </w:r>
      <w:r>
        <w:rPr>
          <w:b w:val="0"/>
          <w:i w:val="0"/>
          <w:sz w:val="18"/>
        </w:rPr>
        <w:t xml:space="preserve">Argote, L.; Miron-Spektor, E. </w:t>
      </w:r>
      <w:r>
        <w:rPr>
          <w:b w:val="0"/>
          <w:i w:val="0"/>
          <w:sz w:val="18"/>
        </w:rPr>
        <w:t xml:space="preserve">Organizational Learning: From Experience to Knowledge. </w:t>
      </w:r>
      <w:r>
        <w:rPr>
          <w:b w:val="0"/>
          <w:i/>
          <w:sz w:val="18"/>
        </w:rPr>
        <w:t xml:space="preserve">Organ. Sci. </w:t>
      </w:r>
      <w:r>
        <w:rPr>
          <w:b/>
          <w:i w:val="0"/>
          <w:sz w:val="18"/>
        </w:rPr>
        <w:t>2011</w:t>
      </w:r>
      <w:r>
        <w:rPr>
          <w:b w:val="0"/>
          <w:i w:val="0"/>
          <w:sz w:val="18"/>
        </w:rPr>
        <w:t xml:space="preserve">, </w:t>
      </w:r>
      <w:r>
        <w:rPr>
          <w:b w:val="0"/>
          <w:i/>
          <w:sz w:val="18"/>
        </w:rPr>
        <w:t>22</w:t>
      </w:r>
      <w:r>
        <w:rPr>
          <w:b w:val="0"/>
          <w:i w:val="0"/>
          <w:sz w:val="18"/>
        </w:rPr>
        <w:t>, 1123–1137.</w:t>
      </w:r>
      <w:r>
        <w:rPr>
          <w:b w:val="0"/>
          <w:i w:val="0"/>
          <w:sz w:val="18"/>
        </w:rPr>
        <w:t xml:space="preserve"> [CrossRef]</w:t>
      </w:r>
    </w:p>
    <w:p>
      <w:pPr>
        <w:pStyle w:val="MDPI32textnoindent"/>
        <w:spacing w:line="240" w:lineRule="auto" w:before="0" w:after="40"/>
        <w:ind w:left="425" w:hanging="425"/>
        <w:tabs>
          <w:tab w:val="left" w:pos="425"/>
        </w:tabs>
      </w:pPr>
      <w:bookmarkStart w:id="1034" w:name="_Ref_34"/>
      <w:r>
        <w:rPr>
          <w:b w:val="0"/>
          <w:sz w:val="18"/>
        </w:rPr>
        <w:t>34</w:t>
      </w:r>
      <w:bookmarkEnd w:id="1034"/>
      <w:r>
        <w:rPr>
          <w:sz w:val="18"/>
        </w:rPr>
        <w:t>.</w:t>
        <w:tab/>
      </w:r>
      <w:r>
        <w:rPr>
          <w:b w:val="0"/>
          <w:i w:val="0"/>
          <w:sz w:val="18"/>
        </w:rPr>
        <w:t xml:space="preserve">Repenning, N.P.; Sterman, J.D. </w:t>
      </w:r>
      <w:r>
        <w:rPr>
          <w:b w:val="0"/>
          <w:i w:val="0"/>
          <w:sz w:val="18"/>
        </w:rPr>
        <w:t xml:space="preserve">Capability Traps and Self-Confirming Attribution Errors in the Dynamics of Process Improvement. </w:t>
      </w:r>
      <w:r>
        <w:rPr>
          <w:b w:val="0"/>
          <w:i/>
          <w:sz w:val="18"/>
        </w:rPr>
        <w:t xml:space="preserve">Adm. Sci. Q. </w:t>
      </w:r>
      <w:r>
        <w:rPr>
          <w:b/>
          <w:i w:val="0"/>
          <w:sz w:val="18"/>
        </w:rPr>
        <w:t>2002</w:t>
      </w:r>
      <w:r>
        <w:rPr>
          <w:b w:val="0"/>
          <w:i w:val="0"/>
          <w:sz w:val="18"/>
        </w:rPr>
        <w:t xml:space="preserve">, </w:t>
      </w:r>
      <w:r>
        <w:rPr>
          <w:b w:val="0"/>
          <w:i/>
          <w:sz w:val="18"/>
        </w:rPr>
        <w:t>47</w:t>
      </w:r>
      <w:r>
        <w:rPr>
          <w:b w:val="0"/>
          <w:i w:val="0"/>
          <w:sz w:val="18"/>
        </w:rPr>
        <w:t>, 265–295.</w:t>
      </w:r>
      <w:r>
        <w:rPr>
          <w:b w:val="0"/>
          <w:i w:val="0"/>
          <w:sz w:val="18"/>
        </w:rPr>
        <w:t xml:space="preserve"> [CrossRef]</w:t>
      </w:r>
    </w:p>
    <w:p>
      <w:pPr>
        <w:pStyle w:val="MDPI32textnoindent"/>
        <w:spacing w:line="240" w:lineRule="auto" w:before="0" w:after="40"/>
        <w:ind w:left="425" w:hanging="425"/>
        <w:tabs>
          <w:tab w:val="left" w:pos="425"/>
        </w:tabs>
      </w:pPr>
      <w:bookmarkStart w:id="1035" w:name="_Ref_35"/>
      <w:r>
        <w:rPr>
          <w:b w:val="0"/>
          <w:sz w:val="18"/>
        </w:rPr>
        <w:t>35</w:t>
      </w:r>
      <w:bookmarkEnd w:id="1035"/>
      <w:r>
        <w:rPr>
          <w:sz w:val="18"/>
        </w:rPr>
        <w:t>.</w:t>
        <w:tab/>
      </w:r>
      <w:r>
        <w:rPr>
          <w:b w:val="0"/>
          <w:i w:val="0"/>
          <w:sz w:val="18"/>
        </w:rPr>
        <w:t xml:space="preserve">Rahmandad, H.; Repenning, N. </w:t>
      </w:r>
      <w:r>
        <w:rPr>
          <w:b w:val="0"/>
          <w:i w:val="0"/>
          <w:sz w:val="18"/>
        </w:rPr>
        <w:t xml:space="preserve">Capability Erosion Dynamics. </w:t>
      </w:r>
      <w:r>
        <w:rPr>
          <w:b w:val="0"/>
          <w:i/>
          <w:sz w:val="18"/>
        </w:rPr>
        <w:t xml:space="preserve">Strateg. Manag. J. </w:t>
      </w:r>
      <w:r>
        <w:rPr>
          <w:b/>
          <w:i w:val="0"/>
          <w:sz w:val="18"/>
        </w:rPr>
        <w:t>2016</w:t>
      </w:r>
      <w:r>
        <w:rPr>
          <w:b w:val="0"/>
          <w:i w:val="0"/>
          <w:sz w:val="18"/>
        </w:rPr>
        <w:t xml:space="preserve">, </w:t>
      </w:r>
      <w:r>
        <w:rPr>
          <w:b w:val="0"/>
          <w:i/>
          <w:sz w:val="18"/>
        </w:rPr>
        <w:t>37</w:t>
      </w:r>
      <w:r>
        <w:rPr>
          <w:b w:val="0"/>
          <w:i w:val="0"/>
          <w:sz w:val="18"/>
        </w:rPr>
        <w:t>, 649–672.</w:t>
      </w:r>
      <w:r>
        <w:rPr>
          <w:b w:val="0"/>
          <w:i w:val="0"/>
          <w:sz w:val="18"/>
        </w:rPr>
        <w:t xml:space="preserve"> [CrossRef]</w:t>
      </w:r>
    </w:p>
    <w:p>
      <w:pPr>
        <w:pStyle w:val="MDPI32textnoindent"/>
        <w:spacing w:line="240" w:lineRule="auto" w:before="0" w:after="40"/>
        <w:ind w:left="425" w:hanging="425"/>
        <w:tabs>
          <w:tab w:val="left" w:pos="425"/>
        </w:tabs>
      </w:pPr>
      <w:bookmarkStart w:id="1036" w:name="_Ref_36"/>
      <w:r>
        <w:rPr>
          <w:b w:val="0"/>
          <w:sz w:val="18"/>
        </w:rPr>
        <w:t>36</w:t>
      </w:r>
      <w:bookmarkEnd w:id="1036"/>
      <w:r>
        <w:rPr>
          <w:sz w:val="18"/>
        </w:rPr>
        <w:t>.</w:t>
        <w:tab/>
      </w:r>
      <w:r>
        <w:rPr>
          <w:b w:val="0"/>
          <w:i w:val="0"/>
          <w:sz w:val="18"/>
        </w:rPr>
        <w:t xml:space="preserve">Levinthal, D.A.; March, J.G. </w:t>
      </w:r>
      <w:r>
        <w:rPr>
          <w:b w:val="0"/>
          <w:i w:val="0"/>
          <w:sz w:val="18"/>
        </w:rPr>
        <w:t xml:space="preserve">The Myopia of Learning. </w:t>
      </w:r>
      <w:r>
        <w:rPr>
          <w:b w:val="0"/>
          <w:i/>
          <w:sz w:val="18"/>
        </w:rPr>
        <w:t xml:space="preserve">Strateg. Manag. J. </w:t>
      </w:r>
      <w:r>
        <w:rPr>
          <w:b/>
          <w:i w:val="0"/>
          <w:sz w:val="18"/>
        </w:rPr>
        <w:t>1993</w:t>
      </w:r>
      <w:r>
        <w:rPr>
          <w:b w:val="0"/>
          <w:i w:val="0"/>
          <w:sz w:val="18"/>
        </w:rPr>
        <w:t xml:space="preserve">, </w:t>
      </w:r>
      <w:r>
        <w:rPr>
          <w:b w:val="0"/>
          <w:i/>
          <w:sz w:val="18"/>
        </w:rPr>
        <w:t>14</w:t>
      </w:r>
      <w:r>
        <w:rPr>
          <w:b w:val="0"/>
          <w:i w:val="0"/>
          <w:sz w:val="18"/>
        </w:rPr>
        <w:t>, 95–112.</w:t>
      </w:r>
      <w:r>
        <w:rPr>
          <w:b w:val="0"/>
          <w:i w:val="0"/>
          <w:sz w:val="18"/>
        </w:rPr>
        <w:t xml:space="preserve"> [CrossRef]</w:t>
      </w:r>
    </w:p>
    <w:p>
      <w:pPr>
        <w:pStyle w:val="MDPI32textnoindent"/>
        <w:spacing w:line="240" w:lineRule="auto" w:before="0" w:after="40"/>
        <w:ind w:left="425" w:hanging="425"/>
        <w:tabs>
          <w:tab w:val="left" w:pos="425"/>
        </w:tabs>
      </w:pPr>
      <w:bookmarkStart w:id="1037" w:name="_Ref_37"/>
      <w:r>
        <w:rPr>
          <w:b w:val="0"/>
          <w:sz w:val="18"/>
        </w:rPr>
        <w:t>37</w:t>
      </w:r>
      <w:bookmarkEnd w:id="1037"/>
      <w:r>
        <w:rPr>
          <w:sz w:val="18"/>
        </w:rPr>
        <w:t>.</w:t>
        <w:tab/>
      </w:r>
      <w:r>
        <w:rPr>
          <w:b w:val="0"/>
          <w:i w:val="0"/>
          <w:sz w:val="18"/>
        </w:rPr>
        <w:t xml:space="preserve">von Bertalanffy, L. </w:t>
      </w:r>
      <w:r>
        <w:rPr>
          <w:b w:val="0"/>
          <w:i/>
          <w:sz w:val="18"/>
        </w:rPr>
        <w:t>General System Theory: Foundations, Development, Applications</w:t>
      </w:r>
      <w:r>
        <w:rPr>
          <w:b w:val="0"/>
          <w:i w:val="0"/>
          <w:sz w:val="18"/>
        </w:rPr>
        <w:t xml:space="preserve">; </w:t>
      </w:r>
      <w:r>
        <w:rPr>
          <w:b w:val="0"/>
          <w:i w:val="0"/>
          <w:sz w:val="18"/>
        </w:rPr>
        <w:t>George Braziller: New York, NY, USA, 1968.</w:t>
      </w:r>
    </w:p>
    <w:p>
      <w:pPr>
        <w:pStyle w:val="MDPI32textnoindent"/>
        <w:spacing w:line="240" w:lineRule="auto" w:before="0" w:after="40"/>
        <w:ind w:left="425" w:hanging="425"/>
        <w:tabs>
          <w:tab w:val="left" w:pos="425"/>
        </w:tabs>
      </w:pPr>
      <w:bookmarkStart w:id="1038" w:name="_Ref_38"/>
      <w:r>
        <w:rPr>
          <w:b w:val="0"/>
          <w:sz w:val="18"/>
        </w:rPr>
        <w:t>38</w:t>
      </w:r>
      <w:bookmarkEnd w:id="1038"/>
      <w:r>
        <w:rPr>
          <w:sz w:val="18"/>
        </w:rPr>
        <w:t>.</w:t>
        <w:tab/>
      </w:r>
      <w:r>
        <w:rPr>
          <w:b w:val="0"/>
          <w:i w:val="0"/>
          <w:sz w:val="18"/>
        </w:rPr>
        <w:t xml:space="preserve">Holland, J.H. </w:t>
      </w:r>
      <w:r>
        <w:rPr>
          <w:b w:val="0"/>
          <w:i/>
          <w:sz w:val="18"/>
        </w:rPr>
        <w:t>Hidden Order: How Adaptation Builds Complexity</w:t>
      </w:r>
      <w:r>
        <w:rPr>
          <w:b w:val="0"/>
          <w:i w:val="0"/>
          <w:sz w:val="18"/>
        </w:rPr>
        <w:t xml:space="preserve">; </w:t>
      </w:r>
      <w:r>
        <w:rPr>
          <w:b w:val="0"/>
          <w:i w:val="0"/>
          <w:sz w:val="18"/>
        </w:rPr>
        <w:t>Addison-Wesley: Reading, MA, USA, 1995.</w:t>
      </w:r>
    </w:p>
    <w:p>
      <w:pPr>
        <w:pStyle w:val="MDPI32textnoindent"/>
        <w:spacing w:line="240" w:lineRule="auto" w:before="0" w:after="40"/>
        <w:ind w:left="425" w:hanging="425"/>
        <w:tabs>
          <w:tab w:val="left" w:pos="425"/>
        </w:tabs>
      </w:pPr>
      <w:bookmarkStart w:id="1039" w:name="_Ref_39"/>
      <w:r>
        <w:rPr>
          <w:b w:val="0"/>
          <w:sz w:val="18"/>
        </w:rPr>
        <w:t>39</w:t>
      </w:r>
      <w:bookmarkEnd w:id="1039"/>
      <w:r>
        <w:rPr>
          <w:sz w:val="18"/>
        </w:rPr>
        <w:t>.</w:t>
        <w:tab/>
      </w:r>
      <w:r>
        <w:rPr>
          <w:b w:val="0"/>
          <w:i w:val="0"/>
          <w:sz w:val="18"/>
        </w:rPr>
        <w:t xml:space="preserve">Trist, E.L.; Bamforth, K.W. </w:t>
      </w:r>
      <w:r>
        <w:rPr>
          <w:b w:val="0"/>
          <w:i w:val="0"/>
          <w:sz w:val="18"/>
        </w:rPr>
        <w:t xml:space="preserve">Some Social and Psychological Consequences of the Longwall Method of Coal-Getting. </w:t>
      </w:r>
      <w:r>
        <w:rPr>
          <w:b w:val="0"/>
          <w:i/>
          <w:sz w:val="18"/>
        </w:rPr>
        <w:t xml:space="preserve">Hum. Relat. </w:t>
      </w:r>
      <w:r>
        <w:rPr>
          <w:b/>
          <w:i w:val="0"/>
          <w:sz w:val="18"/>
        </w:rPr>
        <w:t>1951</w:t>
      </w:r>
      <w:r>
        <w:rPr>
          <w:b w:val="0"/>
          <w:i w:val="0"/>
          <w:sz w:val="18"/>
        </w:rPr>
        <w:t xml:space="preserve">, </w:t>
      </w:r>
      <w:r>
        <w:rPr>
          <w:b w:val="0"/>
          <w:i/>
          <w:sz w:val="18"/>
        </w:rPr>
        <w:t>4</w:t>
      </w:r>
      <w:r>
        <w:rPr>
          <w:b w:val="0"/>
          <w:i w:val="0"/>
          <w:sz w:val="18"/>
        </w:rPr>
        <w:t>, 3–38.</w:t>
      </w:r>
      <w:r>
        <w:rPr>
          <w:b w:val="0"/>
          <w:i w:val="0"/>
          <w:sz w:val="18"/>
        </w:rPr>
        <w:t xml:space="preserve"> [CrossRef]</w:t>
      </w:r>
    </w:p>
    <w:p>
      <w:pPr>
        <w:pStyle w:val="MDPI32textnoindent"/>
        <w:spacing w:line="240" w:lineRule="auto" w:before="0" w:after="40"/>
        <w:ind w:left="425" w:hanging="425"/>
        <w:tabs>
          <w:tab w:val="left" w:pos="425"/>
        </w:tabs>
      </w:pPr>
      <w:bookmarkStart w:id="1040" w:name="_Ref_40"/>
      <w:r>
        <w:rPr>
          <w:b w:val="0"/>
          <w:sz w:val="18"/>
        </w:rPr>
        <w:t>40</w:t>
      </w:r>
      <w:bookmarkEnd w:id="1040"/>
      <w:r>
        <w:rPr>
          <w:sz w:val="18"/>
        </w:rPr>
        <w:t>.</w:t>
        <w:tab/>
      </w:r>
      <w:r>
        <w:rPr>
          <w:b w:val="0"/>
          <w:i w:val="0"/>
          <w:sz w:val="18"/>
        </w:rPr>
        <w:t xml:space="preserve">Emery, F.E.; Trist, E.L. </w:t>
      </w:r>
      <w:r>
        <w:rPr>
          <w:b w:val="0"/>
          <w:i w:val="0"/>
          <w:sz w:val="18"/>
        </w:rPr>
        <w:t xml:space="preserve">The Causal Texture of Organizational Environments. </w:t>
      </w:r>
      <w:r>
        <w:rPr>
          <w:b w:val="0"/>
          <w:i/>
          <w:sz w:val="18"/>
        </w:rPr>
        <w:t xml:space="preserve">Hum. Relat. </w:t>
      </w:r>
      <w:r>
        <w:rPr>
          <w:b/>
          <w:i w:val="0"/>
          <w:sz w:val="18"/>
        </w:rPr>
        <w:t>1965</w:t>
      </w:r>
      <w:r>
        <w:rPr>
          <w:b w:val="0"/>
          <w:i w:val="0"/>
          <w:sz w:val="18"/>
        </w:rPr>
        <w:t xml:space="preserve">, </w:t>
      </w:r>
      <w:r>
        <w:rPr>
          <w:b w:val="0"/>
          <w:i/>
          <w:sz w:val="18"/>
        </w:rPr>
        <w:t>18</w:t>
      </w:r>
      <w:r>
        <w:rPr>
          <w:b w:val="0"/>
          <w:i w:val="0"/>
          <w:sz w:val="18"/>
        </w:rPr>
        <w:t>, 21–32.</w:t>
      </w:r>
      <w:r>
        <w:rPr>
          <w:b w:val="0"/>
          <w:i w:val="0"/>
          <w:sz w:val="18"/>
        </w:rPr>
        <w:t xml:space="preserve"> [CrossRef]</w:t>
      </w:r>
    </w:p>
    <w:p>
      <w:pPr>
        <w:pStyle w:val="MDPI32textnoindent"/>
        <w:spacing w:line="240" w:lineRule="auto" w:before="0" w:after="40"/>
        <w:ind w:left="425" w:hanging="425"/>
        <w:tabs>
          <w:tab w:val="left" w:pos="425"/>
        </w:tabs>
      </w:pPr>
      <w:bookmarkStart w:id="1041" w:name="_Ref_41"/>
      <w:r>
        <w:rPr>
          <w:b w:val="0"/>
          <w:sz w:val="18"/>
        </w:rPr>
        <w:t>41</w:t>
      </w:r>
      <w:bookmarkEnd w:id="1041"/>
      <w:r>
        <w:rPr>
          <w:sz w:val="18"/>
        </w:rPr>
        <w:t>.</w:t>
        <w:tab/>
      </w:r>
      <w:r>
        <w:rPr>
          <w:b w:val="0"/>
          <w:i w:val="0"/>
          <w:sz w:val="18"/>
        </w:rPr>
        <w:t xml:space="preserve">Autor, D.H. </w:t>
      </w:r>
      <w:r>
        <w:rPr>
          <w:b w:val="0"/>
          <w:i w:val="0"/>
          <w:sz w:val="18"/>
        </w:rPr>
        <w:t xml:space="preserve">Why Are There Still So Many Jobs? The History and Future of Workplace Automation. </w:t>
      </w:r>
      <w:r>
        <w:rPr>
          <w:b w:val="0"/>
          <w:i/>
          <w:sz w:val="18"/>
        </w:rPr>
        <w:t xml:space="preserve">J. Econ. Perspect. </w:t>
      </w:r>
      <w:r>
        <w:rPr>
          <w:b/>
          <w:i w:val="0"/>
          <w:sz w:val="18"/>
        </w:rPr>
        <w:t>2015</w:t>
      </w:r>
      <w:r>
        <w:rPr>
          <w:b w:val="0"/>
          <w:i w:val="0"/>
          <w:sz w:val="18"/>
        </w:rPr>
        <w:t xml:space="preserve">, </w:t>
      </w:r>
      <w:r>
        <w:rPr>
          <w:b w:val="0"/>
          <w:i/>
          <w:sz w:val="18"/>
        </w:rPr>
        <w:t>29</w:t>
      </w:r>
      <w:r>
        <w:rPr>
          <w:b w:val="0"/>
          <w:i w:val="0"/>
          <w:sz w:val="18"/>
        </w:rPr>
        <w:t>, 3–30.</w:t>
      </w:r>
      <w:r>
        <w:rPr>
          <w:b w:val="0"/>
          <w:i w:val="0"/>
          <w:sz w:val="18"/>
        </w:rPr>
        <w:t xml:space="preserve"> [CrossRef]</w:t>
      </w:r>
    </w:p>
    <w:p>
      <w:pPr>
        <w:pStyle w:val="MDPI32textnoindent"/>
        <w:spacing w:line="240" w:lineRule="auto" w:before="0" w:after="40"/>
        <w:ind w:left="425" w:hanging="425"/>
        <w:tabs>
          <w:tab w:val="left" w:pos="425"/>
        </w:tabs>
      </w:pPr>
      <w:bookmarkStart w:id="1042" w:name="_Ref_42"/>
      <w:r>
        <w:rPr>
          <w:b w:val="0"/>
          <w:sz w:val="18"/>
        </w:rPr>
        <w:t>42</w:t>
      </w:r>
      <w:bookmarkEnd w:id="1042"/>
      <w:r>
        <w:rPr>
          <w:sz w:val="18"/>
        </w:rPr>
        <w:t>.</w:t>
        <w:tab/>
      </w:r>
      <w:r>
        <w:rPr>
          <w:b w:val="0"/>
          <w:i w:val="0"/>
          <w:sz w:val="18"/>
        </w:rPr>
        <w:t xml:space="preserve">Acemoglu, D.; Restrepo, P. </w:t>
      </w:r>
      <w:r>
        <w:rPr>
          <w:b w:val="0"/>
          <w:i w:val="0"/>
          <w:sz w:val="18"/>
        </w:rPr>
        <w:t xml:space="preserve">Robots and Jobs: Evidence from US Labor Markets. </w:t>
      </w:r>
      <w:r>
        <w:rPr>
          <w:b w:val="0"/>
          <w:i/>
          <w:sz w:val="18"/>
        </w:rPr>
        <w:t xml:space="preserve">J. Political Econ. </w:t>
      </w:r>
      <w:r>
        <w:rPr>
          <w:b/>
          <w:i w:val="0"/>
          <w:sz w:val="18"/>
        </w:rPr>
        <w:t>2020</w:t>
      </w:r>
      <w:r>
        <w:rPr>
          <w:b w:val="0"/>
          <w:i w:val="0"/>
          <w:sz w:val="18"/>
        </w:rPr>
        <w:t xml:space="preserve">, </w:t>
      </w:r>
      <w:r>
        <w:rPr>
          <w:b w:val="0"/>
          <w:i/>
          <w:sz w:val="18"/>
        </w:rPr>
        <w:t>128</w:t>
      </w:r>
      <w:r>
        <w:rPr>
          <w:b w:val="0"/>
          <w:i w:val="0"/>
          <w:sz w:val="18"/>
        </w:rPr>
        <w:t>, 2188–2244.</w:t>
      </w:r>
      <w:r>
        <w:rPr>
          <w:b w:val="0"/>
          <w:i w:val="0"/>
          <w:sz w:val="18"/>
        </w:rPr>
        <w:t xml:space="preserve"> [CrossRef]</w:t>
      </w:r>
    </w:p>
    <w:p>
      <w:pPr>
        <w:pStyle w:val="MDPI32textnoindent"/>
        <w:spacing w:line="240" w:lineRule="auto" w:before="0" w:after="40"/>
        <w:ind w:left="425" w:hanging="425"/>
        <w:tabs>
          <w:tab w:val="left" w:pos="425"/>
        </w:tabs>
      </w:pPr>
      <w:bookmarkStart w:id="1043" w:name="_Ref_43"/>
      <w:r>
        <w:rPr>
          <w:b w:val="0"/>
          <w:sz w:val="18"/>
        </w:rPr>
        <w:t>43</w:t>
      </w:r>
      <w:bookmarkEnd w:id="1043"/>
      <w:r>
        <w:rPr>
          <w:sz w:val="18"/>
        </w:rPr>
        <w:t>.</w:t>
        <w:tab/>
      </w:r>
      <w:r>
        <w:rPr>
          <w:b w:val="0"/>
          <w:i w:val="0"/>
          <w:sz w:val="18"/>
        </w:rPr>
        <w:t xml:space="preserve">Bonfiglioli, A.; Crinò, R.; Fadinger, H.; Gancia, G. </w:t>
      </w:r>
      <w:r>
        <w:rPr>
          <w:b w:val="0"/>
          <w:i w:val="0"/>
          <w:sz w:val="18"/>
        </w:rPr>
        <w:t xml:space="preserve">Robot Imports and Firm-Level Outcomes. </w:t>
      </w:r>
      <w:r>
        <w:rPr>
          <w:b w:val="0"/>
          <w:i/>
          <w:sz w:val="18"/>
        </w:rPr>
        <w:t xml:space="preserve">Econ. J. </w:t>
      </w:r>
      <w:r>
        <w:rPr>
          <w:b/>
          <w:i w:val="0"/>
          <w:sz w:val="18"/>
        </w:rPr>
        <w:t>2024</w:t>
      </w:r>
      <w:r>
        <w:rPr>
          <w:b w:val="0"/>
          <w:i w:val="0"/>
          <w:sz w:val="18"/>
        </w:rPr>
        <w:t xml:space="preserve">, </w:t>
      </w:r>
      <w:r>
        <w:rPr>
          <w:b w:val="0"/>
          <w:i/>
          <w:sz w:val="18"/>
        </w:rPr>
        <w:t>134</w:t>
      </w:r>
      <w:r>
        <w:rPr>
          <w:b w:val="0"/>
          <w:i w:val="0"/>
          <w:sz w:val="18"/>
        </w:rPr>
        <w:t>, 3428–3444.</w:t>
      </w:r>
      <w:r>
        <w:rPr>
          <w:b w:val="0"/>
          <w:i w:val="0"/>
          <w:sz w:val="18"/>
        </w:rPr>
        <w:t xml:space="preserve"> [CrossRef]</w:t>
      </w:r>
    </w:p>
    <w:p>
      <w:pPr>
        <w:pStyle w:val="MDPI32textnoindent"/>
        <w:spacing w:line="240" w:lineRule="auto" w:before="0" w:after="40"/>
        <w:ind w:left="425" w:hanging="425"/>
        <w:tabs>
          <w:tab w:val="left" w:pos="425"/>
        </w:tabs>
      </w:pPr>
      <w:bookmarkStart w:id="1044" w:name="_Ref_44"/>
      <w:r>
        <w:rPr>
          <w:b w:val="0"/>
          <w:sz w:val="18"/>
        </w:rPr>
        <w:t>44</w:t>
      </w:r>
      <w:bookmarkEnd w:id="1044"/>
      <w:r>
        <w:rPr>
          <w:sz w:val="18"/>
        </w:rPr>
        <w:t>.</w:t>
        <w:tab/>
      </w:r>
      <w:r>
        <w:rPr>
          <w:b w:val="0"/>
          <w:i w:val="0"/>
          <w:sz w:val="18"/>
        </w:rPr>
        <w:t xml:space="preserve">Autor, D.H.; Levy, F.; Murnane, R.J. </w:t>
      </w:r>
      <w:r>
        <w:rPr>
          <w:b w:val="0"/>
          <w:i w:val="0"/>
          <w:sz w:val="18"/>
        </w:rPr>
        <w:t xml:space="preserve">The Skill Content of Recent Technological Change: An Empirical Exploration. </w:t>
      </w:r>
      <w:r>
        <w:rPr>
          <w:b w:val="0"/>
          <w:i/>
          <w:sz w:val="18"/>
        </w:rPr>
        <w:t xml:space="preserve">Q. J. Econ. </w:t>
      </w:r>
      <w:r>
        <w:rPr>
          <w:b/>
          <w:i w:val="0"/>
          <w:sz w:val="18"/>
        </w:rPr>
        <w:t>2003</w:t>
      </w:r>
      <w:r>
        <w:rPr>
          <w:b w:val="0"/>
          <w:i w:val="0"/>
          <w:sz w:val="18"/>
        </w:rPr>
        <w:t xml:space="preserve">, </w:t>
      </w:r>
      <w:r>
        <w:rPr>
          <w:b w:val="0"/>
          <w:i/>
          <w:sz w:val="18"/>
        </w:rPr>
        <w:t>118</w:t>
      </w:r>
      <w:r>
        <w:rPr>
          <w:b w:val="0"/>
          <w:i w:val="0"/>
          <w:sz w:val="18"/>
        </w:rPr>
        <w:t>, 1279–1333.</w:t>
      </w:r>
      <w:r>
        <w:rPr>
          <w:b w:val="0"/>
          <w:i w:val="0"/>
          <w:sz w:val="18"/>
        </w:rPr>
        <w:t xml:space="preserve"> [CrossRef]</w:t>
      </w:r>
    </w:p>
    <w:p>
      <w:pPr>
        <w:pStyle w:val="MDPI32textnoindent"/>
        <w:spacing w:line="240" w:lineRule="auto" w:before="0" w:after="40"/>
        <w:ind w:left="425" w:hanging="425"/>
        <w:tabs>
          <w:tab w:val="left" w:pos="425"/>
        </w:tabs>
      </w:pPr>
      <w:bookmarkStart w:id="1045" w:name="_Ref_45"/>
      <w:r>
        <w:rPr>
          <w:b w:val="0"/>
          <w:sz w:val="18"/>
        </w:rPr>
        <w:t>45</w:t>
      </w:r>
      <w:bookmarkEnd w:id="1045"/>
      <w:r>
        <w:rPr>
          <w:sz w:val="18"/>
        </w:rPr>
        <w:t>.</w:t>
        <w:tab/>
      </w:r>
      <w:r>
        <w:rPr>
          <w:b w:val="0"/>
          <w:i w:val="0"/>
          <w:sz w:val="18"/>
        </w:rPr>
        <w:t xml:space="preserve">Beane, M. </w:t>
      </w:r>
      <w:r>
        <w:rPr>
          <w:b w:val="0"/>
          <w:i w:val="0"/>
          <w:sz w:val="18"/>
        </w:rPr>
        <w:t xml:space="preserve">Shadow Learning: Building Robotic Surgical Skill When Approved Means Fail. </w:t>
      </w:r>
      <w:r>
        <w:rPr>
          <w:b w:val="0"/>
          <w:i/>
          <w:sz w:val="18"/>
        </w:rPr>
        <w:t xml:space="preserve">Adm. Sci. Q. </w:t>
      </w:r>
      <w:r>
        <w:rPr>
          <w:b/>
          <w:i w:val="0"/>
          <w:sz w:val="18"/>
        </w:rPr>
        <w:t>2019</w:t>
      </w:r>
      <w:r>
        <w:rPr>
          <w:b w:val="0"/>
          <w:i w:val="0"/>
          <w:sz w:val="18"/>
        </w:rPr>
        <w:t xml:space="preserve">, </w:t>
      </w:r>
      <w:r>
        <w:rPr>
          <w:b w:val="0"/>
          <w:i/>
          <w:sz w:val="18"/>
        </w:rPr>
        <w:t>64</w:t>
      </w:r>
      <w:r>
        <w:rPr>
          <w:b w:val="0"/>
          <w:i w:val="0"/>
          <w:sz w:val="18"/>
        </w:rPr>
        <w:t>, 87–123.</w:t>
      </w:r>
      <w:r>
        <w:rPr>
          <w:b w:val="0"/>
          <w:i w:val="0"/>
          <w:sz w:val="18"/>
        </w:rPr>
        <w:t xml:space="preserve"> [CrossRef]</w:t>
      </w:r>
    </w:p>
    <w:p>
      <w:pPr>
        <w:pStyle w:val="MDPI32textnoindent"/>
        <w:spacing w:line="240" w:lineRule="auto" w:before="0" w:after="40"/>
        <w:ind w:left="425" w:hanging="425"/>
        <w:tabs>
          <w:tab w:val="left" w:pos="425"/>
        </w:tabs>
      </w:pPr>
      <w:bookmarkStart w:id="1046" w:name="_Ref_46"/>
      <w:r>
        <w:rPr>
          <w:b w:val="0"/>
          <w:sz w:val="18"/>
        </w:rPr>
        <w:t>46</w:t>
      </w:r>
      <w:bookmarkEnd w:id="1046"/>
      <w:r>
        <w:rPr>
          <w:sz w:val="18"/>
        </w:rPr>
        <w:t>.</w:t>
        <w:tab/>
      </w:r>
      <w:r>
        <w:rPr>
          <w:b w:val="0"/>
          <w:i w:val="0"/>
          <w:sz w:val="18"/>
        </w:rPr>
        <w:t xml:space="preserve">Kellogg, K.C.; Valentine, M.A.; Christin, A. </w:t>
      </w:r>
      <w:r>
        <w:rPr>
          <w:b w:val="0"/>
          <w:i w:val="0"/>
          <w:sz w:val="18"/>
        </w:rPr>
        <w:t xml:space="preserve">Algorithms at Work: The New Contested Terrain of Control. </w:t>
      </w:r>
      <w:r>
        <w:rPr>
          <w:b w:val="0"/>
          <w:i/>
          <w:sz w:val="18"/>
        </w:rPr>
        <w:t xml:space="preserve">Acad. Manag. Ann. </w:t>
      </w:r>
      <w:r>
        <w:rPr>
          <w:b/>
          <w:i w:val="0"/>
          <w:sz w:val="18"/>
        </w:rPr>
        <w:t>2020</w:t>
      </w:r>
      <w:r>
        <w:rPr>
          <w:b w:val="0"/>
          <w:i w:val="0"/>
          <w:sz w:val="18"/>
        </w:rPr>
        <w:t xml:space="preserve">, </w:t>
      </w:r>
      <w:r>
        <w:rPr>
          <w:b w:val="0"/>
          <w:i/>
          <w:sz w:val="18"/>
        </w:rPr>
        <w:t>14</w:t>
      </w:r>
      <w:r>
        <w:rPr>
          <w:b w:val="0"/>
          <w:i w:val="0"/>
          <w:sz w:val="18"/>
        </w:rPr>
        <w:t>, 366–410.</w:t>
      </w:r>
      <w:r>
        <w:rPr>
          <w:b w:val="0"/>
          <w:i w:val="0"/>
          <w:sz w:val="18"/>
        </w:rPr>
        <w:t xml:space="preserve"> [CrossRef]</w:t>
      </w:r>
    </w:p>
    <w:p>
      <w:pPr>
        <w:pStyle w:val="MDPI32textnoindent"/>
        <w:spacing w:line="240" w:lineRule="auto" w:before="0" w:after="40"/>
        <w:ind w:left="425" w:hanging="425"/>
        <w:tabs>
          <w:tab w:val="left" w:pos="425"/>
        </w:tabs>
      </w:pPr>
      <w:bookmarkStart w:id="1047" w:name="_Ref_47"/>
      <w:r>
        <w:rPr>
          <w:b w:val="0"/>
          <w:sz w:val="18"/>
        </w:rPr>
        <w:t>47</w:t>
      </w:r>
      <w:bookmarkEnd w:id="1047"/>
      <w:r>
        <w:rPr>
          <w:sz w:val="18"/>
        </w:rPr>
        <w:t>.</w:t>
        <w:tab/>
      </w:r>
      <w:r>
        <w:rPr>
          <w:b w:val="0"/>
          <w:i w:val="0"/>
          <w:sz w:val="18"/>
        </w:rPr>
        <w:t xml:space="preserve">Cui, Z.K.; Demirer, M.; Jaffe, S.; Musolff, L.; Peng, S.; Salz, T. </w:t>
      </w:r>
      <w:r>
        <w:rPr>
          <w:b w:val="0"/>
          <w:i w:val="0"/>
          <w:sz w:val="18"/>
        </w:rPr>
        <w:t xml:space="preserve">The Effects of Generative AI on High-Skilled Work: Evidence from Three Field Experiments with Software Developers. </w:t>
      </w:r>
      <w:r>
        <w:rPr>
          <w:b w:val="0"/>
          <w:i/>
          <w:sz w:val="18"/>
        </w:rPr>
        <w:t xml:space="preserve">Manag.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48" w:name="_Ref_48"/>
      <w:r>
        <w:rPr>
          <w:b w:val="0"/>
          <w:sz w:val="18"/>
        </w:rPr>
        <w:t>48</w:t>
      </w:r>
      <w:bookmarkEnd w:id="1048"/>
      <w:r>
        <w:rPr>
          <w:sz w:val="18"/>
        </w:rPr>
        <w:t>.</w:t>
        <w:tab/>
      </w:r>
      <w:r>
        <w:rPr>
          <w:b w:val="0"/>
          <w:i w:val="0"/>
          <w:sz w:val="18"/>
        </w:rPr>
        <w:t xml:space="preserve">Otis, N.G.; Clarke, R.; Delecourt, S.; Holtz, D.; Koning, R. </w:t>
      </w:r>
      <w:r>
        <w:rPr>
          <w:b w:val="0"/>
          <w:i w:val="0"/>
          <w:sz w:val="18"/>
        </w:rPr>
        <w:t xml:space="preserve">The Uneven Impact of Generative Artificial Intelligence on Entrepreneurial Performance: Evidence from a Field Experiment in Kenya. </w:t>
      </w:r>
      <w:r>
        <w:rPr>
          <w:b w:val="0"/>
          <w:i/>
          <w:sz w:val="18"/>
        </w:rPr>
        <w:t xml:space="preserve">Manag.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49" w:name="_Ref_49"/>
      <w:r>
        <w:rPr>
          <w:b w:val="0"/>
          <w:sz w:val="18"/>
        </w:rPr>
        <w:t>49</w:t>
      </w:r>
      <w:bookmarkEnd w:id="1049"/>
      <w:r>
        <w:rPr>
          <w:sz w:val="18"/>
        </w:rPr>
        <w:t>.</w:t>
        <w:tab/>
      </w:r>
      <w:r>
        <w:rPr>
          <w:b w:val="0"/>
          <w:i w:val="0"/>
          <w:sz w:val="18"/>
        </w:rPr>
        <w:t xml:space="preserve">Raisch, S.; Krakowski, S. </w:t>
      </w:r>
      <w:r>
        <w:rPr>
          <w:b w:val="0"/>
          <w:i w:val="0"/>
          <w:sz w:val="18"/>
        </w:rPr>
        <w:t xml:space="preserve">Artificial Intelligence and Management: The Automation–Augmentation Paradox. </w:t>
      </w:r>
      <w:r>
        <w:rPr>
          <w:b w:val="0"/>
          <w:i/>
          <w:sz w:val="18"/>
        </w:rPr>
        <w:t xml:space="preserve">Acad. Manag. Rev. </w:t>
      </w:r>
      <w:r>
        <w:rPr>
          <w:b/>
          <w:i w:val="0"/>
          <w:sz w:val="18"/>
        </w:rPr>
        <w:t>2021</w:t>
      </w:r>
      <w:r>
        <w:rPr>
          <w:b w:val="0"/>
          <w:i w:val="0"/>
          <w:sz w:val="18"/>
        </w:rPr>
        <w:t xml:space="preserve">, </w:t>
      </w:r>
      <w:r>
        <w:rPr>
          <w:b w:val="0"/>
          <w:i/>
          <w:sz w:val="18"/>
        </w:rPr>
        <w:t>46</w:t>
      </w:r>
      <w:r>
        <w:rPr>
          <w:b w:val="0"/>
          <w:i w:val="0"/>
          <w:sz w:val="18"/>
        </w:rPr>
        <w:t>, 192–210.</w:t>
      </w:r>
      <w:r>
        <w:rPr>
          <w:b w:val="0"/>
          <w:i w:val="0"/>
          <w:sz w:val="18"/>
        </w:rPr>
        <w:t xml:space="preserve"> [CrossRef]</w:t>
      </w:r>
    </w:p>
    <w:p>
      <w:pPr>
        <w:pStyle w:val="MDPI32textnoindent"/>
        <w:spacing w:line="240" w:lineRule="auto" w:before="0" w:after="40"/>
        <w:ind w:left="425" w:hanging="425"/>
        <w:tabs>
          <w:tab w:val="left" w:pos="425"/>
        </w:tabs>
      </w:pPr>
      <w:bookmarkStart w:id="1050" w:name="_Ref_50"/>
      <w:r>
        <w:rPr>
          <w:b w:val="0"/>
          <w:sz w:val="18"/>
        </w:rPr>
        <w:t>50</w:t>
      </w:r>
      <w:bookmarkEnd w:id="1050"/>
      <w:r>
        <w:rPr>
          <w:sz w:val="18"/>
        </w:rPr>
        <w:t>.</w:t>
        <w:tab/>
      </w:r>
      <w:r>
        <w:rPr>
          <w:b w:val="0"/>
          <w:i w:val="0"/>
          <w:sz w:val="18"/>
        </w:rPr>
        <w:t xml:space="preserve">Krakowski, S.; Luger, J.; Raisch, S. </w:t>
      </w:r>
      <w:r>
        <w:rPr>
          <w:b w:val="0"/>
          <w:i w:val="0"/>
          <w:sz w:val="18"/>
        </w:rPr>
        <w:t xml:space="preserve">Artificial Intelligence and the Changing Sources of Competitive Advantage. </w:t>
      </w:r>
      <w:r>
        <w:rPr>
          <w:b w:val="0"/>
          <w:i/>
          <w:sz w:val="18"/>
        </w:rPr>
        <w:t xml:space="preserve">Strateg. Manag. J. </w:t>
      </w:r>
      <w:r>
        <w:rPr>
          <w:b/>
          <w:i w:val="0"/>
          <w:sz w:val="18"/>
        </w:rPr>
        <w:t>2023</w:t>
      </w:r>
      <w:r>
        <w:rPr>
          <w:b w:val="0"/>
          <w:i w:val="0"/>
          <w:sz w:val="18"/>
        </w:rPr>
        <w:t xml:space="preserve">, </w:t>
      </w:r>
      <w:r>
        <w:rPr>
          <w:b w:val="0"/>
          <w:i/>
          <w:sz w:val="18"/>
        </w:rPr>
        <w:t>44</w:t>
      </w:r>
      <w:r>
        <w:rPr>
          <w:b w:val="0"/>
          <w:i w:val="0"/>
          <w:sz w:val="18"/>
        </w:rPr>
        <w:t>, 1425–1452.</w:t>
      </w:r>
      <w:r>
        <w:rPr>
          <w:b w:val="0"/>
          <w:i w:val="0"/>
          <w:sz w:val="18"/>
        </w:rPr>
        <w:t xml:space="preserve"> [CrossRef]</w:t>
      </w:r>
    </w:p>
    <w:p>
      <w:pPr>
        <w:pStyle w:val="MDPI32textnoindent"/>
        <w:spacing w:line="240" w:lineRule="auto" w:before="0" w:after="40"/>
        <w:ind w:left="425" w:hanging="425"/>
        <w:tabs>
          <w:tab w:val="left" w:pos="425"/>
        </w:tabs>
      </w:pPr>
      <w:bookmarkStart w:id="1051" w:name="_Ref_51"/>
      <w:r>
        <w:rPr>
          <w:b w:val="0"/>
          <w:sz w:val="18"/>
        </w:rPr>
        <w:t>51</w:t>
      </w:r>
      <w:bookmarkEnd w:id="1051"/>
      <w:r>
        <w:rPr>
          <w:sz w:val="18"/>
        </w:rPr>
        <w:t>.</w:t>
        <w:tab/>
      </w:r>
      <w:r>
        <w:rPr>
          <w:b w:val="0"/>
          <w:i w:val="0"/>
          <w:sz w:val="18"/>
        </w:rPr>
        <w:t xml:space="preserve">Forsythe, E. </w:t>
      </w:r>
      <w:r>
        <w:rPr>
          <w:b w:val="0"/>
          <w:i w:val="0"/>
          <w:sz w:val="18"/>
        </w:rPr>
        <w:t xml:space="preserve">Why Don’t Firms Hire Young Workers during Recessions? </w:t>
      </w:r>
      <w:r>
        <w:rPr>
          <w:b w:val="0"/>
          <w:i/>
          <w:sz w:val="18"/>
        </w:rPr>
        <w:t xml:space="preserve">Econ. J. </w:t>
      </w:r>
      <w:r>
        <w:rPr>
          <w:b/>
          <w:i w:val="0"/>
          <w:sz w:val="18"/>
        </w:rPr>
        <w:t>2022</w:t>
      </w:r>
      <w:r>
        <w:rPr>
          <w:b w:val="0"/>
          <w:i w:val="0"/>
          <w:sz w:val="18"/>
        </w:rPr>
        <w:t xml:space="preserve">, </w:t>
      </w:r>
      <w:r>
        <w:rPr>
          <w:b w:val="0"/>
          <w:i/>
          <w:sz w:val="18"/>
        </w:rPr>
        <w:t>132</w:t>
      </w:r>
      <w:r>
        <w:rPr>
          <w:b w:val="0"/>
          <w:i w:val="0"/>
          <w:sz w:val="18"/>
        </w:rPr>
        <w:t>, 1765–1789.</w:t>
      </w:r>
      <w:r>
        <w:rPr>
          <w:b w:val="0"/>
          <w:i w:val="0"/>
          <w:sz w:val="18"/>
        </w:rPr>
        <w:t xml:space="preserve"> [CrossRef]</w:t>
      </w:r>
    </w:p>
    <w:p>
      <w:pPr>
        <w:pStyle w:val="MDPI32textnoindent"/>
        <w:spacing w:line="240" w:lineRule="auto" w:before="0" w:after="40"/>
        <w:ind w:left="425" w:hanging="425"/>
        <w:tabs>
          <w:tab w:val="left" w:pos="425"/>
        </w:tabs>
      </w:pPr>
      <w:bookmarkStart w:id="1052" w:name="_Ref_52"/>
      <w:r>
        <w:rPr>
          <w:b w:val="0"/>
          <w:sz w:val="18"/>
        </w:rPr>
        <w:t>52</w:t>
      </w:r>
      <w:bookmarkEnd w:id="1052"/>
      <w:r>
        <w:rPr>
          <w:sz w:val="18"/>
        </w:rPr>
        <w:t>.</w:t>
        <w:tab/>
      </w:r>
      <w:r>
        <w:rPr>
          <w:b w:val="0"/>
          <w:i w:val="0"/>
          <w:sz w:val="18"/>
        </w:rPr>
        <w:t xml:space="preserve">Xue, F.; Jin, S. </w:t>
      </w:r>
      <w:r>
        <w:rPr>
          <w:b w:val="0"/>
          <w:i w:val="0"/>
          <w:sz w:val="18"/>
        </w:rPr>
        <w:t xml:space="preserve">Artificial Intelligence Adoption, Innovation Efficiency, and Governance Mechanisms: Evidence from China.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1062.</w:t>
      </w:r>
      <w:r>
        <w:rPr>
          <w:b w:val="0"/>
          <w:i w:val="0"/>
          <w:sz w:val="18"/>
        </w:rPr>
        <w:t xml:space="preserve"> [CrossRef]</w:t>
      </w:r>
    </w:p>
    <w:p>
      <w:pPr>
        <w:pStyle w:val="MDPI32textnoindent"/>
        <w:spacing w:line="240" w:lineRule="auto" w:before="0" w:after="40"/>
        <w:ind w:left="425" w:hanging="425"/>
        <w:tabs>
          <w:tab w:val="left" w:pos="425"/>
        </w:tabs>
      </w:pPr>
      <w:bookmarkStart w:id="1053" w:name="_Ref_53"/>
      <w:r>
        <w:rPr>
          <w:b w:val="0"/>
          <w:sz w:val="18"/>
        </w:rPr>
        <w:t>53</w:t>
      </w:r>
      <w:bookmarkEnd w:id="1053"/>
      <w:r>
        <w:rPr>
          <w:sz w:val="18"/>
        </w:rPr>
        <w:t>.</w:t>
        <w:tab/>
      </w:r>
      <w:r>
        <w:rPr>
          <w:b w:val="0"/>
          <w:i w:val="0"/>
          <w:sz w:val="18"/>
        </w:rPr>
        <w:t xml:space="preserve">Xue, X.; Li, L.; Chen, J.; Luo, T. </w:t>
      </w:r>
      <w:r>
        <w:rPr>
          <w:b w:val="0"/>
          <w:i w:val="0"/>
          <w:sz w:val="18"/>
        </w:rPr>
        <w:t xml:space="preserve">How Does Digital Technology Innovation Quality Empower Corporate ESG Performance? The Roles of Digital Transformation and Digital Technology Diffusion.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929.</w:t>
      </w:r>
      <w:r>
        <w:rPr>
          <w:b w:val="0"/>
          <w:i w:val="0"/>
          <w:sz w:val="18"/>
        </w:rPr>
        <w:t xml:space="preserve"> [CrossRef]</w:t>
      </w:r>
    </w:p>
    <w:p>
      <w:pPr>
        <w:pStyle w:val="MDPI32textnoindent"/>
        <w:spacing w:line="240" w:lineRule="auto" w:before="0" w:after="40"/>
        <w:ind w:left="425" w:hanging="425"/>
        <w:tabs>
          <w:tab w:val="left" w:pos="425"/>
        </w:tabs>
      </w:pPr>
      <w:bookmarkStart w:id="1054" w:name="_Ref_54"/>
      <w:r>
        <w:rPr>
          <w:b w:val="0"/>
          <w:sz w:val="18"/>
        </w:rPr>
        <w:t>54</w:t>
      </w:r>
      <w:bookmarkEnd w:id="1054"/>
      <w:r>
        <w:rPr>
          <w:sz w:val="18"/>
        </w:rPr>
        <w:t>.</w:t>
        <w:tab/>
      </w:r>
      <w:r>
        <w:rPr>
          <w:b w:val="0"/>
          <w:i w:val="0"/>
          <w:sz w:val="18"/>
        </w:rPr>
        <w:t xml:space="preserve">Machucho, R.; Ortiz, D. </w:t>
      </w:r>
      <w:r>
        <w:rPr>
          <w:b w:val="0"/>
          <w:i w:val="0"/>
          <w:sz w:val="18"/>
        </w:rPr>
        <w:t xml:space="preserve">The Impacts of Artificial Intelligence on Business Innovation: A Comprehensive Review of Applications, Organizational Challenges, and Ethical Considerations.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264.</w:t>
      </w:r>
      <w:r>
        <w:rPr>
          <w:b w:val="0"/>
          <w:i w:val="0"/>
          <w:sz w:val="18"/>
        </w:rPr>
        <w:t xml:space="preserve"> [CrossRef]</w:t>
      </w:r>
    </w:p>
    <w:p>
      <w:pPr>
        <w:pStyle w:val="MDPI32textnoindent"/>
        <w:spacing w:line="240" w:lineRule="auto" w:before="0" w:after="40"/>
        <w:ind w:left="425" w:hanging="425"/>
        <w:tabs>
          <w:tab w:val="left" w:pos="425"/>
        </w:tabs>
      </w:pPr>
      <w:bookmarkStart w:id="1055" w:name="_Ref_55"/>
      <w:r>
        <w:rPr>
          <w:b w:val="0"/>
          <w:sz w:val="18"/>
        </w:rPr>
        <w:t>55</w:t>
      </w:r>
      <w:bookmarkEnd w:id="1055"/>
      <w:r>
        <w:rPr>
          <w:sz w:val="18"/>
        </w:rPr>
        <w:t>.</w:t>
        <w:tab/>
      </w:r>
      <w:r>
        <w:rPr>
          <w:b w:val="0"/>
          <w:i w:val="0"/>
          <w:sz w:val="18"/>
        </w:rPr>
        <w:t xml:space="preserve">Liang, H.; Fan, J.; Wang, Y. </w:t>
      </w:r>
      <w:r>
        <w:rPr>
          <w:b w:val="0"/>
          <w:i w:val="0"/>
          <w:sz w:val="18"/>
        </w:rPr>
        <w:t xml:space="preserve">Artificial Intelligence, Technological Innovation, and Employment Transformation for Sustainable Development: Evidence from China. </w:t>
      </w:r>
      <w:r>
        <w:rPr>
          <w:b w:val="0"/>
          <w:i/>
          <w:sz w:val="18"/>
        </w:rPr>
        <w:t xml:space="preserve">Sustainability </w:t>
      </w:r>
      <w:r>
        <w:rPr>
          <w:b/>
          <w:i w:val="0"/>
          <w:sz w:val="18"/>
        </w:rPr>
        <w:t>2025</w:t>
      </w:r>
      <w:r>
        <w:rPr>
          <w:b w:val="0"/>
          <w:i w:val="0"/>
          <w:sz w:val="18"/>
        </w:rPr>
        <w:t xml:space="preserve">, </w:t>
      </w:r>
      <w:r>
        <w:rPr>
          <w:b w:val="0"/>
          <w:i/>
          <w:sz w:val="18"/>
        </w:rPr>
        <w:t>17</w:t>
      </w:r>
      <w:r>
        <w:rPr>
          <w:b w:val="0"/>
          <w:i w:val="0"/>
          <w:sz w:val="18"/>
        </w:rPr>
        <w:t>, 3842.</w:t>
      </w:r>
      <w:r>
        <w:rPr>
          <w:b w:val="0"/>
          <w:i w:val="0"/>
          <w:sz w:val="18"/>
        </w:rPr>
        <w:t xml:space="preserve"> [CrossRef]</w:t>
      </w:r>
    </w:p>
    <w:p>
      <w:pPr>
        <w:pStyle w:val="MDPI32textnoindent"/>
        <w:spacing w:line="240" w:lineRule="auto" w:before="0" w:after="40"/>
        <w:ind w:left="425" w:hanging="425"/>
        <w:tabs>
          <w:tab w:val="left" w:pos="425"/>
        </w:tabs>
      </w:pPr>
      <w:bookmarkStart w:id="1056" w:name="_Ref_56"/>
      <w:r>
        <w:rPr>
          <w:b w:val="0"/>
          <w:sz w:val="18"/>
        </w:rPr>
        <w:t>56</w:t>
      </w:r>
      <w:bookmarkEnd w:id="1056"/>
      <w:r>
        <w:rPr>
          <w:sz w:val="18"/>
        </w:rPr>
        <w:t>.</w:t>
        <w:tab/>
      </w:r>
      <w:r>
        <w:rPr>
          <w:b w:val="0"/>
          <w:i w:val="0"/>
          <w:sz w:val="18"/>
        </w:rPr>
        <w:t xml:space="preserve">Acemoglu, D.; Pischke, J.-S. </w:t>
      </w:r>
      <w:r>
        <w:rPr>
          <w:b w:val="0"/>
          <w:i w:val="0"/>
          <w:sz w:val="18"/>
        </w:rPr>
        <w:t xml:space="preserve">Beyond Becker: Training in Imperfect Labour Markets. </w:t>
      </w:r>
      <w:r>
        <w:rPr>
          <w:b w:val="0"/>
          <w:i/>
          <w:sz w:val="18"/>
        </w:rPr>
        <w:t xml:space="preserve">Econ. J. </w:t>
      </w:r>
      <w:r>
        <w:rPr>
          <w:b/>
          <w:i w:val="0"/>
          <w:sz w:val="18"/>
        </w:rPr>
        <w:t>1999</w:t>
      </w:r>
      <w:r>
        <w:rPr>
          <w:b w:val="0"/>
          <w:i w:val="0"/>
          <w:sz w:val="18"/>
        </w:rPr>
        <w:t xml:space="preserve">, </w:t>
      </w:r>
      <w:r>
        <w:rPr>
          <w:b w:val="0"/>
          <w:i/>
          <w:sz w:val="18"/>
        </w:rPr>
        <w:t>109</w:t>
      </w:r>
      <w:r>
        <w:rPr>
          <w:b w:val="0"/>
          <w:i w:val="0"/>
          <w:sz w:val="18"/>
        </w:rPr>
        <w:t>, F112–F142.</w:t>
      </w:r>
      <w:r>
        <w:rPr>
          <w:b w:val="0"/>
          <w:i w:val="0"/>
          <w:sz w:val="18"/>
        </w:rPr>
        <w:t xml:space="preserve"> [CrossRef]</w:t>
      </w:r>
    </w:p>
    <w:p>
      <w:pPr>
        <w:pStyle w:val="MDPI32textnoindent"/>
        <w:spacing w:line="240" w:lineRule="auto" w:before="0" w:after="40"/>
        <w:ind w:left="425" w:hanging="425"/>
        <w:tabs>
          <w:tab w:val="left" w:pos="425"/>
        </w:tabs>
      </w:pPr>
      <w:bookmarkStart w:id="1057" w:name="_Ref_57"/>
      <w:r>
        <w:rPr>
          <w:b w:val="0"/>
          <w:sz w:val="18"/>
        </w:rPr>
        <w:t>57</w:t>
      </w:r>
      <w:bookmarkEnd w:id="1057"/>
      <w:r>
        <w:rPr>
          <w:sz w:val="18"/>
        </w:rPr>
        <w:t>.</w:t>
        <w:tab/>
      </w:r>
      <w:r>
        <w:rPr>
          <w:b w:val="0"/>
          <w:i w:val="0"/>
          <w:sz w:val="18"/>
        </w:rPr>
        <w:t xml:space="preserve">Lazear, E.P. </w:t>
      </w:r>
      <w:r>
        <w:rPr>
          <w:b w:val="0"/>
          <w:i w:val="0"/>
          <w:sz w:val="18"/>
        </w:rPr>
        <w:t xml:space="preserve">Firm-Specific Human Capital: A Skill-Weights Approach. </w:t>
      </w:r>
      <w:r>
        <w:rPr>
          <w:b w:val="0"/>
          <w:i/>
          <w:sz w:val="18"/>
        </w:rPr>
        <w:t xml:space="preserve">J. Political Econ. </w:t>
      </w:r>
      <w:r>
        <w:rPr>
          <w:b/>
          <w:i w:val="0"/>
          <w:sz w:val="18"/>
        </w:rPr>
        <w:t>2009</w:t>
      </w:r>
      <w:r>
        <w:rPr>
          <w:b w:val="0"/>
          <w:i w:val="0"/>
          <w:sz w:val="18"/>
        </w:rPr>
        <w:t xml:space="preserve">, </w:t>
      </w:r>
      <w:r>
        <w:rPr>
          <w:b w:val="0"/>
          <w:i/>
          <w:sz w:val="18"/>
        </w:rPr>
        <w:t>117</w:t>
      </w:r>
      <w:r>
        <w:rPr>
          <w:b w:val="0"/>
          <w:i w:val="0"/>
          <w:sz w:val="18"/>
        </w:rPr>
        <w:t>, 914–940.</w:t>
      </w:r>
      <w:r>
        <w:rPr>
          <w:b w:val="0"/>
          <w:i w:val="0"/>
          <w:sz w:val="18"/>
        </w:rPr>
        <w:t xml:space="preserve"> [CrossRef]</w:t>
      </w:r>
    </w:p>
    <w:p>
      <w:pPr>
        <w:pStyle w:val="MDPI32textnoindent"/>
        <w:spacing w:line="240" w:lineRule="auto" w:before="0" w:after="40"/>
        <w:ind w:left="425" w:hanging="425"/>
        <w:tabs>
          <w:tab w:val="left" w:pos="425"/>
        </w:tabs>
      </w:pPr>
      <w:bookmarkStart w:id="1058" w:name="_Ref_58"/>
      <w:r>
        <w:rPr>
          <w:b w:val="0"/>
          <w:sz w:val="18"/>
        </w:rPr>
        <w:t>58</w:t>
      </w:r>
      <w:bookmarkEnd w:id="1058"/>
      <w:r>
        <w:rPr>
          <w:sz w:val="18"/>
        </w:rPr>
        <w:t>.</w:t>
        <w:tab/>
      </w:r>
      <w:r>
        <w:rPr>
          <w:b w:val="0"/>
          <w:i w:val="0"/>
          <w:sz w:val="18"/>
        </w:rPr>
        <w:t xml:space="preserve">March, J.G. </w:t>
      </w:r>
      <w:r>
        <w:rPr>
          <w:b w:val="0"/>
          <w:i w:val="0"/>
          <w:sz w:val="18"/>
        </w:rPr>
        <w:t xml:space="preserve">Exploration and Exploitation in Organizational Learning. </w:t>
      </w:r>
      <w:r>
        <w:rPr>
          <w:b w:val="0"/>
          <w:i/>
          <w:sz w:val="18"/>
        </w:rPr>
        <w:t xml:space="preserve">Organ. Sci. </w:t>
      </w:r>
      <w:r>
        <w:rPr>
          <w:b/>
          <w:i w:val="0"/>
          <w:sz w:val="18"/>
        </w:rPr>
        <w:t>1991</w:t>
      </w:r>
      <w:r>
        <w:rPr>
          <w:b w:val="0"/>
          <w:i w:val="0"/>
          <w:sz w:val="18"/>
        </w:rPr>
        <w:t xml:space="preserve">, </w:t>
      </w:r>
      <w:r>
        <w:rPr>
          <w:b w:val="0"/>
          <w:i/>
          <w:sz w:val="18"/>
        </w:rPr>
        <w:t>2</w:t>
      </w:r>
      <w:r>
        <w:rPr>
          <w:b w:val="0"/>
          <w:i w:val="0"/>
          <w:sz w:val="18"/>
        </w:rPr>
        <w:t>, 71–87.</w:t>
      </w:r>
      <w:r>
        <w:rPr>
          <w:b w:val="0"/>
          <w:i w:val="0"/>
          <w:sz w:val="18"/>
        </w:rPr>
        <w:t xml:space="preserve"> [CrossRef]</w:t>
      </w:r>
    </w:p>
    <w:p>
      <w:pPr>
        <w:pStyle w:val="MDPI32textnoindent"/>
        <w:spacing w:line="240" w:lineRule="auto" w:before="0" w:after="40"/>
        <w:ind w:left="425" w:hanging="425"/>
        <w:tabs>
          <w:tab w:val="left" w:pos="425"/>
        </w:tabs>
      </w:pPr>
      <w:bookmarkStart w:id="1059" w:name="_Ref_59"/>
      <w:r>
        <w:rPr>
          <w:b w:val="0"/>
          <w:sz w:val="18"/>
        </w:rPr>
        <w:t>59</w:t>
      </w:r>
      <w:bookmarkEnd w:id="1059"/>
      <w:r>
        <w:rPr>
          <w:sz w:val="18"/>
        </w:rPr>
        <w:t>.</w:t>
        <w:tab/>
      </w:r>
      <w:r>
        <w:rPr>
          <w:b w:val="0"/>
          <w:i w:val="0"/>
          <w:sz w:val="18"/>
        </w:rPr>
        <w:t xml:space="preserve">Yang, B.; Sun, Y.; Zeng, Z.; Li, Q. </w:t>
      </w:r>
      <w:r>
        <w:rPr>
          <w:b w:val="0"/>
          <w:i w:val="0"/>
          <w:sz w:val="18"/>
        </w:rPr>
        <w:t xml:space="preserve">Deskilling, Reskilling, or Upskilling? Unpacking the Pathways of Student Adaptation to Generative Artificial Intelligence. </w:t>
      </w:r>
      <w:r>
        <w:rPr>
          <w:b w:val="0"/>
          <w:i/>
          <w:sz w:val="18"/>
        </w:rPr>
        <w:t xml:space="preserve">Int. J. Inf. Manag. </w:t>
      </w:r>
      <w:r>
        <w:rPr>
          <w:b/>
          <w:i w:val="0"/>
          <w:sz w:val="18"/>
        </w:rPr>
        <w:t>2026</w:t>
      </w:r>
      <w:r>
        <w:rPr>
          <w:b w:val="0"/>
          <w:i w:val="0"/>
          <w:sz w:val="18"/>
        </w:rPr>
        <w:t xml:space="preserve">, </w:t>
      </w:r>
      <w:r>
        <w:rPr>
          <w:b w:val="0"/>
          <w:i/>
          <w:sz w:val="18"/>
        </w:rPr>
        <w:t>87</w:t>
      </w:r>
      <w:r>
        <w:rPr>
          <w:b w:val="0"/>
          <w:i w:val="0"/>
          <w:sz w:val="18"/>
        </w:rPr>
        <w:t>, 103002.</w:t>
      </w:r>
      <w:r>
        <w:rPr>
          <w:b w:val="0"/>
          <w:i w:val="0"/>
          <w:sz w:val="18"/>
        </w:rPr>
        <w:t xml:space="preserve"> [CrossRef]</w:t>
      </w:r>
    </w:p>
    <w:p>
      <w:pPr>
        <w:pStyle w:val="MDPI32textnoindent"/>
        <w:spacing w:line="240" w:lineRule="auto" w:before="0" w:after="40"/>
        <w:ind w:left="425" w:hanging="425"/>
        <w:tabs>
          <w:tab w:val="left" w:pos="425"/>
        </w:tabs>
      </w:pPr>
      <w:bookmarkStart w:id="1060" w:name="_Ref_60"/>
      <w:r>
        <w:rPr>
          <w:b w:val="0"/>
          <w:sz w:val="18"/>
        </w:rPr>
        <w:t>60</w:t>
      </w:r>
      <w:bookmarkEnd w:id="1060"/>
      <w:r>
        <w:rPr>
          <w:sz w:val="18"/>
        </w:rPr>
        <w:t>.</w:t>
        <w:tab/>
      </w:r>
      <w:r>
        <w:rPr>
          <w:b w:val="0"/>
          <w:i w:val="0"/>
          <w:sz w:val="18"/>
        </w:rPr>
        <w:t xml:space="preserve">Arrow, K.J. </w:t>
      </w:r>
      <w:r>
        <w:rPr>
          <w:b w:val="0"/>
          <w:i w:val="0"/>
          <w:sz w:val="18"/>
        </w:rPr>
        <w:t xml:space="preserve">The Economic Implications of Learning by Doing. </w:t>
      </w:r>
      <w:r>
        <w:rPr>
          <w:b w:val="0"/>
          <w:i/>
          <w:sz w:val="18"/>
        </w:rPr>
        <w:t xml:space="preserve">Rev. Econ. Stud. </w:t>
      </w:r>
      <w:r>
        <w:rPr>
          <w:b/>
          <w:i w:val="0"/>
          <w:sz w:val="18"/>
        </w:rPr>
        <w:t>1962</w:t>
      </w:r>
      <w:r>
        <w:rPr>
          <w:b w:val="0"/>
          <w:i w:val="0"/>
          <w:sz w:val="18"/>
        </w:rPr>
        <w:t xml:space="preserve">, </w:t>
      </w:r>
      <w:r>
        <w:rPr>
          <w:b w:val="0"/>
          <w:i/>
          <w:sz w:val="18"/>
        </w:rPr>
        <w:t>29</w:t>
      </w:r>
      <w:r>
        <w:rPr>
          <w:b w:val="0"/>
          <w:i w:val="0"/>
          <w:sz w:val="18"/>
        </w:rPr>
        <w:t>, 155–173.</w:t>
      </w:r>
      <w:r>
        <w:rPr>
          <w:b w:val="0"/>
          <w:i w:val="0"/>
          <w:sz w:val="18"/>
        </w:rPr>
        <w:t xml:space="preserve"> [CrossRef]</w:t>
      </w:r>
    </w:p>
    <w:p>
      <w:pPr>
        <w:pStyle w:val="MDPI32textnoindent"/>
        <w:spacing w:line="240" w:lineRule="auto" w:before="0" w:after="40"/>
        <w:ind w:left="425" w:hanging="425"/>
        <w:tabs>
          <w:tab w:val="left" w:pos="425"/>
        </w:tabs>
      </w:pPr>
      <w:bookmarkStart w:id="1061" w:name="_Ref_61"/>
      <w:r>
        <w:rPr>
          <w:b w:val="0"/>
          <w:sz w:val="18"/>
        </w:rPr>
        <w:t>61</w:t>
      </w:r>
      <w:bookmarkEnd w:id="1061"/>
      <w:r>
        <w:rPr>
          <w:sz w:val="18"/>
        </w:rPr>
        <w:t>.</w:t>
        <w:tab/>
      </w:r>
      <w:r>
        <w:rPr>
          <w:b w:val="0"/>
          <w:i w:val="0"/>
          <w:sz w:val="18"/>
        </w:rPr>
        <w:t xml:space="preserve">Nelson, R.R.; Winter, S.G. </w:t>
      </w:r>
      <w:r>
        <w:rPr>
          <w:b w:val="0"/>
          <w:i/>
          <w:sz w:val="18"/>
        </w:rPr>
        <w:t>An Evolutionary Theory of Economic Change</w:t>
      </w:r>
      <w:r>
        <w:rPr>
          <w:b w:val="0"/>
          <w:i w:val="0"/>
          <w:sz w:val="18"/>
        </w:rPr>
        <w:t xml:space="preserve">; </w:t>
      </w:r>
      <w:r>
        <w:rPr>
          <w:b w:val="0"/>
          <w:i w:val="0"/>
          <w:sz w:val="18"/>
        </w:rPr>
        <w:t>Harvard University Press: Cambridge, MA, USA, 1982.</w:t>
      </w:r>
    </w:p>
    <w:p>
      <w:pPr>
        <w:pStyle w:val="MDPI32textnoindent"/>
        <w:spacing w:line="240" w:lineRule="auto" w:before="0" w:after="40"/>
        <w:ind w:left="425" w:hanging="425"/>
        <w:tabs>
          <w:tab w:val="left" w:pos="425"/>
        </w:tabs>
      </w:pPr>
      <w:bookmarkStart w:id="1062" w:name="_Ref_62"/>
      <w:r>
        <w:rPr>
          <w:b w:val="0"/>
          <w:sz w:val="18"/>
        </w:rPr>
        <w:t>62</w:t>
      </w:r>
      <w:bookmarkEnd w:id="1062"/>
      <w:r>
        <w:rPr>
          <w:sz w:val="18"/>
        </w:rPr>
        <w:t>.</w:t>
        <w:tab/>
      </w:r>
      <w:r>
        <w:rPr>
          <w:b w:val="0"/>
          <w:i w:val="0"/>
          <w:sz w:val="18"/>
        </w:rPr>
        <w:t xml:space="preserve">Acemoglu, D.; Autor, D.; Hazell, J.; Restrepo, P. </w:t>
      </w:r>
      <w:r>
        <w:rPr>
          <w:b w:val="0"/>
          <w:i w:val="0"/>
          <w:sz w:val="18"/>
        </w:rPr>
        <w:t xml:space="preserve">Artificial Intelligence and Jobs: Evidence from Online Vacancies. </w:t>
      </w:r>
      <w:r>
        <w:rPr>
          <w:b w:val="0"/>
          <w:i/>
          <w:sz w:val="18"/>
        </w:rPr>
        <w:t xml:space="preserve">J. Labor Econ. </w:t>
      </w:r>
      <w:r>
        <w:rPr>
          <w:b/>
          <w:i w:val="0"/>
          <w:sz w:val="18"/>
        </w:rPr>
        <w:t>2022</w:t>
      </w:r>
      <w:r>
        <w:rPr>
          <w:b w:val="0"/>
          <w:i w:val="0"/>
          <w:sz w:val="18"/>
        </w:rPr>
        <w:t xml:space="preserve">, </w:t>
      </w:r>
      <w:r>
        <w:rPr>
          <w:b w:val="0"/>
          <w:i/>
          <w:sz w:val="18"/>
        </w:rPr>
        <w:t>40</w:t>
      </w:r>
      <w:r>
        <w:rPr>
          <w:b w:val="0"/>
          <w:i w:val="0"/>
          <w:sz w:val="18"/>
        </w:rPr>
        <w:t>, S293–S340.</w:t>
      </w:r>
      <w:r>
        <w:rPr>
          <w:b w:val="0"/>
          <w:i w:val="0"/>
          <w:sz w:val="18"/>
        </w:rPr>
        <w:t xml:space="preserve"> [CrossRef]</w:t>
      </w:r>
    </w:p>
    <w:p>
      <w:pPr>
        <w:pStyle w:val="MDPI32textnoindent"/>
        <w:spacing w:line="240" w:lineRule="auto" w:before="0" w:after="40"/>
        <w:ind w:left="425" w:hanging="425"/>
        <w:tabs>
          <w:tab w:val="left" w:pos="425"/>
        </w:tabs>
      </w:pPr>
      <w:bookmarkStart w:id="1063" w:name="_Ref_63"/>
      <w:r>
        <w:rPr>
          <w:b w:val="0"/>
          <w:sz w:val="18"/>
        </w:rPr>
        <w:t>63</w:t>
      </w:r>
      <w:bookmarkEnd w:id="1063"/>
      <w:r>
        <w:rPr>
          <w:sz w:val="18"/>
        </w:rPr>
        <w:t>.</w:t>
        <w:tab/>
      </w:r>
      <w:r>
        <w:rPr>
          <w:b w:val="0"/>
          <w:i w:val="0"/>
          <w:sz w:val="18"/>
        </w:rPr>
        <w:t xml:space="preserve">Checkland, P. </w:t>
      </w:r>
      <w:r>
        <w:rPr>
          <w:b w:val="0"/>
          <w:i/>
          <w:sz w:val="18"/>
        </w:rPr>
        <w:t>Systems Thinking, Systems Practice</w:t>
      </w:r>
      <w:r>
        <w:rPr>
          <w:b w:val="0"/>
          <w:i w:val="0"/>
          <w:sz w:val="18"/>
        </w:rPr>
        <w:t xml:space="preserve">; </w:t>
      </w:r>
      <w:r>
        <w:rPr>
          <w:b w:val="0"/>
          <w:i w:val="0"/>
          <w:sz w:val="18"/>
        </w:rPr>
        <w:t>Wiley: Chichester, UK, 1981.</w:t>
      </w:r>
    </w:p>
    <w:p>
      <w:pPr>
        <w:pStyle w:val="MDPI32textnoindent"/>
        <w:spacing w:line="240" w:lineRule="auto" w:before="0" w:after="40"/>
        <w:ind w:left="425" w:hanging="425"/>
        <w:tabs>
          <w:tab w:val="left" w:pos="425"/>
        </w:tabs>
      </w:pPr>
      <w:bookmarkStart w:id="1064" w:name="_Ref_64"/>
      <w:r>
        <w:rPr>
          <w:b w:val="0"/>
          <w:sz w:val="18"/>
        </w:rPr>
        <w:t>64</w:t>
      </w:r>
      <w:bookmarkEnd w:id="1064"/>
      <w:r>
        <w:rPr>
          <w:sz w:val="18"/>
        </w:rPr>
        <w:t>.</w:t>
        <w:tab/>
      </w:r>
      <w:r>
        <w:rPr>
          <w:b w:val="0"/>
          <w:i w:val="0"/>
          <w:sz w:val="18"/>
        </w:rPr>
        <w:t xml:space="preserve">Teece, D.J.; Pisano, G.; Shuen, A. </w:t>
      </w:r>
      <w:r>
        <w:rPr>
          <w:b w:val="0"/>
          <w:i w:val="0"/>
          <w:sz w:val="18"/>
        </w:rPr>
        <w:t xml:space="preserve">Dynamic Capabilities and Strategic Management. </w:t>
      </w:r>
      <w:r>
        <w:rPr>
          <w:b w:val="0"/>
          <w:i/>
          <w:sz w:val="18"/>
        </w:rPr>
        <w:t xml:space="preserve">Strateg. Manag. J. </w:t>
      </w:r>
      <w:r>
        <w:rPr>
          <w:b/>
          <w:i w:val="0"/>
          <w:sz w:val="18"/>
        </w:rPr>
        <w:t>1997</w:t>
      </w:r>
      <w:r>
        <w:rPr>
          <w:b w:val="0"/>
          <w:i w:val="0"/>
          <w:sz w:val="18"/>
        </w:rPr>
        <w:t xml:space="preserve">, </w:t>
      </w:r>
      <w:r>
        <w:rPr>
          <w:b w:val="0"/>
          <w:i/>
          <w:sz w:val="18"/>
        </w:rPr>
        <w:t>18</w:t>
      </w:r>
      <w:r>
        <w:rPr>
          <w:b w:val="0"/>
          <w:i w:val="0"/>
          <w:sz w:val="18"/>
        </w:rPr>
        <w:t>, 509–533.</w:t>
      </w:r>
      <w:r>
        <w:rPr>
          <w:b w:val="0"/>
          <w:i w:val="0"/>
          <w:sz w:val="18"/>
        </w:rPr>
        <w:t xml:space="preserve"> [CrossRef]</w:t>
      </w:r>
    </w:p>
    <w:p>
      <w:pPr>
        <w:pStyle w:val="MDPI32textnoindent"/>
        <w:spacing w:line="240" w:lineRule="auto" w:before="0" w:after="40"/>
        <w:ind w:left="425" w:hanging="425"/>
        <w:tabs>
          <w:tab w:val="left" w:pos="425"/>
        </w:tabs>
      </w:pPr>
      <w:bookmarkStart w:id="1065" w:name="_Ref_65"/>
      <w:r>
        <w:rPr>
          <w:b w:val="0"/>
          <w:sz w:val="18"/>
        </w:rPr>
        <w:t>65</w:t>
      </w:r>
      <w:bookmarkEnd w:id="1065"/>
      <w:r>
        <w:rPr>
          <w:sz w:val="18"/>
        </w:rPr>
        <w:t>.</w:t>
        <w:tab/>
      </w:r>
      <w:r>
        <w:rPr>
          <w:b w:val="0"/>
          <w:i w:val="0"/>
          <w:sz w:val="18"/>
        </w:rPr>
        <w:t xml:space="preserve">Autor, D. </w:t>
      </w:r>
      <w:r>
        <w:rPr>
          <w:b w:val="0"/>
          <w:i/>
          <w:sz w:val="18"/>
        </w:rPr>
        <w:t xml:space="preserve">Applying AI to Rebuild Middle Class Jobs; </w:t>
      </w:r>
      <w:r>
        <w:rPr>
          <w:b w:val="0"/>
          <w:i w:val="0"/>
          <w:sz w:val="18"/>
        </w:rPr>
        <w:t xml:space="preserve">NBER Working Paper 32140; </w:t>
      </w:r>
      <w:r>
        <w:rPr>
          <w:b w:val="0"/>
          <w:i w:val="0"/>
          <w:sz w:val="18"/>
        </w:rPr>
        <w:t>National Bureau of Economic Research: Cambridge, MA, USA, 2024.</w:t>
      </w:r>
    </w:p>
    <w:p>
      <w:pPr>
        <w:pStyle w:val="MDPI32textnoindent"/>
        <w:spacing w:line="240" w:lineRule="auto" w:before="0" w:after="40"/>
        <w:ind w:left="425" w:hanging="425"/>
        <w:tabs>
          <w:tab w:val="left" w:pos="425"/>
        </w:tabs>
      </w:pPr>
      <w:bookmarkStart w:id="1066" w:name="_Ref_66"/>
      <w:r>
        <w:rPr>
          <w:b w:val="0"/>
          <w:sz w:val="18"/>
        </w:rPr>
        <w:t>66</w:t>
      </w:r>
      <w:bookmarkEnd w:id="1066"/>
      <w:r>
        <w:rPr>
          <w:sz w:val="18"/>
        </w:rPr>
        <w:t>.</w:t>
        <w:tab/>
      </w:r>
      <w:r>
        <w:rPr>
          <w:b w:val="0"/>
          <w:i w:val="0"/>
          <w:sz w:val="18"/>
        </w:rPr>
        <w:t xml:space="preserve">Vaccaro, M.; Almaatouq, A.; Malone, T. </w:t>
      </w:r>
      <w:r>
        <w:rPr>
          <w:b w:val="0"/>
          <w:i w:val="0"/>
          <w:sz w:val="18"/>
        </w:rPr>
        <w:t xml:space="preserve">When Combinations of Humans and AI Are Useful: A Systematic Review and Meta-Analysis. </w:t>
      </w:r>
      <w:r>
        <w:rPr>
          <w:b w:val="0"/>
          <w:i/>
          <w:sz w:val="18"/>
        </w:rPr>
        <w:t xml:space="preserve">Nat. Hum. Behav. </w:t>
      </w:r>
      <w:r>
        <w:rPr>
          <w:b/>
          <w:i w:val="0"/>
          <w:sz w:val="18"/>
        </w:rPr>
        <w:t>2024</w:t>
      </w:r>
      <w:r>
        <w:rPr>
          <w:b w:val="0"/>
          <w:i w:val="0"/>
          <w:sz w:val="18"/>
        </w:rPr>
        <w:t xml:space="preserve">, </w:t>
      </w:r>
      <w:r>
        <w:rPr>
          <w:b w:val="0"/>
          <w:i/>
          <w:sz w:val="18"/>
        </w:rPr>
        <w:t>8</w:t>
      </w:r>
      <w:r>
        <w:rPr>
          <w:b w:val="0"/>
          <w:i w:val="0"/>
          <w:sz w:val="18"/>
        </w:rPr>
        <w:t>, 2293–2303.</w:t>
      </w:r>
      <w:r>
        <w:rPr>
          <w:b w:val="0"/>
          <w:i w:val="0"/>
          <w:sz w:val="18"/>
        </w:rPr>
        <w:t xml:space="preserve"> [CrossRef]</w:t>
      </w:r>
    </w:p>
    <w:p>
      <w:pPr>
        <w:pStyle w:val="MDPI32textnoindent"/>
        <w:spacing w:line="240" w:lineRule="auto" w:before="0" w:after="40"/>
        <w:ind w:left="425" w:hanging="425"/>
        <w:tabs>
          <w:tab w:val="left" w:pos="425"/>
        </w:tabs>
      </w:pPr>
      <w:bookmarkStart w:id="1067" w:name="_Ref_67"/>
      <w:r>
        <w:rPr>
          <w:b w:val="0"/>
          <w:sz w:val="18"/>
        </w:rPr>
        <w:t>67</w:t>
      </w:r>
      <w:bookmarkEnd w:id="1067"/>
      <w:r>
        <w:rPr>
          <w:sz w:val="18"/>
        </w:rPr>
        <w:t>.</w:t>
        <w:tab/>
      </w:r>
      <w:r>
        <w:rPr>
          <w:b w:val="0"/>
          <w:i w:val="0"/>
          <w:sz w:val="18"/>
        </w:rPr>
        <w:t xml:space="preserve">Bloom, N.; Van Reenen, J. </w:t>
      </w:r>
      <w:r>
        <w:rPr>
          <w:b w:val="0"/>
          <w:i w:val="0"/>
          <w:sz w:val="18"/>
        </w:rPr>
        <w:t xml:space="preserve">Measuring and Explaining Management Practices across Firms and Countries. </w:t>
      </w:r>
      <w:r>
        <w:rPr>
          <w:b w:val="0"/>
          <w:i/>
          <w:sz w:val="18"/>
        </w:rPr>
        <w:t xml:space="preserve">Q. J. Econ. </w:t>
      </w:r>
      <w:r>
        <w:rPr>
          <w:b/>
          <w:i w:val="0"/>
          <w:sz w:val="18"/>
        </w:rPr>
        <w:t>2007</w:t>
      </w:r>
      <w:r>
        <w:rPr>
          <w:b w:val="0"/>
          <w:i w:val="0"/>
          <w:sz w:val="18"/>
        </w:rPr>
        <w:t xml:space="preserve">, </w:t>
      </w:r>
      <w:r>
        <w:rPr>
          <w:b w:val="0"/>
          <w:i/>
          <w:sz w:val="18"/>
        </w:rPr>
        <w:t>122</w:t>
      </w:r>
      <w:r>
        <w:rPr>
          <w:b w:val="0"/>
          <w:i w:val="0"/>
          <w:sz w:val="18"/>
        </w:rPr>
        <w:t>, 1351–1408.</w:t>
      </w:r>
      <w:r>
        <w:rPr>
          <w:b w:val="0"/>
          <w:i w:val="0"/>
          <w:sz w:val="18"/>
        </w:rPr>
        <w:t xml:space="preserve"> [CrossRef]</w:t>
      </w:r>
    </w:p>
    <w:p>
      <w:pPr>
        <w:pStyle w:val="MDPI32textnoindent"/>
        <w:spacing w:line="240" w:lineRule="auto" w:before="0" w:after="40"/>
        <w:ind w:left="425" w:hanging="425"/>
        <w:tabs>
          <w:tab w:val="left" w:pos="425"/>
        </w:tabs>
      </w:pPr>
      <w:bookmarkStart w:id="1068" w:name="_Ref_68"/>
      <w:r>
        <w:rPr>
          <w:b w:val="0"/>
          <w:sz w:val="18"/>
        </w:rPr>
        <w:t>68</w:t>
      </w:r>
      <w:bookmarkEnd w:id="1068"/>
      <w:r>
        <w:rPr>
          <w:sz w:val="18"/>
        </w:rPr>
        <w:t>.</w:t>
        <w:tab/>
      </w:r>
      <w:r>
        <w:rPr>
          <w:b w:val="0"/>
          <w:i w:val="0"/>
          <w:sz w:val="18"/>
        </w:rPr>
        <w:t xml:space="preserve">Sterman, J.D. </w:t>
      </w:r>
      <w:r>
        <w:rPr>
          <w:b w:val="0"/>
          <w:i/>
          <w:sz w:val="18"/>
        </w:rPr>
        <w:t>Business Dynamics: Systems Thinking and Modeling for a Complex World</w:t>
      </w:r>
      <w:r>
        <w:rPr>
          <w:b w:val="0"/>
          <w:i w:val="0"/>
          <w:sz w:val="18"/>
        </w:rPr>
        <w:t xml:space="preserve">; </w:t>
      </w:r>
      <w:r>
        <w:rPr>
          <w:b w:val="0"/>
          <w:i w:val="0"/>
          <w:sz w:val="18"/>
        </w:rPr>
        <w:t>Irwin/McGraw-Hill: Boston, MA, USA, 2000.</w:t>
      </w:r>
    </w:p>
    <w:p>
      <w:pPr>
        <w:pStyle w:val="MDPI32textnoindent"/>
        <w:spacing w:line="240" w:lineRule="auto" w:before="0" w:after="40"/>
        <w:ind w:left="425" w:hanging="425"/>
        <w:tabs>
          <w:tab w:val="left" w:pos="425"/>
        </w:tabs>
      </w:pPr>
      <w:bookmarkStart w:id="1069" w:name="_Ref_69"/>
      <w:r>
        <w:rPr>
          <w:b w:val="0"/>
          <w:sz w:val="18"/>
        </w:rPr>
        <w:t>69</w:t>
      </w:r>
      <w:bookmarkEnd w:id="1069"/>
      <w:r>
        <w:rPr>
          <w:sz w:val="18"/>
        </w:rPr>
        <w:t>.</w:t>
        <w:tab/>
      </w:r>
      <w:r>
        <w:rPr>
          <w:b w:val="0"/>
          <w:i w:val="0"/>
          <w:sz w:val="18"/>
        </w:rPr>
        <w:t xml:space="preserve">Forrester, J.W. </w:t>
      </w:r>
      <w:r>
        <w:rPr>
          <w:b w:val="0"/>
          <w:i/>
          <w:sz w:val="18"/>
        </w:rPr>
        <w:t>Industrial Dynamics</w:t>
      </w:r>
      <w:r>
        <w:rPr>
          <w:b w:val="0"/>
          <w:i w:val="0"/>
          <w:sz w:val="18"/>
        </w:rPr>
        <w:t xml:space="preserve">; </w:t>
      </w:r>
      <w:r>
        <w:rPr>
          <w:b w:val="0"/>
          <w:i w:val="0"/>
          <w:sz w:val="18"/>
        </w:rPr>
        <w:t>MIT Press: Cambridge, MA, USA, 1961.</w:t>
      </w:r>
    </w:p>
    <w:p>
      <w:pPr>
        <w:pStyle w:val="MDPI32textnoindent"/>
        <w:spacing w:line="240" w:lineRule="auto" w:before="0" w:after="40"/>
        <w:ind w:left="425" w:hanging="425"/>
        <w:tabs>
          <w:tab w:val="left" w:pos="425"/>
        </w:tabs>
      </w:pPr>
      <w:bookmarkStart w:id="1070" w:name="_Ref_70"/>
      <w:r>
        <w:rPr>
          <w:b w:val="0"/>
          <w:sz w:val="18"/>
        </w:rPr>
        <w:t>70</w:t>
      </w:r>
      <w:bookmarkEnd w:id="1070"/>
      <w:r>
        <w:rPr>
          <w:sz w:val="18"/>
        </w:rPr>
        <w:t>.</w:t>
        <w:tab/>
      </w:r>
      <w:r>
        <w:rPr>
          <w:b w:val="0"/>
          <w:i w:val="0"/>
          <w:sz w:val="18"/>
        </w:rPr>
        <w:t xml:space="preserve">Meadows, D.H. </w:t>
      </w:r>
      <w:r>
        <w:rPr>
          <w:b w:val="0"/>
          <w:i/>
          <w:sz w:val="18"/>
        </w:rPr>
        <w:t>Thinking in Systems: A Primer</w:t>
      </w:r>
      <w:r>
        <w:rPr>
          <w:b w:val="0"/>
          <w:i w:val="0"/>
          <w:sz w:val="18"/>
        </w:rPr>
        <w:t xml:space="preserve">; </w:t>
      </w:r>
      <w:r>
        <w:rPr>
          <w:b w:val="0"/>
          <w:i w:val="0"/>
          <w:sz w:val="18"/>
        </w:rPr>
        <w:t>Chelsea Green Publishing: White River Junction, VT, USA, 2008.</w:t>
      </w:r>
    </w:p>
    <w:p>
      <w:pPr>
        <w:pStyle w:val="MDPI32textnoindent"/>
        <w:spacing w:line="240" w:lineRule="auto" w:before="0" w:after="40"/>
        <w:ind w:left="425" w:hanging="425"/>
        <w:tabs>
          <w:tab w:val="left" w:pos="425"/>
        </w:tabs>
      </w:pPr>
      <w:bookmarkStart w:id="1071" w:name="_Ref_71"/>
      <w:r>
        <w:rPr>
          <w:b w:val="0"/>
          <w:sz w:val="18"/>
        </w:rPr>
        <w:t>71</w:t>
      </w:r>
      <w:bookmarkEnd w:id="1071"/>
      <w:r>
        <w:rPr>
          <w:sz w:val="18"/>
        </w:rPr>
        <w:t>.</w:t>
        <w:tab/>
      </w:r>
      <w:r>
        <w:rPr>
          <w:b w:val="0"/>
          <w:i w:val="0"/>
          <w:sz w:val="18"/>
        </w:rPr>
        <w:t xml:space="preserve">Senge, P.M. </w:t>
      </w:r>
      <w:r>
        <w:rPr>
          <w:b w:val="0"/>
          <w:i/>
          <w:sz w:val="18"/>
        </w:rPr>
        <w:t>The Fifth Discipline: The Art and Practice of the Learning Organization</w:t>
      </w:r>
      <w:r>
        <w:rPr>
          <w:b w:val="0"/>
          <w:i w:val="0"/>
          <w:sz w:val="18"/>
        </w:rPr>
        <w:t xml:space="preserve">; </w:t>
      </w:r>
      <w:r>
        <w:rPr>
          <w:b w:val="0"/>
          <w:i w:val="0"/>
          <w:sz w:val="18"/>
        </w:rPr>
        <w:t>Doubleday: New York, NY, USA, 1990.</w:t>
      </w:r>
    </w:p>
    <w:p>
      <w:pPr>
        <w:pStyle w:val="MDPI32textnoindent"/>
        <w:spacing w:line="240" w:lineRule="auto" w:before="0" w:after="40"/>
        <w:ind w:left="425" w:hanging="425"/>
        <w:tabs>
          <w:tab w:val="left" w:pos="425"/>
        </w:tabs>
      </w:pPr>
      <w:bookmarkStart w:id="1072" w:name="_Ref_72"/>
      <w:r>
        <w:rPr>
          <w:b w:val="0"/>
          <w:sz w:val="18"/>
        </w:rPr>
        <w:t>72</w:t>
      </w:r>
      <w:bookmarkEnd w:id="1072"/>
      <w:r>
        <w:rPr>
          <w:sz w:val="18"/>
        </w:rPr>
        <w:t>.</w:t>
        <w:tab/>
      </w:r>
      <w:r>
        <w:rPr>
          <w:b w:val="0"/>
          <w:i w:val="0"/>
          <w:sz w:val="18"/>
        </w:rPr>
        <w:t xml:space="preserve">Sims, C.A. </w:t>
      </w:r>
      <w:r>
        <w:rPr>
          <w:b w:val="0"/>
          <w:i w:val="0"/>
          <w:sz w:val="18"/>
        </w:rPr>
        <w:t xml:space="preserve">Macroeconomics and Reality. </w:t>
      </w:r>
      <w:r>
        <w:rPr>
          <w:b w:val="0"/>
          <w:i/>
          <w:sz w:val="18"/>
        </w:rPr>
        <w:t xml:space="preserve">Econometrica </w:t>
      </w:r>
      <w:r>
        <w:rPr>
          <w:b/>
          <w:i w:val="0"/>
          <w:sz w:val="18"/>
        </w:rPr>
        <w:t>1980</w:t>
      </w:r>
      <w:r>
        <w:rPr>
          <w:b w:val="0"/>
          <w:i w:val="0"/>
          <w:sz w:val="18"/>
        </w:rPr>
        <w:t xml:space="preserve">, </w:t>
      </w:r>
      <w:r>
        <w:rPr>
          <w:b w:val="0"/>
          <w:i/>
          <w:sz w:val="18"/>
        </w:rPr>
        <w:t>48</w:t>
      </w:r>
      <w:r>
        <w:rPr>
          <w:b w:val="0"/>
          <w:i w:val="0"/>
          <w:sz w:val="18"/>
        </w:rPr>
        <w:t>, 1–48.</w:t>
      </w:r>
      <w:r>
        <w:rPr>
          <w:b w:val="0"/>
          <w:i w:val="0"/>
          <w:sz w:val="18"/>
        </w:rPr>
        <w:t xml:space="preserve"> [CrossRef]</w:t>
      </w:r>
    </w:p>
    <w:p>
      <w:pPr>
        <w:pStyle w:val="MDPI32textnoindent"/>
        <w:spacing w:line="240" w:lineRule="auto" w:before="0" w:after="40"/>
        <w:ind w:left="425" w:hanging="425"/>
        <w:tabs>
          <w:tab w:val="left" w:pos="425"/>
        </w:tabs>
      </w:pPr>
      <w:bookmarkStart w:id="1073" w:name="_Ref_73"/>
      <w:r>
        <w:rPr>
          <w:b w:val="0"/>
          <w:sz w:val="18"/>
        </w:rPr>
        <w:t>73</w:t>
      </w:r>
      <w:bookmarkEnd w:id="1073"/>
      <w:r>
        <w:rPr>
          <w:sz w:val="18"/>
        </w:rPr>
        <w:t>.</w:t>
        <w:tab/>
      </w:r>
      <w:r>
        <w:rPr>
          <w:b w:val="0"/>
          <w:i w:val="0"/>
          <w:sz w:val="18"/>
        </w:rPr>
        <w:t xml:space="preserve">Love, I.; Zicchino, L. </w:t>
      </w:r>
      <w:r>
        <w:rPr>
          <w:b w:val="0"/>
          <w:i w:val="0"/>
          <w:sz w:val="18"/>
        </w:rPr>
        <w:t xml:space="preserve">Financial Development and Dynamic Investment Behavior: Evidence from Panel VAR. </w:t>
      </w:r>
      <w:r>
        <w:rPr>
          <w:b w:val="0"/>
          <w:i/>
          <w:sz w:val="18"/>
        </w:rPr>
        <w:t xml:space="preserve">Q. Rev. Econ. Finance </w:t>
      </w:r>
      <w:r>
        <w:rPr>
          <w:b/>
          <w:i w:val="0"/>
          <w:sz w:val="18"/>
        </w:rPr>
        <w:t>2006</w:t>
      </w:r>
      <w:r>
        <w:rPr>
          <w:b w:val="0"/>
          <w:i w:val="0"/>
          <w:sz w:val="18"/>
        </w:rPr>
        <w:t xml:space="preserve">, </w:t>
      </w:r>
      <w:r>
        <w:rPr>
          <w:b w:val="0"/>
          <w:i/>
          <w:sz w:val="18"/>
        </w:rPr>
        <w:t>46</w:t>
      </w:r>
      <w:r>
        <w:rPr>
          <w:b w:val="0"/>
          <w:i w:val="0"/>
          <w:sz w:val="18"/>
        </w:rPr>
        <w:t>, 190–210.</w:t>
      </w:r>
      <w:r>
        <w:rPr>
          <w:b w:val="0"/>
          <w:i w:val="0"/>
          <w:sz w:val="18"/>
        </w:rPr>
        <w:t xml:space="preserve"> [CrossRef]</w:t>
      </w:r>
    </w:p>
    <w:p>
      <w:pPr>
        <w:pStyle w:val="MDPI32textnoindent"/>
        <w:spacing w:line="240" w:lineRule="auto" w:before="0" w:after="40"/>
        <w:ind w:left="425" w:hanging="425"/>
        <w:tabs>
          <w:tab w:val="left" w:pos="425"/>
        </w:tabs>
      </w:pPr>
      <w:bookmarkStart w:id="1074" w:name="_Ref_74"/>
      <w:r>
        <w:rPr>
          <w:b w:val="0"/>
          <w:sz w:val="18"/>
        </w:rPr>
        <w:t>74</w:t>
      </w:r>
      <w:bookmarkEnd w:id="1074"/>
      <w:r>
        <w:rPr>
          <w:sz w:val="18"/>
        </w:rPr>
        <w:t>.</w:t>
        <w:tab/>
      </w:r>
      <w:r>
        <w:rPr>
          <w:b w:val="0"/>
          <w:i w:val="0"/>
          <w:sz w:val="18"/>
        </w:rPr>
        <w:t xml:space="preserve">Ashby, W.R. </w:t>
      </w:r>
      <w:r>
        <w:rPr>
          <w:b w:val="0"/>
          <w:i/>
          <w:sz w:val="18"/>
        </w:rPr>
        <w:t>An Introduction to Cybernetics</w:t>
      </w:r>
      <w:r>
        <w:rPr>
          <w:b w:val="0"/>
          <w:i w:val="0"/>
          <w:sz w:val="18"/>
        </w:rPr>
        <w:t xml:space="preserve">; </w:t>
      </w:r>
      <w:r>
        <w:rPr>
          <w:b w:val="0"/>
          <w:i w:val="0"/>
          <w:sz w:val="18"/>
        </w:rPr>
        <w:t>Chapman and Hall: London, UK, 1956.</w:t>
      </w:r>
    </w:p>
    <w:p>
      <w:pPr>
        <w:pStyle w:val="MDPI32textnoindent"/>
        <w:spacing w:line="240" w:lineRule="auto" w:before="0" w:after="40"/>
        <w:ind w:left="425" w:hanging="425"/>
        <w:tabs>
          <w:tab w:val="left" w:pos="425"/>
        </w:tabs>
      </w:pPr>
      <w:bookmarkStart w:id="1075" w:name="_Ref_75"/>
      <w:r>
        <w:rPr>
          <w:b w:val="0"/>
          <w:sz w:val="18"/>
        </w:rPr>
        <w:t>75</w:t>
      </w:r>
      <w:bookmarkEnd w:id="1075"/>
      <w:r>
        <w:rPr>
          <w:sz w:val="18"/>
        </w:rPr>
        <w:t>.</w:t>
        <w:tab/>
      </w:r>
      <w:r>
        <w:rPr>
          <w:b w:val="0"/>
          <w:i w:val="0"/>
          <w:sz w:val="18"/>
        </w:rPr>
        <w:t xml:space="preserve">Wu, F.; Hu, H.; Lin, H.; Ren, X. </w:t>
      </w:r>
      <w:r>
        <w:rPr>
          <w:b w:val="0"/>
          <w:i w:val="0"/>
          <w:sz w:val="18"/>
        </w:rPr>
        <w:t xml:space="preserve">Enterprise Digital Transformation and Capital Market Performance: Empirical Evidence from Stock Liquidity. </w:t>
      </w:r>
      <w:r>
        <w:rPr>
          <w:b w:val="0"/>
          <w:i/>
          <w:sz w:val="18"/>
        </w:rPr>
        <w:t xml:space="preserve">J. Manag. World </w:t>
      </w:r>
      <w:r>
        <w:rPr>
          <w:b/>
          <w:i w:val="0"/>
          <w:sz w:val="18"/>
        </w:rPr>
        <w:t>2021</w:t>
      </w:r>
      <w:r>
        <w:rPr>
          <w:b w:val="0"/>
          <w:i w:val="0"/>
          <w:sz w:val="18"/>
        </w:rPr>
        <w:t xml:space="preserve">, </w:t>
      </w:r>
      <w:r>
        <w:rPr>
          <w:b w:val="0"/>
          <w:i/>
          <w:sz w:val="18"/>
        </w:rPr>
        <w:t>37</w:t>
      </w:r>
      <w:r>
        <w:rPr>
          <w:b w:val="0"/>
          <w:i w:val="0"/>
          <w:sz w:val="18"/>
        </w:rPr>
        <w:t>, 130–144.</w:t>
      </w:r>
    </w:p>
    <w:p>
      <w:pPr>
        <w:pStyle w:val="MDPI32textnoindent"/>
        <w:spacing w:line="240" w:lineRule="auto" w:before="0" w:after="40"/>
        <w:ind w:left="425" w:hanging="425"/>
        <w:tabs>
          <w:tab w:val="left" w:pos="425"/>
        </w:tabs>
      </w:pPr>
      <w:bookmarkStart w:id="1076" w:name="_Ref_76"/>
      <w:r>
        <w:rPr>
          <w:b w:val="0"/>
          <w:sz w:val="18"/>
        </w:rPr>
        <w:t>76</w:t>
      </w:r>
      <w:bookmarkEnd w:id="1076"/>
      <w:r>
        <w:rPr>
          <w:sz w:val="18"/>
        </w:rPr>
        <w:t>.</w:t>
        <w:tab/>
      </w:r>
      <w:r>
        <w:rPr>
          <w:b w:val="0"/>
          <w:i w:val="0"/>
          <w:sz w:val="18"/>
        </w:rPr>
        <w:t xml:space="preserve">Yuan, C.; Xiao, S.; Geng, C.; Sheng, Y. </w:t>
      </w:r>
      <w:r>
        <w:rPr>
          <w:b w:val="0"/>
          <w:i w:val="0"/>
          <w:sz w:val="18"/>
        </w:rPr>
        <w:t xml:space="preserve">Digital Transformation and Division of Labour between Enterprises: Vertical Specialisation or Vertical Integration. </w:t>
      </w:r>
      <w:r>
        <w:rPr>
          <w:b w:val="0"/>
          <w:i/>
          <w:sz w:val="18"/>
        </w:rPr>
        <w:t xml:space="preserve">China Ind. Econ. </w:t>
      </w:r>
      <w:r>
        <w:rPr>
          <w:b/>
          <w:i w:val="0"/>
          <w:sz w:val="18"/>
        </w:rPr>
        <w:t>2021</w:t>
      </w:r>
      <w:r>
        <w:rPr>
          <w:b w:val="0"/>
          <w:i w:val="0"/>
          <w:sz w:val="18"/>
        </w:rPr>
        <w:t xml:space="preserve">, </w:t>
      </w:r>
      <w:r>
        <w:rPr>
          <w:b w:val="0"/>
          <w:i/>
          <w:sz w:val="18"/>
        </w:rPr>
        <w:t>9</w:t>
      </w:r>
      <w:r>
        <w:rPr>
          <w:b w:val="0"/>
          <w:i w:val="0"/>
          <w:sz w:val="18"/>
        </w:rPr>
        <w:t>, 137–155.</w:t>
      </w:r>
    </w:p>
    <w:p>
      <w:pPr>
        <w:pStyle w:val="MDPI32textnoindent"/>
        <w:spacing w:line="240" w:lineRule="auto" w:before="0" w:after="40"/>
        <w:ind w:left="425" w:hanging="425"/>
        <w:tabs>
          <w:tab w:val="left" w:pos="425"/>
        </w:tabs>
      </w:pPr>
      <w:bookmarkStart w:id="1077" w:name="_Ref_77"/>
      <w:r>
        <w:rPr>
          <w:b w:val="0"/>
          <w:sz w:val="18"/>
        </w:rPr>
        <w:t>77</w:t>
      </w:r>
      <w:bookmarkEnd w:id="1077"/>
      <w:r>
        <w:rPr>
          <w:sz w:val="18"/>
        </w:rPr>
        <w:t>.</w:t>
        <w:tab/>
      </w:r>
      <w:r>
        <w:rPr>
          <w:b w:val="0"/>
          <w:i w:val="0"/>
          <w:sz w:val="18"/>
        </w:rPr>
        <w:t xml:space="preserve">Zhao, C.; Wang, W.; Li, X. </w:t>
      </w:r>
      <w:r>
        <w:rPr>
          <w:b w:val="0"/>
          <w:i w:val="0"/>
          <w:sz w:val="18"/>
        </w:rPr>
        <w:t xml:space="preserve">How Does Digital Transformation Affect the Total Factor Productivity of Enterprises? </w:t>
      </w:r>
      <w:r>
        <w:rPr>
          <w:b w:val="0"/>
          <w:i/>
          <w:sz w:val="18"/>
        </w:rPr>
        <w:t xml:space="preserve">Financ. Trade Econ. </w:t>
      </w:r>
      <w:r>
        <w:rPr>
          <w:b/>
          <w:i w:val="0"/>
          <w:sz w:val="18"/>
        </w:rPr>
        <w:t>2021</w:t>
      </w:r>
      <w:r>
        <w:rPr>
          <w:b w:val="0"/>
          <w:i w:val="0"/>
          <w:sz w:val="18"/>
        </w:rPr>
        <w:t xml:space="preserve">, </w:t>
      </w:r>
      <w:r>
        <w:rPr>
          <w:b w:val="0"/>
          <w:i/>
          <w:sz w:val="18"/>
        </w:rPr>
        <w:t>42</w:t>
      </w:r>
      <w:r>
        <w:rPr>
          <w:b w:val="0"/>
          <w:i w:val="0"/>
          <w:sz w:val="18"/>
        </w:rPr>
        <w:t>, 114–129.</w:t>
      </w:r>
    </w:p>
    <w:p>
      <w:pPr>
        <w:pStyle w:val="MDPI32textnoindent"/>
        <w:spacing w:line="240" w:lineRule="auto" w:before="0" w:after="40"/>
        <w:ind w:left="425" w:hanging="425"/>
        <w:tabs>
          <w:tab w:val="left" w:pos="425"/>
        </w:tabs>
      </w:pPr>
      <w:bookmarkStart w:id="1078" w:name="_Ref_78"/>
      <w:r>
        <w:rPr>
          <w:b w:val="0"/>
          <w:sz w:val="18"/>
        </w:rPr>
        <w:t>78</w:t>
      </w:r>
      <w:bookmarkEnd w:id="1078"/>
      <w:r>
        <w:rPr>
          <w:sz w:val="18"/>
        </w:rPr>
        <w:t>.</w:t>
        <w:tab/>
      </w:r>
      <w:r>
        <w:rPr>
          <w:b w:val="0"/>
          <w:i w:val="0"/>
          <w:sz w:val="18"/>
        </w:rPr>
        <w:t xml:space="preserve">Aiken, L.S.; West, S.G. </w:t>
      </w:r>
      <w:r>
        <w:rPr>
          <w:b w:val="0"/>
          <w:i/>
          <w:sz w:val="18"/>
        </w:rPr>
        <w:t>Multiple Regression: Testing and Interpreting Interactions</w:t>
      </w:r>
      <w:r>
        <w:rPr>
          <w:b w:val="0"/>
          <w:i w:val="0"/>
          <w:sz w:val="18"/>
        </w:rPr>
        <w:t xml:space="preserve">; </w:t>
      </w:r>
      <w:r>
        <w:rPr>
          <w:b w:val="0"/>
          <w:i w:val="0"/>
          <w:sz w:val="18"/>
        </w:rPr>
        <w:t>Sage: Newbury Park, CA, USA, 1991.</w:t>
      </w:r>
    </w:p>
    <w:p>
      <w:pPr>
        <w:pStyle w:val="MDPI32textnoindent"/>
        <w:spacing w:line="240" w:lineRule="auto" w:before="0" w:after="40"/>
        <w:ind w:left="425" w:hanging="425"/>
        <w:tabs>
          <w:tab w:val="left" w:pos="425"/>
        </w:tabs>
      </w:pPr>
      <w:bookmarkStart w:id="1079" w:name="_Ref_79"/>
      <w:r>
        <w:rPr>
          <w:b w:val="0"/>
          <w:sz w:val="18"/>
        </w:rPr>
        <w:t>79</w:t>
      </w:r>
      <w:bookmarkEnd w:id="1079"/>
      <w:r>
        <w:rPr>
          <w:sz w:val="18"/>
        </w:rPr>
        <w:t>.</w:t>
        <w:tab/>
      </w:r>
      <w:r>
        <w:rPr>
          <w:b w:val="0"/>
          <w:i w:val="0"/>
          <w:sz w:val="18"/>
        </w:rPr>
        <w:t xml:space="preserve">Petersen, M.A. </w:t>
      </w:r>
      <w:r>
        <w:rPr>
          <w:b w:val="0"/>
          <w:i w:val="0"/>
          <w:sz w:val="18"/>
        </w:rPr>
        <w:t xml:space="preserve">Estimating Standard Errors in Finance Panel Data Sets: Comparing Approaches. </w:t>
      </w:r>
      <w:r>
        <w:rPr>
          <w:b w:val="0"/>
          <w:i/>
          <w:sz w:val="18"/>
        </w:rPr>
        <w:t xml:space="preserve">Rev. Financ. Stud. </w:t>
      </w:r>
      <w:r>
        <w:rPr>
          <w:b/>
          <w:i w:val="0"/>
          <w:sz w:val="18"/>
        </w:rPr>
        <w:t>2009</w:t>
      </w:r>
      <w:r>
        <w:rPr>
          <w:b w:val="0"/>
          <w:i w:val="0"/>
          <w:sz w:val="18"/>
        </w:rPr>
        <w:t xml:space="preserve">, </w:t>
      </w:r>
      <w:r>
        <w:rPr>
          <w:b w:val="0"/>
          <w:i/>
          <w:sz w:val="18"/>
        </w:rPr>
        <w:t>22</w:t>
      </w:r>
      <w:r>
        <w:rPr>
          <w:b w:val="0"/>
          <w:i w:val="0"/>
          <w:sz w:val="18"/>
        </w:rPr>
        <w:t>, 435–480.</w:t>
      </w:r>
      <w:r>
        <w:rPr>
          <w:b w:val="0"/>
          <w:i w:val="0"/>
          <w:sz w:val="18"/>
        </w:rPr>
        <w:t xml:space="preserve"> [CrossRef]</w:t>
      </w:r>
    </w:p>
    <w:p>
      <w:pPr>
        <w:pStyle w:val="MDPI32textnoindent"/>
        <w:spacing w:line="240" w:lineRule="auto" w:before="0" w:after="40"/>
        <w:ind w:left="425" w:hanging="425"/>
        <w:tabs>
          <w:tab w:val="left" w:pos="425"/>
        </w:tabs>
      </w:pPr>
      <w:bookmarkStart w:id="1080" w:name="_Ref_80"/>
      <w:r>
        <w:rPr>
          <w:b w:val="0"/>
          <w:sz w:val="18"/>
        </w:rPr>
        <w:t>80</w:t>
      </w:r>
      <w:bookmarkEnd w:id="1080"/>
      <w:r>
        <w:rPr>
          <w:sz w:val="18"/>
        </w:rPr>
        <w:t>.</w:t>
        <w:tab/>
      </w:r>
      <w:r>
        <w:rPr>
          <w:b w:val="0"/>
          <w:i w:val="0"/>
          <w:sz w:val="18"/>
        </w:rPr>
        <w:t xml:space="preserve">Abadie, A.; Athey, S.; Imbens, G.W.; Wooldridge, J.M. </w:t>
      </w:r>
      <w:r>
        <w:rPr>
          <w:b w:val="0"/>
          <w:i w:val="0"/>
          <w:sz w:val="18"/>
        </w:rPr>
        <w:t xml:space="preserve">When Should You Adjust Standard Errors for Clustering? </w:t>
      </w:r>
      <w:r>
        <w:rPr>
          <w:b w:val="0"/>
          <w:i/>
          <w:sz w:val="18"/>
        </w:rPr>
        <w:t xml:space="preserve">Q. J. Econ. </w:t>
      </w:r>
      <w:r>
        <w:rPr>
          <w:b/>
          <w:i w:val="0"/>
          <w:sz w:val="18"/>
        </w:rPr>
        <w:t>2023</w:t>
      </w:r>
      <w:r>
        <w:rPr>
          <w:b w:val="0"/>
          <w:i w:val="0"/>
          <w:sz w:val="18"/>
        </w:rPr>
        <w:t xml:space="preserve">, </w:t>
      </w:r>
      <w:r>
        <w:rPr>
          <w:b w:val="0"/>
          <w:i/>
          <w:sz w:val="18"/>
        </w:rPr>
        <w:t>138</w:t>
      </w:r>
      <w:r>
        <w:rPr>
          <w:b w:val="0"/>
          <w:i w:val="0"/>
          <w:sz w:val="18"/>
        </w:rPr>
        <w:t>, 1–35.</w:t>
      </w:r>
      <w:r>
        <w:rPr>
          <w:b w:val="0"/>
          <w:i w:val="0"/>
          <w:sz w:val="18"/>
        </w:rPr>
        <w:t xml:space="preserve"> [CrossRef]</w:t>
      </w:r>
    </w:p>
    <w:p>
      <w:pPr>
        <w:pStyle w:val="MDPI32textnoindent"/>
        <w:spacing w:line="240" w:lineRule="auto" w:before="0" w:after="40"/>
        <w:ind w:left="425" w:hanging="425"/>
        <w:tabs>
          <w:tab w:val="left" w:pos="425"/>
        </w:tabs>
      </w:pPr>
      <w:bookmarkStart w:id="1081" w:name="_Ref_81"/>
      <w:r>
        <w:rPr>
          <w:b w:val="0"/>
          <w:sz w:val="18"/>
        </w:rPr>
        <w:t>81</w:t>
      </w:r>
      <w:bookmarkEnd w:id="1081"/>
      <w:r>
        <w:rPr>
          <w:sz w:val="18"/>
        </w:rPr>
        <w:t>.</w:t>
        <w:tab/>
      </w:r>
      <w:r>
        <w:rPr>
          <w:b w:val="0"/>
          <w:i w:val="0"/>
          <w:sz w:val="18"/>
        </w:rPr>
        <w:t xml:space="preserve">Baron, R.M.; Kenny, D.A. </w:t>
      </w:r>
      <w:r>
        <w:rPr>
          <w:b w:val="0"/>
          <w:i w:val="0"/>
          <w:sz w:val="18"/>
        </w:rPr>
        <w:t xml:space="preserve">The Moderator-Mediator Variable Distinction in Social Psychological Research: Conceptual, Strategic, and Statistical Considerations. </w:t>
      </w:r>
      <w:r>
        <w:rPr>
          <w:b w:val="0"/>
          <w:i/>
          <w:sz w:val="18"/>
        </w:rPr>
        <w:t xml:space="preserve">J. Pers. Soc. Psychol. </w:t>
      </w:r>
      <w:r>
        <w:rPr>
          <w:b/>
          <w:i w:val="0"/>
          <w:sz w:val="18"/>
        </w:rPr>
        <w:t>1986</w:t>
      </w:r>
      <w:r>
        <w:rPr>
          <w:b w:val="0"/>
          <w:i w:val="0"/>
          <w:sz w:val="18"/>
        </w:rPr>
        <w:t xml:space="preserve">, </w:t>
      </w:r>
      <w:r>
        <w:rPr>
          <w:b w:val="0"/>
          <w:i/>
          <w:sz w:val="18"/>
        </w:rPr>
        <w:t>51</w:t>
      </w:r>
      <w:r>
        <w:rPr>
          <w:b w:val="0"/>
          <w:i w:val="0"/>
          <w:sz w:val="18"/>
        </w:rPr>
        <w:t>, 1173–1182.</w:t>
      </w:r>
      <w:r>
        <w:rPr>
          <w:b w:val="0"/>
          <w:i w:val="0"/>
          <w:sz w:val="18"/>
        </w:rPr>
        <w:t xml:space="preserve"> [CrossRef]</w:t>
      </w:r>
    </w:p>
    <w:p>
      <w:pPr>
        <w:pStyle w:val="MDPI32textnoindent"/>
        <w:spacing w:line="240" w:lineRule="auto" w:before="0" w:after="40"/>
        <w:ind w:left="425" w:hanging="425"/>
        <w:tabs>
          <w:tab w:val="left" w:pos="425"/>
        </w:tabs>
      </w:pPr>
      <w:bookmarkStart w:id="1082" w:name="_Ref_82"/>
      <w:r>
        <w:rPr>
          <w:b w:val="0"/>
          <w:sz w:val="18"/>
        </w:rPr>
        <w:t>82</w:t>
      </w:r>
      <w:bookmarkEnd w:id="1082"/>
      <w:r>
        <w:rPr>
          <w:sz w:val="18"/>
        </w:rPr>
        <w:t>.</w:t>
        <w:tab/>
      </w:r>
      <w:r>
        <w:rPr>
          <w:b w:val="0"/>
          <w:i w:val="0"/>
          <w:sz w:val="18"/>
        </w:rPr>
        <w:t xml:space="preserve">Zhao, X.; Lynch, J.G., Jr.; Chen, Q. </w:t>
      </w:r>
      <w:r>
        <w:rPr>
          <w:b w:val="0"/>
          <w:i w:val="0"/>
          <w:sz w:val="18"/>
        </w:rPr>
        <w:t xml:space="preserve">Reconsidering Baron and Kenny: Myths and Truths about Mediation Analysis. </w:t>
      </w:r>
      <w:r>
        <w:rPr>
          <w:b w:val="0"/>
          <w:i/>
          <w:sz w:val="18"/>
        </w:rPr>
        <w:t xml:space="preserve">J. Consum. Res. </w:t>
      </w:r>
      <w:r>
        <w:rPr>
          <w:b/>
          <w:i w:val="0"/>
          <w:sz w:val="18"/>
        </w:rPr>
        <w:t>2010</w:t>
      </w:r>
      <w:r>
        <w:rPr>
          <w:b w:val="0"/>
          <w:i w:val="0"/>
          <w:sz w:val="18"/>
        </w:rPr>
        <w:t xml:space="preserve">, </w:t>
      </w:r>
      <w:r>
        <w:rPr>
          <w:b w:val="0"/>
          <w:i/>
          <w:sz w:val="18"/>
        </w:rPr>
        <w:t>37</w:t>
      </w:r>
      <w:r>
        <w:rPr>
          <w:b w:val="0"/>
          <w:i w:val="0"/>
          <w:sz w:val="18"/>
        </w:rPr>
        <w:t>, 197–206.</w:t>
      </w:r>
      <w:r>
        <w:rPr>
          <w:b w:val="0"/>
          <w:i w:val="0"/>
          <w:sz w:val="18"/>
        </w:rPr>
        <w:t xml:space="preserve"> [CrossRef]</w:t>
      </w:r>
    </w:p>
    <w:p>
      <w:pPr>
        <w:pStyle w:val="MDPI32textnoindent"/>
        <w:spacing w:line="240" w:lineRule="auto" w:before="0" w:after="40"/>
        <w:ind w:left="425" w:hanging="425"/>
        <w:tabs>
          <w:tab w:val="left" w:pos="425"/>
        </w:tabs>
      </w:pPr>
      <w:bookmarkStart w:id="1083" w:name="_Ref_83"/>
      <w:r>
        <w:rPr>
          <w:b w:val="0"/>
          <w:sz w:val="18"/>
        </w:rPr>
        <w:t>83</w:t>
      </w:r>
      <w:bookmarkEnd w:id="1083"/>
      <w:r>
        <w:rPr>
          <w:sz w:val="18"/>
        </w:rPr>
        <w:t>.</w:t>
        <w:tab/>
      </w:r>
      <w:r>
        <w:rPr>
          <w:b w:val="0"/>
          <w:i w:val="0"/>
          <w:sz w:val="18"/>
        </w:rPr>
        <w:t xml:space="preserve">Preacher, K.J.; Hayes, A.F. </w:t>
      </w:r>
      <w:r>
        <w:rPr>
          <w:b w:val="0"/>
          <w:i w:val="0"/>
          <w:sz w:val="18"/>
        </w:rPr>
        <w:t xml:space="preserve">Asymptotic and Resampling Strategies for Assessing and Comparing Indirect Effects in Multiple Mediator Models. </w:t>
      </w:r>
      <w:r>
        <w:rPr>
          <w:b w:val="0"/>
          <w:i/>
          <w:sz w:val="18"/>
        </w:rPr>
        <w:t xml:space="preserve">Behav. Res. Methods </w:t>
      </w:r>
      <w:r>
        <w:rPr>
          <w:b/>
          <w:i w:val="0"/>
          <w:sz w:val="18"/>
        </w:rPr>
        <w:t>2008</w:t>
      </w:r>
      <w:r>
        <w:rPr>
          <w:b w:val="0"/>
          <w:i w:val="0"/>
          <w:sz w:val="18"/>
        </w:rPr>
        <w:t xml:space="preserve">, </w:t>
      </w:r>
      <w:r>
        <w:rPr>
          <w:b w:val="0"/>
          <w:i/>
          <w:sz w:val="18"/>
        </w:rPr>
        <w:t>40</w:t>
      </w:r>
      <w:r>
        <w:rPr>
          <w:b w:val="0"/>
          <w:i w:val="0"/>
          <w:sz w:val="18"/>
        </w:rPr>
        <w:t>, 879–891.</w:t>
      </w:r>
      <w:r>
        <w:rPr>
          <w:b w:val="0"/>
          <w:i w:val="0"/>
          <w:sz w:val="18"/>
        </w:rPr>
        <w:t xml:space="preserve"> [CrossRef]</w:t>
      </w:r>
    </w:p>
    <w:p>
      <w:pPr>
        <w:pStyle w:val="MDPI32textnoindent"/>
        <w:spacing w:line="240" w:lineRule="auto" w:before="0" w:after="40"/>
        <w:ind w:left="425" w:hanging="425"/>
        <w:tabs>
          <w:tab w:val="left" w:pos="425"/>
        </w:tabs>
      </w:pPr>
      <w:bookmarkStart w:id="1084" w:name="_Ref_84"/>
      <w:r>
        <w:rPr>
          <w:b w:val="0"/>
          <w:sz w:val="18"/>
        </w:rPr>
        <w:t>84</w:t>
      </w:r>
      <w:bookmarkEnd w:id="1084"/>
      <w:r>
        <w:rPr>
          <w:sz w:val="18"/>
        </w:rPr>
        <w:t>.</w:t>
        <w:tab/>
      </w:r>
      <w:r>
        <w:rPr>
          <w:b w:val="0"/>
          <w:i w:val="0"/>
          <w:sz w:val="18"/>
        </w:rPr>
        <w:t xml:space="preserve">Kleibergen, F.; Paap, R. </w:t>
      </w:r>
      <w:r>
        <w:rPr>
          <w:b w:val="0"/>
          <w:i w:val="0"/>
          <w:sz w:val="18"/>
        </w:rPr>
        <w:t xml:space="preserve">Generalized Reduced Rank Tests Using the Singular Value Decomposition. </w:t>
      </w:r>
      <w:r>
        <w:rPr>
          <w:b w:val="0"/>
          <w:i/>
          <w:sz w:val="18"/>
        </w:rPr>
        <w:t xml:space="preserve">J. Econom. </w:t>
      </w:r>
      <w:r>
        <w:rPr>
          <w:b/>
          <w:i w:val="0"/>
          <w:sz w:val="18"/>
        </w:rPr>
        <w:t>2006</w:t>
      </w:r>
      <w:r>
        <w:rPr>
          <w:b w:val="0"/>
          <w:i w:val="0"/>
          <w:sz w:val="18"/>
        </w:rPr>
        <w:t xml:space="preserve">, </w:t>
      </w:r>
      <w:r>
        <w:rPr>
          <w:b w:val="0"/>
          <w:i/>
          <w:sz w:val="18"/>
        </w:rPr>
        <w:t>133</w:t>
      </w:r>
      <w:r>
        <w:rPr>
          <w:b w:val="0"/>
          <w:i w:val="0"/>
          <w:sz w:val="18"/>
        </w:rPr>
        <w:t>, 97–126.</w:t>
      </w:r>
      <w:r>
        <w:rPr>
          <w:b w:val="0"/>
          <w:i w:val="0"/>
          <w:sz w:val="18"/>
        </w:rPr>
        <w:t xml:space="preserve"> [CrossRef]</w:t>
      </w:r>
    </w:p>
    <w:p>
      <w:pPr>
        <w:pStyle w:val="MDPI32textnoindent"/>
        <w:spacing w:line="240" w:lineRule="auto" w:before="0" w:after="40"/>
        <w:ind w:left="425" w:hanging="425"/>
        <w:tabs>
          <w:tab w:val="left" w:pos="425"/>
        </w:tabs>
      </w:pPr>
      <w:bookmarkStart w:id="1085" w:name="_Ref_85"/>
      <w:r>
        <w:rPr>
          <w:b w:val="0"/>
          <w:sz w:val="18"/>
        </w:rPr>
        <w:t>85</w:t>
      </w:r>
      <w:bookmarkEnd w:id="1085"/>
      <w:r>
        <w:rPr>
          <w:sz w:val="18"/>
        </w:rPr>
        <w:t>.</w:t>
        <w:tab/>
      </w:r>
      <w:r>
        <w:rPr>
          <w:b w:val="0"/>
          <w:i w:val="0"/>
          <w:sz w:val="18"/>
        </w:rPr>
        <w:t xml:space="preserve">Stock, J.H.; Yogo, M. </w:t>
      </w:r>
      <w:r>
        <w:rPr>
          <w:b w:val="0"/>
          <w:i w:val="0"/>
          <w:sz w:val="18"/>
        </w:rPr>
        <w:t xml:space="preserve">Testing for Weak Instruments in Linear IV Regression. </w:t>
      </w:r>
      <w:r>
        <w:rPr>
          <w:b w:val="0"/>
          <w:i w:val="0"/>
          <w:sz w:val="18"/>
        </w:rPr>
        <w:t xml:space="preserve">In </w:t>
      </w:r>
      <w:r>
        <w:rPr>
          <w:b w:val="0"/>
          <w:i/>
          <w:sz w:val="18"/>
        </w:rPr>
        <w:t>Identification and Inference for Econometric Models: Essays in Honor of Thomas Rothenberg</w:t>
      </w:r>
      <w:r>
        <w:rPr>
          <w:b w:val="0"/>
          <w:i w:val="0"/>
          <w:sz w:val="18"/>
        </w:rPr>
        <w:t xml:space="preserve">; Andrews, D.W.K., Stock, J.H., Eds.; </w:t>
      </w:r>
      <w:r>
        <w:rPr>
          <w:b w:val="0"/>
          <w:i w:val="0"/>
          <w:sz w:val="18"/>
        </w:rPr>
        <w:t>Cambridge University Press: Cambridge, UK, 2005; pp. 80–108.</w:t>
      </w:r>
    </w:p>
    <w:p>
      <w:pPr>
        <w:pStyle w:val="MDPI32textnoindent"/>
        <w:spacing w:line="240" w:lineRule="auto" w:before="0" w:after="40"/>
        <w:ind w:left="425" w:hanging="425"/>
        <w:tabs>
          <w:tab w:val="left" w:pos="425"/>
        </w:tabs>
      </w:pPr>
      <w:bookmarkStart w:id="1086" w:name="_Ref_86"/>
      <w:r>
        <w:rPr>
          <w:b w:val="0"/>
          <w:sz w:val="18"/>
        </w:rPr>
        <w:t>86</w:t>
      </w:r>
      <w:bookmarkEnd w:id="1086"/>
      <w:r>
        <w:rPr>
          <w:sz w:val="18"/>
        </w:rPr>
        <w:t>.</w:t>
        <w:tab/>
      </w:r>
      <w:r>
        <w:rPr>
          <w:b w:val="0"/>
          <w:i w:val="0"/>
          <w:sz w:val="18"/>
        </w:rPr>
        <w:t xml:space="preserve">Young, A. </w:t>
      </w:r>
      <w:r>
        <w:rPr>
          <w:b w:val="0"/>
          <w:i w:val="0"/>
          <w:sz w:val="18"/>
        </w:rPr>
        <w:t xml:space="preserve">Consistency without Inference: Instrumental Variables in Practical Application. </w:t>
      </w:r>
      <w:r>
        <w:rPr>
          <w:b w:val="0"/>
          <w:i/>
          <w:sz w:val="18"/>
        </w:rPr>
        <w:t xml:space="preserve">Eur. Econ. Rev. </w:t>
      </w:r>
      <w:r>
        <w:rPr>
          <w:b/>
          <w:i w:val="0"/>
          <w:sz w:val="18"/>
        </w:rPr>
        <w:t>2022</w:t>
      </w:r>
      <w:r>
        <w:rPr>
          <w:b w:val="0"/>
          <w:i w:val="0"/>
          <w:sz w:val="18"/>
        </w:rPr>
        <w:t xml:space="preserve">, </w:t>
      </w:r>
      <w:r>
        <w:rPr>
          <w:b w:val="0"/>
          <w:i/>
          <w:sz w:val="18"/>
        </w:rPr>
        <w:t>147</w:t>
      </w:r>
      <w:r>
        <w:rPr>
          <w:b w:val="0"/>
          <w:i w:val="0"/>
          <w:sz w:val="18"/>
        </w:rPr>
        <w:t>, 104112.</w:t>
      </w:r>
      <w:r>
        <w:rPr>
          <w:b w:val="0"/>
          <w:i w:val="0"/>
          <w:sz w:val="18"/>
        </w:rPr>
        <w:t xml:space="preserve"> [CrossRef]</w:t>
      </w:r>
    </w:p>
    <w:p>
      <w:pPr>
        <w:pStyle w:val="MDPI32textnoindent"/>
        <w:spacing w:line="240" w:lineRule="auto" w:before="0" w:after="40"/>
        <w:ind w:left="425" w:hanging="425"/>
        <w:tabs>
          <w:tab w:val="left" w:pos="425"/>
        </w:tabs>
      </w:pPr>
      <w:bookmarkStart w:id="1087" w:name="_Ref_87"/>
      <w:r>
        <w:rPr>
          <w:b w:val="0"/>
          <w:sz w:val="18"/>
        </w:rPr>
        <w:t>87</w:t>
      </w:r>
      <w:bookmarkEnd w:id="1087"/>
      <w:r>
        <w:rPr>
          <w:sz w:val="18"/>
        </w:rPr>
        <w:t>.</w:t>
        <w:tab/>
      </w:r>
      <w:r>
        <w:rPr>
          <w:b w:val="0"/>
          <w:i w:val="0"/>
          <w:sz w:val="18"/>
        </w:rPr>
        <w:t xml:space="preserve">Wooldridge, J.M. </w:t>
      </w:r>
      <w:r>
        <w:rPr>
          <w:b w:val="0"/>
          <w:i/>
          <w:sz w:val="18"/>
        </w:rPr>
        <w:t>Econometric Analysis of Cross Section and Panel Data, 2nd ed.</w:t>
      </w:r>
      <w:r>
        <w:rPr>
          <w:b w:val="0"/>
          <w:i w:val="0"/>
          <w:sz w:val="18"/>
        </w:rPr>
        <w:t xml:space="preserve">; </w:t>
      </w:r>
      <w:r>
        <w:rPr>
          <w:b w:val="0"/>
          <w:i w:val="0"/>
          <w:sz w:val="18"/>
        </w:rPr>
        <w:t>MIT Press: Cambridge, MA, USA, 2010.</w:t>
      </w:r>
    </w:p>
    <w:p>
      <w:pPr>
        <w:pStyle w:val="MDPI32textnoindent"/>
        <w:spacing w:line="240" w:lineRule="auto" w:before="0" w:after="40"/>
        <w:ind w:left="425" w:hanging="425"/>
        <w:tabs>
          <w:tab w:val="left" w:pos="425"/>
        </w:tabs>
      </w:pPr>
      <w:bookmarkStart w:id="1088" w:name="_Ref_88"/>
      <w:r>
        <w:rPr>
          <w:b w:val="0"/>
          <w:sz w:val="18"/>
        </w:rPr>
        <w:t>88</w:t>
      </w:r>
      <w:bookmarkEnd w:id="1088"/>
      <w:r>
        <w:rPr>
          <w:sz w:val="18"/>
        </w:rPr>
        <w:t>.</w:t>
        <w:tab/>
      </w:r>
      <w:r>
        <w:rPr>
          <w:b w:val="0"/>
          <w:i w:val="0"/>
          <w:sz w:val="18"/>
        </w:rPr>
        <w:t xml:space="preserve">Holtz-Eakin, D.; Newey, W.; Rosen, H.S. </w:t>
      </w:r>
      <w:r>
        <w:rPr>
          <w:b w:val="0"/>
          <w:i w:val="0"/>
          <w:sz w:val="18"/>
        </w:rPr>
        <w:t xml:space="preserve">Estimating Vector Autoregressions with Panel Data. </w:t>
      </w:r>
      <w:r>
        <w:rPr>
          <w:b w:val="0"/>
          <w:i/>
          <w:sz w:val="18"/>
        </w:rPr>
        <w:t xml:space="preserve">Econometrica </w:t>
      </w:r>
      <w:r>
        <w:rPr>
          <w:b/>
          <w:i w:val="0"/>
          <w:sz w:val="18"/>
        </w:rPr>
        <w:t>1988</w:t>
      </w:r>
      <w:r>
        <w:rPr>
          <w:b w:val="0"/>
          <w:i w:val="0"/>
          <w:sz w:val="18"/>
        </w:rPr>
        <w:t xml:space="preserve">, </w:t>
      </w:r>
      <w:r>
        <w:rPr>
          <w:b w:val="0"/>
          <w:i/>
          <w:sz w:val="18"/>
        </w:rPr>
        <w:t>56</w:t>
      </w:r>
      <w:r>
        <w:rPr>
          <w:b w:val="0"/>
          <w:i w:val="0"/>
          <w:sz w:val="18"/>
        </w:rPr>
        <w:t>, 1371–1395.</w:t>
      </w:r>
      <w:r>
        <w:rPr>
          <w:b w:val="0"/>
          <w:i w:val="0"/>
          <w:sz w:val="18"/>
        </w:rPr>
        <w:t xml:space="preserve"> [CrossRef]</w:t>
      </w:r>
    </w:p>
    <w:p>
      <w:pPr>
        <w:pStyle w:val="MDPI32textnoindent"/>
        <w:spacing w:line="240" w:lineRule="auto" w:before="0" w:after="40"/>
        <w:ind w:left="425" w:hanging="425"/>
        <w:tabs>
          <w:tab w:val="left" w:pos="425"/>
        </w:tabs>
      </w:pPr>
      <w:bookmarkStart w:id="1089" w:name="_Ref_89"/>
      <w:r>
        <w:rPr>
          <w:b w:val="0"/>
          <w:sz w:val="18"/>
        </w:rPr>
        <w:t>89</w:t>
      </w:r>
      <w:bookmarkEnd w:id="1089"/>
      <w:r>
        <w:rPr>
          <w:sz w:val="18"/>
        </w:rPr>
        <w:t>.</w:t>
        <w:tab/>
      </w:r>
      <w:r>
        <w:rPr>
          <w:b w:val="0"/>
          <w:i w:val="0"/>
          <w:sz w:val="18"/>
        </w:rPr>
        <w:t xml:space="preserve">Abrigo, M.R.M.; Love, I. </w:t>
      </w:r>
      <w:r>
        <w:rPr>
          <w:b w:val="0"/>
          <w:i w:val="0"/>
          <w:sz w:val="18"/>
        </w:rPr>
        <w:t xml:space="preserve">Estimation of Panel Vector Autoregression in Stata. </w:t>
      </w:r>
      <w:r>
        <w:rPr>
          <w:b w:val="0"/>
          <w:i/>
          <w:sz w:val="18"/>
        </w:rPr>
        <w:t xml:space="preserve">Stata J. </w:t>
      </w:r>
      <w:r>
        <w:rPr>
          <w:b/>
          <w:i w:val="0"/>
          <w:sz w:val="18"/>
        </w:rPr>
        <w:t>2016</w:t>
      </w:r>
      <w:r>
        <w:rPr>
          <w:b w:val="0"/>
          <w:i w:val="0"/>
          <w:sz w:val="18"/>
        </w:rPr>
        <w:t xml:space="preserve">, </w:t>
      </w:r>
      <w:r>
        <w:rPr>
          <w:b w:val="0"/>
          <w:i/>
          <w:sz w:val="18"/>
        </w:rPr>
        <w:t>16</w:t>
      </w:r>
      <w:r>
        <w:rPr>
          <w:b w:val="0"/>
          <w:i w:val="0"/>
          <w:sz w:val="18"/>
        </w:rPr>
        <w:t>, 778–804.</w:t>
      </w:r>
      <w:r>
        <w:rPr>
          <w:b w:val="0"/>
          <w:i w:val="0"/>
          <w:sz w:val="18"/>
        </w:rPr>
        <w:t xml:space="preserve"> [CrossRef]</w:t>
      </w:r>
    </w:p>
    <w:p>
      <w:pPr>
        <w:pStyle w:val="MDPI32textnoindent"/>
        <w:spacing w:line="240" w:lineRule="auto" w:before="0" w:after="40"/>
        <w:ind w:left="425" w:hanging="425"/>
        <w:tabs>
          <w:tab w:val="left" w:pos="425"/>
        </w:tabs>
      </w:pPr>
      <w:bookmarkStart w:id="1090" w:name="_Ref_90"/>
      <w:r>
        <w:rPr>
          <w:b w:val="0"/>
          <w:sz w:val="18"/>
        </w:rPr>
        <w:t>90</w:t>
      </w:r>
      <w:bookmarkEnd w:id="1090"/>
      <w:r>
        <w:rPr>
          <w:sz w:val="18"/>
        </w:rPr>
        <w:t>.</w:t>
        <w:tab/>
      </w:r>
      <w:r>
        <w:rPr>
          <w:b w:val="0"/>
          <w:i w:val="0"/>
          <w:sz w:val="18"/>
        </w:rPr>
        <w:t xml:space="preserve">Nickell, S. </w:t>
      </w:r>
      <w:r>
        <w:rPr>
          <w:b w:val="0"/>
          <w:i w:val="0"/>
          <w:sz w:val="18"/>
        </w:rPr>
        <w:t xml:space="preserve">Biases in Dynamic Models with Fixed Effects. </w:t>
      </w:r>
      <w:r>
        <w:rPr>
          <w:b w:val="0"/>
          <w:i/>
          <w:sz w:val="18"/>
        </w:rPr>
        <w:t xml:space="preserve">Econometrica </w:t>
      </w:r>
      <w:r>
        <w:rPr>
          <w:b/>
          <w:i w:val="0"/>
          <w:sz w:val="18"/>
        </w:rPr>
        <w:t>1981</w:t>
      </w:r>
      <w:r>
        <w:rPr>
          <w:b w:val="0"/>
          <w:i w:val="0"/>
          <w:sz w:val="18"/>
        </w:rPr>
        <w:t xml:space="preserve">, </w:t>
      </w:r>
      <w:r>
        <w:rPr>
          <w:b w:val="0"/>
          <w:i/>
          <w:sz w:val="18"/>
        </w:rPr>
        <w:t>49</w:t>
      </w:r>
      <w:r>
        <w:rPr>
          <w:b w:val="0"/>
          <w:i w:val="0"/>
          <w:sz w:val="18"/>
        </w:rPr>
        <w:t>, 1417–1426.</w:t>
      </w:r>
      <w:r>
        <w:rPr>
          <w:b w:val="0"/>
          <w:i w:val="0"/>
          <w:sz w:val="18"/>
        </w:rPr>
        <w:t xml:space="preserve"> [CrossRef]</w:t>
      </w:r>
    </w:p>
    <w:p>
      <w:pPr>
        <w:pStyle w:val="MDPI32textnoindent"/>
        <w:spacing w:line="240" w:lineRule="auto" w:before="0" w:after="40"/>
        <w:ind w:left="425" w:hanging="425"/>
        <w:tabs>
          <w:tab w:val="left" w:pos="425"/>
        </w:tabs>
      </w:pPr>
      <w:bookmarkStart w:id="1091" w:name="_Ref_91"/>
      <w:r>
        <w:rPr>
          <w:b w:val="0"/>
          <w:sz w:val="18"/>
        </w:rPr>
        <w:t>91</w:t>
      </w:r>
      <w:bookmarkEnd w:id="1091"/>
      <w:r>
        <w:rPr>
          <w:sz w:val="18"/>
        </w:rPr>
        <w:t>.</w:t>
        <w:tab/>
      </w:r>
      <w:r>
        <w:rPr>
          <w:b w:val="0"/>
          <w:i w:val="0"/>
          <w:sz w:val="18"/>
        </w:rPr>
        <w:t xml:space="preserve">Arellano, M.; Bond, S. </w:t>
      </w:r>
      <w:r>
        <w:rPr>
          <w:b w:val="0"/>
          <w:i w:val="0"/>
          <w:sz w:val="18"/>
        </w:rPr>
        <w:t xml:space="preserve">Some Tests of Specification for Panel Data: Monte Carlo Evidence and an Application to Employment Equations. </w:t>
      </w:r>
      <w:r>
        <w:rPr>
          <w:b w:val="0"/>
          <w:i/>
          <w:sz w:val="18"/>
        </w:rPr>
        <w:t xml:space="preserve">Rev. Econ. Stud. </w:t>
      </w:r>
      <w:r>
        <w:rPr>
          <w:b/>
          <w:i w:val="0"/>
          <w:sz w:val="18"/>
        </w:rPr>
        <w:t>1991</w:t>
      </w:r>
      <w:r>
        <w:rPr>
          <w:b w:val="0"/>
          <w:i w:val="0"/>
          <w:sz w:val="18"/>
        </w:rPr>
        <w:t xml:space="preserve">, </w:t>
      </w:r>
      <w:r>
        <w:rPr>
          <w:b w:val="0"/>
          <w:i/>
          <w:sz w:val="18"/>
        </w:rPr>
        <w:t>58</w:t>
      </w:r>
      <w:r>
        <w:rPr>
          <w:b w:val="0"/>
          <w:i w:val="0"/>
          <w:sz w:val="18"/>
        </w:rPr>
        <w:t>, 277–297.</w:t>
      </w:r>
      <w:r>
        <w:rPr>
          <w:b w:val="0"/>
          <w:i w:val="0"/>
          <w:sz w:val="18"/>
        </w:rPr>
        <w:t xml:space="preserve"> [CrossRef]</w:t>
      </w:r>
    </w:p>
    <w:p>
      <w:pPr>
        <w:pStyle w:val="MDPI32textnoindent"/>
        <w:spacing w:line="240" w:lineRule="auto" w:before="0" w:after="40"/>
        <w:ind w:left="425" w:hanging="425"/>
        <w:tabs>
          <w:tab w:val="left" w:pos="425"/>
        </w:tabs>
      </w:pPr>
      <w:bookmarkStart w:id="1092" w:name="_Ref_92"/>
      <w:r>
        <w:rPr>
          <w:b w:val="0"/>
          <w:sz w:val="18"/>
        </w:rPr>
        <w:t>92</w:t>
      </w:r>
      <w:bookmarkEnd w:id="1092"/>
      <w:r>
        <w:rPr>
          <w:sz w:val="18"/>
        </w:rPr>
        <w:t>.</w:t>
        <w:tab/>
      </w:r>
      <w:r>
        <w:rPr>
          <w:b w:val="0"/>
          <w:i w:val="0"/>
          <w:sz w:val="18"/>
        </w:rPr>
        <w:t xml:space="preserve">Arellano, M.; Bover, O. </w:t>
      </w:r>
      <w:r>
        <w:rPr>
          <w:b w:val="0"/>
          <w:i w:val="0"/>
          <w:sz w:val="18"/>
        </w:rPr>
        <w:t xml:space="preserve">Another Look at the Instrumental Variable Estimation of Error-Components Models. </w:t>
      </w:r>
      <w:r>
        <w:rPr>
          <w:b w:val="0"/>
          <w:i/>
          <w:sz w:val="18"/>
        </w:rPr>
        <w:t xml:space="preserve">J. Econom. </w:t>
      </w:r>
      <w:r>
        <w:rPr>
          <w:b/>
          <w:i w:val="0"/>
          <w:sz w:val="18"/>
        </w:rPr>
        <w:t>1995</w:t>
      </w:r>
      <w:r>
        <w:rPr>
          <w:b w:val="0"/>
          <w:i w:val="0"/>
          <w:sz w:val="18"/>
        </w:rPr>
        <w:t xml:space="preserve">, </w:t>
      </w:r>
      <w:r>
        <w:rPr>
          <w:b w:val="0"/>
          <w:i/>
          <w:sz w:val="18"/>
        </w:rPr>
        <w:t>68</w:t>
      </w:r>
      <w:r>
        <w:rPr>
          <w:b w:val="0"/>
          <w:i w:val="0"/>
          <w:sz w:val="18"/>
        </w:rPr>
        <w:t>, 29–51.</w:t>
      </w:r>
      <w:r>
        <w:rPr>
          <w:b w:val="0"/>
          <w:i w:val="0"/>
          <w:sz w:val="18"/>
        </w:rPr>
        <w:t xml:space="preserve"> [CrossRef]</w:t>
      </w:r>
    </w:p>
    <w:p>
      <w:pPr>
        <w:pStyle w:val="MDPI32textnoindent"/>
        <w:spacing w:line="240" w:lineRule="auto" w:before="0" w:after="40"/>
        <w:ind w:left="425" w:hanging="425"/>
        <w:tabs>
          <w:tab w:val="left" w:pos="425"/>
        </w:tabs>
      </w:pPr>
      <w:bookmarkStart w:id="1093" w:name="_Ref_93"/>
      <w:r>
        <w:rPr>
          <w:b w:val="0"/>
          <w:sz w:val="18"/>
        </w:rPr>
        <w:t>93</w:t>
      </w:r>
      <w:bookmarkEnd w:id="1093"/>
      <w:r>
        <w:rPr>
          <w:sz w:val="18"/>
        </w:rPr>
        <w:t>.</w:t>
        <w:tab/>
      </w:r>
      <w:r>
        <w:rPr>
          <w:b w:val="0"/>
          <w:i w:val="0"/>
          <w:sz w:val="18"/>
        </w:rPr>
        <w:t xml:space="preserve">Blundell, R.; Bond, S. </w:t>
      </w:r>
      <w:r>
        <w:rPr>
          <w:b w:val="0"/>
          <w:i w:val="0"/>
          <w:sz w:val="18"/>
        </w:rPr>
        <w:t xml:space="preserve">Initial Conditions and Moment Restrictions in Dynamic Panel Data Models. </w:t>
      </w:r>
      <w:r>
        <w:rPr>
          <w:b w:val="0"/>
          <w:i/>
          <w:sz w:val="18"/>
        </w:rPr>
        <w:t xml:space="preserve">J. Econom. </w:t>
      </w:r>
      <w:r>
        <w:rPr>
          <w:b/>
          <w:i w:val="0"/>
          <w:sz w:val="18"/>
        </w:rPr>
        <w:t>1998</w:t>
      </w:r>
      <w:r>
        <w:rPr>
          <w:b w:val="0"/>
          <w:i w:val="0"/>
          <w:sz w:val="18"/>
        </w:rPr>
        <w:t xml:space="preserve">, </w:t>
      </w:r>
      <w:r>
        <w:rPr>
          <w:b w:val="0"/>
          <w:i/>
          <w:sz w:val="18"/>
        </w:rPr>
        <w:t>87</w:t>
      </w:r>
      <w:r>
        <w:rPr>
          <w:b w:val="0"/>
          <w:i w:val="0"/>
          <w:sz w:val="18"/>
        </w:rPr>
        <w:t>, 115–143.</w:t>
      </w:r>
      <w:r>
        <w:rPr>
          <w:b w:val="0"/>
          <w:i w:val="0"/>
          <w:sz w:val="18"/>
        </w:rPr>
        <w:t xml:space="preserve"> [CrossRef]</w:t>
      </w:r>
    </w:p>
    <w:p>
      <w:pPr>
        <w:pStyle w:val="MDPI32textnoindent"/>
        <w:spacing w:line="240" w:lineRule="auto" w:before="0" w:after="40"/>
        <w:ind w:left="425" w:hanging="425"/>
        <w:tabs>
          <w:tab w:val="left" w:pos="425"/>
        </w:tabs>
      </w:pPr>
      <w:bookmarkStart w:id="1094" w:name="_Ref_94"/>
      <w:r>
        <w:rPr>
          <w:b w:val="0"/>
          <w:sz w:val="18"/>
        </w:rPr>
        <w:t>94</w:t>
      </w:r>
      <w:bookmarkEnd w:id="1094"/>
      <w:r>
        <w:rPr>
          <w:sz w:val="18"/>
        </w:rPr>
        <w:t>.</w:t>
        <w:tab/>
      </w:r>
      <w:r>
        <w:rPr>
          <w:b w:val="0"/>
          <w:i w:val="0"/>
          <w:sz w:val="18"/>
        </w:rPr>
        <w:t xml:space="preserve">Chudik, A.; Pesaran, M.H.; Yang, J.-C. </w:t>
      </w:r>
      <w:r>
        <w:rPr>
          <w:b w:val="0"/>
          <w:i w:val="0"/>
          <w:sz w:val="18"/>
        </w:rPr>
        <w:t xml:space="preserve">Half-Panel Jackknife Fixed-Effects Estimation of Linear Models with Weakly Exogenous Regressors. </w:t>
      </w:r>
      <w:r>
        <w:rPr>
          <w:b w:val="0"/>
          <w:i/>
          <w:sz w:val="18"/>
        </w:rPr>
        <w:t xml:space="preserve">J. Appl. Econom. </w:t>
      </w:r>
      <w:r>
        <w:rPr>
          <w:b/>
          <w:i w:val="0"/>
          <w:sz w:val="18"/>
        </w:rPr>
        <w:t>2018</w:t>
      </w:r>
      <w:r>
        <w:rPr>
          <w:b w:val="0"/>
          <w:i w:val="0"/>
          <w:sz w:val="18"/>
        </w:rPr>
        <w:t xml:space="preserve">, </w:t>
      </w:r>
      <w:r>
        <w:rPr>
          <w:b w:val="0"/>
          <w:i/>
          <w:sz w:val="18"/>
        </w:rPr>
        <w:t>33</w:t>
      </w:r>
      <w:r>
        <w:rPr>
          <w:b w:val="0"/>
          <w:i w:val="0"/>
          <w:sz w:val="18"/>
        </w:rPr>
        <w:t>, 816–836.</w:t>
      </w:r>
      <w:r>
        <w:rPr>
          <w:b w:val="0"/>
          <w:i w:val="0"/>
          <w:sz w:val="18"/>
        </w:rPr>
        <w:t xml:space="preserve"> [CrossRef]</w:t>
      </w:r>
    </w:p>
    <w:p>
      <w:pPr>
        <w:pStyle w:val="MDPI32textnoindent"/>
        <w:spacing w:line="240" w:lineRule="auto" w:before="0" w:after="40"/>
        <w:ind w:left="425" w:hanging="425"/>
        <w:tabs>
          <w:tab w:val="left" w:pos="425"/>
        </w:tabs>
      </w:pPr>
      <w:bookmarkStart w:id="1095" w:name="_Ref_95"/>
      <w:r>
        <w:rPr>
          <w:b w:val="0"/>
          <w:sz w:val="18"/>
        </w:rPr>
        <w:t>95</w:t>
      </w:r>
      <w:bookmarkEnd w:id="1095"/>
      <w:r>
        <w:rPr>
          <w:sz w:val="18"/>
        </w:rPr>
        <w:t>.</w:t>
        <w:tab/>
      </w:r>
      <w:r>
        <w:rPr>
          <w:b w:val="0"/>
          <w:i w:val="0"/>
          <w:sz w:val="18"/>
        </w:rPr>
        <w:t xml:space="preserve">Rosenbaum, P.R.; Rubin, D.B. </w:t>
      </w:r>
      <w:r>
        <w:rPr>
          <w:b w:val="0"/>
          <w:i w:val="0"/>
          <w:sz w:val="18"/>
        </w:rPr>
        <w:t xml:space="preserve">The Central Role of the Propensity Score in Observational Studies for Causal Effects. </w:t>
      </w:r>
      <w:r>
        <w:rPr>
          <w:b w:val="0"/>
          <w:i/>
          <w:sz w:val="18"/>
        </w:rPr>
        <w:t xml:space="preserve">Biometrika </w:t>
      </w:r>
      <w:r>
        <w:rPr>
          <w:b/>
          <w:i w:val="0"/>
          <w:sz w:val="18"/>
        </w:rPr>
        <w:t>1983</w:t>
      </w:r>
      <w:r>
        <w:rPr>
          <w:b w:val="0"/>
          <w:i w:val="0"/>
          <w:sz w:val="18"/>
        </w:rPr>
        <w:t xml:space="preserve">, </w:t>
      </w:r>
      <w:r>
        <w:rPr>
          <w:b w:val="0"/>
          <w:i/>
          <w:sz w:val="18"/>
        </w:rPr>
        <w:t>70</w:t>
      </w:r>
      <w:r>
        <w:rPr>
          <w:b w:val="0"/>
          <w:i w:val="0"/>
          <w:sz w:val="18"/>
        </w:rPr>
        <w:t>, 41–55.</w:t>
      </w:r>
      <w:r>
        <w:rPr>
          <w:b w:val="0"/>
          <w:i w:val="0"/>
          <w:sz w:val="18"/>
        </w:rPr>
        <w:t xml:space="preserve"> [CrossRef]</w:t>
      </w:r>
    </w:p>
    <w:p>
      <w:pPr>
        <w:pStyle w:val="MDPI32textnoindent"/>
        <w:spacing w:line="240" w:lineRule="auto" w:before="0" w:after="40"/>
        <w:ind w:left="425" w:hanging="425"/>
        <w:tabs>
          <w:tab w:val="left" w:pos="425"/>
        </w:tabs>
      </w:pPr>
      <w:bookmarkStart w:id="1096" w:name="_Ref_96"/>
      <w:r>
        <w:rPr>
          <w:b w:val="0"/>
          <w:sz w:val="18"/>
        </w:rPr>
        <w:t>96</w:t>
      </w:r>
      <w:bookmarkEnd w:id="1096"/>
      <w:r>
        <w:rPr>
          <w:sz w:val="18"/>
        </w:rPr>
        <w:t>.</w:t>
        <w:tab/>
      </w:r>
      <w:r>
        <w:rPr>
          <w:b w:val="0"/>
          <w:i w:val="0"/>
          <w:sz w:val="18"/>
        </w:rPr>
        <w:t xml:space="preserve">Oster, E. </w:t>
      </w:r>
      <w:r>
        <w:rPr>
          <w:b w:val="0"/>
          <w:i w:val="0"/>
          <w:sz w:val="18"/>
        </w:rPr>
        <w:t xml:space="preserve">Unobservable Selection and Coefficient Stability: Theory and Evidence. </w:t>
      </w:r>
      <w:r>
        <w:rPr>
          <w:b w:val="0"/>
          <w:i/>
          <w:sz w:val="18"/>
        </w:rPr>
        <w:t xml:space="preserve">J. Bus. Econ. Stat. </w:t>
      </w:r>
      <w:r>
        <w:rPr>
          <w:b/>
          <w:i w:val="0"/>
          <w:sz w:val="18"/>
        </w:rPr>
        <w:t>2019</w:t>
      </w:r>
      <w:r>
        <w:rPr>
          <w:b w:val="0"/>
          <w:i w:val="0"/>
          <w:sz w:val="18"/>
        </w:rPr>
        <w:t xml:space="preserve">, </w:t>
      </w:r>
      <w:r>
        <w:rPr>
          <w:b w:val="0"/>
          <w:i/>
          <w:sz w:val="18"/>
        </w:rPr>
        <w:t>37</w:t>
      </w:r>
      <w:r>
        <w:rPr>
          <w:b w:val="0"/>
          <w:i w:val="0"/>
          <w:sz w:val="18"/>
        </w:rPr>
        <w:t>, 187–204.</w:t>
      </w:r>
      <w:r>
        <w:rPr>
          <w:b w:val="0"/>
          <w:i w:val="0"/>
          <w:sz w:val="18"/>
        </w:rPr>
        <w:t xml:space="preserve"> [CrossRef]</w:t>
      </w:r>
    </w:p>
    <w:p>
      <w:pPr>
        <w:pStyle w:val="MDPI32textnoindent"/>
        <w:spacing w:line="240" w:lineRule="auto" w:before="0" w:after="40"/>
        <w:ind w:left="425" w:hanging="425"/>
        <w:tabs>
          <w:tab w:val="left" w:pos="425"/>
        </w:tabs>
      </w:pPr>
      <w:bookmarkStart w:id="1097" w:name="_Ref_97"/>
      <w:r>
        <w:rPr>
          <w:b w:val="0"/>
          <w:sz w:val="18"/>
        </w:rPr>
        <w:t>97</w:t>
      </w:r>
      <w:bookmarkEnd w:id="1097"/>
      <w:r>
        <w:rPr>
          <w:sz w:val="18"/>
        </w:rPr>
        <w:t>.</w:t>
        <w:tab/>
      </w:r>
      <w:r>
        <w:rPr>
          <w:b w:val="0"/>
          <w:i w:val="0"/>
          <w:sz w:val="18"/>
        </w:rPr>
        <w:t xml:space="preserve">Cameron, A.C.; Gelbach, J.B.; Miller, D.L. </w:t>
      </w:r>
      <w:r>
        <w:rPr>
          <w:b w:val="0"/>
          <w:i w:val="0"/>
          <w:sz w:val="18"/>
        </w:rPr>
        <w:t xml:space="preserve">Bootstrap-Based Improvements for Inference with Clustered Errors. </w:t>
      </w:r>
      <w:r>
        <w:rPr>
          <w:b w:val="0"/>
          <w:i/>
          <w:sz w:val="18"/>
        </w:rPr>
        <w:t xml:space="preserve">Rev. Econ. Stat. </w:t>
      </w:r>
      <w:r>
        <w:rPr>
          <w:b/>
          <w:i w:val="0"/>
          <w:sz w:val="18"/>
        </w:rPr>
        <w:t>2008</w:t>
      </w:r>
      <w:r>
        <w:rPr>
          <w:b w:val="0"/>
          <w:i w:val="0"/>
          <w:sz w:val="18"/>
        </w:rPr>
        <w:t xml:space="preserve">, </w:t>
      </w:r>
      <w:r>
        <w:rPr>
          <w:b w:val="0"/>
          <w:i/>
          <w:sz w:val="18"/>
        </w:rPr>
        <w:t>90</w:t>
      </w:r>
      <w:r>
        <w:rPr>
          <w:b w:val="0"/>
          <w:i w:val="0"/>
          <w:sz w:val="18"/>
        </w:rPr>
        <w:t>, 414–427.</w:t>
      </w:r>
      <w:r>
        <w:rPr>
          <w:b w:val="0"/>
          <w:i w:val="0"/>
          <w:sz w:val="18"/>
        </w:rPr>
        <w:t xml:space="preserve"> [CrossRef]</w:t>
      </w:r>
    </w:p>
    <w:p>
      <w:pPr>
        <w:pStyle w:val="MDPI32textnoindent"/>
        <w:spacing w:line="240" w:lineRule="auto" w:before="0" w:after="40"/>
        <w:ind w:left="425" w:hanging="425"/>
        <w:tabs>
          <w:tab w:val="left" w:pos="425"/>
        </w:tabs>
      </w:pPr>
      <w:bookmarkStart w:id="1098" w:name="_Ref_98"/>
      <w:r>
        <w:rPr>
          <w:b w:val="0"/>
          <w:sz w:val="18"/>
        </w:rPr>
        <w:t>98</w:t>
      </w:r>
      <w:bookmarkEnd w:id="1098"/>
      <w:r>
        <w:rPr>
          <w:sz w:val="18"/>
        </w:rPr>
        <w:t>.</w:t>
        <w:tab/>
      </w:r>
      <w:r>
        <w:rPr>
          <w:b w:val="0"/>
          <w:i w:val="0"/>
          <w:sz w:val="18"/>
        </w:rPr>
        <w:t xml:space="preserve">Roodman, D.; Nielsen, M.Ø.; MacKinnon, J.G.; Webb, M.D. </w:t>
      </w:r>
      <w:r>
        <w:rPr>
          <w:b w:val="0"/>
          <w:i w:val="0"/>
          <w:sz w:val="18"/>
        </w:rPr>
        <w:t xml:space="preserve">Fast and Wild: Bootstrap Inference in Stata Using boottest. </w:t>
      </w:r>
      <w:r>
        <w:rPr>
          <w:b w:val="0"/>
          <w:i/>
          <w:sz w:val="18"/>
        </w:rPr>
        <w:t xml:space="preserve">Stata J. </w:t>
      </w:r>
      <w:r>
        <w:rPr>
          <w:b/>
          <w:i w:val="0"/>
          <w:sz w:val="18"/>
        </w:rPr>
        <w:t>2019</w:t>
      </w:r>
      <w:r>
        <w:rPr>
          <w:b w:val="0"/>
          <w:i w:val="0"/>
          <w:sz w:val="18"/>
        </w:rPr>
        <w:t xml:space="preserve">, </w:t>
      </w:r>
      <w:r>
        <w:rPr>
          <w:b w:val="0"/>
          <w:i/>
          <w:sz w:val="18"/>
        </w:rPr>
        <w:t>19</w:t>
      </w:r>
      <w:r>
        <w:rPr>
          <w:b w:val="0"/>
          <w:i w:val="0"/>
          <w:sz w:val="18"/>
        </w:rPr>
        <w:t>, 4–60.</w:t>
      </w:r>
      <w:r>
        <w:rPr>
          <w:b w:val="0"/>
          <w:i w:val="0"/>
          <w:sz w:val="18"/>
        </w:rPr>
        <w:t xml:space="preserve"> [CrossRef]</w:t>
      </w:r>
    </w:p>
    <w:p>
      <w:pPr>
        <w:pStyle w:val="MDPI32textnoindent"/>
        <w:spacing w:line="240" w:lineRule="auto" w:before="0" w:after="40"/>
        <w:ind w:left="425" w:hanging="425"/>
        <w:tabs>
          <w:tab w:val="left" w:pos="425"/>
        </w:tabs>
      </w:pPr>
      <w:bookmarkStart w:id="1099" w:name="_Ref_99"/>
      <w:r>
        <w:rPr>
          <w:b w:val="0"/>
          <w:sz w:val="18"/>
        </w:rPr>
        <w:t>99</w:t>
      </w:r>
      <w:bookmarkEnd w:id="1099"/>
      <w:r>
        <w:rPr>
          <w:sz w:val="18"/>
        </w:rPr>
        <w:t>.</w:t>
        <w:tab/>
      </w:r>
      <w:r>
        <w:rPr>
          <w:b w:val="0"/>
          <w:i w:val="0"/>
          <w:sz w:val="18"/>
        </w:rPr>
        <w:t xml:space="preserve">Dwivedi, Y.K.; Kshetri, N.; Hughes, L.; Slade, E.L.; Jeyaraj, A.; Kar, A.K.; Baabdullah, A.M.; Koohang, A.; Raghavan, V.; Ahuja, M.; et al. </w:t>
      </w:r>
      <w:r>
        <w:rPr>
          <w:b w:val="0"/>
          <w:i w:val="0"/>
          <w:sz w:val="18"/>
        </w:rPr>
        <w:t xml:space="preserve">Opinion Paper: “So What If ChatGPT Wrote It?” Multidisciplinary Perspectives on Opportunities, Challenges and Implications of Generative Conversational AI for Research, Practice and Policy. </w:t>
      </w:r>
      <w:r>
        <w:rPr>
          <w:b w:val="0"/>
          <w:i/>
          <w:sz w:val="18"/>
        </w:rPr>
        <w:t xml:space="preserve">Int. J. Inf. Manag. </w:t>
      </w:r>
      <w:r>
        <w:rPr>
          <w:b/>
          <w:i w:val="0"/>
          <w:sz w:val="18"/>
        </w:rPr>
        <w:t>2023</w:t>
      </w:r>
      <w:r>
        <w:rPr>
          <w:b w:val="0"/>
          <w:i w:val="0"/>
          <w:sz w:val="18"/>
        </w:rPr>
        <w:t xml:space="preserve">, </w:t>
      </w:r>
      <w:r>
        <w:rPr>
          <w:b w:val="0"/>
          <w:i/>
          <w:sz w:val="18"/>
        </w:rPr>
        <w:t>71</w:t>
      </w:r>
      <w:r>
        <w:rPr>
          <w:b w:val="0"/>
          <w:i w:val="0"/>
          <w:sz w:val="18"/>
        </w:rPr>
        <w:t>, 102642.</w:t>
      </w:r>
      <w:r>
        <w:rPr>
          <w:b w:val="0"/>
          <w:i w:val="0"/>
          <w:sz w:val="18"/>
        </w:rPr>
        <w:t xml:space="preserve"> [CrossRef]</w:t>
      </w:r>
    </w:p>
    <w:p>
      <w:pPr>
        <w:pStyle w:val="MDPI32textnoindent"/>
        <w:spacing w:line="240" w:lineRule="auto" w:before="0" w:after="40"/>
        <w:ind w:left="425" w:hanging="425"/>
        <w:tabs>
          <w:tab w:val="left" w:pos="425"/>
        </w:tabs>
      </w:pPr>
      <w:bookmarkStart w:id="1100" w:name="_Ref_100"/>
      <w:r>
        <w:rPr>
          <w:b w:val="0"/>
          <w:sz w:val="18"/>
        </w:rPr>
        <w:t>100</w:t>
      </w:r>
      <w:bookmarkEnd w:id="1100"/>
      <w:r>
        <w:rPr>
          <w:sz w:val="18"/>
        </w:rPr>
        <w:t>.</w:t>
        <w:tab/>
      </w:r>
      <w:r>
        <w:rPr>
          <w:b w:val="0"/>
          <w:i w:val="0"/>
          <w:sz w:val="18"/>
        </w:rPr>
        <w:t xml:space="preserve">State Council of the People’s Republic of China. </w:t>
      </w:r>
      <w:r>
        <w:rPr>
          <w:b w:val="0"/>
          <w:i w:val="0"/>
          <w:sz w:val="18"/>
        </w:rPr>
        <w:t xml:space="preserve">Opinions on Deepening the Implementation of the “Artificial Intelligence Plus” Initiative. </w:t>
      </w:r>
      <w:r>
        <w:rPr>
          <w:b w:val="0"/>
          <w:i w:val="0"/>
          <w:sz w:val="18"/>
        </w:rPr>
        <w:t>Available online: https://www.gov.cn/ (accessed on 20 March 2026).</w:t>
      </w:r>
    </w:p>
    <w:p>
      <w:pPr>
        <w:pStyle w:val="MDPI32textnoindent"/>
        <w:spacing w:line="240" w:lineRule="auto" w:before="0" w:after="40"/>
        <w:ind w:left="425" w:hanging="425"/>
        <w:tabs>
          <w:tab w:val="left" w:pos="425"/>
        </w:tabs>
      </w:pPr>
      <w:bookmarkStart w:id="1101" w:name="_Ref_101"/>
      <w:r>
        <w:rPr>
          <w:b w:val="0"/>
          <w:sz w:val="18"/>
        </w:rPr>
        <w:t>101</w:t>
      </w:r>
      <w:bookmarkEnd w:id="1101"/>
      <w:r>
        <w:rPr>
          <w:sz w:val="18"/>
        </w:rPr>
        <w:t>.</w:t>
        <w:tab/>
      </w:r>
      <w:r>
        <w:rPr>
          <w:b w:val="0"/>
          <w:i w:val="0"/>
          <w:sz w:val="18"/>
        </w:rPr>
        <w:t xml:space="preserve">Janssen, M. </w:t>
      </w:r>
      <w:r>
        <w:rPr>
          <w:b w:val="0"/>
          <w:i w:val="0"/>
          <w:sz w:val="18"/>
        </w:rPr>
        <w:t xml:space="preserve">Responsible Governance of Generative AI: Conceptualizing GenAI as Complex Adaptive Systems. </w:t>
      </w:r>
      <w:r>
        <w:rPr>
          <w:b w:val="0"/>
          <w:i/>
          <w:sz w:val="18"/>
        </w:rPr>
        <w:t xml:space="preserve">Policy Soc. </w:t>
      </w:r>
      <w:r>
        <w:rPr>
          <w:b/>
          <w:i w:val="0"/>
          <w:sz w:val="18"/>
        </w:rPr>
        <w:t>2025</w:t>
      </w:r>
      <w:r>
        <w:rPr>
          <w:b w:val="0"/>
          <w:i w:val="0"/>
          <w:sz w:val="18"/>
        </w:rPr>
        <w:t xml:space="preserve">, </w:t>
      </w:r>
      <w:r>
        <w:rPr>
          <w:b w:val="0"/>
          <w:i/>
          <w:sz w:val="18"/>
        </w:rPr>
        <w:t>44</w:t>
      </w:r>
      <w:r>
        <w:rPr>
          <w:b w:val="0"/>
          <w:i w:val="0"/>
          <w:sz w:val="18"/>
        </w:rPr>
        <w:t>, 38–51.</w:t>
      </w:r>
      <w:r>
        <w:rPr>
          <w:b w:val="0"/>
          <w:i w:val="0"/>
          <w:sz w:val="18"/>
        </w:rPr>
        <w:t xml:space="preserve"> [CrossRef]</w:t>
      </w:r>
    </w:p>
    <w:sectPr w:rsidR="003D34A1" w:rsidRPr="00B86B71" w:rsidSect="00C245DC">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C0D8D" w14:textId="77777777" w:rsidR="00042A41" w:rsidRPr="00FA5AAF" w:rsidRDefault="00042A41">
      <w:pPr>
        <w:spacing w:line="240" w:lineRule="auto"/>
      </w:pPr>
      <w:r w:rsidRPr="00FA5AAF">
        <w:separator/>
      </w:r>
    </w:p>
  </w:endnote>
  <w:endnote w:type="continuationSeparator" w:id="0">
    <w:p w14:paraId="0A21264B" w14:textId="77777777" w:rsidR="00042A41" w:rsidRPr="00FA5AAF" w:rsidRDefault="00042A41">
      <w:pPr>
        <w:spacing w:line="240" w:lineRule="auto"/>
      </w:pPr>
      <w:r w:rsidRPr="00FA5A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23B7" w14:textId="77777777" w:rsidR="00697B5A" w:rsidRPr="00FA5AAF" w:rsidRDefault="00697B5A" w:rsidP="00697B5A">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9B57" w14:textId="77777777" w:rsidR="00CF1526" w:rsidRPr="00FA5AAF" w:rsidRDefault="00CF1526" w:rsidP="00942152">
    <w:pPr>
      <w:pBdr>
        <w:top w:val="single" w:sz="4" w:space="0" w:color="000000"/>
      </w:pBdr>
      <w:tabs>
        <w:tab w:val="right" w:pos="8844"/>
      </w:tabs>
      <w:adjustRightInd w:val="0"/>
      <w:snapToGrid w:val="0"/>
      <w:spacing w:before="480" w:line="100" w:lineRule="exact"/>
      <w:jc w:val="left"/>
      <w:rPr>
        <w:i/>
        <w:sz w:val="16"/>
        <w:szCs w:val="16"/>
      </w:rPr>
    </w:pPr>
  </w:p>
  <w:p w14:paraId="2F5022B6" w14:textId="22010ACB" w:rsidR="00697B5A" w:rsidRPr="00FA5AAF" w:rsidRDefault="00697B5A" w:rsidP="007E21E9">
    <w:pPr>
      <w:tabs>
        <w:tab w:val="right" w:pos="10466"/>
      </w:tabs>
      <w:adjustRightInd w:val="0"/>
      <w:snapToGrid w:val="0"/>
      <w:spacing w:line="240" w:lineRule="auto"/>
      <w:rPr>
        <w:sz w:val="16"/>
        <w:szCs w:val="16"/>
      </w:rPr>
    </w:pPr>
    <w:r w:rsidRPr="00FA5AAF">
      <w:rPr>
        <w:i/>
        <w:sz w:val="16"/>
        <w:szCs w:val="16"/>
      </w:rPr>
      <w:t xml:space="preserve">Systems </w:t>
    </w:r>
    <w:r w:rsidR="00C245DC" w:rsidRPr="00FA5AAF">
      <w:rPr>
        <w:b/>
        <w:bCs/>
        <w:iCs/>
        <w:sz w:val="16"/>
        <w:szCs w:val="16"/>
      </w:rPr>
      <w:t>2025</w:t>
    </w:r>
    <w:r w:rsidR="00C047A0" w:rsidRPr="00FA5AAF">
      <w:rPr>
        <w:bCs/>
        <w:iCs/>
        <w:sz w:val="16"/>
        <w:szCs w:val="16"/>
      </w:rPr>
      <w:t>,</w:t>
    </w:r>
    <w:r w:rsidR="00C245DC" w:rsidRPr="00FA5AAF">
      <w:rPr>
        <w:bCs/>
        <w:i/>
        <w:iCs/>
        <w:sz w:val="16"/>
        <w:szCs w:val="16"/>
      </w:rPr>
      <w:t xml:space="preserve"> 13</w:t>
    </w:r>
    <w:r w:rsidR="00C047A0" w:rsidRPr="00FA5AAF">
      <w:rPr>
        <w:bCs/>
        <w:iCs/>
        <w:sz w:val="16"/>
        <w:szCs w:val="16"/>
      </w:rPr>
      <w:t xml:space="preserve">, </w:t>
    </w:r>
    <w:r w:rsidR="005F1025" w:rsidRPr="00FA5AAF">
      <w:rPr>
        <w:bCs/>
        <w:iCs/>
        <w:sz w:val="16"/>
        <w:szCs w:val="16"/>
      </w:rPr>
      <w:t>x</w:t>
    </w:r>
    <w:r w:rsidR="007E21E9" w:rsidRPr="00FA5AAF">
      <w:rPr>
        <w:sz w:val="16"/>
        <w:szCs w:val="16"/>
      </w:rPr>
      <w:tab/>
    </w:r>
    <w:r w:rsidR="00C245DC" w:rsidRPr="00FA5AAF">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28F93" w14:textId="77777777" w:rsidR="00042A41" w:rsidRPr="00FA5AAF" w:rsidRDefault="00042A41">
      <w:pPr>
        <w:spacing w:line="240" w:lineRule="auto"/>
      </w:pPr>
      <w:r w:rsidRPr="00FA5AAF">
        <w:separator/>
      </w:r>
    </w:p>
  </w:footnote>
  <w:footnote w:type="continuationSeparator" w:id="0">
    <w:p w14:paraId="571C0C7B" w14:textId="77777777" w:rsidR="00042A41" w:rsidRPr="00FA5AAF" w:rsidRDefault="00042A41">
      <w:pPr>
        <w:spacing w:line="240" w:lineRule="auto"/>
      </w:pPr>
      <w:r w:rsidRPr="00FA5A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9A58" w14:textId="77777777" w:rsidR="00697B5A" w:rsidRPr="00FA5AAF" w:rsidRDefault="00697B5A" w:rsidP="00697B5A">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40F5" w14:textId="333822ED" w:rsidR="00CF1526" w:rsidRPr="00FA5AAF" w:rsidRDefault="00697B5A" w:rsidP="007E21E9">
    <w:pPr>
      <w:tabs>
        <w:tab w:val="right" w:pos="10466"/>
      </w:tabs>
      <w:adjustRightInd w:val="0"/>
      <w:snapToGrid w:val="0"/>
      <w:spacing w:line="240" w:lineRule="auto"/>
      <w:rPr>
        <w:sz w:val="16"/>
      </w:rPr>
    </w:pPr>
    <w:r w:rsidRPr="00FA5AAF">
      <w:rPr>
        <w:i/>
        <w:sz w:val="16"/>
      </w:rPr>
      <w:t xml:space="preserve">Systems </w:t>
    </w:r>
    <w:r w:rsidR="00C245DC" w:rsidRPr="00FA5AAF">
      <w:rPr>
        <w:b/>
        <w:sz w:val="16"/>
      </w:rPr>
      <w:t>2025</w:t>
    </w:r>
    <w:r w:rsidR="00C047A0" w:rsidRPr="00FA5AAF">
      <w:rPr>
        <w:sz w:val="16"/>
      </w:rPr>
      <w:t>,</w:t>
    </w:r>
    <w:r w:rsidR="00C245DC" w:rsidRPr="00FA5AAF">
      <w:rPr>
        <w:i/>
        <w:sz w:val="16"/>
      </w:rPr>
      <w:t xml:space="preserve"> 13</w:t>
    </w:r>
    <w:r w:rsidR="005F1025" w:rsidRPr="00FA5AAF">
      <w:rPr>
        <w:sz w:val="16"/>
      </w:rPr>
      <w:t xml:space="preserve">, x </w:t>
    </w:r>
    <w:r w:rsidR="00C245DC" w:rsidRPr="00FA5AAF">
      <w:rPr>
        <w:sz w:val="16"/>
      </w:rPr>
      <w:t>FOR PEER REVIEW</w:t>
    </w:r>
    <w:r w:rsidR="00C245DC" w:rsidRPr="00FA5AAF">
      <w:rPr>
        <w:sz w:val="16"/>
      </w:rPr>
      <w:ptab w:relativeTo="margin" w:alignment="right" w:leader="none"/>
    </w:r>
    <w:r w:rsidR="00C245DC" w:rsidRPr="00FA5AAF">
      <w:rPr>
        <w:sz w:val="16"/>
      </w:rPr>
      <w:fldChar w:fldCharType="begin"/>
    </w:r>
    <w:r w:rsidR="00C245DC" w:rsidRPr="00FA5AAF">
      <w:rPr>
        <w:sz w:val="16"/>
      </w:rPr>
      <w:instrText xml:space="preserve"> PAGE   \* MERGEFORMAT </w:instrText>
    </w:r>
    <w:r w:rsidR="00C245DC" w:rsidRPr="00FA5AAF">
      <w:rPr>
        <w:sz w:val="16"/>
      </w:rPr>
      <w:fldChar w:fldCharType="separate"/>
    </w:r>
    <w:r w:rsidR="00C245DC" w:rsidRPr="00FA5AAF">
      <w:rPr>
        <w:sz w:val="16"/>
      </w:rPr>
      <w:t>2</w:t>
    </w:r>
    <w:r w:rsidR="00C245DC" w:rsidRPr="00FA5AAF">
      <w:rPr>
        <w:sz w:val="16"/>
      </w:rPr>
      <w:fldChar w:fldCharType="end"/>
    </w:r>
    <w:r w:rsidR="00C245DC" w:rsidRPr="00FA5AAF">
      <w:rPr>
        <w:sz w:val="16"/>
      </w:rPr>
      <w:t xml:space="preserve"> of </w:t>
    </w:r>
    <w:r w:rsidR="00C245DC" w:rsidRPr="00FA5AAF">
      <w:rPr>
        <w:sz w:val="16"/>
      </w:rPr>
      <w:fldChar w:fldCharType="begin"/>
    </w:r>
    <w:r w:rsidR="00C245DC" w:rsidRPr="00FA5AAF">
      <w:rPr>
        <w:sz w:val="16"/>
      </w:rPr>
      <w:instrText xml:space="preserve"> NUMPAGES   \* MERGEFORMAT </w:instrText>
    </w:r>
    <w:r w:rsidR="00C245DC" w:rsidRPr="00FA5AAF">
      <w:rPr>
        <w:sz w:val="16"/>
      </w:rPr>
      <w:fldChar w:fldCharType="separate"/>
    </w:r>
    <w:r w:rsidR="00C245DC" w:rsidRPr="00FA5AAF">
      <w:rPr>
        <w:sz w:val="16"/>
      </w:rPr>
      <w:t>8</w:t>
    </w:r>
    <w:r w:rsidR="00C245DC" w:rsidRPr="00FA5AAF">
      <w:rPr>
        <w:sz w:val="16"/>
      </w:rPr>
      <w:fldChar w:fldCharType="end"/>
    </w:r>
  </w:p>
  <w:p w14:paraId="2153CD40" w14:textId="77777777" w:rsidR="00697B5A" w:rsidRPr="00FA5AAF" w:rsidRDefault="00697B5A" w:rsidP="0094215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F1526" w:rsidRPr="00FA5AAF" w14:paraId="64528AE3" w14:textId="77777777" w:rsidTr="003D5EB7">
      <w:trPr>
        <w:trHeight w:val="686"/>
      </w:trPr>
      <w:tc>
        <w:tcPr>
          <w:tcW w:w="3679" w:type="dxa"/>
          <w:shd w:val="clear" w:color="auto" w:fill="auto"/>
          <w:vAlign w:val="center"/>
        </w:tcPr>
        <w:p w14:paraId="17A05555" w14:textId="19B635A0" w:rsidR="00CF1526" w:rsidRPr="00FA5AAF" w:rsidRDefault="00686F99" w:rsidP="007E21E9">
          <w:pPr>
            <w:pStyle w:val="Header"/>
            <w:pBdr>
              <w:bottom w:val="none" w:sz="0" w:space="0" w:color="auto"/>
            </w:pBdr>
            <w:jc w:val="left"/>
            <w:rPr>
              <w:rFonts w:eastAsia="等线"/>
              <w:b/>
              <w:bCs/>
            </w:rPr>
          </w:pPr>
          <w:r w:rsidRPr="00FA5AAF">
            <w:rPr>
              <w:rFonts w:eastAsia="等线"/>
              <w:b/>
              <w:bCs/>
              <w:noProof/>
            </w:rPr>
            <w:drawing>
              <wp:inline distT="0" distB="0" distL="0" distR="0" wp14:anchorId="7E33E9A7" wp14:editId="320F0D53">
                <wp:extent cx="1210817" cy="4320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7CF66176" w14:textId="77777777" w:rsidR="00CF1526" w:rsidRPr="00FA5AAF" w:rsidRDefault="00CF1526" w:rsidP="007E21E9">
          <w:pPr>
            <w:pStyle w:val="Header"/>
            <w:pBdr>
              <w:bottom w:val="none" w:sz="0" w:space="0" w:color="auto"/>
            </w:pBdr>
            <w:rPr>
              <w:rFonts w:eastAsia="等线"/>
              <w:b/>
              <w:bCs/>
            </w:rPr>
          </w:pPr>
        </w:p>
      </w:tc>
      <w:tc>
        <w:tcPr>
          <w:tcW w:w="2273" w:type="dxa"/>
          <w:shd w:val="clear" w:color="auto" w:fill="auto"/>
          <w:vAlign w:val="center"/>
        </w:tcPr>
        <w:p w14:paraId="1305E5EE" w14:textId="25C19A66" w:rsidR="00CF1526" w:rsidRPr="00FA5AAF" w:rsidRDefault="003D5EB7" w:rsidP="003D5EB7">
          <w:pPr>
            <w:pStyle w:val="Header"/>
            <w:pBdr>
              <w:bottom w:val="none" w:sz="0" w:space="0" w:color="auto"/>
            </w:pBdr>
            <w:jc w:val="right"/>
            <w:rPr>
              <w:rFonts w:eastAsia="等线"/>
              <w:b/>
              <w:bCs/>
            </w:rPr>
          </w:pPr>
          <w:r w:rsidRPr="00FA5AAF">
            <w:rPr>
              <w:rFonts w:eastAsia="等线"/>
              <w:b/>
              <w:bCs/>
              <w:noProof/>
            </w:rPr>
            <w:drawing>
              <wp:inline distT="0" distB="0" distL="0" distR="0" wp14:anchorId="0F4CF8B9" wp14:editId="58D9554F">
                <wp:extent cx="540000" cy="36000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
                        <pic:cNvPicPr/>
                      </pic:nvPicPr>
                      <pic:blipFill>
                        <a:blip r:embed="rId2"/>
                        <a:stretch>
                          <a:fillRect/>
                        </a:stretch>
                      </pic:blipFill>
                      <pic:spPr>
                        <a:xfrm>
                          <a:off x="0" y="0"/>
                          <a:ext cx="540000" cy="360000"/>
                        </a:xfrm>
                        <a:prstGeom prst="rect">
                          <a:avLst/>
                        </a:prstGeom>
                      </pic:spPr>
                    </pic:pic>
                  </a:graphicData>
                </a:graphic>
              </wp:inline>
            </w:drawing>
          </w:r>
        </w:p>
      </w:tc>
    </w:tr>
  </w:tbl>
  <w:p w14:paraId="4DA725D8" w14:textId="77777777" w:rsidR="00697B5A" w:rsidRPr="00FA5AAF" w:rsidRDefault="00697B5A" w:rsidP="00C245DC">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1431"/>
    <w:multiLevelType w:val="hybridMultilevel"/>
    <w:tmpl w:val="A61AAF98"/>
    <w:lvl w:ilvl="0" w:tplc="D848CE30">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7903E34"/>
    <w:lvl w:ilvl="0" w:tplc="2A78C5D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42114A6C"/>
    <w:multiLevelType w:val="hybridMultilevel"/>
    <w:tmpl w:val="CC4E641A"/>
    <w:lvl w:ilvl="0" w:tplc="3F1A14D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DC474D"/>
    <w:multiLevelType w:val="hybridMultilevel"/>
    <w:tmpl w:val="92AEC3E0"/>
    <w:lvl w:ilvl="0" w:tplc="C7E4EB5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142891102">
    <w:abstractNumId w:val="4"/>
  </w:num>
  <w:num w:numId="2" w16cid:durableId="948045547">
    <w:abstractNumId w:val="6"/>
  </w:num>
  <w:num w:numId="3" w16cid:durableId="1557161254">
    <w:abstractNumId w:val="3"/>
  </w:num>
  <w:num w:numId="4" w16cid:durableId="20660993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01730135">
    <w:abstractNumId w:val="5"/>
  </w:num>
  <w:num w:numId="6" w16cid:durableId="685132415">
    <w:abstractNumId w:val="9"/>
  </w:num>
  <w:num w:numId="7" w16cid:durableId="1862694624">
    <w:abstractNumId w:val="2"/>
  </w:num>
  <w:num w:numId="8" w16cid:durableId="1063598598">
    <w:abstractNumId w:val="9"/>
  </w:num>
  <w:num w:numId="9" w16cid:durableId="1656185621">
    <w:abstractNumId w:val="2"/>
  </w:num>
  <w:num w:numId="10" w16cid:durableId="2055427729">
    <w:abstractNumId w:val="9"/>
  </w:num>
  <w:num w:numId="11" w16cid:durableId="589847698">
    <w:abstractNumId w:val="2"/>
  </w:num>
  <w:num w:numId="12" w16cid:durableId="1759599816">
    <w:abstractNumId w:val="10"/>
  </w:num>
  <w:num w:numId="13" w16cid:durableId="624196927">
    <w:abstractNumId w:val="9"/>
  </w:num>
  <w:num w:numId="14" w16cid:durableId="17394898">
    <w:abstractNumId w:val="2"/>
  </w:num>
  <w:num w:numId="15" w16cid:durableId="2087678822">
    <w:abstractNumId w:val="1"/>
  </w:num>
  <w:num w:numId="16" w16cid:durableId="1671523435">
    <w:abstractNumId w:val="8"/>
  </w:num>
  <w:num w:numId="17" w16cid:durableId="1772772747">
    <w:abstractNumId w:val="0"/>
  </w:num>
  <w:num w:numId="18" w16cid:durableId="146285709">
    <w:abstractNumId w:val="9"/>
  </w:num>
  <w:num w:numId="19" w16cid:durableId="773982015">
    <w:abstractNumId w:val="2"/>
  </w:num>
  <w:num w:numId="20" w16cid:durableId="2070960159">
    <w:abstractNumId w:val="1"/>
  </w:num>
  <w:num w:numId="21" w16cid:durableId="1475757333">
    <w:abstractNumId w:val="7"/>
  </w:num>
  <w:num w:numId="22" w16cid:durableId="577398895">
    <w:abstractNumId w:val="11"/>
  </w:num>
  <w:num w:numId="23" w16cid:durableId="189125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41"/>
    <w:rsid w:val="00024355"/>
    <w:rsid w:val="000273DF"/>
    <w:rsid w:val="00030C02"/>
    <w:rsid w:val="00042A41"/>
    <w:rsid w:val="00052E90"/>
    <w:rsid w:val="000724B2"/>
    <w:rsid w:val="00096207"/>
    <w:rsid w:val="000B02FD"/>
    <w:rsid w:val="000B1763"/>
    <w:rsid w:val="000E5122"/>
    <w:rsid w:val="000F06FD"/>
    <w:rsid w:val="00107006"/>
    <w:rsid w:val="001566B5"/>
    <w:rsid w:val="00173241"/>
    <w:rsid w:val="001807D0"/>
    <w:rsid w:val="001A3141"/>
    <w:rsid w:val="001A4946"/>
    <w:rsid w:val="001B15BB"/>
    <w:rsid w:val="001B1E4C"/>
    <w:rsid w:val="001B3476"/>
    <w:rsid w:val="001C4F5D"/>
    <w:rsid w:val="001D3F55"/>
    <w:rsid w:val="001E2AEB"/>
    <w:rsid w:val="001F333C"/>
    <w:rsid w:val="001F6B2A"/>
    <w:rsid w:val="00212227"/>
    <w:rsid w:val="0021537E"/>
    <w:rsid w:val="00217EE2"/>
    <w:rsid w:val="0024581C"/>
    <w:rsid w:val="00274866"/>
    <w:rsid w:val="00290CA2"/>
    <w:rsid w:val="00291165"/>
    <w:rsid w:val="00295161"/>
    <w:rsid w:val="002B4C82"/>
    <w:rsid w:val="002C420F"/>
    <w:rsid w:val="002D0DC4"/>
    <w:rsid w:val="003212F5"/>
    <w:rsid w:val="003234A8"/>
    <w:rsid w:val="00326141"/>
    <w:rsid w:val="0033365D"/>
    <w:rsid w:val="0033394C"/>
    <w:rsid w:val="00386F7E"/>
    <w:rsid w:val="003A5C3C"/>
    <w:rsid w:val="003C7481"/>
    <w:rsid w:val="003D34A1"/>
    <w:rsid w:val="003D5EB7"/>
    <w:rsid w:val="003E1CB9"/>
    <w:rsid w:val="003F37F7"/>
    <w:rsid w:val="00401D30"/>
    <w:rsid w:val="00402B74"/>
    <w:rsid w:val="00402BA1"/>
    <w:rsid w:val="00411E95"/>
    <w:rsid w:val="0042259B"/>
    <w:rsid w:val="00463FB0"/>
    <w:rsid w:val="004701FA"/>
    <w:rsid w:val="00473F73"/>
    <w:rsid w:val="0048675C"/>
    <w:rsid w:val="00491A38"/>
    <w:rsid w:val="004A44EE"/>
    <w:rsid w:val="004C2D9F"/>
    <w:rsid w:val="004D586B"/>
    <w:rsid w:val="004E1514"/>
    <w:rsid w:val="004E661E"/>
    <w:rsid w:val="0052050E"/>
    <w:rsid w:val="005352E0"/>
    <w:rsid w:val="00545B32"/>
    <w:rsid w:val="005546D2"/>
    <w:rsid w:val="00567F4C"/>
    <w:rsid w:val="005778BD"/>
    <w:rsid w:val="005944E0"/>
    <w:rsid w:val="00597CEF"/>
    <w:rsid w:val="005B6B9B"/>
    <w:rsid w:val="005C2797"/>
    <w:rsid w:val="005C4752"/>
    <w:rsid w:val="005D49F7"/>
    <w:rsid w:val="005E64C3"/>
    <w:rsid w:val="005F1025"/>
    <w:rsid w:val="00602843"/>
    <w:rsid w:val="006060F0"/>
    <w:rsid w:val="00621CD0"/>
    <w:rsid w:val="00631236"/>
    <w:rsid w:val="00662367"/>
    <w:rsid w:val="00667908"/>
    <w:rsid w:val="0068146A"/>
    <w:rsid w:val="00682756"/>
    <w:rsid w:val="0068346F"/>
    <w:rsid w:val="00686F99"/>
    <w:rsid w:val="00691935"/>
    <w:rsid w:val="00692393"/>
    <w:rsid w:val="00692EF9"/>
    <w:rsid w:val="00696B45"/>
    <w:rsid w:val="00696F7D"/>
    <w:rsid w:val="0069792F"/>
    <w:rsid w:val="00697B5A"/>
    <w:rsid w:val="006A501D"/>
    <w:rsid w:val="006A61B7"/>
    <w:rsid w:val="006C34CE"/>
    <w:rsid w:val="006F3EB8"/>
    <w:rsid w:val="00700834"/>
    <w:rsid w:val="00706180"/>
    <w:rsid w:val="00711C35"/>
    <w:rsid w:val="0072104A"/>
    <w:rsid w:val="007267C3"/>
    <w:rsid w:val="00726AE9"/>
    <w:rsid w:val="00745775"/>
    <w:rsid w:val="00746DB9"/>
    <w:rsid w:val="00752DC1"/>
    <w:rsid w:val="0075693E"/>
    <w:rsid w:val="00787A94"/>
    <w:rsid w:val="007A45A6"/>
    <w:rsid w:val="007A5599"/>
    <w:rsid w:val="007C63CB"/>
    <w:rsid w:val="007E21E9"/>
    <w:rsid w:val="008046B5"/>
    <w:rsid w:val="00825361"/>
    <w:rsid w:val="00826DC7"/>
    <w:rsid w:val="00844CCF"/>
    <w:rsid w:val="00852894"/>
    <w:rsid w:val="00853F7A"/>
    <w:rsid w:val="00855A5A"/>
    <w:rsid w:val="00860B4F"/>
    <w:rsid w:val="00862970"/>
    <w:rsid w:val="00865AC6"/>
    <w:rsid w:val="00880CDC"/>
    <w:rsid w:val="00894AF0"/>
    <w:rsid w:val="008B2F77"/>
    <w:rsid w:val="008B355C"/>
    <w:rsid w:val="00906CDA"/>
    <w:rsid w:val="00920CE2"/>
    <w:rsid w:val="00931D46"/>
    <w:rsid w:val="00933543"/>
    <w:rsid w:val="00942152"/>
    <w:rsid w:val="009711A9"/>
    <w:rsid w:val="00973C3F"/>
    <w:rsid w:val="00974BF0"/>
    <w:rsid w:val="00991250"/>
    <w:rsid w:val="0099645E"/>
    <w:rsid w:val="009F65D2"/>
    <w:rsid w:val="009F70E6"/>
    <w:rsid w:val="009F7EF7"/>
    <w:rsid w:val="00A0209A"/>
    <w:rsid w:val="00A0510E"/>
    <w:rsid w:val="00A27049"/>
    <w:rsid w:val="00A50BAC"/>
    <w:rsid w:val="00A62098"/>
    <w:rsid w:val="00A87F05"/>
    <w:rsid w:val="00A96919"/>
    <w:rsid w:val="00AB1C83"/>
    <w:rsid w:val="00AB2CFC"/>
    <w:rsid w:val="00AB7F9D"/>
    <w:rsid w:val="00AC011A"/>
    <w:rsid w:val="00AD0917"/>
    <w:rsid w:val="00AE3076"/>
    <w:rsid w:val="00AE78A6"/>
    <w:rsid w:val="00AF4572"/>
    <w:rsid w:val="00B227AE"/>
    <w:rsid w:val="00B3089C"/>
    <w:rsid w:val="00B44A3E"/>
    <w:rsid w:val="00B50D0A"/>
    <w:rsid w:val="00B5395F"/>
    <w:rsid w:val="00B619EF"/>
    <w:rsid w:val="00B70A81"/>
    <w:rsid w:val="00B831DB"/>
    <w:rsid w:val="00B86B71"/>
    <w:rsid w:val="00B97843"/>
    <w:rsid w:val="00BA0752"/>
    <w:rsid w:val="00BA697E"/>
    <w:rsid w:val="00BB4ECE"/>
    <w:rsid w:val="00BB65AA"/>
    <w:rsid w:val="00BC1DAF"/>
    <w:rsid w:val="00BD0190"/>
    <w:rsid w:val="00BD78F6"/>
    <w:rsid w:val="00BE46B3"/>
    <w:rsid w:val="00BF2449"/>
    <w:rsid w:val="00BF5B29"/>
    <w:rsid w:val="00BF72BA"/>
    <w:rsid w:val="00C047A0"/>
    <w:rsid w:val="00C12FD6"/>
    <w:rsid w:val="00C20ADD"/>
    <w:rsid w:val="00C245DC"/>
    <w:rsid w:val="00C2479E"/>
    <w:rsid w:val="00C51301"/>
    <w:rsid w:val="00C551F8"/>
    <w:rsid w:val="00C57C44"/>
    <w:rsid w:val="00C77DFC"/>
    <w:rsid w:val="00CB1365"/>
    <w:rsid w:val="00CD2C47"/>
    <w:rsid w:val="00CD4E06"/>
    <w:rsid w:val="00CE1FFF"/>
    <w:rsid w:val="00CE47B8"/>
    <w:rsid w:val="00CF1526"/>
    <w:rsid w:val="00D0346E"/>
    <w:rsid w:val="00D04039"/>
    <w:rsid w:val="00D21345"/>
    <w:rsid w:val="00D22698"/>
    <w:rsid w:val="00D42C10"/>
    <w:rsid w:val="00D474EE"/>
    <w:rsid w:val="00D552C0"/>
    <w:rsid w:val="00D63E61"/>
    <w:rsid w:val="00D802CB"/>
    <w:rsid w:val="00DD53BE"/>
    <w:rsid w:val="00DD6B43"/>
    <w:rsid w:val="00DE5229"/>
    <w:rsid w:val="00E03F3D"/>
    <w:rsid w:val="00E10DAA"/>
    <w:rsid w:val="00E2035E"/>
    <w:rsid w:val="00E56996"/>
    <w:rsid w:val="00E74221"/>
    <w:rsid w:val="00EA1995"/>
    <w:rsid w:val="00EA2E33"/>
    <w:rsid w:val="00EB578D"/>
    <w:rsid w:val="00EB627A"/>
    <w:rsid w:val="00EC3E5C"/>
    <w:rsid w:val="00ED31D0"/>
    <w:rsid w:val="00F06AB4"/>
    <w:rsid w:val="00F073E1"/>
    <w:rsid w:val="00F10D3F"/>
    <w:rsid w:val="00F147BC"/>
    <w:rsid w:val="00F179A9"/>
    <w:rsid w:val="00F34FEE"/>
    <w:rsid w:val="00F358F1"/>
    <w:rsid w:val="00F3641D"/>
    <w:rsid w:val="00F40B07"/>
    <w:rsid w:val="00F47333"/>
    <w:rsid w:val="00F50D7B"/>
    <w:rsid w:val="00F51ED6"/>
    <w:rsid w:val="00F5210F"/>
    <w:rsid w:val="00F8722C"/>
    <w:rsid w:val="00FA5AAF"/>
    <w:rsid w:val="00FD300C"/>
    <w:rsid w:val="00FD4B6A"/>
    <w:rsid w:val="00FE2998"/>
    <w:rsid w:val="00FE3D1A"/>
    <w:rsid w:val="00FF03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782C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4A1"/>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3D34A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3D34A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3D34A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3D34A1"/>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D34A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3D34A1"/>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3D34A1"/>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173241"/>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D34A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D34A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3D34A1"/>
    <w:rPr>
      <w:rFonts w:ascii="Palatino Linotype" w:hAnsi="Palatino Linotype"/>
      <w:noProof/>
      <w:color w:val="000000"/>
      <w:szCs w:val="18"/>
    </w:rPr>
  </w:style>
  <w:style w:type="paragraph" w:styleId="Header">
    <w:name w:val="header"/>
    <w:basedOn w:val="Normal"/>
    <w:link w:val="HeaderChar"/>
    <w:uiPriority w:val="99"/>
    <w:rsid w:val="003D34A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D34A1"/>
    <w:rPr>
      <w:rFonts w:ascii="Palatino Linotype" w:hAnsi="Palatino Linotype"/>
      <w:noProof/>
      <w:color w:val="000000"/>
      <w:szCs w:val="18"/>
    </w:rPr>
  </w:style>
  <w:style w:type="paragraph" w:customStyle="1" w:styleId="MDPI32textnoindent">
    <w:name w:val="MDPI_3.2_text_no_indent"/>
    <w:basedOn w:val="MDPI31text"/>
    <w:qFormat/>
    <w:rsid w:val="003D34A1"/>
    <w:pPr>
      <w:ind w:firstLine="0"/>
    </w:pPr>
  </w:style>
  <w:style w:type="paragraph" w:customStyle="1" w:styleId="MDPI31text">
    <w:name w:val="MDPI_3.1_text"/>
    <w:qFormat/>
    <w:rsid w:val="00BA075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D34A1"/>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D34A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D34A1"/>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96919"/>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96919"/>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D34A1"/>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D34A1"/>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D34A1"/>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0B17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D34A1"/>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D34A1"/>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D34A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3D34A1"/>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3D34A1"/>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3D34A1"/>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D34A1"/>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3D34A1"/>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682756"/>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3D34A1"/>
    <w:rPr>
      <w:rFonts w:cs="Tahoma"/>
      <w:szCs w:val="18"/>
    </w:rPr>
  </w:style>
  <w:style w:type="character" w:customStyle="1" w:styleId="BalloonTextChar">
    <w:name w:val="Balloon Text Char"/>
    <w:link w:val="BalloonText"/>
    <w:uiPriority w:val="99"/>
    <w:rsid w:val="003D34A1"/>
    <w:rPr>
      <w:rFonts w:ascii="Palatino Linotype" w:hAnsi="Palatino Linotype" w:cs="Tahoma"/>
      <w:noProof/>
      <w:color w:val="000000"/>
      <w:szCs w:val="18"/>
    </w:rPr>
  </w:style>
  <w:style w:type="character" w:styleId="LineNumber">
    <w:name w:val="line number"/>
    <w:uiPriority w:val="99"/>
    <w:rsid w:val="00030C02"/>
    <w:rPr>
      <w:rFonts w:ascii="Palatino Linotype" w:hAnsi="Palatino Linotype"/>
      <w:sz w:val="16"/>
    </w:rPr>
  </w:style>
  <w:style w:type="table" w:customStyle="1" w:styleId="MDPI41threelinetable">
    <w:name w:val="MDPI_4.1_three_line_table"/>
    <w:basedOn w:val="TableNormal"/>
    <w:uiPriority w:val="99"/>
    <w:rsid w:val="003D34A1"/>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3D34A1"/>
    <w:rPr>
      <w:color w:val="0000FF"/>
      <w:u w:val="single"/>
    </w:rPr>
  </w:style>
  <w:style w:type="character" w:styleId="UnresolvedMention">
    <w:name w:val="Unresolved Mention"/>
    <w:uiPriority w:val="99"/>
    <w:semiHidden/>
    <w:unhideWhenUsed/>
    <w:rsid w:val="00EA2E33"/>
    <w:rPr>
      <w:color w:val="605E5C"/>
      <w:shd w:val="clear" w:color="auto" w:fill="E1DFDD"/>
    </w:rPr>
  </w:style>
  <w:style w:type="table" w:styleId="PlainTable4">
    <w:name w:val="Plain Table 4"/>
    <w:basedOn w:val="TableNormal"/>
    <w:uiPriority w:val="44"/>
    <w:rsid w:val="00C047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D34A1"/>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3D34A1"/>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D34A1"/>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1F6B2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3D34A1"/>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D34A1"/>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E10DAA"/>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3D34A1"/>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3D34A1"/>
  </w:style>
  <w:style w:type="paragraph" w:styleId="Bibliography">
    <w:name w:val="Bibliography"/>
    <w:basedOn w:val="Normal"/>
    <w:next w:val="Normal"/>
    <w:uiPriority w:val="37"/>
    <w:semiHidden/>
    <w:unhideWhenUsed/>
    <w:rsid w:val="003D34A1"/>
  </w:style>
  <w:style w:type="paragraph" w:styleId="BodyText">
    <w:name w:val="Body Text"/>
    <w:link w:val="BodyTextChar"/>
    <w:rsid w:val="003D34A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3D34A1"/>
    <w:rPr>
      <w:rFonts w:ascii="Palatino Linotype" w:hAnsi="Palatino Linotype"/>
      <w:color w:val="000000"/>
      <w:sz w:val="24"/>
      <w:lang w:eastAsia="de-DE"/>
    </w:rPr>
  </w:style>
  <w:style w:type="character" w:styleId="CommentReference">
    <w:name w:val="annotation reference"/>
    <w:rsid w:val="003D34A1"/>
    <w:rPr>
      <w:sz w:val="21"/>
      <w:szCs w:val="21"/>
    </w:rPr>
  </w:style>
  <w:style w:type="paragraph" w:styleId="CommentText">
    <w:name w:val="annotation text"/>
    <w:basedOn w:val="Normal"/>
    <w:link w:val="CommentTextChar"/>
    <w:rsid w:val="003D34A1"/>
  </w:style>
  <w:style w:type="character" w:customStyle="1" w:styleId="CommentTextChar">
    <w:name w:val="Comment Text Char"/>
    <w:link w:val="CommentText"/>
    <w:rsid w:val="003D34A1"/>
    <w:rPr>
      <w:rFonts w:ascii="Palatino Linotype" w:hAnsi="Palatino Linotype"/>
      <w:noProof/>
      <w:color w:val="000000"/>
    </w:rPr>
  </w:style>
  <w:style w:type="paragraph" w:styleId="CommentSubject">
    <w:name w:val="annotation subject"/>
    <w:basedOn w:val="CommentText"/>
    <w:next w:val="CommentText"/>
    <w:link w:val="CommentSubjectChar"/>
    <w:rsid w:val="003D34A1"/>
    <w:rPr>
      <w:b/>
      <w:bCs/>
    </w:rPr>
  </w:style>
  <w:style w:type="character" w:customStyle="1" w:styleId="CommentSubjectChar">
    <w:name w:val="Comment Subject Char"/>
    <w:link w:val="CommentSubject"/>
    <w:rsid w:val="003D34A1"/>
    <w:rPr>
      <w:rFonts w:ascii="Palatino Linotype" w:hAnsi="Palatino Linotype"/>
      <w:b/>
      <w:bCs/>
      <w:noProof/>
      <w:color w:val="000000"/>
    </w:rPr>
  </w:style>
  <w:style w:type="character" w:styleId="EndnoteReference">
    <w:name w:val="endnote reference"/>
    <w:rsid w:val="003D34A1"/>
    <w:rPr>
      <w:vertAlign w:val="superscript"/>
    </w:rPr>
  </w:style>
  <w:style w:type="paragraph" w:styleId="EndnoteText">
    <w:name w:val="endnote text"/>
    <w:basedOn w:val="Normal"/>
    <w:link w:val="EndnoteTextChar"/>
    <w:semiHidden/>
    <w:unhideWhenUsed/>
    <w:rsid w:val="003D34A1"/>
    <w:pPr>
      <w:spacing w:line="240" w:lineRule="auto"/>
    </w:pPr>
  </w:style>
  <w:style w:type="character" w:customStyle="1" w:styleId="EndnoteTextChar">
    <w:name w:val="Endnote Text Char"/>
    <w:link w:val="EndnoteText"/>
    <w:semiHidden/>
    <w:rsid w:val="003D34A1"/>
    <w:rPr>
      <w:rFonts w:ascii="Palatino Linotype" w:hAnsi="Palatino Linotype"/>
      <w:noProof/>
      <w:color w:val="000000"/>
    </w:rPr>
  </w:style>
  <w:style w:type="character" w:styleId="FollowedHyperlink">
    <w:name w:val="FollowedHyperlink"/>
    <w:rsid w:val="003D34A1"/>
    <w:rPr>
      <w:color w:val="954F72"/>
      <w:u w:val="single"/>
    </w:rPr>
  </w:style>
  <w:style w:type="paragraph" w:styleId="FootnoteText">
    <w:name w:val="footnote text"/>
    <w:basedOn w:val="Normal"/>
    <w:link w:val="FootnoteTextChar"/>
    <w:semiHidden/>
    <w:unhideWhenUsed/>
    <w:rsid w:val="003D34A1"/>
    <w:pPr>
      <w:spacing w:line="240" w:lineRule="auto"/>
    </w:pPr>
  </w:style>
  <w:style w:type="character" w:customStyle="1" w:styleId="FootnoteTextChar">
    <w:name w:val="Footnote Text Char"/>
    <w:link w:val="FootnoteText"/>
    <w:semiHidden/>
    <w:rsid w:val="003D34A1"/>
    <w:rPr>
      <w:rFonts w:ascii="Palatino Linotype" w:hAnsi="Palatino Linotype"/>
      <w:noProof/>
      <w:color w:val="000000"/>
    </w:rPr>
  </w:style>
  <w:style w:type="paragraph" w:styleId="NormalWeb">
    <w:name w:val="Normal (Web)"/>
    <w:basedOn w:val="Normal"/>
    <w:uiPriority w:val="99"/>
    <w:rsid w:val="003D34A1"/>
    <w:rPr>
      <w:szCs w:val="24"/>
    </w:rPr>
  </w:style>
  <w:style w:type="paragraph" w:customStyle="1" w:styleId="MsoFootnoteText0">
    <w:name w:val="MsoFootnoteText"/>
    <w:basedOn w:val="NormalWeb"/>
    <w:qFormat/>
    <w:rsid w:val="003D34A1"/>
    <w:rPr>
      <w:rFonts w:ascii="Times New Roman" w:hAnsi="Times New Roman"/>
    </w:rPr>
  </w:style>
  <w:style w:type="character" w:styleId="PageNumber">
    <w:name w:val="page number"/>
    <w:rsid w:val="003D34A1"/>
  </w:style>
  <w:style w:type="character" w:styleId="PlaceholderText">
    <w:name w:val="Placeholder Text"/>
    <w:uiPriority w:val="99"/>
    <w:semiHidden/>
    <w:rsid w:val="003D34A1"/>
    <w:rPr>
      <w:color w:val="808080"/>
    </w:rPr>
  </w:style>
  <w:style w:type="paragraph" w:customStyle="1" w:styleId="MDPI71footnotes">
    <w:name w:val="MDPI_7.1_footnotes"/>
    <w:qFormat/>
    <w:rsid w:val="00F358F1"/>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1C4F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systems-template.dot</Template>
  <TotalTime>1</TotalTime>
  <Pages>6</Pages>
  <Words>2274</Words>
  <Characters>12077</Characters>
  <Application>Microsoft Office Word</Application>
  <DocSecurity>0</DocSecurity>
  <Lines>287</Lines>
  <Paragraphs>191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4</cp:revision>
  <dcterms:created xsi:type="dcterms:W3CDTF">2025-06-13T06:12:00Z</dcterms:created>
  <dcterms:modified xsi:type="dcterms:W3CDTF">2025-06-17T06:48:00Z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5470e00577bbcda9f6f0393045ea6a6a1d505038b62b8a58bba9ca28bce24e25</vt:lpwstr>
  </property>
</Properties>
</file>