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MDPI11articletype"/>
      </w:pPr>
      <w:r>
        <w:t>Article</w:t>
      </w:r>
    </w:p>
    <w:p>
      <w:pPr>
        <w:pStyle w:val="MDPI12title"/>
      </w:pPr>
      <w:r>
        <w:t>Artificial Intelligence Readiness and Youth Employment in the European Union: Multivariate Modeling and Cluster Typologies of Youth Disengagement and Unemployment</w:t>
      </w:r>
    </w:p>
    <w:p>
      <w:pPr>
        <w:pStyle w:val="MDPI13authornames"/>
      </w:pPr>
      <w:r>
        <w:rPr/>
        <w:t xml:space="preserve">Xinyu Cai </w:t>
      </w:r>
      <w:r>
        <w:rPr>
          <w:vertAlign w:val="superscript"/>
        </w:rPr>
        <w:t>1</w:t>
      </w:r>
      <w:r>
        <w:rPr/>
        <w:t xml:space="preserve"> and Tiantian Mo </w:t>
      </w:r>
      <w:r>
        <w:rPr>
          <w:vertAlign w:val="superscript"/>
        </w:rPr>
        <w:t>1,*</w:t>
      </w:r>
    </w:p>
    <w:p>
      <w:pPr>
        <w:pStyle w:val="MDPI15academiceditor"/>
      </w:pPr>
      <w:r>
        <w:t>Academic Editor: Firstname Lastname</w:t>
      </w:r>
    </w:p>
    <w:p>
      <w:pPr>
        <w:pStyle w:val="MDPI14history"/>
      </w:pPr>
      <w:r>
        <w:t>Received: date</w:t>
      </w:r>
    </w:p>
    <w:p>
      <w:pPr>
        <w:pStyle w:val="MDPI14history"/>
      </w:pPr>
      <w:r>
        <w:t>Revised: date</w:t>
      </w:r>
    </w:p>
    <w:p>
      <w:pPr>
        <w:pStyle w:val="MDPI14history"/>
      </w:pPr>
      <w:r>
        <w:t>Accepted: date</w:t>
      </w:r>
    </w:p>
    <w:p>
      <w:pPr>
        <w:pStyle w:val="MDPI14history"/>
      </w:pPr>
      <w:r>
        <w:t>Published: date</w:t>
      </w:r>
    </w:p>
    <w:p>
      <w:pPr>
        <w:pStyle w:val="MDPI61citation"/>
      </w:pPr>
      <w:r>
        <w:t>Citation: To be added by editorial staff during production.</w:t>
      </w:r>
    </w:p>
    <w:p>
      <w:pPr>
        <w:pStyle w:val="MDPI72copyright"/>
      </w:pPr>
      <w:r>
        <w:t>Copyright: © 2025 by the authors. Submitted for possible open access publication under the terms and conditions of the Creative Commons Attribution (CC BY) license (https://creativecommons.org/licenses/by/4.0/).</w:t>
      </w:r>
    </w:p>
    <w:p>
      <w:pPr>
        <w:pStyle w:val="MDPI16affiliation"/>
      </w:pPr>
      <w:r>
        <w:rPr>
          <w:b w:val="0"/>
          <w:vertAlign w:val="superscript"/>
        </w:rPr>
        <w:t>1</w:t>
      </w:r>
      <w:r>
        <w:tab/>
        <w:t>College of Business, Jiaxing University, Jiaxing 314001, China; caixinyu@zjxu.edu.cn</w:t>
      </w:r>
    </w:p>
    <w:p>
      <w:pPr>
        <w:pStyle w:val="MDPI16affiliation"/>
      </w:pPr>
      <w:r>
        <w:rPr>
          <w:b/>
        </w:rPr>
        <w:t>*</w:t>
      </w:r>
      <w:r>
        <w:tab/>
        <w:t>Correspondence: 00008227@zjxu.edu.cn</w:t>
      </w:r>
    </w:p>
    <w:p>
      <w:pPr>
        <w:pStyle w:val="MDPI17abstract"/>
      </w:pPr>
      <w:r>
        <w:rPr>
          <w:b/>
        </w:rPr>
        <w:t>Abstract</w:t>
      </w:r>
    </w:p>
    <w:p>
      <w:pPr>
        <w:pStyle w:val="MDPI17abstract"/>
      </w:pPr>
      <w:r>
        <w:rPr>
          <w:b w:val="0"/>
          <w:i w:val="0"/>
        </w:rPr>
        <w:t>Artificial intelligence is gradually penetrating contemporary socio-technical systems, and the young people now entering employment are the group most exposed to the reorganization of entry-level work. In this paper, we analyze cross-sectional relationships between national artificial intelligence readiness and two macro-level youth labour-market indicators: the share of young people neither in employment nor in education and training (NEET) and the youth unemployment rate. The research is based on comparative European data for the 27 member states. It measures AI readiness through enterprise adoption of AI technologies, generative AI use among young individuals, the digital skills of young people, and ICT specialist employment, as an expression of the interaction of technological infrastructure, human capability, and the institutional environment. The methodology combines multivariate modelling and regression with exploratory factor analysis and clustering. Results indicate stable negative associations between all four readiness indicators and the youth NEET rate, while the associations with the youth unemployment rate are weak and statistically insignificant, suggesting that AI readiness is related to the engagement margin of youth labour markets rather than to the unemployment margin, without implying a causal relationship. The results highlight the need for an integrative view of AI adoption that links youth skills, organizational practice, and governance structures to ensure an inclusive digital transition.</w:t>
      </w:r>
    </w:p>
    <w:p>
      <w:pPr>
        <w:pStyle w:val="MDPI18keywords"/>
      </w:pPr>
      <w:r>
        <w:rPr>
          <w:b/>
        </w:rPr>
        <w:t xml:space="preserve">Keywords: </w:t>
      </w:r>
      <w:r>
        <w:t>artificial intelligence; youth employment; NEET; digital skills; European Union</w:t>
      </w:r>
    </w:p>
    <w:p>
      <w:pPr>
        <w:pStyle w:val="MDPI19line"/>
      </w:pPr>
    </w:p>
    <w:p>
      <w:pPr>
        <w:pStyle w:val="MDPI21heading1"/>
      </w:pPr>
      <w:r>
        <w:t>1. Introduction</w:t>
      </w:r>
    </w:p>
    <w:p>
      <w:pPr>
        <w:pStyle w:val="MDPI32textnoindent"/>
      </w:pPr>
      <w:r>
        <w:rPr>
          <w:b w:val="0"/>
          <w:i w:val="0"/>
        </w:rPr>
        <w:t xml:space="preserve">Artificial intelligence is one of the most consequential forms of the ongoing digital transformation, altering the nature of occupations and the ways in which people learn, create information, and participate in economic activity </w:t>
      </w:r>
      <w:r>
        <w:t>[</w:t>
      </w:r>
      <w:r>
        <w:fldChar w:fldCharType="begin"/>
      </w:r>
      <w:r>
        <w:instrText xml:space="preserve"> REF _Ref_1 \h </w:instrText>
      </w:r>
      <w:r>
        <w:fldChar w:fldCharType="separate"/>
      </w:r>
      <w:r>
        <w:t>1</w:t>
      </w:r>
      <w:r>
        <w:fldChar w:fldCharType="end"/>
      </w:r>
      <w:r>
        <w:t>–</w:t>
      </w:r>
      <w:r>
        <w:fldChar w:fldCharType="begin"/>
      </w:r>
      <w:r>
        <w:instrText xml:space="preserve"> REF _Ref_3 \h </w:instrText>
      </w:r>
      <w:r>
        <w:fldChar w:fldCharType="separate"/>
      </w:r>
      <w:r>
        <w:t>3</w:t>
      </w:r>
      <w:r>
        <w:fldChar w:fldCharType="end"/>
      </w:r>
      <w:r>
        <w:t>]</w:t>
      </w:r>
      <w:r>
        <w:rPr>
          <w:b w:val="0"/>
          <w:i w:val="0"/>
        </w:rPr>
        <w:t xml:space="preserve">. Recent studies associate AI with organizational change, productivity gains, process automation, and the re-configuration of the relationship between capital, labour, and skills </w:t>
      </w:r>
      <w:r>
        <w:t>[</w:t>
      </w:r>
      <w:r>
        <w:fldChar w:fldCharType="begin"/>
      </w:r>
      <w:r>
        <w:instrText xml:space="preserve"> REF _Ref_4 \h </w:instrText>
      </w:r>
      <w:r>
        <w:fldChar w:fldCharType="separate"/>
      </w:r>
      <w:r>
        <w:t>4</w:t>
      </w:r>
      <w:r>
        <w:fldChar w:fldCharType="end"/>
      </w:r>
      <w:r>
        <w:t>,</w:t>
      </w:r>
      <w:r>
        <w:fldChar w:fldCharType="begin"/>
      </w:r>
      <w:r>
        <w:instrText xml:space="preserve"> REF _Ref_5 \h </w:instrText>
      </w:r>
      <w:r>
        <w:fldChar w:fldCharType="separate"/>
      </w:r>
      <w:r>
        <w:t>5</w:t>
      </w:r>
      <w:r>
        <w:fldChar w:fldCharType="end"/>
      </w:r>
      <w:r>
        <w:t>]</w:t>
      </w:r>
      <w:r>
        <w:rPr>
          <w:b w:val="0"/>
          <w:i w:val="0"/>
        </w:rPr>
        <w:t xml:space="preserve">. Nevertheless, the labour-market effect remains contested. Automation can replace some jobs, reduce the demand for routine work, and increase the risk of job polarization </w:t>
      </w:r>
      <w:r>
        <w:t>[</w:t>
      </w:r>
      <w:r>
        <w:fldChar w:fldCharType="begin"/>
      </w:r>
      <w:r>
        <w:instrText xml:space="preserve"> REF _Ref_6 \h </w:instrText>
      </w:r>
      <w:r>
        <w:fldChar w:fldCharType="separate"/>
      </w:r>
      <w:r>
        <w:t>6</w:t>
      </w:r>
      <w:r>
        <w:fldChar w:fldCharType="end"/>
      </w:r>
      <w:r>
        <w:t>–</w:t>
      </w:r>
      <w:r>
        <w:fldChar w:fldCharType="begin"/>
      </w:r>
      <w:r>
        <w:instrText xml:space="preserve"> REF _Ref_8 \h </w:instrText>
      </w:r>
      <w:r>
        <w:fldChar w:fldCharType="separate"/>
      </w:r>
      <w:r>
        <w:t>8</w:t>
      </w:r>
      <w:r>
        <w:fldChar w:fldCharType="end"/>
      </w:r>
      <w:r>
        <w:t>]</w:t>
      </w:r>
      <w:r>
        <w:rPr>
          <w:b w:val="0"/>
          <w:i w:val="0"/>
        </w:rPr>
        <w:t xml:space="preserve">. AI can also complement human work, boost productivity, create new activities, and open less rigid forms of economic participation, especially where organizations and institutions use it to leverage digital skills </w:t>
      </w:r>
      <w:r>
        <w:t>[</w:t>
      </w:r>
      <w:r>
        <w:fldChar w:fldCharType="begin"/>
      </w:r>
      <w:r>
        <w:instrText xml:space="preserve"> REF _Ref_9 \h </w:instrText>
      </w:r>
      <w:r>
        <w:fldChar w:fldCharType="separate"/>
      </w:r>
      <w:r>
        <w:t>9</w:t>
      </w:r>
      <w:r>
        <w:fldChar w:fldCharType="end"/>
      </w:r>
      <w:r>
        <w:t>–</w:t>
      </w:r>
      <w:r>
        <w:fldChar w:fldCharType="begin"/>
      </w:r>
      <w:r>
        <w:instrText xml:space="preserve"> REF _Ref_11 \h </w:instrText>
      </w:r>
      <w:r>
        <w:fldChar w:fldCharType="separate"/>
      </w:r>
      <w:r>
        <w:t>11</w:t>
      </w:r>
      <w:r>
        <w:fldChar w:fldCharType="end"/>
      </w:r>
      <w:r>
        <w:t>]</w:t>
      </w:r>
      <w:r>
        <w:rPr>
          <w:b w:val="0"/>
          <w:i w:val="0"/>
        </w:rPr>
        <w:t xml:space="preserve">. This tension is especially relevant for young people, because the analytical, informational, and administrative tasks in which generative systems are most capable are concentrated precisely in the entry-level positions from which early careers have traditionally been built </w:t>
      </w:r>
      <w:r>
        <w:t>[</w:t>
      </w:r>
      <w:r>
        <w:fldChar w:fldCharType="begin"/>
      </w:r>
      <w:r>
        <w:instrText xml:space="preserve"> REF _Ref_12 \h </w:instrText>
      </w:r>
      <w:r>
        <w:fldChar w:fldCharType="separate"/>
      </w:r>
      <w:r>
        <w:t>12</w:t>
      </w:r>
      <w:r>
        <w:fldChar w:fldCharType="end"/>
      </w:r>
      <w:r>
        <w:t>,</w:t>
      </w:r>
      <w:r>
        <w:fldChar w:fldCharType="begin"/>
      </w:r>
      <w:r>
        <w:instrText xml:space="preserve"> REF _Ref_13 \h </w:instrText>
      </w:r>
      <w:r>
        <w:fldChar w:fldCharType="separate"/>
      </w:r>
      <w:r>
        <w:t>13</w:t>
      </w:r>
      <w:r>
        <w:fldChar w:fldCharType="end"/>
      </w:r>
      <w:r>
        <w:t>]</w:t>
      </w:r>
      <w:r>
        <w:rPr>
          <w:b w:val="0"/>
          <w:i w:val="0"/>
        </w:rPr>
        <w:t>.</w:t>
      </w:r>
    </w:p>
    <w:p>
      <w:pPr>
        <w:pStyle w:val="MDPI31text"/>
      </w:pPr>
      <w:r>
        <w:rPr>
          <w:b w:val="0"/>
          <w:i w:val="0"/>
        </w:rPr>
        <w:t xml:space="preserve">The purpose of the article is to analyze the relationship between national artificial intelligence readiness and two macro-level indicators of youth labour markets in the European Union: the share of young people neither in employment nor in education and training (the NEET rate) and the youth unemployment rate. Artificial intelligence readiness is a complex phenomenon that may be characterized by enterprise adoption of AI technologies, generative AI use among young individuals, the digital skills of young people, and the weight of ICT specialists in employment. The notion holds that AI may be related to youth labour-market differences not only through the demand side of firms and technologies but also through individual processes of familiarization, learning, and eventual integration of the technology into daily and professional activities. The youth focus matters because adverse early labour-market conditions leave scars on employment and earnings that persist for a decade or longer </w:t>
      </w:r>
      <w:r>
        <w:t>[</w:t>
      </w:r>
      <w:r>
        <w:fldChar w:fldCharType="begin"/>
      </w:r>
      <w:r>
        <w:instrText xml:space="preserve"> REF _Ref_14 \h </w:instrText>
      </w:r>
      <w:r>
        <w:fldChar w:fldCharType="separate"/>
      </w:r>
      <w:r>
        <w:t>14</w:t>
      </w:r>
      <w:r>
        <w:fldChar w:fldCharType="end"/>
      </w:r>
      <w:r>
        <w:t>–</w:t>
      </w:r>
      <w:r>
        <w:fldChar w:fldCharType="begin"/>
      </w:r>
      <w:r>
        <w:instrText xml:space="preserve"> REF _Ref_17 \h </w:instrText>
      </w:r>
      <w:r>
        <w:fldChar w:fldCharType="separate"/>
      </w:r>
      <w:r>
        <w:t>17</w:t>
      </w:r>
      <w:r>
        <w:fldChar w:fldCharType="end"/>
      </w:r>
      <w:r>
        <w:t>]</w:t>
      </w:r>
      <w:r>
        <w:rPr>
          <w:b w:val="0"/>
          <w:i w:val="0"/>
        </w:rPr>
        <w:t xml:space="preserve">, and because disengagement from both work and learning, captured by the NEET indicator, is among the most costly forms of youth exclusion </w:t>
      </w:r>
      <w:r>
        <w:t>[</w:t>
      </w:r>
      <w:r>
        <w:fldChar w:fldCharType="begin"/>
      </w:r>
      <w:r>
        <w:instrText xml:space="preserve"> REF _Ref_18 \h </w:instrText>
      </w:r>
      <w:r>
        <w:fldChar w:fldCharType="separate"/>
      </w:r>
      <w:r>
        <w:t>18</w:t>
      </w:r>
      <w:r>
        <w:fldChar w:fldCharType="end"/>
      </w:r>
      <w:r>
        <w:t>,</w:t>
      </w:r>
      <w:r>
        <w:fldChar w:fldCharType="begin"/>
      </w:r>
      <w:r>
        <w:instrText xml:space="preserve"> REF _Ref_19 \h </w:instrText>
      </w:r>
      <w:r>
        <w:fldChar w:fldCharType="separate"/>
      </w:r>
      <w:r>
        <w:t>19</w:t>
      </w:r>
      <w:r>
        <w:fldChar w:fldCharType="end"/>
      </w:r>
      <w:r>
        <w:t>]</w:t>
      </w:r>
      <w:r>
        <w:rPr>
          <w:b w:val="0"/>
          <w:i w:val="0"/>
        </w:rPr>
        <w:t>.</w:t>
      </w:r>
    </w:p>
    <w:p>
      <w:pPr>
        <w:pStyle w:val="MDPI31text"/>
      </w:pPr>
      <w:r>
        <w:rPr>
          <w:b w:val="0"/>
          <w:i w:val="0"/>
        </w:rPr>
        <w:t xml:space="preserve">The present literature on AI, employment, and youth transitions offers significant contributions but also fundamental limitations. First, much research examines AI at the level of firms, occupations, or exposure indices, without linking national AI readiness to the macro-level indicators through which youth labour markets are actually monitored </w:t>
      </w:r>
      <w:r>
        <w:t>[</w:t>
      </w:r>
      <w:r>
        <w:fldChar w:fldCharType="begin"/>
      </w:r>
      <w:r>
        <w:instrText xml:space="preserve"> REF _Ref_20 \h </w:instrText>
      </w:r>
      <w:r>
        <w:fldChar w:fldCharType="separate"/>
      </w:r>
      <w:r>
        <w:t>20</w:t>
      </w:r>
      <w:r>
        <w:fldChar w:fldCharType="end"/>
      </w:r>
      <w:r>
        <w:t>–</w:t>
      </w:r>
      <w:r>
        <w:fldChar w:fldCharType="begin"/>
      </w:r>
      <w:r>
        <w:instrText xml:space="preserve"> REF _Ref_22 \h </w:instrText>
      </w:r>
      <w:r>
        <w:fldChar w:fldCharType="separate"/>
      </w:r>
      <w:r>
        <w:t>22</w:t>
      </w:r>
      <w:r>
        <w:fldChar w:fldCharType="end"/>
      </w:r>
      <w:r>
        <w:t>]</w:t>
      </w:r>
      <w:r>
        <w:rPr>
          <w:b w:val="0"/>
          <w:i w:val="0"/>
        </w:rPr>
        <w:t xml:space="preserve">. Second, the two headline youth indicators are usually considered separately, although the NEET rate and the youth unemployment rate capture different margins of the same socio-technical transition and may respond to technology in different ways. Thirdly, there are few comparisons of AI readiness and youth outcomes across Europe, although research suggests that the repercussions of digitization vary across national, regional, and institutional contexts </w:t>
      </w:r>
      <w:r>
        <w:t>[</w:t>
      </w:r>
      <w:r>
        <w:fldChar w:fldCharType="begin"/>
      </w:r>
      <w:r>
        <w:instrText xml:space="preserve"> REF _Ref_23 \h </w:instrText>
      </w:r>
      <w:r>
        <w:fldChar w:fldCharType="separate"/>
      </w:r>
      <w:r>
        <w:t>23</w:t>
      </w:r>
      <w:r>
        <w:fldChar w:fldCharType="end"/>
      </w:r>
      <w:r>
        <w:t>–</w:t>
      </w:r>
      <w:r>
        <w:fldChar w:fldCharType="begin"/>
      </w:r>
      <w:r>
        <w:instrText xml:space="preserve"> REF _Ref_25 \h </w:instrText>
      </w:r>
      <w:r>
        <w:fldChar w:fldCharType="separate"/>
      </w:r>
      <w:r>
        <w:t>25</w:t>
      </w:r>
      <w:r>
        <w:fldChar w:fldCharType="end"/>
      </w:r>
      <w:r>
        <w:t>]</w:t>
      </w:r>
      <w:r>
        <w:rPr>
          <w:b w:val="0"/>
          <w:i w:val="0"/>
        </w:rPr>
        <w:t>.</w:t>
      </w:r>
    </w:p>
    <w:p>
      <w:pPr>
        <w:pStyle w:val="MDPI31text"/>
      </w:pPr>
      <w:r>
        <w:rPr>
          <w:b w:val="0"/>
          <w:i w:val="0"/>
        </w:rPr>
        <w:t>We address these shortcomings with a comparative, quantitative approach, grounded in harmonised European data and a combination of complementary statistical techniques. The multivariate modeling enables the exploration of direct relationships between the four dimensions of AI readiness and the two youth labour-market indicators, the exploratory factor analysis allows for the identification of a common latent factor of AI readiness, and the cluster analysis allows for the identification of typologies of countries with similar profiles of AI readiness, youth disengagement, and youth unemployment. Thus, the research goes beyond a linear view of technology’s impact and provides a systemic analysis of the embedding of artificial intelligence within human, organizational, and institutional interactions.</w:t>
      </w:r>
    </w:p>
    <w:p>
      <w:pPr>
        <w:pStyle w:val="MDPI31text"/>
      </w:pPr>
      <w:r>
        <w:rPr>
          <w:b w:val="0"/>
          <w:i w:val="0"/>
        </w:rPr>
        <w:t xml:space="preserve">The study contributes to the existing research in several ways. First, it shifts the focus from general discussions of AI and automation to the joint reading of two distinct youth margins: disengagement, measured by the NEET rate, and job search without employment, measured by the youth unemployment rate. This approach allows the analysis to capture which margin of youth labour markets is statistically related to the diffusion of the technology. Second, the paper connects youth labour economics with the socio-technical systems perspective. From a labour economics viewpoint, the study relates AI readiness to entry into employment, skill formation, and the demand for young workers; from a socio-technical perspective, AI readiness is understood as part of a broader configuration that includes individual skills, organizational routines, digital infrastructure, and institutional contexts </w:t>
      </w:r>
      <w:r>
        <w:t>[</w:t>
      </w:r>
      <w:r>
        <w:fldChar w:fldCharType="begin"/>
      </w:r>
      <w:r>
        <w:instrText xml:space="preserve"> REF _Ref_26 \h </w:instrText>
      </w:r>
      <w:r>
        <w:fldChar w:fldCharType="separate"/>
      </w:r>
      <w:r>
        <w:t>26</w:t>
      </w:r>
      <w:r>
        <w:fldChar w:fldCharType="end"/>
      </w:r>
      <w:r>
        <w:t>–</w:t>
      </w:r>
      <w:r>
        <w:fldChar w:fldCharType="begin"/>
      </w:r>
      <w:r>
        <w:instrText xml:space="preserve"> REF _Ref_28 \h </w:instrText>
      </w:r>
      <w:r>
        <w:fldChar w:fldCharType="separate"/>
      </w:r>
      <w:r>
        <w:t>28</w:t>
      </w:r>
      <w:r>
        <w:fldChar w:fldCharType="end"/>
      </w:r>
      <w:r>
        <w:t>]</w:t>
      </w:r>
      <w:r>
        <w:rPr>
          <w:b w:val="0"/>
          <w:i w:val="0"/>
        </w:rPr>
        <w:t xml:space="preserve">. Third, the empirical contribution lies in the use of harmonised European data to compare national patterns of AI readiness and youth outcomes across the EU-27, extending to youth labour markets a comparative strategy recently applied to aggregate participation and cost dynamics </w:t>
      </w:r>
      <w:r>
        <w:t>[</w:t>
      </w:r>
      <w:r>
        <w:fldChar w:fldCharType="begin"/>
      </w:r>
      <w:r>
        <w:instrText xml:space="preserve"> REF _Ref_25 \h </w:instrText>
      </w:r>
      <w:r>
        <w:fldChar w:fldCharType="separate"/>
      </w:r>
      <w:r>
        <w:t>25</w:t>
      </w:r>
      <w:r>
        <w:fldChar w:fldCharType="end"/>
      </w:r>
      <w:r>
        <w:t>]</w:t>
      </w:r>
      <w:r>
        <w:rPr>
          <w:b w:val="0"/>
          <w:i w:val="0"/>
        </w:rPr>
        <w:t>. Fourth, the methodological contribution derives from combining multivariate modelling, exploratory factor analysis, and cluster analysis, which together examine direct statistical associations, identify a latent dimension of AI readiness, and distinguish country typologies that reflect different AI–youth-labour-market configurations.</w:t>
      </w:r>
    </w:p>
    <w:p>
      <w:pPr>
        <w:pStyle w:val="MDPI31text"/>
      </w:pPr>
      <w:r>
        <w:rPr>
          <w:b w:val="0"/>
          <w:i w:val="0"/>
        </w:rPr>
        <w:t>The paper is structured as follows: the introduction outlines the research topic, purpose, gaps, contribution and novelty; the literature review section presents the background for the hypotheses concerning the dimensions of AI readiness, the latent readiness factor and the socio-technical differentiation across countries; the materials and methods section describes the data, variables and statistical methods; the results section presents the results of the multivariate modeling, factor analysis and clustering; the discussion section interprets the results in the context of the specialized literature; the conclusions summarize the main findings, implications, limitations of the research and directions for future analysis.</w:t>
      </w:r>
    </w:p>
    <w:p>
      <w:pPr>
        <w:pStyle w:val="MDPI21heading1"/>
      </w:pPr>
      <w:r>
        <w:t>2. Theoretical Framework, Literature Review, and Hypotheses Development</w:t>
      </w:r>
    </w:p>
    <w:p>
      <w:pPr>
        <w:pStyle w:val="MDPI32textnoindent"/>
      </w:pPr>
      <w:r>
        <w:rPr>
          <w:b w:val="0"/>
          <w:i w:val="0"/>
        </w:rPr>
        <w:t xml:space="preserve">The theoretical framework of this study combines insights from labor economics with the socio-technical systems perspective. From the viewpoint of labor economics, artificial intelligence readiness can be interpreted through the mechanisms of substitution and complementarity between technology and labor, skill-biased technological change, human capital accumulation, and the demand for entry-level work </w:t>
      </w:r>
      <w:r>
        <w:t>[</w:t>
      </w:r>
      <w:r>
        <w:fldChar w:fldCharType="begin"/>
      </w:r>
      <w:r>
        <w:instrText xml:space="preserve"> REF _Ref_29 \h </w:instrText>
      </w:r>
      <w:r>
        <w:fldChar w:fldCharType="separate"/>
      </w:r>
      <w:r>
        <w:t>29</w:t>
      </w:r>
      <w:r>
        <w:fldChar w:fldCharType="end"/>
      </w:r>
      <w:r>
        <w:t>–</w:t>
      </w:r>
      <w:r>
        <w:fldChar w:fldCharType="begin"/>
      </w:r>
      <w:r>
        <w:instrText xml:space="preserve"> REF _Ref_31 \h </w:instrText>
      </w:r>
      <w:r>
        <w:fldChar w:fldCharType="separate"/>
      </w:r>
      <w:r>
        <w:t>31</w:t>
      </w:r>
      <w:r>
        <w:fldChar w:fldCharType="end"/>
      </w:r>
      <w:r>
        <w:t>]</w:t>
      </w:r>
      <w:r>
        <w:rPr>
          <w:b w:val="0"/>
          <w:i w:val="0"/>
        </w:rPr>
        <w:t xml:space="preserve">. These mechanisms explain why enterprise adoption, youth use of generative tools, digital skills, and specialist employment may be associated with the engagement of young people in employment and education. At the same time, the socio-technical systems perspective allows AI readiness to be understood not as an isolated technological phenomenon, but as the outcome of interactions among individuals, digital skills, organizational routines, institutional environments, and national digital infrastructures </w:t>
      </w:r>
      <w:r>
        <w:t>[</w:t>
      </w:r>
      <w:r>
        <w:fldChar w:fldCharType="begin"/>
      </w:r>
      <w:r>
        <w:instrText xml:space="preserve"> REF _Ref_26 \h </w:instrText>
      </w:r>
      <w:r>
        <w:fldChar w:fldCharType="separate"/>
      </w:r>
      <w:r>
        <w:t>26</w:t>
      </w:r>
      <w:r>
        <w:fldChar w:fldCharType="end"/>
      </w:r>
      <w:r>
        <w:t>,</w:t>
      </w:r>
      <w:r>
        <w:fldChar w:fldCharType="begin"/>
      </w:r>
      <w:r>
        <w:instrText xml:space="preserve"> REF _Ref_28 \h </w:instrText>
      </w:r>
      <w:r>
        <w:fldChar w:fldCharType="separate"/>
      </w:r>
      <w:r>
        <w:t>28</w:t>
      </w:r>
      <w:r>
        <w:fldChar w:fldCharType="end"/>
      </w:r>
      <w:r>
        <w:t>,</w:t>
      </w:r>
      <w:r>
        <w:fldChar w:fldCharType="begin"/>
      </w:r>
      <w:r>
        <w:instrText xml:space="preserve"> REF _Ref_32 \h </w:instrText>
      </w:r>
      <w:r>
        <w:fldChar w:fldCharType="separate"/>
      </w:r>
      <w:r>
        <w:t>32</w:t>
      </w:r>
      <w:r>
        <w:fldChar w:fldCharType="end"/>
      </w:r>
      <w:r>
        <w:t>]</w:t>
      </w:r>
      <w:r>
        <w:rPr>
          <w:b w:val="0"/>
          <w:i w:val="0"/>
        </w:rPr>
        <w:t>. Therefore, the study interprets cross-country differences in AI readiness and youth labour-market indicators as socio-technical configurations shaped by both economic mechanisms and institutional contexts.</w:t>
      </w:r>
    </w:p>
    <w:p>
      <w:pPr>
        <w:pStyle w:val="MDPI22heading2"/>
      </w:pPr>
      <w:r>
        <w:t>2.1. Artificial Intelligence Readiness and Macro-Level Youth Labour-Market Indicators</w:t>
      </w:r>
    </w:p>
    <w:p>
      <w:pPr>
        <w:pStyle w:val="MDPI32textnoindent"/>
      </w:pPr>
      <w:r>
        <w:rPr>
          <w:b w:val="0"/>
          <w:i w:val="0"/>
        </w:rPr>
        <w:t xml:space="preserve">Much of the study of AI and the employment market has focused on the trade-off between substitution and complementarity. Frey and Osborne </w:t>
      </w:r>
      <w:r>
        <w:t>[</w:t>
      </w:r>
      <w:r>
        <w:fldChar w:fldCharType="begin"/>
      </w:r>
      <w:r>
        <w:instrText xml:space="preserve"> REF _Ref_6 \h </w:instrText>
      </w:r>
      <w:r>
        <w:fldChar w:fldCharType="separate"/>
      </w:r>
      <w:r>
        <w:t>6</w:t>
      </w:r>
      <w:r>
        <w:fldChar w:fldCharType="end"/>
      </w:r>
      <w:r>
        <w:t>]</w:t>
      </w:r>
      <w:r>
        <w:rPr>
          <w:b w:val="0"/>
          <w:i w:val="0"/>
        </w:rPr>
        <w:t xml:space="preserve"> highlighted a substantial risk of automation for jobs with repetitive tasks, and Graetz and Michaels </w:t>
      </w:r>
      <w:r>
        <w:t>[</w:t>
      </w:r>
      <w:r>
        <w:fldChar w:fldCharType="begin"/>
      </w:r>
      <w:r>
        <w:instrText xml:space="preserve"> REF _Ref_33 \h </w:instrText>
      </w:r>
      <w:r>
        <w:fldChar w:fldCharType="separate"/>
      </w:r>
      <w:r>
        <w:t>33</w:t>
      </w:r>
      <w:r>
        <w:fldChar w:fldCharType="end"/>
      </w:r>
      <w:r>
        <w:t>]</w:t>
      </w:r>
      <w:r>
        <w:rPr>
          <w:b w:val="0"/>
          <w:i w:val="0"/>
        </w:rPr>
        <w:t xml:space="preserve"> showed that industrial automation reshaped employment without eliminating aggregate demand for labour. Most recently, Acemoglu and Restrepo </w:t>
      </w:r>
      <w:r>
        <w:t>[</w:t>
      </w:r>
      <w:r>
        <w:fldChar w:fldCharType="begin"/>
      </w:r>
      <w:r>
        <w:instrText xml:space="preserve"> REF _Ref_10 \h </w:instrText>
      </w:r>
      <w:r>
        <w:fldChar w:fldCharType="separate"/>
      </w:r>
      <w:r>
        <w:t>10</w:t>
      </w:r>
      <w:r>
        <w:fldChar w:fldCharType="end"/>
      </w:r>
      <w:r>
        <w:t>]</w:t>
      </w:r>
      <w:r>
        <w:rPr>
          <w:b w:val="0"/>
          <w:i w:val="0"/>
        </w:rPr>
        <w:t xml:space="preserve"> argue that automation both displaces labour and creates new activities that are complementary to it, while Autor et al. </w:t>
      </w:r>
      <w:r>
        <w:t>[</w:t>
      </w:r>
      <w:r>
        <w:fldChar w:fldCharType="begin"/>
      </w:r>
      <w:r>
        <w:instrText xml:space="preserve"> REF _Ref_34 \h </w:instrText>
      </w:r>
      <w:r>
        <w:fldChar w:fldCharType="separate"/>
      </w:r>
      <w:r>
        <w:t>34</w:t>
      </w:r>
      <w:r>
        <w:fldChar w:fldCharType="end"/>
      </w:r>
      <w:r>
        <w:t>]</w:t>
      </w:r>
      <w:r>
        <w:rPr>
          <w:b w:val="0"/>
          <w:i w:val="0"/>
        </w:rPr>
        <w:t xml:space="preserve"> document that most contemporary employment is in kinds of work that did not exist in 1940. For the generative wave specifically, occupational exposure measurement shows that the affected tasks are concentrated in clerical, analytical, and information-processing work </w:t>
      </w:r>
      <w:r>
        <w:t>[</w:t>
      </w:r>
      <w:r>
        <w:fldChar w:fldCharType="begin"/>
      </w:r>
      <w:r>
        <w:instrText xml:space="preserve"> REF _Ref_2 \h </w:instrText>
      </w:r>
      <w:r>
        <w:fldChar w:fldCharType="separate"/>
      </w:r>
      <w:r>
        <w:t>2</w:t>
      </w:r>
      <w:r>
        <w:fldChar w:fldCharType="end"/>
      </w:r>
      <w:r>
        <w:t>,</w:t>
      </w:r>
      <w:r>
        <w:fldChar w:fldCharType="begin"/>
      </w:r>
      <w:r>
        <w:instrText xml:space="preserve"> REF _Ref_35 \h </w:instrText>
      </w:r>
      <w:r>
        <w:fldChar w:fldCharType="separate"/>
      </w:r>
      <w:r>
        <w:t>35</w:t>
      </w:r>
      <w:r>
        <w:fldChar w:fldCharType="end"/>
      </w:r>
      <w:r>
        <w:t>–</w:t>
      </w:r>
      <w:r>
        <w:fldChar w:fldCharType="begin"/>
      </w:r>
      <w:r>
        <w:instrText xml:space="preserve"> REF _Ref_37 \h </w:instrText>
      </w:r>
      <w:r>
        <w:fldChar w:fldCharType="separate"/>
      </w:r>
      <w:r>
        <w:t>37</w:t>
      </w:r>
      <w:r>
        <w:fldChar w:fldCharType="end"/>
      </w:r>
      <w:r>
        <w:t>]</w:t>
      </w:r>
      <w:r>
        <w:rPr>
          <w:b w:val="0"/>
          <w:i w:val="0"/>
        </w:rPr>
        <w:t xml:space="preserve">, and international assessments conclude that advanced economies face the largest reallocation pressure </w:t>
      </w:r>
      <w:r>
        <w:t>[</w:t>
      </w:r>
      <w:r>
        <w:fldChar w:fldCharType="begin"/>
      </w:r>
      <w:r>
        <w:instrText xml:space="preserve"> REF _Ref_38 \h </w:instrText>
      </w:r>
      <w:r>
        <w:fldChar w:fldCharType="separate"/>
      </w:r>
      <w:r>
        <w:t>38</w:t>
      </w:r>
      <w:r>
        <w:fldChar w:fldCharType="end"/>
      </w:r>
      <w:r>
        <w:t>–</w:t>
      </w:r>
      <w:r>
        <w:fldChar w:fldCharType="begin"/>
      </w:r>
      <w:r>
        <w:instrText xml:space="preserve"> REF _Ref_40 \h </w:instrText>
      </w:r>
      <w:r>
        <w:fldChar w:fldCharType="separate"/>
      </w:r>
      <w:r>
        <w:t>40</w:t>
      </w:r>
      <w:r>
        <w:fldChar w:fldCharType="end"/>
      </w:r>
      <w:r>
        <w:t>]</w:t>
      </w:r>
      <w:r>
        <w:rPr>
          <w:b w:val="0"/>
          <w:i w:val="0"/>
        </w:rPr>
        <w:t>.</w:t>
      </w:r>
    </w:p>
    <w:p>
      <w:pPr>
        <w:pStyle w:val="MDPI31text"/>
      </w:pPr>
      <w:r>
        <w:rPr>
          <w:b w:val="0"/>
          <w:i w:val="0"/>
        </w:rPr>
        <w:t xml:space="preserve">The experimental and quasi-experimental evidence indicates that the technology compresses task times and reallocates work at the junior end of the skill distribution. Generative assistance raises the productivity of the least experienced workers the most in customer support </w:t>
      </w:r>
      <w:r>
        <w:t>[</w:t>
      </w:r>
      <w:r>
        <w:fldChar w:fldCharType="begin"/>
      </w:r>
      <w:r>
        <w:instrText xml:space="preserve"> REF _Ref_4 \h </w:instrText>
      </w:r>
      <w:r>
        <w:fldChar w:fldCharType="separate"/>
      </w:r>
      <w:r>
        <w:t>4</w:t>
      </w:r>
      <w:r>
        <w:fldChar w:fldCharType="end"/>
      </w:r>
      <w:r>
        <w:t>]</w:t>
      </w:r>
      <w:r>
        <w:rPr>
          <w:b w:val="0"/>
          <w:i w:val="0"/>
        </w:rPr>
        <w:t xml:space="preserve">, compresses performance gaps in writing tasks </w:t>
      </w:r>
      <w:r>
        <w:t>[</w:t>
      </w:r>
      <w:r>
        <w:fldChar w:fldCharType="begin"/>
      </w:r>
      <w:r>
        <w:instrText xml:space="preserve"> REF _Ref_5 \h </w:instrText>
      </w:r>
      <w:r>
        <w:fldChar w:fldCharType="separate"/>
      </w:r>
      <w:r>
        <w:t>5</w:t>
      </w:r>
      <w:r>
        <w:fldChar w:fldCharType="end"/>
      </w:r>
      <w:r>
        <w:t>]</w:t>
      </w:r>
      <w:r>
        <w:rPr>
          <w:b w:val="0"/>
          <w:i w:val="0"/>
        </w:rPr>
        <w:t xml:space="preserve">, and both augments and misleads professionals depending on whether the task lies inside the technological frontier </w:t>
      </w:r>
      <w:r>
        <w:t>[</w:t>
      </w:r>
      <w:r>
        <w:fldChar w:fldCharType="begin"/>
      </w:r>
      <w:r>
        <w:instrText xml:space="preserve"> REF _Ref_41 \h </w:instrText>
      </w:r>
      <w:r>
        <w:fldChar w:fldCharType="separate"/>
      </w:r>
      <w:r>
        <w:t>41</w:t>
      </w:r>
      <w:r>
        <w:fldChar w:fldCharType="end"/>
      </w:r>
      <w:r>
        <w:t>]</w:t>
      </w:r>
      <w:r>
        <w:rPr>
          <w:b w:val="0"/>
          <w:i w:val="0"/>
        </w:rPr>
        <w:t xml:space="preserve">. Field experiments with software developers and entrepreneurs confirm heterogeneous gains </w:t>
      </w:r>
      <w:r>
        <w:t>[</w:t>
      </w:r>
      <w:r>
        <w:fldChar w:fldCharType="begin"/>
      </w:r>
      <w:r>
        <w:instrText xml:space="preserve"> REF _Ref_42 \h </w:instrText>
      </w:r>
      <w:r>
        <w:fldChar w:fldCharType="separate"/>
      </w:r>
      <w:r>
        <w:t>42</w:t>
      </w:r>
      <w:r>
        <w:fldChar w:fldCharType="end"/>
      </w:r>
      <w:r>
        <w:t>,</w:t>
      </w:r>
      <w:r>
        <w:fldChar w:fldCharType="begin"/>
      </w:r>
      <w:r>
        <w:instrText xml:space="preserve"> REF _Ref_43 \h </w:instrText>
      </w:r>
      <w:r>
        <w:fldChar w:fldCharType="separate"/>
      </w:r>
      <w:r>
        <w:t>43</w:t>
      </w:r>
      <w:r>
        <w:fldChar w:fldCharType="end"/>
      </w:r>
      <w:r>
        <w:t>]</w:t>
      </w:r>
      <w:r>
        <w:rPr>
          <w:b w:val="0"/>
          <w:i w:val="0"/>
        </w:rPr>
        <w:t xml:space="preserve">, and freelance platforms show falling demand for exactly the routine tasks through which young workers once accumulated experience </w:t>
      </w:r>
      <w:r>
        <w:t>[</w:t>
      </w:r>
      <w:r>
        <w:fldChar w:fldCharType="begin"/>
      </w:r>
      <w:r>
        <w:instrText xml:space="preserve"> REF _Ref_44 \h </w:instrText>
      </w:r>
      <w:r>
        <w:fldChar w:fldCharType="separate"/>
      </w:r>
      <w:r>
        <w:t>44</w:t>
      </w:r>
      <w:r>
        <w:fldChar w:fldCharType="end"/>
      </w:r>
      <w:r>
        <w:t>]</w:t>
      </w:r>
      <w:r>
        <w:rPr>
          <w:b w:val="0"/>
          <w:i w:val="0"/>
        </w:rPr>
        <w:t xml:space="preserve">. Early evidence on employment stocks finds emerging declines among early-career workers in the most exposed occupations </w:t>
      </w:r>
      <w:r>
        <w:t>[</w:t>
      </w:r>
      <w:r>
        <w:fldChar w:fldCharType="begin"/>
      </w:r>
      <w:r>
        <w:instrText xml:space="preserve"> REF _Ref_12 \h </w:instrText>
      </w:r>
      <w:r>
        <w:fldChar w:fldCharType="separate"/>
      </w:r>
      <w:r>
        <w:t>12</w:t>
      </w:r>
      <w:r>
        <w:fldChar w:fldCharType="end"/>
      </w:r>
      <w:r>
        <w:t>]</w:t>
      </w:r>
      <w:r>
        <w:rPr>
          <w:b w:val="0"/>
          <w:i w:val="0"/>
        </w:rPr>
        <w:t xml:space="preserve">, although economy-wide effects remain modest so far </w:t>
      </w:r>
      <w:r>
        <w:t>[</w:t>
      </w:r>
      <w:r>
        <w:fldChar w:fldCharType="begin"/>
      </w:r>
      <w:r>
        <w:instrText xml:space="preserve"> REF _Ref_13 \h </w:instrText>
      </w:r>
      <w:r>
        <w:fldChar w:fldCharType="separate"/>
      </w:r>
      <w:r>
        <w:t>13</w:t>
      </w:r>
      <w:r>
        <w:fldChar w:fldCharType="end"/>
      </w:r>
      <w:r>
        <w:t>]</w:t>
      </w:r>
      <w:r>
        <w:rPr>
          <w:b w:val="0"/>
          <w:i w:val="0"/>
        </w:rPr>
        <w:t>.</w:t>
      </w:r>
    </w:p>
    <w:p>
      <w:pPr>
        <w:pStyle w:val="MDPI31text"/>
      </w:pPr>
      <w:r>
        <w:rPr>
          <w:b w:val="0"/>
          <w:i w:val="0"/>
        </w:rPr>
        <w:t xml:space="preserve">For young people, these demand-side movements matter through the hiring margin. Firms respond to uncertainty by withholding entry-level vacancies rather than by dismissing incumbents </w:t>
      </w:r>
      <w:r>
        <w:t>[</w:t>
      </w:r>
      <w:r>
        <w:fldChar w:fldCharType="begin"/>
      </w:r>
      <w:r>
        <w:instrText xml:space="preserve"> REF _Ref_45 \h </w:instrText>
      </w:r>
      <w:r>
        <w:fldChar w:fldCharType="separate"/>
      </w:r>
      <w:r>
        <w:t>45</w:t>
      </w:r>
      <w:r>
        <w:fldChar w:fldCharType="end"/>
      </w:r>
      <w:r>
        <w:t>]</w:t>
      </w:r>
      <w:r>
        <w:rPr>
          <w:b w:val="0"/>
          <w:i w:val="0"/>
        </w:rPr>
        <w:t xml:space="preserve">, and AI-adopting establishments change the composition of the skills they recruit </w:t>
      </w:r>
      <w:r>
        <w:t>[</w:t>
      </w:r>
      <w:r>
        <w:fldChar w:fldCharType="begin"/>
      </w:r>
      <w:r>
        <w:instrText xml:space="preserve"> REF _Ref_22 \h </w:instrText>
      </w:r>
      <w:r>
        <w:fldChar w:fldCharType="separate"/>
      </w:r>
      <w:r>
        <w:t>22</w:t>
      </w:r>
      <w:r>
        <w:fldChar w:fldCharType="end"/>
      </w:r>
      <w:r>
        <w:t>]</w:t>
      </w:r>
      <w:r>
        <w:rPr>
          <w:b w:val="0"/>
          <w:i w:val="0"/>
        </w:rPr>
        <w:t xml:space="preserve">. Because early labour-market conditions scar subsequent careers </w:t>
      </w:r>
      <w:r>
        <w:t>[</w:t>
      </w:r>
      <w:r>
        <w:fldChar w:fldCharType="begin"/>
      </w:r>
      <w:r>
        <w:instrText xml:space="preserve"> REF _Ref_14 \h </w:instrText>
      </w:r>
      <w:r>
        <w:fldChar w:fldCharType="separate"/>
      </w:r>
      <w:r>
        <w:t>14</w:t>
      </w:r>
      <w:r>
        <w:fldChar w:fldCharType="end"/>
      </w:r>
      <w:r>
        <w:t>,</w:t>
      </w:r>
      <w:r>
        <w:fldChar w:fldCharType="begin"/>
      </w:r>
      <w:r>
        <w:instrText xml:space="preserve"> REF _Ref_46 \h </w:instrText>
      </w:r>
      <w:r>
        <w:fldChar w:fldCharType="separate"/>
      </w:r>
      <w:r>
        <w:t>46</w:t>
      </w:r>
      <w:r>
        <w:fldChar w:fldCharType="end"/>
      </w:r>
      <w:r>
        <w:t>]</w:t>
      </w:r>
      <w:r>
        <w:rPr>
          <w:b w:val="0"/>
          <w:i w:val="0"/>
        </w:rPr>
        <w:t xml:space="preserve">, any technology that reorganizes entry-level work may be reflected in the aggregate indicators through which youth transitions are monitored. The two headline indicators capture different margins. The NEET rate counts young people detached from employment and from education and training simultaneously, and is therefore a measure of disengagement </w:t>
      </w:r>
      <w:r>
        <w:t>[</w:t>
      </w:r>
      <w:r>
        <w:fldChar w:fldCharType="begin"/>
      </w:r>
      <w:r>
        <w:instrText xml:space="preserve"> REF _Ref_18 \h </w:instrText>
      </w:r>
      <w:r>
        <w:fldChar w:fldCharType="separate"/>
      </w:r>
      <w:r>
        <w:t>18</w:t>
      </w:r>
      <w:r>
        <w:fldChar w:fldCharType="end"/>
      </w:r>
      <w:r>
        <w:t>,</w:t>
      </w:r>
      <w:r>
        <w:fldChar w:fldCharType="begin"/>
      </w:r>
      <w:r>
        <w:instrText xml:space="preserve"> REF _Ref_19 \h </w:instrText>
      </w:r>
      <w:r>
        <w:fldChar w:fldCharType="separate"/>
      </w:r>
      <w:r>
        <w:t>19</w:t>
      </w:r>
      <w:r>
        <w:fldChar w:fldCharType="end"/>
      </w:r>
      <w:r>
        <w:t>]</w:t>
      </w:r>
      <w:r>
        <w:rPr>
          <w:b w:val="0"/>
          <w:i w:val="0"/>
        </w:rPr>
        <w:t xml:space="preserve">; the youth unemployment rate counts active job seekers and is strongly shaped by student job-search behaviour and by national institutions of school-to-work transition </w:t>
      </w:r>
      <w:r>
        <w:t>[</w:t>
      </w:r>
      <w:r>
        <w:fldChar w:fldCharType="begin"/>
      </w:r>
      <w:r>
        <w:instrText xml:space="preserve"> REF _Ref_47 \h </w:instrText>
      </w:r>
      <w:r>
        <w:fldChar w:fldCharType="separate"/>
      </w:r>
      <w:r>
        <w:t>47</w:t>
      </w:r>
      <w:r>
        <w:fldChar w:fldCharType="end"/>
      </w:r>
      <w:r>
        <w:t>]</w:t>
      </w:r>
      <w:r>
        <w:rPr>
          <w:b w:val="0"/>
          <w:i w:val="0"/>
        </w:rPr>
        <w:t xml:space="preserve">. Countries with extensive student search, such as the Nordic economies, routinely record high youth unemployment rates alongside low disengagement. AI readiness is theoretically linked to both margins through the combined mechanisms of labor augmentation, task substitution, skill formation, and changes in the demand for digital skills </w:t>
      </w:r>
      <w:r>
        <w:t>[</w:t>
      </w:r>
      <w:r>
        <w:fldChar w:fldCharType="begin"/>
      </w:r>
      <w:r>
        <w:instrText xml:space="preserve"> REF _Ref_31 \h </w:instrText>
      </w:r>
      <w:r>
        <w:fldChar w:fldCharType="separate"/>
      </w:r>
      <w:r>
        <w:t>31</w:t>
      </w:r>
      <w:r>
        <w:fldChar w:fldCharType="end"/>
      </w:r>
      <w:r>
        <w:t>,</w:t>
      </w:r>
      <w:r>
        <w:fldChar w:fldCharType="begin"/>
      </w:r>
      <w:r>
        <w:instrText xml:space="preserve"> REF _Ref_48 \h </w:instrText>
      </w:r>
      <w:r>
        <w:fldChar w:fldCharType="separate"/>
      </w:r>
      <w:r>
        <w:t>48</w:t>
      </w:r>
      <w:r>
        <w:fldChar w:fldCharType="end"/>
      </w:r>
      <w:r>
        <w:t>]</w:t>
      </w:r>
      <w:r>
        <w:rPr>
          <w:b w:val="0"/>
          <w:i w:val="0"/>
        </w:rPr>
        <w:t>. This literature justifies the following hypothesis:</w:t>
      </w:r>
    </w:p>
    <w:p>
      <w:pPr>
        <w:pStyle w:val="MDPI32textnoindent"/>
        <w:spacing w:before="100" w:after="100"/>
        <w:ind w:left="2948" w:firstLine="0"/>
      </w:pPr>
      <w:r>
        <w:rPr>
          <w:b/>
        </w:rPr>
        <w:t xml:space="preserve">Hypothesis H1. </w:t>
      </w:r>
      <w:r>
        <w:rPr>
          <w:b w:val="0"/>
          <w:i/>
        </w:rPr>
        <w:t>Enterprise AI adoption, generative AI use among young individuals, youth digital skills, and ICT specialist employment show significant cross-sectional associations with the youth NEET rate and the youth unemployment rate.</w:t>
      </w:r>
    </w:p>
    <w:p>
      <w:pPr>
        <w:pStyle w:val="MDPI22heading2"/>
      </w:pPr>
      <w:r>
        <w:t>2.2. The Latent Factor of Artificial Intelligence Readiness and the Aggregated Socio-Technical Pattern of Youth Employment</w:t>
      </w:r>
    </w:p>
    <w:p>
      <w:pPr>
        <w:pStyle w:val="MDPI32textnoindent"/>
      </w:pPr>
      <w:r>
        <w:rPr>
          <w:b w:val="0"/>
          <w:i w:val="0"/>
        </w:rPr>
        <w:t xml:space="preserve">The various dimensions of AI readiness can be evaluated independently. Still, the literature suggests that they also share a deeper common component in the overall degree to which the technology is integrated into economic and social life. Artificial intelligence is a general-purpose technology whose gains are contingent on complementary resources, organizational absorptive capacity, and institutional reforms </w:t>
      </w:r>
      <w:r>
        <w:t>[</w:t>
      </w:r>
      <w:r>
        <w:fldChar w:fldCharType="begin"/>
      </w:r>
      <w:r>
        <w:instrText xml:space="preserve"> REF _Ref_11 \h </w:instrText>
      </w:r>
      <w:r>
        <w:fldChar w:fldCharType="separate"/>
      </w:r>
      <w:r>
        <w:t>11</w:t>
      </w:r>
      <w:r>
        <w:fldChar w:fldCharType="end"/>
      </w:r>
      <w:r>
        <w:t>,</w:t>
      </w:r>
      <w:r>
        <w:fldChar w:fldCharType="begin"/>
      </w:r>
      <w:r>
        <w:instrText xml:space="preserve"> REF _Ref_49 \h </w:instrText>
      </w:r>
      <w:r>
        <w:fldChar w:fldCharType="separate"/>
      </w:r>
      <w:r>
        <w:t>49</w:t>
      </w:r>
      <w:r>
        <w:fldChar w:fldCharType="end"/>
      </w:r>
      <w:r>
        <w:t>,</w:t>
      </w:r>
      <w:r>
        <w:fldChar w:fldCharType="begin"/>
      </w:r>
      <w:r>
        <w:instrText xml:space="preserve"> REF _Ref_50 \h </w:instrText>
      </w:r>
      <w:r>
        <w:fldChar w:fldCharType="separate"/>
      </w:r>
      <w:r>
        <w:t>50</w:t>
      </w:r>
      <w:r>
        <w:fldChar w:fldCharType="end"/>
      </w:r>
      <w:r>
        <w:t>]</w:t>
      </w:r>
      <w:r>
        <w:rPr>
          <w:b w:val="0"/>
          <w:i w:val="0"/>
        </w:rPr>
        <w:t xml:space="preserve">. The productivity literature shows that such technologies deliver their effects with a delay, because organizational change, complementary investment, and skills-building remain necessary </w:t>
      </w:r>
      <w:r>
        <w:t>[</w:t>
      </w:r>
      <w:r>
        <w:fldChar w:fldCharType="begin"/>
      </w:r>
      <w:r>
        <w:instrText xml:space="preserve"> REF _Ref_21 \h </w:instrText>
      </w:r>
      <w:r>
        <w:fldChar w:fldCharType="separate"/>
      </w:r>
      <w:r>
        <w:t>21</w:t>
      </w:r>
      <w:r>
        <w:fldChar w:fldCharType="end"/>
      </w:r>
      <w:r>
        <w:t>,</w:t>
      </w:r>
      <w:r>
        <w:fldChar w:fldCharType="begin"/>
      </w:r>
      <w:r>
        <w:instrText xml:space="preserve"> REF _Ref_51 \h </w:instrText>
      </w:r>
      <w:r>
        <w:fldChar w:fldCharType="separate"/>
      </w:r>
      <w:r>
        <w:t>51</w:t>
      </w:r>
      <w:r>
        <w:fldChar w:fldCharType="end"/>
      </w:r>
      <w:r>
        <w:t>]</w:t>
      </w:r>
      <w:r>
        <w:rPr>
          <w:b w:val="0"/>
          <w:i w:val="0"/>
        </w:rPr>
        <w:t xml:space="preserve">. Firm-level evidence confirms that AI investments translate into growth and innovation only where data assets and skilled labour are already in place </w:t>
      </w:r>
      <w:r>
        <w:t>[</w:t>
      </w:r>
      <w:r>
        <w:fldChar w:fldCharType="begin"/>
      </w:r>
      <w:r>
        <w:instrText xml:space="preserve"> REF _Ref_20 \h </w:instrText>
      </w:r>
      <w:r>
        <w:fldChar w:fldCharType="separate"/>
      </w:r>
      <w:r>
        <w:t>20</w:t>
      </w:r>
      <w:r>
        <w:fldChar w:fldCharType="end"/>
      </w:r>
      <w:r>
        <w:t>]</w:t>
      </w:r>
      <w:r>
        <w:rPr>
          <w:b w:val="0"/>
          <w:i w:val="0"/>
        </w:rPr>
        <w:t>.</w:t>
      </w:r>
    </w:p>
    <w:p>
      <w:pPr>
        <w:pStyle w:val="MDPI31text"/>
      </w:pPr>
      <w:r>
        <w:rPr>
          <w:b w:val="0"/>
          <w:i w:val="0"/>
        </w:rPr>
        <w:t xml:space="preserve">This perspective leads to the identification of a common latent factor in artificial intelligence readiness. If numerous observable dimensions are correlated with one another, they may reflect a broader technological inclination that a single indicator cannot capture. Enterprise adoption may reveal direct integration into productive activity; generative AI use among young individuals may signal cultural familiarity of the incoming cohort with the technology </w:t>
      </w:r>
      <w:r>
        <w:t>[</w:t>
      </w:r>
      <w:r>
        <w:fldChar w:fldCharType="begin"/>
      </w:r>
      <w:r>
        <w:instrText xml:space="preserve"> REF _Ref_52 \h </w:instrText>
      </w:r>
      <w:r>
        <w:fldChar w:fldCharType="separate"/>
      </w:r>
      <w:r>
        <w:t>52</w:t>
      </w:r>
      <w:r>
        <w:fldChar w:fldCharType="end"/>
      </w:r>
      <w:r>
        <w:t>–</w:t>
      </w:r>
      <w:r>
        <w:fldChar w:fldCharType="begin"/>
      </w:r>
      <w:r>
        <w:instrText xml:space="preserve"> REF _Ref_54 \h </w:instrText>
      </w:r>
      <w:r>
        <w:fldChar w:fldCharType="separate"/>
      </w:r>
      <w:r>
        <w:t>54</w:t>
      </w:r>
      <w:r>
        <w:fldChar w:fldCharType="end"/>
      </w:r>
      <w:r>
        <w:t>]</w:t>
      </w:r>
      <w:r>
        <w:rPr>
          <w:b w:val="0"/>
          <w:i w:val="0"/>
        </w:rPr>
        <w:t xml:space="preserve">; youth digital skills may indicate the accumulated capability base </w:t>
      </w:r>
      <w:r>
        <w:t>[</w:t>
      </w:r>
      <w:r>
        <w:fldChar w:fldCharType="begin"/>
      </w:r>
      <w:r>
        <w:instrText xml:space="preserve"> REF _Ref_55 \h </w:instrText>
      </w:r>
      <w:r>
        <w:fldChar w:fldCharType="separate"/>
      </w:r>
      <w:r>
        <w:t>55</w:t>
      </w:r>
      <w:r>
        <w:fldChar w:fldCharType="end"/>
      </w:r>
      <w:r>
        <w:t>,</w:t>
      </w:r>
      <w:r>
        <w:fldChar w:fldCharType="begin"/>
      </w:r>
      <w:r>
        <w:instrText xml:space="preserve"> REF _Ref_56 \h </w:instrText>
      </w:r>
      <w:r>
        <w:fldChar w:fldCharType="separate"/>
      </w:r>
      <w:r>
        <w:t>56</w:t>
      </w:r>
      <w:r>
        <w:fldChar w:fldCharType="end"/>
      </w:r>
      <w:r>
        <w:t>]</w:t>
      </w:r>
      <w:r>
        <w:rPr>
          <w:b w:val="0"/>
          <w:i w:val="0"/>
        </w:rPr>
        <w:t xml:space="preserve">; and ICT specialist employment may capture the professional infrastructure on which adoption depends. These variables can together establish a hidden structure of AI readiness that matters for youth engagement. The socio-technical systems view holds that technology and the human factor should be analyzed jointly, as the effects of AI depend on the interaction among digital infrastructure, organizational processes, user skills, and the institutional environment </w:t>
      </w:r>
      <w:r>
        <w:t>[</w:t>
      </w:r>
      <w:r>
        <w:fldChar w:fldCharType="begin"/>
      </w:r>
      <w:r>
        <w:instrText xml:space="preserve"> REF _Ref_27 \h </w:instrText>
      </w:r>
      <w:r>
        <w:fldChar w:fldCharType="separate"/>
      </w:r>
      <w:r>
        <w:t>27</w:t>
      </w:r>
      <w:r>
        <w:fldChar w:fldCharType="end"/>
      </w:r>
      <w:r>
        <w:t>,</w:t>
      </w:r>
      <w:r>
        <w:fldChar w:fldCharType="begin"/>
      </w:r>
      <w:r>
        <w:instrText xml:space="preserve"> REF _Ref_57 \h </w:instrText>
      </w:r>
      <w:r>
        <w:fldChar w:fldCharType="separate"/>
      </w:r>
      <w:r>
        <w:t>57</w:t>
      </w:r>
      <w:r>
        <w:fldChar w:fldCharType="end"/>
      </w:r>
      <w:r>
        <w:t>,</w:t>
      </w:r>
      <w:r>
        <w:fldChar w:fldCharType="begin"/>
      </w:r>
      <w:r>
        <w:instrText xml:space="preserve"> REF _Ref_58 \h </w:instrText>
      </w:r>
      <w:r>
        <w:fldChar w:fldCharType="separate"/>
      </w:r>
      <w:r>
        <w:t>58</w:t>
      </w:r>
      <w:r>
        <w:fldChar w:fldCharType="end"/>
      </w:r>
      <w:r>
        <w:t>]</w:t>
      </w:r>
      <w:r>
        <w:rPr>
          <w:b w:val="0"/>
          <w:i w:val="0"/>
        </w:rPr>
        <w:t>.</w:t>
      </w:r>
    </w:p>
    <w:p>
      <w:pPr>
        <w:pStyle w:val="MDPI31text"/>
      </w:pPr>
      <w:r>
        <w:rPr>
          <w:b w:val="0"/>
          <w:i w:val="0"/>
        </w:rPr>
        <w:t xml:space="preserve">This body of literature is complemented by the Resource-Based View, which contends that technology becomes a strategic resource when it is combined with competent human capital, digital infrastructure, and management competence </w:t>
      </w:r>
      <w:r>
        <w:t>[</w:t>
      </w:r>
      <w:r>
        <w:fldChar w:fldCharType="begin"/>
      </w:r>
      <w:r>
        <w:instrText xml:space="preserve"> REF _Ref_59 \h </w:instrText>
      </w:r>
      <w:r>
        <w:fldChar w:fldCharType="separate"/>
      </w:r>
      <w:r>
        <w:t>59</w:t>
      </w:r>
      <w:r>
        <w:fldChar w:fldCharType="end"/>
      </w:r>
      <w:r>
        <w:t>,</w:t>
      </w:r>
      <w:r>
        <w:fldChar w:fldCharType="begin"/>
      </w:r>
      <w:r>
        <w:instrText xml:space="preserve"> REF _Ref_60 \h </w:instrText>
      </w:r>
      <w:r>
        <w:fldChar w:fldCharType="separate"/>
      </w:r>
      <w:r>
        <w:t>60</w:t>
      </w:r>
      <w:r>
        <w:fldChar w:fldCharType="end"/>
      </w:r>
      <w:r>
        <w:t>]</w:t>
      </w:r>
      <w:r>
        <w:rPr>
          <w:b w:val="0"/>
          <w:i w:val="0"/>
        </w:rPr>
        <w:t xml:space="preserve">. Absorptive capacity research makes the same point for economies: the ability to exploit external knowledge depends on prior related capability </w:t>
      </w:r>
      <w:r>
        <w:t>[</w:t>
      </w:r>
      <w:r>
        <w:fldChar w:fldCharType="begin"/>
      </w:r>
      <w:r>
        <w:instrText xml:space="preserve"> REF _Ref_61 \h </w:instrText>
      </w:r>
      <w:r>
        <w:fldChar w:fldCharType="separate"/>
      </w:r>
      <w:r>
        <w:t>61</w:t>
      </w:r>
      <w:r>
        <w:fldChar w:fldCharType="end"/>
      </w:r>
      <w:r>
        <w:t>]</w:t>
      </w:r>
      <w:r>
        <w:rPr>
          <w:b w:val="0"/>
          <w:i w:val="0"/>
        </w:rPr>
        <w:t xml:space="preserve">. The digital-divide literature adds that access alone does not produce use, and use alone does not produce benefit; inequalities re-appear at the levels of skills and outcomes </w:t>
      </w:r>
      <w:r>
        <w:t>[</w:t>
      </w:r>
      <w:r>
        <w:fldChar w:fldCharType="begin"/>
      </w:r>
      <w:r>
        <w:instrText xml:space="preserve"> REF _Ref_56 \h </w:instrText>
      </w:r>
      <w:r>
        <w:fldChar w:fldCharType="separate"/>
      </w:r>
      <w:r>
        <w:t>56</w:t>
      </w:r>
      <w:r>
        <w:fldChar w:fldCharType="end"/>
      </w:r>
      <w:r>
        <w:t>,</w:t>
      </w:r>
      <w:r>
        <w:fldChar w:fldCharType="begin"/>
      </w:r>
      <w:r>
        <w:instrText xml:space="preserve"> REF _Ref_62 \h </w:instrText>
      </w:r>
      <w:r>
        <w:fldChar w:fldCharType="separate"/>
      </w:r>
      <w:r>
        <w:t>62</w:t>
      </w:r>
      <w:r>
        <w:fldChar w:fldCharType="end"/>
      </w:r>
      <w:r>
        <w:t>]</w:t>
      </w:r>
      <w:r>
        <w:rPr>
          <w:b w:val="0"/>
          <w:i w:val="0"/>
        </w:rPr>
        <w:t xml:space="preserve">. Recent studies of AI adoption similarly link organizational and workforce outcomes to configurations of technology, skills, and governance rather than to the technology alone </w:t>
      </w:r>
      <w:r>
        <w:t>[</w:t>
      </w:r>
      <w:r>
        <w:fldChar w:fldCharType="begin"/>
      </w:r>
      <w:r>
        <w:instrText xml:space="preserve"> REF _Ref_63 \h </w:instrText>
      </w:r>
      <w:r>
        <w:fldChar w:fldCharType="separate"/>
      </w:r>
      <w:r>
        <w:t>63</w:t>
      </w:r>
      <w:r>
        <w:fldChar w:fldCharType="end"/>
      </w:r>
      <w:r>
        <w:t>–</w:t>
      </w:r>
      <w:r>
        <w:fldChar w:fldCharType="begin"/>
      </w:r>
      <w:r>
        <w:instrText xml:space="preserve"> REF _Ref_66 \h </w:instrText>
      </w:r>
      <w:r>
        <w:fldChar w:fldCharType="separate"/>
      </w:r>
      <w:r>
        <w:t>66</w:t>
      </w:r>
      <w:r>
        <w:fldChar w:fldCharType="end"/>
      </w:r>
      <w:r>
        <w:t>]</w:t>
      </w:r>
      <w:r>
        <w:rPr>
          <w:b w:val="0"/>
          <w:i w:val="0"/>
        </w:rPr>
        <w:t xml:space="preserve">. In the context of youth labour markets, a latent readiness factor is more efficient than separate indicators for capturing the process by which technology, skills, and infrastructure jointly shape the entry of young people into employment </w:t>
      </w:r>
      <w:r>
        <w:t>[</w:t>
      </w:r>
      <w:r>
        <w:fldChar w:fldCharType="begin"/>
      </w:r>
      <w:r>
        <w:instrText xml:space="preserve"> REF _Ref_3 \h </w:instrText>
      </w:r>
      <w:r>
        <w:fldChar w:fldCharType="separate"/>
      </w:r>
      <w:r>
        <w:t>3</w:t>
      </w:r>
      <w:r>
        <w:fldChar w:fldCharType="end"/>
      </w:r>
      <w:r>
        <w:t>,</w:t>
      </w:r>
      <w:r>
        <w:fldChar w:fldCharType="begin"/>
      </w:r>
      <w:r>
        <w:instrText xml:space="preserve"> REF _Ref_67 \h </w:instrText>
      </w:r>
      <w:r>
        <w:fldChar w:fldCharType="separate"/>
      </w:r>
      <w:r>
        <w:t>67</w:t>
      </w:r>
      <w:r>
        <w:fldChar w:fldCharType="end"/>
      </w:r>
      <w:r>
        <w:t>–</w:t>
      </w:r>
      <w:r>
        <w:fldChar w:fldCharType="begin"/>
      </w:r>
      <w:r>
        <w:instrText xml:space="preserve"> REF _Ref_69 \h </w:instrText>
      </w:r>
      <w:r>
        <w:fldChar w:fldCharType="separate"/>
      </w:r>
      <w:r>
        <w:t>69</w:t>
      </w:r>
      <w:r>
        <w:fldChar w:fldCharType="end"/>
      </w:r>
      <w:r>
        <w:t>]</w:t>
      </w:r>
      <w:r>
        <w:rPr>
          <w:b w:val="0"/>
          <w:i w:val="0"/>
        </w:rPr>
        <w:t>. This literature justifies the following hypothesis:</w:t>
      </w:r>
    </w:p>
    <w:p>
      <w:pPr>
        <w:pStyle w:val="MDPI32textnoindent"/>
        <w:spacing w:before="100" w:after="100"/>
        <w:ind w:left="2948" w:firstLine="0"/>
      </w:pPr>
      <w:r>
        <w:rPr>
          <w:b/>
        </w:rPr>
        <w:t xml:space="preserve">Hypothesis H2. </w:t>
      </w:r>
      <w:r>
        <w:rPr>
          <w:b w:val="0"/>
          <w:i/>
        </w:rPr>
        <w:t>The latent factor of artificial intelligence readiness is significantly associated with the youth NEET rate and the youth unemployment rate.</w:t>
      </w:r>
    </w:p>
    <w:p>
      <w:pPr>
        <w:pStyle w:val="MDPI22heading2"/>
      </w:pPr>
      <w:r>
        <w:t>2.3. Country Typologies, Socio-Technical Regimes, and the European Differentiation of Youth Labour Markets</w:t>
      </w:r>
    </w:p>
    <w:p>
      <w:pPr>
        <w:pStyle w:val="MDPI32textnoindent"/>
      </w:pPr>
      <w:r>
        <w:rPr>
          <w:b w:val="0"/>
          <w:i w:val="0"/>
        </w:rPr>
        <w:t xml:space="preserve">When taking a comparative approach to assess the relationship between AI readiness and youth labour markets, one cannot overlook differences across countries. The global logic of technological expansion is filtered through national contexts, economic arrangements, levels of digital skills, legislation, institutional infrastructure, and patterns of school-to-work transition </w:t>
      </w:r>
      <w:r>
        <w:t>[</w:t>
      </w:r>
      <w:r>
        <w:fldChar w:fldCharType="begin"/>
      </w:r>
      <w:r>
        <w:instrText xml:space="preserve"> REF _Ref_23 \h </w:instrText>
      </w:r>
      <w:r>
        <w:fldChar w:fldCharType="separate"/>
      </w:r>
      <w:r>
        <w:t>23</w:t>
      </w:r>
      <w:r>
        <w:fldChar w:fldCharType="end"/>
      </w:r>
      <w:r>
        <w:t>,</w:t>
      </w:r>
      <w:r>
        <w:fldChar w:fldCharType="begin"/>
      </w:r>
      <w:r>
        <w:instrText xml:space="preserve"> REF _Ref_24 \h </w:instrText>
      </w:r>
      <w:r>
        <w:fldChar w:fldCharType="separate"/>
      </w:r>
      <w:r>
        <w:t>24</w:t>
      </w:r>
      <w:r>
        <w:fldChar w:fldCharType="end"/>
      </w:r>
      <w:r>
        <w:t>]</w:t>
      </w:r>
      <w:r>
        <w:rPr>
          <w:b w:val="0"/>
          <w:i w:val="0"/>
        </w:rPr>
        <w:t xml:space="preserve">. Institutional Theory states that legislation, societal norms, and recognised standards influence the speed and nature of technological take-up </w:t>
      </w:r>
      <w:r>
        <w:t>[</w:t>
      </w:r>
      <w:r>
        <w:fldChar w:fldCharType="begin"/>
      </w:r>
      <w:r>
        <w:instrText xml:space="preserve"> REF _Ref_70 \h </w:instrText>
      </w:r>
      <w:r>
        <w:fldChar w:fldCharType="separate"/>
      </w:r>
      <w:r>
        <w:t>70</w:t>
      </w:r>
      <w:r>
        <w:fldChar w:fldCharType="end"/>
      </w:r>
      <w:r>
        <w:t>–</w:t>
      </w:r>
      <w:r>
        <w:fldChar w:fldCharType="begin"/>
      </w:r>
      <w:r>
        <w:instrText xml:space="preserve"> REF _Ref_72 \h </w:instrText>
      </w:r>
      <w:r>
        <w:fldChar w:fldCharType="separate"/>
      </w:r>
      <w:r>
        <w:t>72</w:t>
      </w:r>
      <w:r>
        <w:fldChar w:fldCharType="end"/>
      </w:r>
      <w:r>
        <w:t>]</w:t>
      </w:r>
      <w:r>
        <w:rPr>
          <w:b w:val="0"/>
          <w:i w:val="0"/>
        </w:rPr>
        <w:t xml:space="preserve">. Organizations and societies do not accept a technology in a vacuum but within institutional frameworks that justify or limit certain actions. In the European Union, this institutional layer is explicit: the Digital Decade programme sets 2030 targets for digital skills and enterprise technology take-up </w:t>
      </w:r>
      <w:r>
        <w:t>[</w:t>
      </w:r>
      <w:r>
        <w:fldChar w:fldCharType="begin"/>
      </w:r>
      <w:r>
        <w:instrText xml:space="preserve"> REF _Ref_73 \h </w:instrText>
      </w:r>
      <w:r>
        <w:fldChar w:fldCharType="separate"/>
      </w:r>
      <w:r>
        <w:t>73</w:t>
      </w:r>
      <w:r>
        <w:fldChar w:fldCharType="end"/>
      </w:r>
      <w:r>
        <w:t>]</w:t>
      </w:r>
      <w:r>
        <w:rPr>
          <w:b w:val="0"/>
          <w:i w:val="0"/>
        </w:rPr>
        <w:t xml:space="preserve">, the AI Act creates a common regulatory regime </w:t>
      </w:r>
      <w:r>
        <w:t>[</w:t>
      </w:r>
      <w:r>
        <w:fldChar w:fldCharType="begin"/>
      </w:r>
      <w:r>
        <w:instrText xml:space="preserve"> REF _Ref_74 \h </w:instrText>
      </w:r>
      <w:r>
        <w:fldChar w:fldCharType="separate"/>
      </w:r>
      <w:r>
        <w:t>74</w:t>
      </w:r>
      <w:r>
        <w:fldChar w:fldCharType="end"/>
      </w:r>
      <w:r>
        <w:t>]</w:t>
      </w:r>
      <w:r>
        <w:rPr>
          <w:b w:val="0"/>
          <w:i w:val="0"/>
        </w:rPr>
        <w:t xml:space="preserve">, and the reinforced Youth Guarantee commits member states to an offer of employment, education, or training for every young person </w:t>
      </w:r>
      <w:r>
        <w:t>[</w:t>
      </w:r>
      <w:r>
        <w:fldChar w:fldCharType="begin"/>
      </w:r>
      <w:r>
        <w:instrText xml:space="preserve"> REF _Ref_75 \h </w:instrText>
      </w:r>
      <w:r>
        <w:fldChar w:fldCharType="separate"/>
      </w:r>
      <w:r>
        <w:t>75</w:t>
      </w:r>
      <w:r>
        <w:fldChar w:fldCharType="end"/>
      </w:r>
      <w:r>
        <w:t>]</w:t>
      </w:r>
      <w:r>
        <w:rPr>
          <w:b w:val="0"/>
          <w:i w:val="0"/>
        </w:rPr>
        <w:t>.</w:t>
      </w:r>
    </w:p>
    <w:p>
      <w:pPr>
        <w:pStyle w:val="MDPI31text"/>
      </w:pPr>
      <w:r>
        <w:rPr>
          <w:b w:val="0"/>
          <w:i w:val="0"/>
        </w:rPr>
        <w:t xml:space="preserve">Studies of automation indicate that the effects of technology vary greatly across fields and economic systems. The impact of AI on employment is heterogeneous across sectors, skill levels, geographies, and levels of institutional flexibility </w:t>
      </w:r>
      <w:r>
        <w:t>[</w:t>
      </w:r>
      <w:r>
        <w:fldChar w:fldCharType="begin"/>
      </w:r>
      <w:r>
        <w:instrText xml:space="preserve"> REF _Ref_8 \h </w:instrText>
      </w:r>
      <w:r>
        <w:fldChar w:fldCharType="separate"/>
      </w:r>
      <w:r>
        <w:t>8</w:t>
      </w:r>
      <w:r>
        <w:fldChar w:fldCharType="end"/>
      </w:r>
      <w:r>
        <w:t>,</w:t>
      </w:r>
      <w:r>
        <w:fldChar w:fldCharType="begin"/>
      </w:r>
      <w:r>
        <w:instrText xml:space="preserve"> REF _Ref_23 \h </w:instrText>
      </w:r>
      <w:r>
        <w:fldChar w:fldCharType="separate"/>
      </w:r>
      <w:r>
        <w:t>23</w:t>
      </w:r>
      <w:r>
        <w:fldChar w:fldCharType="end"/>
      </w:r>
      <w:r>
        <w:t>,</w:t>
      </w:r>
      <w:r>
        <w:fldChar w:fldCharType="begin"/>
      </w:r>
      <w:r>
        <w:instrText xml:space="preserve"> REF _Ref_33 \h </w:instrText>
      </w:r>
      <w:r>
        <w:fldChar w:fldCharType="separate"/>
      </w:r>
      <w:r>
        <w:t>33</w:t>
      </w:r>
      <w:r>
        <w:fldChar w:fldCharType="end"/>
      </w:r>
      <w:r>
        <w:t>]</w:t>
      </w:r>
      <w:r>
        <w:rPr>
          <w:b w:val="0"/>
          <w:i w:val="0"/>
        </w:rPr>
        <w:t xml:space="preserve">. Sometimes technology replaces work; sometimes it creates new jobs and boosts employment through productivity and innovation </w:t>
      </w:r>
      <w:r>
        <w:t>[</w:t>
      </w:r>
      <w:r>
        <w:fldChar w:fldCharType="begin"/>
      </w:r>
      <w:r>
        <w:instrText xml:space="preserve"> REF _Ref_10 \h </w:instrText>
      </w:r>
      <w:r>
        <w:fldChar w:fldCharType="separate"/>
      </w:r>
      <w:r>
        <w:t>10</w:t>
      </w:r>
      <w:r>
        <w:fldChar w:fldCharType="end"/>
      </w:r>
      <w:r>
        <w:t>,</w:t>
      </w:r>
      <w:r>
        <w:fldChar w:fldCharType="begin"/>
      </w:r>
      <w:r>
        <w:instrText xml:space="preserve"> REF _Ref_34 \h </w:instrText>
      </w:r>
      <w:r>
        <w:fldChar w:fldCharType="separate"/>
      </w:r>
      <w:r>
        <w:t>34</w:t>
      </w:r>
      <w:r>
        <w:fldChar w:fldCharType="end"/>
      </w:r>
      <w:r>
        <w:t>]</w:t>
      </w:r>
      <w:r>
        <w:rPr>
          <w:b w:val="0"/>
          <w:i w:val="0"/>
        </w:rPr>
        <w:t xml:space="preserve">. The results suggest that scholars should not treat countries as monolithic entities but as socio-technical systems with their own specificities, in which the co-evolution of technology, human capital, and institutions produces persistent, emerging patterns </w:t>
      </w:r>
      <w:r>
        <w:t>[</w:t>
      </w:r>
      <w:r>
        <w:fldChar w:fldCharType="begin"/>
      </w:r>
      <w:r>
        <w:instrText xml:space="preserve"> REF _Ref_57 \h </w:instrText>
      </w:r>
      <w:r>
        <w:fldChar w:fldCharType="separate"/>
      </w:r>
      <w:r>
        <w:t>57</w:t>
      </w:r>
      <w:r>
        <w:fldChar w:fldCharType="end"/>
      </w:r>
      <w:r>
        <w:t>,</w:t>
      </w:r>
      <w:r>
        <w:fldChar w:fldCharType="begin"/>
      </w:r>
      <w:r>
        <w:instrText xml:space="preserve"> REF _Ref_58 \h </w:instrText>
      </w:r>
      <w:r>
        <w:fldChar w:fldCharType="separate"/>
      </w:r>
      <w:r>
        <w:t>58</w:t>
      </w:r>
      <w:r>
        <w:fldChar w:fldCharType="end"/>
      </w:r>
      <w:r>
        <w:t>]</w:t>
      </w:r>
      <w:r>
        <w:rPr>
          <w:b w:val="0"/>
          <w:i w:val="0"/>
        </w:rPr>
        <w:t xml:space="preserve">. At the country level, AI readiness and youth outcomes can combine in various configurations, creating distinct clusters. Thus, the comparative European study has theoretical and empirical value, because it allows us to see systemic configurations of AI readiness and youth engagement, rather than linear interactions between elements </w:t>
      </w:r>
      <w:r>
        <w:t>[</w:t>
      </w:r>
      <w:r>
        <w:fldChar w:fldCharType="begin"/>
      </w:r>
      <w:r>
        <w:instrText xml:space="preserve"> REF _Ref_25 \h </w:instrText>
      </w:r>
      <w:r>
        <w:fldChar w:fldCharType="separate"/>
      </w:r>
      <w:r>
        <w:t>25</w:t>
      </w:r>
      <w:r>
        <w:fldChar w:fldCharType="end"/>
      </w:r>
      <w:r>
        <w:t>]</w:t>
      </w:r>
      <w:r>
        <w:rPr>
          <w:b w:val="0"/>
          <w:i w:val="0"/>
        </w:rPr>
        <w:t>. This literature justifies the following hypothesis:</w:t>
      </w:r>
    </w:p>
    <w:p>
      <w:pPr>
        <w:pStyle w:val="MDPI32textnoindent"/>
        <w:spacing w:before="100" w:after="100"/>
        <w:ind w:left="2948" w:firstLine="0"/>
      </w:pPr>
      <w:r>
        <w:rPr>
          <w:b/>
        </w:rPr>
        <w:t xml:space="preserve">Hypothesis H3. </w:t>
      </w:r>
      <w:r>
        <w:rPr>
          <w:b w:val="0"/>
          <w:i/>
        </w:rPr>
        <w:t>European countries form distinct socio-technical clusters according to artificial intelligence readiness, the youth NEET rate, and the youth unemployment rate.</w:t>
      </w:r>
    </w:p>
    <w:p>
      <w:pPr>
        <w:pStyle w:val="MDPI21heading1"/>
      </w:pPr>
      <w:r>
        <w:t>3. Materials and Methods</w:t>
      </w:r>
    </w:p>
    <w:p>
      <w:pPr>
        <w:pStyle w:val="MDPI22heading2"/>
      </w:pPr>
      <w:r>
        <w:t>3.1. Research Design</w:t>
      </w:r>
    </w:p>
    <w:p>
      <w:pPr>
        <w:pStyle w:val="MDPI32textnoindent"/>
      </w:pPr>
      <w:r>
        <w:rPr>
          <w:b w:val="0"/>
          <w:i w:val="0"/>
        </w:rPr>
        <w:t>The paper uses a quantitative, cross-sectional, and comparative research design to investigate the systemic linkages between artificial intelligence readiness and macro-level youth labour-market indicators in a European context. Given the cross-sectional nature of the data, the analysis identifies statistical associations between AI readiness and youth labour-market indicators, but it does not establish causal relationships or temporal sequences. The perspective of complex socio-technical systems informs this approach, in which the diffusion of AI is not seen as a separate event but as an integral part of the interaction among human agency, institutional frameworks, and economic performance.</w:t>
      </w:r>
    </w:p>
    <w:p>
      <w:pPr>
        <w:pStyle w:val="MDPI31text"/>
      </w:pPr>
      <w:r>
        <w:rPr>
          <w:b w:val="0"/>
          <w:i w:val="0"/>
        </w:rPr>
        <w:t>The design examines cross-sectional associations between specific dimensions of AI readiness and youth labour-market indicators, as well as broader relational patterns emerging from their interaction. The research combines multivariate modelling, dimensionality reduction, and segmentation approaches to describe the relational structure of the phenomenon under study. The sample consists of the 27 European Union countries, corresponding to the availability of harmonised country-level data for the variables included in the analysis. This sample size is at the lower end of the range for multivariate modelling and exploratory factor analysis, and the results should therefore be interpreted with caution. The objective of the empirical strategy is not to provide definitive causal estimates, but to identify exploratory cross-sectional associations and broad socio-technical patterns across EU countries. The limited number of observations also justifies parsimonious specifications and a cautious interpretation of the factor-analytic results.</w:t>
      </w:r>
    </w:p>
    <w:p>
      <w:pPr>
        <w:pStyle w:val="MDPI22heading2"/>
      </w:pPr>
      <w:r>
        <w:t>3.2. Selected Data</w:t>
      </w:r>
    </w:p>
    <w:p>
      <w:pPr>
        <w:pStyle w:val="MDPI32textnoindent"/>
      </w:pPr>
      <w:r>
        <w:rPr>
          <w:b w:val="0"/>
          <w:i w:val="0"/>
        </w:rPr>
        <w:t xml:space="preserve">The study uses Eurostat, which provides harmonised European-level data that allow for consistent comparisons between the countries in the sample. Four indicators measure artificial intelligence readiness. AIENT is the share of enterprises with ten or more employees using at least one AI technology, from the 2024 survey on ICT usage in enterprises </w:t>
      </w:r>
      <w:r>
        <w:t>[</w:t>
      </w:r>
      <w:r>
        <w:fldChar w:fldCharType="begin"/>
      </w:r>
      <w:r>
        <w:instrText xml:space="preserve"> REF _Ref_76 \h </w:instrText>
      </w:r>
      <w:r>
        <w:fldChar w:fldCharType="separate"/>
      </w:r>
      <w:r>
        <w:t>76</w:t>
      </w:r>
      <w:r>
        <w:fldChar w:fldCharType="end"/>
      </w:r>
      <w:r>
        <w:t>]</w:t>
      </w:r>
      <w:r>
        <w:rPr>
          <w:b w:val="0"/>
          <w:i w:val="0"/>
        </w:rPr>
        <w:t xml:space="preserve">. GAIY is the share of young individuals aged 16–29 who used generative AI tools in the three months preceding the 2025 EU Survey on the Use of Information and Communication Technologies in Households and by Individuals </w:t>
      </w:r>
      <w:r>
        <w:t>[</w:t>
      </w:r>
      <w:r>
        <w:fldChar w:fldCharType="begin"/>
      </w:r>
      <w:r>
        <w:instrText xml:space="preserve"> REF _Ref_77 \h </w:instrText>
      </w:r>
      <w:r>
        <w:fldChar w:fldCharType="separate"/>
      </w:r>
      <w:r>
        <w:t>77</w:t>
      </w:r>
      <w:r>
        <w:fldChar w:fldCharType="end"/>
      </w:r>
      <w:r>
        <w:t>]</w:t>
      </w:r>
      <w:r>
        <w:rPr>
          <w:b w:val="0"/>
          <w:i w:val="0"/>
        </w:rPr>
        <w:t xml:space="preserve">. DSKY is the share of young people aged 16–24 with basic or above-basic overall digital skills in 2023 </w:t>
      </w:r>
      <w:r>
        <w:t>[</w:t>
      </w:r>
      <w:r>
        <w:fldChar w:fldCharType="begin"/>
      </w:r>
      <w:r>
        <w:instrText xml:space="preserve"> REF _Ref_78 \h </w:instrText>
      </w:r>
      <w:r>
        <w:fldChar w:fldCharType="separate"/>
      </w:r>
      <w:r>
        <w:t>78</w:t>
      </w:r>
      <w:r>
        <w:fldChar w:fldCharType="end"/>
      </w:r>
      <w:r>
        <w:t>]</w:t>
      </w:r>
      <w:r>
        <w:rPr>
          <w:b w:val="0"/>
          <w:i w:val="0"/>
        </w:rPr>
        <w:t xml:space="preserve">. ICTS is the share of employed ICT specialists in total employment in 2024 </w:t>
      </w:r>
      <w:r>
        <w:t>[</w:t>
      </w:r>
      <w:r>
        <w:fldChar w:fldCharType="begin"/>
      </w:r>
      <w:r>
        <w:instrText xml:space="preserve"> REF _Ref_79 \h </w:instrText>
      </w:r>
      <w:r>
        <w:fldChar w:fldCharType="separate"/>
      </w:r>
      <w:r>
        <w:t>79</w:t>
      </w:r>
      <w:r>
        <w:fldChar w:fldCharType="end"/>
      </w:r>
      <w:r>
        <w:t>]</w:t>
      </w:r>
      <w:r>
        <w:rPr>
          <w:b w:val="0"/>
          <w:i w:val="0"/>
        </w:rPr>
        <w:t>. Together, the four indicators capture the enterprise, user, capability, and professional-infrastructure dimensions of readiness.</w:t>
      </w:r>
    </w:p>
    <w:p>
      <w:pPr>
        <w:pStyle w:val="MDPI31text"/>
      </w:pPr>
      <w:r>
        <w:rPr>
          <w:b w:val="0"/>
          <w:i w:val="0"/>
        </w:rPr>
        <w:t xml:space="preserve">The youth labour market is measured by two dependent variables. NEET is the share of young people aged 15–29 neither in employment nor in education and training in 2024 </w:t>
      </w:r>
      <w:r>
        <w:t>[</w:t>
      </w:r>
      <w:r>
        <w:fldChar w:fldCharType="begin"/>
      </w:r>
      <w:r>
        <w:instrText xml:space="preserve"> REF _Ref_80 \h </w:instrText>
      </w:r>
      <w:r>
        <w:fldChar w:fldCharType="separate"/>
      </w:r>
      <w:r>
        <w:t>80</w:t>
      </w:r>
      <w:r>
        <w:fldChar w:fldCharType="end"/>
      </w:r>
      <w:r>
        <w:t>]</w:t>
      </w:r>
      <w:r>
        <w:rPr>
          <w:b w:val="0"/>
          <w:i w:val="0"/>
        </w:rPr>
        <w:t xml:space="preserve">. YUR is the youth unemployment rate of the labour force aged 15–24 in 2024 </w:t>
      </w:r>
      <w:r>
        <w:t>[</w:t>
      </w:r>
      <w:r>
        <w:fldChar w:fldCharType="begin"/>
      </w:r>
      <w:r>
        <w:instrText xml:space="preserve"> REF _Ref_81 \h </w:instrText>
      </w:r>
      <w:r>
        <w:fldChar w:fldCharType="separate"/>
      </w:r>
      <w:r>
        <w:t>81</w:t>
      </w:r>
      <w:r>
        <w:fldChar w:fldCharType="end"/>
      </w:r>
      <w:r>
        <w:t>]</w:t>
      </w:r>
      <w:r>
        <w:rPr>
          <w:b w:val="0"/>
          <w:i w:val="0"/>
        </w:rPr>
        <w:t xml:space="preserve">. Both are the headline indicators through which European youth policy is monitored. Four structural contextual variables complete the dataset for the supplementary analysis: tertiary educational attainment of the population aged 25–34 </w:t>
      </w:r>
      <w:r>
        <w:t>[</w:t>
      </w:r>
      <w:r>
        <w:fldChar w:fldCharType="begin"/>
      </w:r>
      <w:r>
        <w:instrText xml:space="preserve"> REF _Ref_82 \h </w:instrText>
      </w:r>
      <w:r>
        <w:fldChar w:fldCharType="separate"/>
      </w:r>
      <w:r>
        <w:t>82</w:t>
      </w:r>
      <w:r>
        <w:fldChar w:fldCharType="end"/>
      </w:r>
      <w:r>
        <w:t>]</w:t>
      </w:r>
      <w:r>
        <w:rPr>
          <w:b w:val="0"/>
          <w:i w:val="0"/>
        </w:rPr>
        <w:t xml:space="preserve">, GDP per capita in purchasing power standards </w:t>
      </w:r>
      <w:r>
        <w:t>[</w:t>
      </w:r>
      <w:r>
        <w:fldChar w:fldCharType="begin"/>
      </w:r>
      <w:r>
        <w:instrText xml:space="preserve"> REF _Ref_83 \h </w:instrText>
      </w:r>
      <w:r>
        <w:fldChar w:fldCharType="separate"/>
      </w:r>
      <w:r>
        <w:t>83</w:t>
      </w:r>
      <w:r>
        <w:fldChar w:fldCharType="end"/>
      </w:r>
      <w:r>
        <w:t>]</w:t>
      </w:r>
      <w:r>
        <w:rPr>
          <w:b w:val="0"/>
          <w:i w:val="0"/>
        </w:rPr>
        <w:t xml:space="preserve">, gross domestic expenditure on research and development as a share of GDP </w:t>
      </w:r>
      <w:r>
        <w:t>[</w:t>
      </w:r>
      <w:r>
        <w:fldChar w:fldCharType="begin"/>
      </w:r>
      <w:r>
        <w:instrText xml:space="preserve"> REF _Ref_84 \h </w:instrText>
      </w:r>
      <w:r>
        <w:fldChar w:fldCharType="separate"/>
      </w:r>
      <w:r>
        <w:t>84</w:t>
      </w:r>
      <w:r>
        <w:fldChar w:fldCharType="end"/>
      </w:r>
      <w:r>
        <w:t>]</w:t>
      </w:r>
      <w:r>
        <w:rPr>
          <w:b w:val="0"/>
          <w:i w:val="0"/>
        </w:rPr>
        <w:t xml:space="preserve">, and the share of early leavers from education and training </w:t>
      </w:r>
      <w:r>
        <w:t>[</w:t>
      </w:r>
      <w:r>
        <w:fldChar w:fldCharType="begin"/>
      </w:r>
      <w:r>
        <w:instrText xml:space="preserve"> REF _Ref_85 \h </w:instrText>
      </w:r>
      <w:r>
        <w:fldChar w:fldCharType="separate"/>
      </w:r>
      <w:r>
        <w:t>85</w:t>
      </w:r>
      <w:r>
        <w:fldChar w:fldCharType="end"/>
      </w:r>
      <w:r>
        <w:t>]</w:t>
      </w:r>
      <w:r>
        <w:rPr>
          <w:b w:val="0"/>
          <w:i w:val="0"/>
        </w:rPr>
        <w:t>. Table 1 lists the variables and their roles in the analysis.</w:t>
      </w:r>
    </w:p>
    <w:p>
      <w:pPr>
        <w:pStyle w:val="MDPI41tablecaption"/>
        <w:keepNext/>
        <w:spacing w:after="60"/>
      </w:pPr>
      <w:r>
        <w:rPr>
          <w:b/>
          <w:sz w:val="18"/>
        </w:rPr>
        <w:t xml:space="preserve">Table 1. </w:t>
      </w:r>
      <w:r>
        <w:rPr>
          <w:b w:val="0"/>
          <w:i w:val="0"/>
          <w:sz w:val="18"/>
        </w:rPr>
        <w:t>Variables and measures.</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1100"/>
        <w:gridCol w:w="2514"/>
        <w:gridCol w:w="2514"/>
        <w:gridCol w:w="1728"/>
      </w:tblGrid>
      <w:tr>
        <w:trPr>
          <w:cantSplit/>
          <w:tblHeader/>
        </w:trPr>
        <w:tc>
          <w:tcPr>
            <w:tcW w:type="dxa" w:w="1100"/>
            <w:tcBorders>
              <w:bottom w:val="single" w:sz="8" w:space="0" w:color="auto"/>
            </w:tcBorders>
          </w:tcPr>
          <w:p>
            <w:pPr>
              <w:pStyle w:val="MDPI42tablebody"/>
              <w:keepNext/>
              <w:spacing w:line="240" w:lineRule="auto" w:before="30" w:after="30"/>
              <w:jc w:val="center"/>
            </w:pPr>
            <w:r>
              <w:rPr>
                <w:b/>
                <w:i w:val="0"/>
                <w:sz w:val="18"/>
              </w:rPr>
              <w:t>Variable</w:t>
            </w:r>
          </w:p>
        </w:tc>
        <w:tc>
          <w:tcPr>
            <w:tcW w:type="dxa" w:w="2514"/>
            <w:tcBorders>
              <w:bottom w:val="single" w:sz="8" w:space="0" w:color="auto"/>
            </w:tcBorders>
          </w:tcPr>
          <w:p>
            <w:pPr>
              <w:pStyle w:val="MDPI42tablebody"/>
              <w:keepNext/>
              <w:spacing w:line="240" w:lineRule="auto" w:before="30" w:after="30"/>
              <w:jc w:val="center"/>
            </w:pPr>
            <w:r>
              <w:rPr>
                <w:b/>
                <w:i w:val="0"/>
                <w:sz w:val="18"/>
              </w:rPr>
              <w:t>Dataset</w:t>
            </w:r>
          </w:p>
        </w:tc>
        <w:tc>
          <w:tcPr>
            <w:tcW w:type="dxa" w:w="2514"/>
            <w:tcBorders>
              <w:bottom w:val="single" w:sz="8" w:space="0" w:color="auto"/>
            </w:tcBorders>
          </w:tcPr>
          <w:p>
            <w:pPr>
              <w:pStyle w:val="MDPI42tablebody"/>
              <w:keepNext/>
              <w:spacing w:line="240" w:lineRule="auto" w:before="30" w:after="30"/>
              <w:jc w:val="center"/>
            </w:pPr>
            <w:r>
              <w:rPr>
                <w:b/>
                <w:i w:val="0"/>
                <w:sz w:val="18"/>
              </w:rPr>
              <w:t>Measure</w:t>
            </w:r>
          </w:p>
        </w:tc>
        <w:tc>
          <w:tcPr>
            <w:tcW w:type="dxa" w:w="1728"/>
            <w:tcBorders>
              <w:bottom w:val="single" w:sz="8" w:space="0" w:color="auto"/>
            </w:tcBorders>
          </w:tcPr>
          <w:p>
            <w:pPr>
              <w:pStyle w:val="MDPI42tablebody"/>
              <w:keepNext/>
              <w:spacing w:line="240" w:lineRule="auto" w:before="30" w:after="30"/>
              <w:jc w:val="center"/>
            </w:pPr>
            <w:r>
              <w:rPr>
                <w:b/>
                <w:i w:val="0"/>
                <w:sz w:val="18"/>
              </w:rPr>
              <w:t>Eurostat Code</w:t>
            </w:r>
          </w:p>
        </w:tc>
      </w:tr>
      <w:tr>
        <w:trPr>
          <w:cantSplit/>
        </w:trPr>
        <w:tc>
          <w:tcPr>
            <w:tcW w:type="dxa" w:w="1100"/>
          </w:tcPr>
          <w:p>
            <w:pPr>
              <w:pStyle w:val="MDPI42tablebody"/>
              <w:keepNext/>
              <w:spacing w:line="240" w:lineRule="auto" w:before="30" w:after="30"/>
              <w:jc w:val="left"/>
            </w:pPr>
            <w:r>
              <w:rPr>
                <w:b w:val="0"/>
                <w:i w:val="0"/>
                <w:sz w:val="18"/>
              </w:rPr>
              <w:t>AIENT</w:t>
            </w:r>
          </w:p>
        </w:tc>
        <w:tc>
          <w:tcPr>
            <w:tcW w:type="dxa" w:w="2514"/>
          </w:tcPr>
          <w:p>
            <w:pPr>
              <w:pStyle w:val="MDPI42tablebody"/>
              <w:keepNext/>
              <w:spacing w:line="240" w:lineRule="auto" w:before="30" w:after="30"/>
              <w:jc w:val="left"/>
            </w:pPr>
            <w:r>
              <w:rPr>
                <w:b w:val="0"/>
                <w:i w:val="0"/>
                <w:sz w:val="18"/>
              </w:rPr>
              <w:t>Enterprises using at least one artificial intelligence technology</w:t>
            </w:r>
          </w:p>
        </w:tc>
        <w:tc>
          <w:tcPr>
            <w:tcW w:type="dxa" w:w="2514"/>
          </w:tcPr>
          <w:p>
            <w:pPr>
              <w:pStyle w:val="MDPI42tablebody"/>
              <w:keepNext/>
              <w:spacing w:line="240" w:lineRule="auto" w:before="30" w:after="30"/>
              <w:jc w:val="left"/>
            </w:pPr>
            <w:r>
              <w:rPr>
                <w:b w:val="0"/>
                <w:i w:val="0"/>
                <w:sz w:val="18"/>
              </w:rPr>
              <w:t>Percentage of enterprises with 10 or more employees, 2024</w:t>
            </w:r>
          </w:p>
        </w:tc>
        <w:tc>
          <w:tcPr>
            <w:tcW w:type="dxa" w:w="1728"/>
          </w:tcPr>
          <w:p>
            <w:pPr>
              <w:pStyle w:val="MDPI42tablebody"/>
              <w:keepNext/>
              <w:spacing w:line="240" w:lineRule="auto" w:before="30" w:after="30"/>
              <w:jc w:val="center"/>
            </w:pPr>
            <w:r>
              <w:rPr>
                <w:b w:val="0"/>
                <w:i w:val="0"/>
                <w:sz w:val="18"/>
              </w:rPr>
              <w:t>isoc_eb_ai</w:t>
            </w:r>
          </w:p>
        </w:tc>
      </w:tr>
      <w:tr>
        <w:trPr>
          <w:cantSplit/>
        </w:trPr>
        <w:tc>
          <w:tcPr>
            <w:tcW w:type="dxa" w:w="1100"/>
          </w:tcPr>
          <w:p>
            <w:pPr>
              <w:pStyle w:val="MDPI42tablebody"/>
              <w:keepNext/>
              <w:spacing w:line="240" w:lineRule="auto" w:before="30" w:after="30"/>
              <w:jc w:val="left"/>
            </w:pPr>
            <w:r>
              <w:rPr>
                <w:b w:val="0"/>
                <w:i w:val="0"/>
                <w:sz w:val="18"/>
              </w:rPr>
              <w:t>GAIY</w:t>
            </w:r>
          </w:p>
        </w:tc>
        <w:tc>
          <w:tcPr>
            <w:tcW w:type="dxa" w:w="2514"/>
          </w:tcPr>
          <w:p>
            <w:pPr>
              <w:pStyle w:val="MDPI42tablebody"/>
              <w:keepNext/>
              <w:spacing w:line="240" w:lineRule="auto" w:before="30" w:after="30"/>
              <w:jc w:val="left"/>
            </w:pPr>
            <w:r>
              <w:rPr>
                <w:b w:val="0"/>
                <w:i w:val="0"/>
                <w:sz w:val="18"/>
              </w:rPr>
              <w:t>Use of generative AI tools in the last three months, young individuals</w:t>
            </w:r>
          </w:p>
        </w:tc>
        <w:tc>
          <w:tcPr>
            <w:tcW w:type="dxa" w:w="2514"/>
          </w:tcPr>
          <w:p>
            <w:pPr>
              <w:pStyle w:val="MDPI42tablebody"/>
              <w:keepNext/>
              <w:spacing w:line="240" w:lineRule="auto" w:before="30" w:after="30"/>
              <w:jc w:val="left"/>
            </w:pPr>
            <w:r>
              <w:rPr>
                <w:b w:val="0"/>
                <w:i w:val="0"/>
                <w:sz w:val="18"/>
              </w:rPr>
              <w:t>Percentage of individuals aged 16–29, 2025</w:t>
            </w:r>
          </w:p>
        </w:tc>
        <w:tc>
          <w:tcPr>
            <w:tcW w:type="dxa" w:w="1728"/>
          </w:tcPr>
          <w:p>
            <w:pPr>
              <w:pStyle w:val="MDPI42tablebody"/>
              <w:keepNext/>
              <w:spacing w:line="240" w:lineRule="auto" w:before="30" w:after="30"/>
              <w:jc w:val="center"/>
            </w:pPr>
            <w:r>
              <w:rPr>
                <w:b w:val="0"/>
                <w:i w:val="0"/>
                <w:sz w:val="18"/>
              </w:rPr>
              <w:t>isoc_ci_ax_i</w:t>
            </w:r>
          </w:p>
        </w:tc>
      </w:tr>
      <w:tr>
        <w:trPr>
          <w:cantSplit/>
        </w:trPr>
        <w:tc>
          <w:tcPr>
            <w:tcW w:type="dxa" w:w="1100"/>
          </w:tcPr>
          <w:p>
            <w:pPr>
              <w:pStyle w:val="MDPI42tablebody"/>
              <w:keepNext/>
              <w:spacing w:line="240" w:lineRule="auto" w:before="30" w:after="30"/>
              <w:jc w:val="left"/>
            </w:pPr>
            <w:r>
              <w:rPr>
                <w:b w:val="0"/>
                <w:i w:val="0"/>
                <w:sz w:val="18"/>
              </w:rPr>
              <w:t>DSKY</w:t>
            </w:r>
          </w:p>
        </w:tc>
        <w:tc>
          <w:tcPr>
            <w:tcW w:type="dxa" w:w="2514"/>
          </w:tcPr>
          <w:p>
            <w:pPr>
              <w:pStyle w:val="MDPI42tablebody"/>
              <w:keepNext/>
              <w:spacing w:line="240" w:lineRule="auto" w:before="30" w:after="30"/>
              <w:jc w:val="left"/>
            </w:pPr>
            <w:r>
              <w:rPr>
                <w:b w:val="0"/>
                <w:i w:val="0"/>
                <w:sz w:val="18"/>
              </w:rPr>
              <w:t>Young people with basic or above-basic overall digital skills</w:t>
            </w:r>
          </w:p>
        </w:tc>
        <w:tc>
          <w:tcPr>
            <w:tcW w:type="dxa" w:w="2514"/>
          </w:tcPr>
          <w:p>
            <w:pPr>
              <w:pStyle w:val="MDPI42tablebody"/>
              <w:keepNext/>
              <w:spacing w:line="240" w:lineRule="auto" w:before="30" w:after="30"/>
              <w:jc w:val="left"/>
            </w:pPr>
            <w:r>
              <w:rPr>
                <w:b w:val="0"/>
                <w:i w:val="0"/>
                <w:sz w:val="18"/>
              </w:rPr>
              <w:t>Percentage of individuals aged 16–24, 2023</w:t>
            </w:r>
          </w:p>
        </w:tc>
        <w:tc>
          <w:tcPr>
            <w:tcW w:type="dxa" w:w="1728"/>
          </w:tcPr>
          <w:p>
            <w:pPr>
              <w:pStyle w:val="MDPI42tablebody"/>
              <w:keepNext/>
              <w:spacing w:line="240" w:lineRule="auto" w:before="30" w:after="30"/>
              <w:jc w:val="center"/>
            </w:pPr>
            <w:r>
              <w:rPr>
                <w:b w:val="0"/>
                <w:i w:val="0"/>
                <w:sz w:val="18"/>
              </w:rPr>
              <w:t>isoc_sk_dskl_i21</w:t>
            </w:r>
          </w:p>
        </w:tc>
      </w:tr>
      <w:tr>
        <w:trPr>
          <w:cantSplit/>
        </w:trPr>
        <w:tc>
          <w:tcPr>
            <w:tcW w:type="dxa" w:w="1100"/>
          </w:tcPr>
          <w:p>
            <w:pPr>
              <w:pStyle w:val="MDPI42tablebody"/>
              <w:keepNext/>
              <w:spacing w:line="240" w:lineRule="auto" w:before="30" w:after="30"/>
              <w:jc w:val="left"/>
            </w:pPr>
            <w:r>
              <w:rPr>
                <w:b w:val="0"/>
                <w:i w:val="0"/>
                <w:sz w:val="18"/>
              </w:rPr>
              <w:t>ICTS</w:t>
            </w:r>
          </w:p>
        </w:tc>
        <w:tc>
          <w:tcPr>
            <w:tcW w:type="dxa" w:w="2514"/>
          </w:tcPr>
          <w:p>
            <w:pPr>
              <w:pStyle w:val="MDPI42tablebody"/>
              <w:keepNext/>
              <w:spacing w:line="240" w:lineRule="auto" w:before="30" w:after="30"/>
              <w:jc w:val="left"/>
            </w:pPr>
            <w:r>
              <w:rPr>
                <w:b w:val="0"/>
                <w:i w:val="0"/>
                <w:sz w:val="18"/>
              </w:rPr>
              <w:t>Employed ICT specialists</w:t>
            </w:r>
          </w:p>
        </w:tc>
        <w:tc>
          <w:tcPr>
            <w:tcW w:type="dxa" w:w="2514"/>
          </w:tcPr>
          <w:p>
            <w:pPr>
              <w:pStyle w:val="MDPI42tablebody"/>
              <w:keepNext/>
              <w:spacing w:line="240" w:lineRule="auto" w:before="30" w:after="30"/>
              <w:jc w:val="left"/>
            </w:pPr>
            <w:r>
              <w:rPr>
                <w:b w:val="0"/>
                <w:i w:val="0"/>
                <w:sz w:val="18"/>
              </w:rPr>
              <w:t>Percentage of total employment, 2024</w:t>
            </w:r>
          </w:p>
        </w:tc>
        <w:tc>
          <w:tcPr>
            <w:tcW w:type="dxa" w:w="1728"/>
          </w:tcPr>
          <w:p>
            <w:pPr>
              <w:pStyle w:val="MDPI42tablebody"/>
              <w:keepNext/>
              <w:spacing w:line="240" w:lineRule="auto" w:before="30" w:after="30"/>
              <w:jc w:val="center"/>
            </w:pPr>
            <w:r>
              <w:rPr>
                <w:b w:val="0"/>
                <w:i w:val="0"/>
                <w:sz w:val="18"/>
              </w:rPr>
              <w:t>isoc_sks_itspt</w:t>
            </w:r>
          </w:p>
        </w:tc>
      </w:tr>
      <w:tr>
        <w:trPr>
          <w:cantSplit/>
        </w:trPr>
        <w:tc>
          <w:tcPr>
            <w:tcW w:type="dxa" w:w="1100"/>
          </w:tcPr>
          <w:p>
            <w:pPr>
              <w:pStyle w:val="MDPI42tablebody"/>
              <w:keepNext/>
              <w:spacing w:line="240" w:lineRule="auto" w:before="30" w:after="30"/>
              <w:jc w:val="left"/>
            </w:pPr>
            <w:r>
              <w:rPr>
                <w:b w:val="0"/>
                <w:i w:val="0"/>
                <w:sz w:val="18"/>
              </w:rPr>
              <w:t>NEET</w:t>
            </w:r>
          </w:p>
        </w:tc>
        <w:tc>
          <w:tcPr>
            <w:tcW w:type="dxa" w:w="2514"/>
          </w:tcPr>
          <w:p>
            <w:pPr>
              <w:pStyle w:val="MDPI42tablebody"/>
              <w:keepNext/>
              <w:spacing w:line="240" w:lineRule="auto" w:before="30" w:after="30"/>
              <w:jc w:val="left"/>
            </w:pPr>
            <w:r>
              <w:rPr>
                <w:b w:val="0"/>
                <w:i w:val="0"/>
                <w:sz w:val="18"/>
              </w:rPr>
              <w:t>Young people neither in employment nor in education and training</w:t>
            </w:r>
          </w:p>
        </w:tc>
        <w:tc>
          <w:tcPr>
            <w:tcW w:type="dxa" w:w="2514"/>
          </w:tcPr>
          <w:p>
            <w:pPr>
              <w:pStyle w:val="MDPI42tablebody"/>
              <w:keepNext/>
              <w:spacing w:line="240" w:lineRule="auto" w:before="30" w:after="30"/>
              <w:jc w:val="left"/>
            </w:pPr>
            <w:r>
              <w:rPr>
                <w:b w:val="0"/>
                <w:i w:val="0"/>
                <w:sz w:val="18"/>
              </w:rPr>
              <w:t>Percentage of the population aged 15–29, 2024</w:t>
            </w:r>
          </w:p>
        </w:tc>
        <w:tc>
          <w:tcPr>
            <w:tcW w:type="dxa" w:w="1728"/>
          </w:tcPr>
          <w:p>
            <w:pPr>
              <w:pStyle w:val="MDPI42tablebody"/>
              <w:keepNext/>
              <w:spacing w:line="240" w:lineRule="auto" w:before="30" w:after="30"/>
              <w:jc w:val="center"/>
            </w:pPr>
            <w:r>
              <w:rPr>
                <w:b w:val="0"/>
                <w:i w:val="0"/>
                <w:sz w:val="18"/>
              </w:rPr>
              <w:t>edat_lfse_20</w:t>
            </w:r>
          </w:p>
        </w:tc>
      </w:tr>
      <w:tr>
        <w:trPr>
          <w:cantSplit/>
        </w:trPr>
        <w:tc>
          <w:tcPr>
            <w:tcW w:type="dxa" w:w="1100"/>
          </w:tcPr>
          <w:p>
            <w:pPr>
              <w:pStyle w:val="MDPI42tablebody"/>
              <w:keepNext/>
              <w:spacing w:line="240" w:lineRule="auto" w:before="30" w:after="30"/>
              <w:jc w:val="left"/>
            </w:pPr>
            <w:r>
              <w:rPr>
                <w:b w:val="0"/>
                <w:i w:val="0"/>
                <w:sz w:val="18"/>
              </w:rPr>
              <w:t>YUR</w:t>
            </w:r>
          </w:p>
        </w:tc>
        <w:tc>
          <w:tcPr>
            <w:tcW w:type="dxa" w:w="2514"/>
          </w:tcPr>
          <w:p>
            <w:pPr>
              <w:pStyle w:val="MDPI42tablebody"/>
              <w:keepNext/>
              <w:spacing w:line="240" w:lineRule="auto" w:before="30" w:after="30"/>
              <w:jc w:val="left"/>
            </w:pPr>
            <w:r>
              <w:rPr>
                <w:b w:val="0"/>
                <w:i w:val="0"/>
                <w:sz w:val="18"/>
              </w:rPr>
              <w:t>Youth unemployment rate</w:t>
            </w:r>
          </w:p>
        </w:tc>
        <w:tc>
          <w:tcPr>
            <w:tcW w:type="dxa" w:w="2514"/>
          </w:tcPr>
          <w:p>
            <w:pPr>
              <w:pStyle w:val="MDPI42tablebody"/>
              <w:keepNext/>
              <w:spacing w:line="240" w:lineRule="auto" w:before="30" w:after="30"/>
              <w:jc w:val="left"/>
            </w:pPr>
            <w:r>
              <w:rPr>
                <w:b w:val="0"/>
                <w:i w:val="0"/>
                <w:sz w:val="18"/>
              </w:rPr>
              <w:t>Percentage of the labour force aged 15–24, 2024</w:t>
            </w:r>
          </w:p>
        </w:tc>
        <w:tc>
          <w:tcPr>
            <w:tcW w:type="dxa" w:w="1728"/>
          </w:tcPr>
          <w:p>
            <w:pPr>
              <w:pStyle w:val="MDPI42tablebody"/>
              <w:keepNext/>
              <w:spacing w:line="240" w:lineRule="auto" w:before="30" w:after="30"/>
              <w:jc w:val="center"/>
            </w:pPr>
            <w:r>
              <w:rPr>
                <w:b w:val="0"/>
                <w:i w:val="0"/>
                <w:sz w:val="18"/>
              </w:rPr>
              <w:t>une_rt_a</w:t>
            </w:r>
          </w:p>
        </w:tc>
      </w:tr>
      <w:tr>
        <w:trPr>
          <w:cantSplit/>
        </w:trPr>
        <w:tc>
          <w:tcPr>
            <w:tcW w:type="dxa" w:w="1100"/>
          </w:tcPr>
          <w:p>
            <w:pPr>
              <w:pStyle w:val="MDPI42tablebody"/>
              <w:keepNext/>
              <w:spacing w:line="240" w:lineRule="auto" w:before="30" w:after="30"/>
              <w:jc w:val="left"/>
            </w:pPr>
            <w:r>
              <w:rPr>
                <w:b w:val="0"/>
                <w:i w:val="0"/>
                <w:sz w:val="18"/>
              </w:rPr>
              <w:t>TERT</w:t>
            </w:r>
          </w:p>
        </w:tc>
        <w:tc>
          <w:tcPr>
            <w:tcW w:type="dxa" w:w="2514"/>
          </w:tcPr>
          <w:p>
            <w:pPr>
              <w:pStyle w:val="MDPI42tablebody"/>
              <w:keepNext/>
              <w:spacing w:line="240" w:lineRule="auto" w:before="30" w:after="30"/>
              <w:jc w:val="left"/>
            </w:pPr>
            <w:r>
              <w:rPr>
                <w:b w:val="0"/>
                <w:i w:val="0"/>
                <w:sz w:val="18"/>
              </w:rPr>
              <w:t>Tertiary educational attainment</w:t>
            </w:r>
          </w:p>
        </w:tc>
        <w:tc>
          <w:tcPr>
            <w:tcW w:type="dxa" w:w="2514"/>
          </w:tcPr>
          <w:p>
            <w:pPr>
              <w:pStyle w:val="MDPI42tablebody"/>
              <w:keepNext/>
              <w:spacing w:line="240" w:lineRule="auto" w:before="30" w:after="30"/>
              <w:jc w:val="left"/>
            </w:pPr>
            <w:r>
              <w:rPr>
                <w:b w:val="0"/>
                <w:i w:val="0"/>
                <w:sz w:val="18"/>
              </w:rPr>
              <w:t>Percentage of the population aged 25–34, 2024</w:t>
            </w:r>
          </w:p>
        </w:tc>
        <w:tc>
          <w:tcPr>
            <w:tcW w:type="dxa" w:w="1728"/>
          </w:tcPr>
          <w:p>
            <w:pPr>
              <w:pStyle w:val="MDPI42tablebody"/>
              <w:keepNext/>
              <w:spacing w:line="240" w:lineRule="auto" w:before="30" w:after="30"/>
              <w:jc w:val="center"/>
            </w:pPr>
            <w:r>
              <w:rPr>
                <w:b w:val="0"/>
                <w:i w:val="0"/>
                <w:sz w:val="18"/>
              </w:rPr>
              <w:t>edat_lfse_03</w:t>
            </w:r>
          </w:p>
        </w:tc>
      </w:tr>
      <w:tr>
        <w:trPr>
          <w:cantSplit/>
        </w:trPr>
        <w:tc>
          <w:tcPr>
            <w:tcW w:type="dxa" w:w="1100"/>
          </w:tcPr>
          <w:p>
            <w:pPr>
              <w:pStyle w:val="MDPI42tablebody"/>
              <w:keepNext/>
              <w:spacing w:line="240" w:lineRule="auto" w:before="30" w:after="30"/>
              <w:jc w:val="left"/>
            </w:pPr>
            <w:r>
              <w:rPr>
                <w:b w:val="0"/>
                <w:i w:val="0"/>
                <w:sz w:val="18"/>
              </w:rPr>
              <w:t>GDPC</w:t>
            </w:r>
          </w:p>
        </w:tc>
        <w:tc>
          <w:tcPr>
            <w:tcW w:type="dxa" w:w="2514"/>
          </w:tcPr>
          <w:p>
            <w:pPr>
              <w:pStyle w:val="MDPI42tablebody"/>
              <w:keepNext/>
              <w:spacing w:line="240" w:lineRule="auto" w:before="30" w:after="30"/>
              <w:jc w:val="left"/>
            </w:pPr>
            <w:r>
              <w:rPr>
                <w:b w:val="0"/>
                <w:i w:val="0"/>
                <w:sz w:val="18"/>
              </w:rPr>
              <w:t>GDP per capita in purchasing power standards</w:t>
            </w:r>
          </w:p>
        </w:tc>
        <w:tc>
          <w:tcPr>
            <w:tcW w:type="dxa" w:w="2514"/>
          </w:tcPr>
          <w:p>
            <w:pPr>
              <w:pStyle w:val="MDPI42tablebody"/>
              <w:keepNext/>
              <w:spacing w:line="240" w:lineRule="auto" w:before="30" w:after="30"/>
              <w:jc w:val="left"/>
            </w:pPr>
            <w:r>
              <w:rPr>
                <w:b w:val="0"/>
                <w:i w:val="0"/>
                <w:sz w:val="18"/>
              </w:rPr>
              <w:t>Index, EU-27 = 100, 2024</w:t>
            </w:r>
          </w:p>
        </w:tc>
        <w:tc>
          <w:tcPr>
            <w:tcW w:type="dxa" w:w="1728"/>
          </w:tcPr>
          <w:p>
            <w:pPr>
              <w:pStyle w:val="MDPI42tablebody"/>
              <w:keepNext/>
              <w:spacing w:line="240" w:lineRule="auto" w:before="30" w:after="30"/>
              <w:jc w:val="center"/>
            </w:pPr>
            <w:r>
              <w:rPr>
                <w:b w:val="0"/>
                <w:i w:val="0"/>
                <w:sz w:val="18"/>
              </w:rPr>
              <w:t>tec00114</w:t>
            </w:r>
          </w:p>
        </w:tc>
      </w:tr>
      <w:tr>
        <w:trPr>
          <w:cantSplit/>
        </w:trPr>
        <w:tc>
          <w:tcPr>
            <w:tcW w:type="dxa" w:w="1100"/>
          </w:tcPr>
          <w:p>
            <w:pPr>
              <w:pStyle w:val="MDPI42tablebody"/>
              <w:keepNext/>
              <w:spacing w:line="240" w:lineRule="auto" w:before="30" w:after="30"/>
              <w:jc w:val="left"/>
            </w:pPr>
            <w:r>
              <w:rPr>
                <w:b w:val="0"/>
                <w:i w:val="0"/>
                <w:sz w:val="18"/>
              </w:rPr>
              <w:t>RDI</w:t>
            </w:r>
          </w:p>
        </w:tc>
        <w:tc>
          <w:tcPr>
            <w:tcW w:type="dxa" w:w="2514"/>
          </w:tcPr>
          <w:p>
            <w:pPr>
              <w:pStyle w:val="MDPI42tablebody"/>
              <w:keepNext/>
              <w:spacing w:line="240" w:lineRule="auto" w:before="30" w:after="30"/>
              <w:jc w:val="left"/>
            </w:pPr>
            <w:r>
              <w:rPr>
                <w:b w:val="0"/>
                <w:i w:val="0"/>
                <w:sz w:val="18"/>
              </w:rPr>
              <w:t>Gross domestic expenditure on R&amp;D</w:t>
            </w:r>
          </w:p>
        </w:tc>
        <w:tc>
          <w:tcPr>
            <w:tcW w:type="dxa" w:w="2514"/>
          </w:tcPr>
          <w:p>
            <w:pPr>
              <w:pStyle w:val="MDPI42tablebody"/>
              <w:keepNext/>
              <w:spacing w:line="240" w:lineRule="auto" w:before="30" w:after="30"/>
              <w:jc w:val="left"/>
            </w:pPr>
            <w:r>
              <w:rPr>
                <w:b w:val="0"/>
                <w:i w:val="0"/>
                <w:sz w:val="18"/>
              </w:rPr>
              <w:t>Percentage of GDP, 2023</w:t>
            </w:r>
          </w:p>
        </w:tc>
        <w:tc>
          <w:tcPr>
            <w:tcW w:type="dxa" w:w="1728"/>
          </w:tcPr>
          <w:p>
            <w:pPr>
              <w:pStyle w:val="MDPI42tablebody"/>
              <w:keepNext/>
              <w:spacing w:line="240" w:lineRule="auto" w:before="30" w:after="30"/>
              <w:jc w:val="center"/>
            </w:pPr>
            <w:r>
              <w:rPr>
                <w:b w:val="0"/>
                <w:i w:val="0"/>
                <w:sz w:val="18"/>
              </w:rPr>
              <w:t>rd_e_gerdtot</w:t>
            </w:r>
          </w:p>
        </w:tc>
      </w:tr>
      <w:tr>
        <w:trPr>
          <w:cantSplit/>
        </w:trPr>
        <w:tc>
          <w:tcPr>
            <w:tcW w:type="dxa" w:w="1100"/>
          </w:tcPr>
          <w:p>
            <w:pPr>
              <w:pStyle w:val="MDPI42tablebody"/>
              <w:keepNext/>
              <w:spacing w:line="240" w:lineRule="auto" w:before="30" w:after="30"/>
              <w:jc w:val="left"/>
            </w:pPr>
            <w:r>
              <w:rPr>
                <w:b w:val="0"/>
                <w:i w:val="0"/>
                <w:sz w:val="18"/>
              </w:rPr>
              <w:t>ELET</w:t>
            </w:r>
          </w:p>
        </w:tc>
        <w:tc>
          <w:tcPr>
            <w:tcW w:type="dxa" w:w="2514"/>
          </w:tcPr>
          <w:p>
            <w:pPr>
              <w:pStyle w:val="MDPI42tablebody"/>
              <w:keepNext/>
              <w:spacing w:line="240" w:lineRule="auto" w:before="30" w:after="30"/>
              <w:jc w:val="left"/>
            </w:pPr>
            <w:r>
              <w:rPr>
                <w:b w:val="0"/>
                <w:i w:val="0"/>
                <w:sz w:val="18"/>
              </w:rPr>
              <w:t>Early leavers from education and training</w:t>
            </w:r>
          </w:p>
        </w:tc>
        <w:tc>
          <w:tcPr>
            <w:tcW w:type="dxa" w:w="2514"/>
          </w:tcPr>
          <w:p>
            <w:pPr>
              <w:pStyle w:val="MDPI42tablebody"/>
              <w:keepNext/>
              <w:spacing w:line="240" w:lineRule="auto" w:before="30" w:after="30"/>
              <w:jc w:val="left"/>
            </w:pPr>
            <w:r>
              <w:rPr>
                <w:b w:val="0"/>
                <w:i w:val="0"/>
                <w:sz w:val="18"/>
              </w:rPr>
              <w:t>Percentage of the population aged 18–24, 2024</w:t>
            </w:r>
          </w:p>
        </w:tc>
        <w:tc>
          <w:tcPr>
            <w:tcW w:type="dxa" w:w="1728"/>
          </w:tcPr>
          <w:p>
            <w:pPr>
              <w:pStyle w:val="MDPI42tablebody"/>
              <w:keepNext/>
              <w:spacing w:line="240" w:lineRule="auto" w:before="30" w:after="30"/>
              <w:jc w:val="center"/>
            </w:pPr>
            <w:r>
              <w:rPr>
                <w:b w:val="0"/>
                <w:i w:val="0"/>
                <w:sz w:val="18"/>
              </w:rPr>
              <w:t>edat_lfse_14</w:t>
            </w:r>
          </w:p>
        </w:tc>
      </w:tr>
    </w:tbl>
    <w:p>
      <w:pPr>
        <w:pStyle w:val="MDPI43tablefooter"/>
        <w:spacing w:line="240" w:lineRule="auto" w:before="40" w:after="200"/>
        <w:ind w:left="2608" w:firstLine="0"/>
      </w:pPr>
      <w:r>
        <w:rPr>
          <w:sz w:val="16"/>
        </w:rPr>
        <w:t xml:space="preserve">Note: </w:t>
      </w:r>
      <w:r>
        <w:rPr>
          <w:b w:val="0"/>
          <w:i w:val="0"/>
          <w:sz w:val="16"/>
        </w:rPr>
        <w:t xml:space="preserve">Source: authors’ design based on </w:t>
      </w:r>
      <w:r>
        <w:rPr>
          <w:sz w:val="16"/>
        </w:rPr>
        <w:t>[</w:t>
      </w:r>
      <w:r>
        <w:rPr>
          <w:sz w:val="16"/>
        </w:rPr>
        <w:fldChar w:fldCharType="begin"/>
      </w:r>
      <w:r>
        <w:rPr>
          <w:sz w:val="16"/>
        </w:rPr>
        <w:instrText xml:space="preserve"> REF _Ref_76 \h </w:instrText>
      </w:r>
      <w:r>
        <w:rPr>
          <w:sz w:val="16"/>
        </w:rPr>
        <w:fldChar w:fldCharType="separate"/>
      </w:r>
      <w:r>
        <w:rPr>
          <w:sz w:val="16"/>
        </w:rPr>
        <w:t>76</w:t>
      </w:r>
      <w:r>
        <w:rPr>
          <w:sz w:val="16"/>
        </w:rPr>
        <w:fldChar w:fldCharType="end"/>
      </w:r>
      <w:r>
        <w:rPr>
          <w:sz w:val="16"/>
        </w:rPr>
        <w:t>–</w:t>
      </w:r>
      <w:r>
        <w:rPr>
          <w:sz w:val="16"/>
        </w:rPr>
        <w:fldChar w:fldCharType="begin"/>
      </w:r>
      <w:r>
        <w:rPr>
          <w:sz w:val="16"/>
        </w:rPr>
        <w:instrText xml:space="preserve"> REF _Ref_85 \h </w:instrText>
      </w:r>
      <w:r>
        <w:rPr>
          <w:sz w:val="16"/>
        </w:rPr>
        <w:fldChar w:fldCharType="separate"/>
      </w:r>
      <w:r>
        <w:rPr>
          <w:sz w:val="16"/>
        </w:rPr>
        <w:t>85</w:t>
      </w:r>
      <w:r>
        <w:rPr>
          <w:sz w:val="16"/>
        </w:rPr>
        <w:fldChar w:fldCharType="end"/>
      </w:r>
      <w:r>
        <w:rPr>
          <w:sz w:val="16"/>
        </w:rPr>
        <w:t>]</w:t>
      </w:r>
      <w:r>
        <w:rPr>
          <w:b w:val="0"/>
          <w:i w:val="0"/>
          <w:sz w:val="16"/>
        </w:rPr>
        <w:t>.</w:t>
      </w:r>
    </w:p>
    <w:p>
      <w:pPr>
        <w:pStyle w:val="MDPI22heading2"/>
      </w:pPr>
      <w:r>
        <w:t>3.3. Methods</w:t>
      </w:r>
    </w:p>
    <w:p>
      <w:pPr>
        <w:pStyle w:val="MDPI32textnoindent"/>
      </w:pPr>
      <w:r>
        <w:rPr>
          <w:b w:val="0"/>
          <w:i w:val="0"/>
        </w:rPr>
        <w:t xml:space="preserve">The empirical analysis employs an integrated methodological strategy to investigate both the direct relationships between artificial intelligence readiness and youth labour-market indicators and the latent structure and emerging patterns of the socio-technical system under study. The approach integrates multivariate modelling, dimensionality reduction, and unsupervised classification techniques </w:t>
      </w:r>
      <w:r>
        <w:t>[</w:t>
      </w:r>
      <w:r>
        <w:fldChar w:fldCharType="begin"/>
      </w:r>
      <w:r>
        <w:instrText xml:space="preserve"> REF _Ref_86 \h </w:instrText>
      </w:r>
      <w:r>
        <w:fldChar w:fldCharType="separate"/>
      </w:r>
      <w:r>
        <w:t>86</w:t>
      </w:r>
      <w:r>
        <w:fldChar w:fldCharType="end"/>
      </w:r>
      <w:r>
        <w:t>,</w:t>
      </w:r>
      <w:r>
        <w:fldChar w:fldCharType="begin"/>
      </w:r>
      <w:r>
        <w:instrText xml:space="preserve"> REF _Ref_87 \h </w:instrText>
      </w:r>
      <w:r>
        <w:fldChar w:fldCharType="separate"/>
      </w:r>
      <w:r>
        <w:t>87</w:t>
      </w:r>
      <w:r>
        <w:fldChar w:fldCharType="end"/>
      </w:r>
      <w:r>
        <w:t>]</w:t>
      </w:r>
      <w:r>
        <w:rPr>
          <w:b w:val="0"/>
          <w:i w:val="0"/>
        </w:rPr>
        <w:t>, providing a cohesive description of the co-evolution of technology and youth employment.</w:t>
      </w:r>
    </w:p>
    <w:p>
      <w:pPr>
        <w:pStyle w:val="MDPI31text"/>
      </w:pPr>
      <w:r>
        <w:rPr>
          <w:b w:val="0"/>
          <w:i w:val="0"/>
        </w:rPr>
        <w:t>In the first stage, the association between each dimension of AI readiness and the two youth labour-market indicators was examined using four separate multivariate general linear models, estimated in a MANOVA-type framework. In each model, the youth NEET rate and the youth unemployment rate were treated as correlated dependent variables, with one readiness indicator serving as the explanatory variable. Thus, AIENT, GAIY, DSKY, and ICTS were not entered simultaneously in the same model. This specification was chosen because the four readiness indicators are conceptually related and empirically correlated, and the limited cross-sectional sample of 27 countries does not support a stable model with several closely related predictors. Therefore, the models should be interpreted as parallel exploratory tests of simple associations, not as evidence of distinct partial effects (1):</w:t>
      </w:r>
    </w:p>
    <w:tbl>
      <w:tblPr>
        <w:tblW w:w="7858"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7427"/>
        <w:gridCol w:w="431"/>
      </w:tblGrid>
      <w:tr>
        <w:trPr>
          <w:cantSplit/>
        </w:trPr>
        <w:tc>
          <w:tcPr>
            <w:tcW w:type="dxa" w:w="7427"/>
            <w:vAlign w:val="center"/>
          </w:tcPr>
          <w:p>
            <w:pPr>
              <w:pStyle w:val="MDPI39equation"/>
              <w:ind w:left="0" w:right="0"/>
              <w:jc w:val="center"/>
            </w:pPr>
            <m:oMath>
              <m:r>
                <m:rPr>
                  <m:sty m:val="p"/>
                </m:rPr>
                <m:t xml:space="preserve">(</m:t>
              </m:r>
              <m:sSub>
                <m:e>
                  <m:r>
                    <m:t xml:space="preserve">Y</m:t>
                  </m:r>
                </m:e>
                <m:sub>
                  <m:r>
                    <m:rPr>
                      <m:sty m:val="p"/>
                    </m:rPr>
                    <m:t xml:space="preserve">1</m:t>
                  </m:r>
                  <m:r>
                    <m:t xml:space="preserve">i</m:t>
                  </m:r>
                </m:sub>
              </m:sSub>
              <m:r>
                <m:t xml:space="preserve">,</m:t>
              </m:r>
              <m:r>
                <m:t xml:space="preserve"> </m:t>
              </m:r>
              <m:sSub>
                <m:e>
                  <m:r>
                    <m:t xml:space="preserve">Y</m:t>
                  </m:r>
                </m:e>
                <m:sub>
                  <m:r>
                    <m:rPr>
                      <m:sty m:val="p"/>
                    </m:rPr>
                    <m:t xml:space="preserve">2</m:t>
                  </m:r>
                  <m:r>
                    <m:t xml:space="preserve">i</m:t>
                  </m:r>
                </m:sub>
              </m:sSub>
              <m:r>
                <m:rPr>
                  <m:sty m:val="p"/>
                </m:rPr>
                <m:t xml:space="preserve">)</m:t>
              </m:r>
              <m:r>
                <m:t xml:space="preserve"> </m:t>
              </m:r>
              <m:r>
                <m:rPr>
                  <m:sty m:val="p"/>
                </m:rPr>
                <m:t xml:space="preserve">=</m:t>
              </m:r>
              <m:r>
                <m:t xml:space="preserve"> </m:t>
              </m:r>
              <m:r>
                <m:t xml:space="preserve">α</m:t>
              </m:r>
              <m:r>
                <m:t xml:space="preserve"> </m:t>
              </m:r>
              <m:r>
                <m:rPr>
                  <m:sty m:val="p"/>
                </m:rPr>
                <m:t xml:space="preserve">+</m:t>
              </m:r>
              <m:r>
                <m:t xml:space="preserve"> </m:t>
              </m:r>
              <m:r>
                <m:t xml:space="preserve">β</m:t>
              </m:r>
              <m:r>
                <m:t xml:space="preserve"> </m:t>
              </m:r>
              <m:sSub>
                <m:e>
                  <m:r>
                    <m:t xml:space="preserve">X</m:t>
                  </m:r>
                </m:e>
                <m:sub>
                  <m:r>
                    <m:t xml:space="preserve">k</m:t>
                  </m:r>
                  <m:r>
                    <m:t xml:space="preserve">i</m:t>
                  </m:r>
                </m:sub>
              </m:sSub>
              <m:r>
                <m:t xml:space="preserve"> </m:t>
              </m:r>
              <m:r>
                <m:rPr>
                  <m:sty m:val="p"/>
                </m:rPr>
                <m:t xml:space="preserve">+</m:t>
              </m:r>
              <m:r>
                <m:t xml:space="preserve"> </m:t>
              </m:r>
              <m:sSub>
                <m:e>
                  <m:r>
                    <m:t xml:space="preserve">ε</m:t>
                  </m:r>
                </m:e>
                <m:sub>
                  <m:r>
                    <m:t xml:space="preserve">i</m:t>
                  </m:r>
                </m:sub>
              </m:sSub>
            </m:oMath>
          </w:p>
        </w:tc>
        <w:tc>
          <w:tcPr>
            <w:tcW w:type="dxa" w:w="431"/>
            <w:vAlign w:val="center"/>
          </w:tcPr>
          <w:p>
            <w:pPr>
              <w:pStyle w:val="MDPI3aequationnumber"/>
              <w:jc w:val="right"/>
            </w:pPr>
            <w:r>
              <w:t>(1)</w:t>
            </w:r>
          </w:p>
        </w:tc>
      </w:tr>
    </w:tbl>
    <w:p>
      <w:pPr>
        <w:pStyle w:val="MDPI31text"/>
      </w:pPr>
      <m:oMath>
        <m:sSub>
          <m:e>
            <m:r>
              <m:t xml:space="preserve">Y</m:t>
            </m:r>
          </m:e>
          <m:sub>
            <m:r>
              <m:rPr>
                <m:sty m:val="p"/>
              </m:rPr>
              <m:t xml:space="preserve">1</m:t>
            </m:r>
            <m:r>
              <m:t xml:space="preserve">i</m:t>
            </m:r>
          </m:sub>
        </m:sSub>
      </m:oMath>
      <w:r>
        <w:rPr>
          <w:b w:val="0"/>
          <w:i w:val="0"/>
        </w:rPr>
        <w:t>—the youth NEET rate (NEET);</w:t>
      </w:r>
    </w:p>
    <w:p>
      <w:pPr>
        <w:pStyle w:val="MDPI31text"/>
      </w:pPr>
      <m:oMath>
        <m:sSub>
          <m:e>
            <m:r>
              <m:t xml:space="preserve">Y</m:t>
            </m:r>
          </m:e>
          <m:sub>
            <m:r>
              <m:rPr>
                <m:sty m:val="p"/>
              </m:rPr>
              <m:t xml:space="preserve">2</m:t>
            </m:r>
            <m:r>
              <m:t xml:space="preserve">i</m:t>
            </m:r>
          </m:sub>
        </m:sSub>
      </m:oMath>
      <w:r>
        <w:rPr>
          <w:b w:val="0"/>
          <w:i w:val="0"/>
        </w:rPr>
        <w:t>—the youth unemployment rate (YUR);</w:t>
      </w:r>
    </w:p>
    <w:p>
      <w:pPr>
        <w:pStyle w:val="MDPI31text"/>
      </w:pPr>
      <m:oMath>
        <m:sSub>
          <m:e>
            <m:r>
              <m:t xml:space="preserve">X</m:t>
            </m:r>
          </m:e>
          <m:sub>
            <m:r>
              <m:t xml:space="preserve">k</m:t>
            </m:r>
            <m:r>
              <m:t xml:space="preserve">i</m:t>
            </m:r>
          </m:sub>
        </m:sSub>
      </m:oMath>
      <w:r>
        <w:rPr>
          <w:b w:val="0"/>
          <w:i w:val="0"/>
        </w:rPr>
        <w:t>—one readiness indicator at a time: AIENT, GAIY, DSKY or ICTS;</w:t>
      </w:r>
    </w:p>
    <w:p>
      <w:pPr>
        <w:pStyle w:val="MDPI31text"/>
      </w:pPr>
      <m:oMath>
        <m:r>
          <m:t xml:space="preserve">α</m:t>
        </m:r>
      </m:oMath>
      <w:r>
        <w:rPr>
          <w:b w:val="0"/>
          <w:i w:val="0"/>
        </w:rPr>
        <w:t>—intercept;</w:t>
      </w:r>
    </w:p>
    <w:p>
      <w:pPr>
        <w:pStyle w:val="MDPI31text"/>
      </w:pPr>
      <m:oMath>
        <m:r>
          <m:t xml:space="preserve">β</m:t>
        </m:r>
      </m:oMath>
      <w:r>
        <w:rPr>
          <w:b w:val="0"/>
          <w:i w:val="0"/>
        </w:rPr>
        <w:t>—regression coefficient;</w:t>
      </w:r>
    </w:p>
    <w:p>
      <w:pPr>
        <w:pStyle w:val="MDPI31text"/>
      </w:pPr>
      <m:oMath>
        <m:sSub>
          <m:e>
            <m:r>
              <m:t xml:space="preserve">ε</m:t>
            </m:r>
          </m:e>
          <m:sub>
            <m:r>
              <m:t xml:space="preserve">i</m:t>
            </m:r>
          </m:sub>
        </m:sSub>
      </m:oMath>
      <w:r>
        <w:rPr>
          <w:b w:val="0"/>
          <w:i w:val="0"/>
        </w:rPr>
        <w:t>—errors.</w:t>
      </w:r>
    </w:p>
    <w:p>
      <w:pPr>
        <w:pStyle w:val="MDPI31text"/>
      </w:pPr>
      <w:r>
        <w:rPr>
          <w:b w:val="0"/>
          <w:i w:val="0"/>
        </w:rPr>
        <w:t xml:space="preserve">The analysis evaluates the global significance of the models using multivariate statistics, namely Pillai’s Trace and Wilks’ Lambda, while examining individual associations using univariate tests and regression coefficients </w:t>
      </w:r>
      <w:r>
        <w:t>[</w:t>
      </w:r>
      <w:r>
        <w:fldChar w:fldCharType="begin"/>
      </w:r>
      <w:r>
        <w:instrText xml:space="preserve"> REF _Ref_86 \h </w:instrText>
      </w:r>
      <w:r>
        <w:fldChar w:fldCharType="separate"/>
      </w:r>
      <w:r>
        <w:t>86</w:t>
      </w:r>
      <w:r>
        <w:fldChar w:fldCharType="end"/>
      </w:r>
      <w:r>
        <w:t>]</w:t>
      </w:r>
      <w:r>
        <w:rPr>
          <w:b w:val="0"/>
          <w:i w:val="0"/>
        </w:rPr>
        <w:t xml:space="preserve">. This approach captures the distinct association of each readiness dimension with the two youth indicators while accounting for the correlation between the dependent variables. Before interpreting the models, several diagnostic checks were performed. Residual normality was assessed with Shapiro–Wilk tests </w:t>
      </w:r>
      <w:r>
        <w:t>[</w:t>
      </w:r>
      <w:r>
        <w:fldChar w:fldCharType="begin"/>
      </w:r>
      <w:r>
        <w:instrText xml:space="preserve"> REF _Ref_88 \h </w:instrText>
      </w:r>
      <w:r>
        <w:fldChar w:fldCharType="separate"/>
      </w:r>
      <w:r>
        <w:t>88</w:t>
      </w:r>
      <w:r>
        <w:fldChar w:fldCharType="end"/>
      </w:r>
      <w:r>
        <w:t>]</w:t>
      </w:r>
      <w:r>
        <w:rPr>
          <w:b w:val="0"/>
          <w:i w:val="0"/>
        </w:rPr>
        <w:t xml:space="preserve">, while standardized residuals, leverage values, and Cook’s distance </w:t>
      </w:r>
      <w:r>
        <w:t>[</w:t>
      </w:r>
      <w:r>
        <w:fldChar w:fldCharType="begin"/>
      </w:r>
      <w:r>
        <w:instrText xml:space="preserve"> REF _Ref_89 \h </w:instrText>
      </w:r>
      <w:r>
        <w:fldChar w:fldCharType="separate"/>
      </w:r>
      <w:r>
        <w:t>89</w:t>
      </w:r>
      <w:r>
        <w:fldChar w:fldCharType="end"/>
      </w:r>
      <w:r>
        <w:t>]</w:t>
      </w:r>
      <w:r>
        <w:rPr>
          <w:b w:val="0"/>
          <w:i w:val="0"/>
        </w:rPr>
        <w:t xml:space="preserve"> were inspected to identify influential observations. Because the four readiness indicators were not included simultaneously in the same multivariate model, multicollinearity did not affect the single-predictor specifications. However, the correlations among the readiness variables were taken into account when interpreting the results, and this was one reason for treating the four models as exploratory parallel associations and for extracting a common latent factor through exploratory factor analysis.</w:t>
      </w:r>
    </w:p>
    <w:p>
      <w:pPr>
        <w:pStyle w:val="MDPI31text"/>
      </w:pPr>
      <w:r>
        <w:rPr>
          <w:b w:val="0"/>
          <w:i w:val="0"/>
        </w:rPr>
        <w:t>To capture the aggregate pattern of AI readiness, the study uses exploratory factor analysis on the four readiness variables. The factorial model can be expressed as follows (2):</w:t>
      </w:r>
    </w:p>
    <w:tbl>
      <w:tblPr>
        <w:tblW w:w="7858"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7427"/>
        <w:gridCol w:w="431"/>
      </w:tblGrid>
      <w:tr>
        <w:trPr>
          <w:cantSplit/>
        </w:trPr>
        <w:tc>
          <w:tcPr>
            <w:tcW w:type="dxa" w:w="7427"/>
            <w:vAlign w:val="center"/>
          </w:tcPr>
          <w:p>
            <w:pPr>
              <w:pStyle w:val="MDPI39equation"/>
              <w:ind w:left="0" w:right="0"/>
              <w:jc w:val="center"/>
            </w:pPr>
            <m:oMath>
              <m:r>
                <m:t xml:space="preserve">X</m:t>
              </m:r>
              <m:r>
                <m:t xml:space="preserve"> </m:t>
              </m:r>
              <m:r>
                <m:rPr>
                  <m:sty m:val="p"/>
                </m:rPr>
                <m:t xml:space="preserve">=</m:t>
              </m:r>
              <m:r>
                <m:t xml:space="preserve"> </m:t>
              </m:r>
              <m:r>
                <m:t xml:space="preserve">LF</m:t>
              </m:r>
              <m:r>
                <m:t xml:space="preserve"> </m:t>
              </m:r>
              <m:r>
                <m:rPr>
                  <m:sty m:val="p"/>
                </m:rPr>
                <m:t xml:space="preserve">+</m:t>
              </m:r>
              <m:r>
                <m:t xml:space="preserve"> </m:t>
              </m:r>
              <m:r>
                <m:t xml:space="preserve">ε</m:t>
              </m:r>
            </m:oMath>
          </w:p>
        </w:tc>
        <w:tc>
          <w:tcPr>
            <w:tcW w:type="dxa" w:w="431"/>
            <w:vAlign w:val="center"/>
          </w:tcPr>
          <w:p>
            <w:pPr>
              <w:pStyle w:val="MDPI3aequationnumber"/>
              <w:jc w:val="right"/>
            </w:pPr>
            <w:r>
              <w:t>(2)</w:t>
            </w:r>
          </w:p>
        </w:tc>
      </w:tr>
    </w:tbl>
    <w:p>
      <w:pPr>
        <w:pStyle w:val="MDPI31text"/>
      </w:pPr>
      <m:oMath>
        <m:r>
          <m:t xml:space="preserve">X</m:t>
        </m:r>
      </m:oMath>
      <w:r>
        <w:rPr>
          <w:b w:val="0"/>
          <w:i w:val="0"/>
        </w:rPr>
        <w:t>—observed variables;</w:t>
      </w:r>
    </w:p>
    <w:p>
      <w:pPr>
        <w:pStyle w:val="MDPI31text"/>
      </w:pPr>
      <m:oMath>
        <m:r>
          <m:t xml:space="preserve">L</m:t>
        </m:r>
      </m:oMath>
      <w:r>
        <w:rPr>
          <w:b w:val="0"/>
          <w:i w:val="0"/>
        </w:rPr>
        <w:t>—matrix of factor loadings;</w:t>
      </w:r>
    </w:p>
    <w:p>
      <w:pPr>
        <w:pStyle w:val="MDPI31text"/>
      </w:pPr>
      <m:oMath>
        <m:r>
          <m:t xml:space="preserve">F</m:t>
        </m:r>
      </m:oMath>
      <w:r>
        <w:rPr>
          <w:b w:val="0"/>
          <w:i w:val="0"/>
        </w:rPr>
        <w:t>—latent factor;</w:t>
      </w:r>
    </w:p>
    <w:p>
      <w:pPr>
        <w:pStyle w:val="MDPI31text"/>
      </w:pPr>
      <m:oMath>
        <m:r>
          <m:t xml:space="preserve">ε</m:t>
        </m:r>
      </m:oMath>
      <w:r>
        <w:rPr>
          <w:b w:val="0"/>
          <w:i w:val="0"/>
        </w:rPr>
        <w:t>—errors.</w:t>
      </w:r>
    </w:p>
    <w:p>
      <w:pPr>
        <w:pStyle w:val="MDPI31text"/>
      </w:pPr>
      <w:r>
        <w:rPr>
          <w:b w:val="0"/>
          <w:i w:val="0"/>
        </w:rPr>
        <w:t xml:space="preserve">Exploratory factor analysis was applied to the four indicators of AI readiness. Principal Axis Factoring was used as the extraction method, based on the correlation matrix </w:t>
      </w:r>
      <w:r>
        <w:t>[</w:t>
      </w:r>
      <w:r>
        <w:fldChar w:fldCharType="begin"/>
      </w:r>
      <w:r>
        <w:instrText xml:space="preserve"> REF _Ref_90 \h </w:instrText>
      </w:r>
      <w:r>
        <w:fldChar w:fldCharType="separate"/>
      </w:r>
      <w:r>
        <w:t>90</w:t>
      </w:r>
      <w:r>
        <w:fldChar w:fldCharType="end"/>
      </w:r>
      <w:r>
        <w:t>]</w:t>
      </w:r>
      <w:r>
        <w:rPr>
          <w:b w:val="0"/>
          <w:i w:val="0"/>
        </w:rPr>
        <w:t xml:space="preserve">. Sampling adequacy was verified with the Kaiser–Meyer–Olkin measure </w:t>
      </w:r>
      <w:r>
        <w:t>[</w:t>
      </w:r>
      <w:r>
        <w:fldChar w:fldCharType="begin"/>
      </w:r>
      <w:r>
        <w:instrText xml:space="preserve"> REF _Ref_91 \h </w:instrText>
      </w:r>
      <w:r>
        <w:fldChar w:fldCharType="separate"/>
      </w:r>
      <w:r>
        <w:t>91</w:t>
      </w:r>
      <w:r>
        <w:fldChar w:fldCharType="end"/>
      </w:r>
      <w:r>
        <w:t>]</w:t>
      </w:r>
      <w:r>
        <w:rPr>
          <w:b w:val="0"/>
          <w:i w:val="0"/>
        </w:rPr>
        <w:t xml:space="preserve"> and Bartlett’s test of sphericity </w:t>
      </w:r>
      <w:r>
        <w:t>[</w:t>
      </w:r>
      <w:r>
        <w:fldChar w:fldCharType="begin"/>
      </w:r>
      <w:r>
        <w:instrText xml:space="preserve"> REF _Ref_92 \h </w:instrText>
      </w:r>
      <w:r>
        <w:fldChar w:fldCharType="separate"/>
      </w:r>
      <w:r>
        <w:t>92</w:t>
      </w:r>
      <w:r>
        <w:fldChar w:fldCharType="end"/>
      </w:r>
      <w:r>
        <w:t>]</w:t>
      </w:r>
      <w:r>
        <w:rPr>
          <w:b w:val="0"/>
          <w:i w:val="0"/>
        </w:rPr>
        <w:t>. A one-factor solution was retained to capture the common latent structure of readiness across the enterprise, user, capability, and professional dimensions. Since only one factor was extracted, no rotation was applied. Factor scores were generated using the regression method and subsequently used as a synthetic indicator of AI readiness, labelled FACT_AIR. This latent factor then enters two simple linear regression models, estimated separately for each youth labour-market indicator, according to the following form (3):</w:t>
      </w:r>
    </w:p>
    <w:tbl>
      <w:tblPr>
        <w:tblW w:w="7858"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7427"/>
        <w:gridCol w:w="431"/>
      </w:tblGrid>
      <w:tr>
        <w:trPr>
          <w:cantSplit/>
        </w:trPr>
        <w:tc>
          <w:tcPr>
            <w:tcW w:type="dxa" w:w="7427"/>
            <w:vAlign w:val="center"/>
          </w:tcPr>
          <w:p>
            <w:pPr>
              <w:pStyle w:val="MDPI39equation"/>
              <w:ind w:left="0" w:right="0"/>
              <w:jc w:val="center"/>
            </w:pPr>
            <m:oMath>
              <m:sSub>
                <m:e>
                  <m:r>
                    <m:t xml:space="preserve">Y</m:t>
                  </m:r>
                </m:e>
                <m:sub>
                  <m:r>
                    <m:t xml:space="preserve">i</m:t>
                  </m:r>
                </m:sub>
              </m:sSub>
              <m:r>
                <m:t xml:space="preserve"> </m:t>
              </m:r>
              <m:r>
                <m:rPr>
                  <m:sty m:val="p"/>
                </m:rPr>
                <m:t xml:space="preserve">=</m:t>
              </m:r>
              <m:r>
                <m:t xml:space="preserve"> </m:t>
              </m:r>
              <m:sSub>
                <m:e>
                  <m:r>
                    <m:t xml:space="preserve">β</m:t>
                  </m:r>
                </m:e>
                <m:sub>
                  <m:r>
                    <m:rPr>
                      <m:sty m:val="p"/>
                    </m:rPr>
                    <m:t xml:space="preserve">0</m:t>
                  </m:r>
                </m:sub>
              </m:sSub>
              <m:r>
                <m:t xml:space="preserve"> </m:t>
              </m:r>
              <m:r>
                <m:rPr>
                  <m:sty m:val="p"/>
                </m:rPr>
                <m:t xml:space="preserve">+</m:t>
              </m:r>
              <m:r>
                <m:t xml:space="preserve"> </m:t>
              </m:r>
              <m:sSub>
                <m:e>
                  <m:r>
                    <m:t xml:space="preserve">β</m:t>
                  </m:r>
                </m:e>
                <m:sub>
                  <m:r>
                    <m:rPr>
                      <m:sty m:val="p"/>
                    </m:rPr>
                    <m:t xml:space="preserve">1</m:t>
                  </m:r>
                </m:sub>
              </m:sSub>
              <m:r>
                <m:t xml:space="preserve"> </m:t>
              </m:r>
              <m:sSub>
                <m:e>
                  <m:r>
                    <m:t xml:space="preserve">F</m:t>
                  </m:r>
                </m:e>
                <m:sub>
                  <m:r>
                    <m:t xml:space="preserve">i</m:t>
                  </m:r>
                </m:sub>
              </m:sSub>
              <m:r>
                <m:t xml:space="preserve"> </m:t>
              </m:r>
              <m:r>
                <m:rPr>
                  <m:sty m:val="p"/>
                </m:rPr>
                <m:t xml:space="preserve">+</m:t>
              </m:r>
              <m:r>
                <m:t xml:space="preserve"> </m:t>
              </m:r>
              <m:sSub>
                <m:e>
                  <m:r>
                    <m:t xml:space="preserve">ε</m:t>
                  </m:r>
                </m:e>
                <m:sub>
                  <m:r>
                    <m:t xml:space="preserve">i</m:t>
                  </m:r>
                </m:sub>
              </m:sSub>
            </m:oMath>
          </w:p>
        </w:tc>
        <w:tc>
          <w:tcPr>
            <w:tcW w:type="dxa" w:w="431"/>
            <w:vAlign w:val="center"/>
          </w:tcPr>
          <w:p>
            <w:pPr>
              <w:pStyle w:val="MDPI3aequationnumber"/>
              <w:jc w:val="right"/>
            </w:pPr>
            <w:r>
              <w:t>(3)</w:t>
            </w:r>
          </w:p>
        </w:tc>
      </w:tr>
    </w:tbl>
    <w:p>
      <w:pPr>
        <w:pStyle w:val="MDPI31text"/>
      </w:pPr>
      <m:oMath>
        <m:sSub>
          <m:e>
            <m:r>
              <m:t xml:space="preserve">Y</m:t>
            </m:r>
          </m:e>
          <m:sub>
            <m:r>
              <m:t xml:space="preserve">i</m:t>
            </m:r>
          </m:sub>
        </m:sSub>
      </m:oMath>
      <w:r>
        <w:rPr>
          <w:b w:val="0"/>
          <w:i w:val="0"/>
        </w:rPr>
        <w:t>—dependent variables (NEET and YUR);</w:t>
      </w:r>
    </w:p>
    <w:p>
      <w:pPr>
        <w:pStyle w:val="MDPI31text"/>
      </w:pPr>
      <m:oMath>
        <m:sSub>
          <m:e>
            <m:r>
              <m:t xml:space="preserve">F</m:t>
            </m:r>
          </m:e>
          <m:sub>
            <m:r>
              <m:t xml:space="preserve">i</m:t>
            </m:r>
          </m:sub>
        </m:sSub>
      </m:oMath>
      <w:r>
        <w:rPr>
          <w:b w:val="0"/>
          <w:i w:val="0"/>
        </w:rPr>
        <w:t>—the FACT_AIR factor score;</w:t>
      </w:r>
    </w:p>
    <w:p>
      <w:pPr>
        <w:pStyle w:val="MDPI31text"/>
      </w:pPr>
      <m:oMath>
        <m:sSub>
          <m:e>
            <m:r>
              <m:t xml:space="preserve">β</m:t>
            </m:r>
          </m:e>
          <m:sub>
            <m:r>
              <m:rPr>
                <m:sty m:val="p"/>
              </m:rPr>
              <m:t xml:space="preserve">0</m:t>
            </m:r>
          </m:sub>
        </m:sSub>
      </m:oMath>
      <w:r>
        <w:rPr>
          <w:b w:val="0"/>
          <w:i w:val="0"/>
        </w:rPr>
        <w:t>—intercept;</w:t>
      </w:r>
    </w:p>
    <w:p>
      <w:pPr>
        <w:pStyle w:val="MDPI31text"/>
      </w:pPr>
      <m:oMath>
        <m:sSub>
          <m:e>
            <m:r>
              <m:t xml:space="preserve">β</m:t>
            </m:r>
          </m:e>
          <m:sub>
            <m:r>
              <m:rPr>
                <m:sty m:val="p"/>
              </m:rPr>
              <m:t xml:space="preserve">1</m:t>
            </m:r>
          </m:sub>
        </m:sSub>
      </m:oMath>
      <w:r>
        <w:rPr>
          <w:b w:val="0"/>
          <w:i w:val="0"/>
        </w:rPr>
        <w:t>—regression coefficient;</w:t>
      </w:r>
    </w:p>
    <w:p>
      <w:pPr>
        <w:pStyle w:val="MDPI31text"/>
      </w:pPr>
      <m:oMath>
        <m:sSub>
          <m:e>
            <m:r>
              <m:t xml:space="preserve">ε</m:t>
            </m:r>
          </m:e>
          <m:sub>
            <m:r>
              <m:t xml:space="preserve">i</m:t>
            </m:r>
          </m:sub>
        </m:sSub>
      </m:oMath>
      <w:r>
        <w:rPr>
          <w:b w:val="0"/>
          <w:i w:val="0"/>
        </w:rPr>
        <w:t>—error.</w:t>
      </w:r>
    </w:p>
    <w:p>
      <w:pPr>
        <w:pStyle w:val="MDPI31text"/>
      </w:pPr>
      <w:r>
        <w:rPr>
          <w:b w:val="0"/>
          <w:i w:val="0"/>
        </w:rPr>
        <w:t xml:space="preserve">Finally, cluster analysis is applied to identify emergent national-level patterns based on the four readiness variables and the two youth indicators, standardized before clustering. The initial data structure and the candidate number of groups are determined by hierarchical clustering with Pearson correlation as the proximity measure and the Average Linkage agglomeration method </w:t>
      </w:r>
      <w:r>
        <w:t>[</w:t>
      </w:r>
      <w:r>
        <w:fldChar w:fldCharType="begin"/>
      </w:r>
      <w:r>
        <w:instrText xml:space="preserve"> REF _Ref_93 \h </w:instrText>
      </w:r>
      <w:r>
        <w:fldChar w:fldCharType="separate"/>
      </w:r>
      <w:r>
        <w:t>93</w:t>
      </w:r>
      <w:r>
        <w:fldChar w:fldCharType="end"/>
      </w:r>
      <w:r>
        <w:t>]</w:t>
      </w:r>
      <w:r>
        <w:rPr>
          <w:b w:val="0"/>
          <w:i w:val="0"/>
        </w:rPr>
        <w:t xml:space="preserve">. This is an exploratory step, and the study uses the k-means algorithm </w:t>
      </w:r>
      <w:r>
        <w:t>[</w:t>
      </w:r>
      <w:r>
        <w:fldChar w:fldCharType="begin"/>
      </w:r>
      <w:r>
        <w:instrText xml:space="preserve"> REF _Ref_94 \h </w:instrText>
      </w:r>
      <w:r>
        <w:fldChar w:fldCharType="separate"/>
      </w:r>
      <w:r>
        <w:t>94</w:t>
      </w:r>
      <w:r>
        <w:fldChar w:fldCharType="end"/>
      </w:r>
      <w:r>
        <w:t>]</w:t>
      </w:r>
      <w:r>
        <w:rPr>
          <w:b w:val="0"/>
          <w:i w:val="0"/>
        </w:rPr>
        <w:t xml:space="preserve"> to stabilize the clusters by minimizing the sum of squared distances between cluster centres. Differences between clusters were described using analysis of variance (ANOVA), and the internal coherence of the solution was assessed with the average silhouette coefficient </w:t>
      </w:r>
      <w:r>
        <w:t>[</w:t>
      </w:r>
      <w:r>
        <w:fldChar w:fldCharType="begin"/>
      </w:r>
      <w:r>
        <w:instrText xml:space="preserve"> REF _Ref_95 \h </w:instrText>
      </w:r>
      <w:r>
        <w:fldChar w:fldCharType="separate"/>
      </w:r>
      <w:r>
        <w:t>95</w:t>
      </w:r>
      <w:r>
        <w:fldChar w:fldCharType="end"/>
      </w:r>
      <w:r>
        <w:t>]</w:t>
      </w:r>
      <w:r>
        <w:rPr>
          <w:b w:val="0"/>
          <w:i w:val="0"/>
        </w:rPr>
        <w:t>. Since the clusters were constructed from the same variables used in the ANOVA, these results are interpreted descriptively rather than as independent statistical confirmation of cluster separation. This combination of methods allows the study to capture direct linear relationships, the latent structure, and the system’s emergent typologies within a complex adaptive socio-technical systems framework.</w:t>
      </w:r>
    </w:p>
    <w:p>
      <w:pPr>
        <w:pStyle w:val="MDPI21heading1"/>
      </w:pPr>
      <w:r>
        <w:t>4. Results</w:t>
      </w:r>
    </w:p>
    <w:p>
      <w:pPr>
        <w:pStyle w:val="MDPI22heading2"/>
      </w:pPr>
      <w:r>
        <w:t>4.1. Cross-Sectional Relationships Between Artificial Intelligence Readiness, Youth Disengagement, and Youth Unemployment</w:t>
      </w:r>
    </w:p>
    <w:p>
      <w:pPr>
        <w:pStyle w:val="MDPI32textnoindent"/>
      </w:pPr>
      <w:r>
        <w:rPr>
          <w:b w:val="0"/>
          <w:i w:val="0"/>
        </w:rPr>
        <w:t>The first multivariate model analyzed the association between enterprise adoption of artificial intelligence (AIENT) and the youth NEET rate and youth unemployment rate. The multivariate tests indicate a significant global association with a large effect size (Pillai’s Trace = 0.549, Wilks’ Lambda = 0.451, F = 14.579, p &lt; 0.001), suggesting that enterprise adoption is associated with the joint distribution of the two youth indicators. At the univariate level, however, the association is concentrated on one margin. AIENT is associated with approximately 54% of the cross-sectional variance in the NEET rate (B = −0.321, p &lt; 0.001), while its association with the youth unemployment rate does not reach the conventional 5% significance threshold (B = −0.219, p = 0.148, partial eta squared = 0.082). Higher enterprise adoption is associated with a significantly lower share of disengaged young people, but not with a significantly lower unemployment rate among active young job seekers (Table 2).</w:t>
      </w:r>
    </w:p>
    <w:p>
      <w:pPr>
        <w:pStyle w:val="MDPI41tablecaption"/>
        <w:keepNext/>
        <w:spacing w:after="60"/>
      </w:pPr>
      <w:r>
        <w:rPr>
          <w:b/>
          <w:sz w:val="18"/>
        </w:rPr>
        <w:t xml:space="preserve">Table 2. </w:t>
      </w:r>
      <w:r>
        <w:rPr>
          <w:b w:val="0"/>
          <w:i w:val="0"/>
          <w:sz w:val="18"/>
        </w:rPr>
        <w:t>Parameter estimates for the relationship between enterprise adoption of artificial intelligence and youth labour-market indicators.</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1099"/>
        <w:gridCol w:w="1017"/>
        <w:gridCol w:w="732"/>
        <w:gridCol w:w="814"/>
        <w:gridCol w:w="732"/>
        <w:gridCol w:w="692"/>
        <w:gridCol w:w="855"/>
        <w:gridCol w:w="855"/>
        <w:gridCol w:w="1058"/>
      </w:tblGrid>
      <w:tr>
        <w:trPr>
          <w:cantSplit/>
          <w:tblHeader/>
        </w:trPr>
        <w:tc>
          <w:tcPr>
            <w:tcW w:type="dxa" w:w="1099"/>
            <w:tcBorders>
              <w:bottom w:val="single" w:sz="8" w:space="0" w:color="auto"/>
            </w:tcBorders>
          </w:tcPr>
          <w:p>
            <w:pPr>
              <w:pStyle w:val="MDPI42tablebody"/>
              <w:keepNext/>
              <w:spacing w:line="240" w:lineRule="auto" w:before="30" w:after="30"/>
              <w:jc w:val="center"/>
            </w:pPr>
            <w:r>
              <w:rPr>
                <w:b/>
                <w:i w:val="0"/>
                <w:sz w:val="15"/>
              </w:rPr>
              <w:t>Dependent Variable</w:t>
            </w:r>
          </w:p>
        </w:tc>
        <w:tc>
          <w:tcPr>
            <w:tcW w:type="dxa" w:w="1017"/>
            <w:tcBorders>
              <w:bottom w:val="single" w:sz="8" w:space="0" w:color="auto"/>
            </w:tcBorders>
          </w:tcPr>
          <w:p>
            <w:pPr>
              <w:pStyle w:val="MDPI42tablebody"/>
              <w:keepNext/>
              <w:spacing w:line="240" w:lineRule="auto" w:before="30" w:after="30"/>
              <w:jc w:val="center"/>
            </w:pPr>
            <w:r>
              <w:rPr>
                <w:b/>
                <w:i w:val="0"/>
                <w:sz w:val="15"/>
              </w:rPr>
              <w:t>Parameter</w:t>
            </w:r>
          </w:p>
        </w:tc>
        <w:tc>
          <w:tcPr>
            <w:tcW w:type="dxa" w:w="732"/>
            <w:tcBorders>
              <w:bottom w:val="single" w:sz="8" w:space="0" w:color="auto"/>
            </w:tcBorders>
          </w:tcPr>
          <w:p>
            <w:pPr>
              <w:pStyle w:val="MDPI42tablebody"/>
              <w:keepNext/>
              <w:spacing w:line="240" w:lineRule="auto" w:before="30" w:after="30"/>
              <w:jc w:val="center"/>
            </w:pPr>
            <w:r>
              <w:rPr>
                <w:b/>
                <w:i w:val="0"/>
                <w:sz w:val="15"/>
              </w:rPr>
              <w:t>B</w:t>
            </w:r>
          </w:p>
        </w:tc>
        <w:tc>
          <w:tcPr>
            <w:tcW w:type="dxa" w:w="814"/>
            <w:tcBorders>
              <w:bottom w:val="single" w:sz="8" w:space="0" w:color="auto"/>
            </w:tcBorders>
          </w:tcPr>
          <w:p>
            <w:pPr>
              <w:pStyle w:val="MDPI42tablebody"/>
              <w:keepNext/>
              <w:spacing w:line="240" w:lineRule="auto" w:before="30" w:after="30"/>
              <w:jc w:val="center"/>
            </w:pPr>
            <w:r>
              <w:rPr>
                <w:b/>
                <w:i w:val="0"/>
                <w:sz w:val="15"/>
              </w:rPr>
              <w:t>Std. Error</w:t>
            </w:r>
          </w:p>
        </w:tc>
        <w:tc>
          <w:tcPr>
            <w:tcW w:type="dxa" w:w="732"/>
            <w:tcBorders>
              <w:bottom w:val="single" w:sz="8" w:space="0" w:color="auto"/>
            </w:tcBorders>
          </w:tcPr>
          <w:p>
            <w:pPr>
              <w:pStyle w:val="MDPI42tablebody"/>
              <w:keepNext/>
              <w:spacing w:line="240" w:lineRule="auto" w:before="30" w:after="30"/>
              <w:jc w:val="center"/>
            </w:pPr>
            <w:r>
              <w:rPr>
                <w:b/>
                <w:i w:val="0"/>
                <w:sz w:val="15"/>
              </w:rPr>
              <w:t>t</w:t>
            </w:r>
          </w:p>
        </w:tc>
        <w:tc>
          <w:tcPr>
            <w:tcW w:type="dxa" w:w="692"/>
            <w:tcBorders>
              <w:bottom w:val="single" w:sz="8" w:space="0" w:color="auto"/>
            </w:tcBorders>
          </w:tcPr>
          <w:p>
            <w:pPr>
              <w:pStyle w:val="MDPI42tablebody"/>
              <w:keepNext/>
              <w:spacing w:line="240" w:lineRule="auto" w:before="30" w:after="30"/>
              <w:jc w:val="center"/>
            </w:pPr>
            <w:r>
              <w:rPr>
                <w:b/>
                <w:i w:val="0"/>
                <w:sz w:val="15"/>
              </w:rPr>
              <w:t>Sig.</w:t>
            </w:r>
          </w:p>
        </w:tc>
        <w:tc>
          <w:tcPr>
            <w:tcW w:type="dxa" w:w="855"/>
            <w:tcBorders>
              <w:bottom w:val="single" w:sz="8" w:space="0" w:color="auto"/>
            </w:tcBorders>
          </w:tcPr>
          <w:p>
            <w:pPr>
              <w:pStyle w:val="MDPI42tablebody"/>
              <w:keepNext/>
              <w:spacing w:line="240" w:lineRule="auto" w:before="30" w:after="30"/>
              <w:jc w:val="center"/>
            </w:pPr>
            <w:r>
              <w:rPr>
                <w:b/>
                <w:i w:val="0"/>
                <w:sz w:val="15"/>
              </w:rPr>
              <w:t>95% CI Lower</w:t>
            </w:r>
          </w:p>
        </w:tc>
        <w:tc>
          <w:tcPr>
            <w:tcW w:type="dxa" w:w="855"/>
            <w:tcBorders>
              <w:bottom w:val="single" w:sz="8" w:space="0" w:color="auto"/>
            </w:tcBorders>
          </w:tcPr>
          <w:p>
            <w:pPr>
              <w:pStyle w:val="MDPI42tablebody"/>
              <w:keepNext/>
              <w:spacing w:line="240" w:lineRule="auto" w:before="30" w:after="30"/>
              <w:jc w:val="center"/>
            </w:pPr>
            <w:r>
              <w:rPr>
                <w:b/>
                <w:i w:val="0"/>
                <w:sz w:val="15"/>
              </w:rPr>
              <w:t>95% CI Upper</w:t>
            </w:r>
          </w:p>
        </w:tc>
        <w:tc>
          <w:tcPr>
            <w:tcW w:type="dxa" w:w="1058"/>
            <w:tcBorders>
              <w:bottom w:val="single" w:sz="8" w:space="0" w:color="auto"/>
            </w:tcBorders>
          </w:tcPr>
          <w:p>
            <w:pPr>
              <w:pStyle w:val="MDPI42tablebody"/>
              <w:keepNext/>
              <w:spacing w:line="240" w:lineRule="auto" w:before="30" w:after="30"/>
              <w:jc w:val="center"/>
            </w:pPr>
            <w:r>
              <w:rPr>
                <w:b/>
                <w:i w:val="0"/>
                <w:sz w:val="15"/>
              </w:rPr>
              <w:t>Partial Eta Squared</w:t>
            </w:r>
          </w:p>
        </w:tc>
      </w:tr>
      <w:tr>
        <w:trPr>
          <w:cantSplit/>
        </w:trPr>
        <w:tc>
          <w:tcPr>
            <w:tcW w:type="dxa" w:w="1099"/>
          </w:tcPr>
          <w:p>
            <w:pPr>
              <w:pStyle w:val="MDPI42tablebody"/>
              <w:keepNext/>
              <w:spacing w:line="240" w:lineRule="auto" w:before="30" w:after="30"/>
              <w:jc w:val="left"/>
            </w:pPr>
            <w:r>
              <w:rPr>
                <w:b w:val="0"/>
                <w:i w:val="0"/>
                <w:sz w:val="15"/>
              </w:rPr>
              <w:t>NEET</w:t>
            </w:r>
          </w:p>
        </w:tc>
        <w:tc>
          <w:tcPr>
            <w:tcW w:type="dxa" w:w="1017"/>
          </w:tcPr>
          <w:p>
            <w:pPr>
              <w:pStyle w:val="MDPI42tablebody"/>
              <w:keepNext/>
              <w:spacing w:line="240" w:lineRule="auto" w:before="30" w:after="30"/>
              <w:jc w:val="center"/>
            </w:pPr>
            <w:r>
              <w:rPr>
                <w:b w:val="0"/>
                <w:i w:val="0"/>
                <w:sz w:val="15"/>
              </w:rPr>
              <w:t>Intercept</w:t>
            </w:r>
          </w:p>
        </w:tc>
        <w:tc>
          <w:tcPr>
            <w:tcW w:type="dxa" w:w="732"/>
          </w:tcPr>
          <w:p>
            <w:pPr>
              <w:pStyle w:val="MDPI42tablebody"/>
              <w:keepNext/>
              <w:spacing w:line="240" w:lineRule="auto" w:before="30" w:after="30"/>
              <w:jc w:val="center"/>
            </w:pPr>
            <w:r>
              <w:rPr>
                <w:b w:val="0"/>
                <w:i w:val="0"/>
                <w:sz w:val="15"/>
              </w:rPr>
              <w:t>14.917</w:t>
            </w:r>
          </w:p>
        </w:tc>
        <w:tc>
          <w:tcPr>
            <w:tcW w:type="dxa" w:w="814"/>
          </w:tcPr>
          <w:p>
            <w:pPr>
              <w:pStyle w:val="MDPI42tablebody"/>
              <w:keepNext/>
              <w:spacing w:line="240" w:lineRule="auto" w:before="30" w:after="30"/>
              <w:jc w:val="center"/>
            </w:pPr>
            <w:r>
              <w:rPr>
                <w:b w:val="0"/>
                <w:i w:val="0"/>
                <w:sz w:val="15"/>
              </w:rPr>
              <w:t>0.957</w:t>
            </w:r>
          </w:p>
        </w:tc>
        <w:tc>
          <w:tcPr>
            <w:tcW w:type="dxa" w:w="732"/>
          </w:tcPr>
          <w:p>
            <w:pPr>
              <w:pStyle w:val="MDPI42tablebody"/>
              <w:keepNext/>
              <w:spacing w:line="240" w:lineRule="auto" w:before="30" w:after="30"/>
              <w:jc w:val="center"/>
            </w:pPr>
            <w:r>
              <w:rPr>
                <w:b w:val="0"/>
                <w:i w:val="0"/>
                <w:sz w:val="15"/>
              </w:rPr>
              <w:t>15.583</w:t>
            </w:r>
          </w:p>
        </w:tc>
        <w:tc>
          <w:tcPr>
            <w:tcW w:type="dxa" w:w="692"/>
          </w:tcPr>
          <w:p>
            <w:pPr>
              <w:pStyle w:val="MDPI42tablebody"/>
              <w:keepNext/>
              <w:spacing w:line="240" w:lineRule="auto" w:before="30" w:after="30"/>
              <w:jc w:val="center"/>
            </w:pPr>
            <w:r>
              <w:rPr>
                <w:b w:val="0"/>
                <w:i w:val="0"/>
                <w:sz w:val="15"/>
              </w:rPr>
              <w:t>0.000</w:t>
            </w:r>
          </w:p>
        </w:tc>
        <w:tc>
          <w:tcPr>
            <w:tcW w:type="dxa" w:w="855"/>
          </w:tcPr>
          <w:p>
            <w:pPr>
              <w:pStyle w:val="MDPI42tablebody"/>
              <w:keepNext/>
              <w:spacing w:line="240" w:lineRule="auto" w:before="30" w:after="30"/>
              <w:jc w:val="center"/>
            </w:pPr>
            <w:r>
              <w:rPr>
                <w:b w:val="0"/>
                <w:i w:val="0"/>
                <w:sz w:val="15"/>
              </w:rPr>
              <w:t>12.945</w:t>
            </w:r>
          </w:p>
        </w:tc>
        <w:tc>
          <w:tcPr>
            <w:tcW w:type="dxa" w:w="855"/>
          </w:tcPr>
          <w:p>
            <w:pPr>
              <w:pStyle w:val="MDPI42tablebody"/>
              <w:keepNext/>
              <w:spacing w:line="240" w:lineRule="auto" w:before="30" w:after="30"/>
              <w:jc w:val="center"/>
            </w:pPr>
            <w:r>
              <w:rPr>
                <w:b w:val="0"/>
                <w:i w:val="0"/>
                <w:sz w:val="15"/>
              </w:rPr>
              <w:t>16.888</w:t>
            </w:r>
          </w:p>
        </w:tc>
        <w:tc>
          <w:tcPr>
            <w:tcW w:type="dxa" w:w="1058"/>
          </w:tcPr>
          <w:p>
            <w:pPr>
              <w:pStyle w:val="MDPI42tablebody"/>
              <w:keepNext/>
              <w:spacing w:line="240" w:lineRule="auto" w:before="30" w:after="30"/>
              <w:jc w:val="center"/>
            </w:pPr>
            <w:r>
              <w:rPr>
                <w:b w:val="0"/>
                <w:i w:val="0"/>
                <w:sz w:val="15"/>
              </w:rPr>
              <w:t>0.907</w:t>
            </w:r>
          </w:p>
        </w:tc>
      </w:tr>
      <w:tr>
        <w:trPr>
          <w:cantSplit/>
        </w:trPr>
        <w:tc>
          <w:tcPr>
            <w:tcW w:type="dxa" w:w="1099"/>
          </w:tcPr>
          <w:p>
            <w:pPr>
              <w:pStyle w:val="MDPI42tablebody"/>
              <w:keepNext/>
              <w:spacing w:line="240" w:lineRule="auto" w:before="30" w:after="30"/>
              <w:jc w:val="left"/>
            </w:pPr>
          </w:p>
        </w:tc>
        <w:tc>
          <w:tcPr>
            <w:tcW w:type="dxa" w:w="1017"/>
          </w:tcPr>
          <w:p>
            <w:pPr>
              <w:pStyle w:val="MDPI42tablebody"/>
              <w:keepNext/>
              <w:spacing w:line="240" w:lineRule="auto" w:before="30" w:after="30"/>
              <w:jc w:val="center"/>
            </w:pPr>
            <w:r>
              <w:rPr>
                <w:b w:val="0"/>
                <w:i w:val="0"/>
                <w:sz w:val="15"/>
              </w:rPr>
              <w:t>AIENT</w:t>
            </w:r>
          </w:p>
        </w:tc>
        <w:tc>
          <w:tcPr>
            <w:tcW w:type="dxa" w:w="732"/>
          </w:tcPr>
          <w:p>
            <w:pPr>
              <w:pStyle w:val="MDPI42tablebody"/>
              <w:keepNext/>
              <w:spacing w:line="240" w:lineRule="auto" w:before="30" w:after="30"/>
              <w:jc w:val="center"/>
            </w:pPr>
            <w:r>
              <w:rPr>
                <w:b w:val="0"/>
                <w:i w:val="0"/>
                <w:sz w:val="15"/>
              </w:rPr>
              <w:t>−0.321</w:t>
            </w:r>
          </w:p>
        </w:tc>
        <w:tc>
          <w:tcPr>
            <w:tcW w:type="dxa" w:w="814"/>
          </w:tcPr>
          <w:p>
            <w:pPr>
              <w:pStyle w:val="MDPI42tablebody"/>
              <w:keepNext/>
              <w:spacing w:line="240" w:lineRule="auto" w:before="30" w:after="30"/>
              <w:jc w:val="center"/>
            </w:pPr>
            <w:r>
              <w:rPr>
                <w:b w:val="0"/>
                <w:i w:val="0"/>
                <w:sz w:val="15"/>
              </w:rPr>
              <w:t>0.059</w:t>
            </w:r>
          </w:p>
        </w:tc>
        <w:tc>
          <w:tcPr>
            <w:tcW w:type="dxa" w:w="732"/>
          </w:tcPr>
          <w:p>
            <w:pPr>
              <w:pStyle w:val="MDPI42tablebody"/>
              <w:keepNext/>
              <w:spacing w:line="240" w:lineRule="auto" w:before="30" w:after="30"/>
              <w:jc w:val="center"/>
            </w:pPr>
            <w:r>
              <w:rPr>
                <w:b w:val="0"/>
                <w:i w:val="0"/>
                <w:sz w:val="15"/>
              </w:rPr>
              <w:t>−5.456</w:t>
            </w:r>
          </w:p>
        </w:tc>
        <w:tc>
          <w:tcPr>
            <w:tcW w:type="dxa" w:w="692"/>
          </w:tcPr>
          <w:p>
            <w:pPr>
              <w:pStyle w:val="MDPI42tablebody"/>
              <w:keepNext/>
              <w:spacing w:line="240" w:lineRule="auto" w:before="30" w:after="30"/>
              <w:jc w:val="center"/>
            </w:pPr>
            <w:r>
              <w:rPr>
                <w:b w:val="0"/>
                <w:i w:val="0"/>
                <w:sz w:val="15"/>
              </w:rPr>
              <w:t>0.000</w:t>
            </w:r>
          </w:p>
        </w:tc>
        <w:tc>
          <w:tcPr>
            <w:tcW w:type="dxa" w:w="855"/>
          </w:tcPr>
          <w:p>
            <w:pPr>
              <w:pStyle w:val="MDPI42tablebody"/>
              <w:keepNext/>
              <w:spacing w:line="240" w:lineRule="auto" w:before="30" w:after="30"/>
              <w:jc w:val="center"/>
            </w:pPr>
            <w:r>
              <w:rPr>
                <w:b w:val="0"/>
                <w:i w:val="0"/>
                <w:sz w:val="15"/>
              </w:rPr>
              <w:t>−0.442</w:t>
            </w:r>
          </w:p>
        </w:tc>
        <w:tc>
          <w:tcPr>
            <w:tcW w:type="dxa" w:w="855"/>
          </w:tcPr>
          <w:p>
            <w:pPr>
              <w:pStyle w:val="MDPI42tablebody"/>
              <w:keepNext/>
              <w:spacing w:line="240" w:lineRule="auto" w:before="30" w:after="30"/>
              <w:jc w:val="center"/>
            </w:pPr>
            <w:r>
              <w:rPr>
                <w:b w:val="0"/>
                <w:i w:val="0"/>
                <w:sz w:val="15"/>
              </w:rPr>
              <w:t>−0.200</w:t>
            </w:r>
          </w:p>
        </w:tc>
        <w:tc>
          <w:tcPr>
            <w:tcW w:type="dxa" w:w="1058"/>
          </w:tcPr>
          <w:p>
            <w:pPr>
              <w:pStyle w:val="MDPI42tablebody"/>
              <w:keepNext/>
              <w:spacing w:line="240" w:lineRule="auto" w:before="30" w:after="30"/>
              <w:jc w:val="center"/>
            </w:pPr>
            <w:r>
              <w:rPr>
                <w:b w:val="0"/>
                <w:i w:val="0"/>
                <w:sz w:val="15"/>
              </w:rPr>
              <w:t>0.544</w:t>
            </w:r>
          </w:p>
        </w:tc>
      </w:tr>
      <w:tr>
        <w:trPr>
          <w:cantSplit/>
        </w:trPr>
        <w:tc>
          <w:tcPr>
            <w:tcW w:type="dxa" w:w="1099"/>
          </w:tcPr>
          <w:p>
            <w:pPr>
              <w:pStyle w:val="MDPI42tablebody"/>
              <w:keepNext/>
              <w:spacing w:line="240" w:lineRule="auto" w:before="30" w:after="30"/>
              <w:jc w:val="left"/>
            </w:pPr>
            <w:r>
              <w:rPr>
                <w:b w:val="0"/>
                <w:i w:val="0"/>
                <w:sz w:val="15"/>
              </w:rPr>
              <w:t>YUR</w:t>
            </w:r>
          </w:p>
        </w:tc>
        <w:tc>
          <w:tcPr>
            <w:tcW w:type="dxa" w:w="1017"/>
          </w:tcPr>
          <w:p>
            <w:pPr>
              <w:pStyle w:val="MDPI42tablebody"/>
              <w:keepNext/>
              <w:spacing w:line="240" w:lineRule="auto" w:before="30" w:after="30"/>
              <w:jc w:val="center"/>
            </w:pPr>
            <w:r>
              <w:rPr>
                <w:b w:val="0"/>
                <w:i w:val="0"/>
                <w:sz w:val="15"/>
              </w:rPr>
              <w:t>Intercept</w:t>
            </w:r>
          </w:p>
        </w:tc>
        <w:tc>
          <w:tcPr>
            <w:tcW w:type="dxa" w:w="732"/>
          </w:tcPr>
          <w:p>
            <w:pPr>
              <w:pStyle w:val="MDPI42tablebody"/>
              <w:keepNext/>
              <w:spacing w:line="240" w:lineRule="auto" w:before="30" w:after="30"/>
              <w:jc w:val="center"/>
            </w:pPr>
            <w:r>
              <w:rPr>
                <w:b w:val="0"/>
                <w:i w:val="0"/>
                <w:sz w:val="15"/>
              </w:rPr>
              <w:t>18.861</w:t>
            </w:r>
          </w:p>
        </w:tc>
        <w:tc>
          <w:tcPr>
            <w:tcW w:type="dxa" w:w="814"/>
          </w:tcPr>
          <w:p>
            <w:pPr>
              <w:pStyle w:val="MDPI42tablebody"/>
              <w:keepNext/>
              <w:spacing w:line="240" w:lineRule="auto" w:before="30" w:after="30"/>
              <w:jc w:val="center"/>
            </w:pPr>
            <w:r>
              <w:rPr>
                <w:b w:val="0"/>
                <w:i w:val="0"/>
                <w:sz w:val="15"/>
              </w:rPr>
              <w:t>2.385</w:t>
            </w:r>
          </w:p>
        </w:tc>
        <w:tc>
          <w:tcPr>
            <w:tcW w:type="dxa" w:w="732"/>
          </w:tcPr>
          <w:p>
            <w:pPr>
              <w:pStyle w:val="MDPI42tablebody"/>
              <w:keepNext/>
              <w:spacing w:line="240" w:lineRule="auto" w:before="30" w:after="30"/>
              <w:jc w:val="center"/>
            </w:pPr>
            <w:r>
              <w:rPr>
                <w:b w:val="0"/>
                <w:i w:val="0"/>
                <w:sz w:val="15"/>
              </w:rPr>
              <w:t>7.907</w:t>
            </w:r>
          </w:p>
        </w:tc>
        <w:tc>
          <w:tcPr>
            <w:tcW w:type="dxa" w:w="692"/>
          </w:tcPr>
          <w:p>
            <w:pPr>
              <w:pStyle w:val="MDPI42tablebody"/>
              <w:keepNext/>
              <w:spacing w:line="240" w:lineRule="auto" w:before="30" w:after="30"/>
              <w:jc w:val="center"/>
            </w:pPr>
            <w:r>
              <w:rPr>
                <w:b w:val="0"/>
                <w:i w:val="0"/>
                <w:sz w:val="15"/>
              </w:rPr>
              <w:t>0.000</w:t>
            </w:r>
          </w:p>
        </w:tc>
        <w:tc>
          <w:tcPr>
            <w:tcW w:type="dxa" w:w="855"/>
          </w:tcPr>
          <w:p>
            <w:pPr>
              <w:pStyle w:val="MDPI42tablebody"/>
              <w:keepNext/>
              <w:spacing w:line="240" w:lineRule="auto" w:before="30" w:after="30"/>
              <w:jc w:val="center"/>
            </w:pPr>
            <w:r>
              <w:rPr>
                <w:b w:val="0"/>
                <w:i w:val="0"/>
                <w:sz w:val="15"/>
              </w:rPr>
              <w:t>13.948</w:t>
            </w:r>
          </w:p>
        </w:tc>
        <w:tc>
          <w:tcPr>
            <w:tcW w:type="dxa" w:w="855"/>
          </w:tcPr>
          <w:p>
            <w:pPr>
              <w:pStyle w:val="MDPI42tablebody"/>
              <w:keepNext/>
              <w:spacing w:line="240" w:lineRule="auto" w:before="30" w:after="30"/>
              <w:jc w:val="center"/>
            </w:pPr>
            <w:r>
              <w:rPr>
                <w:b w:val="0"/>
                <w:i w:val="0"/>
                <w:sz w:val="15"/>
              </w:rPr>
              <w:t>23.774</w:t>
            </w:r>
          </w:p>
        </w:tc>
        <w:tc>
          <w:tcPr>
            <w:tcW w:type="dxa" w:w="1058"/>
          </w:tcPr>
          <w:p>
            <w:pPr>
              <w:pStyle w:val="MDPI42tablebody"/>
              <w:keepNext/>
              <w:spacing w:line="240" w:lineRule="auto" w:before="30" w:after="30"/>
              <w:jc w:val="center"/>
            </w:pPr>
            <w:r>
              <w:rPr>
                <w:b w:val="0"/>
                <w:i w:val="0"/>
                <w:sz w:val="15"/>
              </w:rPr>
              <w:t>0.714</w:t>
            </w:r>
          </w:p>
        </w:tc>
      </w:tr>
      <w:tr>
        <w:trPr>
          <w:cantSplit/>
        </w:trPr>
        <w:tc>
          <w:tcPr>
            <w:tcW w:type="dxa" w:w="1099"/>
          </w:tcPr>
          <w:p>
            <w:pPr>
              <w:pStyle w:val="MDPI42tablebody"/>
              <w:keepNext/>
              <w:spacing w:line="240" w:lineRule="auto" w:before="30" w:after="30"/>
              <w:jc w:val="left"/>
            </w:pPr>
          </w:p>
        </w:tc>
        <w:tc>
          <w:tcPr>
            <w:tcW w:type="dxa" w:w="1017"/>
          </w:tcPr>
          <w:p>
            <w:pPr>
              <w:pStyle w:val="MDPI42tablebody"/>
              <w:keepNext/>
              <w:spacing w:line="240" w:lineRule="auto" w:before="30" w:after="30"/>
              <w:jc w:val="center"/>
            </w:pPr>
            <w:r>
              <w:rPr>
                <w:b w:val="0"/>
                <w:i w:val="0"/>
                <w:sz w:val="15"/>
              </w:rPr>
              <w:t>AIENT</w:t>
            </w:r>
          </w:p>
        </w:tc>
        <w:tc>
          <w:tcPr>
            <w:tcW w:type="dxa" w:w="732"/>
          </w:tcPr>
          <w:p>
            <w:pPr>
              <w:pStyle w:val="MDPI42tablebody"/>
              <w:keepNext/>
              <w:spacing w:line="240" w:lineRule="auto" w:before="30" w:after="30"/>
              <w:jc w:val="center"/>
            </w:pPr>
            <w:r>
              <w:rPr>
                <w:b w:val="0"/>
                <w:i w:val="0"/>
                <w:sz w:val="15"/>
              </w:rPr>
              <w:t>−0.219</w:t>
            </w:r>
          </w:p>
        </w:tc>
        <w:tc>
          <w:tcPr>
            <w:tcW w:type="dxa" w:w="814"/>
          </w:tcPr>
          <w:p>
            <w:pPr>
              <w:pStyle w:val="MDPI42tablebody"/>
              <w:keepNext/>
              <w:spacing w:line="240" w:lineRule="auto" w:before="30" w:after="30"/>
              <w:jc w:val="center"/>
            </w:pPr>
            <w:r>
              <w:rPr>
                <w:b w:val="0"/>
                <w:i w:val="0"/>
                <w:sz w:val="15"/>
              </w:rPr>
              <w:t>0.147</w:t>
            </w:r>
          </w:p>
        </w:tc>
        <w:tc>
          <w:tcPr>
            <w:tcW w:type="dxa" w:w="732"/>
          </w:tcPr>
          <w:p>
            <w:pPr>
              <w:pStyle w:val="MDPI42tablebody"/>
              <w:keepNext/>
              <w:spacing w:line="240" w:lineRule="auto" w:before="30" w:after="30"/>
              <w:jc w:val="center"/>
            </w:pPr>
            <w:r>
              <w:rPr>
                <w:b w:val="0"/>
                <w:i w:val="0"/>
                <w:sz w:val="15"/>
              </w:rPr>
              <w:t>−1.493</w:t>
            </w:r>
          </w:p>
        </w:tc>
        <w:tc>
          <w:tcPr>
            <w:tcW w:type="dxa" w:w="692"/>
          </w:tcPr>
          <w:p>
            <w:pPr>
              <w:pStyle w:val="MDPI42tablebody"/>
              <w:keepNext/>
              <w:spacing w:line="240" w:lineRule="auto" w:before="30" w:after="30"/>
              <w:jc w:val="center"/>
            </w:pPr>
            <w:r>
              <w:rPr>
                <w:b w:val="0"/>
                <w:i w:val="0"/>
                <w:sz w:val="15"/>
              </w:rPr>
              <w:t>0.148</w:t>
            </w:r>
          </w:p>
        </w:tc>
        <w:tc>
          <w:tcPr>
            <w:tcW w:type="dxa" w:w="855"/>
          </w:tcPr>
          <w:p>
            <w:pPr>
              <w:pStyle w:val="MDPI42tablebody"/>
              <w:keepNext/>
              <w:spacing w:line="240" w:lineRule="auto" w:before="30" w:after="30"/>
              <w:jc w:val="center"/>
            </w:pPr>
            <w:r>
              <w:rPr>
                <w:b w:val="0"/>
                <w:i w:val="0"/>
                <w:sz w:val="15"/>
              </w:rPr>
              <w:t>−0.521</w:t>
            </w:r>
          </w:p>
        </w:tc>
        <w:tc>
          <w:tcPr>
            <w:tcW w:type="dxa" w:w="855"/>
          </w:tcPr>
          <w:p>
            <w:pPr>
              <w:pStyle w:val="MDPI42tablebody"/>
              <w:keepNext/>
              <w:spacing w:line="240" w:lineRule="auto" w:before="30" w:after="30"/>
              <w:jc w:val="center"/>
            </w:pPr>
            <w:r>
              <w:rPr>
                <w:b w:val="0"/>
                <w:i w:val="0"/>
                <w:sz w:val="15"/>
              </w:rPr>
              <w:t>0.083</w:t>
            </w:r>
          </w:p>
        </w:tc>
        <w:tc>
          <w:tcPr>
            <w:tcW w:type="dxa" w:w="1058"/>
          </w:tcPr>
          <w:p>
            <w:pPr>
              <w:pStyle w:val="MDPI42tablebody"/>
              <w:keepNext/>
              <w:spacing w:line="240" w:lineRule="auto" w:before="30" w:after="30"/>
              <w:jc w:val="center"/>
            </w:pPr>
            <w:r>
              <w:rPr>
                <w:b w:val="0"/>
                <w:i w:val="0"/>
                <w:sz w:val="15"/>
              </w:rPr>
              <w:t>0.082</w:t>
            </w:r>
          </w:p>
        </w:tc>
      </w:tr>
    </w:tbl>
    <w:p>
      <w:pPr>
        <w:pStyle w:val="MDPI43tablefooter"/>
        <w:spacing w:line="240" w:lineRule="auto" w:before="40" w:after="200"/>
        <w:ind w:left="2608" w:firstLine="0"/>
      </w:pPr>
      <w:r>
        <w:rPr>
          <w:sz w:val="16"/>
        </w:rPr>
        <w:t xml:space="preserve">Note: </w:t>
      </w:r>
      <w:r>
        <w:rPr>
          <w:b w:val="0"/>
          <w:i w:val="0"/>
          <w:sz w:val="16"/>
        </w:rPr>
        <w:t>N = 27. CI = confidence interval. The two dependent variables are modelled jointly in a multivariate general linear model. Source: authors’ calculations.</w:t>
      </w:r>
    </w:p>
    <w:p>
      <w:pPr>
        <w:pStyle w:val="MDPI31text"/>
      </w:pPr>
      <w:r>
        <w:rPr>
          <w:b w:val="0"/>
          <w:i w:val="0"/>
        </w:rPr>
        <w:t>The curve-fit analysis suggests a linear relationship between AIENT and the NEET rate. At the same time, Figure 1 illustrates divergent behaviour of the two dependent variables: the NEET panel shows a clear downward slope with countries closely distributed around the fitted line, whereas the youth unemployment panel shows a diffuse cloud in which high-readiness economies record both the lowest and some of the highest unemployment rates in the sample.</w:t>
      </w:r>
    </w:p>
    <w:p>
      <w:pPr>
        <w:pStyle w:val="MDPI52figure"/>
        <w:keepNext/>
        <w:ind w:left="2608" w:firstLine="0"/>
        <w:jc w:val="center"/>
      </w:pPr>
      <w:r>
        <w:drawing>
          <wp:inline xmlns:a="http://schemas.openxmlformats.org/drawingml/2006/main" xmlns:pic="http://schemas.openxmlformats.org/drawingml/2006/picture">
            <wp:extent cx="4752000" cy="4248083"/>
            <wp:docPr id="1" name="Picture 1"/>
            <wp:cNvGraphicFramePr>
              <a:graphicFrameLocks noChangeAspect="1"/>
            </wp:cNvGraphicFramePr>
            <a:graphic>
              <a:graphicData uri="http://schemas.openxmlformats.org/drawingml/2006/picture">
                <pic:pic>
                  <pic:nvPicPr>
                    <pic:cNvPr id="0" name="figure1_aient.png"/>
                    <pic:cNvPicPr/>
                  </pic:nvPicPr>
                  <pic:blipFill>
                    <a:blip r:embed="rId1"/>
                    <a:stretch>
                      <a:fillRect/>
                    </a:stretch>
                  </pic:blipFill>
                  <pic:spPr>
                    <a:xfrm>
                      <a:off x="0" y="0"/>
                      <a:ext cx="4752000" cy="4248083"/>
                    </a:xfrm>
                    <a:prstGeom prst="rect"/>
                  </pic:spPr>
                </pic:pic>
              </a:graphicData>
            </a:graphic>
          </wp:inline>
        </w:drawing>
      </w:r>
    </w:p>
    <w:p>
      <w:pPr>
        <w:pStyle w:val="MDPI51figurecaption"/>
        <w:spacing w:after="200"/>
      </w:pPr>
      <w:r>
        <w:rPr>
          <w:b/>
          <w:sz w:val="18"/>
        </w:rPr>
        <w:t xml:space="preserve">Figure 1. </w:t>
      </w:r>
      <w:r>
        <w:rPr>
          <w:b w:val="0"/>
          <w:i w:val="0"/>
          <w:sz w:val="18"/>
        </w:rPr>
        <w:t>Youth NEET rate and youth unemployment rate according to enterprise adoption of artificial intelligence.</w:t>
      </w:r>
    </w:p>
    <w:p>
      <w:pPr>
        <w:pStyle w:val="MDPI31text"/>
      </w:pPr>
      <w:r>
        <w:rPr>
          <w:b w:val="0"/>
          <w:i w:val="0"/>
        </w:rPr>
        <w:t>The second model evaluated generative AI use among young individuals (GAIY). The multivariate effect is the strongest of the four models (Pillai’s Trace = 0.698, Wilks’ Lambda = 0.302, F = 27.684, p &lt; 0.001). GAIY explains approximately 63% of the variation in the NEET rate (B = −0.260, p &lt; 0.001): an increase of one percentage point in the share of young generative AI users is associated with a NEET rate lower by 0.26 percentage points. By contrast, the association with the youth unemployment rate is small and insignificant (B = −0.080, p = 0.493). The cohort that uses the technology most is not measurably less unemployed, but it is substantially less likely to be detached from both work and learning (Table 3, Figure 2).</w:t>
      </w:r>
    </w:p>
    <w:p>
      <w:pPr>
        <w:pStyle w:val="MDPI41tablecaption"/>
        <w:keepNext/>
        <w:spacing w:after="60"/>
      </w:pPr>
      <w:r>
        <w:rPr>
          <w:b/>
          <w:sz w:val="18"/>
        </w:rPr>
        <w:t xml:space="preserve">Table 3. </w:t>
      </w:r>
      <w:r>
        <w:rPr>
          <w:b w:val="0"/>
          <w:i w:val="0"/>
          <w:sz w:val="18"/>
        </w:rPr>
        <w:t>Parameter estimates for the relationship between generative AI use among young individuals and youth labour-market indicators.</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1099"/>
        <w:gridCol w:w="1017"/>
        <w:gridCol w:w="732"/>
        <w:gridCol w:w="814"/>
        <w:gridCol w:w="732"/>
        <w:gridCol w:w="692"/>
        <w:gridCol w:w="855"/>
        <w:gridCol w:w="855"/>
        <w:gridCol w:w="1058"/>
      </w:tblGrid>
      <w:tr>
        <w:trPr>
          <w:cantSplit/>
          <w:tblHeader/>
        </w:trPr>
        <w:tc>
          <w:tcPr>
            <w:tcW w:type="dxa" w:w="1099"/>
            <w:tcBorders>
              <w:bottom w:val="single" w:sz="8" w:space="0" w:color="auto"/>
            </w:tcBorders>
          </w:tcPr>
          <w:p>
            <w:pPr>
              <w:pStyle w:val="MDPI42tablebody"/>
              <w:keepNext/>
              <w:spacing w:line="240" w:lineRule="auto" w:before="30" w:after="30"/>
              <w:jc w:val="center"/>
            </w:pPr>
            <w:r>
              <w:rPr>
                <w:b/>
                <w:i w:val="0"/>
                <w:sz w:val="15"/>
              </w:rPr>
              <w:t>Dependent Variable</w:t>
            </w:r>
          </w:p>
        </w:tc>
        <w:tc>
          <w:tcPr>
            <w:tcW w:type="dxa" w:w="1017"/>
            <w:tcBorders>
              <w:bottom w:val="single" w:sz="8" w:space="0" w:color="auto"/>
            </w:tcBorders>
          </w:tcPr>
          <w:p>
            <w:pPr>
              <w:pStyle w:val="MDPI42tablebody"/>
              <w:keepNext/>
              <w:spacing w:line="240" w:lineRule="auto" w:before="30" w:after="30"/>
              <w:jc w:val="center"/>
            </w:pPr>
            <w:r>
              <w:rPr>
                <w:b/>
                <w:i w:val="0"/>
                <w:sz w:val="15"/>
              </w:rPr>
              <w:t>Parameter</w:t>
            </w:r>
          </w:p>
        </w:tc>
        <w:tc>
          <w:tcPr>
            <w:tcW w:type="dxa" w:w="732"/>
            <w:tcBorders>
              <w:bottom w:val="single" w:sz="8" w:space="0" w:color="auto"/>
            </w:tcBorders>
          </w:tcPr>
          <w:p>
            <w:pPr>
              <w:pStyle w:val="MDPI42tablebody"/>
              <w:keepNext/>
              <w:spacing w:line="240" w:lineRule="auto" w:before="30" w:after="30"/>
              <w:jc w:val="center"/>
            </w:pPr>
            <w:r>
              <w:rPr>
                <w:b/>
                <w:i w:val="0"/>
                <w:sz w:val="15"/>
              </w:rPr>
              <w:t>B</w:t>
            </w:r>
          </w:p>
        </w:tc>
        <w:tc>
          <w:tcPr>
            <w:tcW w:type="dxa" w:w="814"/>
            <w:tcBorders>
              <w:bottom w:val="single" w:sz="8" w:space="0" w:color="auto"/>
            </w:tcBorders>
          </w:tcPr>
          <w:p>
            <w:pPr>
              <w:pStyle w:val="MDPI42tablebody"/>
              <w:keepNext/>
              <w:spacing w:line="240" w:lineRule="auto" w:before="30" w:after="30"/>
              <w:jc w:val="center"/>
            </w:pPr>
            <w:r>
              <w:rPr>
                <w:b/>
                <w:i w:val="0"/>
                <w:sz w:val="15"/>
              </w:rPr>
              <w:t>Std. Error</w:t>
            </w:r>
          </w:p>
        </w:tc>
        <w:tc>
          <w:tcPr>
            <w:tcW w:type="dxa" w:w="732"/>
            <w:tcBorders>
              <w:bottom w:val="single" w:sz="8" w:space="0" w:color="auto"/>
            </w:tcBorders>
          </w:tcPr>
          <w:p>
            <w:pPr>
              <w:pStyle w:val="MDPI42tablebody"/>
              <w:keepNext/>
              <w:spacing w:line="240" w:lineRule="auto" w:before="30" w:after="30"/>
              <w:jc w:val="center"/>
            </w:pPr>
            <w:r>
              <w:rPr>
                <w:b/>
                <w:i w:val="0"/>
                <w:sz w:val="15"/>
              </w:rPr>
              <w:t>t</w:t>
            </w:r>
          </w:p>
        </w:tc>
        <w:tc>
          <w:tcPr>
            <w:tcW w:type="dxa" w:w="692"/>
            <w:tcBorders>
              <w:bottom w:val="single" w:sz="8" w:space="0" w:color="auto"/>
            </w:tcBorders>
          </w:tcPr>
          <w:p>
            <w:pPr>
              <w:pStyle w:val="MDPI42tablebody"/>
              <w:keepNext/>
              <w:spacing w:line="240" w:lineRule="auto" w:before="30" w:after="30"/>
              <w:jc w:val="center"/>
            </w:pPr>
            <w:r>
              <w:rPr>
                <w:b/>
                <w:i w:val="0"/>
                <w:sz w:val="15"/>
              </w:rPr>
              <w:t>Sig.</w:t>
            </w:r>
          </w:p>
        </w:tc>
        <w:tc>
          <w:tcPr>
            <w:tcW w:type="dxa" w:w="855"/>
            <w:tcBorders>
              <w:bottom w:val="single" w:sz="8" w:space="0" w:color="auto"/>
            </w:tcBorders>
          </w:tcPr>
          <w:p>
            <w:pPr>
              <w:pStyle w:val="MDPI42tablebody"/>
              <w:keepNext/>
              <w:spacing w:line="240" w:lineRule="auto" w:before="30" w:after="30"/>
              <w:jc w:val="center"/>
            </w:pPr>
            <w:r>
              <w:rPr>
                <w:b/>
                <w:i w:val="0"/>
                <w:sz w:val="15"/>
              </w:rPr>
              <w:t>95% CI Lower</w:t>
            </w:r>
          </w:p>
        </w:tc>
        <w:tc>
          <w:tcPr>
            <w:tcW w:type="dxa" w:w="855"/>
            <w:tcBorders>
              <w:bottom w:val="single" w:sz="8" w:space="0" w:color="auto"/>
            </w:tcBorders>
          </w:tcPr>
          <w:p>
            <w:pPr>
              <w:pStyle w:val="MDPI42tablebody"/>
              <w:keepNext/>
              <w:spacing w:line="240" w:lineRule="auto" w:before="30" w:after="30"/>
              <w:jc w:val="center"/>
            </w:pPr>
            <w:r>
              <w:rPr>
                <w:b/>
                <w:i w:val="0"/>
                <w:sz w:val="15"/>
              </w:rPr>
              <w:t>95% CI Upper</w:t>
            </w:r>
          </w:p>
        </w:tc>
        <w:tc>
          <w:tcPr>
            <w:tcW w:type="dxa" w:w="1058"/>
            <w:tcBorders>
              <w:bottom w:val="single" w:sz="8" w:space="0" w:color="auto"/>
            </w:tcBorders>
          </w:tcPr>
          <w:p>
            <w:pPr>
              <w:pStyle w:val="MDPI42tablebody"/>
              <w:keepNext/>
              <w:spacing w:line="240" w:lineRule="auto" w:before="30" w:after="30"/>
              <w:jc w:val="center"/>
            </w:pPr>
            <w:r>
              <w:rPr>
                <w:b/>
                <w:i w:val="0"/>
                <w:sz w:val="15"/>
              </w:rPr>
              <w:t>Partial Eta Squared</w:t>
            </w:r>
          </w:p>
        </w:tc>
      </w:tr>
      <w:tr>
        <w:trPr>
          <w:cantSplit/>
        </w:trPr>
        <w:tc>
          <w:tcPr>
            <w:tcW w:type="dxa" w:w="1099"/>
          </w:tcPr>
          <w:p>
            <w:pPr>
              <w:pStyle w:val="MDPI42tablebody"/>
              <w:keepNext/>
              <w:spacing w:line="240" w:lineRule="auto" w:before="30" w:after="30"/>
              <w:jc w:val="left"/>
            </w:pPr>
            <w:r>
              <w:rPr>
                <w:b w:val="0"/>
                <w:i w:val="0"/>
                <w:sz w:val="15"/>
              </w:rPr>
              <w:t>NEET</w:t>
            </w:r>
          </w:p>
        </w:tc>
        <w:tc>
          <w:tcPr>
            <w:tcW w:type="dxa" w:w="1017"/>
          </w:tcPr>
          <w:p>
            <w:pPr>
              <w:pStyle w:val="MDPI42tablebody"/>
              <w:keepNext/>
              <w:spacing w:line="240" w:lineRule="auto" w:before="30" w:after="30"/>
              <w:jc w:val="center"/>
            </w:pPr>
            <w:r>
              <w:rPr>
                <w:b w:val="0"/>
                <w:i w:val="0"/>
                <w:sz w:val="15"/>
              </w:rPr>
              <w:t>Intercept</w:t>
            </w:r>
          </w:p>
        </w:tc>
        <w:tc>
          <w:tcPr>
            <w:tcW w:type="dxa" w:w="732"/>
          </w:tcPr>
          <w:p>
            <w:pPr>
              <w:pStyle w:val="MDPI42tablebody"/>
              <w:keepNext/>
              <w:spacing w:line="240" w:lineRule="auto" w:before="30" w:after="30"/>
              <w:jc w:val="center"/>
            </w:pPr>
            <w:r>
              <w:rPr>
                <w:b w:val="0"/>
                <w:i w:val="0"/>
                <w:sz w:val="15"/>
              </w:rPr>
              <w:t>23.424</w:t>
            </w:r>
          </w:p>
        </w:tc>
        <w:tc>
          <w:tcPr>
            <w:tcW w:type="dxa" w:w="814"/>
          </w:tcPr>
          <w:p>
            <w:pPr>
              <w:pStyle w:val="MDPI42tablebody"/>
              <w:keepNext/>
              <w:spacing w:line="240" w:lineRule="auto" w:before="30" w:after="30"/>
              <w:jc w:val="center"/>
            </w:pPr>
            <w:r>
              <w:rPr>
                <w:b w:val="0"/>
                <w:i w:val="0"/>
                <w:sz w:val="15"/>
              </w:rPr>
              <w:t>2.078</w:t>
            </w:r>
          </w:p>
        </w:tc>
        <w:tc>
          <w:tcPr>
            <w:tcW w:type="dxa" w:w="732"/>
          </w:tcPr>
          <w:p>
            <w:pPr>
              <w:pStyle w:val="MDPI42tablebody"/>
              <w:keepNext/>
              <w:spacing w:line="240" w:lineRule="auto" w:before="30" w:after="30"/>
              <w:jc w:val="center"/>
            </w:pPr>
            <w:r>
              <w:rPr>
                <w:b w:val="0"/>
                <w:i w:val="0"/>
                <w:sz w:val="15"/>
              </w:rPr>
              <w:t>11.271</w:t>
            </w:r>
          </w:p>
        </w:tc>
        <w:tc>
          <w:tcPr>
            <w:tcW w:type="dxa" w:w="692"/>
          </w:tcPr>
          <w:p>
            <w:pPr>
              <w:pStyle w:val="MDPI42tablebody"/>
              <w:keepNext/>
              <w:spacing w:line="240" w:lineRule="auto" w:before="30" w:after="30"/>
              <w:jc w:val="center"/>
            </w:pPr>
            <w:r>
              <w:rPr>
                <w:b w:val="0"/>
                <w:i w:val="0"/>
                <w:sz w:val="15"/>
              </w:rPr>
              <w:t>0.000</w:t>
            </w:r>
          </w:p>
        </w:tc>
        <w:tc>
          <w:tcPr>
            <w:tcW w:type="dxa" w:w="855"/>
          </w:tcPr>
          <w:p>
            <w:pPr>
              <w:pStyle w:val="MDPI42tablebody"/>
              <w:keepNext/>
              <w:spacing w:line="240" w:lineRule="auto" w:before="30" w:after="30"/>
              <w:jc w:val="center"/>
            </w:pPr>
            <w:r>
              <w:rPr>
                <w:b w:val="0"/>
                <w:i w:val="0"/>
                <w:sz w:val="15"/>
              </w:rPr>
              <w:t>19.143</w:t>
            </w:r>
          </w:p>
        </w:tc>
        <w:tc>
          <w:tcPr>
            <w:tcW w:type="dxa" w:w="855"/>
          </w:tcPr>
          <w:p>
            <w:pPr>
              <w:pStyle w:val="MDPI42tablebody"/>
              <w:keepNext/>
              <w:spacing w:line="240" w:lineRule="auto" w:before="30" w:after="30"/>
              <w:jc w:val="center"/>
            </w:pPr>
            <w:r>
              <w:rPr>
                <w:b w:val="0"/>
                <w:i w:val="0"/>
                <w:sz w:val="15"/>
              </w:rPr>
              <w:t>27.704</w:t>
            </w:r>
          </w:p>
        </w:tc>
        <w:tc>
          <w:tcPr>
            <w:tcW w:type="dxa" w:w="1058"/>
          </w:tcPr>
          <w:p>
            <w:pPr>
              <w:pStyle w:val="MDPI42tablebody"/>
              <w:keepNext/>
              <w:spacing w:line="240" w:lineRule="auto" w:before="30" w:after="30"/>
              <w:jc w:val="center"/>
            </w:pPr>
            <w:r>
              <w:rPr>
                <w:b w:val="0"/>
                <w:i w:val="0"/>
                <w:sz w:val="15"/>
              </w:rPr>
              <w:t>0.836</w:t>
            </w:r>
          </w:p>
        </w:tc>
      </w:tr>
      <w:tr>
        <w:trPr>
          <w:cantSplit/>
        </w:trPr>
        <w:tc>
          <w:tcPr>
            <w:tcW w:type="dxa" w:w="1099"/>
          </w:tcPr>
          <w:p>
            <w:pPr>
              <w:pStyle w:val="MDPI42tablebody"/>
              <w:keepNext/>
              <w:spacing w:line="240" w:lineRule="auto" w:before="30" w:after="30"/>
              <w:jc w:val="left"/>
            </w:pPr>
          </w:p>
        </w:tc>
        <w:tc>
          <w:tcPr>
            <w:tcW w:type="dxa" w:w="1017"/>
          </w:tcPr>
          <w:p>
            <w:pPr>
              <w:pStyle w:val="MDPI42tablebody"/>
              <w:keepNext/>
              <w:spacing w:line="240" w:lineRule="auto" w:before="30" w:after="30"/>
              <w:jc w:val="center"/>
            </w:pPr>
            <w:r>
              <w:rPr>
                <w:b w:val="0"/>
                <w:i w:val="0"/>
                <w:sz w:val="15"/>
              </w:rPr>
              <w:t>GAIY</w:t>
            </w:r>
          </w:p>
        </w:tc>
        <w:tc>
          <w:tcPr>
            <w:tcW w:type="dxa" w:w="732"/>
          </w:tcPr>
          <w:p>
            <w:pPr>
              <w:pStyle w:val="MDPI42tablebody"/>
              <w:keepNext/>
              <w:spacing w:line="240" w:lineRule="auto" w:before="30" w:after="30"/>
              <w:jc w:val="center"/>
            </w:pPr>
            <w:r>
              <w:rPr>
                <w:b w:val="0"/>
                <w:i w:val="0"/>
                <w:sz w:val="15"/>
              </w:rPr>
              <w:t>−0.260</w:t>
            </w:r>
          </w:p>
        </w:tc>
        <w:tc>
          <w:tcPr>
            <w:tcW w:type="dxa" w:w="814"/>
          </w:tcPr>
          <w:p>
            <w:pPr>
              <w:pStyle w:val="MDPI42tablebody"/>
              <w:keepNext/>
              <w:spacing w:line="240" w:lineRule="auto" w:before="30" w:after="30"/>
              <w:jc w:val="center"/>
            </w:pPr>
            <w:r>
              <w:rPr>
                <w:b w:val="0"/>
                <w:i w:val="0"/>
                <w:sz w:val="15"/>
              </w:rPr>
              <w:t>0.040</w:t>
            </w:r>
          </w:p>
        </w:tc>
        <w:tc>
          <w:tcPr>
            <w:tcW w:type="dxa" w:w="732"/>
          </w:tcPr>
          <w:p>
            <w:pPr>
              <w:pStyle w:val="MDPI42tablebody"/>
              <w:keepNext/>
              <w:spacing w:line="240" w:lineRule="auto" w:before="30" w:after="30"/>
              <w:jc w:val="center"/>
            </w:pPr>
            <w:r>
              <w:rPr>
                <w:b w:val="0"/>
                <w:i w:val="0"/>
                <w:sz w:val="15"/>
              </w:rPr>
              <w:t>−6.467</w:t>
            </w:r>
          </w:p>
        </w:tc>
        <w:tc>
          <w:tcPr>
            <w:tcW w:type="dxa" w:w="692"/>
          </w:tcPr>
          <w:p>
            <w:pPr>
              <w:pStyle w:val="MDPI42tablebody"/>
              <w:keepNext/>
              <w:spacing w:line="240" w:lineRule="auto" w:before="30" w:after="30"/>
              <w:jc w:val="center"/>
            </w:pPr>
            <w:r>
              <w:rPr>
                <w:b w:val="0"/>
                <w:i w:val="0"/>
                <w:sz w:val="15"/>
              </w:rPr>
              <w:t>0.000</w:t>
            </w:r>
          </w:p>
        </w:tc>
        <w:tc>
          <w:tcPr>
            <w:tcW w:type="dxa" w:w="855"/>
          </w:tcPr>
          <w:p>
            <w:pPr>
              <w:pStyle w:val="MDPI42tablebody"/>
              <w:keepNext/>
              <w:spacing w:line="240" w:lineRule="auto" w:before="30" w:after="30"/>
              <w:jc w:val="center"/>
            </w:pPr>
            <w:r>
              <w:rPr>
                <w:b w:val="0"/>
                <w:i w:val="0"/>
                <w:sz w:val="15"/>
              </w:rPr>
              <w:t>−0.343</w:t>
            </w:r>
          </w:p>
        </w:tc>
        <w:tc>
          <w:tcPr>
            <w:tcW w:type="dxa" w:w="855"/>
          </w:tcPr>
          <w:p>
            <w:pPr>
              <w:pStyle w:val="MDPI42tablebody"/>
              <w:keepNext/>
              <w:spacing w:line="240" w:lineRule="auto" w:before="30" w:after="30"/>
              <w:jc w:val="center"/>
            </w:pPr>
            <w:r>
              <w:rPr>
                <w:b w:val="0"/>
                <w:i w:val="0"/>
                <w:sz w:val="15"/>
              </w:rPr>
              <w:t>−0.177</w:t>
            </w:r>
          </w:p>
        </w:tc>
        <w:tc>
          <w:tcPr>
            <w:tcW w:type="dxa" w:w="1058"/>
          </w:tcPr>
          <w:p>
            <w:pPr>
              <w:pStyle w:val="MDPI42tablebody"/>
              <w:keepNext/>
              <w:spacing w:line="240" w:lineRule="auto" w:before="30" w:after="30"/>
              <w:jc w:val="center"/>
            </w:pPr>
            <w:r>
              <w:rPr>
                <w:b w:val="0"/>
                <w:i w:val="0"/>
                <w:sz w:val="15"/>
              </w:rPr>
              <w:t>0.626</w:t>
            </w:r>
          </w:p>
        </w:tc>
      </w:tr>
      <w:tr>
        <w:trPr>
          <w:cantSplit/>
        </w:trPr>
        <w:tc>
          <w:tcPr>
            <w:tcW w:type="dxa" w:w="1099"/>
          </w:tcPr>
          <w:p>
            <w:pPr>
              <w:pStyle w:val="MDPI42tablebody"/>
              <w:keepNext/>
              <w:spacing w:line="240" w:lineRule="auto" w:before="30" w:after="30"/>
              <w:jc w:val="left"/>
            </w:pPr>
            <w:r>
              <w:rPr>
                <w:b w:val="0"/>
                <w:i w:val="0"/>
                <w:sz w:val="15"/>
              </w:rPr>
              <w:t>YUR</w:t>
            </w:r>
          </w:p>
        </w:tc>
        <w:tc>
          <w:tcPr>
            <w:tcW w:type="dxa" w:w="1017"/>
          </w:tcPr>
          <w:p>
            <w:pPr>
              <w:pStyle w:val="MDPI42tablebody"/>
              <w:keepNext/>
              <w:spacing w:line="240" w:lineRule="auto" w:before="30" w:after="30"/>
              <w:jc w:val="center"/>
            </w:pPr>
            <w:r>
              <w:rPr>
                <w:b w:val="0"/>
                <w:i w:val="0"/>
                <w:sz w:val="15"/>
              </w:rPr>
              <w:t>Intercept</w:t>
            </w:r>
          </w:p>
        </w:tc>
        <w:tc>
          <w:tcPr>
            <w:tcW w:type="dxa" w:w="732"/>
          </w:tcPr>
          <w:p>
            <w:pPr>
              <w:pStyle w:val="MDPI42tablebody"/>
              <w:keepNext/>
              <w:spacing w:line="240" w:lineRule="auto" w:before="30" w:after="30"/>
              <w:jc w:val="center"/>
            </w:pPr>
            <w:r>
              <w:rPr>
                <w:b w:val="0"/>
                <w:i w:val="0"/>
                <w:sz w:val="15"/>
              </w:rPr>
              <w:t>19.688</w:t>
            </w:r>
          </w:p>
        </w:tc>
        <w:tc>
          <w:tcPr>
            <w:tcW w:type="dxa" w:w="814"/>
          </w:tcPr>
          <w:p>
            <w:pPr>
              <w:pStyle w:val="MDPI42tablebody"/>
              <w:keepNext/>
              <w:spacing w:line="240" w:lineRule="auto" w:before="30" w:after="30"/>
              <w:jc w:val="center"/>
            </w:pPr>
            <w:r>
              <w:rPr>
                <w:b w:val="0"/>
                <w:i w:val="0"/>
                <w:sz w:val="15"/>
              </w:rPr>
              <w:t>5.914</w:t>
            </w:r>
          </w:p>
        </w:tc>
        <w:tc>
          <w:tcPr>
            <w:tcW w:type="dxa" w:w="732"/>
          </w:tcPr>
          <w:p>
            <w:pPr>
              <w:pStyle w:val="MDPI42tablebody"/>
              <w:keepNext/>
              <w:spacing w:line="240" w:lineRule="auto" w:before="30" w:after="30"/>
              <w:jc w:val="center"/>
            </w:pPr>
            <w:r>
              <w:rPr>
                <w:b w:val="0"/>
                <w:i w:val="0"/>
                <w:sz w:val="15"/>
              </w:rPr>
              <w:t>3.329</w:t>
            </w:r>
          </w:p>
        </w:tc>
        <w:tc>
          <w:tcPr>
            <w:tcW w:type="dxa" w:w="692"/>
          </w:tcPr>
          <w:p>
            <w:pPr>
              <w:pStyle w:val="MDPI42tablebody"/>
              <w:keepNext/>
              <w:spacing w:line="240" w:lineRule="auto" w:before="30" w:after="30"/>
              <w:jc w:val="center"/>
            </w:pPr>
            <w:r>
              <w:rPr>
                <w:b w:val="0"/>
                <w:i w:val="0"/>
                <w:sz w:val="15"/>
              </w:rPr>
              <w:t>0.003</w:t>
            </w:r>
          </w:p>
        </w:tc>
        <w:tc>
          <w:tcPr>
            <w:tcW w:type="dxa" w:w="855"/>
          </w:tcPr>
          <w:p>
            <w:pPr>
              <w:pStyle w:val="MDPI42tablebody"/>
              <w:keepNext/>
              <w:spacing w:line="240" w:lineRule="auto" w:before="30" w:after="30"/>
              <w:jc w:val="center"/>
            </w:pPr>
            <w:r>
              <w:rPr>
                <w:b w:val="0"/>
                <w:i w:val="0"/>
                <w:sz w:val="15"/>
              </w:rPr>
              <w:t>7.509</w:t>
            </w:r>
          </w:p>
        </w:tc>
        <w:tc>
          <w:tcPr>
            <w:tcW w:type="dxa" w:w="855"/>
          </w:tcPr>
          <w:p>
            <w:pPr>
              <w:pStyle w:val="MDPI42tablebody"/>
              <w:keepNext/>
              <w:spacing w:line="240" w:lineRule="auto" w:before="30" w:after="30"/>
              <w:jc w:val="center"/>
            </w:pPr>
            <w:r>
              <w:rPr>
                <w:b w:val="0"/>
                <w:i w:val="0"/>
                <w:sz w:val="15"/>
              </w:rPr>
              <w:t>31.867</w:t>
            </w:r>
          </w:p>
        </w:tc>
        <w:tc>
          <w:tcPr>
            <w:tcW w:type="dxa" w:w="1058"/>
          </w:tcPr>
          <w:p>
            <w:pPr>
              <w:pStyle w:val="MDPI42tablebody"/>
              <w:keepNext/>
              <w:spacing w:line="240" w:lineRule="auto" w:before="30" w:after="30"/>
              <w:jc w:val="center"/>
            </w:pPr>
            <w:r>
              <w:rPr>
                <w:b w:val="0"/>
                <w:i w:val="0"/>
                <w:sz w:val="15"/>
              </w:rPr>
              <w:t>0.307</w:t>
            </w:r>
          </w:p>
        </w:tc>
      </w:tr>
      <w:tr>
        <w:trPr>
          <w:cantSplit/>
        </w:trPr>
        <w:tc>
          <w:tcPr>
            <w:tcW w:type="dxa" w:w="1099"/>
          </w:tcPr>
          <w:p>
            <w:pPr>
              <w:pStyle w:val="MDPI42tablebody"/>
              <w:keepNext/>
              <w:spacing w:line="240" w:lineRule="auto" w:before="30" w:after="30"/>
              <w:jc w:val="left"/>
            </w:pPr>
          </w:p>
        </w:tc>
        <w:tc>
          <w:tcPr>
            <w:tcW w:type="dxa" w:w="1017"/>
          </w:tcPr>
          <w:p>
            <w:pPr>
              <w:pStyle w:val="MDPI42tablebody"/>
              <w:keepNext/>
              <w:spacing w:line="240" w:lineRule="auto" w:before="30" w:after="30"/>
              <w:jc w:val="center"/>
            </w:pPr>
            <w:r>
              <w:rPr>
                <w:b w:val="0"/>
                <w:i w:val="0"/>
                <w:sz w:val="15"/>
              </w:rPr>
              <w:t>GAIY</w:t>
            </w:r>
          </w:p>
        </w:tc>
        <w:tc>
          <w:tcPr>
            <w:tcW w:type="dxa" w:w="732"/>
          </w:tcPr>
          <w:p>
            <w:pPr>
              <w:pStyle w:val="MDPI42tablebody"/>
              <w:keepNext/>
              <w:spacing w:line="240" w:lineRule="auto" w:before="30" w:after="30"/>
              <w:jc w:val="center"/>
            </w:pPr>
            <w:r>
              <w:rPr>
                <w:b w:val="0"/>
                <w:i w:val="0"/>
                <w:sz w:val="15"/>
              </w:rPr>
              <w:t>−0.080</w:t>
            </w:r>
          </w:p>
        </w:tc>
        <w:tc>
          <w:tcPr>
            <w:tcW w:type="dxa" w:w="814"/>
          </w:tcPr>
          <w:p>
            <w:pPr>
              <w:pStyle w:val="MDPI42tablebody"/>
              <w:keepNext/>
              <w:spacing w:line="240" w:lineRule="auto" w:before="30" w:after="30"/>
              <w:jc w:val="center"/>
            </w:pPr>
            <w:r>
              <w:rPr>
                <w:b w:val="0"/>
                <w:i w:val="0"/>
                <w:sz w:val="15"/>
              </w:rPr>
              <w:t>0.114</w:t>
            </w:r>
          </w:p>
        </w:tc>
        <w:tc>
          <w:tcPr>
            <w:tcW w:type="dxa" w:w="732"/>
          </w:tcPr>
          <w:p>
            <w:pPr>
              <w:pStyle w:val="MDPI42tablebody"/>
              <w:keepNext/>
              <w:spacing w:line="240" w:lineRule="auto" w:before="30" w:after="30"/>
              <w:jc w:val="center"/>
            </w:pPr>
            <w:r>
              <w:rPr>
                <w:b w:val="0"/>
                <w:i w:val="0"/>
                <w:sz w:val="15"/>
              </w:rPr>
              <w:t>−0.695</w:t>
            </w:r>
          </w:p>
        </w:tc>
        <w:tc>
          <w:tcPr>
            <w:tcW w:type="dxa" w:w="692"/>
          </w:tcPr>
          <w:p>
            <w:pPr>
              <w:pStyle w:val="MDPI42tablebody"/>
              <w:keepNext/>
              <w:spacing w:line="240" w:lineRule="auto" w:before="30" w:after="30"/>
              <w:jc w:val="center"/>
            </w:pPr>
            <w:r>
              <w:rPr>
                <w:b w:val="0"/>
                <w:i w:val="0"/>
                <w:sz w:val="15"/>
              </w:rPr>
              <w:t>0.493</w:t>
            </w:r>
          </w:p>
        </w:tc>
        <w:tc>
          <w:tcPr>
            <w:tcW w:type="dxa" w:w="855"/>
          </w:tcPr>
          <w:p>
            <w:pPr>
              <w:pStyle w:val="MDPI42tablebody"/>
              <w:keepNext/>
              <w:spacing w:line="240" w:lineRule="auto" w:before="30" w:after="30"/>
              <w:jc w:val="center"/>
            </w:pPr>
            <w:r>
              <w:rPr>
                <w:b w:val="0"/>
                <w:i w:val="0"/>
                <w:sz w:val="15"/>
              </w:rPr>
              <w:t>−0.315</w:t>
            </w:r>
          </w:p>
        </w:tc>
        <w:tc>
          <w:tcPr>
            <w:tcW w:type="dxa" w:w="855"/>
          </w:tcPr>
          <w:p>
            <w:pPr>
              <w:pStyle w:val="MDPI42tablebody"/>
              <w:keepNext/>
              <w:spacing w:line="240" w:lineRule="auto" w:before="30" w:after="30"/>
              <w:jc w:val="center"/>
            </w:pPr>
            <w:r>
              <w:rPr>
                <w:b w:val="0"/>
                <w:i w:val="0"/>
                <w:sz w:val="15"/>
              </w:rPr>
              <w:t>0.156</w:t>
            </w:r>
          </w:p>
        </w:tc>
        <w:tc>
          <w:tcPr>
            <w:tcW w:type="dxa" w:w="1058"/>
          </w:tcPr>
          <w:p>
            <w:pPr>
              <w:pStyle w:val="MDPI42tablebody"/>
              <w:keepNext/>
              <w:spacing w:line="240" w:lineRule="auto" w:before="30" w:after="30"/>
              <w:jc w:val="center"/>
            </w:pPr>
            <w:r>
              <w:rPr>
                <w:b w:val="0"/>
                <w:i w:val="0"/>
                <w:sz w:val="15"/>
              </w:rPr>
              <w:t>0.019</w:t>
            </w:r>
          </w:p>
        </w:tc>
      </w:tr>
    </w:tbl>
    <w:p>
      <w:pPr>
        <w:pStyle w:val="MDPI43tablefooter"/>
        <w:spacing w:line="240" w:lineRule="auto" w:before="40" w:after="200"/>
        <w:ind w:left="2608" w:firstLine="0"/>
      </w:pPr>
      <w:r>
        <w:rPr>
          <w:sz w:val="16"/>
        </w:rPr>
        <w:t xml:space="preserve">Note: </w:t>
      </w:r>
      <w:r>
        <w:rPr>
          <w:b w:val="0"/>
          <w:i w:val="0"/>
          <w:sz w:val="16"/>
        </w:rPr>
        <w:t>N = 27. CI = confidence interval. The two dependent variables are modelled jointly in a multivariate general linear model. Source: authors’ calculations.</w:t>
      </w:r>
    </w:p>
    <w:p>
      <w:pPr>
        <w:pStyle w:val="MDPI52figure"/>
        <w:keepNext/>
        <w:ind w:left="2608" w:firstLine="0"/>
        <w:jc w:val="center"/>
      </w:pPr>
      <w:r>
        <w:drawing>
          <wp:inline xmlns:a="http://schemas.openxmlformats.org/drawingml/2006/main" xmlns:pic="http://schemas.openxmlformats.org/drawingml/2006/picture">
            <wp:extent cx="4752000" cy="4248083"/>
            <wp:docPr id="2" name="Picture 2"/>
            <wp:cNvGraphicFramePr>
              <a:graphicFrameLocks noChangeAspect="1"/>
            </wp:cNvGraphicFramePr>
            <a:graphic>
              <a:graphicData uri="http://schemas.openxmlformats.org/drawingml/2006/picture">
                <pic:pic>
                  <pic:nvPicPr>
                    <pic:cNvPr id="0" name="figure2_gaiy.png"/>
                    <pic:cNvPicPr/>
                  </pic:nvPicPr>
                  <pic:blipFill>
                    <a:blip r:embed="rId18"/>
                    <a:stretch>
                      <a:fillRect/>
                    </a:stretch>
                  </pic:blipFill>
                  <pic:spPr>
                    <a:xfrm>
                      <a:off x="0" y="0"/>
                      <a:ext cx="4752000" cy="4248083"/>
                    </a:xfrm>
                    <a:prstGeom prst="rect"/>
                  </pic:spPr>
                </pic:pic>
              </a:graphicData>
            </a:graphic>
          </wp:inline>
        </w:drawing>
      </w:r>
    </w:p>
    <w:p>
      <w:pPr>
        <w:pStyle w:val="MDPI51figurecaption"/>
        <w:spacing w:after="200"/>
      </w:pPr>
      <w:r>
        <w:rPr>
          <w:b/>
          <w:sz w:val="18"/>
        </w:rPr>
        <w:t xml:space="preserve">Figure 2. </w:t>
      </w:r>
      <w:r>
        <w:rPr>
          <w:b w:val="0"/>
          <w:i w:val="0"/>
          <w:sz w:val="18"/>
        </w:rPr>
        <w:t>Youth NEET rate and youth unemployment rate according to generative AI use among young individuals.</w:t>
      </w:r>
    </w:p>
    <w:p>
      <w:pPr>
        <w:pStyle w:val="MDPI31text"/>
      </w:pPr>
      <w:r>
        <w:rPr>
          <w:b w:val="0"/>
          <w:i w:val="0"/>
        </w:rPr>
        <w:t>The third model, centered on the digital skills of young people (DSKY), points to a similar systemic association (Pillai’s Trace = 0.649, Wilks’ Lambda = 0.351, F = 22.159, p &lt; 0.001). DSKY explains approximately 60% of the variation in the NEET rate (B = −0.247, p &lt; 0.001), while its association with the youth unemployment rate is again statistically insignificant (B = −0.098, p = 0.382). The capability base of the young cohort is closely related to engagement, not to unemployment (Table 4, Figure 3).</w:t>
      </w:r>
    </w:p>
    <w:p>
      <w:pPr>
        <w:pStyle w:val="MDPI41tablecaption"/>
        <w:keepNext/>
        <w:spacing w:after="60"/>
      </w:pPr>
      <w:r>
        <w:rPr>
          <w:b/>
          <w:sz w:val="18"/>
        </w:rPr>
        <w:t xml:space="preserve">Table 4. </w:t>
      </w:r>
      <w:r>
        <w:rPr>
          <w:b w:val="0"/>
          <w:i w:val="0"/>
          <w:sz w:val="18"/>
        </w:rPr>
        <w:t>Parameter estimates for the relationship between the digital skills of young people and youth labour-market indicators.</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1099"/>
        <w:gridCol w:w="1017"/>
        <w:gridCol w:w="732"/>
        <w:gridCol w:w="814"/>
        <w:gridCol w:w="732"/>
        <w:gridCol w:w="692"/>
        <w:gridCol w:w="855"/>
        <w:gridCol w:w="855"/>
        <w:gridCol w:w="1058"/>
      </w:tblGrid>
      <w:tr>
        <w:trPr>
          <w:cantSplit/>
          <w:tblHeader/>
        </w:trPr>
        <w:tc>
          <w:tcPr>
            <w:tcW w:type="dxa" w:w="1099"/>
            <w:tcBorders>
              <w:bottom w:val="single" w:sz="8" w:space="0" w:color="auto"/>
            </w:tcBorders>
          </w:tcPr>
          <w:p>
            <w:pPr>
              <w:pStyle w:val="MDPI42tablebody"/>
              <w:keepNext/>
              <w:spacing w:line="240" w:lineRule="auto" w:before="30" w:after="30"/>
              <w:jc w:val="center"/>
            </w:pPr>
            <w:r>
              <w:rPr>
                <w:b/>
                <w:i w:val="0"/>
                <w:sz w:val="15"/>
              </w:rPr>
              <w:t>Dependent Variable</w:t>
            </w:r>
          </w:p>
        </w:tc>
        <w:tc>
          <w:tcPr>
            <w:tcW w:type="dxa" w:w="1017"/>
            <w:tcBorders>
              <w:bottom w:val="single" w:sz="8" w:space="0" w:color="auto"/>
            </w:tcBorders>
          </w:tcPr>
          <w:p>
            <w:pPr>
              <w:pStyle w:val="MDPI42tablebody"/>
              <w:keepNext/>
              <w:spacing w:line="240" w:lineRule="auto" w:before="30" w:after="30"/>
              <w:jc w:val="center"/>
            </w:pPr>
            <w:r>
              <w:rPr>
                <w:b/>
                <w:i w:val="0"/>
                <w:sz w:val="15"/>
              </w:rPr>
              <w:t>Parameter</w:t>
            </w:r>
          </w:p>
        </w:tc>
        <w:tc>
          <w:tcPr>
            <w:tcW w:type="dxa" w:w="732"/>
            <w:tcBorders>
              <w:bottom w:val="single" w:sz="8" w:space="0" w:color="auto"/>
            </w:tcBorders>
          </w:tcPr>
          <w:p>
            <w:pPr>
              <w:pStyle w:val="MDPI42tablebody"/>
              <w:keepNext/>
              <w:spacing w:line="240" w:lineRule="auto" w:before="30" w:after="30"/>
              <w:jc w:val="center"/>
            </w:pPr>
            <w:r>
              <w:rPr>
                <w:b/>
                <w:i w:val="0"/>
                <w:sz w:val="15"/>
              </w:rPr>
              <w:t>B</w:t>
            </w:r>
          </w:p>
        </w:tc>
        <w:tc>
          <w:tcPr>
            <w:tcW w:type="dxa" w:w="814"/>
            <w:tcBorders>
              <w:bottom w:val="single" w:sz="8" w:space="0" w:color="auto"/>
            </w:tcBorders>
          </w:tcPr>
          <w:p>
            <w:pPr>
              <w:pStyle w:val="MDPI42tablebody"/>
              <w:keepNext/>
              <w:spacing w:line="240" w:lineRule="auto" w:before="30" w:after="30"/>
              <w:jc w:val="center"/>
            </w:pPr>
            <w:r>
              <w:rPr>
                <w:b/>
                <w:i w:val="0"/>
                <w:sz w:val="15"/>
              </w:rPr>
              <w:t>Std. Error</w:t>
            </w:r>
          </w:p>
        </w:tc>
        <w:tc>
          <w:tcPr>
            <w:tcW w:type="dxa" w:w="732"/>
            <w:tcBorders>
              <w:bottom w:val="single" w:sz="8" w:space="0" w:color="auto"/>
            </w:tcBorders>
          </w:tcPr>
          <w:p>
            <w:pPr>
              <w:pStyle w:val="MDPI42tablebody"/>
              <w:keepNext/>
              <w:spacing w:line="240" w:lineRule="auto" w:before="30" w:after="30"/>
              <w:jc w:val="center"/>
            </w:pPr>
            <w:r>
              <w:rPr>
                <w:b/>
                <w:i w:val="0"/>
                <w:sz w:val="15"/>
              </w:rPr>
              <w:t>t</w:t>
            </w:r>
          </w:p>
        </w:tc>
        <w:tc>
          <w:tcPr>
            <w:tcW w:type="dxa" w:w="692"/>
            <w:tcBorders>
              <w:bottom w:val="single" w:sz="8" w:space="0" w:color="auto"/>
            </w:tcBorders>
          </w:tcPr>
          <w:p>
            <w:pPr>
              <w:pStyle w:val="MDPI42tablebody"/>
              <w:keepNext/>
              <w:spacing w:line="240" w:lineRule="auto" w:before="30" w:after="30"/>
              <w:jc w:val="center"/>
            </w:pPr>
            <w:r>
              <w:rPr>
                <w:b/>
                <w:i w:val="0"/>
                <w:sz w:val="15"/>
              </w:rPr>
              <w:t>Sig.</w:t>
            </w:r>
          </w:p>
        </w:tc>
        <w:tc>
          <w:tcPr>
            <w:tcW w:type="dxa" w:w="855"/>
            <w:tcBorders>
              <w:bottom w:val="single" w:sz="8" w:space="0" w:color="auto"/>
            </w:tcBorders>
          </w:tcPr>
          <w:p>
            <w:pPr>
              <w:pStyle w:val="MDPI42tablebody"/>
              <w:keepNext/>
              <w:spacing w:line="240" w:lineRule="auto" w:before="30" w:after="30"/>
              <w:jc w:val="center"/>
            </w:pPr>
            <w:r>
              <w:rPr>
                <w:b/>
                <w:i w:val="0"/>
                <w:sz w:val="15"/>
              </w:rPr>
              <w:t>95% CI Lower</w:t>
            </w:r>
          </w:p>
        </w:tc>
        <w:tc>
          <w:tcPr>
            <w:tcW w:type="dxa" w:w="855"/>
            <w:tcBorders>
              <w:bottom w:val="single" w:sz="8" w:space="0" w:color="auto"/>
            </w:tcBorders>
          </w:tcPr>
          <w:p>
            <w:pPr>
              <w:pStyle w:val="MDPI42tablebody"/>
              <w:keepNext/>
              <w:spacing w:line="240" w:lineRule="auto" w:before="30" w:after="30"/>
              <w:jc w:val="center"/>
            </w:pPr>
            <w:r>
              <w:rPr>
                <w:b/>
                <w:i w:val="0"/>
                <w:sz w:val="15"/>
              </w:rPr>
              <w:t>95% CI Upper</w:t>
            </w:r>
          </w:p>
        </w:tc>
        <w:tc>
          <w:tcPr>
            <w:tcW w:type="dxa" w:w="1058"/>
            <w:tcBorders>
              <w:bottom w:val="single" w:sz="8" w:space="0" w:color="auto"/>
            </w:tcBorders>
          </w:tcPr>
          <w:p>
            <w:pPr>
              <w:pStyle w:val="MDPI42tablebody"/>
              <w:keepNext/>
              <w:spacing w:line="240" w:lineRule="auto" w:before="30" w:after="30"/>
              <w:jc w:val="center"/>
            </w:pPr>
            <w:r>
              <w:rPr>
                <w:b/>
                <w:i w:val="0"/>
                <w:sz w:val="15"/>
              </w:rPr>
              <w:t>Partial Eta Squared</w:t>
            </w:r>
          </w:p>
        </w:tc>
      </w:tr>
      <w:tr>
        <w:trPr>
          <w:cantSplit/>
        </w:trPr>
        <w:tc>
          <w:tcPr>
            <w:tcW w:type="dxa" w:w="1099"/>
          </w:tcPr>
          <w:p>
            <w:pPr>
              <w:pStyle w:val="MDPI42tablebody"/>
              <w:keepNext/>
              <w:spacing w:line="240" w:lineRule="auto" w:before="30" w:after="30"/>
              <w:jc w:val="left"/>
            </w:pPr>
            <w:r>
              <w:rPr>
                <w:b w:val="0"/>
                <w:i w:val="0"/>
                <w:sz w:val="15"/>
              </w:rPr>
              <w:t>NEET</w:t>
            </w:r>
          </w:p>
        </w:tc>
        <w:tc>
          <w:tcPr>
            <w:tcW w:type="dxa" w:w="1017"/>
          </w:tcPr>
          <w:p>
            <w:pPr>
              <w:pStyle w:val="MDPI42tablebody"/>
              <w:keepNext/>
              <w:spacing w:line="240" w:lineRule="auto" w:before="30" w:after="30"/>
              <w:jc w:val="center"/>
            </w:pPr>
            <w:r>
              <w:rPr>
                <w:b w:val="0"/>
                <w:i w:val="0"/>
                <w:sz w:val="15"/>
              </w:rPr>
              <w:t>Intercept</w:t>
            </w:r>
          </w:p>
        </w:tc>
        <w:tc>
          <w:tcPr>
            <w:tcW w:type="dxa" w:w="732"/>
          </w:tcPr>
          <w:p>
            <w:pPr>
              <w:pStyle w:val="MDPI42tablebody"/>
              <w:keepNext/>
              <w:spacing w:line="240" w:lineRule="auto" w:before="30" w:after="30"/>
              <w:jc w:val="center"/>
            </w:pPr>
            <w:r>
              <w:rPr>
                <w:b w:val="0"/>
                <w:i w:val="0"/>
                <w:sz w:val="15"/>
              </w:rPr>
              <w:t>28.927</w:t>
            </w:r>
          </w:p>
        </w:tc>
        <w:tc>
          <w:tcPr>
            <w:tcW w:type="dxa" w:w="814"/>
          </w:tcPr>
          <w:p>
            <w:pPr>
              <w:pStyle w:val="MDPI42tablebody"/>
              <w:keepNext/>
              <w:spacing w:line="240" w:lineRule="auto" w:before="30" w:after="30"/>
              <w:jc w:val="center"/>
            </w:pPr>
            <w:r>
              <w:rPr>
                <w:b w:val="0"/>
                <w:i w:val="0"/>
                <w:sz w:val="15"/>
              </w:rPr>
              <w:t>3.072</w:t>
            </w:r>
          </w:p>
        </w:tc>
        <w:tc>
          <w:tcPr>
            <w:tcW w:type="dxa" w:w="732"/>
          </w:tcPr>
          <w:p>
            <w:pPr>
              <w:pStyle w:val="MDPI42tablebody"/>
              <w:keepNext/>
              <w:spacing w:line="240" w:lineRule="auto" w:before="30" w:after="30"/>
              <w:jc w:val="center"/>
            </w:pPr>
            <w:r>
              <w:rPr>
                <w:b w:val="0"/>
                <w:i w:val="0"/>
                <w:sz w:val="15"/>
              </w:rPr>
              <w:t>9.417</w:t>
            </w:r>
          </w:p>
        </w:tc>
        <w:tc>
          <w:tcPr>
            <w:tcW w:type="dxa" w:w="692"/>
          </w:tcPr>
          <w:p>
            <w:pPr>
              <w:pStyle w:val="MDPI42tablebody"/>
              <w:keepNext/>
              <w:spacing w:line="240" w:lineRule="auto" w:before="30" w:after="30"/>
              <w:jc w:val="center"/>
            </w:pPr>
            <w:r>
              <w:rPr>
                <w:b w:val="0"/>
                <w:i w:val="0"/>
                <w:sz w:val="15"/>
              </w:rPr>
              <w:t>0.000</w:t>
            </w:r>
          </w:p>
        </w:tc>
        <w:tc>
          <w:tcPr>
            <w:tcW w:type="dxa" w:w="855"/>
          </w:tcPr>
          <w:p>
            <w:pPr>
              <w:pStyle w:val="MDPI42tablebody"/>
              <w:keepNext/>
              <w:spacing w:line="240" w:lineRule="auto" w:before="30" w:after="30"/>
              <w:jc w:val="center"/>
            </w:pPr>
            <w:r>
              <w:rPr>
                <w:b w:val="0"/>
                <w:i w:val="0"/>
                <w:sz w:val="15"/>
              </w:rPr>
              <w:t>22.601</w:t>
            </w:r>
          </w:p>
        </w:tc>
        <w:tc>
          <w:tcPr>
            <w:tcW w:type="dxa" w:w="855"/>
          </w:tcPr>
          <w:p>
            <w:pPr>
              <w:pStyle w:val="MDPI42tablebody"/>
              <w:keepNext/>
              <w:spacing w:line="240" w:lineRule="auto" w:before="30" w:after="30"/>
              <w:jc w:val="center"/>
            </w:pPr>
            <w:r>
              <w:rPr>
                <w:b w:val="0"/>
                <w:i w:val="0"/>
                <w:sz w:val="15"/>
              </w:rPr>
              <w:t>35.254</w:t>
            </w:r>
          </w:p>
        </w:tc>
        <w:tc>
          <w:tcPr>
            <w:tcW w:type="dxa" w:w="1058"/>
          </w:tcPr>
          <w:p>
            <w:pPr>
              <w:pStyle w:val="MDPI42tablebody"/>
              <w:keepNext/>
              <w:spacing w:line="240" w:lineRule="auto" w:before="30" w:after="30"/>
              <w:jc w:val="center"/>
            </w:pPr>
            <w:r>
              <w:rPr>
                <w:b w:val="0"/>
                <w:i w:val="0"/>
                <w:sz w:val="15"/>
              </w:rPr>
              <w:t>0.780</w:t>
            </w:r>
          </w:p>
        </w:tc>
      </w:tr>
      <w:tr>
        <w:trPr>
          <w:cantSplit/>
        </w:trPr>
        <w:tc>
          <w:tcPr>
            <w:tcW w:type="dxa" w:w="1099"/>
          </w:tcPr>
          <w:p>
            <w:pPr>
              <w:pStyle w:val="MDPI42tablebody"/>
              <w:keepNext/>
              <w:spacing w:line="240" w:lineRule="auto" w:before="30" w:after="30"/>
              <w:jc w:val="left"/>
            </w:pPr>
          </w:p>
        </w:tc>
        <w:tc>
          <w:tcPr>
            <w:tcW w:type="dxa" w:w="1017"/>
          </w:tcPr>
          <w:p>
            <w:pPr>
              <w:pStyle w:val="MDPI42tablebody"/>
              <w:keepNext/>
              <w:spacing w:line="240" w:lineRule="auto" w:before="30" w:after="30"/>
              <w:jc w:val="center"/>
            </w:pPr>
            <w:r>
              <w:rPr>
                <w:b w:val="0"/>
                <w:i w:val="0"/>
                <w:sz w:val="15"/>
              </w:rPr>
              <w:t>DSKY</w:t>
            </w:r>
          </w:p>
        </w:tc>
        <w:tc>
          <w:tcPr>
            <w:tcW w:type="dxa" w:w="732"/>
          </w:tcPr>
          <w:p>
            <w:pPr>
              <w:pStyle w:val="MDPI42tablebody"/>
              <w:keepNext/>
              <w:spacing w:line="240" w:lineRule="auto" w:before="30" w:after="30"/>
              <w:jc w:val="center"/>
            </w:pPr>
            <w:r>
              <w:rPr>
                <w:b w:val="0"/>
                <w:i w:val="0"/>
                <w:sz w:val="15"/>
              </w:rPr>
              <w:t>−0.247</w:t>
            </w:r>
          </w:p>
        </w:tc>
        <w:tc>
          <w:tcPr>
            <w:tcW w:type="dxa" w:w="814"/>
          </w:tcPr>
          <w:p>
            <w:pPr>
              <w:pStyle w:val="MDPI42tablebody"/>
              <w:keepNext/>
              <w:spacing w:line="240" w:lineRule="auto" w:before="30" w:after="30"/>
              <w:jc w:val="center"/>
            </w:pPr>
            <w:r>
              <w:rPr>
                <w:b w:val="0"/>
                <w:i w:val="0"/>
                <w:sz w:val="15"/>
              </w:rPr>
              <w:t>0.040</w:t>
            </w:r>
          </w:p>
        </w:tc>
        <w:tc>
          <w:tcPr>
            <w:tcW w:type="dxa" w:w="732"/>
          </w:tcPr>
          <w:p>
            <w:pPr>
              <w:pStyle w:val="MDPI42tablebody"/>
              <w:keepNext/>
              <w:spacing w:line="240" w:lineRule="auto" w:before="30" w:after="30"/>
              <w:jc w:val="center"/>
            </w:pPr>
            <w:r>
              <w:rPr>
                <w:b w:val="0"/>
                <w:i w:val="0"/>
                <w:sz w:val="15"/>
              </w:rPr>
              <w:t>−6.145</w:t>
            </w:r>
          </w:p>
        </w:tc>
        <w:tc>
          <w:tcPr>
            <w:tcW w:type="dxa" w:w="692"/>
          </w:tcPr>
          <w:p>
            <w:pPr>
              <w:pStyle w:val="MDPI42tablebody"/>
              <w:keepNext/>
              <w:spacing w:line="240" w:lineRule="auto" w:before="30" w:after="30"/>
              <w:jc w:val="center"/>
            </w:pPr>
            <w:r>
              <w:rPr>
                <w:b w:val="0"/>
                <w:i w:val="0"/>
                <w:sz w:val="15"/>
              </w:rPr>
              <w:t>0.000</w:t>
            </w:r>
          </w:p>
        </w:tc>
        <w:tc>
          <w:tcPr>
            <w:tcW w:type="dxa" w:w="855"/>
          </w:tcPr>
          <w:p>
            <w:pPr>
              <w:pStyle w:val="MDPI42tablebody"/>
              <w:keepNext/>
              <w:spacing w:line="240" w:lineRule="auto" w:before="30" w:after="30"/>
              <w:jc w:val="center"/>
            </w:pPr>
            <w:r>
              <w:rPr>
                <w:b w:val="0"/>
                <w:i w:val="0"/>
                <w:sz w:val="15"/>
              </w:rPr>
              <w:t>−0.330</w:t>
            </w:r>
          </w:p>
        </w:tc>
        <w:tc>
          <w:tcPr>
            <w:tcW w:type="dxa" w:w="855"/>
          </w:tcPr>
          <w:p>
            <w:pPr>
              <w:pStyle w:val="MDPI42tablebody"/>
              <w:keepNext/>
              <w:spacing w:line="240" w:lineRule="auto" w:before="30" w:after="30"/>
              <w:jc w:val="center"/>
            </w:pPr>
            <w:r>
              <w:rPr>
                <w:b w:val="0"/>
                <w:i w:val="0"/>
                <w:sz w:val="15"/>
              </w:rPr>
              <w:t>−0.164</w:t>
            </w:r>
          </w:p>
        </w:tc>
        <w:tc>
          <w:tcPr>
            <w:tcW w:type="dxa" w:w="1058"/>
          </w:tcPr>
          <w:p>
            <w:pPr>
              <w:pStyle w:val="MDPI42tablebody"/>
              <w:keepNext/>
              <w:spacing w:line="240" w:lineRule="auto" w:before="30" w:after="30"/>
              <w:jc w:val="center"/>
            </w:pPr>
            <w:r>
              <w:rPr>
                <w:b w:val="0"/>
                <w:i w:val="0"/>
                <w:sz w:val="15"/>
              </w:rPr>
              <w:t>0.602</w:t>
            </w:r>
          </w:p>
        </w:tc>
      </w:tr>
      <w:tr>
        <w:trPr>
          <w:cantSplit/>
        </w:trPr>
        <w:tc>
          <w:tcPr>
            <w:tcW w:type="dxa" w:w="1099"/>
          </w:tcPr>
          <w:p>
            <w:pPr>
              <w:pStyle w:val="MDPI42tablebody"/>
              <w:keepNext/>
              <w:spacing w:line="240" w:lineRule="auto" w:before="30" w:after="30"/>
              <w:jc w:val="left"/>
            </w:pPr>
            <w:r>
              <w:rPr>
                <w:b w:val="0"/>
                <w:i w:val="0"/>
                <w:sz w:val="15"/>
              </w:rPr>
              <w:t>YUR</w:t>
            </w:r>
          </w:p>
        </w:tc>
        <w:tc>
          <w:tcPr>
            <w:tcW w:type="dxa" w:w="1017"/>
          </w:tcPr>
          <w:p>
            <w:pPr>
              <w:pStyle w:val="MDPI42tablebody"/>
              <w:keepNext/>
              <w:spacing w:line="240" w:lineRule="auto" w:before="30" w:after="30"/>
              <w:jc w:val="center"/>
            </w:pPr>
            <w:r>
              <w:rPr>
                <w:b w:val="0"/>
                <w:i w:val="0"/>
                <w:sz w:val="15"/>
              </w:rPr>
              <w:t>Intercept</w:t>
            </w:r>
          </w:p>
        </w:tc>
        <w:tc>
          <w:tcPr>
            <w:tcW w:type="dxa" w:w="732"/>
          </w:tcPr>
          <w:p>
            <w:pPr>
              <w:pStyle w:val="MDPI42tablebody"/>
              <w:keepNext/>
              <w:spacing w:line="240" w:lineRule="auto" w:before="30" w:after="30"/>
              <w:jc w:val="center"/>
            </w:pPr>
            <w:r>
              <w:rPr>
                <w:b w:val="0"/>
                <w:i w:val="0"/>
                <w:sz w:val="15"/>
              </w:rPr>
              <w:t>23.077</w:t>
            </w:r>
          </w:p>
        </w:tc>
        <w:tc>
          <w:tcPr>
            <w:tcW w:type="dxa" w:w="814"/>
          </w:tcPr>
          <w:p>
            <w:pPr>
              <w:pStyle w:val="MDPI42tablebody"/>
              <w:keepNext/>
              <w:spacing w:line="240" w:lineRule="auto" w:before="30" w:after="30"/>
              <w:jc w:val="center"/>
            </w:pPr>
            <w:r>
              <w:rPr>
                <w:b w:val="0"/>
                <w:i w:val="0"/>
                <w:sz w:val="15"/>
              </w:rPr>
              <w:t>8.419</w:t>
            </w:r>
          </w:p>
        </w:tc>
        <w:tc>
          <w:tcPr>
            <w:tcW w:type="dxa" w:w="732"/>
          </w:tcPr>
          <w:p>
            <w:pPr>
              <w:pStyle w:val="MDPI42tablebody"/>
              <w:keepNext/>
              <w:spacing w:line="240" w:lineRule="auto" w:before="30" w:after="30"/>
              <w:jc w:val="center"/>
            </w:pPr>
            <w:r>
              <w:rPr>
                <w:b w:val="0"/>
                <w:i w:val="0"/>
                <w:sz w:val="15"/>
              </w:rPr>
              <w:t>2.741</w:t>
            </w:r>
          </w:p>
        </w:tc>
        <w:tc>
          <w:tcPr>
            <w:tcW w:type="dxa" w:w="692"/>
          </w:tcPr>
          <w:p>
            <w:pPr>
              <w:pStyle w:val="MDPI42tablebody"/>
              <w:keepNext/>
              <w:spacing w:line="240" w:lineRule="auto" w:before="30" w:after="30"/>
              <w:jc w:val="center"/>
            </w:pPr>
            <w:r>
              <w:rPr>
                <w:b w:val="0"/>
                <w:i w:val="0"/>
                <w:sz w:val="15"/>
              </w:rPr>
              <w:t>0.011</w:t>
            </w:r>
          </w:p>
        </w:tc>
        <w:tc>
          <w:tcPr>
            <w:tcW w:type="dxa" w:w="855"/>
          </w:tcPr>
          <w:p>
            <w:pPr>
              <w:pStyle w:val="MDPI42tablebody"/>
              <w:keepNext/>
              <w:spacing w:line="240" w:lineRule="auto" w:before="30" w:after="30"/>
              <w:jc w:val="center"/>
            </w:pPr>
            <w:r>
              <w:rPr>
                <w:b w:val="0"/>
                <w:i w:val="0"/>
                <w:sz w:val="15"/>
              </w:rPr>
              <w:t>5.737</w:t>
            </w:r>
          </w:p>
        </w:tc>
        <w:tc>
          <w:tcPr>
            <w:tcW w:type="dxa" w:w="855"/>
          </w:tcPr>
          <w:p>
            <w:pPr>
              <w:pStyle w:val="MDPI42tablebody"/>
              <w:keepNext/>
              <w:spacing w:line="240" w:lineRule="auto" w:before="30" w:after="30"/>
              <w:jc w:val="center"/>
            </w:pPr>
            <w:r>
              <w:rPr>
                <w:b w:val="0"/>
                <w:i w:val="0"/>
                <w:sz w:val="15"/>
              </w:rPr>
              <w:t>40.417</w:t>
            </w:r>
          </w:p>
        </w:tc>
        <w:tc>
          <w:tcPr>
            <w:tcW w:type="dxa" w:w="1058"/>
          </w:tcPr>
          <w:p>
            <w:pPr>
              <w:pStyle w:val="MDPI42tablebody"/>
              <w:keepNext/>
              <w:spacing w:line="240" w:lineRule="auto" w:before="30" w:after="30"/>
              <w:jc w:val="center"/>
            </w:pPr>
            <w:r>
              <w:rPr>
                <w:b w:val="0"/>
                <w:i w:val="0"/>
                <w:sz w:val="15"/>
              </w:rPr>
              <w:t>0.231</w:t>
            </w:r>
          </w:p>
        </w:tc>
      </w:tr>
      <w:tr>
        <w:trPr>
          <w:cantSplit/>
        </w:trPr>
        <w:tc>
          <w:tcPr>
            <w:tcW w:type="dxa" w:w="1099"/>
          </w:tcPr>
          <w:p>
            <w:pPr>
              <w:pStyle w:val="MDPI42tablebody"/>
              <w:keepNext/>
              <w:spacing w:line="240" w:lineRule="auto" w:before="30" w:after="30"/>
              <w:jc w:val="left"/>
            </w:pPr>
          </w:p>
        </w:tc>
        <w:tc>
          <w:tcPr>
            <w:tcW w:type="dxa" w:w="1017"/>
          </w:tcPr>
          <w:p>
            <w:pPr>
              <w:pStyle w:val="MDPI42tablebody"/>
              <w:keepNext/>
              <w:spacing w:line="240" w:lineRule="auto" w:before="30" w:after="30"/>
              <w:jc w:val="center"/>
            </w:pPr>
            <w:r>
              <w:rPr>
                <w:b w:val="0"/>
                <w:i w:val="0"/>
                <w:sz w:val="15"/>
              </w:rPr>
              <w:t>DSKY</w:t>
            </w:r>
          </w:p>
        </w:tc>
        <w:tc>
          <w:tcPr>
            <w:tcW w:type="dxa" w:w="732"/>
          </w:tcPr>
          <w:p>
            <w:pPr>
              <w:pStyle w:val="MDPI42tablebody"/>
              <w:keepNext/>
              <w:spacing w:line="240" w:lineRule="auto" w:before="30" w:after="30"/>
              <w:jc w:val="center"/>
            </w:pPr>
            <w:r>
              <w:rPr>
                <w:b w:val="0"/>
                <w:i w:val="0"/>
                <w:sz w:val="15"/>
              </w:rPr>
              <w:t>−0.098</w:t>
            </w:r>
          </w:p>
        </w:tc>
        <w:tc>
          <w:tcPr>
            <w:tcW w:type="dxa" w:w="814"/>
          </w:tcPr>
          <w:p>
            <w:pPr>
              <w:pStyle w:val="MDPI42tablebody"/>
              <w:keepNext/>
              <w:spacing w:line="240" w:lineRule="auto" w:before="30" w:after="30"/>
              <w:jc w:val="center"/>
            </w:pPr>
            <w:r>
              <w:rPr>
                <w:b w:val="0"/>
                <w:i w:val="0"/>
                <w:sz w:val="15"/>
              </w:rPr>
              <w:t>0.110</w:t>
            </w:r>
          </w:p>
        </w:tc>
        <w:tc>
          <w:tcPr>
            <w:tcW w:type="dxa" w:w="732"/>
          </w:tcPr>
          <w:p>
            <w:pPr>
              <w:pStyle w:val="MDPI42tablebody"/>
              <w:keepNext/>
              <w:spacing w:line="240" w:lineRule="auto" w:before="30" w:after="30"/>
              <w:jc w:val="center"/>
            </w:pPr>
            <w:r>
              <w:rPr>
                <w:b w:val="0"/>
                <w:i w:val="0"/>
                <w:sz w:val="15"/>
              </w:rPr>
              <w:t>−0.890</w:t>
            </w:r>
          </w:p>
        </w:tc>
        <w:tc>
          <w:tcPr>
            <w:tcW w:type="dxa" w:w="692"/>
          </w:tcPr>
          <w:p>
            <w:pPr>
              <w:pStyle w:val="MDPI42tablebody"/>
              <w:keepNext/>
              <w:spacing w:line="240" w:lineRule="auto" w:before="30" w:after="30"/>
              <w:jc w:val="center"/>
            </w:pPr>
            <w:r>
              <w:rPr>
                <w:b w:val="0"/>
                <w:i w:val="0"/>
                <w:sz w:val="15"/>
              </w:rPr>
              <w:t>0.382</w:t>
            </w:r>
          </w:p>
        </w:tc>
        <w:tc>
          <w:tcPr>
            <w:tcW w:type="dxa" w:w="855"/>
          </w:tcPr>
          <w:p>
            <w:pPr>
              <w:pStyle w:val="MDPI42tablebody"/>
              <w:keepNext/>
              <w:spacing w:line="240" w:lineRule="auto" w:before="30" w:after="30"/>
              <w:jc w:val="center"/>
            </w:pPr>
            <w:r>
              <w:rPr>
                <w:b w:val="0"/>
                <w:i w:val="0"/>
                <w:sz w:val="15"/>
              </w:rPr>
              <w:t>−0.325</w:t>
            </w:r>
          </w:p>
        </w:tc>
        <w:tc>
          <w:tcPr>
            <w:tcW w:type="dxa" w:w="855"/>
          </w:tcPr>
          <w:p>
            <w:pPr>
              <w:pStyle w:val="MDPI42tablebody"/>
              <w:keepNext/>
              <w:spacing w:line="240" w:lineRule="auto" w:before="30" w:after="30"/>
              <w:jc w:val="center"/>
            </w:pPr>
            <w:r>
              <w:rPr>
                <w:b w:val="0"/>
                <w:i w:val="0"/>
                <w:sz w:val="15"/>
              </w:rPr>
              <w:t>0.129</w:t>
            </w:r>
          </w:p>
        </w:tc>
        <w:tc>
          <w:tcPr>
            <w:tcW w:type="dxa" w:w="1058"/>
          </w:tcPr>
          <w:p>
            <w:pPr>
              <w:pStyle w:val="MDPI42tablebody"/>
              <w:keepNext/>
              <w:spacing w:line="240" w:lineRule="auto" w:before="30" w:after="30"/>
              <w:jc w:val="center"/>
            </w:pPr>
            <w:r>
              <w:rPr>
                <w:b w:val="0"/>
                <w:i w:val="0"/>
                <w:sz w:val="15"/>
              </w:rPr>
              <w:t>0.031</w:t>
            </w:r>
          </w:p>
        </w:tc>
      </w:tr>
    </w:tbl>
    <w:p>
      <w:pPr>
        <w:pStyle w:val="MDPI43tablefooter"/>
        <w:spacing w:line="240" w:lineRule="auto" w:before="40" w:after="200"/>
        <w:ind w:left="2608" w:firstLine="0"/>
      </w:pPr>
      <w:r>
        <w:rPr>
          <w:sz w:val="16"/>
        </w:rPr>
        <w:t xml:space="preserve">Note: </w:t>
      </w:r>
      <w:r>
        <w:rPr>
          <w:b w:val="0"/>
          <w:i w:val="0"/>
          <w:sz w:val="16"/>
        </w:rPr>
        <w:t>N = 27. CI = confidence interval. The two dependent variables are modelled jointly in a multivariate general linear model. Source: authors’ calculations.</w:t>
      </w:r>
    </w:p>
    <w:p>
      <w:pPr>
        <w:pStyle w:val="MDPI52figure"/>
        <w:keepNext/>
        <w:ind w:left="2608" w:firstLine="0"/>
        <w:jc w:val="center"/>
      </w:pPr>
      <w:r>
        <w:drawing>
          <wp:inline xmlns:a="http://schemas.openxmlformats.org/drawingml/2006/main" xmlns:pic="http://schemas.openxmlformats.org/drawingml/2006/picture">
            <wp:extent cx="4752000" cy="4248083"/>
            <wp:docPr id="3" name="Picture 3"/>
            <wp:cNvGraphicFramePr>
              <a:graphicFrameLocks noChangeAspect="1"/>
            </wp:cNvGraphicFramePr>
            <a:graphic>
              <a:graphicData uri="http://schemas.openxmlformats.org/drawingml/2006/picture">
                <pic:pic>
                  <pic:nvPicPr>
                    <pic:cNvPr id="0" name="figure3_dsky.png"/>
                    <pic:cNvPicPr/>
                  </pic:nvPicPr>
                  <pic:blipFill>
                    <a:blip r:embed="rId19"/>
                    <a:stretch>
                      <a:fillRect/>
                    </a:stretch>
                  </pic:blipFill>
                  <pic:spPr>
                    <a:xfrm>
                      <a:off x="0" y="0"/>
                      <a:ext cx="4752000" cy="4248083"/>
                    </a:xfrm>
                    <a:prstGeom prst="rect"/>
                  </pic:spPr>
                </pic:pic>
              </a:graphicData>
            </a:graphic>
          </wp:inline>
        </w:drawing>
      </w:r>
    </w:p>
    <w:p>
      <w:pPr>
        <w:pStyle w:val="MDPI51figurecaption"/>
        <w:spacing w:after="200"/>
      </w:pPr>
      <w:r>
        <w:rPr>
          <w:b/>
          <w:sz w:val="18"/>
        </w:rPr>
        <w:t xml:space="preserve">Figure 3. </w:t>
      </w:r>
      <w:r>
        <w:rPr>
          <w:b w:val="0"/>
          <w:i w:val="0"/>
          <w:sz w:val="18"/>
        </w:rPr>
        <w:t>Youth NEET rate and youth unemployment rate according to the digital skills of young people.</w:t>
      </w:r>
    </w:p>
    <w:p>
      <w:pPr>
        <w:pStyle w:val="MDPI31text"/>
      </w:pPr>
      <w:r>
        <w:rPr>
          <w:b w:val="0"/>
          <w:i w:val="0"/>
        </w:rPr>
        <w:t>The final model investigated ICT specialist employment (ICTS). The multivariate effect remains significant (Pillai’s Trace = 0.585, Wilks’ Lambda = 0.415, F = 16.912, p &lt; 0.001). ICTS shows a statistically significant negative association with the NEET rate (B = −1.463, p &lt; 0.001, partial eta squared = 0.515): one additional percentage point of ICT specialists in employment is associated with a NEET rate lower by 1.46 percentage points. However, its association with the youth unemployment rate is the weakest in the analysis (B = −0.379, p = 0.600). Therefore, this result should not be interpreted as evidence of a relationship between the professional infrastructure of the digital economy and youth unemployment (Table 5, Figure 4).</w:t>
      </w:r>
    </w:p>
    <w:p>
      <w:pPr>
        <w:pStyle w:val="MDPI41tablecaption"/>
        <w:keepNext/>
        <w:spacing w:after="60"/>
      </w:pPr>
      <w:r>
        <w:rPr>
          <w:b/>
          <w:sz w:val="18"/>
        </w:rPr>
        <w:t xml:space="preserve">Table 5. </w:t>
      </w:r>
      <w:r>
        <w:rPr>
          <w:b w:val="0"/>
          <w:i w:val="0"/>
          <w:sz w:val="18"/>
        </w:rPr>
        <w:t>Parameter estimates for the relationship between ICT specialist employment and youth labour-market indicators.</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1099"/>
        <w:gridCol w:w="1017"/>
        <w:gridCol w:w="732"/>
        <w:gridCol w:w="814"/>
        <w:gridCol w:w="732"/>
        <w:gridCol w:w="692"/>
        <w:gridCol w:w="855"/>
        <w:gridCol w:w="855"/>
        <w:gridCol w:w="1058"/>
      </w:tblGrid>
      <w:tr>
        <w:trPr>
          <w:cantSplit/>
          <w:tblHeader/>
        </w:trPr>
        <w:tc>
          <w:tcPr>
            <w:tcW w:type="dxa" w:w="1099"/>
            <w:tcBorders>
              <w:bottom w:val="single" w:sz="8" w:space="0" w:color="auto"/>
            </w:tcBorders>
          </w:tcPr>
          <w:p>
            <w:pPr>
              <w:pStyle w:val="MDPI42tablebody"/>
              <w:keepNext/>
              <w:spacing w:line="240" w:lineRule="auto" w:before="30" w:after="30"/>
              <w:jc w:val="center"/>
            </w:pPr>
            <w:r>
              <w:rPr>
                <w:b/>
                <w:i w:val="0"/>
                <w:sz w:val="15"/>
              </w:rPr>
              <w:t>Dependent Variable</w:t>
            </w:r>
          </w:p>
        </w:tc>
        <w:tc>
          <w:tcPr>
            <w:tcW w:type="dxa" w:w="1017"/>
            <w:tcBorders>
              <w:bottom w:val="single" w:sz="8" w:space="0" w:color="auto"/>
            </w:tcBorders>
          </w:tcPr>
          <w:p>
            <w:pPr>
              <w:pStyle w:val="MDPI42tablebody"/>
              <w:keepNext/>
              <w:spacing w:line="240" w:lineRule="auto" w:before="30" w:after="30"/>
              <w:jc w:val="center"/>
            </w:pPr>
            <w:r>
              <w:rPr>
                <w:b/>
                <w:i w:val="0"/>
                <w:sz w:val="15"/>
              </w:rPr>
              <w:t>Parameter</w:t>
            </w:r>
          </w:p>
        </w:tc>
        <w:tc>
          <w:tcPr>
            <w:tcW w:type="dxa" w:w="732"/>
            <w:tcBorders>
              <w:bottom w:val="single" w:sz="8" w:space="0" w:color="auto"/>
            </w:tcBorders>
          </w:tcPr>
          <w:p>
            <w:pPr>
              <w:pStyle w:val="MDPI42tablebody"/>
              <w:keepNext/>
              <w:spacing w:line="240" w:lineRule="auto" w:before="30" w:after="30"/>
              <w:jc w:val="center"/>
            </w:pPr>
            <w:r>
              <w:rPr>
                <w:b/>
                <w:i w:val="0"/>
                <w:sz w:val="15"/>
              </w:rPr>
              <w:t>B</w:t>
            </w:r>
          </w:p>
        </w:tc>
        <w:tc>
          <w:tcPr>
            <w:tcW w:type="dxa" w:w="814"/>
            <w:tcBorders>
              <w:bottom w:val="single" w:sz="8" w:space="0" w:color="auto"/>
            </w:tcBorders>
          </w:tcPr>
          <w:p>
            <w:pPr>
              <w:pStyle w:val="MDPI42tablebody"/>
              <w:keepNext/>
              <w:spacing w:line="240" w:lineRule="auto" w:before="30" w:after="30"/>
              <w:jc w:val="center"/>
            </w:pPr>
            <w:r>
              <w:rPr>
                <w:b/>
                <w:i w:val="0"/>
                <w:sz w:val="15"/>
              </w:rPr>
              <w:t>Std. Error</w:t>
            </w:r>
          </w:p>
        </w:tc>
        <w:tc>
          <w:tcPr>
            <w:tcW w:type="dxa" w:w="732"/>
            <w:tcBorders>
              <w:bottom w:val="single" w:sz="8" w:space="0" w:color="auto"/>
            </w:tcBorders>
          </w:tcPr>
          <w:p>
            <w:pPr>
              <w:pStyle w:val="MDPI42tablebody"/>
              <w:keepNext/>
              <w:spacing w:line="240" w:lineRule="auto" w:before="30" w:after="30"/>
              <w:jc w:val="center"/>
            </w:pPr>
            <w:r>
              <w:rPr>
                <w:b/>
                <w:i w:val="0"/>
                <w:sz w:val="15"/>
              </w:rPr>
              <w:t>t</w:t>
            </w:r>
          </w:p>
        </w:tc>
        <w:tc>
          <w:tcPr>
            <w:tcW w:type="dxa" w:w="692"/>
            <w:tcBorders>
              <w:bottom w:val="single" w:sz="8" w:space="0" w:color="auto"/>
            </w:tcBorders>
          </w:tcPr>
          <w:p>
            <w:pPr>
              <w:pStyle w:val="MDPI42tablebody"/>
              <w:keepNext/>
              <w:spacing w:line="240" w:lineRule="auto" w:before="30" w:after="30"/>
              <w:jc w:val="center"/>
            </w:pPr>
            <w:r>
              <w:rPr>
                <w:b/>
                <w:i w:val="0"/>
                <w:sz w:val="15"/>
              </w:rPr>
              <w:t>Sig.</w:t>
            </w:r>
          </w:p>
        </w:tc>
        <w:tc>
          <w:tcPr>
            <w:tcW w:type="dxa" w:w="855"/>
            <w:tcBorders>
              <w:bottom w:val="single" w:sz="8" w:space="0" w:color="auto"/>
            </w:tcBorders>
          </w:tcPr>
          <w:p>
            <w:pPr>
              <w:pStyle w:val="MDPI42tablebody"/>
              <w:keepNext/>
              <w:spacing w:line="240" w:lineRule="auto" w:before="30" w:after="30"/>
              <w:jc w:val="center"/>
            </w:pPr>
            <w:r>
              <w:rPr>
                <w:b/>
                <w:i w:val="0"/>
                <w:sz w:val="15"/>
              </w:rPr>
              <w:t>95% CI Lower</w:t>
            </w:r>
          </w:p>
        </w:tc>
        <w:tc>
          <w:tcPr>
            <w:tcW w:type="dxa" w:w="855"/>
            <w:tcBorders>
              <w:bottom w:val="single" w:sz="8" w:space="0" w:color="auto"/>
            </w:tcBorders>
          </w:tcPr>
          <w:p>
            <w:pPr>
              <w:pStyle w:val="MDPI42tablebody"/>
              <w:keepNext/>
              <w:spacing w:line="240" w:lineRule="auto" w:before="30" w:after="30"/>
              <w:jc w:val="center"/>
            </w:pPr>
            <w:r>
              <w:rPr>
                <w:b/>
                <w:i w:val="0"/>
                <w:sz w:val="15"/>
              </w:rPr>
              <w:t>95% CI Upper</w:t>
            </w:r>
          </w:p>
        </w:tc>
        <w:tc>
          <w:tcPr>
            <w:tcW w:type="dxa" w:w="1058"/>
            <w:tcBorders>
              <w:bottom w:val="single" w:sz="8" w:space="0" w:color="auto"/>
            </w:tcBorders>
          </w:tcPr>
          <w:p>
            <w:pPr>
              <w:pStyle w:val="MDPI42tablebody"/>
              <w:keepNext/>
              <w:spacing w:line="240" w:lineRule="auto" w:before="30" w:after="30"/>
              <w:jc w:val="center"/>
            </w:pPr>
            <w:r>
              <w:rPr>
                <w:b/>
                <w:i w:val="0"/>
                <w:sz w:val="15"/>
              </w:rPr>
              <w:t>Partial Eta Squared</w:t>
            </w:r>
          </w:p>
        </w:tc>
      </w:tr>
      <w:tr>
        <w:trPr>
          <w:cantSplit/>
        </w:trPr>
        <w:tc>
          <w:tcPr>
            <w:tcW w:type="dxa" w:w="1099"/>
          </w:tcPr>
          <w:p>
            <w:pPr>
              <w:pStyle w:val="MDPI42tablebody"/>
              <w:keepNext/>
              <w:spacing w:line="240" w:lineRule="auto" w:before="30" w:after="30"/>
              <w:jc w:val="left"/>
            </w:pPr>
            <w:r>
              <w:rPr>
                <w:b w:val="0"/>
                <w:i w:val="0"/>
                <w:sz w:val="15"/>
              </w:rPr>
              <w:t>NEET</w:t>
            </w:r>
          </w:p>
        </w:tc>
        <w:tc>
          <w:tcPr>
            <w:tcW w:type="dxa" w:w="1017"/>
          </w:tcPr>
          <w:p>
            <w:pPr>
              <w:pStyle w:val="MDPI42tablebody"/>
              <w:keepNext/>
              <w:spacing w:line="240" w:lineRule="auto" w:before="30" w:after="30"/>
              <w:jc w:val="center"/>
            </w:pPr>
            <w:r>
              <w:rPr>
                <w:b w:val="0"/>
                <w:i w:val="0"/>
                <w:sz w:val="15"/>
              </w:rPr>
              <w:t>Intercept</w:t>
            </w:r>
          </w:p>
        </w:tc>
        <w:tc>
          <w:tcPr>
            <w:tcW w:type="dxa" w:w="732"/>
          </w:tcPr>
          <w:p>
            <w:pPr>
              <w:pStyle w:val="MDPI42tablebody"/>
              <w:keepNext/>
              <w:spacing w:line="240" w:lineRule="auto" w:before="30" w:after="30"/>
              <w:jc w:val="center"/>
            </w:pPr>
            <w:r>
              <w:rPr>
                <w:b w:val="0"/>
                <w:i w:val="0"/>
                <w:sz w:val="15"/>
              </w:rPr>
              <w:t>17.646</w:t>
            </w:r>
          </w:p>
        </w:tc>
        <w:tc>
          <w:tcPr>
            <w:tcW w:type="dxa" w:w="814"/>
          </w:tcPr>
          <w:p>
            <w:pPr>
              <w:pStyle w:val="MDPI42tablebody"/>
              <w:keepNext/>
              <w:spacing w:line="240" w:lineRule="auto" w:before="30" w:after="30"/>
              <w:jc w:val="center"/>
            </w:pPr>
            <w:r>
              <w:rPr>
                <w:b w:val="0"/>
                <w:i w:val="0"/>
                <w:sz w:val="15"/>
              </w:rPr>
              <w:t>1.506</w:t>
            </w:r>
          </w:p>
        </w:tc>
        <w:tc>
          <w:tcPr>
            <w:tcW w:type="dxa" w:w="732"/>
          </w:tcPr>
          <w:p>
            <w:pPr>
              <w:pStyle w:val="MDPI42tablebody"/>
              <w:keepNext/>
              <w:spacing w:line="240" w:lineRule="auto" w:before="30" w:after="30"/>
              <w:jc w:val="center"/>
            </w:pPr>
            <w:r>
              <w:rPr>
                <w:b w:val="0"/>
                <w:i w:val="0"/>
                <w:sz w:val="15"/>
              </w:rPr>
              <w:t>11.715</w:t>
            </w:r>
          </w:p>
        </w:tc>
        <w:tc>
          <w:tcPr>
            <w:tcW w:type="dxa" w:w="692"/>
          </w:tcPr>
          <w:p>
            <w:pPr>
              <w:pStyle w:val="MDPI42tablebody"/>
              <w:keepNext/>
              <w:spacing w:line="240" w:lineRule="auto" w:before="30" w:after="30"/>
              <w:jc w:val="center"/>
            </w:pPr>
            <w:r>
              <w:rPr>
                <w:b w:val="0"/>
                <w:i w:val="0"/>
                <w:sz w:val="15"/>
              </w:rPr>
              <w:t>0.000</w:t>
            </w:r>
          </w:p>
        </w:tc>
        <w:tc>
          <w:tcPr>
            <w:tcW w:type="dxa" w:w="855"/>
          </w:tcPr>
          <w:p>
            <w:pPr>
              <w:pStyle w:val="MDPI42tablebody"/>
              <w:keepNext/>
              <w:spacing w:line="240" w:lineRule="auto" w:before="30" w:after="30"/>
              <w:jc w:val="center"/>
            </w:pPr>
            <w:r>
              <w:rPr>
                <w:b w:val="0"/>
                <w:i w:val="0"/>
                <w:sz w:val="15"/>
              </w:rPr>
              <w:t>14.544</w:t>
            </w:r>
          </w:p>
        </w:tc>
        <w:tc>
          <w:tcPr>
            <w:tcW w:type="dxa" w:w="855"/>
          </w:tcPr>
          <w:p>
            <w:pPr>
              <w:pStyle w:val="MDPI42tablebody"/>
              <w:keepNext/>
              <w:spacing w:line="240" w:lineRule="auto" w:before="30" w:after="30"/>
              <w:jc w:val="center"/>
            </w:pPr>
            <w:r>
              <w:rPr>
                <w:b w:val="0"/>
                <w:i w:val="0"/>
                <w:sz w:val="15"/>
              </w:rPr>
              <w:t>20.748</w:t>
            </w:r>
          </w:p>
        </w:tc>
        <w:tc>
          <w:tcPr>
            <w:tcW w:type="dxa" w:w="1058"/>
          </w:tcPr>
          <w:p>
            <w:pPr>
              <w:pStyle w:val="MDPI42tablebody"/>
              <w:keepNext/>
              <w:spacing w:line="240" w:lineRule="auto" w:before="30" w:after="30"/>
              <w:jc w:val="center"/>
            </w:pPr>
            <w:r>
              <w:rPr>
                <w:b w:val="0"/>
                <w:i w:val="0"/>
                <w:sz w:val="15"/>
              </w:rPr>
              <w:t>0.846</w:t>
            </w:r>
          </w:p>
        </w:tc>
      </w:tr>
      <w:tr>
        <w:trPr>
          <w:cantSplit/>
        </w:trPr>
        <w:tc>
          <w:tcPr>
            <w:tcW w:type="dxa" w:w="1099"/>
          </w:tcPr>
          <w:p>
            <w:pPr>
              <w:pStyle w:val="MDPI42tablebody"/>
              <w:keepNext/>
              <w:spacing w:line="240" w:lineRule="auto" w:before="30" w:after="30"/>
              <w:jc w:val="left"/>
            </w:pPr>
          </w:p>
        </w:tc>
        <w:tc>
          <w:tcPr>
            <w:tcW w:type="dxa" w:w="1017"/>
          </w:tcPr>
          <w:p>
            <w:pPr>
              <w:pStyle w:val="MDPI42tablebody"/>
              <w:keepNext/>
              <w:spacing w:line="240" w:lineRule="auto" w:before="30" w:after="30"/>
              <w:jc w:val="center"/>
            </w:pPr>
            <w:r>
              <w:rPr>
                <w:b w:val="0"/>
                <w:i w:val="0"/>
                <w:sz w:val="15"/>
              </w:rPr>
              <w:t>ICTS</w:t>
            </w:r>
          </w:p>
        </w:tc>
        <w:tc>
          <w:tcPr>
            <w:tcW w:type="dxa" w:w="732"/>
          </w:tcPr>
          <w:p>
            <w:pPr>
              <w:pStyle w:val="MDPI42tablebody"/>
              <w:keepNext/>
              <w:spacing w:line="240" w:lineRule="auto" w:before="30" w:after="30"/>
              <w:jc w:val="center"/>
            </w:pPr>
            <w:r>
              <w:rPr>
                <w:b w:val="0"/>
                <w:i w:val="0"/>
                <w:sz w:val="15"/>
              </w:rPr>
              <w:t>−1.463</w:t>
            </w:r>
          </w:p>
        </w:tc>
        <w:tc>
          <w:tcPr>
            <w:tcW w:type="dxa" w:w="814"/>
          </w:tcPr>
          <w:p>
            <w:pPr>
              <w:pStyle w:val="MDPI42tablebody"/>
              <w:keepNext/>
              <w:spacing w:line="240" w:lineRule="auto" w:before="30" w:after="30"/>
              <w:jc w:val="center"/>
            </w:pPr>
            <w:r>
              <w:rPr>
                <w:b w:val="0"/>
                <w:i w:val="0"/>
                <w:sz w:val="15"/>
              </w:rPr>
              <w:t>0.284</w:t>
            </w:r>
          </w:p>
        </w:tc>
        <w:tc>
          <w:tcPr>
            <w:tcW w:type="dxa" w:w="732"/>
          </w:tcPr>
          <w:p>
            <w:pPr>
              <w:pStyle w:val="MDPI42tablebody"/>
              <w:keepNext/>
              <w:spacing w:line="240" w:lineRule="auto" w:before="30" w:after="30"/>
              <w:jc w:val="center"/>
            </w:pPr>
            <w:r>
              <w:rPr>
                <w:b w:val="0"/>
                <w:i w:val="0"/>
                <w:sz w:val="15"/>
              </w:rPr>
              <w:t>−5.152</w:t>
            </w:r>
          </w:p>
        </w:tc>
        <w:tc>
          <w:tcPr>
            <w:tcW w:type="dxa" w:w="692"/>
          </w:tcPr>
          <w:p>
            <w:pPr>
              <w:pStyle w:val="MDPI42tablebody"/>
              <w:keepNext/>
              <w:spacing w:line="240" w:lineRule="auto" w:before="30" w:after="30"/>
              <w:jc w:val="center"/>
            </w:pPr>
            <w:r>
              <w:rPr>
                <w:b w:val="0"/>
                <w:i w:val="0"/>
                <w:sz w:val="15"/>
              </w:rPr>
              <w:t>0.000</w:t>
            </w:r>
          </w:p>
        </w:tc>
        <w:tc>
          <w:tcPr>
            <w:tcW w:type="dxa" w:w="855"/>
          </w:tcPr>
          <w:p>
            <w:pPr>
              <w:pStyle w:val="MDPI42tablebody"/>
              <w:keepNext/>
              <w:spacing w:line="240" w:lineRule="auto" w:before="30" w:after="30"/>
              <w:jc w:val="center"/>
            </w:pPr>
            <w:r>
              <w:rPr>
                <w:b w:val="0"/>
                <w:i w:val="0"/>
                <w:sz w:val="15"/>
              </w:rPr>
              <w:t>−2.048</w:t>
            </w:r>
          </w:p>
        </w:tc>
        <w:tc>
          <w:tcPr>
            <w:tcW w:type="dxa" w:w="855"/>
          </w:tcPr>
          <w:p>
            <w:pPr>
              <w:pStyle w:val="MDPI42tablebody"/>
              <w:keepNext/>
              <w:spacing w:line="240" w:lineRule="auto" w:before="30" w:after="30"/>
              <w:jc w:val="center"/>
            </w:pPr>
            <w:r>
              <w:rPr>
                <w:b w:val="0"/>
                <w:i w:val="0"/>
                <w:sz w:val="15"/>
              </w:rPr>
              <w:t>−0.878</w:t>
            </w:r>
          </w:p>
        </w:tc>
        <w:tc>
          <w:tcPr>
            <w:tcW w:type="dxa" w:w="1058"/>
          </w:tcPr>
          <w:p>
            <w:pPr>
              <w:pStyle w:val="MDPI42tablebody"/>
              <w:keepNext/>
              <w:spacing w:line="240" w:lineRule="auto" w:before="30" w:after="30"/>
              <w:jc w:val="center"/>
            </w:pPr>
            <w:r>
              <w:rPr>
                <w:b w:val="0"/>
                <w:i w:val="0"/>
                <w:sz w:val="15"/>
              </w:rPr>
              <w:t>0.515</w:t>
            </w:r>
          </w:p>
        </w:tc>
      </w:tr>
      <w:tr>
        <w:trPr>
          <w:cantSplit/>
        </w:trPr>
        <w:tc>
          <w:tcPr>
            <w:tcW w:type="dxa" w:w="1099"/>
          </w:tcPr>
          <w:p>
            <w:pPr>
              <w:pStyle w:val="MDPI42tablebody"/>
              <w:keepNext/>
              <w:spacing w:line="240" w:lineRule="auto" w:before="30" w:after="30"/>
              <w:jc w:val="left"/>
            </w:pPr>
            <w:r>
              <w:rPr>
                <w:b w:val="0"/>
                <w:i w:val="0"/>
                <w:sz w:val="15"/>
              </w:rPr>
              <w:t>YUR</w:t>
            </w:r>
          </w:p>
        </w:tc>
        <w:tc>
          <w:tcPr>
            <w:tcW w:type="dxa" w:w="1017"/>
          </w:tcPr>
          <w:p>
            <w:pPr>
              <w:pStyle w:val="MDPI42tablebody"/>
              <w:keepNext/>
              <w:spacing w:line="240" w:lineRule="auto" w:before="30" w:after="30"/>
              <w:jc w:val="center"/>
            </w:pPr>
            <w:r>
              <w:rPr>
                <w:b w:val="0"/>
                <w:i w:val="0"/>
                <w:sz w:val="15"/>
              </w:rPr>
              <w:t>Intercept</w:t>
            </w:r>
          </w:p>
        </w:tc>
        <w:tc>
          <w:tcPr>
            <w:tcW w:type="dxa" w:w="732"/>
          </w:tcPr>
          <w:p>
            <w:pPr>
              <w:pStyle w:val="MDPI42tablebody"/>
              <w:keepNext/>
              <w:spacing w:line="240" w:lineRule="auto" w:before="30" w:after="30"/>
              <w:jc w:val="center"/>
            </w:pPr>
            <w:r>
              <w:rPr>
                <w:b w:val="0"/>
                <w:i w:val="0"/>
                <w:sz w:val="15"/>
              </w:rPr>
              <w:t>17.573</w:t>
            </w:r>
          </w:p>
        </w:tc>
        <w:tc>
          <w:tcPr>
            <w:tcW w:type="dxa" w:w="814"/>
          </w:tcPr>
          <w:p>
            <w:pPr>
              <w:pStyle w:val="MDPI42tablebody"/>
              <w:keepNext/>
              <w:spacing w:line="240" w:lineRule="auto" w:before="30" w:after="30"/>
              <w:jc w:val="center"/>
            </w:pPr>
            <w:r>
              <w:rPr>
                <w:b w:val="0"/>
                <w:i w:val="0"/>
                <w:sz w:val="15"/>
              </w:rPr>
              <w:t>3.779</w:t>
            </w:r>
          </w:p>
        </w:tc>
        <w:tc>
          <w:tcPr>
            <w:tcW w:type="dxa" w:w="732"/>
          </w:tcPr>
          <w:p>
            <w:pPr>
              <w:pStyle w:val="MDPI42tablebody"/>
              <w:keepNext/>
              <w:spacing w:line="240" w:lineRule="auto" w:before="30" w:after="30"/>
              <w:jc w:val="center"/>
            </w:pPr>
            <w:r>
              <w:rPr>
                <w:b w:val="0"/>
                <w:i w:val="0"/>
                <w:sz w:val="15"/>
              </w:rPr>
              <w:t>4.650</w:t>
            </w:r>
          </w:p>
        </w:tc>
        <w:tc>
          <w:tcPr>
            <w:tcW w:type="dxa" w:w="692"/>
          </w:tcPr>
          <w:p>
            <w:pPr>
              <w:pStyle w:val="MDPI42tablebody"/>
              <w:keepNext/>
              <w:spacing w:line="240" w:lineRule="auto" w:before="30" w:after="30"/>
              <w:jc w:val="center"/>
            </w:pPr>
            <w:r>
              <w:rPr>
                <w:b w:val="0"/>
                <w:i w:val="0"/>
                <w:sz w:val="15"/>
              </w:rPr>
              <w:t>0.000</w:t>
            </w:r>
          </w:p>
        </w:tc>
        <w:tc>
          <w:tcPr>
            <w:tcW w:type="dxa" w:w="855"/>
          </w:tcPr>
          <w:p>
            <w:pPr>
              <w:pStyle w:val="MDPI42tablebody"/>
              <w:keepNext/>
              <w:spacing w:line="240" w:lineRule="auto" w:before="30" w:after="30"/>
              <w:jc w:val="center"/>
            </w:pPr>
            <w:r>
              <w:rPr>
                <w:b w:val="0"/>
                <w:i w:val="0"/>
                <w:sz w:val="15"/>
              </w:rPr>
              <w:t>9.790</w:t>
            </w:r>
          </w:p>
        </w:tc>
        <w:tc>
          <w:tcPr>
            <w:tcW w:type="dxa" w:w="855"/>
          </w:tcPr>
          <w:p>
            <w:pPr>
              <w:pStyle w:val="MDPI42tablebody"/>
              <w:keepNext/>
              <w:spacing w:line="240" w:lineRule="auto" w:before="30" w:after="30"/>
              <w:jc w:val="center"/>
            </w:pPr>
            <w:r>
              <w:rPr>
                <w:b w:val="0"/>
                <w:i w:val="0"/>
                <w:sz w:val="15"/>
              </w:rPr>
              <w:t>25.355</w:t>
            </w:r>
          </w:p>
        </w:tc>
        <w:tc>
          <w:tcPr>
            <w:tcW w:type="dxa" w:w="1058"/>
          </w:tcPr>
          <w:p>
            <w:pPr>
              <w:pStyle w:val="MDPI42tablebody"/>
              <w:keepNext/>
              <w:spacing w:line="240" w:lineRule="auto" w:before="30" w:after="30"/>
              <w:jc w:val="center"/>
            </w:pPr>
            <w:r>
              <w:rPr>
                <w:b w:val="0"/>
                <w:i w:val="0"/>
                <w:sz w:val="15"/>
              </w:rPr>
              <w:t>0.464</w:t>
            </w:r>
          </w:p>
        </w:tc>
      </w:tr>
      <w:tr>
        <w:trPr>
          <w:cantSplit/>
        </w:trPr>
        <w:tc>
          <w:tcPr>
            <w:tcW w:type="dxa" w:w="1099"/>
          </w:tcPr>
          <w:p>
            <w:pPr>
              <w:pStyle w:val="MDPI42tablebody"/>
              <w:keepNext/>
              <w:spacing w:line="240" w:lineRule="auto" w:before="30" w:after="30"/>
              <w:jc w:val="left"/>
            </w:pPr>
          </w:p>
        </w:tc>
        <w:tc>
          <w:tcPr>
            <w:tcW w:type="dxa" w:w="1017"/>
          </w:tcPr>
          <w:p>
            <w:pPr>
              <w:pStyle w:val="MDPI42tablebody"/>
              <w:keepNext/>
              <w:spacing w:line="240" w:lineRule="auto" w:before="30" w:after="30"/>
              <w:jc w:val="center"/>
            </w:pPr>
            <w:r>
              <w:rPr>
                <w:b w:val="0"/>
                <w:i w:val="0"/>
                <w:sz w:val="15"/>
              </w:rPr>
              <w:t>ICTS</w:t>
            </w:r>
          </w:p>
        </w:tc>
        <w:tc>
          <w:tcPr>
            <w:tcW w:type="dxa" w:w="732"/>
          </w:tcPr>
          <w:p>
            <w:pPr>
              <w:pStyle w:val="MDPI42tablebody"/>
              <w:keepNext/>
              <w:spacing w:line="240" w:lineRule="auto" w:before="30" w:after="30"/>
              <w:jc w:val="center"/>
            </w:pPr>
            <w:r>
              <w:rPr>
                <w:b w:val="0"/>
                <w:i w:val="0"/>
                <w:sz w:val="15"/>
              </w:rPr>
              <w:t>−0.379</w:t>
            </w:r>
          </w:p>
        </w:tc>
        <w:tc>
          <w:tcPr>
            <w:tcW w:type="dxa" w:w="814"/>
          </w:tcPr>
          <w:p>
            <w:pPr>
              <w:pStyle w:val="MDPI42tablebody"/>
              <w:keepNext/>
              <w:spacing w:line="240" w:lineRule="auto" w:before="30" w:after="30"/>
              <w:jc w:val="center"/>
            </w:pPr>
            <w:r>
              <w:rPr>
                <w:b w:val="0"/>
                <w:i w:val="0"/>
                <w:sz w:val="15"/>
              </w:rPr>
              <w:t>0.713</w:t>
            </w:r>
          </w:p>
        </w:tc>
        <w:tc>
          <w:tcPr>
            <w:tcW w:type="dxa" w:w="732"/>
          </w:tcPr>
          <w:p>
            <w:pPr>
              <w:pStyle w:val="MDPI42tablebody"/>
              <w:keepNext/>
              <w:spacing w:line="240" w:lineRule="auto" w:before="30" w:after="30"/>
              <w:jc w:val="center"/>
            </w:pPr>
            <w:r>
              <w:rPr>
                <w:b w:val="0"/>
                <w:i w:val="0"/>
                <w:sz w:val="15"/>
              </w:rPr>
              <w:t>−0.532</w:t>
            </w:r>
          </w:p>
        </w:tc>
        <w:tc>
          <w:tcPr>
            <w:tcW w:type="dxa" w:w="692"/>
          </w:tcPr>
          <w:p>
            <w:pPr>
              <w:pStyle w:val="MDPI42tablebody"/>
              <w:keepNext/>
              <w:spacing w:line="240" w:lineRule="auto" w:before="30" w:after="30"/>
              <w:jc w:val="center"/>
            </w:pPr>
            <w:r>
              <w:rPr>
                <w:b w:val="0"/>
                <w:i w:val="0"/>
                <w:sz w:val="15"/>
              </w:rPr>
              <w:t>0.600</w:t>
            </w:r>
          </w:p>
        </w:tc>
        <w:tc>
          <w:tcPr>
            <w:tcW w:type="dxa" w:w="855"/>
          </w:tcPr>
          <w:p>
            <w:pPr>
              <w:pStyle w:val="MDPI42tablebody"/>
              <w:keepNext/>
              <w:spacing w:line="240" w:lineRule="auto" w:before="30" w:after="30"/>
              <w:jc w:val="center"/>
            </w:pPr>
            <w:r>
              <w:rPr>
                <w:b w:val="0"/>
                <w:i w:val="0"/>
                <w:sz w:val="15"/>
              </w:rPr>
              <w:t>−1.846</w:t>
            </w:r>
          </w:p>
        </w:tc>
        <w:tc>
          <w:tcPr>
            <w:tcW w:type="dxa" w:w="855"/>
          </w:tcPr>
          <w:p>
            <w:pPr>
              <w:pStyle w:val="MDPI42tablebody"/>
              <w:keepNext/>
              <w:spacing w:line="240" w:lineRule="auto" w:before="30" w:after="30"/>
              <w:jc w:val="center"/>
            </w:pPr>
            <w:r>
              <w:rPr>
                <w:b w:val="0"/>
                <w:i w:val="0"/>
                <w:sz w:val="15"/>
              </w:rPr>
              <w:t>1.089</w:t>
            </w:r>
          </w:p>
        </w:tc>
        <w:tc>
          <w:tcPr>
            <w:tcW w:type="dxa" w:w="1058"/>
          </w:tcPr>
          <w:p>
            <w:pPr>
              <w:pStyle w:val="MDPI42tablebody"/>
              <w:keepNext/>
              <w:spacing w:line="240" w:lineRule="auto" w:before="30" w:after="30"/>
              <w:jc w:val="center"/>
            </w:pPr>
            <w:r>
              <w:rPr>
                <w:b w:val="0"/>
                <w:i w:val="0"/>
                <w:sz w:val="15"/>
              </w:rPr>
              <w:t>0.011</w:t>
            </w:r>
          </w:p>
        </w:tc>
      </w:tr>
    </w:tbl>
    <w:p>
      <w:pPr>
        <w:pStyle w:val="MDPI43tablefooter"/>
        <w:spacing w:line="240" w:lineRule="auto" w:before="40" w:after="200"/>
        <w:ind w:left="2608" w:firstLine="0"/>
      </w:pPr>
      <w:r>
        <w:rPr>
          <w:sz w:val="16"/>
        </w:rPr>
        <w:t xml:space="preserve">Note: </w:t>
      </w:r>
      <w:r>
        <w:rPr>
          <w:b w:val="0"/>
          <w:i w:val="0"/>
          <w:sz w:val="16"/>
        </w:rPr>
        <w:t>N = 27. CI = confidence interval. The two dependent variables are modelled jointly in a multivariate general linear model. Source: authors’ calculations.</w:t>
      </w:r>
    </w:p>
    <w:p>
      <w:pPr>
        <w:pStyle w:val="MDPI52figure"/>
        <w:keepNext/>
        <w:ind w:left="2608" w:firstLine="0"/>
        <w:jc w:val="center"/>
      </w:pPr>
      <w:r>
        <w:drawing>
          <wp:inline xmlns:a="http://schemas.openxmlformats.org/drawingml/2006/main" xmlns:pic="http://schemas.openxmlformats.org/drawingml/2006/picture">
            <wp:extent cx="4752000" cy="4248083"/>
            <wp:docPr id="4" name="Picture 4"/>
            <wp:cNvGraphicFramePr>
              <a:graphicFrameLocks noChangeAspect="1"/>
            </wp:cNvGraphicFramePr>
            <a:graphic>
              <a:graphicData uri="http://schemas.openxmlformats.org/drawingml/2006/picture">
                <pic:pic>
                  <pic:nvPicPr>
                    <pic:cNvPr id="0" name="figure4_icts.png"/>
                    <pic:cNvPicPr/>
                  </pic:nvPicPr>
                  <pic:blipFill>
                    <a:blip r:embed="rId20"/>
                    <a:stretch>
                      <a:fillRect/>
                    </a:stretch>
                  </pic:blipFill>
                  <pic:spPr>
                    <a:xfrm>
                      <a:off x="0" y="0"/>
                      <a:ext cx="4752000" cy="4248083"/>
                    </a:xfrm>
                    <a:prstGeom prst="rect"/>
                  </pic:spPr>
                </pic:pic>
              </a:graphicData>
            </a:graphic>
          </wp:inline>
        </w:drawing>
      </w:r>
    </w:p>
    <w:p>
      <w:pPr>
        <w:pStyle w:val="MDPI51figurecaption"/>
        <w:spacing w:after="200"/>
      </w:pPr>
      <w:r>
        <w:rPr>
          <w:b/>
          <w:sz w:val="18"/>
        </w:rPr>
        <w:t xml:space="preserve">Figure 4. </w:t>
      </w:r>
      <w:r>
        <w:rPr>
          <w:b w:val="0"/>
          <w:i w:val="0"/>
          <w:sz w:val="18"/>
        </w:rPr>
        <w:t>Youth NEET rate and youth unemployment rate according to ICT specialist employment.</w:t>
      </w:r>
    </w:p>
    <w:p>
      <w:pPr>
        <w:pStyle w:val="MDPI31text"/>
      </w:pPr>
      <w:r>
        <w:rPr>
          <w:b w:val="0"/>
          <w:i w:val="0"/>
        </w:rPr>
        <w:t>Overall, the four models suggest differentiated rather than uniform associations. All four readiness dimensions are significantly and negatively associated with the youth NEET rate, with partial eta squared values between 0.515 and 0.626. None of the four dimensions is significantly associated with the youth unemployment rate at the 5% level. Therefore, H1 is only partially supported: the readiness of a national socio-technical system for artificial intelligence is statistically related to the engagement margin of its youth labour market, not to the unemployment margin. Residual diagnostics support this reading; Shapiro–Wilk tests do not reject normality in any of the eight univariate equations (smallest p = 0.071).</w:t>
      </w:r>
    </w:p>
    <w:p>
      <w:pPr>
        <w:pStyle w:val="MDPI31text"/>
      </w:pPr>
      <w:r>
        <w:rPr>
          <w:b w:val="0"/>
          <w:i w:val="0"/>
        </w:rPr>
        <w:t>Given the position of Romania, which records the lowest values on three of the four readiness dimensions and the highest NEET rate in the sample, an additional robustness check was conducted. Cook’s distances identify Romania as the most influential observation in the NEET equations and Sweden in two of the youth unemployment equations. Excluding Romania, all four NEET associations retain their negative direction and remain significant (largest p &lt; 0.001), and all four youth unemployment associations remain insignificant (smallest p = 0.310). These results suggest that the divergence between the two margins is not produced by a single extreme case. The Swedish pattern is nevertheless informative: Sweden combines the highest ICT specialist share in the sample with one of the highest youth unemployment rates, a combination that reflects extensive student job search rather than youth exclusion, and that weakens any cross-sectional association on the unemployment margin.</w:t>
      </w:r>
    </w:p>
    <w:p>
      <w:pPr>
        <w:pStyle w:val="MDPI31text"/>
      </w:pPr>
      <w:r>
        <w:rPr>
          <w:b w:val="0"/>
          <w:i w:val="0"/>
        </w:rPr>
        <w:t>To address the possible role of broader structural country characteristics, a supplementary bivariate correlation analysis was conducted. The four readiness indicators were correlated with contextual variables available in the dataset, namely tertiary educational attainment of the population aged 25–34, GDP per capita in purchasing power standards, R&amp;D intensity, and the share of early leavers from education and training (Table 6). This analysis was not intended to replace a controlled regression model, but rather to provide a check on whether AI readiness covaries with broader educational and development-related country characteristics.</w:t>
      </w:r>
    </w:p>
    <w:p>
      <w:pPr>
        <w:pStyle w:val="MDPI41tablecaption"/>
        <w:keepNext/>
        <w:spacing w:after="60"/>
      </w:pPr>
      <w:r>
        <w:rPr>
          <w:b/>
          <w:sz w:val="18"/>
        </w:rPr>
        <w:t xml:space="preserve">Table 6. </w:t>
      </w:r>
      <w:r>
        <w:rPr>
          <w:b w:val="0"/>
          <w:i w:val="0"/>
          <w:sz w:val="18"/>
        </w:rPr>
        <w:t>Supplementary bivariate correlations with structural contextual variables.</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2043"/>
        <w:gridCol w:w="1453"/>
        <w:gridCol w:w="1453"/>
        <w:gridCol w:w="1453"/>
        <w:gridCol w:w="1453"/>
      </w:tblGrid>
      <w:tr>
        <w:trPr>
          <w:cantSplit/>
          <w:tblHeader/>
        </w:trPr>
        <w:tc>
          <w:tcPr>
            <w:tcW w:type="dxa" w:w="2043"/>
            <w:tcBorders>
              <w:bottom w:val="single" w:sz="8" w:space="0" w:color="auto"/>
            </w:tcBorders>
          </w:tcPr>
          <w:p>
            <w:pPr>
              <w:pStyle w:val="MDPI42tablebody"/>
              <w:keepNext/>
              <w:spacing w:line="240" w:lineRule="auto" w:before="30" w:after="30"/>
              <w:jc w:val="center"/>
            </w:pPr>
            <w:r>
              <w:rPr>
                <w:b/>
                <w:i w:val="0"/>
                <w:sz w:val="15"/>
              </w:rPr>
              <w:t>Structural Contextual Variable</w:t>
            </w:r>
          </w:p>
        </w:tc>
        <w:tc>
          <w:tcPr>
            <w:tcW w:type="dxa" w:w="1453"/>
            <w:tcBorders>
              <w:bottom w:val="single" w:sz="8" w:space="0" w:color="auto"/>
            </w:tcBorders>
          </w:tcPr>
          <w:p>
            <w:pPr>
              <w:pStyle w:val="MDPI42tablebody"/>
              <w:keepNext/>
              <w:spacing w:line="240" w:lineRule="auto" w:before="30" w:after="30"/>
              <w:jc w:val="center"/>
            </w:pPr>
            <w:r>
              <w:rPr>
                <w:b/>
                <w:i w:val="0"/>
                <w:sz w:val="15"/>
              </w:rPr>
              <w:t>AIENT</w:t>
            </w:r>
          </w:p>
        </w:tc>
        <w:tc>
          <w:tcPr>
            <w:tcW w:type="dxa" w:w="1453"/>
            <w:tcBorders>
              <w:bottom w:val="single" w:sz="8" w:space="0" w:color="auto"/>
            </w:tcBorders>
          </w:tcPr>
          <w:p>
            <w:pPr>
              <w:pStyle w:val="MDPI42tablebody"/>
              <w:keepNext/>
              <w:spacing w:line="240" w:lineRule="auto" w:before="30" w:after="30"/>
              <w:jc w:val="center"/>
            </w:pPr>
            <w:r>
              <w:rPr>
                <w:b/>
                <w:i w:val="0"/>
                <w:sz w:val="15"/>
              </w:rPr>
              <w:t>GAIY</w:t>
            </w:r>
          </w:p>
        </w:tc>
        <w:tc>
          <w:tcPr>
            <w:tcW w:type="dxa" w:w="1453"/>
            <w:tcBorders>
              <w:bottom w:val="single" w:sz="8" w:space="0" w:color="auto"/>
            </w:tcBorders>
          </w:tcPr>
          <w:p>
            <w:pPr>
              <w:pStyle w:val="MDPI42tablebody"/>
              <w:keepNext/>
              <w:spacing w:line="240" w:lineRule="auto" w:before="30" w:after="30"/>
              <w:jc w:val="center"/>
            </w:pPr>
            <w:r>
              <w:rPr>
                <w:b/>
                <w:i w:val="0"/>
                <w:sz w:val="15"/>
              </w:rPr>
              <w:t>DSKY</w:t>
            </w:r>
          </w:p>
        </w:tc>
        <w:tc>
          <w:tcPr>
            <w:tcW w:type="dxa" w:w="1453"/>
            <w:tcBorders>
              <w:bottom w:val="single" w:sz="8" w:space="0" w:color="auto"/>
            </w:tcBorders>
          </w:tcPr>
          <w:p>
            <w:pPr>
              <w:pStyle w:val="MDPI42tablebody"/>
              <w:keepNext/>
              <w:spacing w:line="240" w:lineRule="auto" w:before="30" w:after="30"/>
              <w:jc w:val="center"/>
            </w:pPr>
            <w:r>
              <w:rPr>
                <w:b/>
                <w:i w:val="0"/>
                <w:sz w:val="15"/>
              </w:rPr>
              <w:t>ICTS</w:t>
            </w:r>
          </w:p>
        </w:tc>
      </w:tr>
      <w:tr>
        <w:trPr>
          <w:cantSplit/>
        </w:trPr>
        <w:tc>
          <w:tcPr>
            <w:tcW w:type="dxa" w:w="2043"/>
          </w:tcPr>
          <w:p>
            <w:pPr>
              <w:pStyle w:val="MDPI42tablebody"/>
              <w:keepNext/>
              <w:spacing w:line="240" w:lineRule="auto" w:before="30" w:after="30"/>
              <w:jc w:val="left"/>
            </w:pPr>
            <w:r>
              <w:rPr>
                <w:b w:val="0"/>
                <w:i w:val="0"/>
                <w:sz w:val="15"/>
              </w:rPr>
              <w:t>Tertiary attainment 25-34 (TERT)</w:t>
            </w:r>
          </w:p>
        </w:tc>
        <w:tc>
          <w:tcPr>
            <w:tcW w:type="dxa" w:w="1453"/>
          </w:tcPr>
          <w:p>
            <w:pPr>
              <w:pStyle w:val="MDPI42tablebody"/>
              <w:keepNext/>
              <w:spacing w:line="240" w:lineRule="auto" w:before="30" w:after="30"/>
              <w:jc w:val="center"/>
            </w:pPr>
            <w:r>
              <w:rPr>
                <w:b w:val="0"/>
                <w:i w:val="0"/>
                <w:sz w:val="15"/>
              </w:rPr>
              <w:t>0.414 (p = 0.032)</w:t>
            </w:r>
          </w:p>
        </w:tc>
        <w:tc>
          <w:tcPr>
            <w:tcW w:type="dxa" w:w="1453"/>
          </w:tcPr>
          <w:p>
            <w:pPr>
              <w:pStyle w:val="MDPI42tablebody"/>
              <w:keepNext/>
              <w:spacing w:line="240" w:lineRule="auto" w:before="30" w:after="30"/>
              <w:jc w:val="center"/>
            </w:pPr>
            <w:r>
              <w:rPr>
                <w:b w:val="0"/>
                <w:i w:val="0"/>
                <w:sz w:val="15"/>
              </w:rPr>
              <w:t>0.635 (p &lt; 0.001)</w:t>
            </w:r>
          </w:p>
        </w:tc>
        <w:tc>
          <w:tcPr>
            <w:tcW w:type="dxa" w:w="1453"/>
          </w:tcPr>
          <w:p>
            <w:pPr>
              <w:pStyle w:val="MDPI42tablebody"/>
              <w:keepNext/>
              <w:spacing w:line="240" w:lineRule="auto" w:before="30" w:after="30"/>
              <w:jc w:val="center"/>
            </w:pPr>
            <w:r>
              <w:rPr>
                <w:b w:val="0"/>
                <w:i w:val="0"/>
                <w:sz w:val="15"/>
              </w:rPr>
              <w:t>0.474 (p = 0.012)</w:t>
            </w:r>
          </w:p>
        </w:tc>
        <w:tc>
          <w:tcPr>
            <w:tcW w:type="dxa" w:w="1453"/>
          </w:tcPr>
          <w:p>
            <w:pPr>
              <w:pStyle w:val="MDPI42tablebody"/>
              <w:keepNext/>
              <w:spacing w:line="240" w:lineRule="auto" w:before="30" w:after="30"/>
              <w:jc w:val="center"/>
            </w:pPr>
            <w:r>
              <w:rPr>
                <w:b w:val="0"/>
                <w:i w:val="0"/>
                <w:sz w:val="15"/>
              </w:rPr>
              <w:t>0.515 (p = 0.006)</w:t>
            </w:r>
          </w:p>
        </w:tc>
      </w:tr>
      <w:tr>
        <w:trPr>
          <w:cantSplit/>
        </w:trPr>
        <w:tc>
          <w:tcPr>
            <w:tcW w:type="dxa" w:w="2043"/>
          </w:tcPr>
          <w:p>
            <w:pPr>
              <w:pStyle w:val="MDPI42tablebody"/>
              <w:keepNext/>
              <w:spacing w:line="240" w:lineRule="auto" w:before="30" w:after="30"/>
              <w:jc w:val="left"/>
            </w:pPr>
            <w:r>
              <w:rPr>
                <w:b w:val="0"/>
                <w:i w:val="0"/>
                <w:sz w:val="15"/>
              </w:rPr>
              <w:t>GDP per capita in PPS (GDPC)</w:t>
            </w:r>
          </w:p>
        </w:tc>
        <w:tc>
          <w:tcPr>
            <w:tcW w:type="dxa" w:w="1453"/>
          </w:tcPr>
          <w:p>
            <w:pPr>
              <w:pStyle w:val="MDPI42tablebody"/>
              <w:keepNext/>
              <w:spacing w:line="240" w:lineRule="auto" w:before="30" w:after="30"/>
              <w:jc w:val="center"/>
            </w:pPr>
            <w:r>
              <w:rPr>
                <w:b w:val="0"/>
                <w:i w:val="0"/>
                <w:sz w:val="15"/>
              </w:rPr>
              <w:t>0.570 (p = 0.002)</w:t>
            </w:r>
          </w:p>
        </w:tc>
        <w:tc>
          <w:tcPr>
            <w:tcW w:type="dxa" w:w="1453"/>
          </w:tcPr>
          <w:p>
            <w:pPr>
              <w:pStyle w:val="MDPI42tablebody"/>
              <w:keepNext/>
              <w:spacing w:line="240" w:lineRule="auto" w:before="30" w:after="30"/>
              <w:jc w:val="center"/>
            </w:pPr>
            <w:r>
              <w:rPr>
                <w:b w:val="0"/>
                <w:i w:val="0"/>
                <w:sz w:val="15"/>
              </w:rPr>
              <w:t>0.472 (p = 0.013)</w:t>
            </w:r>
          </w:p>
        </w:tc>
        <w:tc>
          <w:tcPr>
            <w:tcW w:type="dxa" w:w="1453"/>
          </w:tcPr>
          <w:p>
            <w:pPr>
              <w:pStyle w:val="MDPI42tablebody"/>
              <w:keepNext/>
              <w:spacing w:line="240" w:lineRule="auto" w:before="30" w:after="30"/>
              <w:jc w:val="center"/>
            </w:pPr>
            <w:r>
              <w:rPr>
                <w:b w:val="0"/>
                <w:i w:val="0"/>
                <w:sz w:val="15"/>
              </w:rPr>
              <w:t>0.305 (p = 0.122)</w:t>
            </w:r>
          </w:p>
        </w:tc>
        <w:tc>
          <w:tcPr>
            <w:tcW w:type="dxa" w:w="1453"/>
          </w:tcPr>
          <w:p>
            <w:pPr>
              <w:pStyle w:val="MDPI42tablebody"/>
              <w:keepNext/>
              <w:spacing w:line="240" w:lineRule="auto" w:before="30" w:after="30"/>
              <w:jc w:val="center"/>
            </w:pPr>
            <w:r>
              <w:rPr>
                <w:b w:val="0"/>
                <w:i w:val="0"/>
                <w:sz w:val="15"/>
              </w:rPr>
              <w:t>0.643 (p &lt; 0.001)</w:t>
            </w:r>
          </w:p>
        </w:tc>
      </w:tr>
      <w:tr>
        <w:trPr>
          <w:cantSplit/>
        </w:trPr>
        <w:tc>
          <w:tcPr>
            <w:tcW w:type="dxa" w:w="2043"/>
          </w:tcPr>
          <w:p>
            <w:pPr>
              <w:pStyle w:val="MDPI42tablebody"/>
              <w:keepNext/>
              <w:spacing w:line="240" w:lineRule="auto" w:before="30" w:after="30"/>
              <w:jc w:val="left"/>
            </w:pPr>
            <w:r>
              <w:rPr>
                <w:b w:val="0"/>
                <w:i w:val="0"/>
                <w:sz w:val="15"/>
              </w:rPr>
              <w:t>R&amp;D intensity (RDI)</w:t>
            </w:r>
          </w:p>
        </w:tc>
        <w:tc>
          <w:tcPr>
            <w:tcW w:type="dxa" w:w="1453"/>
          </w:tcPr>
          <w:p>
            <w:pPr>
              <w:pStyle w:val="MDPI42tablebody"/>
              <w:keepNext/>
              <w:spacing w:line="240" w:lineRule="auto" w:before="30" w:after="30"/>
              <w:jc w:val="center"/>
            </w:pPr>
            <w:r>
              <w:rPr>
                <w:b w:val="0"/>
                <w:i w:val="0"/>
                <w:sz w:val="15"/>
              </w:rPr>
              <w:t>0.679 (p &lt; 0.001)</w:t>
            </w:r>
          </w:p>
        </w:tc>
        <w:tc>
          <w:tcPr>
            <w:tcW w:type="dxa" w:w="1453"/>
          </w:tcPr>
          <w:p>
            <w:pPr>
              <w:pStyle w:val="MDPI42tablebody"/>
              <w:keepNext/>
              <w:spacing w:line="240" w:lineRule="auto" w:before="30" w:after="30"/>
              <w:jc w:val="center"/>
            </w:pPr>
            <w:r>
              <w:rPr>
                <w:b w:val="0"/>
                <w:i w:val="0"/>
                <w:sz w:val="15"/>
              </w:rPr>
              <w:t>0.502 (p = 0.008)</w:t>
            </w:r>
          </w:p>
        </w:tc>
        <w:tc>
          <w:tcPr>
            <w:tcW w:type="dxa" w:w="1453"/>
          </w:tcPr>
          <w:p>
            <w:pPr>
              <w:pStyle w:val="MDPI42tablebody"/>
              <w:keepNext/>
              <w:spacing w:line="240" w:lineRule="auto" w:before="30" w:after="30"/>
              <w:jc w:val="center"/>
            </w:pPr>
            <w:r>
              <w:rPr>
                <w:b w:val="0"/>
                <w:i w:val="0"/>
                <w:sz w:val="15"/>
              </w:rPr>
              <w:t>0.461 (p = 0.016)</w:t>
            </w:r>
          </w:p>
        </w:tc>
        <w:tc>
          <w:tcPr>
            <w:tcW w:type="dxa" w:w="1453"/>
          </w:tcPr>
          <w:p>
            <w:pPr>
              <w:pStyle w:val="MDPI42tablebody"/>
              <w:keepNext/>
              <w:spacing w:line="240" w:lineRule="auto" w:before="30" w:after="30"/>
              <w:jc w:val="center"/>
            </w:pPr>
            <w:r>
              <w:rPr>
                <w:b w:val="0"/>
                <w:i w:val="0"/>
                <w:sz w:val="15"/>
              </w:rPr>
              <w:t>0.454 (p = 0.017)</w:t>
            </w:r>
          </w:p>
        </w:tc>
      </w:tr>
      <w:tr>
        <w:trPr>
          <w:cantSplit/>
        </w:trPr>
        <w:tc>
          <w:tcPr>
            <w:tcW w:type="dxa" w:w="2043"/>
          </w:tcPr>
          <w:p>
            <w:pPr>
              <w:pStyle w:val="MDPI42tablebody"/>
              <w:keepNext/>
              <w:spacing w:line="240" w:lineRule="auto" w:before="30" w:after="30"/>
              <w:jc w:val="left"/>
            </w:pPr>
            <w:r>
              <w:rPr>
                <w:b w:val="0"/>
                <w:i w:val="0"/>
                <w:sz w:val="15"/>
              </w:rPr>
              <w:t>Early leavers from education and training (ELET)</w:t>
            </w:r>
          </w:p>
        </w:tc>
        <w:tc>
          <w:tcPr>
            <w:tcW w:type="dxa" w:w="1453"/>
          </w:tcPr>
          <w:p>
            <w:pPr>
              <w:pStyle w:val="MDPI42tablebody"/>
              <w:keepNext/>
              <w:spacing w:line="240" w:lineRule="auto" w:before="30" w:after="30"/>
              <w:jc w:val="center"/>
            </w:pPr>
            <w:r>
              <w:rPr>
                <w:b w:val="0"/>
                <w:i w:val="0"/>
                <w:sz w:val="15"/>
              </w:rPr>
              <w:t>−0.182 (p = 0.363)</w:t>
            </w:r>
          </w:p>
        </w:tc>
        <w:tc>
          <w:tcPr>
            <w:tcW w:type="dxa" w:w="1453"/>
          </w:tcPr>
          <w:p>
            <w:pPr>
              <w:pStyle w:val="MDPI42tablebody"/>
              <w:keepNext/>
              <w:spacing w:line="240" w:lineRule="auto" w:before="30" w:after="30"/>
              <w:jc w:val="center"/>
            </w:pPr>
            <w:r>
              <w:rPr>
                <w:b w:val="0"/>
                <w:i w:val="0"/>
                <w:sz w:val="15"/>
              </w:rPr>
              <w:t>−0.321 (p = 0.102)</w:t>
            </w:r>
          </w:p>
        </w:tc>
        <w:tc>
          <w:tcPr>
            <w:tcW w:type="dxa" w:w="1453"/>
          </w:tcPr>
          <w:p>
            <w:pPr>
              <w:pStyle w:val="MDPI42tablebody"/>
              <w:keepNext/>
              <w:spacing w:line="240" w:lineRule="auto" w:before="30" w:after="30"/>
              <w:jc w:val="center"/>
            </w:pPr>
            <w:r>
              <w:rPr>
                <w:b w:val="0"/>
                <w:i w:val="0"/>
                <w:sz w:val="15"/>
              </w:rPr>
              <w:t>−0.427 (p = 0.026)</w:t>
            </w:r>
          </w:p>
        </w:tc>
        <w:tc>
          <w:tcPr>
            <w:tcW w:type="dxa" w:w="1453"/>
          </w:tcPr>
          <w:p>
            <w:pPr>
              <w:pStyle w:val="MDPI42tablebody"/>
              <w:keepNext/>
              <w:spacing w:line="240" w:lineRule="auto" w:before="30" w:after="30"/>
              <w:jc w:val="center"/>
            </w:pPr>
            <w:r>
              <w:rPr>
                <w:b w:val="0"/>
                <w:i w:val="0"/>
                <w:sz w:val="15"/>
              </w:rPr>
              <w:t>−0.032 (p = 0.875)</w:t>
            </w:r>
          </w:p>
        </w:tc>
      </w:tr>
    </w:tbl>
    <w:p>
      <w:pPr>
        <w:pStyle w:val="MDPI43tablefooter"/>
        <w:spacing w:line="240" w:lineRule="auto" w:before="40" w:after="200"/>
        <w:ind w:left="2608" w:firstLine="0"/>
      </w:pPr>
      <w:r>
        <w:rPr>
          <w:sz w:val="16"/>
        </w:rPr>
        <w:t xml:space="preserve">Note: </w:t>
      </w:r>
      <w:r>
        <w:rPr>
          <w:b w:val="0"/>
          <w:i w:val="0"/>
          <w:sz w:val="16"/>
        </w:rPr>
        <w:t>Pearson correlation coefficients with p-values in parentheses; N = 27. TERT—population aged 25–34 with tertiary education; GDPC—GDP per capita in purchasing power standards; RDI—gross domestic expenditure on R&amp;D as a percentage of GDP; ELET—early leavers from education and training. Source: authors’ calculations.</w:t>
      </w:r>
    </w:p>
    <w:p>
      <w:pPr>
        <w:pStyle w:val="MDPI31text"/>
      </w:pPr>
      <w:r>
        <w:rPr>
          <w:b w:val="0"/>
          <w:i w:val="0"/>
        </w:rPr>
        <w:t>The supplementary correlations indicate that AI readiness is not independent of broader structural country characteristics. All four readiness indicators correlate positively and significantly with tertiary attainment (r between 0.414 and 0.635) and with R&amp;D intensity, and three of the four correlate significantly with GDP per capita. The correlations with early school leaving are negative, but reach significance only for youth digital skills (r = −0.427, p = 0.026). These results suggest that the observed relationships between AI readiness and youth disengagement may partly overlap with broader differences in educational structure and economic development across countries. Therefore, the main results should continue to be interpreted as exploratory cross-sectional associations rather than as estimates of the independent effect of AI readiness.</w:t>
      </w:r>
    </w:p>
    <w:p>
      <w:pPr>
        <w:pStyle w:val="MDPI22heading2"/>
      </w:pPr>
      <w:r>
        <w:t>4.2. The Latent Dimension of Artificial Intelligence Readiness and Its Systemic Associations with Youth Labour Markets</w:t>
      </w:r>
    </w:p>
    <w:p>
      <w:pPr>
        <w:pStyle w:val="MDPI32textnoindent"/>
      </w:pPr>
      <w:r>
        <w:rPr>
          <w:b w:val="0"/>
          <w:i w:val="0"/>
        </w:rPr>
        <w:t>The exploratory factor analysis aimed to reduce the four observable variables to a common factor structure, capturing the aggregate process by which enterprise adoption, youth use, digital skills, and professional infrastructure articulate into a cohesive socio-technical readiness. The KMO value of 0.778, the significance of Bartlett’s test (χ2 = 88.185, df = 6, p &lt; 0.001), and bivariate correlations between 0.631 and 0.876 indicate that the data are suitable for extracting a common latent construct (Table 7). The factorial solution converges to a single factor that accounts for 76.9% of the overall variance after extraction, indicating a unified dimension of artificial intelligence readiness across the sampled economies.</w:t>
      </w:r>
    </w:p>
    <w:p>
      <w:pPr>
        <w:pStyle w:val="MDPI41tablecaption"/>
        <w:keepNext/>
        <w:spacing w:after="60"/>
      </w:pPr>
      <w:r>
        <w:rPr>
          <w:b/>
          <w:sz w:val="18"/>
        </w:rPr>
        <w:t xml:space="preserve">Table 7. </w:t>
      </w:r>
      <w:r>
        <w:rPr>
          <w:b w:val="0"/>
          <w:i w:val="0"/>
          <w:sz w:val="18"/>
        </w:rPr>
        <w:t>Exploratory factor analysis of the artificial intelligence readiness indicators.</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3143"/>
        <w:gridCol w:w="2200"/>
        <w:gridCol w:w="1257"/>
        <w:gridCol w:w="1257"/>
      </w:tblGrid>
      <w:tr>
        <w:trPr>
          <w:cantSplit/>
          <w:tblHeader/>
        </w:trPr>
        <w:tc>
          <w:tcPr>
            <w:tcW w:type="dxa" w:w="3143"/>
            <w:tcBorders>
              <w:bottom w:val="single" w:sz="8" w:space="0" w:color="auto"/>
            </w:tcBorders>
          </w:tcPr>
          <w:p>
            <w:pPr>
              <w:pStyle w:val="MDPI42tablebody"/>
              <w:keepNext/>
              <w:spacing w:line="240" w:lineRule="auto" w:before="30" w:after="30"/>
              <w:jc w:val="center"/>
            </w:pPr>
            <w:r>
              <w:rPr>
                <w:b/>
                <w:i w:val="0"/>
                <w:sz w:val="18"/>
              </w:rPr>
              <w:t>Indicator/Statistic</w:t>
            </w:r>
          </w:p>
        </w:tc>
        <w:tc>
          <w:tcPr>
            <w:tcW w:type="dxa" w:w="2200"/>
            <w:tcBorders>
              <w:bottom w:val="single" w:sz="8" w:space="0" w:color="auto"/>
            </w:tcBorders>
          </w:tcPr>
          <w:p>
            <w:pPr>
              <w:pStyle w:val="MDPI42tablebody"/>
              <w:keepNext/>
              <w:spacing w:line="240" w:lineRule="auto" w:before="30" w:after="30"/>
              <w:jc w:val="center"/>
            </w:pPr>
            <w:r>
              <w:rPr>
                <w:b/>
                <w:i w:val="0"/>
                <w:sz w:val="18"/>
              </w:rPr>
              <w:t>Value</w:t>
            </w:r>
          </w:p>
        </w:tc>
        <w:tc>
          <w:tcPr>
            <w:tcW w:type="dxa" w:w="1257"/>
            <w:tcBorders>
              <w:bottom w:val="single" w:sz="8" w:space="0" w:color="auto"/>
            </w:tcBorders>
          </w:tcPr>
          <w:p>
            <w:pPr>
              <w:pStyle w:val="MDPI42tablebody"/>
              <w:keepNext/>
              <w:spacing w:line="240" w:lineRule="auto" w:before="30" w:after="30"/>
              <w:jc w:val="center"/>
            </w:pPr>
          </w:p>
        </w:tc>
        <w:tc>
          <w:tcPr>
            <w:tcW w:type="dxa" w:w="1257"/>
            <w:tcBorders>
              <w:bottom w:val="single" w:sz="8" w:space="0" w:color="auto"/>
            </w:tcBorders>
          </w:tcPr>
          <w:p>
            <w:pPr>
              <w:pStyle w:val="MDPI42tablebody"/>
              <w:keepNext/>
              <w:spacing w:line="240" w:lineRule="auto" w:before="30" w:after="30"/>
              <w:jc w:val="center"/>
            </w:pPr>
          </w:p>
        </w:tc>
      </w:tr>
      <w:tr>
        <w:trPr>
          <w:cantSplit/>
        </w:trPr>
        <w:tc>
          <w:tcPr>
            <w:tcW w:type="dxa" w:w="3143"/>
          </w:tcPr>
          <w:p>
            <w:pPr>
              <w:pStyle w:val="MDPI42tablebody"/>
              <w:keepNext/>
              <w:spacing w:line="240" w:lineRule="auto" w:before="30" w:after="30"/>
              <w:jc w:val="left"/>
            </w:pPr>
            <w:r>
              <w:rPr>
                <w:b w:val="0"/>
                <w:i w:val="0"/>
                <w:sz w:val="18"/>
              </w:rPr>
              <w:t>Kaiser-Meyer-Olkin measure</w:t>
            </w:r>
          </w:p>
        </w:tc>
        <w:tc>
          <w:tcPr>
            <w:tcW w:type="dxa" w:w="2200"/>
          </w:tcPr>
          <w:p>
            <w:pPr>
              <w:pStyle w:val="MDPI42tablebody"/>
              <w:keepNext/>
              <w:spacing w:line="240" w:lineRule="auto" w:before="30" w:after="30"/>
              <w:jc w:val="center"/>
            </w:pPr>
            <w:r>
              <w:rPr>
                <w:b w:val="0"/>
                <w:i w:val="0"/>
                <w:sz w:val="18"/>
              </w:rPr>
              <w:t>0.778</w:t>
            </w:r>
          </w:p>
        </w:tc>
        <w:tc>
          <w:tcPr>
            <w:tcW w:type="dxa" w:w="1257"/>
          </w:tcPr>
          <w:p>
            <w:pPr>
              <w:pStyle w:val="MDPI42tablebody"/>
              <w:keepNext/>
              <w:spacing w:line="240" w:lineRule="auto" w:before="30" w:after="30"/>
              <w:jc w:val="center"/>
            </w:pPr>
          </w:p>
        </w:tc>
        <w:tc>
          <w:tcPr>
            <w:tcW w:type="dxa" w:w="1257"/>
          </w:tcPr>
          <w:p>
            <w:pPr>
              <w:pStyle w:val="MDPI42tablebody"/>
              <w:keepNext/>
              <w:spacing w:line="240" w:lineRule="auto" w:before="30" w:after="30"/>
              <w:jc w:val="center"/>
            </w:pPr>
          </w:p>
        </w:tc>
      </w:tr>
      <w:tr>
        <w:trPr>
          <w:cantSplit/>
        </w:trPr>
        <w:tc>
          <w:tcPr>
            <w:tcW w:type="dxa" w:w="3143"/>
          </w:tcPr>
          <w:p>
            <w:pPr>
              <w:pStyle w:val="MDPI42tablebody"/>
              <w:keepNext/>
              <w:spacing w:line="240" w:lineRule="auto" w:before="30" w:after="30"/>
              <w:jc w:val="left"/>
            </w:pPr>
            <w:r>
              <w:rPr>
                <w:b w:val="0"/>
                <w:i w:val="0"/>
                <w:sz w:val="18"/>
              </w:rPr>
              <w:t>Bartlett's test of sphericity</w:t>
            </w:r>
          </w:p>
        </w:tc>
        <w:tc>
          <w:tcPr>
            <w:tcW w:type="dxa" w:w="2200"/>
          </w:tcPr>
          <w:p>
            <w:pPr>
              <w:pStyle w:val="MDPI42tablebody"/>
              <w:keepNext/>
              <w:spacing w:line="240" w:lineRule="auto" w:before="30" w:after="30"/>
              <w:jc w:val="center"/>
            </w:pPr>
            <w:r>
              <w:rPr>
                <w:b w:val="0"/>
                <w:i w:val="0"/>
                <w:sz w:val="18"/>
              </w:rPr>
              <w:t>χ2 = 88.185; df = 6; p &lt; 0.001</w:t>
            </w:r>
          </w:p>
        </w:tc>
        <w:tc>
          <w:tcPr>
            <w:tcW w:type="dxa" w:w="1257"/>
          </w:tcPr>
          <w:p>
            <w:pPr>
              <w:pStyle w:val="MDPI42tablebody"/>
              <w:keepNext/>
              <w:spacing w:line="240" w:lineRule="auto" w:before="30" w:after="30"/>
              <w:jc w:val="center"/>
            </w:pPr>
          </w:p>
        </w:tc>
        <w:tc>
          <w:tcPr>
            <w:tcW w:type="dxa" w:w="1257"/>
          </w:tcPr>
          <w:p>
            <w:pPr>
              <w:pStyle w:val="MDPI42tablebody"/>
              <w:keepNext/>
              <w:spacing w:line="240" w:lineRule="auto" w:before="30" w:after="30"/>
              <w:jc w:val="center"/>
            </w:pPr>
          </w:p>
        </w:tc>
      </w:tr>
      <w:tr>
        <w:trPr>
          <w:cantSplit/>
        </w:trPr>
        <w:tc>
          <w:tcPr>
            <w:tcW w:type="dxa" w:w="3143"/>
          </w:tcPr>
          <w:p>
            <w:pPr>
              <w:pStyle w:val="MDPI42tablebody"/>
              <w:keepNext/>
              <w:spacing w:line="240" w:lineRule="auto" w:before="30" w:after="30"/>
              <w:jc w:val="left"/>
            </w:pPr>
            <w:r>
              <w:rPr>
                <w:b w:val="0"/>
                <w:i w:val="0"/>
                <w:sz w:val="18"/>
              </w:rPr>
              <w:t>Extraction method</w:t>
            </w:r>
          </w:p>
        </w:tc>
        <w:tc>
          <w:tcPr>
            <w:tcW w:type="dxa" w:w="2200"/>
          </w:tcPr>
          <w:p>
            <w:pPr>
              <w:pStyle w:val="MDPI42tablebody"/>
              <w:keepNext/>
              <w:spacing w:line="240" w:lineRule="auto" w:before="30" w:after="30"/>
              <w:jc w:val="center"/>
            </w:pPr>
            <w:r>
              <w:rPr>
                <w:b w:val="0"/>
                <w:i w:val="0"/>
                <w:sz w:val="18"/>
              </w:rPr>
              <w:t>Principal Axis Factoring</w:t>
            </w:r>
          </w:p>
        </w:tc>
        <w:tc>
          <w:tcPr>
            <w:tcW w:type="dxa" w:w="1257"/>
          </w:tcPr>
          <w:p>
            <w:pPr>
              <w:pStyle w:val="MDPI42tablebody"/>
              <w:keepNext/>
              <w:spacing w:line="240" w:lineRule="auto" w:before="30" w:after="30"/>
              <w:jc w:val="center"/>
            </w:pPr>
          </w:p>
        </w:tc>
        <w:tc>
          <w:tcPr>
            <w:tcW w:type="dxa" w:w="1257"/>
          </w:tcPr>
          <w:p>
            <w:pPr>
              <w:pStyle w:val="MDPI42tablebody"/>
              <w:keepNext/>
              <w:spacing w:line="240" w:lineRule="auto" w:before="30" w:after="30"/>
              <w:jc w:val="center"/>
            </w:pPr>
          </w:p>
        </w:tc>
      </w:tr>
      <w:tr>
        <w:trPr>
          <w:cantSplit/>
        </w:trPr>
        <w:tc>
          <w:tcPr>
            <w:tcW w:type="dxa" w:w="3143"/>
          </w:tcPr>
          <w:p>
            <w:pPr>
              <w:pStyle w:val="MDPI42tablebody"/>
              <w:keepNext/>
              <w:spacing w:line="240" w:lineRule="auto" w:before="30" w:after="30"/>
              <w:jc w:val="left"/>
            </w:pPr>
            <w:r>
              <w:rPr>
                <w:b w:val="0"/>
                <w:i w:val="0"/>
                <w:sz w:val="18"/>
              </w:rPr>
              <w:t>Number of factors extracted</w:t>
            </w:r>
          </w:p>
        </w:tc>
        <w:tc>
          <w:tcPr>
            <w:tcW w:type="dxa" w:w="2200"/>
          </w:tcPr>
          <w:p>
            <w:pPr>
              <w:pStyle w:val="MDPI42tablebody"/>
              <w:keepNext/>
              <w:spacing w:line="240" w:lineRule="auto" w:before="30" w:after="30"/>
              <w:jc w:val="center"/>
            </w:pPr>
            <w:r>
              <w:rPr>
                <w:b w:val="0"/>
                <w:i w:val="0"/>
                <w:sz w:val="18"/>
              </w:rPr>
              <w:t>1</w:t>
            </w:r>
          </w:p>
        </w:tc>
        <w:tc>
          <w:tcPr>
            <w:tcW w:type="dxa" w:w="1257"/>
          </w:tcPr>
          <w:p>
            <w:pPr>
              <w:pStyle w:val="MDPI42tablebody"/>
              <w:keepNext/>
              <w:spacing w:line="240" w:lineRule="auto" w:before="30" w:after="30"/>
              <w:jc w:val="center"/>
            </w:pPr>
          </w:p>
        </w:tc>
        <w:tc>
          <w:tcPr>
            <w:tcW w:type="dxa" w:w="1257"/>
          </w:tcPr>
          <w:p>
            <w:pPr>
              <w:pStyle w:val="MDPI42tablebody"/>
              <w:keepNext/>
              <w:spacing w:line="240" w:lineRule="auto" w:before="30" w:after="30"/>
              <w:jc w:val="center"/>
            </w:pPr>
          </w:p>
        </w:tc>
      </w:tr>
      <w:tr>
        <w:trPr>
          <w:cantSplit/>
        </w:trPr>
        <w:tc>
          <w:tcPr>
            <w:tcW w:type="dxa" w:w="3143"/>
          </w:tcPr>
          <w:p>
            <w:pPr>
              <w:pStyle w:val="MDPI42tablebody"/>
              <w:keepNext/>
              <w:spacing w:line="240" w:lineRule="auto" w:before="30" w:after="30"/>
              <w:jc w:val="left"/>
            </w:pPr>
            <w:r>
              <w:rPr>
                <w:b w:val="0"/>
                <w:i w:val="0"/>
                <w:sz w:val="18"/>
              </w:rPr>
              <w:t>Initial eigenvalue, Factor 1</w:t>
            </w:r>
          </w:p>
        </w:tc>
        <w:tc>
          <w:tcPr>
            <w:tcW w:type="dxa" w:w="2200"/>
          </w:tcPr>
          <w:p>
            <w:pPr>
              <w:pStyle w:val="MDPI42tablebody"/>
              <w:keepNext/>
              <w:spacing w:line="240" w:lineRule="auto" w:before="30" w:after="30"/>
              <w:jc w:val="center"/>
            </w:pPr>
            <w:r>
              <w:rPr>
                <w:b w:val="0"/>
                <w:i w:val="0"/>
                <w:sz w:val="18"/>
              </w:rPr>
              <w:t>3.296</w:t>
            </w:r>
          </w:p>
        </w:tc>
        <w:tc>
          <w:tcPr>
            <w:tcW w:type="dxa" w:w="1257"/>
          </w:tcPr>
          <w:p>
            <w:pPr>
              <w:pStyle w:val="MDPI42tablebody"/>
              <w:keepNext/>
              <w:spacing w:line="240" w:lineRule="auto" w:before="30" w:after="30"/>
              <w:jc w:val="center"/>
            </w:pPr>
          </w:p>
        </w:tc>
        <w:tc>
          <w:tcPr>
            <w:tcW w:type="dxa" w:w="1257"/>
          </w:tcPr>
          <w:p>
            <w:pPr>
              <w:pStyle w:val="MDPI42tablebody"/>
              <w:keepNext/>
              <w:spacing w:line="240" w:lineRule="auto" w:before="30" w:after="30"/>
              <w:jc w:val="center"/>
            </w:pPr>
          </w:p>
        </w:tc>
      </w:tr>
      <w:tr>
        <w:trPr>
          <w:cantSplit/>
        </w:trPr>
        <w:tc>
          <w:tcPr>
            <w:tcW w:type="dxa" w:w="3143"/>
          </w:tcPr>
          <w:p>
            <w:pPr>
              <w:pStyle w:val="MDPI42tablebody"/>
              <w:keepNext/>
              <w:spacing w:line="240" w:lineRule="auto" w:before="30" w:after="30"/>
              <w:jc w:val="left"/>
            </w:pPr>
            <w:r>
              <w:rPr>
                <w:b w:val="0"/>
                <w:i w:val="0"/>
                <w:sz w:val="18"/>
              </w:rPr>
              <w:t>Initial variance explained</w:t>
            </w:r>
          </w:p>
        </w:tc>
        <w:tc>
          <w:tcPr>
            <w:tcW w:type="dxa" w:w="2200"/>
          </w:tcPr>
          <w:p>
            <w:pPr>
              <w:pStyle w:val="MDPI42tablebody"/>
              <w:keepNext/>
              <w:spacing w:line="240" w:lineRule="auto" w:before="30" w:after="30"/>
              <w:jc w:val="center"/>
            </w:pPr>
            <w:r>
              <w:rPr>
                <w:b w:val="0"/>
                <w:i w:val="0"/>
                <w:sz w:val="18"/>
              </w:rPr>
              <w:t>82.388%</w:t>
            </w:r>
          </w:p>
        </w:tc>
        <w:tc>
          <w:tcPr>
            <w:tcW w:type="dxa" w:w="1257"/>
          </w:tcPr>
          <w:p>
            <w:pPr>
              <w:pStyle w:val="MDPI42tablebody"/>
              <w:keepNext/>
              <w:spacing w:line="240" w:lineRule="auto" w:before="30" w:after="30"/>
              <w:jc w:val="center"/>
            </w:pPr>
          </w:p>
        </w:tc>
        <w:tc>
          <w:tcPr>
            <w:tcW w:type="dxa" w:w="1257"/>
          </w:tcPr>
          <w:p>
            <w:pPr>
              <w:pStyle w:val="MDPI42tablebody"/>
              <w:keepNext/>
              <w:spacing w:line="240" w:lineRule="auto" w:before="30" w:after="30"/>
              <w:jc w:val="center"/>
            </w:pPr>
          </w:p>
        </w:tc>
      </w:tr>
      <w:tr>
        <w:trPr>
          <w:cantSplit/>
        </w:trPr>
        <w:tc>
          <w:tcPr>
            <w:tcW w:type="dxa" w:w="3143"/>
          </w:tcPr>
          <w:p>
            <w:pPr>
              <w:pStyle w:val="MDPI42tablebody"/>
              <w:keepNext/>
              <w:spacing w:line="240" w:lineRule="auto" w:before="30" w:after="30"/>
              <w:jc w:val="left"/>
            </w:pPr>
            <w:r>
              <w:rPr>
                <w:b w:val="0"/>
                <w:i w:val="0"/>
                <w:sz w:val="18"/>
              </w:rPr>
              <w:t>Extraction sum of squared loadings</w:t>
            </w:r>
          </w:p>
        </w:tc>
        <w:tc>
          <w:tcPr>
            <w:tcW w:type="dxa" w:w="2200"/>
          </w:tcPr>
          <w:p>
            <w:pPr>
              <w:pStyle w:val="MDPI42tablebody"/>
              <w:keepNext/>
              <w:spacing w:line="240" w:lineRule="auto" w:before="30" w:after="30"/>
              <w:jc w:val="center"/>
            </w:pPr>
            <w:r>
              <w:rPr>
                <w:b w:val="0"/>
                <w:i w:val="0"/>
                <w:sz w:val="18"/>
              </w:rPr>
              <w:t>3.076</w:t>
            </w:r>
          </w:p>
        </w:tc>
        <w:tc>
          <w:tcPr>
            <w:tcW w:type="dxa" w:w="1257"/>
          </w:tcPr>
          <w:p>
            <w:pPr>
              <w:pStyle w:val="MDPI42tablebody"/>
              <w:keepNext/>
              <w:spacing w:line="240" w:lineRule="auto" w:before="30" w:after="30"/>
              <w:jc w:val="center"/>
            </w:pPr>
          </w:p>
        </w:tc>
        <w:tc>
          <w:tcPr>
            <w:tcW w:type="dxa" w:w="1257"/>
          </w:tcPr>
          <w:p>
            <w:pPr>
              <w:pStyle w:val="MDPI42tablebody"/>
              <w:keepNext/>
              <w:spacing w:line="240" w:lineRule="auto" w:before="30" w:after="30"/>
              <w:jc w:val="center"/>
            </w:pPr>
          </w:p>
        </w:tc>
      </w:tr>
      <w:tr>
        <w:trPr>
          <w:cantSplit/>
        </w:trPr>
        <w:tc>
          <w:tcPr>
            <w:tcW w:type="dxa" w:w="3143"/>
          </w:tcPr>
          <w:p>
            <w:pPr>
              <w:pStyle w:val="MDPI42tablebody"/>
              <w:keepNext/>
              <w:spacing w:line="240" w:lineRule="auto" w:before="30" w:after="30"/>
              <w:jc w:val="left"/>
            </w:pPr>
            <w:r>
              <w:rPr>
                <w:b w:val="0"/>
                <w:i w:val="0"/>
                <w:sz w:val="18"/>
              </w:rPr>
              <w:t>Variance explained after extraction</w:t>
            </w:r>
          </w:p>
        </w:tc>
        <w:tc>
          <w:tcPr>
            <w:tcW w:type="dxa" w:w="2200"/>
          </w:tcPr>
          <w:p>
            <w:pPr>
              <w:pStyle w:val="MDPI42tablebody"/>
              <w:keepNext/>
              <w:spacing w:line="240" w:lineRule="auto" w:before="30" w:after="30"/>
              <w:jc w:val="center"/>
            </w:pPr>
            <w:r>
              <w:rPr>
                <w:b w:val="0"/>
                <w:i w:val="0"/>
                <w:sz w:val="18"/>
              </w:rPr>
              <w:t>76.898%</w:t>
            </w:r>
          </w:p>
        </w:tc>
        <w:tc>
          <w:tcPr>
            <w:tcW w:type="dxa" w:w="1257"/>
          </w:tcPr>
          <w:p>
            <w:pPr>
              <w:pStyle w:val="MDPI42tablebody"/>
              <w:keepNext/>
              <w:spacing w:line="240" w:lineRule="auto" w:before="30" w:after="30"/>
              <w:jc w:val="center"/>
            </w:pPr>
          </w:p>
        </w:tc>
        <w:tc>
          <w:tcPr>
            <w:tcW w:type="dxa" w:w="1257"/>
          </w:tcPr>
          <w:p>
            <w:pPr>
              <w:pStyle w:val="MDPI42tablebody"/>
              <w:keepNext/>
              <w:spacing w:line="240" w:lineRule="auto" w:before="30" w:after="30"/>
              <w:jc w:val="center"/>
            </w:pPr>
          </w:p>
        </w:tc>
      </w:tr>
      <w:tr>
        <w:trPr>
          <w:cantSplit/>
        </w:trPr>
        <w:tc>
          <w:tcPr>
            <w:tcW w:type="dxa" w:w="3143"/>
          </w:tcPr>
          <w:p>
            <w:pPr>
              <w:pStyle w:val="MDPI42tablebody"/>
              <w:keepNext/>
              <w:spacing w:line="240" w:lineRule="auto" w:before="30" w:after="30"/>
              <w:jc w:val="left"/>
            </w:pPr>
            <w:r>
              <w:rPr>
                <w:b w:val="0"/>
                <w:i w:val="0"/>
                <w:sz w:val="18"/>
              </w:rPr>
              <w:t>Rotation</w:t>
            </w:r>
          </w:p>
        </w:tc>
        <w:tc>
          <w:tcPr>
            <w:tcW w:type="dxa" w:w="2200"/>
          </w:tcPr>
          <w:p>
            <w:pPr>
              <w:pStyle w:val="MDPI42tablebody"/>
              <w:keepNext/>
              <w:spacing w:line="240" w:lineRule="auto" w:before="30" w:after="30"/>
              <w:jc w:val="center"/>
            </w:pPr>
            <w:r>
              <w:rPr>
                <w:b w:val="0"/>
                <w:i w:val="0"/>
                <w:sz w:val="18"/>
              </w:rPr>
              <w:t>No rotation</w:t>
            </w:r>
          </w:p>
        </w:tc>
        <w:tc>
          <w:tcPr>
            <w:tcW w:type="dxa" w:w="1257"/>
          </w:tcPr>
          <w:p>
            <w:pPr>
              <w:pStyle w:val="MDPI42tablebody"/>
              <w:keepNext/>
              <w:spacing w:line="240" w:lineRule="auto" w:before="30" w:after="30"/>
              <w:jc w:val="center"/>
            </w:pPr>
          </w:p>
        </w:tc>
        <w:tc>
          <w:tcPr>
            <w:tcW w:type="dxa" w:w="1257"/>
          </w:tcPr>
          <w:p>
            <w:pPr>
              <w:pStyle w:val="MDPI42tablebody"/>
              <w:keepNext/>
              <w:spacing w:line="240" w:lineRule="auto" w:before="30" w:after="30"/>
              <w:jc w:val="center"/>
            </w:pPr>
          </w:p>
        </w:tc>
      </w:tr>
      <w:tr>
        <w:trPr>
          <w:cantSplit/>
        </w:trPr>
        <w:tc>
          <w:tcPr>
            <w:tcW w:type="dxa" w:w="7858"/>
            <w:gridSpan w:val="4"/>
          </w:tcPr>
          <w:p>
            <w:pPr>
              <w:pStyle w:val="MDPI42tablebody"/>
              <w:keepNext/>
              <w:spacing w:line="240" w:lineRule="auto" w:before="60" w:after="30"/>
              <w:jc w:val="left"/>
            </w:pPr>
            <w:r>
              <w:rPr>
                <w:b/>
                <w:i/>
                <w:sz w:val="18"/>
              </w:rPr>
              <w:t>Communalities</w:t>
            </w:r>
          </w:p>
        </w:tc>
      </w:tr>
      <w:tr>
        <w:trPr>
          <w:cantSplit/>
        </w:trPr>
        <w:tc>
          <w:tcPr>
            <w:tcW w:type="dxa" w:w="3143"/>
          </w:tcPr>
          <w:p>
            <w:pPr>
              <w:pStyle w:val="MDPI42tablebody"/>
              <w:keepNext/>
              <w:spacing w:line="240" w:lineRule="auto" w:before="30" w:after="30"/>
              <w:jc w:val="left"/>
            </w:pPr>
            <w:r>
              <w:rPr>
                <w:b w:val="0"/>
                <w:i w:val="0"/>
                <w:sz w:val="18"/>
              </w:rPr>
              <w:t>Factor</w:t>
            </w:r>
          </w:p>
        </w:tc>
        <w:tc>
          <w:tcPr>
            <w:tcW w:type="dxa" w:w="2200"/>
          </w:tcPr>
          <w:p>
            <w:pPr>
              <w:pStyle w:val="MDPI42tablebody"/>
              <w:keepNext/>
              <w:spacing w:line="240" w:lineRule="auto" w:before="30" w:after="30"/>
              <w:jc w:val="center"/>
            </w:pPr>
            <w:r>
              <w:rPr>
                <w:b w:val="0"/>
                <w:i w:val="0"/>
                <w:sz w:val="18"/>
              </w:rPr>
              <w:t>Initial</w:t>
            </w:r>
          </w:p>
        </w:tc>
        <w:tc>
          <w:tcPr>
            <w:tcW w:type="dxa" w:w="1257"/>
          </w:tcPr>
          <w:p>
            <w:pPr>
              <w:pStyle w:val="MDPI42tablebody"/>
              <w:keepNext/>
              <w:spacing w:line="240" w:lineRule="auto" w:before="30" w:after="30"/>
              <w:jc w:val="center"/>
            </w:pPr>
            <w:r>
              <w:rPr>
                <w:b w:val="0"/>
                <w:i w:val="0"/>
                <w:sz w:val="18"/>
              </w:rPr>
              <w:t>Extraction</w:t>
            </w:r>
          </w:p>
        </w:tc>
        <w:tc>
          <w:tcPr>
            <w:tcW w:type="dxa" w:w="1257"/>
          </w:tcPr>
          <w:p>
            <w:pPr>
              <w:pStyle w:val="MDPI42tablebody"/>
              <w:keepNext/>
              <w:spacing w:line="240" w:lineRule="auto" w:before="30" w:after="30"/>
              <w:jc w:val="center"/>
            </w:pPr>
            <w:r>
              <w:rPr>
                <w:b w:val="0"/>
                <w:i w:val="0"/>
                <w:sz w:val="18"/>
              </w:rPr>
              <w:t>Factor 1</w:t>
            </w:r>
          </w:p>
        </w:tc>
      </w:tr>
      <w:tr>
        <w:trPr>
          <w:cantSplit/>
        </w:trPr>
        <w:tc>
          <w:tcPr>
            <w:tcW w:type="dxa" w:w="3143"/>
          </w:tcPr>
          <w:p>
            <w:pPr>
              <w:pStyle w:val="MDPI42tablebody"/>
              <w:keepNext/>
              <w:spacing w:line="240" w:lineRule="auto" w:before="30" w:after="30"/>
              <w:jc w:val="left"/>
            </w:pPr>
            <w:r>
              <w:rPr>
                <w:b w:val="0"/>
                <w:i w:val="0"/>
                <w:sz w:val="18"/>
              </w:rPr>
              <w:t>AIENT</w:t>
            </w:r>
          </w:p>
        </w:tc>
        <w:tc>
          <w:tcPr>
            <w:tcW w:type="dxa" w:w="2200"/>
          </w:tcPr>
          <w:p>
            <w:pPr>
              <w:pStyle w:val="MDPI42tablebody"/>
              <w:keepNext/>
              <w:spacing w:line="240" w:lineRule="auto" w:before="30" w:after="30"/>
              <w:jc w:val="center"/>
            </w:pPr>
            <w:r>
              <w:rPr>
                <w:b w:val="0"/>
                <w:i w:val="0"/>
                <w:sz w:val="18"/>
              </w:rPr>
              <w:t>0.723</w:t>
            </w:r>
          </w:p>
        </w:tc>
        <w:tc>
          <w:tcPr>
            <w:tcW w:type="dxa" w:w="1257"/>
          </w:tcPr>
          <w:p>
            <w:pPr>
              <w:pStyle w:val="MDPI42tablebody"/>
              <w:keepNext/>
              <w:spacing w:line="240" w:lineRule="auto" w:before="30" w:after="30"/>
              <w:jc w:val="center"/>
            </w:pPr>
            <w:r>
              <w:rPr>
                <w:b w:val="0"/>
                <w:i w:val="0"/>
                <w:sz w:val="18"/>
              </w:rPr>
              <w:t>0.760</w:t>
            </w:r>
          </w:p>
        </w:tc>
        <w:tc>
          <w:tcPr>
            <w:tcW w:type="dxa" w:w="1257"/>
          </w:tcPr>
          <w:p>
            <w:pPr>
              <w:pStyle w:val="MDPI42tablebody"/>
              <w:keepNext/>
              <w:spacing w:line="240" w:lineRule="auto" w:before="30" w:after="30"/>
              <w:jc w:val="center"/>
            </w:pPr>
            <w:r>
              <w:rPr>
                <w:b w:val="0"/>
                <w:i w:val="0"/>
                <w:sz w:val="18"/>
              </w:rPr>
              <w:t>0.872</w:t>
            </w:r>
          </w:p>
        </w:tc>
      </w:tr>
      <w:tr>
        <w:trPr>
          <w:cantSplit/>
        </w:trPr>
        <w:tc>
          <w:tcPr>
            <w:tcW w:type="dxa" w:w="3143"/>
          </w:tcPr>
          <w:p>
            <w:pPr>
              <w:pStyle w:val="MDPI42tablebody"/>
              <w:keepNext/>
              <w:spacing w:line="240" w:lineRule="auto" w:before="30" w:after="30"/>
              <w:jc w:val="left"/>
            </w:pPr>
            <w:r>
              <w:rPr>
                <w:b w:val="0"/>
                <w:i w:val="0"/>
                <w:sz w:val="18"/>
              </w:rPr>
              <w:t>GAIY</w:t>
            </w:r>
          </w:p>
        </w:tc>
        <w:tc>
          <w:tcPr>
            <w:tcW w:type="dxa" w:w="2200"/>
          </w:tcPr>
          <w:p>
            <w:pPr>
              <w:pStyle w:val="MDPI42tablebody"/>
              <w:keepNext/>
              <w:spacing w:line="240" w:lineRule="auto" w:before="30" w:after="30"/>
              <w:jc w:val="center"/>
            </w:pPr>
            <w:r>
              <w:rPr>
                <w:b w:val="0"/>
                <w:i w:val="0"/>
                <w:sz w:val="18"/>
              </w:rPr>
              <w:t>0.866</w:t>
            </w:r>
          </w:p>
        </w:tc>
        <w:tc>
          <w:tcPr>
            <w:tcW w:type="dxa" w:w="1257"/>
          </w:tcPr>
          <w:p>
            <w:pPr>
              <w:pStyle w:val="MDPI42tablebody"/>
              <w:keepNext/>
              <w:spacing w:line="240" w:lineRule="auto" w:before="30" w:after="30"/>
              <w:jc w:val="center"/>
            </w:pPr>
            <w:r>
              <w:rPr>
                <w:b w:val="0"/>
                <w:i w:val="0"/>
                <w:sz w:val="18"/>
              </w:rPr>
              <w:t>0.950</w:t>
            </w:r>
          </w:p>
        </w:tc>
        <w:tc>
          <w:tcPr>
            <w:tcW w:type="dxa" w:w="1257"/>
          </w:tcPr>
          <w:p>
            <w:pPr>
              <w:pStyle w:val="MDPI42tablebody"/>
              <w:keepNext/>
              <w:spacing w:line="240" w:lineRule="auto" w:before="30" w:after="30"/>
              <w:jc w:val="center"/>
            </w:pPr>
            <w:r>
              <w:rPr>
                <w:b w:val="0"/>
                <w:i w:val="0"/>
                <w:sz w:val="18"/>
              </w:rPr>
              <w:t>0.975</w:t>
            </w:r>
          </w:p>
        </w:tc>
      </w:tr>
      <w:tr>
        <w:trPr>
          <w:cantSplit/>
        </w:trPr>
        <w:tc>
          <w:tcPr>
            <w:tcW w:type="dxa" w:w="3143"/>
          </w:tcPr>
          <w:p>
            <w:pPr>
              <w:pStyle w:val="MDPI42tablebody"/>
              <w:keepNext/>
              <w:spacing w:line="240" w:lineRule="auto" w:before="30" w:after="30"/>
              <w:jc w:val="left"/>
            </w:pPr>
            <w:r>
              <w:rPr>
                <w:b w:val="0"/>
                <w:i w:val="0"/>
                <w:sz w:val="18"/>
              </w:rPr>
              <w:t>DSKY</w:t>
            </w:r>
          </w:p>
        </w:tc>
        <w:tc>
          <w:tcPr>
            <w:tcW w:type="dxa" w:w="2200"/>
          </w:tcPr>
          <w:p>
            <w:pPr>
              <w:pStyle w:val="MDPI42tablebody"/>
              <w:keepNext/>
              <w:spacing w:line="240" w:lineRule="auto" w:before="30" w:after="30"/>
              <w:jc w:val="center"/>
            </w:pPr>
            <w:r>
              <w:rPr>
                <w:b w:val="0"/>
                <w:i w:val="0"/>
                <w:sz w:val="18"/>
              </w:rPr>
              <w:t>0.775</w:t>
            </w:r>
          </w:p>
        </w:tc>
        <w:tc>
          <w:tcPr>
            <w:tcW w:type="dxa" w:w="1257"/>
          </w:tcPr>
          <w:p>
            <w:pPr>
              <w:pStyle w:val="MDPI42tablebody"/>
              <w:keepNext/>
              <w:spacing w:line="240" w:lineRule="auto" w:before="30" w:after="30"/>
              <w:jc w:val="center"/>
            </w:pPr>
            <w:r>
              <w:rPr>
                <w:b w:val="0"/>
                <w:i w:val="0"/>
                <w:sz w:val="18"/>
              </w:rPr>
              <w:t>0.689</w:t>
            </w:r>
          </w:p>
        </w:tc>
        <w:tc>
          <w:tcPr>
            <w:tcW w:type="dxa" w:w="1257"/>
          </w:tcPr>
          <w:p>
            <w:pPr>
              <w:pStyle w:val="MDPI42tablebody"/>
              <w:keepNext/>
              <w:spacing w:line="240" w:lineRule="auto" w:before="30" w:after="30"/>
              <w:jc w:val="center"/>
            </w:pPr>
            <w:r>
              <w:rPr>
                <w:b w:val="0"/>
                <w:i w:val="0"/>
                <w:sz w:val="18"/>
              </w:rPr>
              <w:t>0.830</w:t>
            </w:r>
          </w:p>
        </w:tc>
      </w:tr>
      <w:tr>
        <w:trPr>
          <w:cantSplit/>
        </w:trPr>
        <w:tc>
          <w:tcPr>
            <w:tcW w:type="dxa" w:w="3143"/>
          </w:tcPr>
          <w:p>
            <w:pPr>
              <w:pStyle w:val="MDPI42tablebody"/>
              <w:keepNext/>
              <w:spacing w:line="240" w:lineRule="auto" w:before="30" w:after="30"/>
              <w:jc w:val="left"/>
            </w:pPr>
            <w:r>
              <w:rPr>
                <w:b w:val="0"/>
                <w:i w:val="0"/>
                <w:sz w:val="18"/>
              </w:rPr>
              <w:t>ICTS</w:t>
            </w:r>
          </w:p>
        </w:tc>
        <w:tc>
          <w:tcPr>
            <w:tcW w:type="dxa" w:w="2200"/>
          </w:tcPr>
          <w:p>
            <w:pPr>
              <w:pStyle w:val="MDPI42tablebody"/>
              <w:keepNext/>
              <w:spacing w:line="240" w:lineRule="auto" w:before="30" w:after="30"/>
              <w:jc w:val="center"/>
            </w:pPr>
            <w:r>
              <w:rPr>
                <w:b w:val="0"/>
                <w:i w:val="0"/>
                <w:sz w:val="18"/>
              </w:rPr>
              <w:t>0.691</w:t>
            </w:r>
          </w:p>
        </w:tc>
        <w:tc>
          <w:tcPr>
            <w:tcW w:type="dxa" w:w="1257"/>
          </w:tcPr>
          <w:p>
            <w:pPr>
              <w:pStyle w:val="MDPI42tablebody"/>
              <w:keepNext/>
              <w:spacing w:line="240" w:lineRule="auto" w:before="30" w:after="30"/>
              <w:jc w:val="center"/>
            </w:pPr>
            <w:r>
              <w:rPr>
                <w:b w:val="0"/>
                <w:i w:val="0"/>
                <w:sz w:val="18"/>
              </w:rPr>
              <w:t>0.676</w:t>
            </w:r>
          </w:p>
        </w:tc>
        <w:tc>
          <w:tcPr>
            <w:tcW w:type="dxa" w:w="1257"/>
          </w:tcPr>
          <w:p>
            <w:pPr>
              <w:pStyle w:val="MDPI42tablebody"/>
              <w:keepNext/>
              <w:spacing w:line="240" w:lineRule="auto" w:before="30" w:after="30"/>
              <w:jc w:val="center"/>
            </w:pPr>
            <w:r>
              <w:rPr>
                <w:b w:val="0"/>
                <w:i w:val="0"/>
                <w:sz w:val="18"/>
              </w:rPr>
              <w:t>0.822</w:t>
            </w:r>
          </w:p>
        </w:tc>
      </w:tr>
    </w:tbl>
    <w:p>
      <w:pPr>
        <w:pStyle w:val="MDPI43tablefooter"/>
        <w:spacing w:line="240" w:lineRule="auto" w:before="40" w:after="200"/>
        <w:ind w:left="2608" w:firstLine="0"/>
      </w:pPr>
      <w:r>
        <w:rPr>
          <w:sz w:val="16"/>
        </w:rPr>
        <w:t xml:space="preserve">Note: </w:t>
      </w:r>
      <w:r>
        <w:rPr>
          <w:b w:val="0"/>
          <w:i w:val="0"/>
          <w:sz w:val="16"/>
        </w:rPr>
        <w:t>Principal Axis Factoring on the correlation matrix of the four AI-readiness indicators; factor scores are generated with the regression method. Source: authors’ calculations.</w:t>
      </w:r>
    </w:p>
    <w:p>
      <w:pPr>
        <w:pStyle w:val="MDPI31text"/>
      </w:pPr>
      <w:r>
        <w:rPr>
          <w:b w:val="0"/>
          <w:i w:val="0"/>
        </w:rPr>
        <w:t>The communalities indicate that the common latent factor effectively represents all four dimensions. Generative AI use among young individuals shows the highest extracted communality (0.950) and loading (0.975), suggesting that the everyday use of the technology by the young cohort is the purest expression of the underlying readiness dimension. Youth digital skills and ICT specialist employment load somewhat lower (0.830 and 0.822), indicating that each also captures a specific component beyond the common pattern. This latent factor, labelled FACT_AIR, reflects an emerging construct of the socio-technical system of youth employment, in which enterprise-side and person-side readiness aggregate into a coherent macro-level signal.</w:t>
      </w:r>
    </w:p>
    <w:p>
      <w:pPr>
        <w:pStyle w:val="MDPI31text"/>
      </w:pPr>
      <w:r>
        <w:rPr>
          <w:b w:val="0"/>
          <w:i w:val="0"/>
        </w:rPr>
        <w:t>The first regression analyzed the relationship between the latent factor and the youth NEET rate. The model indicates a negative and statistically significant relationship, with a correlation coefficient of −0.802 and an explanatory capacity of approximately 64% of the variation in the share of disengaged young people (R-squared = 0.643; adjusted R-squared = 0.629). The F test indicates that the model is statistically significant (F = 45.12, p &lt; 0.001). The regression coefficient indicates that, on average, a one-unit increase in the factor score is associated with a decrease of around 2.49 percentage points in the NEET rate (B = −2.487, beta = −0.802). Given the cross-sectional structure of the data and the absence of a meaningful ordering of countries, no autocorrelation interpretation is reported (Table 8).</w:t>
      </w:r>
    </w:p>
    <w:p>
      <w:pPr>
        <w:pStyle w:val="MDPI41tablecaption"/>
        <w:keepNext/>
        <w:spacing w:after="60"/>
      </w:pPr>
      <w:r>
        <w:rPr>
          <w:b/>
          <w:sz w:val="18"/>
        </w:rPr>
        <w:t xml:space="preserve">Table 8. </w:t>
      </w:r>
      <w:r>
        <w:rPr>
          <w:b w:val="0"/>
          <w:i w:val="0"/>
          <w:sz w:val="18"/>
        </w:rPr>
        <w:t>Regression results for the relationship between the latent factor of artificial intelligence readiness and the youth NEET rate.</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1493"/>
        <w:gridCol w:w="1335"/>
        <w:gridCol w:w="1100"/>
        <w:gridCol w:w="1335"/>
        <w:gridCol w:w="1571"/>
        <w:gridCol w:w="1021"/>
      </w:tblGrid>
      <w:tr>
        <w:trPr>
          <w:cantSplit/>
          <w:tblHeader/>
        </w:trPr>
        <w:tc>
          <w:tcPr>
            <w:tcW w:type="dxa" w:w="1493"/>
            <w:tcBorders>
              <w:bottom w:val="single" w:sz="8" w:space="0" w:color="auto"/>
            </w:tcBorders>
          </w:tcPr>
          <w:p>
            <w:pPr>
              <w:pStyle w:val="MDPI42tablebody"/>
              <w:keepNext/>
              <w:spacing w:line="240" w:lineRule="auto" w:before="30" w:after="30"/>
              <w:jc w:val="center"/>
            </w:pPr>
            <w:r>
              <w:rPr>
                <w:b/>
                <w:i w:val="0"/>
                <w:sz w:val="16"/>
              </w:rPr>
              <w:t>Model</w:t>
            </w:r>
          </w:p>
        </w:tc>
        <w:tc>
          <w:tcPr>
            <w:tcW w:type="dxa" w:w="1335"/>
            <w:tcBorders>
              <w:bottom w:val="single" w:sz="8" w:space="0" w:color="auto"/>
            </w:tcBorders>
          </w:tcPr>
          <w:p>
            <w:pPr>
              <w:pStyle w:val="MDPI42tablebody"/>
              <w:keepNext/>
              <w:spacing w:line="240" w:lineRule="auto" w:before="30" w:after="30"/>
              <w:jc w:val="center"/>
            </w:pPr>
            <w:r>
              <w:rPr>
                <w:b/>
                <w:i w:val="0"/>
                <w:sz w:val="16"/>
              </w:rPr>
              <w:t>R</w:t>
            </w:r>
          </w:p>
        </w:tc>
        <w:tc>
          <w:tcPr>
            <w:tcW w:type="dxa" w:w="1100"/>
            <w:tcBorders>
              <w:bottom w:val="single" w:sz="8" w:space="0" w:color="auto"/>
            </w:tcBorders>
          </w:tcPr>
          <w:p>
            <w:pPr>
              <w:pStyle w:val="MDPI42tablebody"/>
              <w:keepNext/>
              <w:spacing w:line="240" w:lineRule="auto" w:before="30" w:after="30"/>
              <w:jc w:val="center"/>
            </w:pPr>
            <w:r>
              <w:rPr>
                <w:b/>
                <w:i w:val="0"/>
                <w:sz w:val="16"/>
              </w:rPr>
              <w:t>R Square</w:t>
            </w:r>
          </w:p>
        </w:tc>
        <w:tc>
          <w:tcPr>
            <w:tcW w:type="dxa" w:w="1335"/>
            <w:tcBorders>
              <w:bottom w:val="single" w:sz="8" w:space="0" w:color="auto"/>
            </w:tcBorders>
          </w:tcPr>
          <w:p>
            <w:pPr>
              <w:pStyle w:val="MDPI42tablebody"/>
              <w:keepNext/>
              <w:spacing w:line="240" w:lineRule="auto" w:before="30" w:after="30"/>
              <w:jc w:val="center"/>
            </w:pPr>
            <w:r>
              <w:rPr>
                <w:b/>
                <w:i w:val="0"/>
                <w:sz w:val="16"/>
              </w:rPr>
              <w:t>Adjusted R-Square</w:t>
            </w:r>
          </w:p>
        </w:tc>
        <w:tc>
          <w:tcPr>
            <w:tcW w:type="dxa" w:w="1571"/>
            <w:tcBorders>
              <w:bottom w:val="single" w:sz="8" w:space="0" w:color="auto"/>
            </w:tcBorders>
          </w:tcPr>
          <w:p>
            <w:pPr>
              <w:pStyle w:val="MDPI42tablebody"/>
              <w:keepNext/>
              <w:spacing w:line="240" w:lineRule="auto" w:before="30" w:after="30"/>
              <w:jc w:val="center"/>
            </w:pPr>
            <w:r>
              <w:rPr>
                <w:b/>
                <w:i w:val="0"/>
                <w:sz w:val="16"/>
              </w:rPr>
              <w:t>Std. Error of the Estimate</w:t>
            </w:r>
          </w:p>
        </w:tc>
        <w:tc>
          <w:tcPr>
            <w:tcW w:type="dxa" w:w="1021"/>
            <w:tcBorders>
              <w:bottom w:val="single" w:sz="8" w:space="0" w:color="auto"/>
            </w:tcBorders>
          </w:tcPr>
          <w:p>
            <w:pPr>
              <w:pStyle w:val="MDPI42tablebody"/>
              <w:keepNext/>
              <w:spacing w:line="240" w:lineRule="auto" w:before="30" w:after="30"/>
              <w:jc w:val="center"/>
            </w:pPr>
          </w:p>
        </w:tc>
      </w:tr>
      <w:tr>
        <w:trPr>
          <w:cantSplit/>
        </w:trPr>
        <w:tc>
          <w:tcPr>
            <w:tcW w:type="dxa" w:w="1493"/>
          </w:tcPr>
          <w:p>
            <w:pPr>
              <w:pStyle w:val="MDPI42tablebody"/>
              <w:keepNext/>
              <w:spacing w:line="240" w:lineRule="auto" w:before="30" w:after="30"/>
              <w:jc w:val="left"/>
            </w:pPr>
            <w:r>
              <w:rPr>
                <w:b w:val="0"/>
                <w:i w:val="0"/>
                <w:sz w:val="16"/>
              </w:rPr>
              <w:t>1</w:t>
            </w:r>
          </w:p>
        </w:tc>
        <w:tc>
          <w:tcPr>
            <w:tcW w:type="dxa" w:w="1335"/>
          </w:tcPr>
          <w:p>
            <w:pPr>
              <w:pStyle w:val="MDPI42tablebody"/>
              <w:keepNext/>
              <w:spacing w:line="240" w:lineRule="auto" w:before="30" w:after="30"/>
              <w:jc w:val="center"/>
            </w:pPr>
            <w:r>
              <w:rPr>
                <w:b w:val="0"/>
                <w:i w:val="0"/>
                <w:sz w:val="16"/>
              </w:rPr>
              <w:t>0.802</w:t>
            </w:r>
          </w:p>
        </w:tc>
        <w:tc>
          <w:tcPr>
            <w:tcW w:type="dxa" w:w="1100"/>
          </w:tcPr>
          <w:p>
            <w:pPr>
              <w:pStyle w:val="MDPI42tablebody"/>
              <w:keepNext/>
              <w:spacing w:line="240" w:lineRule="auto" w:before="30" w:after="30"/>
              <w:jc w:val="center"/>
            </w:pPr>
            <w:r>
              <w:rPr>
                <w:b w:val="0"/>
                <w:i w:val="0"/>
                <w:sz w:val="16"/>
              </w:rPr>
              <w:t>0.643</w:t>
            </w:r>
          </w:p>
        </w:tc>
        <w:tc>
          <w:tcPr>
            <w:tcW w:type="dxa" w:w="1335"/>
          </w:tcPr>
          <w:p>
            <w:pPr>
              <w:pStyle w:val="MDPI42tablebody"/>
              <w:keepNext/>
              <w:spacing w:line="240" w:lineRule="auto" w:before="30" w:after="30"/>
              <w:jc w:val="center"/>
            </w:pPr>
            <w:r>
              <w:rPr>
                <w:b w:val="0"/>
                <w:i w:val="0"/>
                <w:sz w:val="16"/>
              </w:rPr>
              <w:t>0.629</w:t>
            </w:r>
          </w:p>
        </w:tc>
        <w:tc>
          <w:tcPr>
            <w:tcW w:type="dxa" w:w="1571"/>
          </w:tcPr>
          <w:p>
            <w:pPr>
              <w:pStyle w:val="MDPI42tablebody"/>
              <w:keepNext/>
              <w:spacing w:line="240" w:lineRule="auto" w:before="30" w:after="30"/>
              <w:jc w:val="center"/>
            </w:pPr>
            <w:r>
              <w:rPr>
                <w:b w:val="0"/>
                <w:i w:val="0"/>
                <w:sz w:val="16"/>
              </w:rPr>
              <w:t>1.88789</w:t>
            </w:r>
          </w:p>
        </w:tc>
        <w:tc>
          <w:tcPr>
            <w:tcW w:type="dxa" w:w="1021"/>
          </w:tcPr>
          <w:p>
            <w:pPr>
              <w:pStyle w:val="MDPI42tablebody"/>
              <w:keepNext/>
              <w:spacing w:line="240" w:lineRule="auto" w:before="30" w:after="30"/>
              <w:jc w:val="center"/>
            </w:pPr>
          </w:p>
        </w:tc>
      </w:tr>
      <w:tr>
        <w:trPr>
          <w:cantSplit/>
        </w:trPr>
        <w:tc>
          <w:tcPr>
            <w:tcW w:type="dxa" w:w="7858"/>
            <w:gridSpan w:val="6"/>
          </w:tcPr>
          <w:p>
            <w:pPr>
              <w:pStyle w:val="MDPI42tablebody"/>
              <w:keepNext/>
              <w:spacing w:line="240" w:lineRule="auto" w:before="60" w:after="30"/>
              <w:jc w:val="left"/>
            </w:pPr>
            <w:r>
              <w:rPr>
                <w:b/>
                <w:i/>
                <w:sz w:val="16"/>
              </w:rPr>
              <w:t>ANOVA</w:t>
            </w:r>
          </w:p>
        </w:tc>
      </w:tr>
      <w:tr>
        <w:trPr>
          <w:cantSplit/>
        </w:trPr>
        <w:tc>
          <w:tcPr>
            <w:tcW w:type="dxa" w:w="1493"/>
          </w:tcPr>
          <w:p>
            <w:pPr>
              <w:pStyle w:val="MDPI42tablebody"/>
              <w:keepNext/>
              <w:spacing w:line="240" w:lineRule="auto" w:before="30" w:after="30"/>
              <w:jc w:val="left"/>
            </w:pPr>
          </w:p>
        </w:tc>
        <w:tc>
          <w:tcPr>
            <w:tcW w:type="dxa" w:w="1335"/>
          </w:tcPr>
          <w:p>
            <w:pPr>
              <w:pStyle w:val="MDPI42tablebody"/>
              <w:keepNext/>
              <w:spacing w:line="240" w:lineRule="auto" w:before="30" w:after="30"/>
              <w:jc w:val="center"/>
            </w:pPr>
            <w:r>
              <w:rPr>
                <w:b w:val="0"/>
                <w:i w:val="0"/>
                <w:sz w:val="16"/>
              </w:rPr>
              <w:t>Sum of Squares</w:t>
            </w:r>
          </w:p>
        </w:tc>
        <w:tc>
          <w:tcPr>
            <w:tcW w:type="dxa" w:w="1100"/>
          </w:tcPr>
          <w:p>
            <w:pPr>
              <w:pStyle w:val="MDPI42tablebody"/>
              <w:keepNext/>
              <w:spacing w:line="240" w:lineRule="auto" w:before="30" w:after="30"/>
              <w:jc w:val="center"/>
            </w:pPr>
            <w:r>
              <w:rPr>
                <w:b w:val="0"/>
                <w:i w:val="0"/>
                <w:sz w:val="16"/>
              </w:rPr>
              <w:t>df</w:t>
            </w:r>
          </w:p>
        </w:tc>
        <w:tc>
          <w:tcPr>
            <w:tcW w:type="dxa" w:w="1335"/>
          </w:tcPr>
          <w:p>
            <w:pPr>
              <w:pStyle w:val="MDPI42tablebody"/>
              <w:keepNext/>
              <w:spacing w:line="240" w:lineRule="auto" w:before="30" w:after="30"/>
              <w:jc w:val="center"/>
            </w:pPr>
            <w:r>
              <w:rPr>
                <w:b w:val="0"/>
                <w:i w:val="0"/>
                <w:sz w:val="16"/>
              </w:rPr>
              <w:t>Mean Square</w:t>
            </w:r>
          </w:p>
        </w:tc>
        <w:tc>
          <w:tcPr>
            <w:tcW w:type="dxa" w:w="1571"/>
          </w:tcPr>
          <w:p>
            <w:pPr>
              <w:pStyle w:val="MDPI42tablebody"/>
              <w:keepNext/>
              <w:spacing w:line="240" w:lineRule="auto" w:before="30" w:after="30"/>
              <w:jc w:val="center"/>
            </w:pPr>
            <w:r>
              <w:rPr>
                <w:b w:val="0"/>
                <w:i w:val="0"/>
                <w:sz w:val="16"/>
              </w:rPr>
              <w:t>F</w:t>
            </w:r>
          </w:p>
        </w:tc>
        <w:tc>
          <w:tcPr>
            <w:tcW w:type="dxa" w:w="1021"/>
          </w:tcPr>
          <w:p>
            <w:pPr>
              <w:pStyle w:val="MDPI42tablebody"/>
              <w:keepNext/>
              <w:spacing w:line="240" w:lineRule="auto" w:before="30" w:after="30"/>
              <w:jc w:val="center"/>
            </w:pPr>
            <w:r>
              <w:rPr>
                <w:b w:val="0"/>
                <w:i w:val="0"/>
                <w:sz w:val="16"/>
              </w:rPr>
              <w:t>Sig.</w:t>
            </w:r>
          </w:p>
        </w:tc>
      </w:tr>
      <w:tr>
        <w:trPr>
          <w:cantSplit/>
        </w:trPr>
        <w:tc>
          <w:tcPr>
            <w:tcW w:type="dxa" w:w="1493"/>
          </w:tcPr>
          <w:p>
            <w:pPr>
              <w:pStyle w:val="MDPI42tablebody"/>
              <w:keepNext/>
              <w:spacing w:line="240" w:lineRule="auto" w:before="30" w:after="30"/>
              <w:jc w:val="left"/>
            </w:pPr>
            <w:r>
              <w:rPr>
                <w:b w:val="0"/>
                <w:i w:val="0"/>
                <w:sz w:val="16"/>
              </w:rPr>
              <w:t>Regression</w:t>
            </w:r>
          </w:p>
        </w:tc>
        <w:tc>
          <w:tcPr>
            <w:tcW w:type="dxa" w:w="1335"/>
          </w:tcPr>
          <w:p>
            <w:pPr>
              <w:pStyle w:val="MDPI42tablebody"/>
              <w:keepNext/>
              <w:spacing w:line="240" w:lineRule="auto" w:before="30" w:after="30"/>
              <w:jc w:val="center"/>
            </w:pPr>
            <w:r>
              <w:rPr>
                <w:b w:val="0"/>
                <w:i w:val="0"/>
                <w:sz w:val="16"/>
              </w:rPr>
              <w:t>160.817</w:t>
            </w:r>
          </w:p>
        </w:tc>
        <w:tc>
          <w:tcPr>
            <w:tcW w:type="dxa" w:w="1100"/>
          </w:tcPr>
          <w:p>
            <w:pPr>
              <w:pStyle w:val="MDPI42tablebody"/>
              <w:keepNext/>
              <w:spacing w:line="240" w:lineRule="auto" w:before="30" w:after="30"/>
              <w:jc w:val="center"/>
            </w:pPr>
            <w:r>
              <w:rPr>
                <w:b w:val="0"/>
                <w:i w:val="0"/>
                <w:sz w:val="16"/>
              </w:rPr>
              <w:t>1</w:t>
            </w:r>
          </w:p>
        </w:tc>
        <w:tc>
          <w:tcPr>
            <w:tcW w:type="dxa" w:w="1335"/>
          </w:tcPr>
          <w:p>
            <w:pPr>
              <w:pStyle w:val="MDPI42tablebody"/>
              <w:keepNext/>
              <w:spacing w:line="240" w:lineRule="auto" w:before="30" w:after="30"/>
              <w:jc w:val="center"/>
            </w:pPr>
            <w:r>
              <w:rPr>
                <w:b w:val="0"/>
                <w:i w:val="0"/>
                <w:sz w:val="16"/>
              </w:rPr>
              <w:t>160.817</w:t>
            </w:r>
          </w:p>
        </w:tc>
        <w:tc>
          <w:tcPr>
            <w:tcW w:type="dxa" w:w="1571"/>
          </w:tcPr>
          <w:p>
            <w:pPr>
              <w:pStyle w:val="MDPI42tablebody"/>
              <w:keepNext/>
              <w:spacing w:line="240" w:lineRule="auto" w:before="30" w:after="30"/>
              <w:jc w:val="center"/>
            </w:pPr>
            <w:r>
              <w:rPr>
                <w:b w:val="0"/>
                <w:i w:val="0"/>
                <w:sz w:val="16"/>
              </w:rPr>
              <w:t>45.121</w:t>
            </w:r>
          </w:p>
        </w:tc>
        <w:tc>
          <w:tcPr>
            <w:tcW w:type="dxa" w:w="1021"/>
          </w:tcPr>
          <w:p>
            <w:pPr>
              <w:pStyle w:val="MDPI42tablebody"/>
              <w:keepNext/>
              <w:spacing w:line="240" w:lineRule="auto" w:before="30" w:after="30"/>
              <w:jc w:val="center"/>
            </w:pPr>
            <w:r>
              <w:rPr>
                <w:b w:val="0"/>
                <w:i w:val="0"/>
                <w:sz w:val="16"/>
              </w:rPr>
              <w:t>0.000</w:t>
            </w:r>
          </w:p>
        </w:tc>
      </w:tr>
      <w:tr>
        <w:trPr>
          <w:cantSplit/>
        </w:trPr>
        <w:tc>
          <w:tcPr>
            <w:tcW w:type="dxa" w:w="1493"/>
          </w:tcPr>
          <w:p>
            <w:pPr>
              <w:pStyle w:val="MDPI42tablebody"/>
              <w:keepNext/>
              <w:spacing w:line="240" w:lineRule="auto" w:before="30" w:after="30"/>
              <w:jc w:val="left"/>
            </w:pPr>
            <w:r>
              <w:rPr>
                <w:b w:val="0"/>
                <w:i w:val="0"/>
                <w:sz w:val="16"/>
              </w:rPr>
              <w:t>Residual</w:t>
            </w:r>
          </w:p>
        </w:tc>
        <w:tc>
          <w:tcPr>
            <w:tcW w:type="dxa" w:w="1335"/>
          </w:tcPr>
          <w:p>
            <w:pPr>
              <w:pStyle w:val="MDPI42tablebody"/>
              <w:keepNext/>
              <w:spacing w:line="240" w:lineRule="auto" w:before="30" w:after="30"/>
              <w:jc w:val="center"/>
            </w:pPr>
            <w:r>
              <w:rPr>
                <w:b w:val="0"/>
                <w:i w:val="0"/>
                <w:sz w:val="16"/>
              </w:rPr>
              <w:t>89.103</w:t>
            </w:r>
          </w:p>
        </w:tc>
        <w:tc>
          <w:tcPr>
            <w:tcW w:type="dxa" w:w="1100"/>
          </w:tcPr>
          <w:p>
            <w:pPr>
              <w:pStyle w:val="MDPI42tablebody"/>
              <w:keepNext/>
              <w:spacing w:line="240" w:lineRule="auto" w:before="30" w:after="30"/>
              <w:jc w:val="center"/>
            </w:pPr>
            <w:r>
              <w:rPr>
                <w:b w:val="0"/>
                <w:i w:val="0"/>
                <w:sz w:val="16"/>
              </w:rPr>
              <w:t>25</w:t>
            </w:r>
          </w:p>
        </w:tc>
        <w:tc>
          <w:tcPr>
            <w:tcW w:type="dxa" w:w="1335"/>
          </w:tcPr>
          <w:p>
            <w:pPr>
              <w:pStyle w:val="MDPI42tablebody"/>
              <w:keepNext/>
              <w:spacing w:line="240" w:lineRule="auto" w:before="30" w:after="30"/>
              <w:jc w:val="center"/>
            </w:pPr>
            <w:r>
              <w:rPr>
                <w:b w:val="0"/>
                <w:i w:val="0"/>
                <w:sz w:val="16"/>
              </w:rPr>
              <w:t>3.564</w:t>
            </w:r>
          </w:p>
        </w:tc>
        <w:tc>
          <w:tcPr>
            <w:tcW w:type="dxa" w:w="1571"/>
          </w:tcPr>
          <w:p>
            <w:pPr>
              <w:pStyle w:val="MDPI42tablebody"/>
              <w:keepNext/>
              <w:spacing w:line="240" w:lineRule="auto" w:before="30" w:after="30"/>
              <w:jc w:val="center"/>
            </w:pPr>
          </w:p>
        </w:tc>
        <w:tc>
          <w:tcPr>
            <w:tcW w:type="dxa" w:w="1021"/>
          </w:tcPr>
          <w:p>
            <w:pPr>
              <w:pStyle w:val="MDPI42tablebody"/>
              <w:keepNext/>
              <w:spacing w:line="240" w:lineRule="auto" w:before="30" w:after="30"/>
              <w:jc w:val="center"/>
            </w:pPr>
          </w:p>
        </w:tc>
      </w:tr>
      <w:tr>
        <w:trPr>
          <w:cantSplit/>
        </w:trPr>
        <w:tc>
          <w:tcPr>
            <w:tcW w:type="dxa" w:w="1493"/>
          </w:tcPr>
          <w:p>
            <w:pPr>
              <w:pStyle w:val="MDPI42tablebody"/>
              <w:keepNext/>
              <w:spacing w:line="240" w:lineRule="auto" w:before="30" w:after="30"/>
              <w:jc w:val="left"/>
            </w:pPr>
            <w:r>
              <w:rPr>
                <w:b w:val="0"/>
                <w:i w:val="0"/>
                <w:sz w:val="16"/>
              </w:rPr>
              <w:t>Total</w:t>
            </w:r>
          </w:p>
        </w:tc>
        <w:tc>
          <w:tcPr>
            <w:tcW w:type="dxa" w:w="1335"/>
          </w:tcPr>
          <w:p>
            <w:pPr>
              <w:pStyle w:val="MDPI42tablebody"/>
              <w:keepNext/>
              <w:spacing w:line="240" w:lineRule="auto" w:before="30" w:after="30"/>
              <w:jc w:val="center"/>
            </w:pPr>
            <w:r>
              <w:rPr>
                <w:b w:val="0"/>
                <w:i w:val="0"/>
                <w:sz w:val="16"/>
              </w:rPr>
              <w:t>249.920</w:t>
            </w:r>
          </w:p>
        </w:tc>
        <w:tc>
          <w:tcPr>
            <w:tcW w:type="dxa" w:w="1100"/>
          </w:tcPr>
          <w:p>
            <w:pPr>
              <w:pStyle w:val="MDPI42tablebody"/>
              <w:keepNext/>
              <w:spacing w:line="240" w:lineRule="auto" w:before="30" w:after="30"/>
              <w:jc w:val="center"/>
            </w:pPr>
            <w:r>
              <w:rPr>
                <w:b w:val="0"/>
                <w:i w:val="0"/>
                <w:sz w:val="16"/>
              </w:rPr>
              <w:t>26</w:t>
            </w:r>
          </w:p>
        </w:tc>
        <w:tc>
          <w:tcPr>
            <w:tcW w:type="dxa" w:w="1335"/>
          </w:tcPr>
          <w:p>
            <w:pPr>
              <w:pStyle w:val="MDPI42tablebody"/>
              <w:keepNext/>
              <w:spacing w:line="240" w:lineRule="auto" w:before="30" w:after="30"/>
              <w:jc w:val="center"/>
            </w:pPr>
          </w:p>
        </w:tc>
        <w:tc>
          <w:tcPr>
            <w:tcW w:type="dxa" w:w="1571"/>
          </w:tcPr>
          <w:p>
            <w:pPr>
              <w:pStyle w:val="MDPI42tablebody"/>
              <w:keepNext/>
              <w:spacing w:line="240" w:lineRule="auto" w:before="30" w:after="30"/>
              <w:jc w:val="center"/>
            </w:pPr>
          </w:p>
        </w:tc>
        <w:tc>
          <w:tcPr>
            <w:tcW w:type="dxa" w:w="1021"/>
          </w:tcPr>
          <w:p>
            <w:pPr>
              <w:pStyle w:val="MDPI42tablebody"/>
              <w:keepNext/>
              <w:spacing w:line="240" w:lineRule="auto" w:before="30" w:after="30"/>
              <w:jc w:val="center"/>
            </w:pPr>
          </w:p>
        </w:tc>
      </w:tr>
      <w:tr>
        <w:trPr>
          <w:cantSplit/>
        </w:trPr>
        <w:tc>
          <w:tcPr>
            <w:tcW w:type="dxa" w:w="7858"/>
            <w:gridSpan w:val="6"/>
          </w:tcPr>
          <w:p>
            <w:pPr>
              <w:pStyle w:val="MDPI42tablebody"/>
              <w:keepNext/>
              <w:spacing w:line="240" w:lineRule="auto" w:before="60" w:after="30"/>
              <w:jc w:val="left"/>
            </w:pPr>
            <w:r>
              <w:rPr>
                <w:b/>
                <w:i/>
                <w:sz w:val="16"/>
              </w:rPr>
              <w:t>Coefficients</w:t>
            </w:r>
          </w:p>
        </w:tc>
      </w:tr>
      <w:tr>
        <w:trPr>
          <w:cantSplit/>
        </w:trPr>
        <w:tc>
          <w:tcPr>
            <w:tcW w:type="dxa" w:w="1493"/>
          </w:tcPr>
          <w:p>
            <w:pPr>
              <w:pStyle w:val="MDPI42tablebody"/>
              <w:keepNext/>
              <w:spacing w:line="240" w:lineRule="auto" w:before="30" w:after="30"/>
              <w:jc w:val="left"/>
            </w:pPr>
          </w:p>
        </w:tc>
        <w:tc>
          <w:tcPr>
            <w:tcW w:type="dxa" w:w="1335"/>
          </w:tcPr>
          <w:p>
            <w:pPr>
              <w:pStyle w:val="MDPI42tablebody"/>
              <w:keepNext/>
              <w:spacing w:line="240" w:lineRule="auto" w:before="30" w:after="30"/>
              <w:jc w:val="center"/>
            </w:pPr>
            <w:r>
              <w:rPr>
                <w:b w:val="0"/>
                <w:i w:val="0"/>
                <w:sz w:val="16"/>
              </w:rPr>
              <w:t>B</w:t>
            </w:r>
          </w:p>
        </w:tc>
        <w:tc>
          <w:tcPr>
            <w:tcW w:type="dxa" w:w="1100"/>
          </w:tcPr>
          <w:p>
            <w:pPr>
              <w:pStyle w:val="MDPI42tablebody"/>
              <w:keepNext/>
              <w:spacing w:line="240" w:lineRule="auto" w:before="30" w:after="30"/>
              <w:jc w:val="center"/>
            </w:pPr>
            <w:r>
              <w:rPr>
                <w:b w:val="0"/>
                <w:i w:val="0"/>
                <w:sz w:val="16"/>
              </w:rPr>
              <w:t>Std. Error</w:t>
            </w:r>
          </w:p>
        </w:tc>
        <w:tc>
          <w:tcPr>
            <w:tcW w:type="dxa" w:w="1335"/>
          </w:tcPr>
          <w:p>
            <w:pPr>
              <w:pStyle w:val="MDPI42tablebody"/>
              <w:keepNext/>
              <w:spacing w:line="240" w:lineRule="auto" w:before="30" w:after="30"/>
              <w:jc w:val="center"/>
            </w:pPr>
            <w:r>
              <w:rPr>
                <w:b w:val="0"/>
                <w:i w:val="0"/>
                <w:sz w:val="16"/>
              </w:rPr>
              <w:t>Beta</w:t>
            </w:r>
          </w:p>
        </w:tc>
        <w:tc>
          <w:tcPr>
            <w:tcW w:type="dxa" w:w="1571"/>
          </w:tcPr>
          <w:p>
            <w:pPr>
              <w:pStyle w:val="MDPI42tablebody"/>
              <w:keepNext/>
              <w:spacing w:line="240" w:lineRule="auto" w:before="30" w:after="30"/>
              <w:jc w:val="center"/>
            </w:pPr>
            <w:r>
              <w:rPr>
                <w:b w:val="0"/>
                <w:i w:val="0"/>
                <w:sz w:val="16"/>
              </w:rPr>
              <w:t>t</w:t>
            </w:r>
          </w:p>
        </w:tc>
        <w:tc>
          <w:tcPr>
            <w:tcW w:type="dxa" w:w="1021"/>
          </w:tcPr>
          <w:p>
            <w:pPr>
              <w:pStyle w:val="MDPI42tablebody"/>
              <w:keepNext/>
              <w:spacing w:line="240" w:lineRule="auto" w:before="30" w:after="30"/>
              <w:jc w:val="center"/>
            </w:pPr>
            <w:r>
              <w:rPr>
                <w:b w:val="0"/>
                <w:i w:val="0"/>
                <w:sz w:val="16"/>
              </w:rPr>
              <w:t>Sig.</w:t>
            </w:r>
          </w:p>
        </w:tc>
      </w:tr>
      <w:tr>
        <w:trPr>
          <w:cantSplit/>
        </w:trPr>
        <w:tc>
          <w:tcPr>
            <w:tcW w:type="dxa" w:w="1493"/>
          </w:tcPr>
          <w:p>
            <w:pPr>
              <w:pStyle w:val="MDPI42tablebody"/>
              <w:keepNext/>
              <w:spacing w:line="240" w:lineRule="auto" w:before="30" w:after="30"/>
              <w:jc w:val="left"/>
            </w:pPr>
            <w:r>
              <w:rPr>
                <w:b w:val="0"/>
                <w:i w:val="0"/>
                <w:sz w:val="16"/>
              </w:rPr>
              <w:t>(Constant)</w:t>
            </w:r>
          </w:p>
        </w:tc>
        <w:tc>
          <w:tcPr>
            <w:tcW w:type="dxa" w:w="1335"/>
          </w:tcPr>
          <w:p>
            <w:pPr>
              <w:pStyle w:val="MDPI42tablebody"/>
              <w:keepNext/>
              <w:spacing w:line="240" w:lineRule="auto" w:before="30" w:after="30"/>
              <w:jc w:val="center"/>
            </w:pPr>
            <w:r>
              <w:rPr>
                <w:b w:val="0"/>
                <w:i w:val="0"/>
                <w:sz w:val="16"/>
              </w:rPr>
              <w:t>10.200</w:t>
            </w:r>
          </w:p>
        </w:tc>
        <w:tc>
          <w:tcPr>
            <w:tcW w:type="dxa" w:w="1100"/>
          </w:tcPr>
          <w:p>
            <w:pPr>
              <w:pStyle w:val="MDPI42tablebody"/>
              <w:keepNext/>
              <w:spacing w:line="240" w:lineRule="auto" w:before="30" w:after="30"/>
              <w:jc w:val="center"/>
            </w:pPr>
            <w:r>
              <w:rPr>
                <w:b w:val="0"/>
                <w:i w:val="0"/>
                <w:sz w:val="16"/>
              </w:rPr>
              <w:t>0.363</w:t>
            </w:r>
          </w:p>
        </w:tc>
        <w:tc>
          <w:tcPr>
            <w:tcW w:type="dxa" w:w="1335"/>
          </w:tcPr>
          <w:p>
            <w:pPr>
              <w:pStyle w:val="MDPI42tablebody"/>
              <w:keepNext/>
              <w:spacing w:line="240" w:lineRule="auto" w:before="30" w:after="30"/>
              <w:jc w:val="center"/>
            </w:pPr>
          </w:p>
        </w:tc>
        <w:tc>
          <w:tcPr>
            <w:tcW w:type="dxa" w:w="1571"/>
          </w:tcPr>
          <w:p>
            <w:pPr>
              <w:pStyle w:val="MDPI42tablebody"/>
              <w:keepNext/>
              <w:spacing w:line="240" w:lineRule="auto" w:before="30" w:after="30"/>
              <w:jc w:val="center"/>
            </w:pPr>
            <w:r>
              <w:rPr>
                <w:b w:val="0"/>
                <w:i w:val="0"/>
                <w:sz w:val="16"/>
              </w:rPr>
              <w:t>28.074</w:t>
            </w:r>
          </w:p>
        </w:tc>
        <w:tc>
          <w:tcPr>
            <w:tcW w:type="dxa" w:w="1021"/>
          </w:tcPr>
          <w:p>
            <w:pPr>
              <w:pStyle w:val="MDPI42tablebody"/>
              <w:keepNext/>
              <w:spacing w:line="240" w:lineRule="auto" w:before="30" w:after="30"/>
              <w:jc w:val="center"/>
            </w:pPr>
            <w:r>
              <w:rPr>
                <w:b w:val="0"/>
                <w:i w:val="0"/>
                <w:sz w:val="16"/>
              </w:rPr>
              <w:t>0.000</w:t>
            </w:r>
          </w:p>
        </w:tc>
      </w:tr>
      <w:tr>
        <w:trPr>
          <w:cantSplit/>
        </w:trPr>
        <w:tc>
          <w:tcPr>
            <w:tcW w:type="dxa" w:w="1493"/>
          </w:tcPr>
          <w:p>
            <w:pPr>
              <w:pStyle w:val="MDPI42tablebody"/>
              <w:keepNext/>
              <w:spacing w:line="240" w:lineRule="auto" w:before="30" w:after="30"/>
              <w:jc w:val="left"/>
            </w:pPr>
            <w:r>
              <w:rPr>
                <w:b w:val="0"/>
                <w:i w:val="0"/>
                <w:sz w:val="16"/>
              </w:rPr>
              <w:t>FACT_AIR</w:t>
            </w:r>
          </w:p>
        </w:tc>
        <w:tc>
          <w:tcPr>
            <w:tcW w:type="dxa" w:w="1335"/>
          </w:tcPr>
          <w:p>
            <w:pPr>
              <w:pStyle w:val="MDPI42tablebody"/>
              <w:keepNext/>
              <w:spacing w:line="240" w:lineRule="auto" w:before="30" w:after="30"/>
              <w:jc w:val="center"/>
            </w:pPr>
            <w:r>
              <w:rPr>
                <w:b w:val="0"/>
                <w:i w:val="0"/>
                <w:sz w:val="16"/>
              </w:rPr>
              <w:t>−2.487</w:t>
            </w:r>
          </w:p>
        </w:tc>
        <w:tc>
          <w:tcPr>
            <w:tcW w:type="dxa" w:w="1100"/>
          </w:tcPr>
          <w:p>
            <w:pPr>
              <w:pStyle w:val="MDPI42tablebody"/>
              <w:keepNext/>
              <w:spacing w:line="240" w:lineRule="auto" w:before="30" w:after="30"/>
              <w:jc w:val="center"/>
            </w:pPr>
            <w:r>
              <w:rPr>
                <w:b w:val="0"/>
                <w:i w:val="0"/>
                <w:sz w:val="16"/>
              </w:rPr>
              <w:t>0.370</w:t>
            </w:r>
          </w:p>
        </w:tc>
        <w:tc>
          <w:tcPr>
            <w:tcW w:type="dxa" w:w="1335"/>
          </w:tcPr>
          <w:p>
            <w:pPr>
              <w:pStyle w:val="MDPI42tablebody"/>
              <w:keepNext/>
              <w:spacing w:line="240" w:lineRule="auto" w:before="30" w:after="30"/>
              <w:jc w:val="center"/>
            </w:pPr>
            <w:r>
              <w:rPr>
                <w:b w:val="0"/>
                <w:i w:val="0"/>
                <w:sz w:val="16"/>
              </w:rPr>
              <w:t>−0.802</w:t>
            </w:r>
          </w:p>
        </w:tc>
        <w:tc>
          <w:tcPr>
            <w:tcW w:type="dxa" w:w="1571"/>
          </w:tcPr>
          <w:p>
            <w:pPr>
              <w:pStyle w:val="MDPI42tablebody"/>
              <w:keepNext/>
              <w:spacing w:line="240" w:lineRule="auto" w:before="30" w:after="30"/>
              <w:jc w:val="center"/>
            </w:pPr>
            <w:r>
              <w:rPr>
                <w:b w:val="0"/>
                <w:i w:val="0"/>
                <w:sz w:val="16"/>
              </w:rPr>
              <w:t>−6.717</w:t>
            </w:r>
          </w:p>
        </w:tc>
        <w:tc>
          <w:tcPr>
            <w:tcW w:type="dxa" w:w="1021"/>
          </w:tcPr>
          <w:p>
            <w:pPr>
              <w:pStyle w:val="MDPI42tablebody"/>
              <w:keepNext/>
              <w:spacing w:line="240" w:lineRule="auto" w:before="30" w:after="30"/>
              <w:jc w:val="center"/>
            </w:pPr>
            <w:r>
              <w:rPr>
                <w:b w:val="0"/>
                <w:i w:val="0"/>
                <w:sz w:val="16"/>
              </w:rPr>
              <w:t>0.000</w:t>
            </w:r>
          </w:p>
        </w:tc>
      </w:tr>
    </w:tbl>
    <w:p>
      <w:pPr>
        <w:pStyle w:val="MDPI43tablefooter"/>
        <w:spacing w:line="240" w:lineRule="auto" w:before="40" w:after="200"/>
        <w:ind w:left="2608" w:firstLine="0"/>
      </w:pPr>
      <w:r>
        <w:rPr>
          <w:sz w:val="16"/>
        </w:rPr>
        <w:t xml:space="preserve">Note: </w:t>
      </w:r>
      <w:r>
        <w:rPr>
          <w:b w:val="0"/>
          <w:i w:val="0"/>
          <w:sz w:val="16"/>
        </w:rPr>
        <w:t>The dependent variable is NEET; the predictor is the regression-method factor score FACT_AIR. N = 27. Source: authors’ calculations.</w:t>
      </w:r>
    </w:p>
    <w:p>
      <w:pPr>
        <w:pStyle w:val="MDPI31text"/>
      </w:pPr>
      <w:r>
        <w:rPr>
          <w:b w:val="0"/>
          <w:i w:val="0"/>
        </w:rPr>
        <w:t>The second regression related the same factor to the youth unemployment rate. The model is statistically insignificant (R-squared = 0.028; F = 0.73, p = 0.402), and the coefficient of the factor score (B = −0.915, beta = −0.168, p = 0.402) cannot be distinguished from zero (Table 9). The aggregate readiness of the socio-technical system is therefore associated with how many young people are engaged in work or learning, but not with the unemployment rate recorded among those actively searching. These results provide exploratory support for H2 on the disengagement margin only; considered jointly with the four single-indicator models, they consistently locate the statistical relationship between artificial intelligence and youth labour markets on the engagement margin.</w:t>
      </w:r>
    </w:p>
    <w:p>
      <w:pPr>
        <w:pStyle w:val="MDPI41tablecaption"/>
        <w:keepNext/>
        <w:spacing w:after="60"/>
      </w:pPr>
      <w:r>
        <w:rPr>
          <w:b/>
          <w:sz w:val="18"/>
        </w:rPr>
        <w:t xml:space="preserve">Table 9. </w:t>
      </w:r>
      <w:r>
        <w:rPr>
          <w:b w:val="0"/>
          <w:i w:val="0"/>
          <w:sz w:val="18"/>
        </w:rPr>
        <w:t>Regression results for the relationship between the latent factor of artificial intelligence readiness and the youth unemployment rate.</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1493"/>
        <w:gridCol w:w="1335"/>
        <w:gridCol w:w="1100"/>
        <w:gridCol w:w="1335"/>
        <w:gridCol w:w="1571"/>
        <w:gridCol w:w="1021"/>
      </w:tblGrid>
      <w:tr>
        <w:trPr>
          <w:cantSplit/>
          <w:tblHeader/>
        </w:trPr>
        <w:tc>
          <w:tcPr>
            <w:tcW w:type="dxa" w:w="1493"/>
            <w:tcBorders>
              <w:bottom w:val="single" w:sz="8" w:space="0" w:color="auto"/>
            </w:tcBorders>
          </w:tcPr>
          <w:p>
            <w:pPr>
              <w:pStyle w:val="MDPI42tablebody"/>
              <w:keepNext/>
              <w:spacing w:line="240" w:lineRule="auto" w:before="30" w:after="30"/>
              <w:jc w:val="center"/>
            </w:pPr>
            <w:r>
              <w:rPr>
                <w:b/>
                <w:i w:val="0"/>
                <w:sz w:val="16"/>
              </w:rPr>
              <w:t>Model</w:t>
            </w:r>
          </w:p>
        </w:tc>
        <w:tc>
          <w:tcPr>
            <w:tcW w:type="dxa" w:w="1335"/>
            <w:tcBorders>
              <w:bottom w:val="single" w:sz="8" w:space="0" w:color="auto"/>
            </w:tcBorders>
          </w:tcPr>
          <w:p>
            <w:pPr>
              <w:pStyle w:val="MDPI42tablebody"/>
              <w:keepNext/>
              <w:spacing w:line="240" w:lineRule="auto" w:before="30" w:after="30"/>
              <w:jc w:val="center"/>
            </w:pPr>
            <w:r>
              <w:rPr>
                <w:b/>
                <w:i w:val="0"/>
                <w:sz w:val="16"/>
              </w:rPr>
              <w:t>R</w:t>
            </w:r>
          </w:p>
        </w:tc>
        <w:tc>
          <w:tcPr>
            <w:tcW w:type="dxa" w:w="1100"/>
            <w:tcBorders>
              <w:bottom w:val="single" w:sz="8" w:space="0" w:color="auto"/>
            </w:tcBorders>
          </w:tcPr>
          <w:p>
            <w:pPr>
              <w:pStyle w:val="MDPI42tablebody"/>
              <w:keepNext/>
              <w:spacing w:line="240" w:lineRule="auto" w:before="30" w:after="30"/>
              <w:jc w:val="center"/>
            </w:pPr>
            <w:r>
              <w:rPr>
                <w:b/>
                <w:i w:val="0"/>
                <w:sz w:val="16"/>
              </w:rPr>
              <w:t>R Square</w:t>
            </w:r>
          </w:p>
        </w:tc>
        <w:tc>
          <w:tcPr>
            <w:tcW w:type="dxa" w:w="1335"/>
            <w:tcBorders>
              <w:bottom w:val="single" w:sz="8" w:space="0" w:color="auto"/>
            </w:tcBorders>
          </w:tcPr>
          <w:p>
            <w:pPr>
              <w:pStyle w:val="MDPI42tablebody"/>
              <w:keepNext/>
              <w:spacing w:line="240" w:lineRule="auto" w:before="30" w:after="30"/>
              <w:jc w:val="center"/>
            </w:pPr>
            <w:r>
              <w:rPr>
                <w:b/>
                <w:i w:val="0"/>
                <w:sz w:val="16"/>
              </w:rPr>
              <w:t>Adjusted R-Square</w:t>
            </w:r>
          </w:p>
        </w:tc>
        <w:tc>
          <w:tcPr>
            <w:tcW w:type="dxa" w:w="1571"/>
            <w:tcBorders>
              <w:bottom w:val="single" w:sz="8" w:space="0" w:color="auto"/>
            </w:tcBorders>
          </w:tcPr>
          <w:p>
            <w:pPr>
              <w:pStyle w:val="MDPI42tablebody"/>
              <w:keepNext/>
              <w:spacing w:line="240" w:lineRule="auto" w:before="30" w:after="30"/>
              <w:jc w:val="center"/>
            </w:pPr>
            <w:r>
              <w:rPr>
                <w:b/>
                <w:i w:val="0"/>
                <w:sz w:val="16"/>
              </w:rPr>
              <w:t>Std. Error of the Estimate</w:t>
            </w:r>
          </w:p>
        </w:tc>
        <w:tc>
          <w:tcPr>
            <w:tcW w:type="dxa" w:w="1021"/>
            <w:tcBorders>
              <w:bottom w:val="single" w:sz="8" w:space="0" w:color="auto"/>
            </w:tcBorders>
          </w:tcPr>
          <w:p>
            <w:pPr>
              <w:pStyle w:val="MDPI42tablebody"/>
              <w:keepNext/>
              <w:spacing w:line="240" w:lineRule="auto" w:before="30" w:after="30"/>
              <w:jc w:val="center"/>
            </w:pPr>
          </w:p>
        </w:tc>
      </w:tr>
      <w:tr>
        <w:trPr>
          <w:cantSplit/>
        </w:trPr>
        <w:tc>
          <w:tcPr>
            <w:tcW w:type="dxa" w:w="1493"/>
          </w:tcPr>
          <w:p>
            <w:pPr>
              <w:pStyle w:val="MDPI42tablebody"/>
              <w:keepNext/>
              <w:spacing w:line="240" w:lineRule="auto" w:before="30" w:after="30"/>
              <w:jc w:val="left"/>
            </w:pPr>
            <w:r>
              <w:rPr>
                <w:b w:val="0"/>
                <w:i w:val="0"/>
                <w:sz w:val="16"/>
              </w:rPr>
              <w:t>1</w:t>
            </w:r>
          </w:p>
        </w:tc>
        <w:tc>
          <w:tcPr>
            <w:tcW w:type="dxa" w:w="1335"/>
          </w:tcPr>
          <w:p>
            <w:pPr>
              <w:pStyle w:val="MDPI42tablebody"/>
              <w:keepNext/>
              <w:spacing w:line="240" w:lineRule="auto" w:before="30" w:after="30"/>
              <w:jc w:val="center"/>
            </w:pPr>
            <w:r>
              <w:rPr>
                <w:b w:val="0"/>
                <w:i w:val="0"/>
                <w:sz w:val="16"/>
              </w:rPr>
              <w:t>0.168</w:t>
            </w:r>
          </w:p>
        </w:tc>
        <w:tc>
          <w:tcPr>
            <w:tcW w:type="dxa" w:w="1100"/>
          </w:tcPr>
          <w:p>
            <w:pPr>
              <w:pStyle w:val="MDPI42tablebody"/>
              <w:keepNext/>
              <w:spacing w:line="240" w:lineRule="auto" w:before="30" w:after="30"/>
              <w:jc w:val="center"/>
            </w:pPr>
            <w:r>
              <w:rPr>
                <w:b w:val="0"/>
                <w:i w:val="0"/>
                <w:sz w:val="16"/>
              </w:rPr>
              <w:t>0.028</w:t>
            </w:r>
          </w:p>
        </w:tc>
        <w:tc>
          <w:tcPr>
            <w:tcW w:type="dxa" w:w="1335"/>
          </w:tcPr>
          <w:p>
            <w:pPr>
              <w:pStyle w:val="MDPI42tablebody"/>
              <w:keepNext/>
              <w:spacing w:line="240" w:lineRule="auto" w:before="30" w:after="30"/>
              <w:jc w:val="center"/>
            </w:pPr>
            <w:r>
              <w:rPr>
                <w:b w:val="0"/>
                <w:i w:val="0"/>
                <w:sz w:val="16"/>
              </w:rPr>
              <w:t>−0.011</w:t>
            </w:r>
          </w:p>
        </w:tc>
        <w:tc>
          <w:tcPr>
            <w:tcW w:type="dxa" w:w="1571"/>
          </w:tcPr>
          <w:p>
            <w:pPr>
              <w:pStyle w:val="MDPI42tablebody"/>
              <w:keepNext/>
              <w:spacing w:line="240" w:lineRule="auto" w:before="30" w:after="30"/>
              <w:jc w:val="center"/>
            </w:pPr>
            <w:r>
              <w:rPr>
                <w:b w:val="0"/>
                <w:i w:val="0"/>
                <w:sz w:val="16"/>
              </w:rPr>
              <w:t>5.47654</w:t>
            </w:r>
          </w:p>
        </w:tc>
        <w:tc>
          <w:tcPr>
            <w:tcW w:type="dxa" w:w="1021"/>
          </w:tcPr>
          <w:p>
            <w:pPr>
              <w:pStyle w:val="MDPI42tablebody"/>
              <w:keepNext/>
              <w:spacing w:line="240" w:lineRule="auto" w:before="30" w:after="30"/>
              <w:jc w:val="center"/>
            </w:pPr>
          </w:p>
        </w:tc>
      </w:tr>
      <w:tr>
        <w:trPr>
          <w:cantSplit/>
        </w:trPr>
        <w:tc>
          <w:tcPr>
            <w:tcW w:type="dxa" w:w="7858"/>
            <w:gridSpan w:val="6"/>
          </w:tcPr>
          <w:p>
            <w:pPr>
              <w:pStyle w:val="MDPI42tablebody"/>
              <w:keepNext/>
              <w:spacing w:line="240" w:lineRule="auto" w:before="60" w:after="30"/>
              <w:jc w:val="left"/>
            </w:pPr>
            <w:r>
              <w:rPr>
                <w:b/>
                <w:i/>
                <w:sz w:val="16"/>
              </w:rPr>
              <w:t>ANOVA</w:t>
            </w:r>
          </w:p>
        </w:tc>
      </w:tr>
      <w:tr>
        <w:trPr>
          <w:cantSplit/>
        </w:trPr>
        <w:tc>
          <w:tcPr>
            <w:tcW w:type="dxa" w:w="1493"/>
          </w:tcPr>
          <w:p>
            <w:pPr>
              <w:pStyle w:val="MDPI42tablebody"/>
              <w:keepNext/>
              <w:spacing w:line="240" w:lineRule="auto" w:before="30" w:after="30"/>
              <w:jc w:val="left"/>
            </w:pPr>
          </w:p>
        </w:tc>
        <w:tc>
          <w:tcPr>
            <w:tcW w:type="dxa" w:w="1335"/>
          </w:tcPr>
          <w:p>
            <w:pPr>
              <w:pStyle w:val="MDPI42tablebody"/>
              <w:keepNext/>
              <w:spacing w:line="240" w:lineRule="auto" w:before="30" w:after="30"/>
              <w:jc w:val="center"/>
            </w:pPr>
            <w:r>
              <w:rPr>
                <w:b w:val="0"/>
                <w:i w:val="0"/>
                <w:sz w:val="16"/>
              </w:rPr>
              <w:t>Sum of Squares</w:t>
            </w:r>
          </w:p>
        </w:tc>
        <w:tc>
          <w:tcPr>
            <w:tcW w:type="dxa" w:w="1100"/>
          </w:tcPr>
          <w:p>
            <w:pPr>
              <w:pStyle w:val="MDPI42tablebody"/>
              <w:keepNext/>
              <w:spacing w:line="240" w:lineRule="auto" w:before="30" w:after="30"/>
              <w:jc w:val="center"/>
            </w:pPr>
            <w:r>
              <w:rPr>
                <w:b w:val="0"/>
                <w:i w:val="0"/>
                <w:sz w:val="16"/>
              </w:rPr>
              <w:t>df</w:t>
            </w:r>
          </w:p>
        </w:tc>
        <w:tc>
          <w:tcPr>
            <w:tcW w:type="dxa" w:w="1335"/>
          </w:tcPr>
          <w:p>
            <w:pPr>
              <w:pStyle w:val="MDPI42tablebody"/>
              <w:keepNext/>
              <w:spacing w:line="240" w:lineRule="auto" w:before="30" w:after="30"/>
              <w:jc w:val="center"/>
            </w:pPr>
            <w:r>
              <w:rPr>
                <w:b w:val="0"/>
                <w:i w:val="0"/>
                <w:sz w:val="16"/>
              </w:rPr>
              <w:t>Mean Square</w:t>
            </w:r>
          </w:p>
        </w:tc>
        <w:tc>
          <w:tcPr>
            <w:tcW w:type="dxa" w:w="1571"/>
          </w:tcPr>
          <w:p>
            <w:pPr>
              <w:pStyle w:val="MDPI42tablebody"/>
              <w:keepNext/>
              <w:spacing w:line="240" w:lineRule="auto" w:before="30" w:after="30"/>
              <w:jc w:val="center"/>
            </w:pPr>
            <w:r>
              <w:rPr>
                <w:b w:val="0"/>
                <w:i w:val="0"/>
                <w:sz w:val="16"/>
              </w:rPr>
              <w:t>F</w:t>
            </w:r>
          </w:p>
        </w:tc>
        <w:tc>
          <w:tcPr>
            <w:tcW w:type="dxa" w:w="1021"/>
          </w:tcPr>
          <w:p>
            <w:pPr>
              <w:pStyle w:val="MDPI42tablebody"/>
              <w:keepNext/>
              <w:spacing w:line="240" w:lineRule="auto" w:before="30" w:after="30"/>
              <w:jc w:val="center"/>
            </w:pPr>
            <w:r>
              <w:rPr>
                <w:b w:val="0"/>
                <w:i w:val="0"/>
                <w:sz w:val="16"/>
              </w:rPr>
              <w:t>Sig.</w:t>
            </w:r>
          </w:p>
        </w:tc>
      </w:tr>
      <w:tr>
        <w:trPr>
          <w:cantSplit/>
        </w:trPr>
        <w:tc>
          <w:tcPr>
            <w:tcW w:type="dxa" w:w="1493"/>
          </w:tcPr>
          <w:p>
            <w:pPr>
              <w:pStyle w:val="MDPI42tablebody"/>
              <w:keepNext/>
              <w:spacing w:line="240" w:lineRule="auto" w:before="30" w:after="30"/>
              <w:jc w:val="left"/>
            </w:pPr>
            <w:r>
              <w:rPr>
                <w:b w:val="0"/>
                <w:i w:val="0"/>
                <w:sz w:val="16"/>
              </w:rPr>
              <w:t>Regression</w:t>
            </w:r>
          </w:p>
        </w:tc>
        <w:tc>
          <w:tcPr>
            <w:tcW w:type="dxa" w:w="1335"/>
          </w:tcPr>
          <w:p>
            <w:pPr>
              <w:pStyle w:val="MDPI42tablebody"/>
              <w:keepNext/>
              <w:spacing w:line="240" w:lineRule="auto" w:before="30" w:after="30"/>
              <w:jc w:val="center"/>
            </w:pPr>
            <w:r>
              <w:rPr>
                <w:b w:val="0"/>
                <w:i w:val="0"/>
                <w:sz w:val="16"/>
              </w:rPr>
              <w:t>21.776</w:t>
            </w:r>
          </w:p>
        </w:tc>
        <w:tc>
          <w:tcPr>
            <w:tcW w:type="dxa" w:w="1100"/>
          </w:tcPr>
          <w:p>
            <w:pPr>
              <w:pStyle w:val="MDPI42tablebody"/>
              <w:keepNext/>
              <w:spacing w:line="240" w:lineRule="auto" w:before="30" w:after="30"/>
              <w:jc w:val="center"/>
            </w:pPr>
            <w:r>
              <w:rPr>
                <w:b w:val="0"/>
                <w:i w:val="0"/>
                <w:sz w:val="16"/>
              </w:rPr>
              <w:t>1</w:t>
            </w:r>
          </w:p>
        </w:tc>
        <w:tc>
          <w:tcPr>
            <w:tcW w:type="dxa" w:w="1335"/>
          </w:tcPr>
          <w:p>
            <w:pPr>
              <w:pStyle w:val="MDPI42tablebody"/>
              <w:keepNext/>
              <w:spacing w:line="240" w:lineRule="auto" w:before="30" w:after="30"/>
              <w:jc w:val="center"/>
            </w:pPr>
            <w:r>
              <w:rPr>
                <w:b w:val="0"/>
                <w:i w:val="0"/>
                <w:sz w:val="16"/>
              </w:rPr>
              <w:t>21.776</w:t>
            </w:r>
          </w:p>
        </w:tc>
        <w:tc>
          <w:tcPr>
            <w:tcW w:type="dxa" w:w="1571"/>
          </w:tcPr>
          <w:p>
            <w:pPr>
              <w:pStyle w:val="MDPI42tablebody"/>
              <w:keepNext/>
              <w:spacing w:line="240" w:lineRule="auto" w:before="30" w:after="30"/>
              <w:jc w:val="center"/>
            </w:pPr>
            <w:r>
              <w:rPr>
                <w:b w:val="0"/>
                <w:i w:val="0"/>
                <w:sz w:val="16"/>
              </w:rPr>
              <w:t>0.726</w:t>
            </w:r>
          </w:p>
        </w:tc>
        <w:tc>
          <w:tcPr>
            <w:tcW w:type="dxa" w:w="1021"/>
          </w:tcPr>
          <w:p>
            <w:pPr>
              <w:pStyle w:val="MDPI42tablebody"/>
              <w:keepNext/>
              <w:spacing w:line="240" w:lineRule="auto" w:before="30" w:after="30"/>
              <w:jc w:val="center"/>
            </w:pPr>
            <w:r>
              <w:rPr>
                <w:b w:val="0"/>
                <w:i w:val="0"/>
                <w:sz w:val="16"/>
              </w:rPr>
              <w:t>0.402</w:t>
            </w:r>
          </w:p>
        </w:tc>
      </w:tr>
      <w:tr>
        <w:trPr>
          <w:cantSplit/>
        </w:trPr>
        <w:tc>
          <w:tcPr>
            <w:tcW w:type="dxa" w:w="1493"/>
          </w:tcPr>
          <w:p>
            <w:pPr>
              <w:pStyle w:val="MDPI42tablebody"/>
              <w:keepNext/>
              <w:spacing w:line="240" w:lineRule="auto" w:before="30" w:after="30"/>
              <w:jc w:val="left"/>
            </w:pPr>
            <w:r>
              <w:rPr>
                <w:b w:val="0"/>
                <w:i w:val="0"/>
                <w:sz w:val="16"/>
              </w:rPr>
              <w:t>Residual</w:t>
            </w:r>
          </w:p>
        </w:tc>
        <w:tc>
          <w:tcPr>
            <w:tcW w:type="dxa" w:w="1335"/>
          </w:tcPr>
          <w:p>
            <w:pPr>
              <w:pStyle w:val="MDPI42tablebody"/>
              <w:keepNext/>
              <w:spacing w:line="240" w:lineRule="auto" w:before="30" w:after="30"/>
              <w:jc w:val="center"/>
            </w:pPr>
            <w:r>
              <w:rPr>
                <w:b w:val="0"/>
                <w:i w:val="0"/>
                <w:sz w:val="16"/>
              </w:rPr>
              <w:t>749.811</w:t>
            </w:r>
          </w:p>
        </w:tc>
        <w:tc>
          <w:tcPr>
            <w:tcW w:type="dxa" w:w="1100"/>
          </w:tcPr>
          <w:p>
            <w:pPr>
              <w:pStyle w:val="MDPI42tablebody"/>
              <w:keepNext/>
              <w:spacing w:line="240" w:lineRule="auto" w:before="30" w:after="30"/>
              <w:jc w:val="center"/>
            </w:pPr>
            <w:r>
              <w:rPr>
                <w:b w:val="0"/>
                <w:i w:val="0"/>
                <w:sz w:val="16"/>
              </w:rPr>
              <w:t>25</w:t>
            </w:r>
          </w:p>
        </w:tc>
        <w:tc>
          <w:tcPr>
            <w:tcW w:type="dxa" w:w="1335"/>
          </w:tcPr>
          <w:p>
            <w:pPr>
              <w:pStyle w:val="MDPI42tablebody"/>
              <w:keepNext/>
              <w:spacing w:line="240" w:lineRule="auto" w:before="30" w:after="30"/>
              <w:jc w:val="center"/>
            </w:pPr>
            <w:r>
              <w:rPr>
                <w:b w:val="0"/>
                <w:i w:val="0"/>
                <w:sz w:val="16"/>
              </w:rPr>
              <w:t>29.992</w:t>
            </w:r>
          </w:p>
        </w:tc>
        <w:tc>
          <w:tcPr>
            <w:tcW w:type="dxa" w:w="1571"/>
          </w:tcPr>
          <w:p>
            <w:pPr>
              <w:pStyle w:val="MDPI42tablebody"/>
              <w:keepNext/>
              <w:spacing w:line="240" w:lineRule="auto" w:before="30" w:after="30"/>
              <w:jc w:val="center"/>
            </w:pPr>
          </w:p>
        </w:tc>
        <w:tc>
          <w:tcPr>
            <w:tcW w:type="dxa" w:w="1021"/>
          </w:tcPr>
          <w:p>
            <w:pPr>
              <w:pStyle w:val="MDPI42tablebody"/>
              <w:keepNext/>
              <w:spacing w:line="240" w:lineRule="auto" w:before="30" w:after="30"/>
              <w:jc w:val="center"/>
            </w:pPr>
          </w:p>
        </w:tc>
      </w:tr>
      <w:tr>
        <w:trPr>
          <w:cantSplit/>
        </w:trPr>
        <w:tc>
          <w:tcPr>
            <w:tcW w:type="dxa" w:w="1493"/>
          </w:tcPr>
          <w:p>
            <w:pPr>
              <w:pStyle w:val="MDPI42tablebody"/>
              <w:keepNext/>
              <w:spacing w:line="240" w:lineRule="auto" w:before="30" w:after="30"/>
              <w:jc w:val="left"/>
            </w:pPr>
            <w:r>
              <w:rPr>
                <w:b w:val="0"/>
                <w:i w:val="0"/>
                <w:sz w:val="16"/>
              </w:rPr>
              <w:t>Total</w:t>
            </w:r>
          </w:p>
        </w:tc>
        <w:tc>
          <w:tcPr>
            <w:tcW w:type="dxa" w:w="1335"/>
          </w:tcPr>
          <w:p>
            <w:pPr>
              <w:pStyle w:val="MDPI42tablebody"/>
              <w:keepNext/>
              <w:spacing w:line="240" w:lineRule="auto" w:before="30" w:after="30"/>
              <w:jc w:val="center"/>
            </w:pPr>
            <w:r>
              <w:rPr>
                <w:b w:val="0"/>
                <w:i w:val="0"/>
                <w:sz w:val="16"/>
              </w:rPr>
              <w:t>771.587</w:t>
            </w:r>
          </w:p>
        </w:tc>
        <w:tc>
          <w:tcPr>
            <w:tcW w:type="dxa" w:w="1100"/>
          </w:tcPr>
          <w:p>
            <w:pPr>
              <w:pStyle w:val="MDPI42tablebody"/>
              <w:keepNext/>
              <w:spacing w:line="240" w:lineRule="auto" w:before="30" w:after="30"/>
              <w:jc w:val="center"/>
            </w:pPr>
            <w:r>
              <w:rPr>
                <w:b w:val="0"/>
                <w:i w:val="0"/>
                <w:sz w:val="16"/>
              </w:rPr>
              <w:t>26</w:t>
            </w:r>
          </w:p>
        </w:tc>
        <w:tc>
          <w:tcPr>
            <w:tcW w:type="dxa" w:w="1335"/>
          </w:tcPr>
          <w:p>
            <w:pPr>
              <w:pStyle w:val="MDPI42tablebody"/>
              <w:keepNext/>
              <w:spacing w:line="240" w:lineRule="auto" w:before="30" w:after="30"/>
              <w:jc w:val="center"/>
            </w:pPr>
          </w:p>
        </w:tc>
        <w:tc>
          <w:tcPr>
            <w:tcW w:type="dxa" w:w="1571"/>
          </w:tcPr>
          <w:p>
            <w:pPr>
              <w:pStyle w:val="MDPI42tablebody"/>
              <w:keepNext/>
              <w:spacing w:line="240" w:lineRule="auto" w:before="30" w:after="30"/>
              <w:jc w:val="center"/>
            </w:pPr>
          </w:p>
        </w:tc>
        <w:tc>
          <w:tcPr>
            <w:tcW w:type="dxa" w:w="1021"/>
          </w:tcPr>
          <w:p>
            <w:pPr>
              <w:pStyle w:val="MDPI42tablebody"/>
              <w:keepNext/>
              <w:spacing w:line="240" w:lineRule="auto" w:before="30" w:after="30"/>
              <w:jc w:val="center"/>
            </w:pPr>
          </w:p>
        </w:tc>
      </w:tr>
      <w:tr>
        <w:trPr>
          <w:cantSplit/>
        </w:trPr>
        <w:tc>
          <w:tcPr>
            <w:tcW w:type="dxa" w:w="7858"/>
            <w:gridSpan w:val="6"/>
          </w:tcPr>
          <w:p>
            <w:pPr>
              <w:pStyle w:val="MDPI42tablebody"/>
              <w:keepNext/>
              <w:spacing w:line="240" w:lineRule="auto" w:before="60" w:after="30"/>
              <w:jc w:val="left"/>
            </w:pPr>
            <w:r>
              <w:rPr>
                <w:b/>
                <w:i/>
                <w:sz w:val="16"/>
              </w:rPr>
              <w:t>Coefficients</w:t>
            </w:r>
          </w:p>
        </w:tc>
      </w:tr>
      <w:tr>
        <w:trPr>
          <w:cantSplit/>
        </w:trPr>
        <w:tc>
          <w:tcPr>
            <w:tcW w:type="dxa" w:w="1493"/>
          </w:tcPr>
          <w:p>
            <w:pPr>
              <w:pStyle w:val="MDPI42tablebody"/>
              <w:keepNext/>
              <w:spacing w:line="240" w:lineRule="auto" w:before="30" w:after="30"/>
              <w:jc w:val="left"/>
            </w:pPr>
          </w:p>
        </w:tc>
        <w:tc>
          <w:tcPr>
            <w:tcW w:type="dxa" w:w="1335"/>
          </w:tcPr>
          <w:p>
            <w:pPr>
              <w:pStyle w:val="MDPI42tablebody"/>
              <w:keepNext/>
              <w:spacing w:line="240" w:lineRule="auto" w:before="30" w:after="30"/>
              <w:jc w:val="center"/>
            </w:pPr>
            <w:r>
              <w:rPr>
                <w:b w:val="0"/>
                <w:i w:val="0"/>
                <w:sz w:val="16"/>
              </w:rPr>
              <w:t>B</w:t>
            </w:r>
          </w:p>
        </w:tc>
        <w:tc>
          <w:tcPr>
            <w:tcW w:type="dxa" w:w="1100"/>
          </w:tcPr>
          <w:p>
            <w:pPr>
              <w:pStyle w:val="MDPI42tablebody"/>
              <w:keepNext/>
              <w:spacing w:line="240" w:lineRule="auto" w:before="30" w:after="30"/>
              <w:jc w:val="center"/>
            </w:pPr>
            <w:r>
              <w:rPr>
                <w:b w:val="0"/>
                <w:i w:val="0"/>
                <w:sz w:val="16"/>
              </w:rPr>
              <w:t>Std. Error</w:t>
            </w:r>
          </w:p>
        </w:tc>
        <w:tc>
          <w:tcPr>
            <w:tcW w:type="dxa" w:w="1335"/>
          </w:tcPr>
          <w:p>
            <w:pPr>
              <w:pStyle w:val="MDPI42tablebody"/>
              <w:keepNext/>
              <w:spacing w:line="240" w:lineRule="auto" w:before="30" w:after="30"/>
              <w:jc w:val="center"/>
            </w:pPr>
            <w:r>
              <w:rPr>
                <w:b w:val="0"/>
                <w:i w:val="0"/>
                <w:sz w:val="16"/>
              </w:rPr>
              <w:t>Beta</w:t>
            </w:r>
          </w:p>
        </w:tc>
        <w:tc>
          <w:tcPr>
            <w:tcW w:type="dxa" w:w="1571"/>
          </w:tcPr>
          <w:p>
            <w:pPr>
              <w:pStyle w:val="MDPI42tablebody"/>
              <w:keepNext/>
              <w:spacing w:line="240" w:lineRule="auto" w:before="30" w:after="30"/>
              <w:jc w:val="center"/>
            </w:pPr>
            <w:r>
              <w:rPr>
                <w:b w:val="0"/>
                <w:i w:val="0"/>
                <w:sz w:val="16"/>
              </w:rPr>
              <w:t>t</w:t>
            </w:r>
          </w:p>
        </w:tc>
        <w:tc>
          <w:tcPr>
            <w:tcW w:type="dxa" w:w="1021"/>
          </w:tcPr>
          <w:p>
            <w:pPr>
              <w:pStyle w:val="MDPI42tablebody"/>
              <w:keepNext/>
              <w:spacing w:line="240" w:lineRule="auto" w:before="30" w:after="30"/>
              <w:jc w:val="center"/>
            </w:pPr>
            <w:r>
              <w:rPr>
                <w:b w:val="0"/>
                <w:i w:val="0"/>
                <w:sz w:val="16"/>
              </w:rPr>
              <w:t>Sig.</w:t>
            </w:r>
          </w:p>
        </w:tc>
      </w:tr>
      <w:tr>
        <w:trPr>
          <w:cantSplit/>
        </w:trPr>
        <w:tc>
          <w:tcPr>
            <w:tcW w:type="dxa" w:w="1493"/>
          </w:tcPr>
          <w:p>
            <w:pPr>
              <w:pStyle w:val="MDPI42tablebody"/>
              <w:keepNext/>
              <w:spacing w:line="240" w:lineRule="auto" w:before="30" w:after="30"/>
              <w:jc w:val="left"/>
            </w:pPr>
            <w:r>
              <w:rPr>
                <w:b w:val="0"/>
                <w:i w:val="0"/>
                <w:sz w:val="16"/>
              </w:rPr>
              <w:t>(Constant)</w:t>
            </w:r>
          </w:p>
        </w:tc>
        <w:tc>
          <w:tcPr>
            <w:tcW w:type="dxa" w:w="1335"/>
          </w:tcPr>
          <w:p>
            <w:pPr>
              <w:pStyle w:val="MDPI42tablebody"/>
              <w:keepNext/>
              <w:spacing w:line="240" w:lineRule="auto" w:before="30" w:after="30"/>
              <w:jc w:val="center"/>
            </w:pPr>
            <w:r>
              <w:rPr>
                <w:b w:val="0"/>
                <w:i w:val="0"/>
                <w:sz w:val="16"/>
              </w:rPr>
              <w:t>15.644</w:t>
            </w:r>
          </w:p>
        </w:tc>
        <w:tc>
          <w:tcPr>
            <w:tcW w:type="dxa" w:w="1100"/>
          </w:tcPr>
          <w:p>
            <w:pPr>
              <w:pStyle w:val="MDPI42tablebody"/>
              <w:keepNext/>
              <w:spacing w:line="240" w:lineRule="auto" w:before="30" w:after="30"/>
              <w:jc w:val="center"/>
            </w:pPr>
            <w:r>
              <w:rPr>
                <w:b w:val="0"/>
                <w:i w:val="0"/>
                <w:sz w:val="16"/>
              </w:rPr>
              <w:t>1.054</w:t>
            </w:r>
          </w:p>
        </w:tc>
        <w:tc>
          <w:tcPr>
            <w:tcW w:type="dxa" w:w="1335"/>
          </w:tcPr>
          <w:p>
            <w:pPr>
              <w:pStyle w:val="MDPI42tablebody"/>
              <w:keepNext/>
              <w:spacing w:line="240" w:lineRule="auto" w:before="30" w:after="30"/>
              <w:jc w:val="center"/>
            </w:pPr>
          </w:p>
        </w:tc>
        <w:tc>
          <w:tcPr>
            <w:tcW w:type="dxa" w:w="1571"/>
          </w:tcPr>
          <w:p>
            <w:pPr>
              <w:pStyle w:val="MDPI42tablebody"/>
              <w:keepNext/>
              <w:spacing w:line="240" w:lineRule="auto" w:before="30" w:after="30"/>
              <w:jc w:val="center"/>
            </w:pPr>
            <w:r>
              <w:rPr>
                <w:b w:val="0"/>
                <w:i w:val="0"/>
                <w:sz w:val="16"/>
              </w:rPr>
              <w:t>14.843</w:t>
            </w:r>
          </w:p>
        </w:tc>
        <w:tc>
          <w:tcPr>
            <w:tcW w:type="dxa" w:w="1021"/>
          </w:tcPr>
          <w:p>
            <w:pPr>
              <w:pStyle w:val="MDPI42tablebody"/>
              <w:keepNext/>
              <w:spacing w:line="240" w:lineRule="auto" w:before="30" w:after="30"/>
              <w:jc w:val="center"/>
            </w:pPr>
            <w:r>
              <w:rPr>
                <w:b w:val="0"/>
                <w:i w:val="0"/>
                <w:sz w:val="16"/>
              </w:rPr>
              <w:t>0.000</w:t>
            </w:r>
          </w:p>
        </w:tc>
      </w:tr>
      <w:tr>
        <w:trPr>
          <w:cantSplit/>
        </w:trPr>
        <w:tc>
          <w:tcPr>
            <w:tcW w:type="dxa" w:w="1493"/>
          </w:tcPr>
          <w:p>
            <w:pPr>
              <w:pStyle w:val="MDPI42tablebody"/>
              <w:keepNext/>
              <w:spacing w:line="240" w:lineRule="auto" w:before="30" w:after="30"/>
              <w:jc w:val="left"/>
            </w:pPr>
            <w:r>
              <w:rPr>
                <w:b w:val="0"/>
                <w:i w:val="0"/>
                <w:sz w:val="16"/>
              </w:rPr>
              <w:t>FACT_AIR</w:t>
            </w:r>
          </w:p>
        </w:tc>
        <w:tc>
          <w:tcPr>
            <w:tcW w:type="dxa" w:w="1335"/>
          </w:tcPr>
          <w:p>
            <w:pPr>
              <w:pStyle w:val="MDPI42tablebody"/>
              <w:keepNext/>
              <w:spacing w:line="240" w:lineRule="auto" w:before="30" w:after="30"/>
              <w:jc w:val="center"/>
            </w:pPr>
            <w:r>
              <w:rPr>
                <w:b w:val="0"/>
                <w:i w:val="0"/>
                <w:sz w:val="16"/>
              </w:rPr>
              <w:t>−0.915</w:t>
            </w:r>
          </w:p>
        </w:tc>
        <w:tc>
          <w:tcPr>
            <w:tcW w:type="dxa" w:w="1100"/>
          </w:tcPr>
          <w:p>
            <w:pPr>
              <w:pStyle w:val="MDPI42tablebody"/>
              <w:keepNext/>
              <w:spacing w:line="240" w:lineRule="auto" w:before="30" w:after="30"/>
              <w:jc w:val="center"/>
            </w:pPr>
            <w:r>
              <w:rPr>
                <w:b w:val="0"/>
                <w:i w:val="0"/>
                <w:sz w:val="16"/>
              </w:rPr>
              <w:t>1.074</w:t>
            </w:r>
          </w:p>
        </w:tc>
        <w:tc>
          <w:tcPr>
            <w:tcW w:type="dxa" w:w="1335"/>
          </w:tcPr>
          <w:p>
            <w:pPr>
              <w:pStyle w:val="MDPI42tablebody"/>
              <w:keepNext/>
              <w:spacing w:line="240" w:lineRule="auto" w:before="30" w:after="30"/>
              <w:jc w:val="center"/>
            </w:pPr>
            <w:r>
              <w:rPr>
                <w:b w:val="0"/>
                <w:i w:val="0"/>
                <w:sz w:val="16"/>
              </w:rPr>
              <w:t>−0.168</w:t>
            </w:r>
          </w:p>
        </w:tc>
        <w:tc>
          <w:tcPr>
            <w:tcW w:type="dxa" w:w="1571"/>
          </w:tcPr>
          <w:p>
            <w:pPr>
              <w:pStyle w:val="MDPI42tablebody"/>
              <w:keepNext/>
              <w:spacing w:line="240" w:lineRule="auto" w:before="30" w:after="30"/>
              <w:jc w:val="center"/>
            </w:pPr>
            <w:r>
              <w:rPr>
                <w:b w:val="0"/>
                <w:i w:val="0"/>
                <w:sz w:val="16"/>
              </w:rPr>
              <w:t>−0.852</w:t>
            </w:r>
          </w:p>
        </w:tc>
        <w:tc>
          <w:tcPr>
            <w:tcW w:type="dxa" w:w="1021"/>
          </w:tcPr>
          <w:p>
            <w:pPr>
              <w:pStyle w:val="MDPI42tablebody"/>
              <w:keepNext/>
              <w:spacing w:line="240" w:lineRule="auto" w:before="30" w:after="30"/>
              <w:jc w:val="center"/>
            </w:pPr>
            <w:r>
              <w:rPr>
                <w:b w:val="0"/>
                <w:i w:val="0"/>
                <w:sz w:val="16"/>
              </w:rPr>
              <w:t>0.402</w:t>
            </w:r>
          </w:p>
        </w:tc>
      </w:tr>
    </w:tbl>
    <w:p>
      <w:pPr>
        <w:pStyle w:val="MDPI43tablefooter"/>
        <w:spacing w:line="240" w:lineRule="auto" w:before="40" w:after="200"/>
        <w:ind w:left="2608" w:firstLine="0"/>
      </w:pPr>
      <w:r>
        <w:rPr>
          <w:sz w:val="16"/>
        </w:rPr>
        <w:t xml:space="preserve">Note: </w:t>
      </w:r>
      <w:r>
        <w:rPr>
          <w:b w:val="0"/>
          <w:i w:val="0"/>
          <w:sz w:val="16"/>
        </w:rPr>
        <w:t>The dependent variable is YUR; the predictor is the regression-method factor score FACT_AIR. N = 27. Source: authors’ calculations.</w:t>
      </w:r>
    </w:p>
    <w:p>
      <w:pPr>
        <w:pStyle w:val="MDPI22heading2"/>
      </w:pPr>
      <w:r>
        <w:t>4.3. Emerging Socio-Technical Typologies: National Profiles of Artificial Intelligence Readiness and Youth Labour-Market Outcomes</w:t>
      </w:r>
    </w:p>
    <w:p>
      <w:pPr>
        <w:pStyle w:val="MDPI32textnoindent"/>
      </w:pPr>
      <w:r>
        <w:rPr>
          <w:b w:val="0"/>
          <w:i w:val="0"/>
        </w:rPr>
        <w:t>To explore the latent structure of the relationships between artificial intelligence readiness and youth labour-market indicators, the analysis began with hierarchical clustering, using the average linkage method and the Pearson correlation coefficient to measure proximity between countries on the six standardized analysis variables. The dendrogram presented in Figure 5 suggests a possible two-group structure in the sample.</w:t>
      </w:r>
    </w:p>
    <w:p>
      <w:pPr>
        <w:pStyle w:val="MDPI52figure"/>
        <w:keepNext/>
        <w:ind w:left="2608" w:firstLine="0"/>
        <w:jc w:val="center"/>
      </w:pPr>
      <w:r>
        <w:drawing>
          <wp:inline xmlns:a="http://schemas.openxmlformats.org/drawingml/2006/main" xmlns:pic="http://schemas.openxmlformats.org/drawingml/2006/picture">
            <wp:extent cx="4752000" cy="4608415"/>
            <wp:docPr id="5" name="Picture 5"/>
            <wp:cNvGraphicFramePr>
              <a:graphicFrameLocks noChangeAspect="1"/>
            </wp:cNvGraphicFramePr>
            <a:graphic>
              <a:graphicData uri="http://schemas.openxmlformats.org/drawingml/2006/picture">
                <pic:pic>
                  <pic:nvPicPr>
                    <pic:cNvPr id="0" name="figure5_dendrogram.png"/>
                    <pic:cNvPicPr/>
                  </pic:nvPicPr>
                  <pic:blipFill>
                    <a:blip r:embed="rId21"/>
                    <a:stretch>
                      <a:fillRect/>
                    </a:stretch>
                  </pic:blipFill>
                  <pic:spPr>
                    <a:xfrm>
                      <a:off x="0" y="0"/>
                      <a:ext cx="4752000" cy="4608415"/>
                    </a:xfrm>
                    <a:prstGeom prst="rect"/>
                  </pic:spPr>
                </pic:pic>
              </a:graphicData>
            </a:graphic>
          </wp:inline>
        </w:drawing>
      </w:r>
    </w:p>
    <w:p>
      <w:pPr>
        <w:pStyle w:val="MDPI51figurecaption"/>
        <w:spacing w:after="200"/>
      </w:pPr>
      <w:r>
        <w:rPr>
          <w:b/>
          <w:sz w:val="18"/>
        </w:rPr>
        <w:t xml:space="preserve">Figure 5. </w:t>
      </w:r>
      <w:r>
        <w:rPr>
          <w:b w:val="0"/>
          <w:i w:val="0"/>
          <w:sz w:val="18"/>
        </w:rPr>
        <w:t>Dendrogram of the hierarchical clustering of European countries based on artificial intelligence readiness and youth labour-market indicators.</w:t>
      </w:r>
    </w:p>
    <w:p>
      <w:pPr>
        <w:pStyle w:val="MDPI31text"/>
      </w:pPr>
      <w:r>
        <w:rPr>
          <w:b w:val="0"/>
          <w:i w:val="0"/>
        </w:rPr>
        <w:t>Following this exploratory indication, the k-means algorithm was applied to describe two country profiles. The resulting two-cluster solution should be interpreted as an exploratory and descriptive typology, not as a definitive classification of European countries. The k-means partition coincides with the two-group hierarchical cut for 25 of the 27 countries; the exceptions are Czechia, which the hierarchical tree attaches loosely to the higher-readiness branch, and Estonia, which it attaches to the lower branch, and both reassignments reflect the mixed profiles of these two economies.</w:t>
      </w:r>
    </w:p>
    <w:p>
      <w:pPr>
        <w:pStyle w:val="MDPI31text"/>
      </w:pPr>
      <w:r>
        <w:rPr>
          <w:b w:val="0"/>
          <w:i w:val="0"/>
        </w:rPr>
        <w:t>The cluster centers provide a synthetic view of the two exploratory typologies. In the first cluster (13 countries), the average levels are 21.29% for enterprise AI adoption, 57.34% for generative AI use among young individuals, 81.89% for youth digital skills, and 6.21% for ICT specialist employment. These readiness levels are associated with an average NEET rate of 8.08% and an average youth unemployment rate of 13.85%. This profile corresponds to an environment with relatively strong AI penetration and low youth disengagement, though not uniformly low youth unemployment. Conversely, the second cluster (14 countries) has substantially lower levels across all readiness dimensions: enterprise adoption of 8.56%, youth generative AI use of 44.83%, youth digital skills of 70.28%, and an ICT specialist share of 4.05%. This technological profile is marked by a higher average NEET rate of 12.17% and a higher average youth unemployment rate of 17.31%. The resulting typology suggests a less advanced socio-technical configuration, in which lower AI readiness is associated with more severe youth disengagement.</w:t>
      </w:r>
    </w:p>
    <w:p>
      <w:pPr>
        <w:pStyle w:val="MDPI31text"/>
      </w:pPr>
      <w:r>
        <w:rPr>
          <w:b w:val="0"/>
          <w:i w:val="0"/>
        </w:rPr>
        <w:t>As a minimal validation metric, the average silhouette coefficient was computed for the final two-cluster solution using the six variables included in the clustering procedure. The average silhouette coefficient is 0.354, indicating a moderate degree of separation between the two exploratory clusters. The mean silhouette value is 0.394 for Cluster 1 and 0.317 for Cluster 2. These positive values suggest that the two-cluster solution has acceptable internal coherence for exploratory purposes, although the level of separation should not be interpreted as strong. Therefore, the silhouette results support the descriptive usefulness of the two-cluster typology and confirm that the classification should remain exploratory rather than definitive.</w:t>
      </w:r>
    </w:p>
    <w:p>
      <w:pPr>
        <w:pStyle w:val="MDPI31text"/>
      </w:pPr>
      <w:r>
        <w:rPr>
          <w:b w:val="0"/>
          <w:i w:val="0"/>
        </w:rPr>
        <w:t>The ANOVA results provide a descriptive characterization of the differences between the two clusters (Table 10).</w:t>
      </w:r>
    </w:p>
    <w:p>
      <w:pPr>
        <w:pStyle w:val="MDPI41tablecaption"/>
        <w:keepNext/>
        <w:spacing w:after="60"/>
      </w:pPr>
      <w:r>
        <w:rPr>
          <w:b/>
          <w:sz w:val="18"/>
        </w:rPr>
        <w:t xml:space="preserve">Table 10. </w:t>
      </w:r>
      <w:r>
        <w:rPr>
          <w:b w:val="0"/>
          <w:i w:val="0"/>
          <w:sz w:val="18"/>
        </w:rPr>
        <w:t>Differences between clusters for artificial intelligence readiness and youth labour-market indicators (ANOVA).</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1100"/>
        <w:gridCol w:w="1453"/>
        <w:gridCol w:w="707"/>
        <w:gridCol w:w="1453"/>
        <w:gridCol w:w="707"/>
        <w:gridCol w:w="1178"/>
        <w:gridCol w:w="1257"/>
      </w:tblGrid>
      <w:tr>
        <w:trPr>
          <w:cantSplit/>
          <w:tblHeader/>
        </w:trPr>
        <w:tc>
          <w:tcPr>
            <w:tcW w:type="dxa" w:w="1100"/>
            <w:tcBorders>
              <w:bottom w:val="single" w:sz="8" w:space="0" w:color="auto"/>
            </w:tcBorders>
          </w:tcPr>
          <w:p>
            <w:pPr>
              <w:pStyle w:val="MDPI42tablebody"/>
              <w:keepNext/>
              <w:spacing w:line="240" w:lineRule="auto" w:before="30" w:after="30"/>
              <w:jc w:val="center"/>
            </w:pPr>
            <w:r>
              <w:rPr>
                <w:b/>
                <w:i w:val="0"/>
                <w:sz w:val="16"/>
              </w:rPr>
              <w:t>Variable</w:t>
            </w:r>
          </w:p>
        </w:tc>
        <w:tc>
          <w:tcPr>
            <w:tcW w:type="dxa" w:w="1453"/>
            <w:tcBorders>
              <w:bottom w:val="single" w:sz="8" w:space="0" w:color="auto"/>
            </w:tcBorders>
          </w:tcPr>
          <w:p>
            <w:pPr>
              <w:pStyle w:val="MDPI42tablebody"/>
              <w:keepNext/>
              <w:spacing w:line="240" w:lineRule="auto" w:before="30" w:after="30"/>
              <w:jc w:val="center"/>
            </w:pPr>
            <w:r>
              <w:rPr>
                <w:b/>
                <w:i w:val="0"/>
                <w:sz w:val="16"/>
              </w:rPr>
              <w:t>Cluster Mean Square</w:t>
            </w:r>
          </w:p>
        </w:tc>
        <w:tc>
          <w:tcPr>
            <w:tcW w:type="dxa" w:w="707"/>
            <w:tcBorders>
              <w:bottom w:val="single" w:sz="8" w:space="0" w:color="auto"/>
            </w:tcBorders>
          </w:tcPr>
          <w:p>
            <w:pPr>
              <w:pStyle w:val="MDPI42tablebody"/>
              <w:keepNext/>
              <w:spacing w:line="240" w:lineRule="auto" w:before="30" w:after="30"/>
              <w:jc w:val="center"/>
            </w:pPr>
            <w:r>
              <w:rPr>
                <w:b/>
                <w:i w:val="0"/>
                <w:sz w:val="16"/>
              </w:rPr>
              <w:t>df</w:t>
            </w:r>
          </w:p>
        </w:tc>
        <w:tc>
          <w:tcPr>
            <w:tcW w:type="dxa" w:w="1453"/>
            <w:tcBorders>
              <w:bottom w:val="single" w:sz="8" w:space="0" w:color="auto"/>
            </w:tcBorders>
          </w:tcPr>
          <w:p>
            <w:pPr>
              <w:pStyle w:val="MDPI42tablebody"/>
              <w:keepNext/>
              <w:spacing w:line="240" w:lineRule="auto" w:before="30" w:after="30"/>
              <w:jc w:val="center"/>
            </w:pPr>
            <w:r>
              <w:rPr>
                <w:b/>
                <w:i w:val="0"/>
                <w:sz w:val="16"/>
              </w:rPr>
              <w:t>Error Mean Square</w:t>
            </w:r>
          </w:p>
        </w:tc>
        <w:tc>
          <w:tcPr>
            <w:tcW w:type="dxa" w:w="707"/>
            <w:tcBorders>
              <w:bottom w:val="single" w:sz="8" w:space="0" w:color="auto"/>
            </w:tcBorders>
          </w:tcPr>
          <w:p>
            <w:pPr>
              <w:pStyle w:val="MDPI42tablebody"/>
              <w:keepNext/>
              <w:spacing w:line="240" w:lineRule="auto" w:before="30" w:after="30"/>
              <w:jc w:val="center"/>
            </w:pPr>
            <w:r>
              <w:rPr>
                <w:b/>
                <w:i w:val="0"/>
                <w:sz w:val="16"/>
              </w:rPr>
              <w:t>df</w:t>
            </w:r>
          </w:p>
        </w:tc>
        <w:tc>
          <w:tcPr>
            <w:tcW w:type="dxa" w:w="1178"/>
            <w:tcBorders>
              <w:bottom w:val="single" w:sz="8" w:space="0" w:color="auto"/>
            </w:tcBorders>
          </w:tcPr>
          <w:p>
            <w:pPr>
              <w:pStyle w:val="MDPI42tablebody"/>
              <w:keepNext/>
              <w:spacing w:line="240" w:lineRule="auto" w:before="30" w:after="30"/>
              <w:jc w:val="center"/>
            </w:pPr>
            <w:r>
              <w:rPr>
                <w:b/>
                <w:i w:val="0"/>
                <w:sz w:val="16"/>
              </w:rPr>
              <w:t>F</w:t>
            </w:r>
          </w:p>
        </w:tc>
        <w:tc>
          <w:tcPr>
            <w:tcW w:type="dxa" w:w="1257"/>
            <w:tcBorders>
              <w:bottom w:val="single" w:sz="8" w:space="0" w:color="auto"/>
            </w:tcBorders>
          </w:tcPr>
          <w:p>
            <w:pPr>
              <w:pStyle w:val="MDPI42tablebody"/>
              <w:keepNext/>
              <w:spacing w:line="240" w:lineRule="auto" w:before="30" w:after="30"/>
              <w:jc w:val="center"/>
            </w:pPr>
            <w:r>
              <w:rPr>
                <w:b/>
                <w:i w:val="0"/>
                <w:sz w:val="16"/>
              </w:rPr>
              <w:t>Sig.</w:t>
            </w:r>
          </w:p>
        </w:tc>
      </w:tr>
      <w:tr>
        <w:trPr>
          <w:cantSplit/>
        </w:trPr>
        <w:tc>
          <w:tcPr>
            <w:tcW w:type="dxa" w:w="1100"/>
          </w:tcPr>
          <w:p>
            <w:pPr>
              <w:pStyle w:val="MDPI42tablebody"/>
              <w:keepNext/>
              <w:spacing w:line="240" w:lineRule="auto" w:before="30" w:after="30"/>
              <w:jc w:val="left"/>
            </w:pPr>
            <w:r>
              <w:rPr>
                <w:b w:val="0"/>
                <w:i w:val="0"/>
                <w:sz w:val="16"/>
              </w:rPr>
              <w:t>AIENT</w:t>
            </w:r>
          </w:p>
        </w:tc>
        <w:tc>
          <w:tcPr>
            <w:tcW w:type="dxa" w:w="1453"/>
          </w:tcPr>
          <w:p>
            <w:pPr>
              <w:pStyle w:val="MDPI42tablebody"/>
              <w:keepNext/>
              <w:spacing w:line="240" w:lineRule="auto" w:before="30" w:after="30"/>
              <w:jc w:val="center"/>
            </w:pPr>
            <w:r>
              <w:rPr>
                <w:b w:val="0"/>
                <w:i w:val="0"/>
                <w:sz w:val="16"/>
              </w:rPr>
              <w:t>1093.243</w:t>
            </w:r>
          </w:p>
        </w:tc>
        <w:tc>
          <w:tcPr>
            <w:tcW w:type="dxa" w:w="707"/>
          </w:tcPr>
          <w:p>
            <w:pPr>
              <w:pStyle w:val="MDPI42tablebody"/>
              <w:keepNext/>
              <w:spacing w:line="240" w:lineRule="auto" w:before="30" w:after="30"/>
              <w:jc w:val="center"/>
            </w:pPr>
            <w:r>
              <w:rPr>
                <w:b w:val="0"/>
                <w:i w:val="0"/>
                <w:sz w:val="16"/>
              </w:rPr>
              <w:t>1</w:t>
            </w:r>
          </w:p>
        </w:tc>
        <w:tc>
          <w:tcPr>
            <w:tcW w:type="dxa" w:w="1453"/>
          </w:tcPr>
          <w:p>
            <w:pPr>
              <w:pStyle w:val="MDPI42tablebody"/>
              <w:keepNext/>
              <w:spacing w:line="240" w:lineRule="auto" w:before="30" w:after="30"/>
              <w:jc w:val="center"/>
            </w:pPr>
            <w:r>
              <w:rPr>
                <w:b w:val="0"/>
                <w:i w:val="0"/>
                <w:sz w:val="16"/>
              </w:rPr>
              <w:t>8.970</w:t>
            </w:r>
          </w:p>
        </w:tc>
        <w:tc>
          <w:tcPr>
            <w:tcW w:type="dxa" w:w="707"/>
          </w:tcPr>
          <w:p>
            <w:pPr>
              <w:pStyle w:val="MDPI42tablebody"/>
              <w:keepNext/>
              <w:spacing w:line="240" w:lineRule="auto" w:before="30" w:after="30"/>
              <w:jc w:val="center"/>
            </w:pPr>
            <w:r>
              <w:rPr>
                <w:b w:val="0"/>
                <w:i w:val="0"/>
                <w:sz w:val="16"/>
              </w:rPr>
              <w:t>25</w:t>
            </w:r>
          </w:p>
        </w:tc>
        <w:tc>
          <w:tcPr>
            <w:tcW w:type="dxa" w:w="1178"/>
          </w:tcPr>
          <w:p>
            <w:pPr>
              <w:pStyle w:val="MDPI42tablebody"/>
              <w:keepNext/>
              <w:spacing w:line="240" w:lineRule="auto" w:before="30" w:after="30"/>
              <w:jc w:val="center"/>
            </w:pPr>
            <w:r>
              <w:rPr>
                <w:b w:val="0"/>
                <w:i w:val="0"/>
                <w:sz w:val="16"/>
              </w:rPr>
              <w:t>121.881</w:t>
            </w:r>
          </w:p>
        </w:tc>
        <w:tc>
          <w:tcPr>
            <w:tcW w:type="dxa" w:w="1257"/>
          </w:tcPr>
          <w:p>
            <w:pPr>
              <w:pStyle w:val="MDPI42tablebody"/>
              <w:keepNext/>
              <w:spacing w:line="240" w:lineRule="auto" w:before="30" w:after="30"/>
              <w:jc w:val="center"/>
            </w:pPr>
            <w:r>
              <w:rPr>
                <w:b w:val="0"/>
                <w:i w:val="0"/>
                <w:sz w:val="16"/>
              </w:rPr>
              <w:t>0.000</w:t>
            </w:r>
          </w:p>
        </w:tc>
      </w:tr>
      <w:tr>
        <w:trPr>
          <w:cantSplit/>
        </w:trPr>
        <w:tc>
          <w:tcPr>
            <w:tcW w:type="dxa" w:w="1100"/>
          </w:tcPr>
          <w:p>
            <w:pPr>
              <w:pStyle w:val="MDPI42tablebody"/>
              <w:keepNext/>
              <w:spacing w:line="240" w:lineRule="auto" w:before="30" w:after="30"/>
              <w:jc w:val="left"/>
            </w:pPr>
            <w:r>
              <w:rPr>
                <w:b w:val="0"/>
                <w:i w:val="0"/>
                <w:sz w:val="16"/>
              </w:rPr>
              <w:t>GAIY</w:t>
            </w:r>
          </w:p>
        </w:tc>
        <w:tc>
          <w:tcPr>
            <w:tcW w:type="dxa" w:w="1453"/>
          </w:tcPr>
          <w:p>
            <w:pPr>
              <w:pStyle w:val="MDPI42tablebody"/>
              <w:keepNext/>
              <w:spacing w:line="240" w:lineRule="auto" w:before="30" w:after="30"/>
              <w:jc w:val="center"/>
            </w:pPr>
            <w:r>
              <w:rPr>
                <w:b w:val="0"/>
                <w:i w:val="0"/>
                <w:sz w:val="16"/>
              </w:rPr>
              <w:t>1054.908</w:t>
            </w:r>
          </w:p>
        </w:tc>
        <w:tc>
          <w:tcPr>
            <w:tcW w:type="dxa" w:w="707"/>
          </w:tcPr>
          <w:p>
            <w:pPr>
              <w:pStyle w:val="MDPI42tablebody"/>
              <w:keepNext/>
              <w:spacing w:line="240" w:lineRule="auto" w:before="30" w:after="30"/>
              <w:jc w:val="center"/>
            </w:pPr>
            <w:r>
              <w:rPr>
                <w:b w:val="0"/>
                <w:i w:val="0"/>
                <w:sz w:val="16"/>
              </w:rPr>
              <w:t>1</w:t>
            </w:r>
          </w:p>
        </w:tc>
        <w:tc>
          <w:tcPr>
            <w:tcW w:type="dxa" w:w="1453"/>
          </w:tcPr>
          <w:p>
            <w:pPr>
              <w:pStyle w:val="MDPI42tablebody"/>
              <w:keepNext/>
              <w:spacing w:line="240" w:lineRule="auto" w:before="30" w:after="30"/>
              <w:jc w:val="center"/>
            </w:pPr>
            <w:r>
              <w:rPr>
                <w:b w:val="0"/>
                <w:i w:val="0"/>
                <w:sz w:val="16"/>
              </w:rPr>
              <w:t>50.329</w:t>
            </w:r>
          </w:p>
        </w:tc>
        <w:tc>
          <w:tcPr>
            <w:tcW w:type="dxa" w:w="707"/>
          </w:tcPr>
          <w:p>
            <w:pPr>
              <w:pStyle w:val="MDPI42tablebody"/>
              <w:keepNext/>
              <w:spacing w:line="240" w:lineRule="auto" w:before="30" w:after="30"/>
              <w:jc w:val="center"/>
            </w:pPr>
            <w:r>
              <w:rPr>
                <w:b w:val="0"/>
                <w:i w:val="0"/>
                <w:sz w:val="16"/>
              </w:rPr>
              <w:t>25</w:t>
            </w:r>
          </w:p>
        </w:tc>
        <w:tc>
          <w:tcPr>
            <w:tcW w:type="dxa" w:w="1178"/>
          </w:tcPr>
          <w:p>
            <w:pPr>
              <w:pStyle w:val="MDPI42tablebody"/>
              <w:keepNext/>
              <w:spacing w:line="240" w:lineRule="auto" w:before="30" w:after="30"/>
              <w:jc w:val="center"/>
            </w:pPr>
            <w:r>
              <w:rPr>
                <w:b w:val="0"/>
                <w:i w:val="0"/>
                <w:sz w:val="16"/>
              </w:rPr>
              <w:t>20.960</w:t>
            </w:r>
          </w:p>
        </w:tc>
        <w:tc>
          <w:tcPr>
            <w:tcW w:type="dxa" w:w="1257"/>
          </w:tcPr>
          <w:p>
            <w:pPr>
              <w:pStyle w:val="MDPI42tablebody"/>
              <w:keepNext/>
              <w:spacing w:line="240" w:lineRule="auto" w:before="30" w:after="30"/>
              <w:jc w:val="center"/>
            </w:pPr>
            <w:r>
              <w:rPr>
                <w:b w:val="0"/>
                <w:i w:val="0"/>
                <w:sz w:val="16"/>
              </w:rPr>
              <w:t>0.000</w:t>
            </w:r>
          </w:p>
        </w:tc>
      </w:tr>
      <w:tr>
        <w:trPr>
          <w:cantSplit/>
        </w:trPr>
        <w:tc>
          <w:tcPr>
            <w:tcW w:type="dxa" w:w="1100"/>
          </w:tcPr>
          <w:p>
            <w:pPr>
              <w:pStyle w:val="MDPI42tablebody"/>
              <w:keepNext/>
              <w:spacing w:line="240" w:lineRule="auto" w:before="30" w:after="30"/>
              <w:jc w:val="left"/>
            </w:pPr>
            <w:r>
              <w:rPr>
                <w:b w:val="0"/>
                <w:i w:val="0"/>
                <w:sz w:val="16"/>
              </w:rPr>
              <w:t>DSKY</w:t>
            </w:r>
          </w:p>
        </w:tc>
        <w:tc>
          <w:tcPr>
            <w:tcW w:type="dxa" w:w="1453"/>
          </w:tcPr>
          <w:p>
            <w:pPr>
              <w:pStyle w:val="MDPI42tablebody"/>
              <w:keepNext/>
              <w:spacing w:line="240" w:lineRule="auto" w:before="30" w:after="30"/>
              <w:jc w:val="center"/>
            </w:pPr>
            <w:r>
              <w:rPr>
                <w:b w:val="0"/>
                <w:i w:val="0"/>
                <w:sz w:val="16"/>
              </w:rPr>
              <w:t>909.183</w:t>
            </w:r>
          </w:p>
        </w:tc>
        <w:tc>
          <w:tcPr>
            <w:tcW w:type="dxa" w:w="707"/>
          </w:tcPr>
          <w:p>
            <w:pPr>
              <w:pStyle w:val="MDPI42tablebody"/>
              <w:keepNext/>
              <w:spacing w:line="240" w:lineRule="auto" w:before="30" w:after="30"/>
              <w:jc w:val="center"/>
            </w:pPr>
            <w:r>
              <w:rPr>
                <w:b w:val="0"/>
                <w:i w:val="0"/>
                <w:sz w:val="16"/>
              </w:rPr>
              <w:t>1</w:t>
            </w:r>
          </w:p>
        </w:tc>
        <w:tc>
          <w:tcPr>
            <w:tcW w:type="dxa" w:w="1453"/>
          </w:tcPr>
          <w:p>
            <w:pPr>
              <w:pStyle w:val="MDPI42tablebody"/>
              <w:keepNext/>
              <w:spacing w:line="240" w:lineRule="auto" w:before="30" w:after="30"/>
              <w:jc w:val="center"/>
            </w:pPr>
            <w:r>
              <w:rPr>
                <w:b w:val="0"/>
                <w:i w:val="0"/>
                <w:sz w:val="16"/>
              </w:rPr>
              <w:t>62.349</w:t>
            </w:r>
          </w:p>
        </w:tc>
        <w:tc>
          <w:tcPr>
            <w:tcW w:type="dxa" w:w="707"/>
          </w:tcPr>
          <w:p>
            <w:pPr>
              <w:pStyle w:val="MDPI42tablebody"/>
              <w:keepNext/>
              <w:spacing w:line="240" w:lineRule="auto" w:before="30" w:after="30"/>
              <w:jc w:val="center"/>
            </w:pPr>
            <w:r>
              <w:rPr>
                <w:b w:val="0"/>
                <w:i w:val="0"/>
                <w:sz w:val="16"/>
              </w:rPr>
              <w:t>25</w:t>
            </w:r>
          </w:p>
        </w:tc>
        <w:tc>
          <w:tcPr>
            <w:tcW w:type="dxa" w:w="1178"/>
          </w:tcPr>
          <w:p>
            <w:pPr>
              <w:pStyle w:val="MDPI42tablebody"/>
              <w:keepNext/>
              <w:spacing w:line="240" w:lineRule="auto" w:before="30" w:after="30"/>
              <w:jc w:val="center"/>
            </w:pPr>
            <w:r>
              <w:rPr>
                <w:b w:val="0"/>
                <w:i w:val="0"/>
                <w:sz w:val="16"/>
              </w:rPr>
              <w:t>14.582</w:t>
            </w:r>
          </w:p>
        </w:tc>
        <w:tc>
          <w:tcPr>
            <w:tcW w:type="dxa" w:w="1257"/>
          </w:tcPr>
          <w:p>
            <w:pPr>
              <w:pStyle w:val="MDPI42tablebody"/>
              <w:keepNext/>
              <w:spacing w:line="240" w:lineRule="auto" w:before="30" w:after="30"/>
              <w:jc w:val="center"/>
            </w:pPr>
            <w:r>
              <w:rPr>
                <w:b w:val="0"/>
                <w:i w:val="0"/>
                <w:sz w:val="16"/>
              </w:rPr>
              <w:t>0.001</w:t>
            </w:r>
          </w:p>
        </w:tc>
      </w:tr>
      <w:tr>
        <w:trPr>
          <w:cantSplit/>
        </w:trPr>
        <w:tc>
          <w:tcPr>
            <w:tcW w:type="dxa" w:w="1100"/>
          </w:tcPr>
          <w:p>
            <w:pPr>
              <w:pStyle w:val="MDPI42tablebody"/>
              <w:keepNext/>
              <w:spacing w:line="240" w:lineRule="auto" w:before="30" w:after="30"/>
              <w:jc w:val="left"/>
            </w:pPr>
            <w:r>
              <w:rPr>
                <w:b w:val="0"/>
                <w:i w:val="0"/>
                <w:sz w:val="16"/>
              </w:rPr>
              <w:t>ICTS</w:t>
            </w:r>
          </w:p>
        </w:tc>
        <w:tc>
          <w:tcPr>
            <w:tcW w:type="dxa" w:w="1453"/>
          </w:tcPr>
          <w:p>
            <w:pPr>
              <w:pStyle w:val="MDPI42tablebody"/>
              <w:keepNext/>
              <w:spacing w:line="240" w:lineRule="auto" w:before="30" w:after="30"/>
              <w:jc w:val="center"/>
            </w:pPr>
            <w:r>
              <w:rPr>
                <w:b w:val="0"/>
                <w:i w:val="0"/>
                <w:sz w:val="16"/>
              </w:rPr>
              <w:t>31.382</w:t>
            </w:r>
          </w:p>
        </w:tc>
        <w:tc>
          <w:tcPr>
            <w:tcW w:type="dxa" w:w="707"/>
          </w:tcPr>
          <w:p>
            <w:pPr>
              <w:pStyle w:val="MDPI42tablebody"/>
              <w:keepNext/>
              <w:spacing w:line="240" w:lineRule="auto" w:before="30" w:after="30"/>
              <w:jc w:val="center"/>
            </w:pPr>
            <w:r>
              <w:rPr>
                <w:b w:val="0"/>
                <w:i w:val="0"/>
                <w:sz w:val="16"/>
              </w:rPr>
              <w:t>1</w:t>
            </w:r>
          </w:p>
        </w:tc>
        <w:tc>
          <w:tcPr>
            <w:tcW w:type="dxa" w:w="1453"/>
          </w:tcPr>
          <w:p>
            <w:pPr>
              <w:pStyle w:val="MDPI42tablebody"/>
              <w:keepNext/>
              <w:spacing w:line="240" w:lineRule="auto" w:before="30" w:after="30"/>
              <w:jc w:val="center"/>
            </w:pPr>
            <w:r>
              <w:rPr>
                <w:b w:val="0"/>
                <w:i w:val="0"/>
                <w:sz w:val="16"/>
              </w:rPr>
              <w:t>1.149</w:t>
            </w:r>
          </w:p>
        </w:tc>
        <w:tc>
          <w:tcPr>
            <w:tcW w:type="dxa" w:w="707"/>
          </w:tcPr>
          <w:p>
            <w:pPr>
              <w:pStyle w:val="MDPI42tablebody"/>
              <w:keepNext/>
              <w:spacing w:line="240" w:lineRule="auto" w:before="30" w:after="30"/>
              <w:jc w:val="center"/>
            </w:pPr>
            <w:r>
              <w:rPr>
                <w:b w:val="0"/>
                <w:i w:val="0"/>
                <w:sz w:val="16"/>
              </w:rPr>
              <w:t>25</w:t>
            </w:r>
          </w:p>
        </w:tc>
        <w:tc>
          <w:tcPr>
            <w:tcW w:type="dxa" w:w="1178"/>
          </w:tcPr>
          <w:p>
            <w:pPr>
              <w:pStyle w:val="MDPI42tablebody"/>
              <w:keepNext/>
              <w:spacing w:line="240" w:lineRule="auto" w:before="30" w:after="30"/>
              <w:jc w:val="center"/>
            </w:pPr>
            <w:r>
              <w:rPr>
                <w:b w:val="0"/>
                <w:i w:val="0"/>
                <w:sz w:val="16"/>
              </w:rPr>
              <w:t>27.314</w:t>
            </w:r>
          </w:p>
        </w:tc>
        <w:tc>
          <w:tcPr>
            <w:tcW w:type="dxa" w:w="1257"/>
          </w:tcPr>
          <w:p>
            <w:pPr>
              <w:pStyle w:val="MDPI42tablebody"/>
              <w:keepNext/>
              <w:spacing w:line="240" w:lineRule="auto" w:before="30" w:after="30"/>
              <w:jc w:val="center"/>
            </w:pPr>
            <w:r>
              <w:rPr>
                <w:b w:val="0"/>
                <w:i w:val="0"/>
                <w:sz w:val="16"/>
              </w:rPr>
              <w:t>0.000</w:t>
            </w:r>
          </w:p>
        </w:tc>
      </w:tr>
      <w:tr>
        <w:trPr>
          <w:cantSplit/>
        </w:trPr>
        <w:tc>
          <w:tcPr>
            <w:tcW w:type="dxa" w:w="1100"/>
          </w:tcPr>
          <w:p>
            <w:pPr>
              <w:pStyle w:val="MDPI42tablebody"/>
              <w:keepNext/>
              <w:spacing w:line="240" w:lineRule="auto" w:before="30" w:after="30"/>
              <w:jc w:val="left"/>
            </w:pPr>
            <w:r>
              <w:rPr>
                <w:b w:val="0"/>
                <w:i w:val="0"/>
                <w:sz w:val="16"/>
              </w:rPr>
              <w:t>NEET</w:t>
            </w:r>
          </w:p>
        </w:tc>
        <w:tc>
          <w:tcPr>
            <w:tcW w:type="dxa" w:w="1453"/>
          </w:tcPr>
          <w:p>
            <w:pPr>
              <w:pStyle w:val="MDPI42tablebody"/>
              <w:keepNext/>
              <w:spacing w:line="240" w:lineRule="auto" w:before="30" w:after="30"/>
              <w:jc w:val="center"/>
            </w:pPr>
            <w:r>
              <w:rPr>
                <w:b w:val="0"/>
                <w:i w:val="0"/>
                <w:sz w:val="16"/>
              </w:rPr>
              <w:t>113.008</w:t>
            </w:r>
          </w:p>
        </w:tc>
        <w:tc>
          <w:tcPr>
            <w:tcW w:type="dxa" w:w="707"/>
          </w:tcPr>
          <w:p>
            <w:pPr>
              <w:pStyle w:val="MDPI42tablebody"/>
              <w:keepNext/>
              <w:spacing w:line="240" w:lineRule="auto" w:before="30" w:after="30"/>
              <w:jc w:val="center"/>
            </w:pPr>
            <w:r>
              <w:rPr>
                <w:b w:val="0"/>
                <w:i w:val="0"/>
                <w:sz w:val="16"/>
              </w:rPr>
              <w:t>1</w:t>
            </w:r>
          </w:p>
        </w:tc>
        <w:tc>
          <w:tcPr>
            <w:tcW w:type="dxa" w:w="1453"/>
          </w:tcPr>
          <w:p>
            <w:pPr>
              <w:pStyle w:val="MDPI42tablebody"/>
              <w:keepNext/>
              <w:spacing w:line="240" w:lineRule="auto" w:before="30" w:after="30"/>
              <w:jc w:val="center"/>
            </w:pPr>
            <w:r>
              <w:rPr>
                <w:b w:val="0"/>
                <w:i w:val="0"/>
                <w:sz w:val="16"/>
              </w:rPr>
              <w:t>5.476</w:t>
            </w:r>
          </w:p>
        </w:tc>
        <w:tc>
          <w:tcPr>
            <w:tcW w:type="dxa" w:w="707"/>
          </w:tcPr>
          <w:p>
            <w:pPr>
              <w:pStyle w:val="MDPI42tablebody"/>
              <w:keepNext/>
              <w:spacing w:line="240" w:lineRule="auto" w:before="30" w:after="30"/>
              <w:jc w:val="center"/>
            </w:pPr>
            <w:r>
              <w:rPr>
                <w:b w:val="0"/>
                <w:i w:val="0"/>
                <w:sz w:val="16"/>
              </w:rPr>
              <w:t>25</w:t>
            </w:r>
          </w:p>
        </w:tc>
        <w:tc>
          <w:tcPr>
            <w:tcW w:type="dxa" w:w="1178"/>
          </w:tcPr>
          <w:p>
            <w:pPr>
              <w:pStyle w:val="MDPI42tablebody"/>
              <w:keepNext/>
              <w:spacing w:line="240" w:lineRule="auto" w:before="30" w:after="30"/>
              <w:jc w:val="center"/>
            </w:pPr>
            <w:r>
              <w:rPr>
                <w:b w:val="0"/>
                <w:i w:val="0"/>
                <w:sz w:val="16"/>
              </w:rPr>
              <w:t>20.635</w:t>
            </w:r>
          </w:p>
        </w:tc>
        <w:tc>
          <w:tcPr>
            <w:tcW w:type="dxa" w:w="1257"/>
          </w:tcPr>
          <w:p>
            <w:pPr>
              <w:pStyle w:val="MDPI42tablebody"/>
              <w:keepNext/>
              <w:spacing w:line="240" w:lineRule="auto" w:before="30" w:after="30"/>
              <w:jc w:val="center"/>
            </w:pPr>
            <w:r>
              <w:rPr>
                <w:b w:val="0"/>
                <w:i w:val="0"/>
                <w:sz w:val="16"/>
              </w:rPr>
              <w:t>0.000</w:t>
            </w:r>
          </w:p>
        </w:tc>
      </w:tr>
      <w:tr>
        <w:trPr>
          <w:cantSplit/>
        </w:trPr>
        <w:tc>
          <w:tcPr>
            <w:tcW w:type="dxa" w:w="1100"/>
          </w:tcPr>
          <w:p>
            <w:pPr>
              <w:pStyle w:val="MDPI42tablebody"/>
              <w:keepNext/>
              <w:spacing w:line="240" w:lineRule="auto" w:before="30" w:after="30"/>
              <w:jc w:val="left"/>
            </w:pPr>
            <w:r>
              <w:rPr>
                <w:b w:val="0"/>
                <w:i w:val="0"/>
                <w:sz w:val="16"/>
              </w:rPr>
              <w:t>YUR</w:t>
            </w:r>
          </w:p>
        </w:tc>
        <w:tc>
          <w:tcPr>
            <w:tcW w:type="dxa" w:w="1453"/>
          </w:tcPr>
          <w:p>
            <w:pPr>
              <w:pStyle w:val="MDPI42tablebody"/>
              <w:keepNext/>
              <w:spacing w:line="240" w:lineRule="auto" w:before="30" w:after="30"/>
              <w:jc w:val="center"/>
            </w:pPr>
            <w:r>
              <w:rPr>
                <w:b w:val="0"/>
                <w:i w:val="0"/>
                <w:sz w:val="16"/>
              </w:rPr>
              <w:t>80.385</w:t>
            </w:r>
          </w:p>
        </w:tc>
        <w:tc>
          <w:tcPr>
            <w:tcW w:type="dxa" w:w="707"/>
          </w:tcPr>
          <w:p>
            <w:pPr>
              <w:pStyle w:val="MDPI42tablebody"/>
              <w:keepNext/>
              <w:spacing w:line="240" w:lineRule="auto" w:before="30" w:after="30"/>
              <w:jc w:val="center"/>
            </w:pPr>
            <w:r>
              <w:rPr>
                <w:b w:val="0"/>
                <w:i w:val="0"/>
                <w:sz w:val="16"/>
              </w:rPr>
              <w:t>1</w:t>
            </w:r>
          </w:p>
        </w:tc>
        <w:tc>
          <w:tcPr>
            <w:tcW w:type="dxa" w:w="1453"/>
          </w:tcPr>
          <w:p>
            <w:pPr>
              <w:pStyle w:val="MDPI42tablebody"/>
              <w:keepNext/>
              <w:spacing w:line="240" w:lineRule="auto" w:before="30" w:after="30"/>
              <w:jc w:val="center"/>
            </w:pPr>
            <w:r>
              <w:rPr>
                <w:b w:val="0"/>
                <w:i w:val="0"/>
                <w:sz w:val="16"/>
              </w:rPr>
              <w:t>27.648</w:t>
            </w:r>
          </w:p>
        </w:tc>
        <w:tc>
          <w:tcPr>
            <w:tcW w:type="dxa" w:w="707"/>
          </w:tcPr>
          <w:p>
            <w:pPr>
              <w:pStyle w:val="MDPI42tablebody"/>
              <w:keepNext/>
              <w:spacing w:line="240" w:lineRule="auto" w:before="30" w:after="30"/>
              <w:jc w:val="center"/>
            </w:pPr>
            <w:r>
              <w:rPr>
                <w:b w:val="0"/>
                <w:i w:val="0"/>
                <w:sz w:val="16"/>
              </w:rPr>
              <w:t>25</w:t>
            </w:r>
          </w:p>
        </w:tc>
        <w:tc>
          <w:tcPr>
            <w:tcW w:type="dxa" w:w="1178"/>
          </w:tcPr>
          <w:p>
            <w:pPr>
              <w:pStyle w:val="MDPI42tablebody"/>
              <w:keepNext/>
              <w:spacing w:line="240" w:lineRule="auto" w:before="30" w:after="30"/>
              <w:jc w:val="center"/>
            </w:pPr>
            <w:r>
              <w:rPr>
                <w:b w:val="0"/>
                <w:i w:val="0"/>
                <w:sz w:val="16"/>
              </w:rPr>
              <w:t>2.907</w:t>
            </w:r>
          </w:p>
        </w:tc>
        <w:tc>
          <w:tcPr>
            <w:tcW w:type="dxa" w:w="1257"/>
          </w:tcPr>
          <w:p>
            <w:pPr>
              <w:pStyle w:val="MDPI42tablebody"/>
              <w:keepNext/>
              <w:spacing w:line="240" w:lineRule="auto" w:before="30" w:after="30"/>
              <w:jc w:val="center"/>
            </w:pPr>
            <w:r>
              <w:rPr>
                <w:b w:val="0"/>
                <w:i w:val="0"/>
                <w:sz w:val="16"/>
              </w:rPr>
              <w:t>0.101</w:t>
            </w:r>
          </w:p>
        </w:tc>
      </w:tr>
    </w:tbl>
    <w:p>
      <w:pPr>
        <w:pStyle w:val="MDPI43tablefooter"/>
        <w:spacing w:line="240" w:lineRule="auto" w:before="40" w:after="200"/>
        <w:ind w:left="2608" w:firstLine="0"/>
      </w:pPr>
      <w:r>
        <w:rPr>
          <w:sz w:val="16"/>
        </w:rPr>
        <w:t xml:space="preserve">Note: </w:t>
      </w:r>
      <w:r>
        <w:rPr>
          <w:b w:val="0"/>
          <w:i w:val="0"/>
          <w:sz w:val="16"/>
        </w:rPr>
        <w:t>Because the clusters were formed on the same variables, the F statistics are descriptive and are not treated as independent hypothesis tests. Source: authors’ calculations.</w:t>
      </w:r>
    </w:p>
    <w:p>
      <w:pPr>
        <w:pStyle w:val="MDPI31text"/>
      </w:pPr>
      <w:r>
        <w:rPr>
          <w:b w:val="0"/>
          <w:i w:val="0"/>
        </w:rPr>
        <w:t>The high F values for enterprise adoption and ICT specialist employment indicate that these variables strongly influence cluster separation and are the primary markers of socio-technical divergence. The clusters also differ significantly in the NEET rate (F = 20.635, p &lt; 0.001), but not in the youth unemployment rate (F = 2.907, p = 0.101), which mirrors the results of the regression stage: the typology separates engaged from disengaged youth labour markets, not low-unemployment from high-unemployment ones. Because the clusters were formed using the same variables that are subsequently compared, the F values are descriptive and should not be treated as independent hypothesis tests.</w:t>
      </w:r>
    </w:p>
    <w:p>
      <w:pPr>
        <w:pStyle w:val="MDPI31text"/>
      </w:pPr>
      <w:r>
        <w:rPr>
          <w:b w:val="0"/>
          <w:i w:val="0"/>
        </w:rPr>
        <w:t xml:space="preserve">Table A1 in Appendix A shows the composition of the two clusters, with a strong concentration of Nordic, Western, and Alpine-Adriatic economies in the higher-readiness category, joined by the Baltic state of Estonia and the island economy of Malta. The second cluster is primarily composed of Southern, Central, and South-Eastern European countries, joined by the remaining Baltic states of Latvia and Lithuania and by France, whose enterprise adoption rate remains below the EU average. From the perspective of complex adaptive systems, these patterns show how interactions among technology, human capital, and institutional frameworks produce persistent, emerging configurations </w:t>
      </w:r>
      <w:r>
        <w:t>[</w:t>
      </w:r>
      <w:r>
        <w:fldChar w:fldCharType="begin"/>
      </w:r>
      <w:r>
        <w:instrText xml:space="preserve"> REF _Ref_58 \h </w:instrText>
      </w:r>
      <w:r>
        <w:fldChar w:fldCharType="separate"/>
      </w:r>
      <w:r>
        <w:t>58</w:t>
      </w:r>
      <w:r>
        <w:fldChar w:fldCharType="end"/>
      </w:r>
      <w:r>
        <w:t>]</w:t>
      </w:r>
      <w:r>
        <w:rPr>
          <w:b w:val="0"/>
          <w:i w:val="0"/>
        </w:rPr>
        <w:t>. Overall, the cluster analysis supports Hypothesis H3 for the readiness and disengagement dimensions: European countries can be grouped into meaningful typologies based on artificial intelligence readiness and youth labour-market profiles, although the youth unemployment rate does not separate the groups.</w:t>
      </w:r>
    </w:p>
    <w:p>
      <w:pPr>
        <w:pStyle w:val="MDPI21heading1"/>
      </w:pPr>
      <w:r>
        <w:t>5. Discussion</w:t>
      </w:r>
    </w:p>
    <w:p>
      <w:pPr>
        <w:pStyle w:val="MDPI32textnoindent"/>
      </w:pPr>
      <w:r>
        <w:rPr>
          <w:b w:val="0"/>
          <w:i w:val="0"/>
        </w:rPr>
        <w:t xml:space="preserve">The data suggest a differentiated pattern of associations between artificial intelligence readiness, youth disengagement, and youth unemployment across European countries. Rather than implying a causal process, these findings point to cross-sectional co-occurrences that may reflect broader socio-technical and economic conditions. This interpretation is consistent with the literature, which characterizes AI as a technology with pervasive effects on work, productivity, and economic organization, while emphasizing that these effects depend on the adoption context and on the complementarities between technology and the human factor </w:t>
      </w:r>
      <w:r>
        <w:t>[</w:t>
      </w:r>
      <w:r>
        <w:fldChar w:fldCharType="begin"/>
      </w:r>
      <w:r>
        <w:instrText xml:space="preserve"> REF _Ref_20 \h </w:instrText>
      </w:r>
      <w:r>
        <w:fldChar w:fldCharType="separate"/>
      </w:r>
      <w:r>
        <w:t>20</w:t>
      </w:r>
      <w:r>
        <w:fldChar w:fldCharType="end"/>
      </w:r>
      <w:r>
        <w:t>,</w:t>
      </w:r>
      <w:r>
        <w:fldChar w:fldCharType="begin"/>
      </w:r>
      <w:r>
        <w:instrText xml:space="preserve"> REF _Ref_49 \h </w:instrText>
      </w:r>
      <w:r>
        <w:fldChar w:fldCharType="separate"/>
      </w:r>
      <w:r>
        <w:t>49</w:t>
      </w:r>
      <w:r>
        <w:fldChar w:fldCharType="end"/>
      </w:r>
      <w:r>
        <w:t>,</w:t>
      </w:r>
      <w:r>
        <w:fldChar w:fldCharType="begin"/>
      </w:r>
      <w:r>
        <w:instrText xml:space="preserve"> REF _Ref_51 \h </w:instrText>
      </w:r>
      <w:r>
        <w:fldChar w:fldCharType="separate"/>
      </w:r>
      <w:r>
        <w:t>51</w:t>
      </w:r>
      <w:r>
        <w:fldChar w:fldCharType="end"/>
      </w:r>
      <w:r>
        <w:t>]</w:t>
      </w:r>
      <w:r>
        <w:rPr>
          <w:b w:val="0"/>
          <w:i w:val="0"/>
        </w:rPr>
        <w:t>.</w:t>
      </w:r>
    </w:p>
    <w:p>
      <w:pPr>
        <w:pStyle w:val="MDPI31text"/>
      </w:pPr>
      <w:r>
        <w:rPr>
          <w:b w:val="0"/>
          <w:i w:val="0"/>
        </w:rPr>
        <w:t>The four models should not be interpreted as comparing the independent or partial contribution of each readiness dimension. Since the readiness variables are conceptually related and highly correlated, each single-predictor model may partly reflect the same broader underlying pattern of readiness. For this reason, the results are interpreted as simple cross-sectional associations, while the exploratory factor analysis provides a complementary means of summarizing their common latent structure. The observed associations should also be interpreted in relation to broader national development conditions, since countries with higher income levels, stronger digital infrastructure, higher educational attainment, and greater R&amp;D intensity may be more likely to adopt AI earlier and more intensively, as the supplementary correlations confirm.</w:t>
      </w:r>
    </w:p>
    <w:p>
      <w:pPr>
        <w:pStyle w:val="MDPI31text"/>
      </w:pPr>
      <w:r>
        <w:rPr>
          <w:b w:val="0"/>
          <w:i w:val="0"/>
        </w:rPr>
        <w:t xml:space="preserve">The central substantive finding is the asymmetry between the two youth margins. Every dimension of AI readiness, and the latent factor summarizing them, is significantly associated with the share of young people detached from both work and learning, and none is significantly associated with the youth unemployment rate. This asymmetry is consistent with the measurement properties of the two indicators. The unemployment rate conditions on active search and therefore mixes exclusion with the frictional search of students and graduates in institutional settings that encourage early labour-market entry </w:t>
      </w:r>
      <w:r>
        <w:t>[</w:t>
      </w:r>
      <w:r>
        <w:fldChar w:fldCharType="begin"/>
      </w:r>
      <w:r>
        <w:instrText xml:space="preserve"> REF _Ref_46 \h </w:instrText>
      </w:r>
      <w:r>
        <w:fldChar w:fldCharType="separate"/>
      </w:r>
      <w:r>
        <w:t>46</w:t>
      </w:r>
      <w:r>
        <w:fldChar w:fldCharType="end"/>
      </w:r>
      <w:r>
        <w:t>,</w:t>
      </w:r>
      <w:r>
        <w:fldChar w:fldCharType="begin"/>
      </w:r>
      <w:r>
        <w:instrText xml:space="preserve"> REF _Ref_47 \h </w:instrText>
      </w:r>
      <w:r>
        <w:fldChar w:fldCharType="separate"/>
      </w:r>
      <w:r>
        <w:t>47</w:t>
      </w:r>
      <w:r>
        <w:fldChar w:fldCharType="end"/>
      </w:r>
      <w:r>
        <w:t>]</w:t>
      </w:r>
      <w:r>
        <w:rPr>
          <w:b w:val="0"/>
          <w:i w:val="0"/>
        </w:rPr>
        <w:t xml:space="preserve">; the Nordic pattern of high youth unemployment alongside very low disengagement illustrates the point within our own sample. The NEET rate, by contrast, captures the stock of young people whom neither the education system nor the labour market currently reaches </w:t>
      </w:r>
      <w:r>
        <w:t>[</w:t>
      </w:r>
      <w:r>
        <w:fldChar w:fldCharType="begin"/>
      </w:r>
      <w:r>
        <w:instrText xml:space="preserve"> REF _Ref_18 \h </w:instrText>
      </w:r>
      <w:r>
        <w:fldChar w:fldCharType="separate"/>
      </w:r>
      <w:r>
        <w:t>18</w:t>
      </w:r>
      <w:r>
        <w:fldChar w:fldCharType="end"/>
      </w:r>
      <w:r>
        <w:t>,</w:t>
      </w:r>
      <w:r>
        <w:fldChar w:fldCharType="begin"/>
      </w:r>
      <w:r>
        <w:instrText xml:space="preserve"> REF _Ref_19 \h </w:instrText>
      </w:r>
      <w:r>
        <w:fldChar w:fldCharType="separate"/>
      </w:r>
      <w:r>
        <w:t>19</w:t>
      </w:r>
      <w:r>
        <w:fldChar w:fldCharType="end"/>
      </w:r>
      <w:r>
        <w:t>]</w:t>
      </w:r>
      <w:r>
        <w:rPr>
          <w:b w:val="0"/>
          <w:i w:val="0"/>
        </w:rPr>
        <w:t xml:space="preserve">. The finding that technology readiness co-varies with engagement rather than with measured unemployment extends to the youth segment the argument that AI should be read as an accelerator of labor market transformation whose consequences are context-dependent </w:t>
      </w:r>
      <w:r>
        <w:t>[</w:t>
      </w:r>
      <w:r>
        <w:fldChar w:fldCharType="begin"/>
      </w:r>
      <w:r>
        <w:instrText xml:space="preserve"> REF _Ref_10 \h </w:instrText>
      </w:r>
      <w:r>
        <w:fldChar w:fldCharType="separate"/>
      </w:r>
      <w:r>
        <w:t>10</w:t>
      </w:r>
      <w:r>
        <w:fldChar w:fldCharType="end"/>
      </w:r>
      <w:r>
        <w:t>,</w:t>
      </w:r>
      <w:r>
        <w:fldChar w:fldCharType="begin"/>
      </w:r>
      <w:r>
        <w:instrText xml:space="preserve"> REF _Ref_23 \h </w:instrText>
      </w:r>
      <w:r>
        <w:fldChar w:fldCharType="separate"/>
      </w:r>
      <w:r>
        <w:t>23</w:t>
      </w:r>
      <w:r>
        <w:fldChar w:fldCharType="end"/>
      </w:r>
      <w:r>
        <w:t>,</w:t>
      </w:r>
      <w:r>
        <w:fldChar w:fldCharType="begin"/>
      </w:r>
      <w:r>
        <w:instrText xml:space="preserve"> REF _Ref_25 \h </w:instrText>
      </w:r>
      <w:r>
        <w:fldChar w:fldCharType="separate"/>
      </w:r>
      <w:r>
        <w:t>25</w:t>
      </w:r>
      <w:r>
        <w:fldChar w:fldCharType="end"/>
      </w:r>
      <w:r>
        <w:t>]</w:t>
      </w:r>
      <w:r>
        <w:rPr>
          <w:b w:val="0"/>
          <w:i w:val="0"/>
        </w:rPr>
        <w:t xml:space="preserve">. It also cautions against interpreting stable youth unemployment rates as evidence that the diffusion of AI is neutral for young people </w:t>
      </w:r>
      <w:r>
        <w:t>[</w:t>
      </w:r>
      <w:r>
        <w:fldChar w:fldCharType="begin"/>
      </w:r>
      <w:r>
        <w:instrText xml:space="preserve"> REF _Ref_12 \h </w:instrText>
      </w:r>
      <w:r>
        <w:fldChar w:fldCharType="separate"/>
      </w:r>
      <w:r>
        <w:t>12</w:t>
      </w:r>
      <w:r>
        <w:fldChar w:fldCharType="end"/>
      </w:r>
      <w:r>
        <w:t>,</w:t>
      </w:r>
      <w:r>
        <w:fldChar w:fldCharType="begin"/>
      </w:r>
      <w:r>
        <w:instrText xml:space="preserve"> REF _Ref_13 \h </w:instrText>
      </w:r>
      <w:r>
        <w:fldChar w:fldCharType="separate"/>
      </w:r>
      <w:r>
        <w:t>13</w:t>
      </w:r>
      <w:r>
        <w:fldChar w:fldCharType="end"/>
      </w:r>
      <w:r>
        <w:t>]</w:t>
      </w:r>
      <w:r>
        <w:rPr>
          <w:b w:val="0"/>
          <w:i w:val="0"/>
        </w:rPr>
        <w:t>.</w:t>
      </w:r>
    </w:p>
    <w:p>
      <w:pPr>
        <w:pStyle w:val="MDPI22heading2"/>
      </w:pPr>
      <w:r>
        <w:t>5.1. Theoretical Implications</w:t>
      </w:r>
    </w:p>
    <w:p>
      <w:pPr>
        <w:pStyle w:val="MDPI32textnoindent"/>
      </w:pPr>
      <w:r>
        <w:rPr>
          <w:b w:val="0"/>
          <w:i w:val="0"/>
        </w:rPr>
        <w:t xml:space="preserve">Theoretically, the findings suggest that labor economics explains the mechanisms underlying the association between AI readiness and youth engagement, while the socio-technical systems perspective explains why these associations differ across national contexts and depend on the interaction between technology, skills, organizations, and institutions. The study demonstrates that AI readiness is not a unidimensional event but is manifested in several forms of integration: enterprise adoption, everyday use by the young cohort, the capability base, and the professional infrastructure. Each of these forms has its own relationship with youth outcomes, which supports the idea that researchers cannot assess the association of AI with the labour market through the presence of technology alone, but must also consider the concrete ways in which individuals and organizations use it </w:t>
      </w:r>
      <w:r>
        <w:t>[</w:t>
      </w:r>
      <w:r>
        <w:fldChar w:fldCharType="begin"/>
      </w:r>
      <w:r>
        <w:instrText xml:space="preserve"> REF _Ref_56 \h </w:instrText>
      </w:r>
      <w:r>
        <w:fldChar w:fldCharType="separate"/>
      </w:r>
      <w:r>
        <w:t>56</w:t>
      </w:r>
      <w:r>
        <w:fldChar w:fldCharType="end"/>
      </w:r>
      <w:r>
        <w:t>,</w:t>
      </w:r>
      <w:r>
        <w:fldChar w:fldCharType="begin"/>
      </w:r>
      <w:r>
        <w:instrText xml:space="preserve"> REF _Ref_62 \h </w:instrText>
      </w:r>
      <w:r>
        <w:fldChar w:fldCharType="separate"/>
      </w:r>
      <w:r>
        <w:t>62</w:t>
      </w:r>
      <w:r>
        <w:fldChar w:fldCharType="end"/>
      </w:r>
      <w:r>
        <w:t>]</w:t>
      </w:r>
      <w:r>
        <w:rPr>
          <w:b w:val="0"/>
          <w:i w:val="0"/>
        </w:rPr>
        <w:t>.</w:t>
      </w:r>
    </w:p>
    <w:p>
      <w:pPr>
        <w:pStyle w:val="MDPI31text"/>
      </w:pPr>
      <w:r>
        <w:rPr>
          <w:b w:val="0"/>
          <w:i w:val="0"/>
        </w:rPr>
        <w:t xml:space="preserve">One major theoretical contribution is the identification of a shared latent component of artificial intelligence readiness. This element points to the fact that the diverse dimensions are not fully independent but express an aggregate capacity for digital adaptation, consistent with the general-purpose technology view in which benefits arise from complementarities rather than from the technology itself </w:t>
      </w:r>
      <w:r>
        <w:t>[</w:t>
      </w:r>
      <w:r>
        <w:fldChar w:fldCharType="begin"/>
      </w:r>
      <w:r>
        <w:instrText xml:space="preserve"> REF _Ref_49 \h </w:instrText>
      </w:r>
      <w:r>
        <w:fldChar w:fldCharType="separate"/>
      </w:r>
      <w:r>
        <w:t>49</w:t>
      </w:r>
      <w:r>
        <w:fldChar w:fldCharType="end"/>
      </w:r>
      <w:r>
        <w:t>,</w:t>
      </w:r>
      <w:r>
        <w:fldChar w:fldCharType="begin"/>
      </w:r>
      <w:r>
        <w:instrText xml:space="preserve"> REF _Ref_50 \h </w:instrText>
      </w:r>
      <w:r>
        <w:fldChar w:fldCharType="separate"/>
      </w:r>
      <w:r>
        <w:t>50</w:t>
      </w:r>
      <w:r>
        <w:fldChar w:fldCharType="end"/>
      </w:r>
      <w:r>
        <w:t>]</w:t>
      </w:r>
      <w:r>
        <w:rPr>
          <w:b w:val="0"/>
          <w:i w:val="0"/>
        </w:rPr>
        <w:t xml:space="preserve">. A second contribution is the explicit separation of the two youth margins. The asymmetric result—readiness relates to disengagement, not to measured unemployment—indicates that theoretical accounts of technology and youth employment should specify which margin they concern, because mechanisms that operate on participation and engagement need not operate on search outcomes. Thirdly, the identification of country clusters supports the thesis that digital transformation does not follow a uniform European trajectory; the examined economies are characterized by varied socio-technical regimes, in which AI readiness and youth outcomes interact in different combinations </w:t>
      </w:r>
      <w:r>
        <w:t>[</w:t>
      </w:r>
      <w:r>
        <w:fldChar w:fldCharType="begin"/>
      </w:r>
      <w:r>
        <w:instrText xml:space="preserve"> REF _Ref_57 \h </w:instrText>
      </w:r>
      <w:r>
        <w:fldChar w:fldCharType="separate"/>
      </w:r>
      <w:r>
        <w:t>57</w:t>
      </w:r>
      <w:r>
        <w:fldChar w:fldCharType="end"/>
      </w:r>
      <w:r>
        <w:t>,</w:t>
      </w:r>
      <w:r>
        <w:fldChar w:fldCharType="begin"/>
      </w:r>
      <w:r>
        <w:instrText xml:space="preserve"> REF _Ref_70 \h </w:instrText>
      </w:r>
      <w:r>
        <w:fldChar w:fldCharType="separate"/>
      </w:r>
      <w:r>
        <w:t>70</w:t>
      </w:r>
      <w:r>
        <w:fldChar w:fldCharType="end"/>
      </w:r>
      <w:r>
        <w:t>,</w:t>
      </w:r>
      <w:r>
        <w:fldChar w:fldCharType="begin"/>
      </w:r>
      <w:r>
        <w:instrText xml:space="preserve"> REF _Ref_72 \h </w:instrText>
      </w:r>
      <w:r>
        <w:fldChar w:fldCharType="separate"/>
      </w:r>
      <w:r>
        <w:t>72</w:t>
      </w:r>
      <w:r>
        <w:fldChar w:fldCharType="end"/>
      </w:r>
      <w:r>
        <w:t>]</w:t>
      </w:r>
      <w:r>
        <w:rPr>
          <w:b w:val="0"/>
          <w:i w:val="0"/>
        </w:rPr>
        <w:t>.</w:t>
      </w:r>
    </w:p>
    <w:p>
      <w:pPr>
        <w:pStyle w:val="MDPI22heading2"/>
      </w:pPr>
      <w:r>
        <w:t>5.2. Practical Implications</w:t>
      </w:r>
    </w:p>
    <w:p>
      <w:pPr>
        <w:pStyle w:val="MDPI32textnoindent"/>
      </w:pPr>
      <w:r>
        <w:rPr>
          <w:b w:val="0"/>
          <w:i w:val="0"/>
        </w:rPr>
        <w:t xml:space="preserve">The findings offer several practical implications for public decision-makers, employers, educational institutions, and social partners involved in youth labour-market governance. Since AI readiness is negatively associated with youth disengagement, public policy should treat AI adoption not only as a technological issue, but also as a youth-employment, education, and human-capital policy priority. The productive integration of artificial intelligence depends on whether young people, firms, and institutions can transform access to the technology into usable skills, better work processes, and more inclusive forms of participation </w:t>
      </w:r>
      <w:r>
        <w:t>[</w:t>
      </w:r>
      <w:r>
        <w:fldChar w:fldCharType="begin"/>
      </w:r>
      <w:r>
        <w:instrText xml:space="preserve"> REF _Ref_40 \h </w:instrText>
      </w:r>
      <w:r>
        <w:fldChar w:fldCharType="separate"/>
      </w:r>
      <w:r>
        <w:t>40</w:t>
      </w:r>
      <w:r>
        <w:fldChar w:fldCharType="end"/>
      </w:r>
      <w:r>
        <w:t>,</w:t>
      </w:r>
      <w:r>
        <w:fldChar w:fldCharType="begin"/>
      </w:r>
      <w:r>
        <w:instrText xml:space="preserve"> REF _Ref_96 \h </w:instrText>
      </w:r>
      <w:r>
        <w:fldChar w:fldCharType="separate"/>
      </w:r>
      <w:r>
        <w:t>96</w:t>
      </w:r>
      <w:r>
        <w:fldChar w:fldCharType="end"/>
      </w:r>
      <w:r>
        <w:t>]</w:t>
      </w:r>
      <w:r>
        <w:rPr>
          <w:b w:val="0"/>
          <w:i w:val="0"/>
        </w:rPr>
        <w:t>.</w:t>
      </w:r>
    </w:p>
    <w:p>
      <w:pPr>
        <w:pStyle w:val="MDPI31text"/>
      </w:pPr>
      <w:r>
        <w:rPr>
          <w:b w:val="0"/>
          <w:i w:val="0"/>
        </w:rPr>
        <w:t xml:space="preserve">For policy-makers, the results suggest the need to connect AI strategies with active labour-market policies for youth. Governments should integrate applied generative AI practice into the reinforced Youth Guarantee offer </w:t>
      </w:r>
      <w:r>
        <w:t>[</w:t>
      </w:r>
      <w:r>
        <w:fldChar w:fldCharType="begin"/>
      </w:r>
      <w:r>
        <w:instrText xml:space="preserve"> REF _Ref_75 \h </w:instrText>
      </w:r>
      <w:r>
        <w:fldChar w:fldCharType="separate"/>
      </w:r>
      <w:r>
        <w:t>75</w:t>
      </w:r>
      <w:r>
        <w:fldChar w:fldCharType="end"/>
      </w:r>
      <w:r>
        <w:t>]</w:t>
      </w:r>
      <w:r>
        <w:rPr>
          <w:b w:val="0"/>
          <w:i w:val="0"/>
        </w:rPr>
        <w:t xml:space="preserve">, into public employment services, and into reskilling programmes aimed at young people who are neither employed nor in training </w:t>
      </w:r>
      <w:r>
        <w:t>[</w:t>
      </w:r>
      <w:r>
        <w:fldChar w:fldCharType="begin"/>
      </w:r>
      <w:r>
        <w:instrText xml:space="preserve"> REF _Ref_47 \h </w:instrText>
      </w:r>
      <w:r>
        <w:fldChar w:fldCharType="separate"/>
      </w:r>
      <w:r>
        <w:t>47</w:t>
      </w:r>
      <w:r>
        <w:fldChar w:fldCharType="end"/>
      </w:r>
      <w:r>
        <w:t>,</w:t>
      </w:r>
      <w:r>
        <w:fldChar w:fldCharType="begin"/>
      </w:r>
      <w:r>
        <w:instrText xml:space="preserve"> REF _Ref_67 \h </w:instrText>
      </w:r>
      <w:r>
        <w:fldChar w:fldCharType="separate"/>
      </w:r>
      <w:r>
        <w:t>67</w:t>
      </w:r>
      <w:r>
        <w:fldChar w:fldCharType="end"/>
      </w:r>
      <w:r>
        <w:t>]</w:t>
      </w:r>
      <w:r>
        <w:rPr>
          <w:b w:val="0"/>
          <w:i w:val="0"/>
        </w:rPr>
        <w:t xml:space="preserve">. These programmes should not remain limited to general digital literacy but should include applied training in the use of AI for information processing, communication, administrative tasks, and decision support, following the competence structure of the European frameworks </w:t>
      </w:r>
      <w:r>
        <w:t>[</w:t>
      </w:r>
      <w:r>
        <w:fldChar w:fldCharType="begin"/>
      </w:r>
      <w:r>
        <w:instrText xml:space="preserve"> REF _Ref_55 \h </w:instrText>
      </w:r>
      <w:r>
        <w:fldChar w:fldCharType="separate"/>
      </w:r>
      <w:r>
        <w:t>55</w:t>
      </w:r>
      <w:r>
        <w:fldChar w:fldCharType="end"/>
      </w:r>
      <w:r>
        <w:t>]</w:t>
      </w:r>
      <w:r>
        <w:rPr>
          <w:b w:val="0"/>
          <w:i w:val="0"/>
        </w:rPr>
        <w:t xml:space="preserve">. For employers, the results caution against treating AI as a simple replacement for entry-level labour. Firms that automate junior tasks without redesigning the apprenticeship content of early careers may find their pipeline of experienced workers thinning, a risk the experimental literature makes concrete </w:t>
      </w:r>
      <w:r>
        <w:t>[</w:t>
      </w:r>
      <w:r>
        <w:fldChar w:fldCharType="begin"/>
      </w:r>
      <w:r>
        <w:instrText xml:space="preserve"> REF _Ref_4 \h </w:instrText>
      </w:r>
      <w:r>
        <w:fldChar w:fldCharType="separate"/>
      </w:r>
      <w:r>
        <w:t>4</w:t>
      </w:r>
      <w:r>
        <w:fldChar w:fldCharType="end"/>
      </w:r>
      <w:r>
        <w:t>,</w:t>
      </w:r>
      <w:r>
        <w:fldChar w:fldCharType="begin"/>
      </w:r>
      <w:r>
        <w:instrText xml:space="preserve"> REF _Ref_12 \h </w:instrText>
      </w:r>
      <w:r>
        <w:fldChar w:fldCharType="separate"/>
      </w:r>
      <w:r>
        <w:t>12</w:t>
      </w:r>
      <w:r>
        <w:fldChar w:fldCharType="end"/>
      </w:r>
      <w:r>
        <w:t>,</w:t>
      </w:r>
      <w:r>
        <w:fldChar w:fldCharType="begin"/>
      </w:r>
      <w:r>
        <w:instrText xml:space="preserve"> REF _Ref_44 \h </w:instrText>
      </w:r>
      <w:r>
        <w:fldChar w:fldCharType="separate"/>
      </w:r>
      <w:r>
        <w:t>44</w:t>
      </w:r>
      <w:r>
        <w:fldChar w:fldCharType="end"/>
      </w:r>
      <w:r>
        <w:t>]</w:t>
      </w:r>
      <w:r>
        <w:rPr>
          <w:b w:val="0"/>
          <w:i w:val="0"/>
        </w:rPr>
        <w:t>. Practical measures include AI-augmented junior roles, structured mentoring, and explicit protection of learning-intensive tasks.</w:t>
      </w:r>
    </w:p>
    <w:p>
      <w:pPr>
        <w:pStyle w:val="MDPI31text"/>
      </w:pPr>
      <w:r>
        <w:rPr>
          <w:b w:val="0"/>
          <w:i w:val="0"/>
        </w:rPr>
        <w:t xml:space="preserve">Educational institutions also have an important role. The strong loading of youth generative AI use on the latent readiness factor suggests that schools, universities, and training providers should integrate generative AI into curricula in a responsible, applied manner, preparing students to use the technology critically and productively </w:t>
      </w:r>
      <w:r>
        <w:t>[</w:t>
      </w:r>
      <w:r>
        <w:fldChar w:fldCharType="begin"/>
      </w:r>
      <w:r>
        <w:instrText xml:space="preserve"> REF _Ref_1 \h </w:instrText>
      </w:r>
      <w:r>
        <w:fldChar w:fldCharType="separate"/>
      </w:r>
      <w:r>
        <w:t>1</w:t>
      </w:r>
      <w:r>
        <w:fldChar w:fldCharType="end"/>
      </w:r>
      <w:r>
        <w:t>,</w:t>
      </w:r>
      <w:r>
        <w:fldChar w:fldCharType="begin"/>
      </w:r>
      <w:r>
        <w:instrText xml:space="preserve"> REF _Ref_52 \h </w:instrText>
      </w:r>
      <w:r>
        <w:fldChar w:fldCharType="separate"/>
      </w:r>
      <w:r>
        <w:t>52</w:t>
      </w:r>
      <w:r>
        <w:fldChar w:fldCharType="end"/>
      </w:r>
      <w:r>
        <w:t>]</w:t>
      </w:r>
      <w:r>
        <w:rPr>
          <w:b w:val="0"/>
          <w:i w:val="0"/>
        </w:rPr>
        <w:t xml:space="preserve">. The cluster analysis further shows that a differentiated policy approach is necessary across European countries. Countries in the lower-readiness cluster should prioritize basic digital infrastructure, affordable access, digital skills programmes, and support for small and medium-sized enterprises that lack the resources to experiment with AI, in order to prevent the widening of digital and youth-employment inequalities </w:t>
      </w:r>
      <w:r>
        <w:t>[</w:t>
      </w:r>
      <w:r>
        <w:fldChar w:fldCharType="begin"/>
      </w:r>
      <w:r>
        <w:instrText xml:space="preserve"> REF _Ref_24 \h </w:instrText>
      </w:r>
      <w:r>
        <w:fldChar w:fldCharType="separate"/>
      </w:r>
      <w:r>
        <w:t>24</w:t>
      </w:r>
      <w:r>
        <w:fldChar w:fldCharType="end"/>
      </w:r>
      <w:r>
        <w:t>,</w:t>
      </w:r>
      <w:r>
        <w:fldChar w:fldCharType="begin"/>
      </w:r>
      <w:r>
        <w:instrText xml:space="preserve"> REF _Ref_62 \h </w:instrText>
      </w:r>
      <w:r>
        <w:fldChar w:fldCharType="separate"/>
      </w:r>
      <w:r>
        <w:t>62</w:t>
      </w:r>
      <w:r>
        <w:fldChar w:fldCharType="end"/>
      </w:r>
      <w:r>
        <w:t>]</w:t>
      </w:r>
      <w:r>
        <w:rPr>
          <w:b w:val="0"/>
          <w:i w:val="0"/>
        </w:rPr>
        <w:t xml:space="preserve">. Countries in the higher-readiness cluster should place greater emphasis on governance, transparency, worker protection, and the quality of AI integration into work processes, in line with the obligations of the AI Act </w:t>
      </w:r>
      <w:r>
        <w:t>[</w:t>
      </w:r>
      <w:r>
        <w:fldChar w:fldCharType="begin"/>
      </w:r>
      <w:r>
        <w:instrText xml:space="preserve"> REF _Ref_65 \h </w:instrText>
      </w:r>
      <w:r>
        <w:fldChar w:fldCharType="separate"/>
      </w:r>
      <w:r>
        <w:t>65</w:t>
      </w:r>
      <w:r>
        <w:fldChar w:fldCharType="end"/>
      </w:r>
      <w:r>
        <w:t>,</w:t>
      </w:r>
      <w:r>
        <w:fldChar w:fldCharType="begin"/>
      </w:r>
      <w:r>
        <w:instrText xml:space="preserve"> REF _Ref_74 \h </w:instrText>
      </w:r>
      <w:r>
        <w:fldChar w:fldCharType="separate"/>
      </w:r>
      <w:r>
        <w:t>74</w:t>
      </w:r>
      <w:r>
        <w:fldChar w:fldCharType="end"/>
      </w:r>
      <w:r>
        <w:t>]</w:t>
      </w:r>
      <w:r>
        <w:rPr>
          <w:b w:val="0"/>
          <w:i w:val="0"/>
        </w:rPr>
        <w:t xml:space="preserve">. Social partners should be involved in negotiating how AI-supported work is introduced into the occupations through which young people enter employment </w:t>
      </w:r>
      <w:r>
        <w:t>[</w:t>
      </w:r>
      <w:r>
        <w:fldChar w:fldCharType="begin"/>
      </w:r>
      <w:r>
        <w:instrText xml:space="preserve"> REF _Ref_39 \h </w:instrText>
      </w:r>
      <w:r>
        <w:fldChar w:fldCharType="separate"/>
      </w:r>
      <w:r>
        <w:t>39</w:t>
      </w:r>
      <w:r>
        <w:fldChar w:fldCharType="end"/>
      </w:r>
      <w:r>
        <w:t>,</w:t>
      </w:r>
      <w:r>
        <w:fldChar w:fldCharType="begin"/>
      </w:r>
      <w:r>
        <w:instrText xml:space="preserve"> REF _Ref_68 \h </w:instrText>
      </w:r>
      <w:r>
        <w:fldChar w:fldCharType="separate"/>
      </w:r>
      <w:r>
        <w:t>68</w:t>
      </w:r>
      <w:r>
        <w:fldChar w:fldCharType="end"/>
      </w:r>
      <w:r>
        <w:t>]</w:t>
      </w:r>
      <w:r>
        <w:rPr>
          <w:b w:val="0"/>
          <w:i w:val="0"/>
        </w:rPr>
        <w:t>.</w:t>
      </w:r>
    </w:p>
    <w:p>
      <w:pPr>
        <w:pStyle w:val="MDPI22heading2"/>
      </w:pPr>
      <w:r>
        <w:t>5.3. Limitations and Further Research</w:t>
      </w:r>
    </w:p>
    <w:p>
      <w:pPr>
        <w:pStyle w:val="MDPI32textnoindent"/>
      </w:pPr>
      <w:r>
        <w:rPr>
          <w:b w:val="0"/>
          <w:i w:val="0"/>
        </w:rPr>
        <w:t>The research provides a useful view of the relationship between artificial intelligence readiness and youth labour-market indicators. However, the results need to be read alongside certain methodological and conceptual constraints. The most important limitation is the cross-sectional design and the limited sample of 27 European countries observed at a single point in time. Although the findings reveal significant associations, they should not be interpreted as causal effects. The data do not allow the direction of influence to be established, and reverse causality is plausible: economies with stronger youth engagement, more advanced digital infrastructure, and higher education levels may adopt AI earlier. The limited number of observations also affects the robustness of the exploratory factor analysis, which should be regarded as a preliminary identification of a common readiness dimension rather than as a definitive measurement model.</w:t>
      </w:r>
    </w:p>
    <w:p>
      <w:pPr>
        <w:pStyle w:val="MDPI31text"/>
      </w:pPr>
      <w:r>
        <w:rPr>
          <w:b w:val="0"/>
          <w:i w:val="0"/>
        </w:rPr>
        <w:t xml:space="preserve">Another limitation is the macro-level character of the analysis. The study enables the detection of systemic tendencies by comparing countries, but it does not capture distinctions among sectors, regions, occupations, or social groups. The relationship between AI and youth employment may vary by education, gender, and the routine intensity of the occupations young people enter </w:t>
      </w:r>
      <w:r>
        <w:t>[</w:t>
      </w:r>
      <w:r>
        <w:fldChar w:fldCharType="begin"/>
      </w:r>
      <w:r>
        <w:instrText xml:space="preserve"> REF _Ref_2 \h </w:instrText>
      </w:r>
      <w:r>
        <w:fldChar w:fldCharType="separate"/>
      </w:r>
      <w:r>
        <w:t>2</w:t>
      </w:r>
      <w:r>
        <w:fldChar w:fldCharType="end"/>
      </w:r>
      <w:r>
        <w:t>,</w:t>
      </w:r>
      <w:r>
        <w:fldChar w:fldCharType="begin"/>
      </w:r>
      <w:r>
        <w:instrText xml:space="preserve"> REF _Ref_37 \h </w:instrText>
      </w:r>
      <w:r>
        <w:fldChar w:fldCharType="separate"/>
      </w:r>
      <w:r>
        <w:t>37</w:t>
      </w:r>
      <w:r>
        <w:fldChar w:fldCharType="end"/>
      </w:r>
      <w:r>
        <w:t>]</w:t>
      </w:r>
      <w:r>
        <w:rPr>
          <w:b w:val="0"/>
          <w:i w:val="0"/>
        </w:rPr>
        <w:t>. The readiness indicators measure the extent of adoption and use, not their depth or purpose; two countries may record equal use built on entirely different practices. Furthermore, the empirical models do not include a full set of structural control variables. AI readiness co-varies with tertiary attainment, income, and R&amp;D intensity, and with a sample of 27 countries, adding several structural controls could reduce model stability and increase the risk of overfitting. Therefore, the coefficients reported here should not be interpreted as estimates of the unique role of AI readiness.</w:t>
      </w:r>
    </w:p>
    <w:p>
      <w:pPr>
        <w:pStyle w:val="MDPI31text"/>
      </w:pPr>
      <w:r>
        <w:rPr>
          <w:b w:val="0"/>
          <w:i w:val="0"/>
        </w:rPr>
        <w:t>Future research should use longitudinal or panel data to examine whether the associations persist over time and whether temporal ordering can be established, particularly as the generative AI indicators accumulate further survey rounds. Cluster analysis is exploratory and depends on the selected variables, the proximity measure, and the linkage method; future work should validate the typologies with gap statistics, external validation variables, or alternative clustering specifications. Extending the framework with macroeconomic, educational, digital, and innovation-related control variables, and complementing the macro picture with firm-, occupation-, or individual-level analyses of young workers, would contribute to a better understanding of the conditions under which artificial intelligence becomes a lasting benefit for youth employment rather than a new source of exclusion.</w:t>
      </w:r>
    </w:p>
    <w:p>
      <w:pPr>
        <w:pStyle w:val="MDPI21heading1"/>
      </w:pPr>
      <w:r>
        <w:t>6. Conclusions</w:t>
      </w:r>
    </w:p>
    <w:p>
      <w:pPr>
        <w:pStyle w:val="MDPI32textnoindent"/>
      </w:pPr>
      <w:r>
        <w:rPr>
          <w:b w:val="0"/>
          <w:i w:val="0"/>
        </w:rPr>
        <w:t>This study examined the cross-sectional associations between artificial intelligence readiness and two youth labour-market indicators in the European Union: the NEET rate and the youth unemployment rate. By distinguishing between enterprise adoption, generative AI use among young individuals, youth digital skills, and ICT specialist employment, the analysis provides a differentiated view of how various dimensions of readiness are related to youth labour-market patterns across European countries. The findings should be interpreted as exploratory associations, not as evidence of causal effects.</w:t>
      </w:r>
    </w:p>
    <w:p>
      <w:pPr>
        <w:pStyle w:val="MDPI31text"/>
      </w:pPr>
      <w:r>
        <w:rPr>
          <w:b w:val="0"/>
          <w:i w:val="0"/>
        </w:rPr>
        <w:t>The results show that the relationship between AI readiness and youth labour markets is not uniform across the two margins monitored by European policy. All four readiness dimensions are significantly and negatively associated with the youth NEET rate, individually and through their common latent factor, which alone accounts for approximately 64% of the cross-sectional variance in youth disengagement. None of the four dimensions, and not the latent factor, is significantly associated with the youth unemployment rate. Hypotheses H1 and H2 are therefore partially supported, in a specific and informative way: the statistical relationship between artificial intelligence and youth labour markets runs through engagement, not through measured unemployment.</w:t>
      </w:r>
    </w:p>
    <w:p>
      <w:pPr>
        <w:pStyle w:val="MDPI31text"/>
      </w:pPr>
      <w:r>
        <w:rPr>
          <w:b w:val="0"/>
          <w:i w:val="0"/>
        </w:rPr>
        <w:t>The factor analysis suggests that the four readiness indicators share a common latent dimension, with generative AI use among young individuals as its purest expression. The cluster analysis indicates descriptive differences among European countries: a higher-readiness group with low youth disengagement, concentrated in Nordic and Western Europe together with several smaller advanced economies, and a lower-readiness group with higher disengagement, composed mainly of Southern, Central, and South-Eastern European countries. The two-cluster solution is exploratory, its silhouette-based separation is moderate, and the youth unemployment rate does not distinguish the groups; Hypothesis H3 is supported for the readiness and disengagement dimensions.</w:t>
      </w:r>
    </w:p>
    <w:p>
      <w:pPr>
        <w:pStyle w:val="MDPI31text"/>
      </w:pPr>
      <w:r>
        <w:rPr>
          <w:b w:val="0"/>
          <w:i w:val="0"/>
        </w:rPr>
        <w:t>From a policy perspective, the findings do not justify strong claims that AI adoption directly improves youth outcomes. Rather, they suggest that readiness for artificial intelligence and the engagement of young people are jointly embedded in national socio-technical development, and that the policy lever is the connection between them: applied AI skills within youth-guarantee offers, protected learning content in AI-augmented entry-level jobs, and differentiated strategies for lower- and higher-readiness economies. Policies focused only on technological diffusion are unlikely to be sufficient unless they are accompanied by measures that strengthen skills, institutional capacity, and inclusive access to digital tools.</w:t>
      </w:r>
    </w:p>
    <w:p>
      <w:pPr>
        <w:pStyle w:val="MDPI31text"/>
      </w:pPr>
      <w:r>
        <w:rPr>
          <w:b w:val="0"/>
          <w:i w:val="0"/>
        </w:rPr>
        <w:t>Overall, the study contributes to research on AI and labour markets by linking national artificial intelligence readiness with the macro-level indicators of youth engagement within a socio-technical comparative framework. Its findings highlight relevant associations, but also caution that the data are cross-sectional, the sample is small, the unemployment-margin relationships are statistically insignificant, and broader structural factors may shape both AI readiness and youth outcomes. Future research should use longitudinal data, include structural controls, and examine sectoral, occupational, and individual-level differences to better understand how artificial intelligence is connected to the employment prospects of the young generation over time.</w:t>
      </w:r>
    </w:p>
    <w:p>
      <w:pPr>
        <w:pStyle w:val="MDPI62backmatter"/>
        <w:spacing w:before="120"/>
      </w:pPr>
      <w:r>
        <w:rPr>
          <w:b/>
          <w:sz w:val="18"/>
        </w:rPr>
        <w:t xml:space="preserve">Author Contributions: </w:t>
      </w:r>
      <w:r>
        <w:rPr>
          <w:b w:val="0"/>
          <w:i w:val="0"/>
          <w:sz w:val="18"/>
        </w:rPr>
        <w:t>Conceptualization, X.C. and T.M.; methodology, X.C.; software, X.C.; validation, X.C. and T.M.; formal analysis, X.C.; investigation, T.M.; resources, T.M.; data curation, X.C.; writing—original draft preparation, X.C.; writing—review and editing, T.M.; visualization, X.C.; supervision, T.M.; project administration, T.M. All authors have read and agreed to the published version of the manuscript.</w:t>
      </w:r>
    </w:p>
    <w:p>
      <w:pPr>
        <w:pStyle w:val="MDPI62backmatter"/>
        <w:spacing w:before="120"/>
      </w:pPr>
      <w:r>
        <w:rPr>
          <w:b/>
          <w:sz w:val="18"/>
        </w:rPr>
        <w:t xml:space="preserve">Funding: </w:t>
      </w:r>
      <w:r>
        <w:rPr>
          <w:b w:val="0"/>
          <w:i w:val="0"/>
          <w:sz w:val="18"/>
        </w:rPr>
        <w:t>This research received no external funding.</w:t>
      </w:r>
    </w:p>
    <w:p>
      <w:pPr>
        <w:pStyle w:val="MDPI62backmatter"/>
        <w:spacing w:before="120"/>
      </w:pPr>
      <w:r>
        <w:rPr>
          <w:b/>
          <w:sz w:val="18"/>
        </w:rPr>
        <w:t xml:space="preserve">Institutional Review Board Statement: </w:t>
      </w:r>
      <w:r>
        <w:rPr>
          <w:b w:val="0"/>
          <w:i w:val="0"/>
          <w:sz w:val="18"/>
        </w:rPr>
        <w:t>Not applicable.</w:t>
      </w:r>
    </w:p>
    <w:p>
      <w:pPr>
        <w:pStyle w:val="MDPI62backmatter"/>
        <w:spacing w:before="120"/>
      </w:pPr>
      <w:r>
        <w:rPr>
          <w:b/>
          <w:sz w:val="18"/>
        </w:rPr>
        <w:t xml:space="preserve">Informed Consent Statement: </w:t>
      </w:r>
      <w:r>
        <w:rPr>
          <w:b w:val="0"/>
          <w:i w:val="0"/>
          <w:sz w:val="18"/>
        </w:rPr>
        <w:t>Not applicable.</w:t>
      </w:r>
    </w:p>
    <w:p>
      <w:pPr>
        <w:pStyle w:val="MDPI62backmatter"/>
        <w:spacing w:before="120"/>
      </w:pPr>
      <w:r>
        <w:rPr>
          <w:b/>
          <w:sz w:val="18"/>
        </w:rPr>
        <w:t xml:space="preserve">Data Availability Statement: </w:t>
      </w:r>
      <w:r>
        <w:rPr>
          <w:b w:val="0"/>
          <w:i w:val="0"/>
          <w:sz w:val="18"/>
        </w:rPr>
        <w:t xml:space="preserve">The data presented in this study are openly available from the Eurostat dissemination database </w:t>
      </w:r>
      <w:r>
        <w:rPr>
          <w:sz w:val="18"/>
        </w:rPr>
        <w:t>[</w:t>
      </w:r>
      <w:r>
        <w:rPr>
          <w:sz w:val="18"/>
        </w:rPr>
        <w:fldChar w:fldCharType="begin"/>
      </w:r>
      <w:r>
        <w:rPr>
          <w:sz w:val="18"/>
        </w:rPr>
        <w:instrText xml:space="preserve"> REF _Ref_76 \h </w:instrText>
      </w:r>
      <w:r>
        <w:rPr>
          <w:sz w:val="18"/>
        </w:rPr>
        <w:fldChar w:fldCharType="separate"/>
      </w:r>
      <w:r>
        <w:rPr>
          <w:sz w:val="18"/>
        </w:rPr>
        <w:t>76</w:t>
      </w:r>
      <w:r>
        <w:rPr>
          <w:sz w:val="18"/>
        </w:rPr>
        <w:fldChar w:fldCharType="end"/>
      </w:r>
      <w:r>
        <w:rPr>
          <w:sz w:val="18"/>
        </w:rPr>
        <w:t>–</w:t>
      </w:r>
      <w:r>
        <w:rPr>
          <w:sz w:val="18"/>
        </w:rPr>
        <w:fldChar w:fldCharType="begin"/>
      </w:r>
      <w:r>
        <w:rPr>
          <w:sz w:val="18"/>
        </w:rPr>
        <w:instrText xml:space="preserve"> REF _Ref_85 \h </w:instrText>
      </w:r>
      <w:r>
        <w:rPr>
          <w:sz w:val="18"/>
        </w:rPr>
        <w:fldChar w:fldCharType="separate"/>
      </w:r>
      <w:r>
        <w:rPr>
          <w:sz w:val="18"/>
        </w:rPr>
        <w:t>85</w:t>
      </w:r>
      <w:r>
        <w:rPr>
          <w:sz w:val="18"/>
        </w:rPr>
        <w:fldChar w:fldCharType="end"/>
      </w:r>
      <w:r>
        <w:rPr>
          <w:sz w:val="18"/>
        </w:rPr>
        <w:t>]</w:t>
      </w:r>
      <w:r>
        <w:rPr>
          <w:b w:val="0"/>
          <w:i w:val="0"/>
          <w:sz w:val="18"/>
        </w:rPr>
        <w:t>.</w:t>
      </w:r>
    </w:p>
    <w:p>
      <w:pPr>
        <w:pStyle w:val="MDPI62backmatter"/>
        <w:spacing w:before="120"/>
      </w:pPr>
      <w:r>
        <w:rPr>
          <w:b/>
          <w:sz w:val="18"/>
        </w:rPr>
        <w:t xml:space="preserve">Conflicts of Interest: </w:t>
      </w:r>
      <w:r>
        <w:rPr>
          <w:b w:val="0"/>
          <w:i w:val="0"/>
          <w:sz w:val="18"/>
        </w:rPr>
        <w:t>The authors declare no conflicts of interest.</w:t>
      </w:r>
    </w:p>
    <w:p>
      <w:pPr>
        <w:pStyle w:val="MDPI62backmatter"/>
        <w:spacing w:before="120"/>
      </w:pPr>
      <w:r>
        <w:rPr>
          <w:b/>
          <w:sz w:val="18"/>
        </w:rPr>
        <w:t xml:space="preserve">Abbreviations: </w:t>
      </w:r>
      <w:r>
        <w:rPr>
          <w:b w:val="0"/>
          <w:i w:val="0"/>
          <w:sz w:val="18"/>
        </w:rPr>
        <w:t>The following abbreviations are used in this manuscript:</w:t>
      </w:r>
    </w:p>
    <w:tbl>
      <w:tblPr>
        <w:tblW w:w="104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500"/>
        <w:gridCol w:w="8966"/>
      </w:tblGrid>
      <w:tr>
        <w:tc>
          <w:tcPr>
            <w:tcW w:type="dxa" w:w="1500"/>
          </w:tcPr>
          <w:p>
            <w:pPr>
              <w:pStyle w:val="MDPI62backmatter"/>
              <w:spacing w:line="240" w:lineRule="auto" w:before="0" w:after="20"/>
              <w:ind w:left="0" w:firstLine="0"/>
            </w:pPr>
            <w:r>
              <w:rPr>
                <w:sz w:val="18"/>
              </w:rPr>
              <w:t>AI</w:t>
            </w:r>
          </w:p>
        </w:tc>
        <w:tc>
          <w:tcPr>
            <w:tcW w:type="dxa" w:w="8966"/>
          </w:tcPr>
          <w:p>
            <w:pPr>
              <w:pStyle w:val="MDPI62backmatter"/>
              <w:spacing w:line="240" w:lineRule="auto" w:before="0" w:after="20"/>
              <w:ind w:left="0" w:firstLine="0"/>
            </w:pPr>
            <w:r>
              <w:rPr>
                <w:sz w:val="18"/>
              </w:rPr>
              <w:t>Artificial intelligence</w:t>
            </w:r>
          </w:p>
        </w:tc>
      </w:tr>
      <w:tr>
        <w:tc>
          <w:tcPr>
            <w:tcW w:type="dxa" w:w="1500"/>
          </w:tcPr>
          <w:p>
            <w:pPr>
              <w:pStyle w:val="MDPI62backmatter"/>
              <w:spacing w:line="240" w:lineRule="auto" w:before="0" w:after="20"/>
              <w:ind w:left="0" w:firstLine="0"/>
            </w:pPr>
            <w:r>
              <w:rPr>
                <w:sz w:val="18"/>
              </w:rPr>
              <w:t>AIENT</w:t>
            </w:r>
          </w:p>
        </w:tc>
        <w:tc>
          <w:tcPr>
            <w:tcW w:type="dxa" w:w="8966"/>
          </w:tcPr>
          <w:p>
            <w:pPr>
              <w:pStyle w:val="MDPI62backmatter"/>
              <w:spacing w:line="240" w:lineRule="auto" w:before="0" w:after="20"/>
              <w:ind w:left="0" w:firstLine="0"/>
            </w:pPr>
            <w:r>
              <w:rPr>
                <w:sz w:val="18"/>
              </w:rPr>
              <w:t>Enterprises using at least one AI technology, percentage of enterprises</w:t>
            </w:r>
          </w:p>
        </w:tc>
      </w:tr>
      <w:tr>
        <w:tc>
          <w:tcPr>
            <w:tcW w:type="dxa" w:w="1500"/>
          </w:tcPr>
          <w:p>
            <w:pPr>
              <w:pStyle w:val="MDPI62backmatter"/>
              <w:spacing w:line="240" w:lineRule="auto" w:before="0" w:after="20"/>
              <w:ind w:left="0" w:firstLine="0"/>
            </w:pPr>
            <w:r>
              <w:rPr>
                <w:sz w:val="18"/>
              </w:rPr>
              <w:t>ANOVA</w:t>
            </w:r>
          </w:p>
        </w:tc>
        <w:tc>
          <w:tcPr>
            <w:tcW w:type="dxa" w:w="8966"/>
          </w:tcPr>
          <w:p>
            <w:pPr>
              <w:pStyle w:val="MDPI62backmatter"/>
              <w:spacing w:line="240" w:lineRule="auto" w:before="0" w:after="20"/>
              <w:ind w:left="0" w:firstLine="0"/>
            </w:pPr>
            <w:r>
              <w:rPr>
                <w:sz w:val="18"/>
              </w:rPr>
              <w:t>Analysis of variance</w:t>
            </w:r>
          </w:p>
        </w:tc>
      </w:tr>
      <w:tr>
        <w:tc>
          <w:tcPr>
            <w:tcW w:type="dxa" w:w="1500"/>
          </w:tcPr>
          <w:p>
            <w:pPr>
              <w:pStyle w:val="MDPI62backmatter"/>
              <w:spacing w:line="240" w:lineRule="auto" w:before="0" w:after="20"/>
              <w:ind w:left="0" w:firstLine="0"/>
            </w:pPr>
            <w:r>
              <w:rPr>
                <w:sz w:val="18"/>
              </w:rPr>
              <w:t>DSKY</w:t>
            </w:r>
          </w:p>
        </w:tc>
        <w:tc>
          <w:tcPr>
            <w:tcW w:type="dxa" w:w="8966"/>
          </w:tcPr>
          <w:p>
            <w:pPr>
              <w:pStyle w:val="MDPI62backmatter"/>
              <w:spacing w:line="240" w:lineRule="auto" w:before="0" w:after="20"/>
              <w:ind w:left="0" w:firstLine="0"/>
            </w:pPr>
            <w:r>
              <w:rPr>
                <w:sz w:val="18"/>
              </w:rPr>
              <w:t>Young people with basic or above-basic overall digital skills, percentage</w:t>
            </w:r>
          </w:p>
        </w:tc>
      </w:tr>
      <w:tr>
        <w:tc>
          <w:tcPr>
            <w:tcW w:type="dxa" w:w="1500"/>
          </w:tcPr>
          <w:p>
            <w:pPr>
              <w:pStyle w:val="MDPI62backmatter"/>
              <w:spacing w:line="240" w:lineRule="auto" w:before="0" w:after="20"/>
              <w:ind w:left="0" w:firstLine="0"/>
            </w:pPr>
            <w:r>
              <w:rPr>
                <w:sz w:val="18"/>
              </w:rPr>
              <w:t>ELET</w:t>
            </w:r>
          </w:p>
        </w:tc>
        <w:tc>
          <w:tcPr>
            <w:tcW w:type="dxa" w:w="8966"/>
          </w:tcPr>
          <w:p>
            <w:pPr>
              <w:pStyle w:val="MDPI62backmatter"/>
              <w:spacing w:line="240" w:lineRule="auto" w:before="0" w:after="20"/>
              <w:ind w:left="0" w:firstLine="0"/>
            </w:pPr>
            <w:r>
              <w:rPr>
                <w:sz w:val="18"/>
              </w:rPr>
              <w:t>Early leavers from education and training, percentage</w:t>
            </w:r>
          </w:p>
        </w:tc>
      </w:tr>
      <w:tr>
        <w:tc>
          <w:tcPr>
            <w:tcW w:type="dxa" w:w="1500"/>
          </w:tcPr>
          <w:p>
            <w:pPr>
              <w:pStyle w:val="MDPI62backmatter"/>
              <w:spacing w:line="240" w:lineRule="auto" w:before="0" w:after="20"/>
              <w:ind w:left="0" w:firstLine="0"/>
            </w:pPr>
            <w:r>
              <w:rPr>
                <w:sz w:val="18"/>
              </w:rPr>
              <w:t>EU</w:t>
            </w:r>
          </w:p>
        </w:tc>
        <w:tc>
          <w:tcPr>
            <w:tcW w:type="dxa" w:w="8966"/>
          </w:tcPr>
          <w:p>
            <w:pPr>
              <w:pStyle w:val="MDPI62backmatter"/>
              <w:spacing w:line="240" w:lineRule="auto" w:before="0" w:after="20"/>
              <w:ind w:left="0" w:firstLine="0"/>
            </w:pPr>
            <w:r>
              <w:rPr>
                <w:sz w:val="18"/>
              </w:rPr>
              <w:t>European Union</w:t>
            </w:r>
          </w:p>
        </w:tc>
      </w:tr>
      <w:tr>
        <w:tc>
          <w:tcPr>
            <w:tcW w:type="dxa" w:w="1500"/>
          </w:tcPr>
          <w:p>
            <w:pPr>
              <w:pStyle w:val="MDPI62backmatter"/>
              <w:spacing w:line="240" w:lineRule="auto" w:before="0" w:after="20"/>
              <w:ind w:left="0" w:firstLine="0"/>
            </w:pPr>
            <w:r>
              <w:rPr>
                <w:sz w:val="18"/>
              </w:rPr>
              <w:t>FACT_AIR</w:t>
            </w:r>
          </w:p>
        </w:tc>
        <w:tc>
          <w:tcPr>
            <w:tcW w:type="dxa" w:w="8966"/>
          </w:tcPr>
          <w:p>
            <w:pPr>
              <w:pStyle w:val="MDPI62backmatter"/>
              <w:spacing w:line="240" w:lineRule="auto" w:before="0" w:after="20"/>
              <w:ind w:left="0" w:firstLine="0"/>
            </w:pPr>
            <w:r>
              <w:rPr>
                <w:sz w:val="18"/>
              </w:rPr>
              <w:t>Latent factor score of artificial intelligence readiness</w:t>
            </w:r>
          </w:p>
        </w:tc>
      </w:tr>
      <w:tr>
        <w:tc>
          <w:tcPr>
            <w:tcW w:type="dxa" w:w="1500"/>
          </w:tcPr>
          <w:p>
            <w:pPr>
              <w:pStyle w:val="MDPI62backmatter"/>
              <w:spacing w:line="240" w:lineRule="auto" w:before="0" w:after="20"/>
              <w:ind w:left="0" w:firstLine="0"/>
            </w:pPr>
            <w:r>
              <w:rPr>
                <w:sz w:val="18"/>
              </w:rPr>
              <w:t>GAIY</w:t>
            </w:r>
          </w:p>
        </w:tc>
        <w:tc>
          <w:tcPr>
            <w:tcW w:type="dxa" w:w="8966"/>
          </w:tcPr>
          <w:p>
            <w:pPr>
              <w:pStyle w:val="MDPI62backmatter"/>
              <w:spacing w:line="240" w:lineRule="auto" w:before="0" w:after="20"/>
              <w:ind w:left="0" w:firstLine="0"/>
            </w:pPr>
            <w:r>
              <w:rPr>
                <w:sz w:val="18"/>
              </w:rPr>
              <w:t>Young individuals who used generative AI tools in the last three months, percentage</w:t>
            </w:r>
          </w:p>
        </w:tc>
      </w:tr>
      <w:tr>
        <w:tc>
          <w:tcPr>
            <w:tcW w:type="dxa" w:w="1500"/>
          </w:tcPr>
          <w:p>
            <w:pPr>
              <w:pStyle w:val="MDPI62backmatter"/>
              <w:spacing w:line="240" w:lineRule="auto" w:before="0" w:after="20"/>
              <w:ind w:left="0" w:firstLine="0"/>
            </w:pPr>
            <w:r>
              <w:rPr>
                <w:sz w:val="18"/>
              </w:rPr>
              <w:t>GDPC</w:t>
            </w:r>
          </w:p>
        </w:tc>
        <w:tc>
          <w:tcPr>
            <w:tcW w:type="dxa" w:w="8966"/>
          </w:tcPr>
          <w:p>
            <w:pPr>
              <w:pStyle w:val="MDPI62backmatter"/>
              <w:spacing w:line="240" w:lineRule="auto" w:before="0" w:after="20"/>
              <w:ind w:left="0" w:firstLine="0"/>
            </w:pPr>
            <w:r>
              <w:rPr>
                <w:sz w:val="18"/>
              </w:rPr>
              <w:t>GDP per capita in purchasing power standards</w:t>
            </w:r>
          </w:p>
        </w:tc>
      </w:tr>
      <w:tr>
        <w:tc>
          <w:tcPr>
            <w:tcW w:type="dxa" w:w="1500"/>
          </w:tcPr>
          <w:p>
            <w:pPr>
              <w:pStyle w:val="MDPI62backmatter"/>
              <w:spacing w:line="240" w:lineRule="auto" w:before="0" w:after="20"/>
              <w:ind w:left="0" w:firstLine="0"/>
            </w:pPr>
            <w:r>
              <w:rPr>
                <w:sz w:val="18"/>
              </w:rPr>
              <w:t>ICT</w:t>
            </w:r>
          </w:p>
        </w:tc>
        <w:tc>
          <w:tcPr>
            <w:tcW w:type="dxa" w:w="8966"/>
          </w:tcPr>
          <w:p>
            <w:pPr>
              <w:pStyle w:val="MDPI62backmatter"/>
              <w:spacing w:line="240" w:lineRule="auto" w:before="0" w:after="20"/>
              <w:ind w:left="0" w:firstLine="0"/>
            </w:pPr>
            <w:r>
              <w:rPr>
                <w:sz w:val="18"/>
              </w:rPr>
              <w:t>Information and communication technologies</w:t>
            </w:r>
          </w:p>
        </w:tc>
      </w:tr>
      <w:tr>
        <w:tc>
          <w:tcPr>
            <w:tcW w:type="dxa" w:w="1500"/>
          </w:tcPr>
          <w:p>
            <w:pPr>
              <w:pStyle w:val="MDPI62backmatter"/>
              <w:spacing w:line="240" w:lineRule="auto" w:before="0" w:after="20"/>
              <w:ind w:left="0" w:firstLine="0"/>
            </w:pPr>
            <w:r>
              <w:rPr>
                <w:sz w:val="18"/>
              </w:rPr>
              <w:t>ICTS</w:t>
            </w:r>
          </w:p>
        </w:tc>
        <w:tc>
          <w:tcPr>
            <w:tcW w:type="dxa" w:w="8966"/>
          </w:tcPr>
          <w:p>
            <w:pPr>
              <w:pStyle w:val="MDPI62backmatter"/>
              <w:spacing w:line="240" w:lineRule="auto" w:before="0" w:after="20"/>
              <w:ind w:left="0" w:firstLine="0"/>
            </w:pPr>
            <w:r>
              <w:rPr>
                <w:sz w:val="18"/>
              </w:rPr>
              <w:t>ICT specialists, percentage of total employment</w:t>
            </w:r>
          </w:p>
        </w:tc>
      </w:tr>
      <w:tr>
        <w:tc>
          <w:tcPr>
            <w:tcW w:type="dxa" w:w="1500"/>
          </w:tcPr>
          <w:p>
            <w:pPr>
              <w:pStyle w:val="MDPI62backmatter"/>
              <w:spacing w:line="240" w:lineRule="auto" w:before="0" w:after="20"/>
              <w:ind w:left="0" w:firstLine="0"/>
            </w:pPr>
            <w:r>
              <w:rPr>
                <w:sz w:val="18"/>
              </w:rPr>
              <w:t>KMO</w:t>
            </w:r>
          </w:p>
        </w:tc>
        <w:tc>
          <w:tcPr>
            <w:tcW w:type="dxa" w:w="8966"/>
          </w:tcPr>
          <w:p>
            <w:pPr>
              <w:pStyle w:val="MDPI62backmatter"/>
              <w:spacing w:line="240" w:lineRule="auto" w:before="0" w:after="20"/>
              <w:ind w:left="0" w:firstLine="0"/>
            </w:pPr>
            <w:r>
              <w:rPr>
                <w:sz w:val="18"/>
              </w:rPr>
              <w:t>Kaiser–Meyer–Olkin measure of sampling adequacy</w:t>
            </w:r>
          </w:p>
        </w:tc>
      </w:tr>
      <w:tr>
        <w:tc>
          <w:tcPr>
            <w:tcW w:type="dxa" w:w="1500"/>
          </w:tcPr>
          <w:p>
            <w:pPr>
              <w:pStyle w:val="MDPI62backmatter"/>
              <w:spacing w:line="240" w:lineRule="auto" w:before="0" w:after="20"/>
              <w:ind w:left="0" w:firstLine="0"/>
            </w:pPr>
            <w:r>
              <w:rPr>
                <w:sz w:val="18"/>
              </w:rPr>
              <w:t>NEET</w:t>
            </w:r>
          </w:p>
        </w:tc>
        <w:tc>
          <w:tcPr>
            <w:tcW w:type="dxa" w:w="8966"/>
          </w:tcPr>
          <w:p>
            <w:pPr>
              <w:pStyle w:val="MDPI62backmatter"/>
              <w:spacing w:line="240" w:lineRule="auto" w:before="0" w:after="20"/>
              <w:ind w:left="0" w:firstLine="0"/>
            </w:pPr>
            <w:r>
              <w:rPr>
                <w:sz w:val="18"/>
              </w:rPr>
              <w:t>Young people neither in employment nor in education and training, percentage</w:t>
            </w:r>
          </w:p>
        </w:tc>
      </w:tr>
      <w:tr>
        <w:tc>
          <w:tcPr>
            <w:tcW w:type="dxa" w:w="1500"/>
          </w:tcPr>
          <w:p>
            <w:pPr>
              <w:pStyle w:val="MDPI62backmatter"/>
              <w:spacing w:line="240" w:lineRule="auto" w:before="0" w:after="20"/>
              <w:ind w:left="0" w:firstLine="0"/>
            </w:pPr>
            <w:r>
              <w:rPr>
                <w:sz w:val="18"/>
              </w:rPr>
              <w:t>RDI</w:t>
            </w:r>
          </w:p>
        </w:tc>
        <w:tc>
          <w:tcPr>
            <w:tcW w:type="dxa" w:w="8966"/>
          </w:tcPr>
          <w:p>
            <w:pPr>
              <w:pStyle w:val="MDPI62backmatter"/>
              <w:spacing w:line="240" w:lineRule="auto" w:before="0" w:after="20"/>
              <w:ind w:left="0" w:firstLine="0"/>
            </w:pPr>
            <w:r>
              <w:rPr>
                <w:sz w:val="18"/>
              </w:rPr>
              <w:t>Gross domestic expenditure on R&amp;D, percentage of GDP</w:t>
            </w:r>
          </w:p>
        </w:tc>
      </w:tr>
      <w:tr>
        <w:tc>
          <w:tcPr>
            <w:tcW w:type="dxa" w:w="1500"/>
          </w:tcPr>
          <w:p>
            <w:pPr>
              <w:pStyle w:val="MDPI62backmatter"/>
              <w:spacing w:line="240" w:lineRule="auto" w:before="0" w:after="20"/>
              <w:ind w:left="0" w:firstLine="0"/>
            </w:pPr>
            <w:r>
              <w:rPr>
                <w:sz w:val="18"/>
              </w:rPr>
              <w:t>TERT</w:t>
            </w:r>
          </w:p>
        </w:tc>
        <w:tc>
          <w:tcPr>
            <w:tcW w:type="dxa" w:w="8966"/>
          </w:tcPr>
          <w:p>
            <w:pPr>
              <w:pStyle w:val="MDPI62backmatter"/>
              <w:spacing w:line="240" w:lineRule="auto" w:before="0" w:after="20"/>
              <w:ind w:left="0" w:firstLine="0"/>
            </w:pPr>
            <w:r>
              <w:rPr>
                <w:sz w:val="18"/>
              </w:rPr>
              <w:t>Tertiary educational attainment, percentage of the population aged 25–34</w:t>
            </w:r>
          </w:p>
        </w:tc>
      </w:tr>
      <w:tr>
        <w:tc>
          <w:tcPr>
            <w:tcW w:type="dxa" w:w="1500"/>
          </w:tcPr>
          <w:p>
            <w:pPr>
              <w:pStyle w:val="MDPI62backmatter"/>
              <w:spacing w:line="240" w:lineRule="auto" w:before="0" w:after="20"/>
              <w:ind w:left="0" w:firstLine="0"/>
            </w:pPr>
            <w:r>
              <w:rPr>
                <w:sz w:val="18"/>
              </w:rPr>
              <w:t>YUR</w:t>
            </w:r>
          </w:p>
        </w:tc>
        <w:tc>
          <w:tcPr>
            <w:tcW w:type="dxa" w:w="8966"/>
          </w:tcPr>
          <w:p>
            <w:pPr>
              <w:pStyle w:val="MDPI62backmatter"/>
              <w:spacing w:line="240" w:lineRule="auto" w:before="0" w:after="20"/>
              <w:ind w:left="0" w:firstLine="0"/>
            </w:pPr>
            <w:r>
              <w:rPr>
                <w:sz w:val="18"/>
              </w:rPr>
              <w:t>Youth unemployment rate, percentage</w:t>
            </w:r>
          </w:p>
        </w:tc>
      </w:tr>
    </w:tbl>
    <w:p>
      <w:pPr>
        <w:pStyle w:val="MDPI21heading1"/>
      </w:pPr>
      <w:r>
        <w:t>Appendix A</w:t>
      </w:r>
    </w:p>
    <w:p>
      <w:pPr>
        <w:pStyle w:val="MDPI32textnoindent"/>
      </w:pPr>
      <w:r>
        <w:rPr>
          <w:b w:val="0"/>
          <w:i w:val="0"/>
        </w:rPr>
        <w:t>Table A1 reports the cluster membership of the 27 European Union countries in the two-cluster k-means solution described in Section 4.3.</w:t>
      </w:r>
    </w:p>
    <w:p>
      <w:pPr>
        <w:pStyle w:val="MDPI41tablecaption"/>
        <w:keepNext/>
        <w:spacing w:after="60"/>
      </w:pPr>
      <w:r>
        <w:rPr>
          <w:b/>
          <w:sz w:val="18"/>
        </w:rPr>
        <w:t xml:space="preserve">Table A1. </w:t>
      </w:r>
      <w:r>
        <w:rPr>
          <w:b w:val="0"/>
          <w:i w:val="0"/>
          <w:sz w:val="18"/>
        </w:rPr>
        <w:t>Cluster membership of the EU-27 countries.</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1650"/>
        <w:gridCol w:w="903"/>
        <w:gridCol w:w="1650"/>
        <w:gridCol w:w="903"/>
        <w:gridCol w:w="1807"/>
        <w:gridCol w:w="942"/>
      </w:tblGrid>
      <w:tr>
        <w:trPr>
          <w:cantSplit/>
          <w:tblHeader/>
        </w:trPr>
        <w:tc>
          <w:tcPr>
            <w:tcW w:type="dxa" w:w="1650"/>
            <w:tcBorders>
              <w:bottom w:val="single" w:sz="8" w:space="0" w:color="auto"/>
            </w:tcBorders>
          </w:tcPr>
          <w:p>
            <w:pPr>
              <w:pStyle w:val="MDPI42tablebody"/>
              <w:keepNext/>
              <w:spacing w:line="240" w:lineRule="auto" w:before="30" w:after="30"/>
              <w:jc w:val="center"/>
            </w:pPr>
            <w:r>
              <w:rPr>
                <w:b/>
                <w:i w:val="0"/>
                <w:sz w:val="18"/>
              </w:rPr>
              <w:t>Country</w:t>
            </w:r>
          </w:p>
        </w:tc>
        <w:tc>
          <w:tcPr>
            <w:tcW w:type="dxa" w:w="903"/>
            <w:tcBorders>
              <w:bottom w:val="single" w:sz="8" w:space="0" w:color="auto"/>
            </w:tcBorders>
          </w:tcPr>
          <w:p>
            <w:pPr>
              <w:pStyle w:val="MDPI42tablebody"/>
              <w:keepNext/>
              <w:spacing w:line="240" w:lineRule="auto" w:before="30" w:after="30"/>
              <w:jc w:val="center"/>
            </w:pPr>
            <w:r>
              <w:rPr>
                <w:b/>
                <w:i w:val="0"/>
                <w:sz w:val="18"/>
              </w:rPr>
              <w:t>Cluster</w:t>
            </w:r>
          </w:p>
        </w:tc>
        <w:tc>
          <w:tcPr>
            <w:tcW w:type="dxa" w:w="1650"/>
            <w:tcBorders>
              <w:bottom w:val="single" w:sz="8" w:space="0" w:color="auto"/>
            </w:tcBorders>
          </w:tcPr>
          <w:p>
            <w:pPr>
              <w:pStyle w:val="MDPI42tablebody"/>
              <w:keepNext/>
              <w:spacing w:line="240" w:lineRule="auto" w:before="30" w:after="30"/>
              <w:jc w:val="center"/>
            </w:pPr>
            <w:r>
              <w:rPr>
                <w:b/>
                <w:i w:val="0"/>
                <w:sz w:val="18"/>
              </w:rPr>
              <w:t>Country</w:t>
            </w:r>
          </w:p>
        </w:tc>
        <w:tc>
          <w:tcPr>
            <w:tcW w:type="dxa" w:w="903"/>
            <w:tcBorders>
              <w:bottom w:val="single" w:sz="8" w:space="0" w:color="auto"/>
            </w:tcBorders>
          </w:tcPr>
          <w:p>
            <w:pPr>
              <w:pStyle w:val="MDPI42tablebody"/>
              <w:keepNext/>
              <w:spacing w:line="240" w:lineRule="auto" w:before="30" w:after="30"/>
              <w:jc w:val="center"/>
            </w:pPr>
            <w:r>
              <w:rPr>
                <w:b/>
                <w:i w:val="0"/>
                <w:sz w:val="18"/>
              </w:rPr>
              <w:t>Cluster</w:t>
            </w:r>
          </w:p>
        </w:tc>
        <w:tc>
          <w:tcPr>
            <w:tcW w:type="dxa" w:w="1807"/>
            <w:tcBorders>
              <w:bottom w:val="single" w:sz="8" w:space="0" w:color="auto"/>
            </w:tcBorders>
          </w:tcPr>
          <w:p>
            <w:pPr>
              <w:pStyle w:val="MDPI42tablebody"/>
              <w:keepNext/>
              <w:spacing w:line="240" w:lineRule="auto" w:before="30" w:after="30"/>
              <w:jc w:val="center"/>
            </w:pPr>
            <w:r>
              <w:rPr>
                <w:b/>
                <w:i w:val="0"/>
                <w:sz w:val="18"/>
              </w:rPr>
              <w:t>Country</w:t>
            </w:r>
          </w:p>
        </w:tc>
        <w:tc>
          <w:tcPr>
            <w:tcW w:type="dxa" w:w="942"/>
            <w:tcBorders>
              <w:bottom w:val="single" w:sz="8" w:space="0" w:color="auto"/>
            </w:tcBorders>
          </w:tcPr>
          <w:p>
            <w:pPr>
              <w:pStyle w:val="MDPI42tablebody"/>
              <w:keepNext/>
              <w:spacing w:line="240" w:lineRule="auto" w:before="30" w:after="30"/>
              <w:jc w:val="center"/>
            </w:pPr>
            <w:r>
              <w:rPr>
                <w:b/>
                <w:i w:val="0"/>
                <w:sz w:val="18"/>
              </w:rPr>
              <w:t>Cluster</w:t>
            </w:r>
          </w:p>
        </w:tc>
      </w:tr>
      <w:tr>
        <w:trPr>
          <w:cantSplit/>
        </w:trPr>
        <w:tc>
          <w:tcPr>
            <w:tcW w:type="dxa" w:w="1650"/>
          </w:tcPr>
          <w:p>
            <w:pPr>
              <w:pStyle w:val="MDPI42tablebody"/>
              <w:keepNext/>
              <w:spacing w:line="240" w:lineRule="auto" w:before="30" w:after="30"/>
              <w:jc w:val="left"/>
            </w:pPr>
            <w:r>
              <w:rPr>
                <w:b w:val="0"/>
                <w:i w:val="0"/>
                <w:sz w:val="18"/>
              </w:rPr>
              <w:t>Austria</w:t>
            </w:r>
          </w:p>
        </w:tc>
        <w:tc>
          <w:tcPr>
            <w:tcW w:type="dxa" w:w="903"/>
          </w:tcPr>
          <w:p>
            <w:pPr>
              <w:pStyle w:val="MDPI42tablebody"/>
              <w:keepNext/>
              <w:spacing w:line="240" w:lineRule="auto" w:before="30" w:after="30"/>
              <w:jc w:val="center"/>
            </w:pPr>
            <w:r>
              <w:rPr>
                <w:b w:val="0"/>
                <w:i w:val="0"/>
                <w:sz w:val="18"/>
              </w:rPr>
              <w:t>1</w:t>
            </w:r>
          </w:p>
        </w:tc>
        <w:tc>
          <w:tcPr>
            <w:tcW w:type="dxa" w:w="1650"/>
          </w:tcPr>
          <w:p>
            <w:pPr>
              <w:pStyle w:val="MDPI42tablebody"/>
              <w:keepNext/>
              <w:spacing w:line="240" w:lineRule="auto" w:before="30" w:after="30"/>
              <w:jc w:val="left"/>
            </w:pPr>
            <w:r>
              <w:rPr>
                <w:b w:val="0"/>
                <w:i w:val="0"/>
                <w:sz w:val="18"/>
              </w:rPr>
              <w:t>France</w:t>
            </w:r>
          </w:p>
        </w:tc>
        <w:tc>
          <w:tcPr>
            <w:tcW w:type="dxa" w:w="903"/>
          </w:tcPr>
          <w:p>
            <w:pPr>
              <w:pStyle w:val="MDPI42tablebody"/>
              <w:keepNext/>
              <w:spacing w:line="240" w:lineRule="auto" w:before="30" w:after="30"/>
              <w:jc w:val="center"/>
            </w:pPr>
            <w:r>
              <w:rPr>
                <w:b w:val="0"/>
                <w:i w:val="0"/>
                <w:sz w:val="18"/>
              </w:rPr>
              <w:t>2</w:t>
            </w:r>
          </w:p>
        </w:tc>
        <w:tc>
          <w:tcPr>
            <w:tcW w:type="dxa" w:w="1807"/>
          </w:tcPr>
          <w:p>
            <w:pPr>
              <w:pStyle w:val="MDPI42tablebody"/>
              <w:keepNext/>
              <w:spacing w:line="240" w:lineRule="auto" w:before="30" w:after="30"/>
              <w:jc w:val="left"/>
            </w:pPr>
            <w:r>
              <w:rPr>
                <w:b w:val="0"/>
                <w:i w:val="0"/>
                <w:sz w:val="18"/>
              </w:rPr>
              <w:t>Malta</w:t>
            </w:r>
          </w:p>
        </w:tc>
        <w:tc>
          <w:tcPr>
            <w:tcW w:type="dxa" w:w="942"/>
          </w:tcPr>
          <w:p>
            <w:pPr>
              <w:pStyle w:val="MDPI42tablebody"/>
              <w:keepNext/>
              <w:spacing w:line="240" w:lineRule="auto" w:before="30" w:after="30"/>
              <w:jc w:val="center"/>
            </w:pPr>
            <w:r>
              <w:rPr>
                <w:b w:val="0"/>
                <w:i w:val="0"/>
                <w:sz w:val="18"/>
              </w:rPr>
              <w:t>1</w:t>
            </w:r>
          </w:p>
        </w:tc>
      </w:tr>
      <w:tr>
        <w:trPr>
          <w:cantSplit/>
        </w:trPr>
        <w:tc>
          <w:tcPr>
            <w:tcW w:type="dxa" w:w="1650"/>
          </w:tcPr>
          <w:p>
            <w:pPr>
              <w:pStyle w:val="MDPI42tablebody"/>
              <w:keepNext/>
              <w:spacing w:line="240" w:lineRule="auto" w:before="30" w:after="30"/>
              <w:jc w:val="left"/>
            </w:pPr>
            <w:r>
              <w:rPr>
                <w:b w:val="0"/>
                <w:i w:val="0"/>
                <w:sz w:val="18"/>
              </w:rPr>
              <w:t>Belgium</w:t>
            </w:r>
          </w:p>
        </w:tc>
        <w:tc>
          <w:tcPr>
            <w:tcW w:type="dxa" w:w="903"/>
          </w:tcPr>
          <w:p>
            <w:pPr>
              <w:pStyle w:val="MDPI42tablebody"/>
              <w:keepNext/>
              <w:spacing w:line="240" w:lineRule="auto" w:before="30" w:after="30"/>
              <w:jc w:val="center"/>
            </w:pPr>
            <w:r>
              <w:rPr>
                <w:b w:val="0"/>
                <w:i w:val="0"/>
                <w:sz w:val="18"/>
              </w:rPr>
              <w:t>1</w:t>
            </w:r>
          </w:p>
        </w:tc>
        <w:tc>
          <w:tcPr>
            <w:tcW w:type="dxa" w:w="1650"/>
          </w:tcPr>
          <w:p>
            <w:pPr>
              <w:pStyle w:val="MDPI42tablebody"/>
              <w:keepNext/>
              <w:spacing w:line="240" w:lineRule="auto" w:before="30" w:after="30"/>
              <w:jc w:val="left"/>
            </w:pPr>
            <w:r>
              <w:rPr>
                <w:b w:val="0"/>
                <w:i w:val="0"/>
                <w:sz w:val="18"/>
              </w:rPr>
              <w:t>Germany</w:t>
            </w:r>
          </w:p>
        </w:tc>
        <w:tc>
          <w:tcPr>
            <w:tcW w:type="dxa" w:w="903"/>
          </w:tcPr>
          <w:p>
            <w:pPr>
              <w:pStyle w:val="MDPI42tablebody"/>
              <w:keepNext/>
              <w:spacing w:line="240" w:lineRule="auto" w:before="30" w:after="30"/>
              <w:jc w:val="center"/>
            </w:pPr>
            <w:r>
              <w:rPr>
                <w:b w:val="0"/>
                <w:i w:val="0"/>
                <w:sz w:val="18"/>
              </w:rPr>
              <w:t>1</w:t>
            </w:r>
          </w:p>
        </w:tc>
        <w:tc>
          <w:tcPr>
            <w:tcW w:type="dxa" w:w="1807"/>
          </w:tcPr>
          <w:p>
            <w:pPr>
              <w:pStyle w:val="MDPI42tablebody"/>
              <w:keepNext/>
              <w:spacing w:line="240" w:lineRule="auto" w:before="30" w:after="30"/>
              <w:jc w:val="left"/>
            </w:pPr>
            <w:r>
              <w:rPr>
                <w:b w:val="0"/>
                <w:i w:val="0"/>
                <w:sz w:val="18"/>
              </w:rPr>
              <w:t>Netherlands</w:t>
            </w:r>
          </w:p>
        </w:tc>
        <w:tc>
          <w:tcPr>
            <w:tcW w:type="dxa" w:w="942"/>
          </w:tcPr>
          <w:p>
            <w:pPr>
              <w:pStyle w:val="MDPI42tablebody"/>
              <w:keepNext/>
              <w:spacing w:line="240" w:lineRule="auto" w:before="30" w:after="30"/>
              <w:jc w:val="center"/>
            </w:pPr>
            <w:r>
              <w:rPr>
                <w:b w:val="0"/>
                <w:i w:val="0"/>
                <w:sz w:val="18"/>
              </w:rPr>
              <w:t>1</w:t>
            </w:r>
          </w:p>
        </w:tc>
      </w:tr>
      <w:tr>
        <w:trPr>
          <w:cantSplit/>
        </w:trPr>
        <w:tc>
          <w:tcPr>
            <w:tcW w:type="dxa" w:w="1650"/>
          </w:tcPr>
          <w:p>
            <w:pPr>
              <w:pStyle w:val="MDPI42tablebody"/>
              <w:keepNext/>
              <w:spacing w:line="240" w:lineRule="auto" w:before="30" w:after="30"/>
              <w:jc w:val="left"/>
            </w:pPr>
            <w:r>
              <w:rPr>
                <w:b w:val="0"/>
                <w:i w:val="0"/>
                <w:sz w:val="18"/>
              </w:rPr>
              <w:t>Bulgaria</w:t>
            </w:r>
          </w:p>
        </w:tc>
        <w:tc>
          <w:tcPr>
            <w:tcW w:type="dxa" w:w="903"/>
          </w:tcPr>
          <w:p>
            <w:pPr>
              <w:pStyle w:val="MDPI42tablebody"/>
              <w:keepNext/>
              <w:spacing w:line="240" w:lineRule="auto" w:before="30" w:after="30"/>
              <w:jc w:val="center"/>
            </w:pPr>
            <w:r>
              <w:rPr>
                <w:b w:val="0"/>
                <w:i w:val="0"/>
                <w:sz w:val="18"/>
              </w:rPr>
              <w:t>2</w:t>
            </w:r>
          </w:p>
        </w:tc>
        <w:tc>
          <w:tcPr>
            <w:tcW w:type="dxa" w:w="1650"/>
          </w:tcPr>
          <w:p>
            <w:pPr>
              <w:pStyle w:val="MDPI42tablebody"/>
              <w:keepNext/>
              <w:spacing w:line="240" w:lineRule="auto" w:before="30" w:after="30"/>
              <w:jc w:val="left"/>
            </w:pPr>
            <w:r>
              <w:rPr>
                <w:b w:val="0"/>
                <w:i w:val="0"/>
                <w:sz w:val="18"/>
              </w:rPr>
              <w:t>Greece</w:t>
            </w:r>
          </w:p>
        </w:tc>
        <w:tc>
          <w:tcPr>
            <w:tcW w:type="dxa" w:w="903"/>
          </w:tcPr>
          <w:p>
            <w:pPr>
              <w:pStyle w:val="MDPI42tablebody"/>
              <w:keepNext/>
              <w:spacing w:line="240" w:lineRule="auto" w:before="30" w:after="30"/>
              <w:jc w:val="center"/>
            </w:pPr>
            <w:r>
              <w:rPr>
                <w:b w:val="0"/>
                <w:i w:val="0"/>
                <w:sz w:val="18"/>
              </w:rPr>
              <w:t>2</w:t>
            </w:r>
          </w:p>
        </w:tc>
        <w:tc>
          <w:tcPr>
            <w:tcW w:type="dxa" w:w="1807"/>
          </w:tcPr>
          <w:p>
            <w:pPr>
              <w:pStyle w:val="MDPI42tablebody"/>
              <w:keepNext/>
              <w:spacing w:line="240" w:lineRule="auto" w:before="30" w:after="30"/>
              <w:jc w:val="left"/>
            </w:pPr>
            <w:r>
              <w:rPr>
                <w:b w:val="0"/>
                <w:i w:val="0"/>
                <w:sz w:val="18"/>
              </w:rPr>
              <w:t>Poland</w:t>
            </w:r>
          </w:p>
        </w:tc>
        <w:tc>
          <w:tcPr>
            <w:tcW w:type="dxa" w:w="942"/>
          </w:tcPr>
          <w:p>
            <w:pPr>
              <w:pStyle w:val="MDPI42tablebody"/>
              <w:keepNext/>
              <w:spacing w:line="240" w:lineRule="auto" w:before="30" w:after="30"/>
              <w:jc w:val="center"/>
            </w:pPr>
            <w:r>
              <w:rPr>
                <w:b w:val="0"/>
                <w:i w:val="0"/>
                <w:sz w:val="18"/>
              </w:rPr>
              <w:t>2</w:t>
            </w:r>
          </w:p>
        </w:tc>
      </w:tr>
      <w:tr>
        <w:trPr>
          <w:cantSplit/>
        </w:trPr>
        <w:tc>
          <w:tcPr>
            <w:tcW w:type="dxa" w:w="1650"/>
          </w:tcPr>
          <w:p>
            <w:pPr>
              <w:pStyle w:val="MDPI42tablebody"/>
              <w:keepNext/>
              <w:spacing w:line="240" w:lineRule="auto" w:before="30" w:after="30"/>
              <w:jc w:val="left"/>
            </w:pPr>
            <w:r>
              <w:rPr>
                <w:b w:val="0"/>
                <w:i w:val="0"/>
                <w:sz w:val="18"/>
              </w:rPr>
              <w:t>Croatia</w:t>
            </w:r>
          </w:p>
        </w:tc>
        <w:tc>
          <w:tcPr>
            <w:tcW w:type="dxa" w:w="903"/>
          </w:tcPr>
          <w:p>
            <w:pPr>
              <w:pStyle w:val="MDPI42tablebody"/>
              <w:keepNext/>
              <w:spacing w:line="240" w:lineRule="auto" w:before="30" w:after="30"/>
              <w:jc w:val="center"/>
            </w:pPr>
            <w:r>
              <w:rPr>
                <w:b w:val="0"/>
                <w:i w:val="0"/>
                <w:sz w:val="18"/>
              </w:rPr>
              <w:t>1</w:t>
            </w:r>
          </w:p>
        </w:tc>
        <w:tc>
          <w:tcPr>
            <w:tcW w:type="dxa" w:w="1650"/>
          </w:tcPr>
          <w:p>
            <w:pPr>
              <w:pStyle w:val="MDPI42tablebody"/>
              <w:keepNext/>
              <w:spacing w:line="240" w:lineRule="auto" w:before="30" w:after="30"/>
              <w:jc w:val="left"/>
            </w:pPr>
            <w:r>
              <w:rPr>
                <w:b w:val="0"/>
                <w:i w:val="0"/>
                <w:sz w:val="18"/>
              </w:rPr>
              <w:t>Hungary</w:t>
            </w:r>
          </w:p>
        </w:tc>
        <w:tc>
          <w:tcPr>
            <w:tcW w:type="dxa" w:w="903"/>
          </w:tcPr>
          <w:p>
            <w:pPr>
              <w:pStyle w:val="MDPI42tablebody"/>
              <w:keepNext/>
              <w:spacing w:line="240" w:lineRule="auto" w:before="30" w:after="30"/>
              <w:jc w:val="center"/>
            </w:pPr>
            <w:r>
              <w:rPr>
                <w:b w:val="0"/>
                <w:i w:val="0"/>
                <w:sz w:val="18"/>
              </w:rPr>
              <w:t>2</w:t>
            </w:r>
          </w:p>
        </w:tc>
        <w:tc>
          <w:tcPr>
            <w:tcW w:type="dxa" w:w="1807"/>
          </w:tcPr>
          <w:p>
            <w:pPr>
              <w:pStyle w:val="MDPI42tablebody"/>
              <w:keepNext/>
              <w:spacing w:line="240" w:lineRule="auto" w:before="30" w:after="30"/>
              <w:jc w:val="left"/>
            </w:pPr>
            <w:r>
              <w:rPr>
                <w:b w:val="0"/>
                <w:i w:val="0"/>
                <w:sz w:val="18"/>
              </w:rPr>
              <w:t>Portugal</w:t>
            </w:r>
          </w:p>
        </w:tc>
        <w:tc>
          <w:tcPr>
            <w:tcW w:type="dxa" w:w="942"/>
          </w:tcPr>
          <w:p>
            <w:pPr>
              <w:pStyle w:val="MDPI42tablebody"/>
              <w:keepNext/>
              <w:spacing w:line="240" w:lineRule="auto" w:before="30" w:after="30"/>
              <w:jc w:val="center"/>
            </w:pPr>
            <w:r>
              <w:rPr>
                <w:b w:val="0"/>
                <w:i w:val="0"/>
                <w:sz w:val="18"/>
              </w:rPr>
              <w:t>2</w:t>
            </w:r>
          </w:p>
        </w:tc>
      </w:tr>
      <w:tr>
        <w:trPr>
          <w:cantSplit/>
        </w:trPr>
        <w:tc>
          <w:tcPr>
            <w:tcW w:type="dxa" w:w="1650"/>
          </w:tcPr>
          <w:p>
            <w:pPr>
              <w:pStyle w:val="MDPI42tablebody"/>
              <w:keepNext/>
              <w:spacing w:line="240" w:lineRule="auto" w:before="30" w:after="30"/>
              <w:jc w:val="left"/>
            </w:pPr>
            <w:r>
              <w:rPr>
                <w:b w:val="0"/>
                <w:i w:val="0"/>
                <w:sz w:val="18"/>
              </w:rPr>
              <w:t>Cyprus</w:t>
            </w:r>
          </w:p>
        </w:tc>
        <w:tc>
          <w:tcPr>
            <w:tcW w:type="dxa" w:w="903"/>
          </w:tcPr>
          <w:p>
            <w:pPr>
              <w:pStyle w:val="MDPI42tablebody"/>
              <w:keepNext/>
              <w:spacing w:line="240" w:lineRule="auto" w:before="30" w:after="30"/>
              <w:jc w:val="center"/>
            </w:pPr>
            <w:r>
              <w:rPr>
                <w:b w:val="0"/>
                <w:i w:val="0"/>
                <w:sz w:val="18"/>
              </w:rPr>
              <w:t>2</w:t>
            </w:r>
          </w:p>
        </w:tc>
        <w:tc>
          <w:tcPr>
            <w:tcW w:type="dxa" w:w="1650"/>
          </w:tcPr>
          <w:p>
            <w:pPr>
              <w:pStyle w:val="MDPI42tablebody"/>
              <w:keepNext/>
              <w:spacing w:line="240" w:lineRule="auto" w:before="30" w:after="30"/>
              <w:jc w:val="left"/>
            </w:pPr>
            <w:r>
              <w:rPr>
                <w:b w:val="0"/>
                <w:i w:val="0"/>
                <w:sz w:val="18"/>
              </w:rPr>
              <w:t>Ireland</w:t>
            </w:r>
          </w:p>
        </w:tc>
        <w:tc>
          <w:tcPr>
            <w:tcW w:type="dxa" w:w="903"/>
          </w:tcPr>
          <w:p>
            <w:pPr>
              <w:pStyle w:val="MDPI42tablebody"/>
              <w:keepNext/>
              <w:spacing w:line="240" w:lineRule="auto" w:before="30" w:after="30"/>
              <w:jc w:val="center"/>
            </w:pPr>
            <w:r>
              <w:rPr>
                <w:b w:val="0"/>
                <w:i w:val="0"/>
                <w:sz w:val="18"/>
              </w:rPr>
              <w:t>1</w:t>
            </w:r>
          </w:p>
        </w:tc>
        <w:tc>
          <w:tcPr>
            <w:tcW w:type="dxa" w:w="1807"/>
          </w:tcPr>
          <w:p>
            <w:pPr>
              <w:pStyle w:val="MDPI42tablebody"/>
              <w:keepNext/>
              <w:spacing w:line="240" w:lineRule="auto" w:before="30" w:after="30"/>
              <w:jc w:val="left"/>
            </w:pPr>
            <w:r>
              <w:rPr>
                <w:b w:val="0"/>
                <w:i w:val="0"/>
                <w:sz w:val="18"/>
              </w:rPr>
              <w:t>Romania</w:t>
            </w:r>
          </w:p>
        </w:tc>
        <w:tc>
          <w:tcPr>
            <w:tcW w:type="dxa" w:w="942"/>
          </w:tcPr>
          <w:p>
            <w:pPr>
              <w:pStyle w:val="MDPI42tablebody"/>
              <w:keepNext/>
              <w:spacing w:line="240" w:lineRule="auto" w:before="30" w:after="30"/>
              <w:jc w:val="center"/>
            </w:pPr>
            <w:r>
              <w:rPr>
                <w:b w:val="0"/>
                <w:i w:val="0"/>
                <w:sz w:val="18"/>
              </w:rPr>
              <w:t>2</w:t>
            </w:r>
          </w:p>
        </w:tc>
      </w:tr>
      <w:tr>
        <w:trPr>
          <w:cantSplit/>
        </w:trPr>
        <w:tc>
          <w:tcPr>
            <w:tcW w:type="dxa" w:w="1650"/>
          </w:tcPr>
          <w:p>
            <w:pPr>
              <w:pStyle w:val="MDPI42tablebody"/>
              <w:keepNext/>
              <w:spacing w:line="240" w:lineRule="auto" w:before="30" w:after="30"/>
              <w:jc w:val="left"/>
            </w:pPr>
            <w:r>
              <w:rPr>
                <w:b w:val="0"/>
                <w:i w:val="0"/>
                <w:sz w:val="18"/>
              </w:rPr>
              <w:t>Czechia</w:t>
            </w:r>
          </w:p>
        </w:tc>
        <w:tc>
          <w:tcPr>
            <w:tcW w:type="dxa" w:w="903"/>
          </w:tcPr>
          <w:p>
            <w:pPr>
              <w:pStyle w:val="MDPI42tablebody"/>
              <w:keepNext/>
              <w:spacing w:line="240" w:lineRule="auto" w:before="30" w:after="30"/>
              <w:jc w:val="center"/>
            </w:pPr>
            <w:r>
              <w:rPr>
                <w:b w:val="0"/>
                <w:i w:val="0"/>
                <w:sz w:val="18"/>
              </w:rPr>
              <w:t>2</w:t>
            </w:r>
          </w:p>
        </w:tc>
        <w:tc>
          <w:tcPr>
            <w:tcW w:type="dxa" w:w="1650"/>
          </w:tcPr>
          <w:p>
            <w:pPr>
              <w:pStyle w:val="MDPI42tablebody"/>
              <w:keepNext/>
              <w:spacing w:line="240" w:lineRule="auto" w:before="30" w:after="30"/>
              <w:jc w:val="left"/>
            </w:pPr>
            <w:r>
              <w:rPr>
                <w:b w:val="0"/>
                <w:i w:val="0"/>
                <w:sz w:val="18"/>
              </w:rPr>
              <w:t>Italy</w:t>
            </w:r>
          </w:p>
        </w:tc>
        <w:tc>
          <w:tcPr>
            <w:tcW w:type="dxa" w:w="903"/>
          </w:tcPr>
          <w:p>
            <w:pPr>
              <w:pStyle w:val="MDPI42tablebody"/>
              <w:keepNext/>
              <w:spacing w:line="240" w:lineRule="auto" w:before="30" w:after="30"/>
              <w:jc w:val="center"/>
            </w:pPr>
            <w:r>
              <w:rPr>
                <w:b w:val="0"/>
                <w:i w:val="0"/>
                <w:sz w:val="18"/>
              </w:rPr>
              <w:t>2</w:t>
            </w:r>
          </w:p>
        </w:tc>
        <w:tc>
          <w:tcPr>
            <w:tcW w:type="dxa" w:w="1807"/>
          </w:tcPr>
          <w:p>
            <w:pPr>
              <w:pStyle w:val="MDPI42tablebody"/>
              <w:keepNext/>
              <w:spacing w:line="240" w:lineRule="auto" w:before="30" w:after="30"/>
              <w:jc w:val="left"/>
            </w:pPr>
            <w:r>
              <w:rPr>
                <w:b w:val="0"/>
                <w:i w:val="0"/>
                <w:sz w:val="18"/>
              </w:rPr>
              <w:t>Slovakia</w:t>
            </w:r>
          </w:p>
        </w:tc>
        <w:tc>
          <w:tcPr>
            <w:tcW w:type="dxa" w:w="942"/>
          </w:tcPr>
          <w:p>
            <w:pPr>
              <w:pStyle w:val="MDPI42tablebody"/>
              <w:keepNext/>
              <w:spacing w:line="240" w:lineRule="auto" w:before="30" w:after="30"/>
              <w:jc w:val="center"/>
            </w:pPr>
            <w:r>
              <w:rPr>
                <w:b w:val="0"/>
                <w:i w:val="0"/>
                <w:sz w:val="18"/>
              </w:rPr>
              <w:t>2</w:t>
            </w:r>
          </w:p>
        </w:tc>
      </w:tr>
      <w:tr>
        <w:trPr>
          <w:cantSplit/>
        </w:trPr>
        <w:tc>
          <w:tcPr>
            <w:tcW w:type="dxa" w:w="1650"/>
          </w:tcPr>
          <w:p>
            <w:pPr>
              <w:pStyle w:val="MDPI42tablebody"/>
              <w:keepNext/>
              <w:spacing w:line="240" w:lineRule="auto" w:before="30" w:after="30"/>
              <w:jc w:val="left"/>
            </w:pPr>
            <w:r>
              <w:rPr>
                <w:b w:val="0"/>
                <w:i w:val="0"/>
                <w:sz w:val="18"/>
              </w:rPr>
              <w:t>Denmark</w:t>
            </w:r>
          </w:p>
        </w:tc>
        <w:tc>
          <w:tcPr>
            <w:tcW w:type="dxa" w:w="903"/>
          </w:tcPr>
          <w:p>
            <w:pPr>
              <w:pStyle w:val="MDPI42tablebody"/>
              <w:keepNext/>
              <w:spacing w:line="240" w:lineRule="auto" w:before="30" w:after="30"/>
              <w:jc w:val="center"/>
            </w:pPr>
            <w:r>
              <w:rPr>
                <w:b w:val="0"/>
                <w:i w:val="0"/>
                <w:sz w:val="18"/>
              </w:rPr>
              <w:t>1</w:t>
            </w:r>
          </w:p>
        </w:tc>
        <w:tc>
          <w:tcPr>
            <w:tcW w:type="dxa" w:w="1650"/>
          </w:tcPr>
          <w:p>
            <w:pPr>
              <w:pStyle w:val="MDPI42tablebody"/>
              <w:keepNext/>
              <w:spacing w:line="240" w:lineRule="auto" w:before="30" w:after="30"/>
              <w:jc w:val="left"/>
            </w:pPr>
            <w:r>
              <w:rPr>
                <w:b w:val="0"/>
                <w:i w:val="0"/>
                <w:sz w:val="18"/>
              </w:rPr>
              <w:t>Latvia</w:t>
            </w:r>
          </w:p>
        </w:tc>
        <w:tc>
          <w:tcPr>
            <w:tcW w:type="dxa" w:w="903"/>
          </w:tcPr>
          <w:p>
            <w:pPr>
              <w:pStyle w:val="MDPI42tablebody"/>
              <w:keepNext/>
              <w:spacing w:line="240" w:lineRule="auto" w:before="30" w:after="30"/>
              <w:jc w:val="center"/>
            </w:pPr>
            <w:r>
              <w:rPr>
                <w:b w:val="0"/>
                <w:i w:val="0"/>
                <w:sz w:val="18"/>
              </w:rPr>
              <w:t>2</w:t>
            </w:r>
          </w:p>
        </w:tc>
        <w:tc>
          <w:tcPr>
            <w:tcW w:type="dxa" w:w="1807"/>
          </w:tcPr>
          <w:p>
            <w:pPr>
              <w:pStyle w:val="MDPI42tablebody"/>
              <w:keepNext/>
              <w:spacing w:line="240" w:lineRule="auto" w:before="30" w:after="30"/>
              <w:jc w:val="left"/>
            </w:pPr>
            <w:r>
              <w:rPr>
                <w:b w:val="0"/>
                <w:i w:val="0"/>
                <w:sz w:val="18"/>
              </w:rPr>
              <w:t>Slovenia</w:t>
            </w:r>
          </w:p>
        </w:tc>
        <w:tc>
          <w:tcPr>
            <w:tcW w:type="dxa" w:w="942"/>
          </w:tcPr>
          <w:p>
            <w:pPr>
              <w:pStyle w:val="MDPI42tablebody"/>
              <w:keepNext/>
              <w:spacing w:line="240" w:lineRule="auto" w:before="30" w:after="30"/>
              <w:jc w:val="center"/>
            </w:pPr>
            <w:r>
              <w:rPr>
                <w:b w:val="0"/>
                <w:i w:val="0"/>
                <w:sz w:val="18"/>
              </w:rPr>
              <w:t>1</w:t>
            </w:r>
          </w:p>
        </w:tc>
      </w:tr>
      <w:tr>
        <w:trPr>
          <w:cantSplit/>
        </w:trPr>
        <w:tc>
          <w:tcPr>
            <w:tcW w:type="dxa" w:w="1650"/>
          </w:tcPr>
          <w:p>
            <w:pPr>
              <w:pStyle w:val="MDPI42tablebody"/>
              <w:keepNext/>
              <w:spacing w:line="240" w:lineRule="auto" w:before="30" w:after="30"/>
              <w:jc w:val="left"/>
            </w:pPr>
            <w:r>
              <w:rPr>
                <w:b w:val="0"/>
                <w:i w:val="0"/>
                <w:sz w:val="18"/>
              </w:rPr>
              <w:t>Estonia</w:t>
            </w:r>
          </w:p>
        </w:tc>
        <w:tc>
          <w:tcPr>
            <w:tcW w:type="dxa" w:w="903"/>
          </w:tcPr>
          <w:p>
            <w:pPr>
              <w:pStyle w:val="MDPI42tablebody"/>
              <w:keepNext/>
              <w:spacing w:line="240" w:lineRule="auto" w:before="30" w:after="30"/>
              <w:jc w:val="center"/>
            </w:pPr>
            <w:r>
              <w:rPr>
                <w:b w:val="0"/>
                <w:i w:val="0"/>
                <w:sz w:val="18"/>
              </w:rPr>
              <w:t>1</w:t>
            </w:r>
          </w:p>
        </w:tc>
        <w:tc>
          <w:tcPr>
            <w:tcW w:type="dxa" w:w="1650"/>
          </w:tcPr>
          <w:p>
            <w:pPr>
              <w:pStyle w:val="MDPI42tablebody"/>
              <w:keepNext/>
              <w:spacing w:line="240" w:lineRule="auto" w:before="30" w:after="30"/>
              <w:jc w:val="left"/>
            </w:pPr>
            <w:r>
              <w:rPr>
                <w:b w:val="0"/>
                <w:i w:val="0"/>
                <w:sz w:val="18"/>
              </w:rPr>
              <w:t>Lithuania</w:t>
            </w:r>
          </w:p>
        </w:tc>
        <w:tc>
          <w:tcPr>
            <w:tcW w:type="dxa" w:w="903"/>
          </w:tcPr>
          <w:p>
            <w:pPr>
              <w:pStyle w:val="MDPI42tablebody"/>
              <w:keepNext/>
              <w:spacing w:line="240" w:lineRule="auto" w:before="30" w:after="30"/>
              <w:jc w:val="center"/>
            </w:pPr>
            <w:r>
              <w:rPr>
                <w:b w:val="0"/>
                <w:i w:val="0"/>
                <w:sz w:val="18"/>
              </w:rPr>
              <w:t>2</w:t>
            </w:r>
          </w:p>
        </w:tc>
        <w:tc>
          <w:tcPr>
            <w:tcW w:type="dxa" w:w="1807"/>
          </w:tcPr>
          <w:p>
            <w:pPr>
              <w:pStyle w:val="MDPI42tablebody"/>
              <w:keepNext/>
              <w:spacing w:line="240" w:lineRule="auto" w:before="30" w:after="30"/>
              <w:jc w:val="left"/>
            </w:pPr>
            <w:r>
              <w:rPr>
                <w:b w:val="0"/>
                <w:i w:val="0"/>
                <w:sz w:val="18"/>
              </w:rPr>
              <w:t>Spain</w:t>
            </w:r>
          </w:p>
        </w:tc>
        <w:tc>
          <w:tcPr>
            <w:tcW w:type="dxa" w:w="942"/>
          </w:tcPr>
          <w:p>
            <w:pPr>
              <w:pStyle w:val="MDPI42tablebody"/>
              <w:keepNext/>
              <w:spacing w:line="240" w:lineRule="auto" w:before="30" w:after="30"/>
              <w:jc w:val="center"/>
            </w:pPr>
            <w:r>
              <w:rPr>
                <w:b w:val="0"/>
                <w:i w:val="0"/>
                <w:sz w:val="18"/>
              </w:rPr>
              <w:t>2</w:t>
            </w:r>
          </w:p>
        </w:tc>
      </w:tr>
      <w:tr>
        <w:trPr>
          <w:cantSplit/>
        </w:trPr>
        <w:tc>
          <w:tcPr>
            <w:tcW w:type="dxa" w:w="1650"/>
          </w:tcPr>
          <w:p>
            <w:pPr>
              <w:pStyle w:val="MDPI42tablebody"/>
              <w:keepNext/>
              <w:spacing w:line="240" w:lineRule="auto" w:before="30" w:after="30"/>
              <w:jc w:val="left"/>
            </w:pPr>
            <w:r>
              <w:rPr>
                <w:b w:val="0"/>
                <w:i w:val="0"/>
                <w:sz w:val="18"/>
              </w:rPr>
              <w:t>Finland</w:t>
            </w:r>
          </w:p>
        </w:tc>
        <w:tc>
          <w:tcPr>
            <w:tcW w:type="dxa" w:w="903"/>
          </w:tcPr>
          <w:p>
            <w:pPr>
              <w:pStyle w:val="MDPI42tablebody"/>
              <w:keepNext/>
              <w:spacing w:line="240" w:lineRule="auto" w:before="30" w:after="30"/>
              <w:jc w:val="center"/>
            </w:pPr>
            <w:r>
              <w:rPr>
                <w:b w:val="0"/>
                <w:i w:val="0"/>
                <w:sz w:val="18"/>
              </w:rPr>
              <w:t>1</w:t>
            </w:r>
          </w:p>
        </w:tc>
        <w:tc>
          <w:tcPr>
            <w:tcW w:type="dxa" w:w="1650"/>
          </w:tcPr>
          <w:p>
            <w:pPr>
              <w:pStyle w:val="MDPI42tablebody"/>
              <w:keepNext/>
              <w:spacing w:line="240" w:lineRule="auto" w:before="30" w:after="30"/>
              <w:jc w:val="left"/>
            </w:pPr>
            <w:r>
              <w:rPr>
                <w:b w:val="0"/>
                <w:i w:val="0"/>
                <w:sz w:val="18"/>
              </w:rPr>
              <w:t>Luxembourg</w:t>
            </w:r>
          </w:p>
        </w:tc>
        <w:tc>
          <w:tcPr>
            <w:tcW w:type="dxa" w:w="903"/>
          </w:tcPr>
          <w:p>
            <w:pPr>
              <w:pStyle w:val="MDPI42tablebody"/>
              <w:keepNext/>
              <w:spacing w:line="240" w:lineRule="auto" w:before="30" w:after="30"/>
              <w:jc w:val="center"/>
            </w:pPr>
            <w:r>
              <w:rPr>
                <w:b w:val="0"/>
                <w:i w:val="0"/>
                <w:sz w:val="18"/>
              </w:rPr>
              <w:t>1</w:t>
            </w:r>
          </w:p>
        </w:tc>
        <w:tc>
          <w:tcPr>
            <w:tcW w:type="dxa" w:w="1807"/>
          </w:tcPr>
          <w:p>
            <w:pPr>
              <w:pStyle w:val="MDPI42tablebody"/>
              <w:keepNext/>
              <w:spacing w:line="240" w:lineRule="auto" w:before="30" w:after="30"/>
              <w:jc w:val="left"/>
            </w:pPr>
            <w:r>
              <w:rPr>
                <w:b w:val="0"/>
                <w:i w:val="0"/>
                <w:sz w:val="18"/>
              </w:rPr>
              <w:t>Sweden</w:t>
            </w:r>
          </w:p>
        </w:tc>
        <w:tc>
          <w:tcPr>
            <w:tcW w:type="dxa" w:w="942"/>
          </w:tcPr>
          <w:p>
            <w:pPr>
              <w:pStyle w:val="MDPI42tablebody"/>
              <w:keepNext/>
              <w:spacing w:line="240" w:lineRule="auto" w:before="30" w:after="30"/>
              <w:jc w:val="center"/>
            </w:pPr>
            <w:r>
              <w:rPr>
                <w:b w:val="0"/>
                <w:i w:val="0"/>
                <w:sz w:val="18"/>
              </w:rPr>
              <w:t>1</w:t>
            </w:r>
          </w:p>
        </w:tc>
      </w:tr>
    </w:tbl>
    <w:p>
      <w:pPr>
        <w:pStyle w:val="MDPI43tablefooter"/>
        <w:spacing w:line="240" w:lineRule="auto" w:before="40" w:after="200"/>
        <w:ind w:left="2608" w:firstLine="0"/>
      </w:pPr>
      <w:r>
        <w:rPr>
          <w:sz w:val="16"/>
        </w:rPr>
        <w:t xml:space="preserve">Note: </w:t>
      </w:r>
      <w:r>
        <w:rPr>
          <w:b w:val="0"/>
          <w:i w:val="0"/>
          <w:sz w:val="16"/>
        </w:rPr>
        <w:t>Cluster 1 is the higher-adoption profile and Cluster 2 the lower-adoption profile of the two-cluster k-means solution. Source: authors’ calculations.</w:t>
      </w:r>
    </w:p>
    <w:p>
      <w:pPr>
        <w:pStyle w:val="MDPI21heading1"/>
        <w:ind w:left="0" w:firstLine="0"/>
      </w:pPr>
      <w:r>
        <w:t>References</w:t>
      </w:r>
    </w:p>
    <w:p>
      <w:pPr>
        <w:pStyle w:val="MDPI32textnoindent"/>
        <w:spacing w:line="240" w:lineRule="auto" w:before="0" w:after="40"/>
        <w:ind w:left="425" w:hanging="425"/>
        <w:tabs>
          <w:tab w:val="left" w:pos="425"/>
        </w:tabs>
      </w:pPr>
      <w:bookmarkStart w:id="1001" w:name="_Ref_1"/>
      <w:r>
        <w:rPr>
          <w:b w:val="0"/>
          <w:sz w:val="18"/>
        </w:rPr>
        <w:t>1</w:t>
      </w:r>
      <w:bookmarkEnd w:id="1001"/>
      <w:r>
        <w:rPr>
          <w:sz w:val="18"/>
        </w:rPr>
        <w:t>.</w:t>
        <w:tab/>
      </w:r>
      <w:r>
        <w:rPr>
          <w:b w:val="0"/>
          <w:i w:val="0"/>
          <w:sz w:val="18"/>
        </w:rPr>
        <w:t xml:space="preserve">Dwivedi, Y.K.; Kshetri, N.; Hughes, L.; Slade, E.L.; Jeyaraj, A.; Kar, A.K.; Baabdullah, A.M.; Koohang, A.; Raghavan, V.; Ahuja, M.; et al. </w:t>
      </w:r>
      <w:r>
        <w:rPr>
          <w:b w:val="0"/>
          <w:i w:val="0"/>
          <w:sz w:val="18"/>
        </w:rPr>
        <w:t xml:space="preserve">Opinion Paper: “So What If ChatGPT Wrote It?” Multidisciplinary Perspectives on Opportunities, Challenges and Implications of Generative Conversational AI for Research, Practice and Policy. </w:t>
      </w:r>
      <w:r>
        <w:rPr>
          <w:b w:val="0"/>
          <w:i/>
          <w:sz w:val="18"/>
        </w:rPr>
        <w:t xml:space="preserve">Int. J. Inf. Manag. </w:t>
      </w:r>
      <w:r>
        <w:rPr>
          <w:b/>
          <w:i w:val="0"/>
          <w:sz w:val="18"/>
        </w:rPr>
        <w:t>2023</w:t>
      </w:r>
      <w:r>
        <w:rPr>
          <w:b w:val="0"/>
          <w:i w:val="0"/>
          <w:sz w:val="18"/>
        </w:rPr>
        <w:t xml:space="preserve">, </w:t>
      </w:r>
      <w:r>
        <w:rPr>
          <w:b w:val="0"/>
          <w:i/>
          <w:sz w:val="18"/>
        </w:rPr>
        <w:t>71</w:t>
      </w:r>
      <w:r>
        <w:rPr>
          <w:b w:val="0"/>
          <w:i w:val="0"/>
          <w:sz w:val="18"/>
        </w:rPr>
        <w:t>, 102642.</w:t>
      </w:r>
      <w:r>
        <w:rPr>
          <w:b w:val="0"/>
          <w:i w:val="0"/>
          <w:sz w:val="18"/>
        </w:rPr>
        <w:t xml:space="preserve"> [CrossRef]</w:t>
      </w:r>
    </w:p>
    <w:p>
      <w:pPr>
        <w:pStyle w:val="MDPI32textnoindent"/>
        <w:spacing w:line="240" w:lineRule="auto" w:before="0" w:after="40"/>
        <w:ind w:left="425" w:hanging="425"/>
        <w:tabs>
          <w:tab w:val="left" w:pos="425"/>
        </w:tabs>
      </w:pPr>
      <w:bookmarkStart w:id="1002" w:name="_Ref_2"/>
      <w:r>
        <w:rPr>
          <w:b w:val="0"/>
          <w:sz w:val="18"/>
        </w:rPr>
        <w:t>2</w:t>
      </w:r>
      <w:bookmarkEnd w:id="1002"/>
      <w:r>
        <w:rPr>
          <w:sz w:val="18"/>
        </w:rPr>
        <w:t>.</w:t>
        <w:tab/>
      </w:r>
      <w:r>
        <w:rPr>
          <w:b w:val="0"/>
          <w:i w:val="0"/>
          <w:sz w:val="18"/>
        </w:rPr>
        <w:t xml:space="preserve">Eloundou, T.; Manning, S.; Mishkin, P.; Rock, D. </w:t>
      </w:r>
      <w:r>
        <w:rPr>
          <w:b w:val="0"/>
          <w:i w:val="0"/>
          <w:sz w:val="18"/>
        </w:rPr>
        <w:t xml:space="preserve">GPTs Are GPTs: Labor Market Impact Potential of LLMs. </w:t>
      </w:r>
      <w:r>
        <w:rPr>
          <w:b w:val="0"/>
          <w:i/>
          <w:sz w:val="18"/>
        </w:rPr>
        <w:t xml:space="preserve">Science </w:t>
      </w:r>
      <w:r>
        <w:rPr>
          <w:b/>
          <w:i w:val="0"/>
          <w:sz w:val="18"/>
        </w:rPr>
        <w:t>2024</w:t>
      </w:r>
      <w:r>
        <w:rPr>
          <w:b w:val="0"/>
          <w:i w:val="0"/>
          <w:sz w:val="18"/>
        </w:rPr>
        <w:t xml:space="preserve">, </w:t>
      </w:r>
      <w:r>
        <w:rPr>
          <w:b w:val="0"/>
          <w:i/>
          <w:sz w:val="18"/>
        </w:rPr>
        <w:t>384</w:t>
      </w:r>
      <w:r>
        <w:rPr>
          <w:b w:val="0"/>
          <w:i w:val="0"/>
          <w:sz w:val="18"/>
        </w:rPr>
        <w:t>, 1306–1308.</w:t>
      </w:r>
      <w:r>
        <w:rPr>
          <w:b w:val="0"/>
          <w:i w:val="0"/>
          <w:sz w:val="18"/>
        </w:rPr>
        <w:t xml:space="preserve"> [CrossRef]</w:t>
      </w:r>
    </w:p>
    <w:p>
      <w:pPr>
        <w:pStyle w:val="MDPI32textnoindent"/>
        <w:spacing w:line="240" w:lineRule="auto" w:before="0" w:after="40"/>
        <w:ind w:left="425" w:hanging="425"/>
        <w:tabs>
          <w:tab w:val="left" w:pos="425"/>
        </w:tabs>
      </w:pPr>
      <w:bookmarkStart w:id="1003" w:name="_Ref_3"/>
      <w:r>
        <w:rPr>
          <w:b w:val="0"/>
          <w:sz w:val="18"/>
        </w:rPr>
        <w:t>3</w:t>
      </w:r>
      <w:bookmarkEnd w:id="1003"/>
      <w:r>
        <w:rPr>
          <w:sz w:val="18"/>
        </w:rPr>
        <w:t>.</w:t>
        <w:tab/>
      </w:r>
      <w:r>
        <w:rPr>
          <w:b w:val="0"/>
          <w:i w:val="0"/>
          <w:sz w:val="18"/>
        </w:rPr>
        <w:t xml:space="preserve">Bick, A.; Blandin, A.; Deming, D.J. </w:t>
      </w:r>
      <w:r>
        <w:rPr>
          <w:b w:val="0"/>
          <w:i/>
          <w:sz w:val="18"/>
        </w:rPr>
        <w:t xml:space="preserve">The Rapid Adoption of Generative AI; </w:t>
      </w:r>
      <w:r>
        <w:rPr>
          <w:b w:val="0"/>
          <w:i w:val="0"/>
          <w:sz w:val="18"/>
        </w:rPr>
        <w:t xml:space="preserve">NBER Working Paper 32966; </w:t>
      </w:r>
      <w:r>
        <w:rPr>
          <w:b w:val="0"/>
          <w:i w:val="0"/>
          <w:sz w:val="18"/>
        </w:rPr>
        <w:t>National Bureau of Economic Research: Cambridge, MA, USA, 2024.</w:t>
      </w:r>
    </w:p>
    <w:p>
      <w:pPr>
        <w:pStyle w:val="MDPI32textnoindent"/>
        <w:spacing w:line="240" w:lineRule="auto" w:before="0" w:after="40"/>
        <w:ind w:left="425" w:hanging="425"/>
        <w:tabs>
          <w:tab w:val="left" w:pos="425"/>
        </w:tabs>
      </w:pPr>
      <w:bookmarkStart w:id="1004" w:name="_Ref_4"/>
      <w:r>
        <w:rPr>
          <w:b w:val="0"/>
          <w:sz w:val="18"/>
        </w:rPr>
        <w:t>4</w:t>
      </w:r>
      <w:bookmarkEnd w:id="1004"/>
      <w:r>
        <w:rPr>
          <w:sz w:val="18"/>
        </w:rPr>
        <w:t>.</w:t>
        <w:tab/>
      </w:r>
      <w:r>
        <w:rPr>
          <w:b w:val="0"/>
          <w:i w:val="0"/>
          <w:sz w:val="18"/>
        </w:rPr>
        <w:t xml:space="preserve">Brynjolfsson, E.; Li, D.; Raymond, L.R. </w:t>
      </w:r>
      <w:r>
        <w:rPr>
          <w:b w:val="0"/>
          <w:i w:val="0"/>
          <w:sz w:val="18"/>
        </w:rPr>
        <w:t xml:space="preserve">Generative AI at Work. </w:t>
      </w:r>
      <w:r>
        <w:rPr>
          <w:b w:val="0"/>
          <w:i/>
          <w:sz w:val="18"/>
        </w:rPr>
        <w:t xml:space="preserve">Q. J. Econ. </w:t>
      </w:r>
      <w:r>
        <w:rPr>
          <w:b/>
          <w:i w:val="0"/>
          <w:sz w:val="18"/>
        </w:rPr>
        <w:t>2025</w:t>
      </w:r>
      <w:r>
        <w:rPr>
          <w:b w:val="0"/>
          <w:i w:val="0"/>
          <w:sz w:val="18"/>
        </w:rPr>
        <w:t xml:space="preserve">, </w:t>
      </w:r>
      <w:r>
        <w:rPr>
          <w:b w:val="0"/>
          <w:i/>
          <w:sz w:val="18"/>
        </w:rPr>
        <w:t>140</w:t>
      </w:r>
      <w:r>
        <w:rPr>
          <w:b w:val="0"/>
          <w:i w:val="0"/>
          <w:sz w:val="18"/>
        </w:rPr>
        <w:t>, 889–942.</w:t>
      </w:r>
      <w:r>
        <w:rPr>
          <w:b w:val="0"/>
          <w:i w:val="0"/>
          <w:sz w:val="18"/>
        </w:rPr>
        <w:t xml:space="preserve"> [CrossRef]</w:t>
      </w:r>
    </w:p>
    <w:p>
      <w:pPr>
        <w:pStyle w:val="MDPI32textnoindent"/>
        <w:spacing w:line="240" w:lineRule="auto" w:before="0" w:after="40"/>
        <w:ind w:left="425" w:hanging="425"/>
        <w:tabs>
          <w:tab w:val="left" w:pos="425"/>
        </w:tabs>
      </w:pPr>
      <w:bookmarkStart w:id="1005" w:name="_Ref_5"/>
      <w:r>
        <w:rPr>
          <w:b w:val="0"/>
          <w:sz w:val="18"/>
        </w:rPr>
        <w:t>5</w:t>
      </w:r>
      <w:bookmarkEnd w:id="1005"/>
      <w:r>
        <w:rPr>
          <w:sz w:val="18"/>
        </w:rPr>
        <w:t>.</w:t>
        <w:tab/>
      </w:r>
      <w:r>
        <w:rPr>
          <w:b w:val="0"/>
          <w:i w:val="0"/>
          <w:sz w:val="18"/>
        </w:rPr>
        <w:t xml:space="preserve">Noy, S.; Zhang, W. </w:t>
      </w:r>
      <w:r>
        <w:rPr>
          <w:b w:val="0"/>
          <w:i w:val="0"/>
          <w:sz w:val="18"/>
        </w:rPr>
        <w:t xml:space="preserve">Experimental Evidence on the Productivity Effects of Generative Artificial Intelligence. </w:t>
      </w:r>
      <w:r>
        <w:rPr>
          <w:b w:val="0"/>
          <w:i/>
          <w:sz w:val="18"/>
        </w:rPr>
        <w:t xml:space="preserve">Science </w:t>
      </w:r>
      <w:r>
        <w:rPr>
          <w:b/>
          <w:i w:val="0"/>
          <w:sz w:val="18"/>
        </w:rPr>
        <w:t>2023</w:t>
      </w:r>
      <w:r>
        <w:rPr>
          <w:b w:val="0"/>
          <w:i w:val="0"/>
          <w:sz w:val="18"/>
        </w:rPr>
        <w:t xml:space="preserve">, </w:t>
      </w:r>
      <w:r>
        <w:rPr>
          <w:b w:val="0"/>
          <w:i/>
          <w:sz w:val="18"/>
        </w:rPr>
        <w:t>381</w:t>
      </w:r>
      <w:r>
        <w:rPr>
          <w:b w:val="0"/>
          <w:i w:val="0"/>
          <w:sz w:val="18"/>
        </w:rPr>
        <w:t>, 187–192.</w:t>
      </w:r>
      <w:r>
        <w:rPr>
          <w:b w:val="0"/>
          <w:i w:val="0"/>
          <w:sz w:val="18"/>
        </w:rPr>
        <w:t xml:space="preserve"> [CrossRef]</w:t>
      </w:r>
    </w:p>
    <w:p>
      <w:pPr>
        <w:pStyle w:val="MDPI32textnoindent"/>
        <w:spacing w:line="240" w:lineRule="auto" w:before="0" w:after="40"/>
        <w:ind w:left="425" w:hanging="425"/>
        <w:tabs>
          <w:tab w:val="left" w:pos="425"/>
        </w:tabs>
      </w:pPr>
      <w:bookmarkStart w:id="1006" w:name="_Ref_6"/>
      <w:r>
        <w:rPr>
          <w:b w:val="0"/>
          <w:sz w:val="18"/>
        </w:rPr>
        <w:t>6</w:t>
      </w:r>
      <w:bookmarkEnd w:id="1006"/>
      <w:r>
        <w:rPr>
          <w:sz w:val="18"/>
        </w:rPr>
        <w:t>.</w:t>
        <w:tab/>
      </w:r>
      <w:r>
        <w:rPr>
          <w:b w:val="0"/>
          <w:i w:val="0"/>
          <w:sz w:val="18"/>
        </w:rPr>
        <w:t xml:space="preserve">Frey, C.B.; Osborne, M.A. </w:t>
      </w:r>
      <w:r>
        <w:rPr>
          <w:b w:val="0"/>
          <w:i w:val="0"/>
          <w:sz w:val="18"/>
        </w:rPr>
        <w:t xml:space="preserve">The Future of Employment: How Susceptible Are Jobs to Computerisation? </w:t>
      </w:r>
      <w:r>
        <w:rPr>
          <w:b w:val="0"/>
          <w:i/>
          <w:sz w:val="18"/>
        </w:rPr>
        <w:t xml:space="preserve">Technol. Forecast. Soc. Change </w:t>
      </w:r>
      <w:r>
        <w:rPr>
          <w:b/>
          <w:i w:val="0"/>
          <w:sz w:val="18"/>
        </w:rPr>
        <w:t>2017</w:t>
      </w:r>
      <w:r>
        <w:rPr>
          <w:b w:val="0"/>
          <w:i w:val="0"/>
          <w:sz w:val="18"/>
        </w:rPr>
        <w:t xml:space="preserve">, </w:t>
      </w:r>
      <w:r>
        <w:rPr>
          <w:b w:val="0"/>
          <w:i/>
          <w:sz w:val="18"/>
        </w:rPr>
        <w:t>114</w:t>
      </w:r>
      <w:r>
        <w:rPr>
          <w:b w:val="0"/>
          <w:i w:val="0"/>
          <w:sz w:val="18"/>
        </w:rPr>
        <w:t>, 254–280.</w:t>
      </w:r>
      <w:r>
        <w:rPr>
          <w:b w:val="0"/>
          <w:i w:val="0"/>
          <w:sz w:val="18"/>
        </w:rPr>
        <w:t xml:space="preserve"> [CrossRef]</w:t>
      </w:r>
    </w:p>
    <w:p>
      <w:pPr>
        <w:pStyle w:val="MDPI32textnoindent"/>
        <w:spacing w:line="240" w:lineRule="auto" w:before="0" w:after="40"/>
        <w:ind w:left="425" w:hanging="425"/>
        <w:tabs>
          <w:tab w:val="left" w:pos="425"/>
        </w:tabs>
      </w:pPr>
      <w:bookmarkStart w:id="1007" w:name="_Ref_7"/>
      <w:r>
        <w:rPr>
          <w:b w:val="0"/>
          <w:sz w:val="18"/>
        </w:rPr>
        <w:t>7</w:t>
      </w:r>
      <w:bookmarkEnd w:id="1007"/>
      <w:r>
        <w:rPr>
          <w:sz w:val="18"/>
        </w:rPr>
        <w:t>.</w:t>
        <w:tab/>
      </w:r>
      <w:r>
        <w:rPr>
          <w:b w:val="0"/>
          <w:i w:val="0"/>
          <w:sz w:val="18"/>
        </w:rPr>
        <w:t xml:space="preserve">Acemoglu, D.; Restrepo, P. </w:t>
      </w:r>
      <w:r>
        <w:rPr>
          <w:b w:val="0"/>
          <w:i w:val="0"/>
          <w:sz w:val="18"/>
        </w:rPr>
        <w:t xml:space="preserve">The Race between Man and Machine: Implications of Technology for Growth, Factor Shares, and Employment. </w:t>
      </w:r>
      <w:r>
        <w:rPr>
          <w:b w:val="0"/>
          <w:i/>
          <w:sz w:val="18"/>
        </w:rPr>
        <w:t xml:space="preserve">Am. Econ. Rev. </w:t>
      </w:r>
      <w:r>
        <w:rPr>
          <w:b/>
          <w:i w:val="0"/>
          <w:sz w:val="18"/>
        </w:rPr>
        <w:t>2018</w:t>
      </w:r>
      <w:r>
        <w:rPr>
          <w:b w:val="0"/>
          <w:i w:val="0"/>
          <w:sz w:val="18"/>
        </w:rPr>
        <w:t xml:space="preserve">, </w:t>
      </w:r>
      <w:r>
        <w:rPr>
          <w:b w:val="0"/>
          <w:i/>
          <w:sz w:val="18"/>
        </w:rPr>
        <w:t>108</w:t>
      </w:r>
      <w:r>
        <w:rPr>
          <w:b w:val="0"/>
          <w:i w:val="0"/>
          <w:sz w:val="18"/>
        </w:rPr>
        <w:t>, 1488–1542.</w:t>
      </w:r>
      <w:r>
        <w:rPr>
          <w:b w:val="0"/>
          <w:i w:val="0"/>
          <w:sz w:val="18"/>
        </w:rPr>
        <w:t xml:space="preserve"> [CrossRef]</w:t>
      </w:r>
    </w:p>
    <w:p>
      <w:pPr>
        <w:pStyle w:val="MDPI32textnoindent"/>
        <w:spacing w:line="240" w:lineRule="auto" w:before="0" w:after="40"/>
        <w:ind w:left="425" w:hanging="425"/>
        <w:tabs>
          <w:tab w:val="left" w:pos="425"/>
        </w:tabs>
      </w:pPr>
      <w:bookmarkStart w:id="1008" w:name="_Ref_8"/>
      <w:r>
        <w:rPr>
          <w:b w:val="0"/>
          <w:sz w:val="18"/>
        </w:rPr>
        <w:t>8</w:t>
      </w:r>
      <w:bookmarkEnd w:id="1008"/>
      <w:r>
        <w:rPr>
          <w:sz w:val="18"/>
        </w:rPr>
        <w:t>.</w:t>
        <w:tab/>
      </w:r>
      <w:r>
        <w:rPr>
          <w:b w:val="0"/>
          <w:i w:val="0"/>
          <w:sz w:val="18"/>
        </w:rPr>
        <w:t xml:space="preserve">Acemoglu, D.; Restrepo, P. </w:t>
      </w:r>
      <w:r>
        <w:rPr>
          <w:b w:val="0"/>
          <w:i w:val="0"/>
          <w:sz w:val="18"/>
        </w:rPr>
        <w:t xml:space="preserve">Tasks, Automation, and the Rise in U.S. Wage Inequality. </w:t>
      </w:r>
      <w:r>
        <w:rPr>
          <w:b w:val="0"/>
          <w:i/>
          <w:sz w:val="18"/>
        </w:rPr>
        <w:t xml:space="preserve">Econometrica </w:t>
      </w:r>
      <w:r>
        <w:rPr>
          <w:b/>
          <w:i w:val="0"/>
          <w:sz w:val="18"/>
        </w:rPr>
        <w:t>2022</w:t>
      </w:r>
      <w:r>
        <w:rPr>
          <w:b w:val="0"/>
          <w:i w:val="0"/>
          <w:sz w:val="18"/>
        </w:rPr>
        <w:t xml:space="preserve">, </w:t>
      </w:r>
      <w:r>
        <w:rPr>
          <w:b w:val="0"/>
          <w:i/>
          <w:sz w:val="18"/>
        </w:rPr>
        <w:t>90</w:t>
      </w:r>
      <w:r>
        <w:rPr>
          <w:b w:val="0"/>
          <w:i w:val="0"/>
          <w:sz w:val="18"/>
        </w:rPr>
        <w:t>, 1973–2016.</w:t>
      </w:r>
      <w:r>
        <w:rPr>
          <w:b w:val="0"/>
          <w:i w:val="0"/>
          <w:sz w:val="18"/>
        </w:rPr>
        <w:t xml:space="preserve"> [CrossRef]</w:t>
      </w:r>
    </w:p>
    <w:p>
      <w:pPr>
        <w:pStyle w:val="MDPI32textnoindent"/>
        <w:spacing w:line="240" w:lineRule="auto" w:before="0" w:after="40"/>
        <w:ind w:left="425" w:hanging="425"/>
        <w:tabs>
          <w:tab w:val="left" w:pos="425"/>
        </w:tabs>
      </w:pPr>
      <w:bookmarkStart w:id="1009" w:name="_Ref_9"/>
      <w:r>
        <w:rPr>
          <w:b w:val="0"/>
          <w:sz w:val="18"/>
        </w:rPr>
        <w:t>9</w:t>
      </w:r>
      <w:bookmarkEnd w:id="1009"/>
      <w:r>
        <w:rPr>
          <w:sz w:val="18"/>
        </w:rPr>
        <w:t>.</w:t>
        <w:tab/>
      </w:r>
      <w:r>
        <w:rPr>
          <w:b w:val="0"/>
          <w:i w:val="0"/>
          <w:sz w:val="18"/>
        </w:rPr>
        <w:t xml:space="preserve">Autor, D.H. </w:t>
      </w:r>
      <w:r>
        <w:rPr>
          <w:b w:val="0"/>
          <w:i w:val="0"/>
          <w:sz w:val="18"/>
        </w:rPr>
        <w:t xml:space="preserve">Why Are There Still So Many Jobs? The History and Future of Workplace Automation. </w:t>
      </w:r>
      <w:r>
        <w:rPr>
          <w:b w:val="0"/>
          <w:i/>
          <w:sz w:val="18"/>
        </w:rPr>
        <w:t xml:space="preserve">J. Econ. Perspect. </w:t>
      </w:r>
      <w:r>
        <w:rPr>
          <w:b/>
          <w:i w:val="0"/>
          <w:sz w:val="18"/>
        </w:rPr>
        <w:t>2015</w:t>
      </w:r>
      <w:r>
        <w:rPr>
          <w:b w:val="0"/>
          <w:i w:val="0"/>
          <w:sz w:val="18"/>
        </w:rPr>
        <w:t xml:space="preserve">, </w:t>
      </w:r>
      <w:r>
        <w:rPr>
          <w:b w:val="0"/>
          <w:i/>
          <w:sz w:val="18"/>
        </w:rPr>
        <w:t>29</w:t>
      </w:r>
      <w:r>
        <w:rPr>
          <w:b w:val="0"/>
          <w:i w:val="0"/>
          <w:sz w:val="18"/>
        </w:rPr>
        <w:t>, 3–30.</w:t>
      </w:r>
      <w:r>
        <w:rPr>
          <w:b w:val="0"/>
          <w:i w:val="0"/>
          <w:sz w:val="18"/>
        </w:rPr>
        <w:t xml:space="preserve"> [CrossRef]</w:t>
      </w:r>
    </w:p>
    <w:p>
      <w:pPr>
        <w:pStyle w:val="MDPI32textnoindent"/>
        <w:spacing w:line="240" w:lineRule="auto" w:before="0" w:after="40"/>
        <w:ind w:left="425" w:hanging="425"/>
        <w:tabs>
          <w:tab w:val="left" w:pos="425"/>
        </w:tabs>
      </w:pPr>
      <w:bookmarkStart w:id="1010" w:name="_Ref_10"/>
      <w:r>
        <w:rPr>
          <w:b w:val="0"/>
          <w:sz w:val="18"/>
        </w:rPr>
        <w:t>10</w:t>
      </w:r>
      <w:bookmarkEnd w:id="1010"/>
      <w:r>
        <w:rPr>
          <w:sz w:val="18"/>
        </w:rPr>
        <w:t>.</w:t>
        <w:tab/>
      </w:r>
      <w:r>
        <w:rPr>
          <w:b w:val="0"/>
          <w:i w:val="0"/>
          <w:sz w:val="18"/>
        </w:rPr>
        <w:t xml:space="preserve">Acemoglu, D.; Restrepo, P. </w:t>
      </w:r>
      <w:r>
        <w:rPr>
          <w:b w:val="0"/>
          <w:i w:val="0"/>
          <w:sz w:val="18"/>
        </w:rPr>
        <w:t xml:space="preserve">Automation and New Tasks: How Technology Displaces and Reinstates Labor. </w:t>
      </w:r>
      <w:r>
        <w:rPr>
          <w:b w:val="0"/>
          <w:i/>
          <w:sz w:val="18"/>
        </w:rPr>
        <w:t xml:space="preserve">J. Econ. Perspect. </w:t>
      </w:r>
      <w:r>
        <w:rPr>
          <w:b/>
          <w:i w:val="0"/>
          <w:sz w:val="18"/>
        </w:rPr>
        <w:t>2019</w:t>
      </w:r>
      <w:r>
        <w:rPr>
          <w:b w:val="0"/>
          <w:i w:val="0"/>
          <w:sz w:val="18"/>
        </w:rPr>
        <w:t xml:space="preserve">, </w:t>
      </w:r>
      <w:r>
        <w:rPr>
          <w:b w:val="0"/>
          <w:i/>
          <w:sz w:val="18"/>
        </w:rPr>
        <w:t>33</w:t>
      </w:r>
      <w:r>
        <w:rPr>
          <w:b w:val="0"/>
          <w:i w:val="0"/>
          <w:sz w:val="18"/>
        </w:rPr>
        <w:t>, 3–30.</w:t>
      </w:r>
      <w:r>
        <w:rPr>
          <w:b w:val="0"/>
          <w:i w:val="0"/>
          <w:sz w:val="18"/>
        </w:rPr>
        <w:t xml:space="preserve"> [CrossRef]</w:t>
      </w:r>
    </w:p>
    <w:p>
      <w:pPr>
        <w:pStyle w:val="MDPI32textnoindent"/>
        <w:spacing w:line="240" w:lineRule="auto" w:before="0" w:after="40"/>
        <w:ind w:left="425" w:hanging="425"/>
        <w:tabs>
          <w:tab w:val="left" w:pos="425"/>
        </w:tabs>
      </w:pPr>
      <w:bookmarkStart w:id="1011" w:name="_Ref_11"/>
      <w:r>
        <w:rPr>
          <w:b w:val="0"/>
          <w:sz w:val="18"/>
        </w:rPr>
        <w:t>11</w:t>
      </w:r>
      <w:bookmarkEnd w:id="1011"/>
      <w:r>
        <w:rPr>
          <w:sz w:val="18"/>
        </w:rPr>
        <w:t>.</w:t>
        <w:tab/>
      </w:r>
      <w:r>
        <w:rPr>
          <w:b w:val="0"/>
          <w:i w:val="0"/>
          <w:sz w:val="18"/>
        </w:rPr>
        <w:t xml:space="preserve">Agrawal, A.; Gans, J.S.; Goldfarb, A. </w:t>
      </w:r>
      <w:r>
        <w:rPr>
          <w:b w:val="0"/>
          <w:i w:val="0"/>
          <w:sz w:val="18"/>
        </w:rPr>
        <w:t xml:space="preserve">Artificial Intelligence: The Ambiguous Labor Market Impact of Automating Prediction. </w:t>
      </w:r>
      <w:r>
        <w:rPr>
          <w:b w:val="0"/>
          <w:i/>
          <w:sz w:val="18"/>
        </w:rPr>
        <w:t xml:space="preserve">J. Econ. Perspect. </w:t>
      </w:r>
      <w:r>
        <w:rPr>
          <w:b/>
          <w:i w:val="0"/>
          <w:sz w:val="18"/>
        </w:rPr>
        <w:t>2019</w:t>
      </w:r>
      <w:r>
        <w:rPr>
          <w:b w:val="0"/>
          <w:i w:val="0"/>
          <w:sz w:val="18"/>
        </w:rPr>
        <w:t xml:space="preserve">, </w:t>
      </w:r>
      <w:r>
        <w:rPr>
          <w:b w:val="0"/>
          <w:i/>
          <w:sz w:val="18"/>
        </w:rPr>
        <w:t>33</w:t>
      </w:r>
      <w:r>
        <w:rPr>
          <w:b w:val="0"/>
          <w:i w:val="0"/>
          <w:sz w:val="18"/>
        </w:rPr>
        <w:t>, 31–50.</w:t>
      </w:r>
      <w:r>
        <w:rPr>
          <w:b w:val="0"/>
          <w:i w:val="0"/>
          <w:sz w:val="18"/>
        </w:rPr>
        <w:t xml:space="preserve"> [CrossRef]</w:t>
      </w:r>
    </w:p>
    <w:p>
      <w:pPr>
        <w:pStyle w:val="MDPI32textnoindent"/>
        <w:spacing w:line="240" w:lineRule="auto" w:before="0" w:after="40"/>
        <w:ind w:left="425" w:hanging="425"/>
        <w:tabs>
          <w:tab w:val="left" w:pos="425"/>
        </w:tabs>
      </w:pPr>
      <w:bookmarkStart w:id="1012" w:name="_Ref_12"/>
      <w:r>
        <w:rPr>
          <w:b w:val="0"/>
          <w:sz w:val="18"/>
        </w:rPr>
        <w:t>12</w:t>
      </w:r>
      <w:bookmarkEnd w:id="1012"/>
      <w:r>
        <w:rPr>
          <w:sz w:val="18"/>
        </w:rPr>
        <w:t>.</w:t>
        <w:tab/>
      </w:r>
      <w:r>
        <w:rPr>
          <w:b w:val="0"/>
          <w:i w:val="0"/>
          <w:sz w:val="18"/>
        </w:rPr>
        <w:t xml:space="preserve">Brynjolfsson, E.; Chandar, B.; Chen, R. </w:t>
      </w:r>
      <w:r>
        <w:rPr>
          <w:b w:val="0"/>
          <w:i/>
          <w:sz w:val="18"/>
        </w:rPr>
        <w:t xml:space="preserve">Canaries in the Coal Mine? Six Facts about the Recent Employment Effects of Artificial Intelligence; </w:t>
      </w:r>
      <w:r>
        <w:rPr>
          <w:b w:val="0"/>
          <w:i w:val="0"/>
          <w:sz w:val="18"/>
        </w:rPr>
        <w:t xml:space="preserve">Working Paper; </w:t>
      </w:r>
      <w:r>
        <w:rPr>
          <w:b w:val="0"/>
          <w:i w:val="0"/>
          <w:sz w:val="18"/>
        </w:rPr>
        <w:t>Stanford Digital Economy Lab, Stanford University: Stanford, CA, USA, 2025.</w:t>
      </w:r>
    </w:p>
    <w:p>
      <w:pPr>
        <w:pStyle w:val="MDPI32textnoindent"/>
        <w:spacing w:line="240" w:lineRule="auto" w:before="0" w:after="40"/>
        <w:ind w:left="425" w:hanging="425"/>
        <w:tabs>
          <w:tab w:val="left" w:pos="425"/>
        </w:tabs>
      </w:pPr>
      <w:bookmarkStart w:id="1013" w:name="_Ref_13"/>
      <w:r>
        <w:rPr>
          <w:b w:val="0"/>
          <w:sz w:val="18"/>
        </w:rPr>
        <w:t>13</w:t>
      </w:r>
      <w:bookmarkEnd w:id="1013"/>
      <w:r>
        <w:rPr>
          <w:sz w:val="18"/>
        </w:rPr>
        <w:t>.</w:t>
        <w:tab/>
      </w:r>
      <w:r>
        <w:rPr>
          <w:b w:val="0"/>
          <w:i w:val="0"/>
          <w:sz w:val="18"/>
        </w:rPr>
        <w:t xml:space="preserve">Humlum, A.; Vestergaard, E. </w:t>
      </w:r>
      <w:r>
        <w:rPr>
          <w:b w:val="0"/>
          <w:i/>
          <w:sz w:val="18"/>
        </w:rPr>
        <w:t xml:space="preserve">Large Language Models, Small Labor Market Effects; </w:t>
      </w:r>
      <w:r>
        <w:rPr>
          <w:b w:val="0"/>
          <w:i w:val="0"/>
          <w:sz w:val="18"/>
        </w:rPr>
        <w:t xml:space="preserve">NBER Working Paper 33777; </w:t>
      </w:r>
      <w:r>
        <w:rPr>
          <w:b w:val="0"/>
          <w:i w:val="0"/>
          <w:sz w:val="18"/>
        </w:rPr>
        <w:t>National Bureau of Economic Research: Cambridge, MA, USA, 2025.</w:t>
      </w:r>
    </w:p>
    <w:p>
      <w:pPr>
        <w:pStyle w:val="MDPI32textnoindent"/>
        <w:spacing w:line="240" w:lineRule="auto" w:before="0" w:after="40"/>
        <w:ind w:left="425" w:hanging="425"/>
        <w:tabs>
          <w:tab w:val="left" w:pos="425"/>
        </w:tabs>
      </w:pPr>
      <w:bookmarkStart w:id="1014" w:name="_Ref_14"/>
      <w:r>
        <w:rPr>
          <w:b w:val="0"/>
          <w:sz w:val="18"/>
        </w:rPr>
        <w:t>14</w:t>
      </w:r>
      <w:bookmarkEnd w:id="1014"/>
      <w:r>
        <w:rPr>
          <w:sz w:val="18"/>
        </w:rPr>
        <w:t>.</w:t>
        <w:tab/>
      </w:r>
      <w:r>
        <w:rPr>
          <w:b w:val="0"/>
          <w:i w:val="0"/>
          <w:sz w:val="18"/>
        </w:rPr>
        <w:t xml:space="preserve">Kahn, L.B. </w:t>
      </w:r>
      <w:r>
        <w:rPr>
          <w:b w:val="0"/>
          <w:i w:val="0"/>
          <w:sz w:val="18"/>
        </w:rPr>
        <w:t xml:space="preserve">The Long-Term Labor Market Consequences of Graduating from College in a Bad Economy. </w:t>
      </w:r>
      <w:r>
        <w:rPr>
          <w:b w:val="0"/>
          <w:i/>
          <w:sz w:val="18"/>
        </w:rPr>
        <w:t xml:space="preserve">Labour Econ. </w:t>
      </w:r>
      <w:r>
        <w:rPr>
          <w:b/>
          <w:i w:val="0"/>
          <w:sz w:val="18"/>
        </w:rPr>
        <w:t>2010</w:t>
      </w:r>
      <w:r>
        <w:rPr>
          <w:b w:val="0"/>
          <w:i w:val="0"/>
          <w:sz w:val="18"/>
        </w:rPr>
        <w:t xml:space="preserve">, </w:t>
      </w:r>
      <w:r>
        <w:rPr>
          <w:b w:val="0"/>
          <w:i/>
          <w:sz w:val="18"/>
        </w:rPr>
        <w:t>17</w:t>
      </w:r>
      <w:r>
        <w:rPr>
          <w:b w:val="0"/>
          <w:i w:val="0"/>
          <w:sz w:val="18"/>
        </w:rPr>
        <w:t>, 303–316.</w:t>
      </w:r>
      <w:r>
        <w:rPr>
          <w:b w:val="0"/>
          <w:i w:val="0"/>
          <w:sz w:val="18"/>
        </w:rPr>
        <w:t xml:space="preserve"> [CrossRef]</w:t>
      </w:r>
    </w:p>
    <w:p>
      <w:pPr>
        <w:pStyle w:val="MDPI32textnoindent"/>
        <w:spacing w:line="240" w:lineRule="auto" w:before="0" w:after="40"/>
        <w:ind w:left="425" w:hanging="425"/>
        <w:tabs>
          <w:tab w:val="left" w:pos="425"/>
        </w:tabs>
      </w:pPr>
      <w:bookmarkStart w:id="1015" w:name="_Ref_15"/>
      <w:r>
        <w:rPr>
          <w:b w:val="0"/>
          <w:sz w:val="18"/>
        </w:rPr>
        <w:t>15</w:t>
      </w:r>
      <w:bookmarkEnd w:id="1015"/>
      <w:r>
        <w:rPr>
          <w:sz w:val="18"/>
        </w:rPr>
        <w:t>.</w:t>
        <w:tab/>
      </w:r>
      <w:r>
        <w:rPr>
          <w:b w:val="0"/>
          <w:i w:val="0"/>
          <w:sz w:val="18"/>
        </w:rPr>
        <w:t xml:space="preserve">Schwandt, H.; von Wachter, T. </w:t>
      </w:r>
      <w:r>
        <w:rPr>
          <w:b w:val="0"/>
          <w:i w:val="0"/>
          <w:sz w:val="18"/>
        </w:rPr>
        <w:t xml:space="preserve">Unlucky Cohorts: Estimating the Long-Term Effects of Entering the Labor Market in a Recession in Large Cross-Sectional Data Sets. </w:t>
      </w:r>
      <w:r>
        <w:rPr>
          <w:b w:val="0"/>
          <w:i/>
          <w:sz w:val="18"/>
        </w:rPr>
        <w:t xml:space="preserve">J. Labor Econ. </w:t>
      </w:r>
      <w:r>
        <w:rPr>
          <w:b/>
          <w:i w:val="0"/>
          <w:sz w:val="18"/>
        </w:rPr>
        <w:t>2019</w:t>
      </w:r>
      <w:r>
        <w:rPr>
          <w:b w:val="0"/>
          <w:i w:val="0"/>
          <w:sz w:val="18"/>
        </w:rPr>
        <w:t xml:space="preserve">, </w:t>
      </w:r>
      <w:r>
        <w:rPr>
          <w:b w:val="0"/>
          <w:i/>
          <w:sz w:val="18"/>
        </w:rPr>
        <w:t>37</w:t>
      </w:r>
      <w:r>
        <w:rPr>
          <w:b w:val="0"/>
          <w:i w:val="0"/>
          <w:sz w:val="18"/>
        </w:rPr>
        <w:t>, S161–S198.</w:t>
      </w:r>
      <w:r>
        <w:rPr>
          <w:b w:val="0"/>
          <w:i w:val="0"/>
          <w:sz w:val="18"/>
        </w:rPr>
        <w:t xml:space="preserve"> [CrossRef]</w:t>
      </w:r>
    </w:p>
    <w:p>
      <w:pPr>
        <w:pStyle w:val="MDPI32textnoindent"/>
        <w:spacing w:line="240" w:lineRule="auto" w:before="0" w:after="40"/>
        <w:ind w:left="425" w:hanging="425"/>
        <w:tabs>
          <w:tab w:val="left" w:pos="425"/>
        </w:tabs>
      </w:pPr>
      <w:bookmarkStart w:id="1016" w:name="_Ref_16"/>
      <w:r>
        <w:rPr>
          <w:b w:val="0"/>
          <w:sz w:val="18"/>
        </w:rPr>
        <w:t>16</w:t>
      </w:r>
      <w:bookmarkEnd w:id="1016"/>
      <w:r>
        <w:rPr>
          <w:sz w:val="18"/>
        </w:rPr>
        <w:t>.</w:t>
        <w:tab/>
      </w:r>
      <w:r>
        <w:rPr>
          <w:b w:val="0"/>
          <w:i w:val="0"/>
          <w:sz w:val="18"/>
        </w:rPr>
        <w:t xml:space="preserve">von Wachter, T. </w:t>
      </w:r>
      <w:r>
        <w:rPr>
          <w:b w:val="0"/>
          <w:i w:val="0"/>
          <w:sz w:val="18"/>
        </w:rPr>
        <w:t xml:space="preserve">The Persistent Effects of Initial Labor Market Conditions for Young Adults and Their Sources. </w:t>
      </w:r>
      <w:r>
        <w:rPr>
          <w:b w:val="0"/>
          <w:i/>
          <w:sz w:val="18"/>
        </w:rPr>
        <w:t xml:space="preserve">J. Econ. Perspect. </w:t>
      </w:r>
      <w:r>
        <w:rPr>
          <w:b/>
          <w:i w:val="0"/>
          <w:sz w:val="18"/>
        </w:rPr>
        <w:t>2020</w:t>
      </w:r>
      <w:r>
        <w:rPr>
          <w:b w:val="0"/>
          <w:i w:val="0"/>
          <w:sz w:val="18"/>
        </w:rPr>
        <w:t xml:space="preserve">, </w:t>
      </w:r>
      <w:r>
        <w:rPr>
          <w:b w:val="0"/>
          <w:i/>
          <w:sz w:val="18"/>
        </w:rPr>
        <w:t>34</w:t>
      </w:r>
      <w:r>
        <w:rPr>
          <w:b w:val="0"/>
          <w:i w:val="0"/>
          <w:sz w:val="18"/>
        </w:rPr>
        <w:t>, 168–194.</w:t>
      </w:r>
      <w:r>
        <w:rPr>
          <w:b w:val="0"/>
          <w:i w:val="0"/>
          <w:sz w:val="18"/>
        </w:rPr>
        <w:t xml:space="preserve"> [CrossRef]</w:t>
      </w:r>
    </w:p>
    <w:p>
      <w:pPr>
        <w:pStyle w:val="MDPI32textnoindent"/>
        <w:spacing w:line="240" w:lineRule="auto" w:before="0" w:after="40"/>
        <w:ind w:left="425" w:hanging="425"/>
        <w:tabs>
          <w:tab w:val="left" w:pos="425"/>
        </w:tabs>
      </w:pPr>
      <w:bookmarkStart w:id="1017" w:name="_Ref_17"/>
      <w:r>
        <w:rPr>
          <w:b w:val="0"/>
          <w:sz w:val="18"/>
        </w:rPr>
        <w:t>17</w:t>
      </w:r>
      <w:bookmarkEnd w:id="1017"/>
      <w:r>
        <w:rPr>
          <w:sz w:val="18"/>
        </w:rPr>
        <w:t>.</w:t>
        <w:tab/>
      </w:r>
      <w:r>
        <w:rPr>
          <w:b w:val="0"/>
          <w:i w:val="0"/>
          <w:sz w:val="18"/>
        </w:rPr>
        <w:t xml:space="preserve">Oreopoulos, P.; von Wachter, T.; Heisz, A. </w:t>
      </w:r>
      <w:r>
        <w:rPr>
          <w:b w:val="0"/>
          <w:i w:val="0"/>
          <w:sz w:val="18"/>
        </w:rPr>
        <w:t xml:space="preserve">The Short- and Long-Term Career Effects of Graduating in a Recession. </w:t>
      </w:r>
      <w:r>
        <w:rPr>
          <w:b w:val="0"/>
          <w:i/>
          <w:sz w:val="18"/>
        </w:rPr>
        <w:t xml:space="preserve">Am. Econ. J. Appl. Econ. </w:t>
      </w:r>
      <w:r>
        <w:rPr>
          <w:b/>
          <w:i w:val="0"/>
          <w:sz w:val="18"/>
        </w:rPr>
        <w:t>2012</w:t>
      </w:r>
      <w:r>
        <w:rPr>
          <w:b w:val="0"/>
          <w:i w:val="0"/>
          <w:sz w:val="18"/>
        </w:rPr>
        <w:t xml:space="preserve">, </w:t>
      </w:r>
      <w:r>
        <w:rPr>
          <w:b w:val="0"/>
          <w:i/>
          <w:sz w:val="18"/>
        </w:rPr>
        <w:t>4</w:t>
      </w:r>
      <w:r>
        <w:rPr>
          <w:b w:val="0"/>
          <w:i w:val="0"/>
          <w:sz w:val="18"/>
        </w:rPr>
        <w:t>, 1–29.</w:t>
      </w:r>
      <w:r>
        <w:rPr>
          <w:b w:val="0"/>
          <w:i w:val="0"/>
          <w:sz w:val="18"/>
        </w:rPr>
        <w:t xml:space="preserve"> [CrossRef]</w:t>
      </w:r>
    </w:p>
    <w:p>
      <w:pPr>
        <w:pStyle w:val="MDPI32textnoindent"/>
        <w:spacing w:line="240" w:lineRule="auto" w:before="0" w:after="40"/>
        <w:ind w:left="425" w:hanging="425"/>
        <w:tabs>
          <w:tab w:val="left" w:pos="425"/>
        </w:tabs>
      </w:pPr>
      <w:bookmarkStart w:id="1018" w:name="_Ref_18"/>
      <w:r>
        <w:rPr>
          <w:b w:val="0"/>
          <w:sz w:val="18"/>
        </w:rPr>
        <w:t>18</w:t>
      </w:r>
      <w:bookmarkEnd w:id="1018"/>
      <w:r>
        <w:rPr>
          <w:sz w:val="18"/>
        </w:rPr>
        <w:t>.</w:t>
        <w:tab/>
      </w:r>
      <w:r>
        <w:rPr>
          <w:b w:val="0"/>
          <w:i w:val="0"/>
          <w:sz w:val="18"/>
        </w:rPr>
        <w:t xml:space="preserve">Bynner, J.; Parsons, S. </w:t>
      </w:r>
      <w:r>
        <w:rPr>
          <w:b w:val="0"/>
          <w:i w:val="0"/>
          <w:sz w:val="18"/>
        </w:rPr>
        <w:t xml:space="preserve">Social Exclusion and the Transition from School to Work: The Case of Young People Not in Education, Employment, or Training (NEET). </w:t>
      </w:r>
      <w:r>
        <w:rPr>
          <w:b w:val="0"/>
          <w:i/>
          <w:sz w:val="18"/>
        </w:rPr>
        <w:t xml:space="preserve">J. Vocat. Behav. </w:t>
      </w:r>
      <w:r>
        <w:rPr>
          <w:b/>
          <w:i w:val="0"/>
          <w:sz w:val="18"/>
        </w:rPr>
        <w:t>2002</w:t>
      </w:r>
      <w:r>
        <w:rPr>
          <w:b w:val="0"/>
          <w:i w:val="0"/>
          <w:sz w:val="18"/>
        </w:rPr>
        <w:t xml:space="preserve">, </w:t>
      </w:r>
      <w:r>
        <w:rPr>
          <w:b w:val="0"/>
          <w:i/>
          <w:sz w:val="18"/>
        </w:rPr>
        <w:t>60</w:t>
      </w:r>
      <w:r>
        <w:rPr>
          <w:b w:val="0"/>
          <w:i w:val="0"/>
          <w:sz w:val="18"/>
        </w:rPr>
        <w:t>, 289–309.</w:t>
      </w:r>
      <w:r>
        <w:rPr>
          <w:b w:val="0"/>
          <w:i w:val="0"/>
          <w:sz w:val="18"/>
        </w:rPr>
        <w:t xml:space="preserve"> [CrossRef]</w:t>
      </w:r>
    </w:p>
    <w:p>
      <w:pPr>
        <w:pStyle w:val="MDPI32textnoindent"/>
        <w:spacing w:line="240" w:lineRule="auto" w:before="0" w:after="40"/>
        <w:ind w:left="425" w:hanging="425"/>
        <w:tabs>
          <w:tab w:val="left" w:pos="425"/>
        </w:tabs>
      </w:pPr>
      <w:bookmarkStart w:id="1019" w:name="_Ref_19"/>
      <w:r>
        <w:rPr>
          <w:b w:val="0"/>
          <w:sz w:val="18"/>
        </w:rPr>
        <w:t>19</w:t>
      </w:r>
      <w:bookmarkEnd w:id="1019"/>
      <w:r>
        <w:rPr>
          <w:sz w:val="18"/>
        </w:rPr>
        <w:t>.</w:t>
        <w:tab/>
      </w:r>
      <w:r>
        <w:rPr>
          <w:b w:val="0"/>
          <w:i w:val="0"/>
          <w:sz w:val="18"/>
        </w:rPr>
        <w:t xml:space="preserve">Eurofound. </w:t>
      </w:r>
      <w:r>
        <w:rPr>
          <w:b w:val="0"/>
          <w:i/>
          <w:sz w:val="18"/>
        </w:rPr>
        <w:t xml:space="preserve">NEETs—Young People Not in Employment, Education or Training: Characteristics, Costs and Policy Responses in Europe; </w:t>
      </w:r>
      <w:r>
        <w:rPr>
          <w:b w:val="0"/>
          <w:i w:val="0"/>
          <w:sz w:val="18"/>
        </w:rPr>
        <w:t>Publications Office of the European Union: Luxembourg, Luxembourg, 2012.</w:t>
      </w:r>
    </w:p>
    <w:p>
      <w:pPr>
        <w:pStyle w:val="MDPI32textnoindent"/>
        <w:spacing w:line="240" w:lineRule="auto" w:before="0" w:after="40"/>
        <w:ind w:left="425" w:hanging="425"/>
        <w:tabs>
          <w:tab w:val="left" w:pos="425"/>
        </w:tabs>
      </w:pPr>
      <w:bookmarkStart w:id="1020" w:name="_Ref_20"/>
      <w:r>
        <w:rPr>
          <w:b w:val="0"/>
          <w:sz w:val="18"/>
        </w:rPr>
        <w:t>20</w:t>
      </w:r>
      <w:bookmarkEnd w:id="1020"/>
      <w:r>
        <w:rPr>
          <w:sz w:val="18"/>
        </w:rPr>
        <w:t>.</w:t>
        <w:tab/>
      </w:r>
      <w:r>
        <w:rPr>
          <w:b w:val="0"/>
          <w:i w:val="0"/>
          <w:sz w:val="18"/>
        </w:rPr>
        <w:t xml:space="preserve">Babina, T.; Fedyk, A.; He, A.; Hodson, J. </w:t>
      </w:r>
      <w:r>
        <w:rPr>
          <w:b w:val="0"/>
          <w:i w:val="0"/>
          <w:sz w:val="18"/>
        </w:rPr>
        <w:t xml:space="preserve">Artificial Intelligence, Firm Growth, and Product Innovation. </w:t>
      </w:r>
      <w:r>
        <w:rPr>
          <w:b w:val="0"/>
          <w:i/>
          <w:sz w:val="18"/>
        </w:rPr>
        <w:t xml:space="preserve">J. Financ. Econ. </w:t>
      </w:r>
      <w:r>
        <w:rPr>
          <w:b/>
          <w:i w:val="0"/>
          <w:sz w:val="18"/>
        </w:rPr>
        <w:t>2024</w:t>
      </w:r>
      <w:r>
        <w:rPr>
          <w:b w:val="0"/>
          <w:i w:val="0"/>
          <w:sz w:val="18"/>
        </w:rPr>
        <w:t xml:space="preserve">, </w:t>
      </w:r>
      <w:r>
        <w:rPr>
          <w:b w:val="0"/>
          <w:i/>
          <w:sz w:val="18"/>
        </w:rPr>
        <w:t>151</w:t>
      </w:r>
      <w:r>
        <w:rPr>
          <w:b w:val="0"/>
          <w:i w:val="0"/>
          <w:sz w:val="18"/>
        </w:rPr>
        <w:t>, 103745.</w:t>
      </w:r>
      <w:r>
        <w:rPr>
          <w:b w:val="0"/>
          <w:i w:val="0"/>
          <w:sz w:val="18"/>
        </w:rPr>
        <w:t xml:space="preserve"> [CrossRef]</w:t>
      </w:r>
    </w:p>
    <w:p>
      <w:pPr>
        <w:pStyle w:val="MDPI32textnoindent"/>
        <w:spacing w:line="240" w:lineRule="auto" w:before="0" w:after="40"/>
        <w:ind w:left="425" w:hanging="425"/>
        <w:tabs>
          <w:tab w:val="left" w:pos="425"/>
        </w:tabs>
      </w:pPr>
      <w:bookmarkStart w:id="1021" w:name="_Ref_21"/>
      <w:r>
        <w:rPr>
          <w:b w:val="0"/>
          <w:sz w:val="18"/>
        </w:rPr>
        <w:t>21</w:t>
      </w:r>
      <w:bookmarkEnd w:id="1021"/>
      <w:r>
        <w:rPr>
          <w:sz w:val="18"/>
        </w:rPr>
        <w:t>.</w:t>
        <w:tab/>
      </w:r>
      <w:r>
        <w:rPr>
          <w:b w:val="0"/>
          <w:i w:val="0"/>
          <w:sz w:val="18"/>
        </w:rPr>
        <w:t xml:space="preserve">Czarnitzki, D.; Fernández, G.P.; Rammer, C. </w:t>
      </w:r>
      <w:r>
        <w:rPr>
          <w:b w:val="0"/>
          <w:i w:val="0"/>
          <w:sz w:val="18"/>
        </w:rPr>
        <w:t xml:space="preserve">Artificial Intelligence and Firm-Level Productivity. </w:t>
      </w:r>
      <w:r>
        <w:rPr>
          <w:b w:val="0"/>
          <w:i/>
          <w:sz w:val="18"/>
        </w:rPr>
        <w:t xml:space="preserve">J. Econ. Behav. Organ. </w:t>
      </w:r>
      <w:r>
        <w:rPr>
          <w:b/>
          <w:i w:val="0"/>
          <w:sz w:val="18"/>
        </w:rPr>
        <w:t>2023</w:t>
      </w:r>
      <w:r>
        <w:rPr>
          <w:b w:val="0"/>
          <w:i w:val="0"/>
          <w:sz w:val="18"/>
        </w:rPr>
        <w:t xml:space="preserve">, </w:t>
      </w:r>
      <w:r>
        <w:rPr>
          <w:b w:val="0"/>
          <w:i/>
          <w:sz w:val="18"/>
        </w:rPr>
        <w:t>211</w:t>
      </w:r>
      <w:r>
        <w:rPr>
          <w:b w:val="0"/>
          <w:i w:val="0"/>
          <w:sz w:val="18"/>
        </w:rPr>
        <w:t>, 188–205.</w:t>
      </w:r>
      <w:r>
        <w:rPr>
          <w:b w:val="0"/>
          <w:i w:val="0"/>
          <w:sz w:val="18"/>
        </w:rPr>
        <w:t xml:space="preserve"> [CrossRef]</w:t>
      </w:r>
    </w:p>
    <w:p>
      <w:pPr>
        <w:pStyle w:val="MDPI32textnoindent"/>
        <w:spacing w:line="240" w:lineRule="auto" w:before="0" w:after="40"/>
        <w:ind w:left="425" w:hanging="425"/>
        <w:tabs>
          <w:tab w:val="left" w:pos="425"/>
        </w:tabs>
      </w:pPr>
      <w:bookmarkStart w:id="1022" w:name="_Ref_22"/>
      <w:r>
        <w:rPr>
          <w:b w:val="0"/>
          <w:sz w:val="18"/>
        </w:rPr>
        <w:t>22</w:t>
      </w:r>
      <w:bookmarkEnd w:id="1022"/>
      <w:r>
        <w:rPr>
          <w:sz w:val="18"/>
        </w:rPr>
        <w:t>.</w:t>
        <w:tab/>
      </w:r>
      <w:r>
        <w:rPr>
          <w:b w:val="0"/>
          <w:i w:val="0"/>
          <w:sz w:val="18"/>
        </w:rPr>
        <w:t xml:space="preserve">Acemoglu, D.; Autor, D.; Hazell, J.; Restrepo, P. </w:t>
      </w:r>
      <w:r>
        <w:rPr>
          <w:b w:val="0"/>
          <w:i w:val="0"/>
          <w:sz w:val="18"/>
        </w:rPr>
        <w:t xml:space="preserve">Artificial Intelligence and Jobs: Evidence from Online Vacancies. </w:t>
      </w:r>
      <w:r>
        <w:rPr>
          <w:b w:val="0"/>
          <w:i/>
          <w:sz w:val="18"/>
        </w:rPr>
        <w:t xml:space="preserve">J. Labor Econ. </w:t>
      </w:r>
      <w:r>
        <w:rPr>
          <w:b/>
          <w:i w:val="0"/>
          <w:sz w:val="18"/>
        </w:rPr>
        <w:t>2022</w:t>
      </w:r>
      <w:r>
        <w:rPr>
          <w:b w:val="0"/>
          <w:i w:val="0"/>
          <w:sz w:val="18"/>
        </w:rPr>
        <w:t xml:space="preserve">, </w:t>
      </w:r>
      <w:r>
        <w:rPr>
          <w:b w:val="0"/>
          <w:i/>
          <w:sz w:val="18"/>
        </w:rPr>
        <w:t>40</w:t>
      </w:r>
      <w:r>
        <w:rPr>
          <w:b w:val="0"/>
          <w:i w:val="0"/>
          <w:sz w:val="18"/>
        </w:rPr>
        <w:t>, S293–S340.</w:t>
      </w:r>
      <w:r>
        <w:rPr>
          <w:b w:val="0"/>
          <w:i w:val="0"/>
          <w:sz w:val="18"/>
        </w:rPr>
        <w:t xml:space="preserve"> [CrossRef]</w:t>
      </w:r>
    </w:p>
    <w:p>
      <w:pPr>
        <w:pStyle w:val="MDPI32textnoindent"/>
        <w:spacing w:line="240" w:lineRule="auto" w:before="0" w:after="40"/>
        <w:ind w:left="425" w:hanging="425"/>
        <w:tabs>
          <w:tab w:val="left" w:pos="425"/>
        </w:tabs>
      </w:pPr>
      <w:bookmarkStart w:id="1023" w:name="_Ref_23"/>
      <w:r>
        <w:rPr>
          <w:b w:val="0"/>
          <w:sz w:val="18"/>
        </w:rPr>
        <w:t>23</w:t>
      </w:r>
      <w:bookmarkEnd w:id="1023"/>
      <w:r>
        <w:rPr>
          <w:sz w:val="18"/>
        </w:rPr>
        <w:t>.</w:t>
        <w:tab/>
      </w:r>
      <w:r>
        <w:rPr>
          <w:b w:val="0"/>
          <w:i w:val="0"/>
          <w:sz w:val="18"/>
        </w:rPr>
        <w:t xml:space="preserve">Georgieff, A.; Hyee, R. </w:t>
      </w:r>
      <w:r>
        <w:rPr>
          <w:b w:val="0"/>
          <w:i w:val="0"/>
          <w:sz w:val="18"/>
        </w:rPr>
        <w:t xml:space="preserve">Artificial Intelligence and Employment: New Cross-Country Evidence. </w:t>
      </w:r>
      <w:r>
        <w:rPr>
          <w:b w:val="0"/>
          <w:i/>
          <w:sz w:val="18"/>
        </w:rPr>
        <w:t xml:space="preserve">Front. Artif. Intell. </w:t>
      </w:r>
      <w:r>
        <w:rPr>
          <w:b/>
          <w:i w:val="0"/>
          <w:sz w:val="18"/>
        </w:rPr>
        <w:t>2022</w:t>
      </w:r>
      <w:r>
        <w:rPr>
          <w:b w:val="0"/>
          <w:i w:val="0"/>
          <w:sz w:val="18"/>
        </w:rPr>
        <w:t xml:space="preserve">, </w:t>
      </w:r>
      <w:r>
        <w:rPr>
          <w:b w:val="0"/>
          <w:i/>
          <w:sz w:val="18"/>
        </w:rPr>
        <w:t>5</w:t>
      </w:r>
      <w:r>
        <w:rPr>
          <w:b w:val="0"/>
          <w:i w:val="0"/>
          <w:sz w:val="18"/>
        </w:rPr>
        <w:t>, 832736.</w:t>
      </w:r>
      <w:r>
        <w:rPr>
          <w:b w:val="0"/>
          <w:i w:val="0"/>
          <w:sz w:val="18"/>
        </w:rPr>
        <w:t xml:space="preserve"> [CrossRef]</w:t>
      </w:r>
    </w:p>
    <w:p>
      <w:pPr>
        <w:pStyle w:val="MDPI32textnoindent"/>
        <w:spacing w:line="240" w:lineRule="auto" w:before="0" w:after="40"/>
        <w:ind w:left="425" w:hanging="425"/>
        <w:tabs>
          <w:tab w:val="left" w:pos="425"/>
        </w:tabs>
      </w:pPr>
      <w:bookmarkStart w:id="1024" w:name="_Ref_24"/>
      <w:r>
        <w:rPr>
          <w:b w:val="0"/>
          <w:sz w:val="18"/>
        </w:rPr>
        <w:t>24</w:t>
      </w:r>
      <w:bookmarkEnd w:id="1024"/>
      <w:r>
        <w:rPr>
          <w:sz w:val="18"/>
        </w:rPr>
        <w:t>.</w:t>
        <w:tab/>
      </w:r>
      <w:r>
        <w:rPr>
          <w:b w:val="0"/>
          <w:i w:val="0"/>
          <w:sz w:val="18"/>
        </w:rPr>
        <w:t xml:space="preserve">Albanesi, S.; Dias da Silva, A.; Jimeno, J.F.; Lamo, A.; Wabitsch, A. </w:t>
      </w:r>
      <w:r>
        <w:rPr>
          <w:b w:val="0"/>
          <w:i/>
          <w:sz w:val="18"/>
        </w:rPr>
        <w:t xml:space="preserve">New Technologies and Jobs in Europe; </w:t>
      </w:r>
      <w:r>
        <w:rPr>
          <w:b w:val="0"/>
          <w:i w:val="0"/>
          <w:sz w:val="18"/>
        </w:rPr>
        <w:t xml:space="preserve">NBER Working Paper 31357; </w:t>
      </w:r>
      <w:r>
        <w:rPr>
          <w:b w:val="0"/>
          <w:i w:val="0"/>
          <w:sz w:val="18"/>
        </w:rPr>
        <w:t>National Bureau of Economic Research: Cambridge, MA, USA, 2023.</w:t>
      </w:r>
    </w:p>
    <w:p>
      <w:pPr>
        <w:pStyle w:val="MDPI32textnoindent"/>
        <w:spacing w:line="240" w:lineRule="auto" w:before="0" w:after="40"/>
        <w:ind w:left="425" w:hanging="425"/>
        <w:tabs>
          <w:tab w:val="left" w:pos="425"/>
        </w:tabs>
      </w:pPr>
      <w:bookmarkStart w:id="1025" w:name="_Ref_25"/>
      <w:r>
        <w:rPr>
          <w:b w:val="0"/>
          <w:sz w:val="18"/>
        </w:rPr>
        <w:t>25</w:t>
      </w:r>
      <w:bookmarkEnd w:id="1025"/>
      <w:r>
        <w:rPr>
          <w:sz w:val="18"/>
        </w:rPr>
        <w:t>.</w:t>
        <w:tab/>
      </w:r>
      <w:r>
        <w:rPr>
          <w:b w:val="0"/>
          <w:i w:val="0"/>
          <w:sz w:val="18"/>
        </w:rPr>
        <w:t xml:space="preserve">Bocean, C.G.; Popescu, L.; Simion, D.; Sperdea, N.M.; Puiu, C.; Marinescu, R.C.; Maria, E. </w:t>
      </w:r>
      <w:r>
        <w:rPr>
          <w:b w:val="0"/>
          <w:i w:val="0"/>
          <w:sz w:val="18"/>
        </w:rPr>
        <w:t xml:space="preserve">Generative AI in the Labor Force: Multivariate Modeling and Cluster Typologies of Participation and Cost Dynamics. </w:t>
      </w:r>
      <w:r>
        <w:rPr>
          <w:b w:val="0"/>
          <w:i/>
          <w:sz w:val="18"/>
        </w:rPr>
        <w:t xml:space="preserve">Systems </w:t>
      </w:r>
      <w:r>
        <w:rPr>
          <w:b/>
          <w:i w:val="0"/>
          <w:sz w:val="18"/>
        </w:rPr>
        <w:t>2026</w:t>
      </w:r>
      <w:r>
        <w:rPr>
          <w:b w:val="0"/>
          <w:i w:val="0"/>
          <w:sz w:val="18"/>
        </w:rPr>
        <w:t xml:space="preserve">, </w:t>
      </w:r>
      <w:r>
        <w:rPr>
          <w:b w:val="0"/>
          <w:i/>
          <w:sz w:val="18"/>
        </w:rPr>
        <w:t>14</w:t>
      </w:r>
      <w:r>
        <w:rPr>
          <w:b w:val="0"/>
          <w:i w:val="0"/>
          <w:sz w:val="18"/>
        </w:rPr>
        <w:t>, 815.</w:t>
      </w:r>
      <w:r>
        <w:rPr>
          <w:b w:val="0"/>
          <w:i w:val="0"/>
          <w:sz w:val="18"/>
        </w:rPr>
        <w:t xml:space="preserve"> [CrossRef]</w:t>
      </w:r>
    </w:p>
    <w:p>
      <w:pPr>
        <w:pStyle w:val="MDPI32textnoindent"/>
        <w:spacing w:line="240" w:lineRule="auto" w:before="0" w:after="40"/>
        <w:ind w:left="425" w:hanging="425"/>
        <w:tabs>
          <w:tab w:val="left" w:pos="425"/>
        </w:tabs>
      </w:pPr>
      <w:bookmarkStart w:id="1026" w:name="_Ref_26"/>
      <w:r>
        <w:rPr>
          <w:b w:val="0"/>
          <w:sz w:val="18"/>
        </w:rPr>
        <w:t>26</w:t>
      </w:r>
      <w:bookmarkEnd w:id="1026"/>
      <w:r>
        <w:rPr>
          <w:sz w:val="18"/>
        </w:rPr>
        <w:t>.</w:t>
        <w:tab/>
      </w:r>
      <w:r>
        <w:rPr>
          <w:b w:val="0"/>
          <w:i w:val="0"/>
          <w:sz w:val="18"/>
        </w:rPr>
        <w:t xml:space="preserve">Trist, E.L.; Bamforth, K.W. </w:t>
      </w:r>
      <w:r>
        <w:rPr>
          <w:b w:val="0"/>
          <w:i w:val="0"/>
          <w:sz w:val="18"/>
        </w:rPr>
        <w:t xml:space="preserve">Some Social and Psychological Consequences of the Longwall Method of Coal-Getting. </w:t>
      </w:r>
      <w:r>
        <w:rPr>
          <w:b w:val="0"/>
          <w:i/>
          <w:sz w:val="18"/>
        </w:rPr>
        <w:t xml:space="preserve">Hum. Relat. </w:t>
      </w:r>
      <w:r>
        <w:rPr>
          <w:b/>
          <w:i w:val="0"/>
          <w:sz w:val="18"/>
        </w:rPr>
        <w:t>1951</w:t>
      </w:r>
      <w:r>
        <w:rPr>
          <w:b w:val="0"/>
          <w:i w:val="0"/>
          <w:sz w:val="18"/>
        </w:rPr>
        <w:t xml:space="preserve">, </w:t>
      </w:r>
      <w:r>
        <w:rPr>
          <w:b w:val="0"/>
          <w:i/>
          <w:sz w:val="18"/>
        </w:rPr>
        <w:t>4</w:t>
      </w:r>
      <w:r>
        <w:rPr>
          <w:b w:val="0"/>
          <w:i w:val="0"/>
          <w:sz w:val="18"/>
        </w:rPr>
        <w:t>, 3–38.</w:t>
      </w:r>
      <w:r>
        <w:rPr>
          <w:b w:val="0"/>
          <w:i w:val="0"/>
          <w:sz w:val="18"/>
        </w:rPr>
        <w:t xml:space="preserve"> [CrossRef]</w:t>
      </w:r>
    </w:p>
    <w:p>
      <w:pPr>
        <w:pStyle w:val="MDPI32textnoindent"/>
        <w:spacing w:line="240" w:lineRule="auto" w:before="0" w:after="40"/>
        <w:ind w:left="425" w:hanging="425"/>
        <w:tabs>
          <w:tab w:val="left" w:pos="425"/>
        </w:tabs>
      </w:pPr>
      <w:bookmarkStart w:id="1027" w:name="_Ref_27"/>
      <w:r>
        <w:rPr>
          <w:b w:val="0"/>
          <w:sz w:val="18"/>
        </w:rPr>
        <w:t>27</w:t>
      </w:r>
      <w:bookmarkEnd w:id="1027"/>
      <w:r>
        <w:rPr>
          <w:sz w:val="18"/>
        </w:rPr>
        <w:t>.</w:t>
        <w:tab/>
      </w:r>
      <w:r>
        <w:rPr>
          <w:b w:val="0"/>
          <w:i w:val="0"/>
          <w:sz w:val="18"/>
        </w:rPr>
        <w:t xml:space="preserve">Emery, F.E.; Trist, E.L. </w:t>
      </w:r>
      <w:r>
        <w:rPr>
          <w:b w:val="0"/>
          <w:i w:val="0"/>
          <w:sz w:val="18"/>
        </w:rPr>
        <w:t xml:space="preserve">The Causal Texture of Organizational Environments. </w:t>
      </w:r>
      <w:r>
        <w:rPr>
          <w:b w:val="0"/>
          <w:i/>
          <w:sz w:val="18"/>
        </w:rPr>
        <w:t xml:space="preserve">Hum. Relat. </w:t>
      </w:r>
      <w:r>
        <w:rPr>
          <w:b/>
          <w:i w:val="0"/>
          <w:sz w:val="18"/>
        </w:rPr>
        <w:t>1965</w:t>
      </w:r>
      <w:r>
        <w:rPr>
          <w:b w:val="0"/>
          <w:i w:val="0"/>
          <w:sz w:val="18"/>
        </w:rPr>
        <w:t xml:space="preserve">, </w:t>
      </w:r>
      <w:r>
        <w:rPr>
          <w:b w:val="0"/>
          <w:i/>
          <w:sz w:val="18"/>
        </w:rPr>
        <w:t>18</w:t>
      </w:r>
      <w:r>
        <w:rPr>
          <w:b w:val="0"/>
          <w:i w:val="0"/>
          <w:sz w:val="18"/>
        </w:rPr>
        <w:t>, 21–32.</w:t>
      </w:r>
      <w:r>
        <w:rPr>
          <w:b w:val="0"/>
          <w:i w:val="0"/>
          <w:sz w:val="18"/>
        </w:rPr>
        <w:t xml:space="preserve"> [CrossRef]</w:t>
      </w:r>
    </w:p>
    <w:p>
      <w:pPr>
        <w:pStyle w:val="MDPI32textnoindent"/>
        <w:spacing w:line="240" w:lineRule="auto" w:before="0" w:after="40"/>
        <w:ind w:left="425" w:hanging="425"/>
        <w:tabs>
          <w:tab w:val="left" w:pos="425"/>
        </w:tabs>
      </w:pPr>
      <w:bookmarkStart w:id="1028" w:name="_Ref_28"/>
      <w:r>
        <w:rPr>
          <w:b w:val="0"/>
          <w:sz w:val="18"/>
        </w:rPr>
        <w:t>28</w:t>
      </w:r>
      <w:bookmarkEnd w:id="1028"/>
      <w:r>
        <w:rPr>
          <w:sz w:val="18"/>
        </w:rPr>
        <w:t>.</w:t>
        <w:tab/>
      </w:r>
      <w:r>
        <w:rPr>
          <w:b w:val="0"/>
          <w:i w:val="0"/>
          <w:sz w:val="18"/>
        </w:rPr>
        <w:t xml:space="preserve">Baxter, G.; Sommerville, I. </w:t>
      </w:r>
      <w:r>
        <w:rPr>
          <w:b w:val="0"/>
          <w:i w:val="0"/>
          <w:sz w:val="18"/>
        </w:rPr>
        <w:t xml:space="preserve">Socio-Technical Systems: From Design Methods to Systems Engineering. </w:t>
      </w:r>
      <w:r>
        <w:rPr>
          <w:b w:val="0"/>
          <w:i/>
          <w:sz w:val="18"/>
        </w:rPr>
        <w:t xml:space="preserve">Interact. Comput. </w:t>
      </w:r>
      <w:r>
        <w:rPr>
          <w:b/>
          <w:i w:val="0"/>
          <w:sz w:val="18"/>
        </w:rPr>
        <w:t>2011</w:t>
      </w:r>
      <w:r>
        <w:rPr>
          <w:b w:val="0"/>
          <w:i w:val="0"/>
          <w:sz w:val="18"/>
        </w:rPr>
        <w:t xml:space="preserve">, </w:t>
      </w:r>
      <w:r>
        <w:rPr>
          <w:b w:val="0"/>
          <w:i/>
          <w:sz w:val="18"/>
        </w:rPr>
        <w:t>23</w:t>
      </w:r>
      <w:r>
        <w:rPr>
          <w:b w:val="0"/>
          <w:i w:val="0"/>
          <w:sz w:val="18"/>
        </w:rPr>
        <w:t>, 4–17.</w:t>
      </w:r>
      <w:r>
        <w:rPr>
          <w:b w:val="0"/>
          <w:i w:val="0"/>
          <w:sz w:val="18"/>
        </w:rPr>
        <w:t xml:space="preserve"> [CrossRef]</w:t>
      </w:r>
    </w:p>
    <w:p>
      <w:pPr>
        <w:pStyle w:val="MDPI32textnoindent"/>
        <w:spacing w:line="240" w:lineRule="auto" w:before="0" w:after="40"/>
        <w:ind w:left="425" w:hanging="425"/>
        <w:tabs>
          <w:tab w:val="left" w:pos="425"/>
        </w:tabs>
      </w:pPr>
      <w:bookmarkStart w:id="1029" w:name="_Ref_29"/>
      <w:r>
        <w:rPr>
          <w:b w:val="0"/>
          <w:sz w:val="18"/>
        </w:rPr>
        <w:t>29</w:t>
      </w:r>
      <w:bookmarkEnd w:id="1029"/>
      <w:r>
        <w:rPr>
          <w:sz w:val="18"/>
        </w:rPr>
        <w:t>.</w:t>
        <w:tab/>
      </w:r>
      <w:r>
        <w:rPr>
          <w:b w:val="0"/>
          <w:i w:val="0"/>
          <w:sz w:val="18"/>
        </w:rPr>
        <w:t xml:space="preserve">Autor, D.H.; Levy, F.; Murnane, R.J. </w:t>
      </w:r>
      <w:r>
        <w:rPr>
          <w:b w:val="0"/>
          <w:i w:val="0"/>
          <w:sz w:val="18"/>
        </w:rPr>
        <w:t xml:space="preserve">The Skill Content of Recent Technological Change: An Empirical Exploration. </w:t>
      </w:r>
      <w:r>
        <w:rPr>
          <w:b w:val="0"/>
          <w:i/>
          <w:sz w:val="18"/>
        </w:rPr>
        <w:t xml:space="preserve">Q. J. Econ. </w:t>
      </w:r>
      <w:r>
        <w:rPr>
          <w:b/>
          <w:i w:val="0"/>
          <w:sz w:val="18"/>
        </w:rPr>
        <w:t>2003</w:t>
      </w:r>
      <w:r>
        <w:rPr>
          <w:b w:val="0"/>
          <w:i w:val="0"/>
          <w:sz w:val="18"/>
        </w:rPr>
        <w:t xml:space="preserve">, </w:t>
      </w:r>
      <w:r>
        <w:rPr>
          <w:b w:val="0"/>
          <w:i/>
          <w:sz w:val="18"/>
        </w:rPr>
        <w:t>118</w:t>
      </w:r>
      <w:r>
        <w:rPr>
          <w:b w:val="0"/>
          <w:i w:val="0"/>
          <w:sz w:val="18"/>
        </w:rPr>
        <w:t>, 1279–1333.</w:t>
      </w:r>
      <w:r>
        <w:rPr>
          <w:b w:val="0"/>
          <w:i w:val="0"/>
          <w:sz w:val="18"/>
        </w:rPr>
        <w:t xml:space="preserve"> [CrossRef]</w:t>
      </w:r>
    </w:p>
    <w:p>
      <w:pPr>
        <w:pStyle w:val="MDPI32textnoindent"/>
        <w:spacing w:line="240" w:lineRule="auto" w:before="0" w:after="40"/>
        <w:ind w:left="425" w:hanging="425"/>
        <w:tabs>
          <w:tab w:val="left" w:pos="425"/>
        </w:tabs>
      </w:pPr>
      <w:bookmarkStart w:id="1030" w:name="_Ref_30"/>
      <w:r>
        <w:rPr>
          <w:b w:val="0"/>
          <w:sz w:val="18"/>
        </w:rPr>
        <w:t>30</w:t>
      </w:r>
      <w:bookmarkEnd w:id="1030"/>
      <w:r>
        <w:rPr>
          <w:sz w:val="18"/>
        </w:rPr>
        <w:t>.</w:t>
        <w:tab/>
      </w:r>
      <w:r>
        <w:rPr>
          <w:b w:val="0"/>
          <w:i w:val="0"/>
          <w:sz w:val="18"/>
        </w:rPr>
        <w:t xml:space="preserve">Becker, G.S. </w:t>
      </w:r>
      <w:r>
        <w:rPr>
          <w:b w:val="0"/>
          <w:i/>
          <w:sz w:val="18"/>
        </w:rPr>
        <w:t>Human Capital: A Theoretical and Empirical Analysis, with Special Reference to Education</w:t>
      </w:r>
      <w:r>
        <w:rPr>
          <w:b w:val="0"/>
          <w:i w:val="0"/>
          <w:sz w:val="18"/>
        </w:rPr>
        <w:t xml:space="preserve">; </w:t>
      </w:r>
      <w:r>
        <w:rPr>
          <w:b w:val="0"/>
          <w:i w:val="0"/>
          <w:sz w:val="18"/>
        </w:rPr>
        <w:t>National Bureau of Economic Research: New York, NY, USA, 1964.</w:t>
      </w:r>
    </w:p>
    <w:p>
      <w:pPr>
        <w:pStyle w:val="MDPI32textnoindent"/>
        <w:spacing w:line="240" w:lineRule="auto" w:before="0" w:after="40"/>
        <w:ind w:left="425" w:hanging="425"/>
        <w:tabs>
          <w:tab w:val="left" w:pos="425"/>
        </w:tabs>
      </w:pPr>
      <w:bookmarkStart w:id="1031" w:name="_Ref_31"/>
      <w:r>
        <w:rPr>
          <w:b w:val="0"/>
          <w:sz w:val="18"/>
        </w:rPr>
        <w:t>31</w:t>
      </w:r>
      <w:bookmarkEnd w:id="1031"/>
      <w:r>
        <w:rPr>
          <w:sz w:val="18"/>
        </w:rPr>
        <w:t>.</w:t>
        <w:tab/>
      </w:r>
      <w:r>
        <w:rPr>
          <w:b w:val="0"/>
          <w:i w:val="0"/>
          <w:sz w:val="18"/>
        </w:rPr>
        <w:t xml:space="preserve">Deming, D.J.; Noray, K. </w:t>
      </w:r>
      <w:r>
        <w:rPr>
          <w:b w:val="0"/>
          <w:i w:val="0"/>
          <w:sz w:val="18"/>
        </w:rPr>
        <w:t xml:space="preserve">Earnings Dynamics, Changing Job Skills, and STEM Careers. </w:t>
      </w:r>
      <w:r>
        <w:rPr>
          <w:b w:val="0"/>
          <w:i/>
          <w:sz w:val="18"/>
        </w:rPr>
        <w:t xml:space="preserve">Q. J. Econ. </w:t>
      </w:r>
      <w:r>
        <w:rPr>
          <w:b/>
          <w:i w:val="0"/>
          <w:sz w:val="18"/>
        </w:rPr>
        <w:t>2020</w:t>
      </w:r>
      <w:r>
        <w:rPr>
          <w:b w:val="0"/>
          <w:i w:val="0"/>
          <w:sz w:val="18"/>
        </w:rPr>
        <w:t xml:space="preserve">, </w:t>
      </w:r>
      <w:r>
        <w:rPr>
          <w:b w:val="0"/>
          <w:i/>
          <w:sz w:val="18"/>
        </w:rPr>
        <w:t>135</w:t>
      </w:r>
      <w:r>
        <w:rPr>
          <w:b w:val="0"/>
          <w:i w:val="0"/>
          <w:sz w:val="18"/>
        </w:rPr>
        <w:t>, 1965–2005.</w:t>
      </w:r>
      <w:r>
        <w:rPr>
          <w:b w:val="0"/>
          <w:i w:val="0"/>
          <w:sz w:val="18"/>
        </w:rPr>
        <w:t xml:space="preserve"> [CrossRef]</w:t>
      </w:r>
    </w:p>
    <w:p>
      <w:pPr>
        <w:pStyle w:val="MDPI32textnoindent"/>
        <w:spacing w:line="240" w:lineRule="auto" w:before="0" w:after="40"/>
        <w:ind w:left="425" w:hanging="425"/>
        <w:tabs>
          <w:tab w:val="left" w:pos="425"/>
        </w:tabs>
      </w:pPr>
      <w:bookmarkStart w:id="1032" w:name="_Ref_32"/>
      <w:r>
        <w:rPr>
          <w:b w:val="0"/>
          <w:sz w:val="18"/>
        </w:rPr>
        <w:t>32</w:t>
      </w:r>
      <w:bookmarkEnd w:id="1032"/>
      <w:r>
        <w:rPr>
          <w:sz w:val="18"/>
        </w:rPr>
        <w:t>.</w:t>
        <w:tab/>
      </w:r>
      <w:r>
        <w:rPr>
          <w:b w:val="0"/>
          <w:i w:val="0"/>
          <w:sz w:val="18"/>
        </w:rPr>
        <w:t xml:space="preserve">von Bertalanffy, L. </w:t>
      </w:r>
      <w:r>
        <w:rPr>
          <w:b w:val="0"/>
          <w:i/>
          <w:sz w:val="18"/>
        </w:rPr>
        <w:t>General System Theory: Foundations, Development, Applications</w:t>
      </w:r>
      <w:r>
        <w:rPr>
          <w:b w:val="0"/>
          <w:i w:val="0"/>
          <w:sz w:val="18"/>
        </w:rPr>
        <w:t xml:space="preserve">; </w:t>
      </w:r>
      <w:r>
        <w:rPr>
          <w:b w:val="0"/>
          <w:i w:val="0"/>
          <w:sz w:val="18"/>
        </w:rPr>
        <w:t>George Braziller: New York, NY, USA, 1968.</w:t>
      </w:r>
    </w:p>
    <w:p>
      <w:pPr>
        <w:pStyle w:val="MDPI32textnoindent"/>
        <w:spacing w:line="240" w:lineRule="auto" w:before="0" w:after="40"/>
        <w:ind w:left="425" w:hanging="425"/>
        <w:tabs>
          <w:tab w:val="left" w:pos="425"/>
        </w:tabs>
      </w:pPr>
      <w:bookmarkStart w:id="1033" w:name="_Ref_33"/>
      <w:r>
        <w:rPr>
          <w:b w:val="0"/>
          <w:sz w:val="18"/>
        </w:rPr>
        <w:t>33</w:t>
      </w:r>
      <w:bookmarkEnd w:id="1033"/>
      <w:r>
        <w:rPr>
          <w:sz w:val="18"/>
        </w:rPr>
        <w:t>.</w:t>
        <w:tab/>
      </w:r>
      <w:r>
        <w:rPr>
          <w:b w:val="0"/>
          <w:i w:val="0"/>
          <w:sz w:val="18"/>
        </w:rPr>
        <w:t xml:space="preserve">Graetz, G.; Michaels, G. </w:t>
      </w:r>
      <w:r>
        <w:rPr>
          <w:b w:val="0"/>
          <w:i w:val="0"/>
          <w:sz w:val="18"/>
        </w:rPr>
        <w:t xml:space="preserve">Robots at Work. </w:t>
      </w:r>
      <w:r>
        <w:rPr>
          <w:b w:val="0"/>
          <w:i/>
          <w:sz w:val="18"/>
        </w:rPr>
        <w:t xml:space="preserve">Rev. Econ. Stat. </w:t>
      </w:r>
      <w:r>
        <w:rPr>
          <w:b/>
          <w:i w:val="0"/>
          <w:sz w:val="18"/>
        </w:rPr>
        <w:t>2018</w:t>
      </w:r>
      <w:r>
        <w:rPr>
          <w:b w:val="0"/>
          <w:i w:val="0"/>
          <w:sz w:val="18"/>
        </w:rPr>
        <w:t xml:space="preserve">, </w:t>
      </w:r>
      <w:r>
        <w:rPr>
          <w:b w:val="0"/>
          <w:i/>
          <w:sz w:val="18"/>
        </w:rPr>
        <w:t>100</w:t>
      </w:r>
      <w:r>
        <w:rPr>
          <w:b w:val="0"/>
          <w:i w:val="0"/>
          <w:sz w:val="18"/>
        </w:rPr>
        <w:t>, 753–768.</w:t>
      </w:r>
      <w:r>
        <w:rPr>
          <w:b w:val="0"/>
          <w:i w:val="0"/>
          <w:sz w:val="18"/>
        </w:rPr>
        <w:t xml:space="preserve"> [CrossRef]</w:t>
      </w:r>
    </w:p>
    <w:p>
      <w:pPr>
        <w:pStyle w:val="MDPI32textnoindent"/>
        <w:spacing w:line="240" w:lineRule="auto" w:before="0" w:after="40"/>
        <w:ind w:left="425" w:hanging="425"/>
        <w:tabs>
          <w:tab w:val="left" w:pos="425"/>
        </w:tabs>
      </w:pPr>
      <w:bookmarkStart w:id="1034" w:name="_Ref_34"/>
      <w:r>
        <w:rPr>
          <w:b w:val="0"/>
          <w:sz w:val="18"/>
        </w:rPr>
        <w:t>34</w:t>
      </w:r>
      <w:bookmarkEnd w:id="1034"/>
      <w:r>
        <w:rPr>
          <w:sz w:val="18"/>
        </w:rPr>
        <w:t>.</w:t>
        <w:tab/>
      </w:r>
      <w:r>
        <w:rPr>
          <w:b w:val="0"/>
          <w:i w:val="0"/>
          <w:sz w:val="18"/>
        </w:rPr>
        <w:t xml:space="preserve">Autor, D.; Chin, C.; Salomons, A.; Seegmiller, B. </w:t>
      </w:r>
      <w:r>
        <w:rPr>
          <w:b w:val="0"/>
          <w:i w:val="0"/>
          <w:sz w:val="18"/>
        </w:rPr>
        <w:t xml:space="preserve">New Frontiers: The Origins and Content of New Work, 1940–2018. </w:t>
      </w:r>
      <w:r>
        <w:rPr>
          <w:b w:val="0"/>
          <w:i/>
          <w:sz w:val="18"/>
        </w:rPr>
        <w:t xml:space="preserve">Q. J. Econ. </w:t>
      </w:r>
      <w:r>
        <w:rPr>
          <w:b/>
          <w:i w:val="0"/>
          <w:sz w:val="18"/>
        </w:rPr>
        <w:t>2024</w:t>
      </w:r>
      <w:r>
        <w:rPr>
          <w:b w:val="0"/>
          <w:i w:val="0"/>
          <w:sz w:val="18"/>
        </w:rPr>
        <w:t xml:space="preserve">, </w:t>
      </w:r>
      <w:r>
        <w:rPr>
          <w:b w:val="0"/>
          <w:i/>
          <w:sz w:val="18"/>
        </w:rPr>
        <w:t>139</w:t>
      </w:r>
      <w:r>
        <w:rPr>
          <w:b w:val="0"/>
          <w:i w:val="0"/>
          <w:sz w:val="18"/>
        </w:rPr>
        <w:t>, 1399–1465.</w:t>
      </w:r>
      <w:r>
        <w:rPr>
          <w:b w:val="0"/>
          <w:i w:val="0"/>
          <w:sz w:val="18"/>
        </w:rPr>
        <w:t xml:space="preserve"> [CrossRef]</w:t>
      </w:r>
    </w:p>
    <w:p>
      <w:pPr>
        <w:pStyle w:val="MDPI32textnoindent"/>
        <w:spacing w:line="240" w:lineRule="auto" w:before="0" w:after="40"/>
        <w:ind w:left="425" w:hanging="425"/>
        <w:tabs>
          <w:tab w:val="left" w:pos="425"/>
        </w:tabs>
      </w:pPr>
      <w:bookmarkStart w:id="1035" w:name="_Ref_35"/>
      <w:r>
        <w:rPr>
          <w:b w:val="0"/>
          <w:sz w:val="18"/>
        </w:rPr>
        <w:t>35</w:t>
      </w:r>
      <w:bookmarkEnd w:id="1035"/>
      <w:r>
        <w:rPr>
          <w:sz w:val="18"/>
        </w:rPr>
        <w:t>.</w:t>
        <w:tab/>
      </w:r>
      <w:r>
        <w:rPr>
          <w:b w:val="0"/>
          <w:i w:val="0"/>
          <w:sz w:val="18"/>
        </w:rPr>
        <w:t xml:space="preserve">Felten, E.; Raj, M.; Seamans, R. </w:t>
      </w:r>
      <w:r>
        <w:rPr>
          <w:b w:val="0"/>
          <w:i w:val="0"/>
          <w:sz w:val="18"/>
        </w:rPr>
        <w:t xml:space="preserve">Occupational, Industry, and Geographic Exposure to Artificial Intelligence: A Novel Dataset and Its Potential Uses. </w:t>
      </w:r>
      <w:r>
        <w:rPr>
          <w:b w:val="0"/>
          <w:i/>
          <w:sz w:val="18"/>
        </w:rPr>
        <w:t xml:space="preserve">Strateg. Manag. J. </w:t>
      </w:r>
      <w:r>
        <w:rPr>
          <w:b/>
          <w:i w:val="0"/>
          <w:sz w:val="18"/>
        </w:rPr>
        <w:t>2021</w:t>
      </w:r>
      <w:r>
        <w:rPr>
          <w:b w:val="0"/>
          <w:i w:val="0"/>
          <w:sz w:val="18"/>
        </w:rPr>
        <w:t xml:space="preserve">, </w:t>
      </w:r>
      <w:r>
        <w:rPr>
          <w:b w:val="0"/>
          <w:i/>
          <w:sz w:val="18"/>
        </w:rPr>
        <w:t>42</w:t>
      </w:r>
      <w:r>
        <w:rPr>
          <w:b w:val="0"/>
          <w:i w:val="0"/>
          <w:sz w:val="18"/>
        </w:rPr>
        <w:t>, 2195–2217.</w:t>
      </w:r>
      <w:r>
        <w:rPr>
          <w:b w:val="0"/>
          <w:i w:val="0"/>
          <w:sz w:val="18"/>
        </w:rPr>
        <w:t xml:space="preserve"> [CrossRef]</w:t>
      </w:r>
    </w:p>
    <w:p>
      <w:pPr>
        <w:pStyle w:val="MDPI32textnoindent"/>
        <w:spacing w:line="240" w:lineRule="auto" w:before="0" w:after="40"/>
        <w:ind w:left="425" w:hanging="425"/>
        <w:tabs>
          <w:tab w:val="left" w:pos="425"/>
        </w:tabs>
      </w:pPr>
      <w:bookmarkStart w:id="1036" w:name="_Ref_36"/>
      <w:r>
        <w:rPr>
          <w:b w:val="0"/>
          <w:sz w:val="18"/>
        </w:rPr>
        <w:t>36</w:t>
      </w:r>
      <w:bookmarkEnd w:id="1036"/>
      <w:r>
        <w:rPr>
          <w:sz w:val="18"/>
        </w:rPr>
        <w:t>.</w:t>
        <w:tab/>
      </w:r>
      <w:r>
        <w:rPr>
          <w:b w:val="0"/>
          <w:i w:val="0"/>
          <w:sz w:val="18"/>
        </w:rPr>
        <w:t xml:space="preserve">Gmyrek, P.; Berg, J.; Bescond, D. </w:t>
      </w:r>
      <w:r>
        <w:rPr>
          <w:b w:val="0"/>
          <w:i/>
          <w:sz w:val="18"/>
        </w:rPr>
        <w:t xml:space="preserve">Generative AI and Jobs: A Global Analysis of Potential Effects on Job Quantity and Quality; </w:t>
      </w:r>
      <w:r>
        <w:rPr>
          <w:b w:val="0"/>
          <w:i w:val="0"/>
          <w:sz w:val="18"/>
        </w:rPr>
        <w:t xml:space="preserve">ILO Working Paper 96; </w:t>
      </w:r>
      <w:r>
        <w:rPr>
          <w:b w:val="0"/>
          <w:i w:val="0"/>
          <w:sz w:val="18"/>
        </w:rPr>
        <w:t>International Labour Office: Geneva, Switzerland, 2023.</w:t>
      </w:r>
    </w:p>
    <w:p>
      <w:pPr>
        <w:pStyle w:val="MDPI32textnoindent"/>
        <w:spacing w:line="240" w:lineRule="auto" w:before="0" w:after="40"/>
        <w:ind w:left="425" w:hanging="425"/>
        <w:tabs>
          <w:tab w:val="left" w:pos="425"/>
        </w:tabs>
      </w:pPr>
      <w:bookmarkStart w:id="1037" w:name="_Ref_37"/>
      <w:r>
        <w:rPr>
          <w:b w:val="0"/>
          <w:sz w:val="18"/>
        </w:rPr>
        <w:t>37</w:t>
      </w:r>
      <w:bookmarkEnd w:id="1037"/>
      <w:r>
        <w:rPr>
          <w:sz w:val="18"/>
        </w:rPr>
        <w:t>.</w:t>
        <w:tab/>
      </w:r>
      <w:r>
        <w:rPr>
          <w:b w:val="0"/>
          <w:i w:val="0"/>
          <w:sz w:val="18"/>
        </w:rPr>
        <w:t xml:space="preserve">Gmyrek, P.; Berg, J.; Cazes, S.; Konopczynski, F.; Łobodzińska, A. </w:t>
      </w:r>
      <w:r>
        <w:rPr>
          <w:b w:val="0"/>
          <w:i/>
          <w:sz w:val="18"/>
        </w:rPr>
        <w:t xml:space="preserve">Generative AI and Jobs: A Refined Global Index of Occupational Exposure; </w:t>
      </w:r>
      <w:r>
        <w:rPr>
          <w:b w:val="0"/>
          <w:i w:val="0"/>
          <w:sz w:val="18"/>
        </w:rPr>
        <w:t xml:space="preserve">ILO Working Paper 140; </w:t>
      </w:r>
      <w:r>
        <w:rPr>
          <w:b w:val="0"/>
          <w:i w:val="0"/>
          <w:sz w:val="18"/>
        </w:rPr>
        <w:t>International Labour Office: Geneva, Switzerland, 2025.</w:t>
      </w:r>
    </w:p>
    <w:p>
      <w:pPr>
        <w:pStyle w:val="MDPI32textnoindent"/>
        <w:spacing w:line="240" w:lineRule="auto" w:before="0" w:after="40"/>
        <w:ind w:left="425" w:hanging="425"/>
        <w:tabs>
          <w:tab w:val="left" w:pos="425"/>
        </w:tabs>
      </w:pPr>
      <w:bookmarkStart w:id="1038" w:name="_Ref_38"/>
      <w:r>
        <w:rPr>
          <w:b w:val="0"/>
          <w:sz w:val="18"/>
        </w:rPr>
        <w:t>38</w:t>
      </w:r>
      <w:bookmarkEnd w:id="1038"/>
      <w:r>
        <w:rPr>
          <w:sz w:val="18"/>
        </w:rPr>
        <w:t>.</w:t>
        <w:tab/>
      </w:r>
      <w:r>
        <w:rPr>
          <w:b w:val="0"/>
          <w:i w:val="0"/>
          <w:sz w:val="18"/>
        </w:rPr>
        <w:t xml:space="preserve">Cazzaniga, M.; Jaumotte, F.; Li, L.; Melina, G.; Panton, A.J.; Pizzinelli, C.; Rockall, E.; Tavares, M.M. </w:t>
      </w:r>
      <w:r>
        <w:rPr>
          <w:b w:val="0"/>
          <w:i/>
          <w:sz w:val="18"/>
        </w:rPr>
        <w:t xml:space="preserve">Gen-AI: Artificial Intelligence and the Future of Work; </w:t>
      </w:r>
      <w:r>
        <w:rPr>
          <w:b w:val="0"/>
          <w:i w:val="0"/>
          <w:sz w:val="18"/>
        </w:rPr>
        <w:t xml:space="preserve">IMF Staff Discussion Note SDN/2024/001; </w:t>
      </w:r>
      <w:r>
        <w:rPr>
          <w:b w:val="0"/>
          <w:i w:val="0"/>
          <w:sz w:val="18"/>
        </w:rPr>
        <w:t>International Monetary Fund: Washington, DC, USA, 2024.</w:t>
      </w:r>
    </w:p>
    <w:p>
      <w:pPr>
        <w:pStyle w:val="MDPI32textnoindent"/>
        <w:spacing w:line="240" w:lineRule="auto" w:before="0" w:after="40"/>
        <w:ind w:left="425" w:hanging="425"/>
        <w:tabs>
          <w:tab w:val="left" w:pos="425"/>
        </w:tabs>
      </w:pPr>
      <w:bookmarkStart w:id="1039" w:name="_Ref_39"/>
      <w:r>
        <w:rPr>
          <w:b w:val="0"/>
          <w:sz w:val="18"/>
        </w:rPr>
        <w:t>39</w:t>
      </w:r>
      <w:bookmarkEnd w:id="1039"/>
      <w:r>
        <w:rPr>
          <w:sz w:val="18"/>
        </w:rPr>
        <w:t>.</w:t>
        <w:tab/>
      </w:r>
      <w:r>
        <w:rPr>
          <w:b w:val="0"/>
          <w:i w:val="0"/>
          <w:sz w:val="18"/>
        </w:rPr>
        <w:t xml:space="preserve">OECD. </w:t>
      </w:r>
      <w:r>
        <w:rPr>
          <w:b w:val="0"/>
          <w:i/>
          <w:sz w:val="18"/>
        </w:rPr>
        <w:t xml:space="preserve">OECD Employment Outlook 2023: Artificial Intelligence and the Labour Market; </w:t>
      </w:r>
      <w:r>
        <w:rPr>
          <w:b w:val="0"/>
          <w:i w:val="0"/>
          <w:sz w:val="18"/>
        </w:rPr>
        <w:t>OECD Publishing: Paris, France, 2023.</w:t>
      </w:r>
    </w:p>
    <w:p>
      <w:pPr>
        <w:pStyle w:val="MDPI32textnoindent"/>
        <w:spacing w:line="240" w:lineRule="auto" w:before="0" w:after="40"/>
        <w:ind w:left="425" w:hanging="425"/>
        <w:tabs>
          <w:tab w:val="left" w:pos="425"/>
        </w:tabs>
      </w:pPr>
      <w:bookmarkStart w:id="1040" w:name="_Ref_40"/>
      <w:r>
        <w:rPr>
          <w:b w:val="0"/>
          <w:sz w:val="18"/>
        </w:rPr>
        <w:t>40</w:t>
      </w:r>
      <w:bookmarkEnd w:id="1040"/>
      <w:r>
        <w:rPr>
          <w:sz w:val="18"/>
        </w:rPr>
        <w:t>.</w:t>
        <w:tab/>
      </w:r>
      <w:r>
        <w:rPr>
          <w:b w:val="0"/>
          <w:i w:val="0"/>
          <w:sz w:val="18"/>
        </w:rPr>
        <w:t xml:space="preserve">World Economic Forum. </w:t>
      </w:r>
      <w:r>
        <w:rPr>
          <w:b w:val="0"/>
          <w:i/>
          <w:sz w:val="18"/>
        </w:rPr>
        <w:t xml:space="preserve">The Future of Jobs Report 2025; </w:t>
      </w:r>
      <w:r>
        <w:rPr>
          <w:b w:val="0"/>
          <w:i w:val="0"/>
          <w:sz w:val="18"/>
        </w:rPr>
        <w:t>World Economic Forum: Geneva, Switzerland, 2025.</w:t>
      </w:r>
    </w:p>
    <w:p>
      <w:pPr>
        <w:pStyle w:val="MDPI32textnoindent"/>
        <w:spacing w:line="240" w:lineRule="auto" w:before="0" w:after="40"/>
        <w:ind w:left="425" w:hanging="425"/>
        <w:tabs>
          <w:tab w:val="left" w:pos="425"/>
        </w:tabs>
      </w:pPr>
      <w:bookmarkStart w:id="1041" w:name="_Ref_41"/>
      <w:r>
        <w:rPr>
          <w:b w:val="0"/>
          <w:sz w:val="18"/>
        </w:rPr>
        <w:t>41</w:t>
      </w:r>
      <w:bookmarkEnd w:id="1041"/>
      <w:r>
        <w:rPr>
          <w:sz w:val="18"/>
        </w:rPr>
        <w:t>.</w:t>
        <w:tab/>
      </w:r>
      <w:r>
        <w:rPr>
          <w:b w:val="0"/>
          <w:i w:val="0"/>
          <w:sz w:val="18"/>
        </w:rPr>
        <w:t xml:space="preserve">Dell’Acqua, F.; McFowland, E., III; Mollick, E.R.; Lifshitz-Assaf, H.; Kellogg, K.C.; Rajendran, S.; Krayer, L.; Candelon, F.; Lakhani, K.R. </w:t>
      </w:r>
      <w:r>
        <w:rPr>
          <w:b w:val="0"/>
          <w:i w:val="0"/>
          <w:sz w:val="18"/>
        </w:rPr>
        <w:t xml:space="preserve">Navigating the Jagged Technological Frontier: Field Experimental Evidence of the Effects of Artificial Intelligence on Knowledge Worker Productivity and Quality. </w:t>
      </w:r>
      <w:r>
        <w:rPr>
          <w:b w:val="0"/>
          <w:i/>
          <w:sz w:val="18"/>
        </w:rPr>
        <w:t xml:space="preserve">Organ. Sci. </w:t>
      </w:r>
      <w:r>
        <w:rPr>
          <w:b/>
          <w:i w:val="0"/>
          <w:sz w:val="18"/>
        </w:rPr>
        <w:t>2026</w:t>
      </w:r>
      <w:r>
        <w:rPr>
          <w:b w:val="0"/>
          <w:i w:val="0"/>
          <w:sz w:val="18"/>
        </w:rPr>
        <w:t xml:space="preserve">, </w:t>
      </w:r>
      <w:r>
        <w:rPr>
          <w:b w:val="0"/>
          <w:i w:val="0"/>
          <w:sz w:val="18"/>
        </w:rPr>
        <w:t>in press.</w:t>
      </w:r>
      <w:r>
        <w:rPr>
          <w:b w:val="0"/>
          <w:i w:val="0"/>
          <w:sz w:val="18"/>
        </w:rPr>
        <w:t xml:space="preserve"> [CrossRef]</w:t>
      </w:r>
    </w:p>
    <w:p>
      <w:pPr>
        <w:pStyle w:val="MDPI32textnoindent"/>
        <w:spacing w:line="240" w:lineRule="auto" w:before="0" w:after="40"/>
        <w:ind w:left="425" w:hanging="425"/>
        <w:tabs>
          <w:tab w:val="left" w:pos="425"/>
        </w:tabs>
      </w:pPr>
      <w:bookmarkStart w:id="1042" w:name="_Ref_42"/>
      <w:r>
        <w:rPr>
          <w:b w:val="0"/>
          <w:sz w:val="18"/>
        </w:rPr>
        <w:t>42</w:t>
      </w:r>
      <w:bookmarkEnd w:id="1042"/>
      <w:r>
        <w:rPr>
          <w:sz w:val="18"/>
        </w:rPr>
        <w:t>.</w:t>
        <w:tab/>
      </w:r>
      <w:r>
        <w:rPr>
          <w:b w:val="0"/>
          <w:i w:val="0"/>
          <w:sz w:val="18"/>
        </w:rPr>
        <w:t xml:space="preserve">Cui, Z.K.; Demirer, M.; Jaffe, S.; Musolff, L.; Peng, S.; Salz, T. </w:t>
      </w:r>
      <w:r>
        <w:rPr>
          <w:b w:val="0"/>
          <w:i w:val="0"/>
          <w:sz w:val="18"/>
        </w:rPr>
        <w:t xml:space="preserve">The Effects of Generative AI on High-Skilled Work: Evidence from Three Field Experiments with Software Developers. </w:t>
      </w:r>
      <w:r>
        <w:rPr>
          <w:b w:val="0"/>
          <w:i/>
          <w:sz w:val="18"/>
        </w:rPr>
        <w:t xml:space="preserve">Manag. Sci. </w:t>
      </w:r>
      <w:r>
        <w:rPr>
          <w:b/>
          <w:i w:val="0"/>
          <w:sz w:val="18"/>
        </w:rPr>
        <w:t>2026</w:t>
      </w:r>
      <w:r>
        <w:rPr>
          <w:b w:val="0"/>
          <w:i w:val="0"/>
          <w:sz w:val="18"/>
        </w:rPr>
        <w:t xml:space="preserve">, </w:t>
      </w:r>
      <w:r>
        <w:rPr>
          <w:b w:val="0"/>
          <w:i w:val="0"/>
          <w:sz w:val="18"/>
        </w:rPr>
        <w:t>in press.</w:t>
      </w:r>
      <w:r>
        <w:rPr>
          <w:b w:val="0"/>
          <w:i w:val="0"/>
          <w:sz w:val="18"/>
        </w:rPr>
        <w:t xml:space="preserve"> [CrossRef]</w:t>
      </w:r>
    </w:p>
    <w:p>
      <w:pPr>
        <w:pStyle w:val="MDPI32textnoindent"/>
        <w:spacing w:line="240" w:lineRule="auto" w:before="0" w:after="40"/>
        <w:ind w:left="425" w:hanging="425"/>
        <w:tabs>
          <w:tab w:val="left" w:pos="425"/>
        </w:tabs>
      </w:pPr>
      <w:bookmarkStart w:id="1043" w:name="_Ref_43"/>
      <w:r>
        <w:rPr>
          <w:b w:val="0"/>
          <w:sz w:val="18"/>
        </w:rPr>
        <w:t>43</w:t>
      </w:r>
      <w:bookmarkEnd w:id="1043"/>
      <w:r>
        <w:rPr>
          <w:sz w:val="18"/>
        </w:rPr>
        <w:t>.</w:t>
        <w:tab/>
      </w:r>
      <w:r>
        <w:rPr>
          <w:b w:val="0"/>
          <w:i w:val="0"/>
          <w:sz w:val="18"/>
        </w:rPr>
        <w:t xml:space="preserve">Otis, N.G.; Clarke, R.; Delecourt, S.; Holtz, D.; Koning, R. </w:t>
      </w:r>
      <w:r>
        <w:rPr>
          <w:b w:val="0"/>
          <w:i w:val="0"/>
          <w:sz w:val="18"/>
        </w:rPr>
        <w:t xml:space="preserve">The Uneven Impact of Generative Artificial Intelligence on Entrepreneurial Performance: Evidence from a Field Experiment in Kenya. </w:t>
      </w:r>
      <w:r>
        <w:rPr>
          <w:b w:val="0"/>
          <w:i/>
          <w:sz w:val="18"/>
        </w:rPr>
        <w:t xml:space="preserve">Manag. Sci. </w:t>
      </w:r>
      <w:r>
        <w:rPr>
          <w:b/>
          <w:i w:val="0"/>
          <w:sz w:val="18"/>
        </w:rPr>
        <w:t>2026</w:t>
      </w:r>
      <w:r>
        <w:rPr>
          <w:b w:val="0"/>
          <w:i w:val="0"/>
          <w:sz w:val="18"/>
        </w:rPr>
        <w:t xml:space="preserve">, </w:t>
      </w:r>
      <w:r>
        <w:rPr>
          <w:b w:val="0"/>
          <w:i w:val="0"/>
          <w:sz w:val="18"/>
        </w:rPr>
        <w:t>in press.</w:t>
      </w:r>
      <w:r>
        <w:rPr>
          <w:b w:val="0"/>
          <w:i w:val="0"/>
          <w:sz w:val="18"/>
        </w:rPr>
        <w:t xml:space="preserve"> [CrossRef]</w:t>
      </w:r>
    </w:p>
    <w:p>
      <w:pPr>
        <w:pStyle w:val="MDPI32textnoindent"/>
        <w:spacing w:line="240" w:lineRule="auto" w:before="0" w:after="40"/>
        <w:ind w:left="425" w:hanging="425"/>
        <w:tabs>
          <w:tab w:val="left" w:pos="425"/>
        </w:tabs>
      </w:pPr>
      <w:bookmarkStart w:id="1044" w:name="_Ref_44"/>
      <w:r>
        <w:rPr>
          <w:b w:val="0"/>
          <w:sz w:val="18"/>
        </w:rPr>
        <w:t>44</w:t>
      </w:r>
      <w:bookmarkEnd w:id="1044"/>
      <w:r>
        <w:rPr>
          <w:sz w:val="18"/>
        </w:rPr>
        <w:t>.</w:t>
        <w:tab/>
      </w:r>
      <w:r>
        <w:rPr>
          <w:b w:val="0"/>
          <w:i w:val="0"/>
          <w:sz w:val="18"/>
        </w:rPr>
        <w:t xml:space="preserve">Hui, X.; Reshef, O.; Zhou, L. </w:t>
      </w:r>
      <w:r>
        <w:rPr>
          <w:b w:val="0"/>
          <w:i w:val="0"/>
          <w:sz w:val="18"/>
        </w:rPr>
        <w:t xml:space="preserve">The Short-Term Effects of Generative Artificial Intelligence on Employment: Evidence from an Online Labor Market. </w:t>
      </w:r>
      <w:r>
        <w:rPr>
          <w:b w:val="0"/>
          <w:i/>
          <w:sz w:val="18"/>
        </w:rPr>
        <w:t xml:space="preserve">Organ. Sci. </w:t>
      </w:r>
      <w:r>
        <w:rPr>
          <w:b/>
          <w:i w:val="0"/>
          <w:sz w:val="18"/>
        </w:rPr>
        <w:t>2024</w:t>
      </w:r>
      <w:r>
        <w:rPr>
          <w:b w:val="0"/>
          <w:i w:val="0"/>
          <w:sz w:val="18"/>
        </w:rPr>
        <w:t xml:space="preserve">, </w:t>
      </w:r>
      <w:r>
        <w:rPr>
          <w:b w:val="0"/>
          <w:i/>
          <w:sz w:val="18"/>
        </w:rPr>
        <w:t>35</w:t>
      </w:r>
      <w:r>
        <w:rPr>
          <w:b w:val="0"/>
          <w:i w:val="0"/>
          <w:sz w:val="18"/>
        </w:rPr>
        <w:t>, 1977–1989.</w:t>
      </w:r>
      <w:r>
        <w:rPr>
          <w:b w:val="0"/>
          <w:i w:val="0"/>
          <w:sz w:val="18"/>
        </w:rPr>
        <w:t xml:space="preserve"> [CrossRef]</w:t>
      </w:r>
    </w:p>
    <w:p>
      <w:pPr>
        <w:pStyle w:val="MDPI32textnoindent"/>
        <w:spacing w:line="240" w:lineRule="auto" w:before="0" w:after="40"/>
        <w:ind w:left="425" w:hanging="425"/>
        <w:tabs>
          <w:tab w:val="left" w:pos="425"/>
        </w:tabs>
      </w:pPr>
      <w:bookmarkStart w:id="1045" w:name="_Ref_45"/>
      <w:r>
        <w:rPr>
          <w:b w:val="0"/>
          <w:sz w:val="18"/>
        </w:rPr>
        <w:t>45</w:t>
      </w:r>
      <w:bookmarkEnd w:id="1045"/>
      <w:r>
        <w:rPr>
          <w:sz w:val="18"/>
        </w:rPr>
        <w:t>.</w:t>
        <w:tab/>
      </w:r>
      <w:r>
        <w:rPr>
          <w:b w:val="0"/>
          <w:i w:val="0"/>
          <w:sz w:val="18"/>
        </w:rPr>
        <w:t xml:space="preserve">Forsythe, E. </w:t>
      </w:r>
      <w:r>
        <w:rPr>
          <w:b w:val="0"/>
          <w:i w:val="0"/>
          <w:sz w:val="18"/>
        </w:rPr>
        <w:t xml:space="preserve">Why Don’t Firms Hire Young Workers during Recessions? </w:t>
      </w:r>
      <w:r>
        <w:rPr>
          <w:b w:val="0"/>
          <w:i/>
          <w:sz w:val="18"/>
        </w:rPr>
        <w:t xml:space="preserve">Econ. J. </w:t>
      </w:r>
      <w:r>
        <w:rPr>
          <w:b/>
          <w:i w:val="0"/>
          <w:sz w:val="18"/>
        </w:rPr>
        <w:t>2022</w:t>
      </w:r>
      <w:r>
        <w:rPr>
          <w:b w:val="0"/>
          <w:i w:val="0"/>
          <w:sz w:val="18"/>
        </w:rPr>
        <w:t xml:space="preserve">, </w:t>
      </w:r>
      <w:r>
        <w:rPr>
          <w:b w:val="0"/>
          <w:i/>
          <w:sz w:val="18"/>
        </w:rPr>
        <w:t>132</w:t>
      </w:r>
      <w:r>
        <w:rPr>
          <w:b w:val="0"/>
          <w:i w:val="0"/>
          <w:sz w:val="18"/>
        </w:rPr>
        <w:t>, 1765–1789.</w:t>
      </w:r>
      <w:r>
        <w:rPr>
          <w:b w:val="0"/>
          <w:i w:val="0"/>
          <w:sz w:val="18"/>
        </w:rPr>
        <w:t xml:space="preserve"> [CrossRef]</w:t>
      </w:r>
    </w:p>
    <w:p>
      <w:pPr>
        <w:pStyle w:val="MDPI32textnoindent"/>
        <w:spacing w:line="240" w:lineRule="auto" w:before="0" w:after="40"/>
        <w:ind w:left="425" w:hanging="425"/>
        <w:tabs>
          <w:tab w:val="left" w:pos="425"/>
        </w:tabs>
      </w:pPr>
      <w:bookmarkStart w:id="1046" w:name="_Ref_46"/>
      <w:r>
        <w:rPr>
          <w:b w:val="0"/>
          <w:sz w:val="18"/>
        </w:rPr>
        <w:t>46</w:t>
      </w:r>
      <w:bookmarkEnd w:id="1046"/>
      <w:r>
        <w:rPr>
          <w:sz w:val="18"/>
        </w:rPr>
        <w:t>.</w:t>
        <w:tab/>
      </w:r>
      <w:r>
        <w:rPr>
          <w:b w:val="0"/>
          <w:i w:val="0"/>
          <w:sz w:val="18"/>
        </w:rPr>
        <w:t xml:space="preserve">Bell, D.N.F.; Blanchflower, D.G. </w:t>
      </w:r>
      <w:r>
        <w:rPr>
          <w:b w:val="0"/>
          <w:i w:val="0"/>
          <w:sz w:val="18"/>
        </w:rPr>
        <w:t xml:space="preserve">Young People and the Great Recession. </w:t>
      </w:r>
      <w:r>
        <w:rPr>
          <w:b w:val="0"/>
          <w:i/>
          <w:sz w:val="18"/>
        </w:rPr>
        <w:t xml:space="preserve">Oxf. Rev. Econ. Policy </w:t>
      </w:r>
      <w:r>
        <w:rPr>
          <w:b/>
          <w:i w:val="0"/>
          <w:sz w:val="18"/>
        </w:rPr>
        <w:t>2011</w:t>
      </w:r>
      <w:r>
        <w:rPr>
          <w:b w:val="0"/>
          <w:i w:val="0"/>
          <w:sz w:val="18"/>
        </w:rPr>
        <w:t xml:space="preserve">, </w:t>
      </w:r>
      <w:r>
        <w:rPr>
          <w:b w:val="0"/>
          <w:i/>
          <w:sz w:val="18"/>
        </w:rPr>
        <w:t>27</w:t>
      </w:r>
      <w:r>
        <w:rPr>
          <w:b w:val="0"/>
          <w:i w:val="0"/>
          <w:sz w:val="18"/>
        </w:rPr>
        <w:t>, 241–267.</w:t>
      </w:r>
      <w:r>
        <w:rPr>
          <w:b w:val="0"/>
          <w:i w:val="0"/>
          <w:sz w:val="18"/>
        </w:rPr>
        <w:t xml:space="preserve"> [CrossRef]</w:t>
      </w:r>
    </w:p>
    <w:p>
      <w:pPr>
        <w:pStyle w:val="MDPI32textnoindent"/>
        <w:spacing w:line="240" w:lineRule="auto" w:before="0" w:after="40"/>
        <w:ind w:left="425" w:hanging="425"/>
        <w:tabs>
          <w:tab w:val="left" w:pos="425"/>
        </w:tabs>
      </w:pPr>
      <w:bookmarkStart w:id="1047" w:name="_Ref_47"/>
      <w:r>
        <w:rPr>
          <w:b w:val="0"/>
          <w:sz w:val="18"/>
        </w:rPr>
        <w:t>47</w:t>
      </w:r>
      <w:bookmarkEnd w:id="1047"/>
      <w:r>
        <w:rPr>
          <w:sz w:val="18"/>
        </w:rPr>
        <w:t>.</w:t>
        <w:tab/>
      </w:r>
      <w:r>
        <w:rPr>
          <w:b w:val="0"/>
          <w:i w:val="0"/>
          <w:sz w:val="18"/>
        </w:rPr>
        <w:t xml:space="preserve">Caliendo, M.; Schmidl, R. </w:t>
      </w:r>
      <w:r>
        <w:rPr>
          <w:b w:val="0"/>
          <w:i w:val="0"/>
          <w:sz w:val="18"/>
        </w:rPr>
        <w:t xml:space="preserve">Youth Unemployment and Active Labor Market Policies in Europe. </w:t>
      </w:r>
      <w:r>
        <w:rPr>
          <w:b w:val="0"/>
          <w:i/>
          <w:sz w:val="18"/>
        </w:rPr>
        <w:t xml:space="preserve">IZA J. Labor Policy </w:t>
      </w:r>
      <w:r>
        <w:rPr>
          <w:b/>
          <w:i w:val="0"/>
          <w:sz w:val="18"/>
        </w:rPr>
        <w:t>2016</w:t>
      </w:r>
      <w:r>
        <w:rPr>
          <w:b w:val="0"/>
          <w:i w:val="0"/>
          <w:sz w:val="18"/>
        </w:rPr>
        <w:t xml:space="preserve">, </w:t>
      </w:r>
      <w:r>
        <w:rPr>
          <w:b w:val="0"/>
          <w:i/>
          <w:sz w:val="18"/>
        </w:rPr>
        <w:t>5</w:t>
      </w:r>
      <w:r>
        <w:rPr>
          <w:b w:val="0"/>
          <w:i w:val="0"/>
          <w:sz w:val="18"/>
        </w:rPr>
        <w:t>, 1.</w:t>
      </w:r>
      <w:r>
        <w:rPr>
          <w:b w:val="0"/>
          <w:i w:val="0"/>
          <w:sz w:val="18"/>
        </w:rPr>
        <w:t xml:space="preserve"> [CrossRef]</w:t>
      </w:r>
    </w:p>
    <w:p>
      <w:pPr>
        <w:pStyle w:val="MDPI32textnoindent"/>
        <w:spacing w:line="240" w:lineRule="auto" w:before="0" w:after="40"/>
        <w:ind w:left="425" w:hanging="425"/>
        <w:tabs>
          <w:tab w:val="left" w:pos="425"/>
        </w:tabs>
      </w:pPr>
      <w:bookmarkStart w:id="1048" w:name="_Ref_48"/>
      <w:r>
        <w:rPr>
          <w:b w:val="0"/>
          <w:sz w:val="18"/>
        </w:rPr>
        <w:t>48</w:t>
      </w:r>
      <w:bookmarkEnd w:id="1048"/>
      <w:r>
        <w:rPr>
          <w:sz w:val="18"/>
        </w:rPr>
        <w:t>.</w:t>
        <w:tab/>
      </w:r>
      <w:r>
        <w:rPr>
          <w:b w:val="0"/>
          <w:i w:val="0"/>
          <w:sz w:val="18"/>
        </w:rPr>
        <w:t xml:space="preserve">De Grip, A.; Van Loo, J. </w:t>
      </w:r>
      <w:r>
        <w:rPr>
          <w:b w:val="0"/>
          <w:i w:val="0"/>
          <w:sz w:val="18"/>
        </w:rPr>
        <w:t xml:space="preserve">The Economics of Skills Obsolescence: A Review. </w:t>
      </w:r>
      <w:r>
        <w:rPr>
          <w:b w:val="0"/>
          <w:i w:val="0"/>
          <w:sz w:val="18"/>
        </w:rPr>
        <w:t xml:space="preserve">In </w:t>
      </w:r>
      <w:r>
        <w:rPr>
          <w:b w:val="0"/>
          <w:i/>
          <w:sz w:val="18"/>
        </w:rPr>
        <w:t>The Economics of Skills Obsolescence (Research in Labor Economics, Vol. 21)</w:t>
      </w:r>
      <w:r>
        <w:rPr>
          <w:b w:val="0"/>
          <w:i w:val="0"/>
          <w:sz w:val="18"/>
        </w:rPr>
        <w:t xml:space="preserve">; De Grip, A., Van Loo, J., Mayhew, K., Eds.; </w:t>
      </w:r>
      <w:r>
        <w:rPr>
          <w:b w:val="0"/>
          <w:i w:val="0"/>
          <w:sz w:val="18"/>
        </w:rPr>
        <w:t>JAI/Elsevier Science: Amsterdam, The Netherlands, 2002; pp. 1–26.</w:t>
      </w:r>
    </w:p>
    <w:p>
      <w:pPr>
        <w:pStyle w:val="MDPI32textnoindent"/>
        <w:spacing w:line="240" w:lineRule="auto" w:before="0" w:after="40"/>
        <w:ind w:left="425" w:hanging="425"/>
        <w:tabs>
          <w:tab w:val="left" w:pos="425"/>
        </w:tabs>
      </w:pPr>
      <w:bookmarkStart w:id="1049" w:name="_Ref_49"/>
      <w:r>
        <w:rPr>
          <w:b w:val="0"/>
          <w:sz w:val="18"/>
        </w:rPr>
        <w:t>49</w:t>
      </w:r>
      <w:bookmarkEnd w:id="1049"/>
      <w:r>
        <w:rPr>
          <w:sz w:val="18"/>
        </w:rPr>
        <w:t>.</w:t>
        <w:tab/>
      </w:r>
      <w:r>
        <w:rPr>
          <w:b w:val="0"/>
          <w:i w:val="0"/>
          <w:sz w:val="18"/>
        </w:rPr>
        <w:t xml:space="preserve">Bresnahan, T.F.; Trajtenberg, M. </w:t>
      </w:r>
      <w:r>
        <w:rPr>
          <w:b w:val="0"/>
          <w:i w:val="0"/>
          <w:sz w:val="18"/>
        </w:rPr>
        <w:t xml:space="preserve">General Purpose Technologies 'Engines of Growth'? </w:t>
      </w:r>
      <w:r>
        <w:rPr>
          <w:b w:val="0"/>
          <w:i/>
          <w:sz w:val="18"/>
        </w:rPr>
        <w:t xml:space="preserve">J. Econom. </w:t>
      </w:r>
      <w:r>
        <w:rPr>
          <w:b/>
          <w:i w:val="0"/>
          <w:sz w:val="18"/>
        </w:rPr>
        <w:t>1995</w:t>
      </w:r>
      <w:r>
        <w:rPr>
          <w:b w:val="0"/>
          <w:i w:val="0"/>
          <w:sz w:val="18"/>
        </w:rPr>
        <w:t xml:space="preserve">, </w:t>
      </w:r>
      <w:r>
        <w:rPr>
          <w:b w:val="0"/>
          <w:i/>
          <w:sz w:val="18"/>
        </w:rPr>
        <w:t>65</w:t>
      </w:r>
      <w:r>
        <w:rPr>
          <w:b w:val="0"/>
          <w:i w:val="0"/>
          <w:sz w:val="18"/>
        </w:rPr>
        <w:t>, 83–108.</w:t>
      </w:r>
      <w:r>
        <w:rPr>
          <w:b w:val="0"/>
          <w:i w:val="0"/>
          <w:sz w:val="18"/>
        </w:rPr>
        <w:t xml:space="preserve"> [CrossRef]</w:t>
      </w:r>
    </w:p>
    <w:p>
      <w:pPr>
        <w:pStyle w:val="MDPI32textnoindent"/>
        <w:spacing w:line="240" w:lineRule="auto" w:before="0" w:after="40"/>
        <w:ind w:left="425" w:hanging="425"/>
        <w:tabs>
          <w:tab w:val="left" w:pos="425"/>
        </w:tabs>
      </w:pPr>
      <w:bookmarkStart w:id="1050" w:name="_Ref_50"/>
      <w:r>
        <w:rPr>
          <w:b w:val="0"/>
          <w:sz w:val="18"/>
        </w:rPr>
        <w:t>50</w:t>
      </w:r>
      <w:bookmarkEnd w:id="1050"/>
      <w:r>
        <w:rPr>
          <w:sz w:val="18"/>
        </w:rPr>
        <w:t>.</w:t>
        <w:tab/>
      </w:r>
      <w:r>
        <w:rPr>
          <w:b w:val="0"/>
          <w:i w:val="0"/>
          <w:sz w:val="18"/>
        </w:rPr>
        <w:t xml:space="preserve">Cockburn, I.M.; Henderson, R.; Stern, S. </w:t>
      </w:r>
      <w:r>
        <w:rPr>
          <w:b w:val="0"/>
          <w:i w:val="0"/>
          <w:sz w:val="18"/>
        </w:rPr>
        <w:t xml:space="preserve">The Impact of Artificial Intelligence on Innovation: An Exploratory Analysis. </w:t>
      </w:r>
      <w:r>
        <w:rPr>
          <w:b w:val="0"/>
          <w:i w:val="0"/>
          <w:sz w:val="18"/>
        </w:rPr>
        <w:t xml:space="preserve">In </w:t>
      </w:r>
      <w:r>
        <w:rPr>
          <w:b w:val="0"/>
          <w:i/>
          <w:sz w:val="18"/>
        </w:rPr>
        <w:t>The Economics of Artificial Intelligence: An Agenda</w:t>
      </w:r>
      <w:r>
        <w:rPr>
          <w:b w:val="0"/>
          <w:i w:val="0"/>
          <w:sz w:val="18"/>
        </w:rPr>
        <w:t xml:space="preserve">; Agrawal, A., Gans, J., Goldfarb, A., Eds.; </w:t>
      </w:r>
      <w:r>
        <w:rPr>
          <w:b w:val="0"/>
          <w:i w:val="0"/>
          <w:sz w:val="18"/>
        </w:rPr>
        <w:t>University of Chicago Press: Chicago, IL, USA, 2019; pp. 115–146.</w:t>
      </w:r>
    </w:p>
    <w:p>
      <w:pPr>
        <w:pStyle w:val="MDPI32textnoindent"/>
        <w:spacing w:line="240" w:lineRule="auto" w:before="0" w:after="40"/>
        <w:ind w:left="425" w:hanging="425"/>
        <w:tabs>
          <w:tab w:val="left" w:pos="425"/>
        </w:tabs>
      </w:pPr>
      <w:bookmarkStart w:id="1051" w:name="_Ref_51"/>
      <w:r>
        <w:rPr>
          <w:b w:val="0"/>
          <w:sz w:val="18"/>
        </w:rPr>
        <w:t>51</w:t>
      </w:r>
      <w:bookmarkEnd w:id="1051"/>
      <w:r>
        <w:rPr>
          <w:sz w:val="18"/>
        </w:rPr>
        <w:t>.</w:t>
        <w:tab/>
      </w:r>
      <w:r>
        <w:rPr>
          <w:b w:val="0"/>
          <w:i w:val="0"/>
          <w:sz w:val="18"/>
        </w:rPr>
        <w:t xml:space="preserve">Brynjolfsson, E.; Rock, D.; Syverson, C. </w:t>
      </w:r>
      <w:r>
        <w:rPr>
          <w:b w:val="0"/>
          <w:i w:val="0"/>
          <w:sz w:val="18"/>
        </w:rPr>
        <w:t xml:space="preserve">The Productivity J-Curve: How Intangibles Complement General Purpose Technologies. </w:t>
      </w:r>
      <w:r>
        <w:rPr>
          <w:b w:val="0"/>
          <w:i/>
          <w:sz w:val="18"/>
        </w:rPr>
        <w:t xml:space="preserve">Am. Econ. J. Macroecon. </w:t>
      </w:r>
      <w:r>
        <w:rPr>
          <w:b/>
          <w:i w:val="0"/>
          <w:sz w:val="18"/>
        </w:rPr>
        <w:t>2021</w:t>
      </w:r>
      <w:r>
        <w:rPr>
          <w:b w:val="0"/>
          <w:i w:val="0"/>
          <w:sz w:val="18"/>
        </w:rPr>
        <w:t xml:space="preserve">, </w:t>
      </w:r>
      <w:r>
        <w:rPr>
          <w:b w:val="0"/>
          <w:i/>
          <w:sz w:val="18"/>
        </w:rPr>
        <w:t>13</w:t>
      </w:r>
      <w:r>
        <w:rPr>
          <w:b w:val="0"/>
          <w:i w:val="0"/>
          <w:sz w:val="18"/>
        </w:rPr>
        <w:t>, 333–372.</w:t>
      </w:r>
      <w:r>
        <w:rPr>
          <w:b w:val="0"/>
          <w:i w:val="0"/>
          <w:sz w:val="18"/>
        </w:rPr>
        <w:t xml:space="preserve"> [CrossRef]</w:t>
      </w:r>
    </w:p>
    <w:p>
      <w:pPr>
        <w:pStyle w:val="MDPI32textnoindent"/>
        <w:spacing w:line="240" w:lineRule="auto" w:before="0" w:after="40"/>
        <w:ind w:left="425" w:hanging="425"/>
        <w:tabs>
          <w:tab w:val="left" w:pos="425"/>
        </w:tabs>
      </w:pPr>
      <w:bookmarkStart w:id="1052" w:name="_Ref_52"/>
      <w:r>
        <w:rPr>
          <w:b w:val="0"/>
          <w:sz w:val="18"/>
        </w:rPr>
        <w:t>52</w:t>
      </w:r>
      <w:bookmarkEnd w:id="1052"/>
      <w:r>
        <w:rPr>
          <w:sz w:val="18"/>
        </w:rPr>
        <w:t>.</w:t>
        <w:tab/>
      </w:r>
      <w:r>
        <w:rPr>
          <w:b w:val="0"/>
          <w:i w:val="0"/>
          <w:sz w:val="18"/>
        </w:rPr>
        <w:t xml:space="preserve">Chan, C.K.Y.; Hu, W. </w:t>
      </w:r>
      <w:r>
        <w:rPr>
          <w:b w:val="0"/>
          <w:i w:val="0"/>
          <w:sz w:val="18"/>
        </w:rPr>
        <w:t xml:space="preserve">Students’ Voices on Generative AI: Perceptions, Benefits, and Challenges in Higher Education. </w:t>
      </w:r>
      <w:r>
        <w:rPr>
          <w:b w:val="0"/>
          <w:i/>
          <w:sz w:val="18"/>
        </w:rPr>
        <w:t xml:space="preserve">Int. J. Educ. Technol. High. Educ. </w:t>
      </w:r>
      <w:r>
        <w:rPr>
          <w:b/>
          <w:i w:val="0"/>
          <w:sz w:val="18"/>
        </w:rPr>
        <w:t>2023</w:t>
      </w:r>
      <w:r>
        <w:rPr>
          <w:b w:val="0"/>
          <w:i w:val="0"/>
          <w:sz w:val="18"/>
        </w:rPr>
        <w:t xml:space="preserve">, </w:t>
      </w:r>
      <w:r>
        <w:rPr>
          <w:b w:val="0"/>
          <w:i/>
          <w:sz w:val="18"/>
        </w:rPr>
        <w:t>20</w:t>
      </w:r>
      <w:r>
        <w:rPr>
          <w:b w:val="0"/>
          <w:i w:val="0"/>
          <w:sz w:val="18"/>
        </w:rPr>
        <w:t>, 43.</w:t>
      </w:r>
      <w:r>
        <w:rPr>
          <w:b w:val="0"/>
          <w:i w:val="0"/>
          <w:sz w:val="18"/>
        </w:rPr>
        <w:t xml:space="preserve"> [CrossRef]</w:t>
      </w:r>
    </w:p>
    <w:p>
      <w:pPr>
        <w:pStyle w:val="MDPI32textnoindent"/>
        <w:spacing w:line="240" w:lineRule="auto" w:before="0" w:after="40"/>
        <w:ind w:left="425" w:hanging="425"/>
        <w:tabs>
          <w:tab w:val="left" w:pos="425"/>
        </w:tabs>
      </w:pPr>
      <w:bookmarkStart w:id="1053" w:name="_Ref_53"/>
      <w:r>
        <w:rPr>
          <w:b w:val="0"/>
          <w:sz w:val="18"/>
        </w:rPr>
        <w:t>53</w:t>
      </w:r>
      <w:bookmarkEnd w:id="1053"/>
      <w:r>
        <w:rPr>
          <w:sz w:val="18"/>
        </w:rPr>
        <w:t>.</w:t>
        <w:tab/>
      </w:r>
      <w:r>
        <w:rPr>
          <w:b w:val="0"/>
          <w:i w:val="0"/>
          <w:sz w:val="18"/>
        </w:rPr>
        <w:t xml:space="preserve">Brougham, D.; Haar, J. </w:t>
      </w:r>
      <w:r>
        <w:rPr>
          <w:b w:val="0"/>
          <w:i w:val="0"/>
          <w:sz w:val="18"/>
        </w:rPr>
        <w:t xml:space="preserve">Smart Technology, Artificial Intelligence, Robotics, and Algorithms (STARA): Employees’ Perceptions of Our Future Workplace. </w:t>
      </w:r>
      <w:r>
        <w:rPr>
          <w:b w:val="0"/>
          <w:i/>
          <w:sz w:val="18"/>
        </w:rPr>
        <w:t xml:space="preserve">J. Manag. Organ. </w:t>
      </w:r>
      <w:r>
        <w:rPr>
          <w:b/>
          <w:i w:val="0"/>
          <w:sz w:val="18"/>
        </w:rPr>
        <w:t>2018</w:t>
      </w:r>
      <w:r>
        <w:rPr>
          <w:b w:val="0"/>
          <w:i w:val="0"/>
          <w:sz w:val="18"/>
        </w:rPr>
        <w:t xml:space="preserve">, </w:t>
      </w:r>
      <w:r>
        <w:rPr>
          <w:b w:val="0"/>
          <w:i/>
          <w:sz w:val="18"/>
        </w:rPr>
        <w:t>24</w:t>
      </w:r>
      <w:r>
        <w:rPr>
          <w:b w:val="0"/>
          <w:i w:val="0"/>
          <w:sz w:val="18"/>
        </w:rPr>
        <w:t>, 239–257.</w:t>
      </w:r>
      <w:r>
        <w:rPr>
          <w:b w:val="0"/>
          <w:i w:val="0"/>
          <w:sz w:val="18"/>
        </w:rPr>
        <w:t xml:space="preserve"> [CrossRef]</w:t>
      </w:r>
    </w:p>
    <w:p>
      <w:pPr>
        <w:pStyle w:val="MDPI32textnoindent"/>
        <w:spacing w:line="240" w:lineRule="auto" w:before="0" w:after="40"/>
        <w:ind w:left="425" w:hanging="425"/>
        <w:tabs>
          <w:tab w:val="left" w:pos="425"/>
        </w:tabs>
      </w:pPr>
      <w:bookmarkStart w:id="1054" w:name="_Ref_54"/>
      <w:r>
        <w:rPr>
          <w:b w:val="0"/>
          <w:sz w:val="18"/>
        </w:rPr>
        <w:t>54</w:t>
      </w:r>
      <w:bookmarkEnd w:id="1054"/>
      <w:r>
        <w:rPr>
          <w:sz w:val="18"/>
        </w:rPr>
        <w:t>.</w:t>
        <w:tab/>
      </w:r>
      <w:r>
        <w:rPr>
          <w:b w:val="0"/>
          <w:i w:val="0"/>
          <w:sz w:val="18"/>
        </w:rPr>
        <w:t xml:space="preserve">Kong, H.; Yuan, Y.; Baruch, Y.; Bu, N.; Jiang, X.; Wang, K. </w:t>
      </w:r>
      <w:r>
        <w:rPr>
          <w:b w:val="0"/>
          <w:i w:val="0"/>
          <w:sz w:val="18"/>
        </w:rPr>
        <w:t xml:space="preserve">Influences of Artificial Intelligence (AI) Awareness on Career Competency and Job Burnout. </w:t>
      </w:r>
      <w:r>
        <w:rPr>
          <w:b w:val="0"/>
          <w:i/>
          <w:sz w:val="18"/>
        </w:rPr>
        <w:t xml:space="preserve">Int. J. Contemp. Hosp. Manag. </w:t>
      </w:r>
      <w:r>
        <w:rPr>
          <w:b/>
          <w:i w:val="0"/>
          <w:sz w:val="18"/>
        </w:rPr>
        <w:t>2021</w:t>
      </w:r>
      <w:r>
        <w:rPr>
          <w:b w:val="0"/>
          <w:i w:val="0"/>
          <w:sz w:val="18"/>
        </w:rPr>
        <w:t xml:space="preserve">, </w:t>
      </w:r>
      <w:r>
        <w:rPr>
          <w:b w:val="0"/>
          <w:i/>
          <w:sz w:val="18"/>
        </w:rPr>
        <w:t>33</w:t>
      </w:r>
      <w:r>
        <w:rPr>
          <w:b w:val="0"/>
          <w:i w:val="0"/>
          <w:sz w:val="18"/>
        </w:rPr>
        <w:t>, 717–734.</w:t>
      </w:r>
      <w:r>
        <w:rPr>
          <w:b w:val="0"/>
          <w:i w:val="0"/>
          <w:sz w:val="18"/>
        </w:rPr>
        <w:t xml:space="preserve"> [CrossRef]</w:t>
      </w:r>
    </w:p>
    <w:p>
      <w:pPr>
        <w:pStyle w:val="MDPI32textnoindent"/>
        <w:spacing w:line="240" w:lineRule="auto" w:before="0" w:after="40"/>
        <w:ind w:left="425" w:hanging="425"/>
        <w:tabs>
          <w:tab w:val="left" w:pos="425"/>
        </w:tabs>
      </w:pPr>
      <w:bookmarkStart w:id="1055" w:name="_Ref_55"/>
      <w:r>
        <w:rPr>
          <w:b w:val="0"/>
          <w:sz w:val="18"/>
        </w:rPr>
        <w:t>55</w:t>
      </w:r>
      <w:bookmarkEnd w:id="1055"/>
      <w:r>
        <w:rPr>
          <w:sz w:val="18"/>
        </w:rPr>
        <w:t>.</w:t>
        <w:tab/>
      </w:r>
      <w:r>
        <w:rPr>
          <w:b w:val="0"/>
          <w:i w:val="0"/>
          <w:sz w:val="18"/>
        </w:rPr>
        <w:t xml:space="preserve">Vuorikari, R.; Kluzer, S.; Punie, Y. </w:t>
      </w:r>
      <w:r>
        <w:rPr>
          <w:b w:val="0"/>
          <w:i/>
          <w:sz w:val="18"/>
        </w:rPr>
        <w:t xml:space="preserve">DigComp 2.2: The Digital Competence Framework for Citizens; </w:t>
      </w:r>
      <w:r>
        <w:rPr>
          <w:b w:val="0"/>
          <w:i w:val="0"/>
          <w:sz w:val="18"/>
        </w:rPr>
        <w:t>Publications Office of the European Union: Luxembourg, Luxembourg, 2022.</w:t>
      </w:r>
    </w:p>
    <w:p>
      <w:pPr>
        <w:pStyle w:val="MDPI32textnoindent"/>
        <w:spacing w:line="240" w:lineRule="auto" w:before="0" w:after="40"/>
        <w:ind w:left="425" w:hanging="425"/>
        <w:tabs>
          <w:tab w:val="left" w:pos="425"/>
        </w:tabs>
      </w:pPr>
      <w:bookmarkStart w:id="1056" w:name="_Ref_56"/>
      <w:r>
        <w:rPr>
          <w:b w:val="0"/>
          <w:sz w:val="18"/>
        </w:rPr>
        <w:t>56</w:t>
      </w:r>
      <w:bookmarkEnd w:id="1056"/>
      <w:r>
        <w:rPr>
          <w:sz w:val="18"/>
        </w:rPr>
        <w:t>.</w:t>
        <w:tab/>
      </w:r>
      <w:r>
        <w:rPr>
          <w:b w:val="0"/>
          <w:i w:val="0"/>
          <w:sz w:val="18"/>
        </w:rPr>
        <w:t xml:space="preserve">van Deursen, A.J.A.M.; van Dijk, J.A.G.M. </w:t>
      </w:r>
      <w:r>
        <w:rPr>
          <w:b w:val="0"/>
          <w:i w:val="0"/>
          <w:sz w:val="18"/>
        </w:rPr>
        <w:t xml:space="preserve">The First-Level Digital Divide Shifts from Inequalities in Physical Access to Inequalities in Material Access. </w:t>
      </w:r>
      <w:r>
        <w:rPr>
          <w:b w:val="0"/>
          <w:i/>
          <w:sz w:val="18"/>
        </w:rPr>
        <w:t xml:space="preserve">New Media Soc. </w:t>
      </w:r>
      <w:r>
        <w:rPr>
          <w:b/>
          <w:i w:val="0"/>
          <w:sz w:val="18"/>
        </w:rPr>
        <w:t>2019</w:t>
      </w:r>
      <w:r>
        <w:rPr>
          <w:b w:val="0"/>
          <w:i w:val="0"/>
          <w:sz w:val="18"/>
        </w:rPr>
        <w:t xml:space="preserve">, </w:t>
      </w:r>
      <w:r>
        <w:rPr>
          <w:b w:val="0"/>
          <w:i/>
          <w:sz w:val="18"/>
        </w:rPr>
        <w:t>21</w:t>
      </w:r>
      <w:r>
        <w:rPr>
          <w:b w:val="0"/>
          <w:i w:val="0"/>
          <w:sz w:val="18"/>
        </w:rPr>
        <w:t>, 354–375.</w:t>
      </w:r>
      <w:r>
        <w:rPr>
          <w:b w:val="0"/>
          <w:i w:val="0"/>
          <w:sz w:val="18"/>
        </w:rPr>
        <w:t xml:space="preserve"> [CrossRef]</w:t>
      </w:r>
    </w:p>
    <w:p>
      <w:pPr>
        <w:pStyle w:val="MDPI32textnoindent"/>
        <w:spacing w:line="240" w:lineRule="auto" w:before="0" w:after="40"/>
        <w:ind w:left="425" w:hanging="425"/>
        <w:tabs>
          <w:tab w:val="left" w:pos="425"/>
        </w:tabs>
      </w:pPr>
      <w:bookmarkStart w:id="1057" w:name="_Ref_57"/>
      <w:r>
        <w:rPr>
          <w:b w:val="0"/>
          <w:sz w:val="18"/>
        </w:rPr>
        <w:t>57</w:t>
      </w:r>
      <w:bookmarkEnd w:id="1057"/>
      <w:r>
        <w:rPr>
          <w:sz w:val="18"/>
        </w:rPr>
        <w:t>.</w:t>
        <w:tab/>
      </w:r>
      <w:r>
        <w:rPr>
          <w:b w:val="0"/>
          <w:i w:val="0"/>
          <w:sz w:val="18"/>
        </w:rPr>
        <w:t xml:space="preserve">Geels, F.W. </w:t>
      </w:r>
      <w:r>
        <w:rPr>
          <w:b w:val="0"/>
          <w:i w:val="0"/>
          <w:sz w:val="18"/>
        </w:rPr>
        <w:t xml:space="preserve">From Sectoral Systems of Innovation to Socio-Technical Systems: Insights about Dynamics and Change from Sociology and Institutional Theory. </w:t>
      </w:r>
      <w:r>
        <w:rPr>
          <w:b w:val="0"/>
          <w:i/>
          <w:sz w:val="18"/>
        </w:rPr>
        <w:t xml:space="preserve">Res. Policy </w:t>
      </w:r>
      <w:r>
        <w:rPr>
          <w:b/>
          <w:i w:val="0"/>
          <w:sz w:val="18"/>
        </w:rPr>
        <w:t>2004</w:t>
      </w:r>
      <w:r>
        <w:rPr>
          <w:b w:val="0"/>
          <w:i w:val="0"/>
          <w:sz w:val="18"/>
        </w:rPr>
        <w:t xml:space="preserve">, </w:t>
      </w:r>
      <w:r>
        <w:rPr>
          <w:b w:val="0"/>
          <w:i/>
          <w:sz w:val="18"/>
        </w:rPr>
        <w:t>33</w:t>
      </w:r>
      <w:r>
        <w:rPr>
          <w:b w:val="0"/>
          <w:i w:val="0"/>
          <w:sz w:val="18"/>
        </w:rPr>
        <w:t>, 897–920.</w:t>
      </w:r>
      <w:r>
        <w:rPr>
          <w:b w:val="0"/>
          <w:i w:val="0"/>
          <w:sz w:val="18"/>
        </w:rPr>
        <w:t xml:space="preserve"> [CrossRef]</w:t>
      </w:r>
    </w:p>
    <w:p>
      <w:pPr>
        <w:pStyle w:val="MDPI32textnoindent"/>
        <w:spacing w:line="240" w:lineRule="auto" w:before="0" w:after="40"/>
        <w:ind w:left="425" w:hanging="425"/>
        <w:tabs>
          <w:tab w:val="left" w:pos="425"/>
        </w:tabs>
      </w:pPr>
      <w:bookmarkStart w:id="1058" w:name="_Ref_58"/>
      <w:r>
        <w:rPr>
          <w:b w:val="0"/>
          <w:sz w:val="18"/>
        </w:rPr>
        <w:t>58</w:t>
      </w:r>
      <w:bookmarkEnd w:id="1058"/>
      <w:r>
        <w:rPr>
          <w:sz w:val="18"/>
        </w:rPr>
        <w:t>.</w:t>
        <w:tab/>
      </w:r>
      <w:r>
        <w:rPr>
          <w:b w:val="0"/>
          <w:i w:val="0"/>
          <w:sz w:val="18"/>
        </w:rPr>
        <w:t xml:space="preserve">Holland, J.H. </w:t>
      </w:r>
      <w:r>
        <w:rPr>
          <w:b w:val="0"/>
          <w:i/>
          <w:sz w:val="18"/>
        </w:rPr>
        <w:t>Hidden Order: How Adaptation Builds Complexity</w:t>
      </w:r>
      <w:r>
        <w:rPr>
          <w:b w:val="0"/>
          <w:i w:val="0"/>
          <w:sz w:val="18"/>
        </w:rPr>
        <w:t xml:space="preserve">; </w:t>
      </w:r>
      <w:r>
        <w:rPr>
          <w:b w:val="0"/>
          <w:i w:val="0"/>
          <w:sz w:val="18"/>
        </w:rPr>
        <w:t>Addison-Wesley: Reading, MA, USA, 1995.</w:t>
      </w:r>
    </w:p>
    <w:p>
      <w:pPr>
        <w:pStyle w:val="MDPI32textnoindent"/>
        <w:spacing w:line="240" w:lineRule="auto" w:before="0" w:after="40"/>
        <w:ind w:left="425" w:hanging="425"/>
        <w:tabs>
          <w:tab w:val="left" w:pos="425"/>
        </w:tabs>
      </w:pPr>
      <w:bookmarkStart w:id="1059" w:name="_Ref_59"/>
      <w:r>
        <w:rPr>
          <w:b w:val="0"/>
          <w:sz w:val="18"/>
        </w:rPr>
        <w:t>59</w:t>
      </w:r>
      <w:bookmarkEnd w:id="1059"/>
      <w:r>
        <w:rPr>
          <w:sz w:val="18"/>
        </w:rPr>
        <w:t>.</w:t>
        <w:tab/>
      </w:r>
      <w:r>
        <w:rPr>
          <w:b w:val="0"/>
          <w:i w:val="0"/>
          <w:sz w:val="18"/>
        </w:rPr>
        <w:t xml:space="preserve">Barney, J. </w:t>
      </w:r>
      <w:r>
        <w:rPr>
          <w:b w:val="0"/>
          <w:i w:val="0"/>
          <w:sz w:val="18"/>
        </w:rPr>
        <w:t xml:space="preserve">Firm Resources and Sustained Competitive Advantage. </w:t>
      </w:r>
      <w:r>
        <w:rPr>
          <w:b w:val="0"/>
          <w:i/>
          <w:sz w:val="18"/>
        </w:rPr>
        <w:t xml:space="preserve">J. Manag. </w:t>
      </w:r>
      <w:r>
        <w:rPr>
          <w:b/>
          <w:i w:val="0"/>
          <w:sz w:val="18"/>
        </w:rPr>
        <w:t>1991</w:t>
      </w:r>
      <w:r>
        <w:rPr>
          <w:b w:val="0"/>
          <w:i w:val="0"/>
          <w:sz w:val="18"/>
        </w:rPr>
        <w:t xml:space="preserve">, </w:t>
      </w:r>
      <w:r>
        <w:rPr>
          <w:b w:val="0"/>
          <w:i/>
          <w:sz w:val="18"/>
        </w:rPr>
        <w:t>17</w:t>
      </w:r>
      <w:r>
        <w:rPr>
          <w:b w:val="0"/>
          <w:i w:val="0"/>
          <w:sz w:val="18"/>
        </w:rPr>
        <w:t>, 99–120.</w:t>
      </w:r>
      <w:r>
        <w:rPr>
          <w:b w:val="0"/>
          <w:i w:val="0"/>
          <w:sz w:val="18"/>
        </w:rPr>
        <w:t xml:space="preserve"> [CrossRef]</w:t>
      </w:r>
    </w:p>
    <w:p>
      <w:pPr>
        <w:pStyle w:val="MDPI32textnoindent"/>
        <w:spacing w:line="240" w:lineRule="auto" w:before="0" w:after="40"/>
        <w:ind w:left="425" w:hanging="425"/>
        <w:tabs>
          <w:tab w:val="left" w:pos="425"/>
        </w:tabs>
      </w:pPr>
      <w:bookmarkStart w:id="1060" w:name="_Ref_60"/>
      <w:r>
        <w:rPr>
          <w:b w:val="0"/>
          <w:sz w:val="18"/>
        </w:rPr>
        <w:t>60</w:t>
      </w:r>
      <w:bookmarkEnd w:id="1060"/>
      <w:r>
        <w:rPr>
          <w:sz w:val="18"/>
        </w:rPr>
        <w:t>.</w:t>
        <w:tab/>
      </w:r>
      <w:r>
        <w:rPr>
          <w:b w:val="0"/>
          <w:i w:val="0"/>
          <w:sz w:val="18"/>
        </w:rPr>
        <w:t xml:space="preserve">Teece, D.J.; Pisano, G.; Shuen, A. </w:t>
      </w:r>
      <w:r>
        <w:rPr>
          <w:b w:val="0"/>
          <w:i w:val="0"/>
          <w:sz w:val="18"/>
        </w:rPr>
        <w:t xml:space="preserve">Dynamic Capabilities and Strategic Management. </w:t>
      </w:r>
      <w:r>
        <w:rPr>
          <w:b w:val="0"/>
          <w:i/>
          <w:sz w:val="18"/>
        </w:rPr>
        <w:t xml:space="preserve">Strateg. Manag. J. </w:t>
      </w:r>
      <w:r>
        <w:rPr>
          <w:b/>
          <w:i w:val="0"/>
          <w:sz w:val="18"/>
        </w:rPr>
        <w:t>1997</w:t>
      </w:r>
      <w:r>
        <w:rPr>
          <w:b w:val="0"/>
          <w:i w:val="0"/>
          <w:sz w:val="18"/>
        </w:rPr>
        <w:t xml:space="preserve">, </w:t>
      </w:r>
      <w:r>
        <w:rPr>
          <w:b w:val="0"/>
          <w:i/>
          <w:sz w:val="18"/>
        </w:rPr>
        <w:t>18</w:t>
      </w:r>
      <w:r>
        <w:rPr>
          <w:b w:val="0"/>
          <w:i w:val="0"/>
          <w:sz w:val="18"/>
        </w:rPr>
        <w:t>, 509–533.</w:t>
      </w:r>
      <w:r>
        <w:rPr>
          <w:b w:val="0"/>
          <w:i w:val="0"/>
          <w:sz w:val="18"/>
        </w:rPr>
        <w:t xml:space="preserve"> [CrossRef]</w:t>
      </w:r>
    </w:p>
    <w:p>
      <w:pPr>
        <w:pStyle w:val="MDPI32textnoindent"/>
        <w:spacing w:line="240" w:lineRule="auto" w:before="0" w:after="40"/>
        <w:ind w:left="425" w:hanging="425"/>
        <w:tabs>
          <w:tab w:val="left" w:pos="425"/>
        </w:tabs>
      </w:pPr>
      <w:bookmarkStart w:id="1061" w:name="_Ref_61"/>
      <w:r>
        <w:rPr>
          <w:b w:val="0"/>
          <w:sz w:val="18"/>
        </w:rPr>
        <w:t>61</w:t>
      </w:r>
      <w:bookmarkEnd w:id="1061"/>
      <w:r>
        <w:rPr>
          <w:sz w:val="18"/>
        </w:rPr>
        <w:t>.</w:t>
        <w:tab/>
      </w:r>
      <w:r>
        <w:rPr>
          <w:b w:val="0"/>
          <w:i w:val="0"/>
          <w:sz w:val="18"/>
        </w:rPr>
        <w:t xml:space="preserve">Cohen, W.M.; Levinthal, D.A. </w:t>
      </w:r>
      <w:r>
        <w:rPr>
          <w:b w:val="0"/>
          <w:i w:val="0"/>
          <w:sz w:val="18"/>
        </w:rPr>
        <w:t xml:space="preserve">Absorptive Capacity: A New Perspective on Learning and Innovation. </w:t>
      </w:r>
      <w:r>
        <w:rPr>
          <w:b w:val="0"/>
          <w:i/>
          <w:sz w:val="18"/>
        </w:rPr>
        <w:t xml:space="preserve">Adm. Sci. Q. </w:t>
      </w:r>
      <w:r>
        <w:rPr>
          <w:b/>
          <w:i w:val="0"/>
          <w:sz w:val="18"/>
        </w:rPr>
        <w:t>1990</w:t>
      </w:r>
      <w:r>
        <w:rPr>
          <w:b w:val="0"/>
          <w:i w:val="0"/>
          <w:sz w:val="18"/>
        </w:rPr>
        <w:t xml:space="preserve">, </w:t>
      </w:r>
      <w:r>
        <w:rPr>
          <w:b w:val="0"/>
          <w:i/>
          <w:sz w:val="18"/>
        </w:rPr>
        <w:t>35</w:t>
      </w:r>
      <w:r>
        <w:rPr>
          <w:b w:val="0"/>
          <w:i w:val="0"/>
          <w:sz w:val="18"/>
        </w:rPr>
        <w:t>, 128–152.</w:t>
      </w:r>
      <w:r>
        <w:rPr>
          <w:b w:val="0"/>
          <w:i w:val="0"/>
          <w:sz w:val="18"/>
        </w:rPr>
        <w:t xml:space="preserve"> [CrossRef]</w:t>
      </w:r>
    </w:p>
    <w:p>
      <w:pPr>
        <w:pStyle w:val="MDPI32textnoindent"/>
        <w:spacing w:line="240" w:lineRule="auto" w:before="0" w:after="40"/>
        <w:ind w:left="425" w:hanging="425"/>
        <w:tabs>
          <w:tab w:val="left" w:pos="425"/>
        </w:tabs>
      </w:pPr>
      <w:bookmarkStart w:id="1062" w:name="_Ref_62"/>
      <w:r>
        <w:rPr>
          <w:b w:val="0"/>
          <w:sz w:val="18"/>
        </w:rPr>
        <w:t>62</w:t>
      </w:r>
      <w:bookmarkEnd w:id="1062"/>
      <w:r>
        <w:rPr>
          <w:sz w:val="18"/>
        </w:rPr>
        <w:t>.</w:t>
        <w:tab/>
      </w:r>
      <w:r>
        <w:rPr>
          <w:b w:val="0"/>
          <w:i w:val="0"/>
          <w:sz w:val="18"/>
        </w:rPr>
        <w:t xml:space="preserve">van Dijk, J. </w:t>
      </w:r>
      <w:r>
        <w:rPr>
          <w:b w:val="0"/>
          <w:i/>
          <w:sz w:val="18"/>
        </w:rPr>
        <w:t>The Digital Divide</w:t>
      </w:r>
      <w:r>
        <w:rPr>
          <w:b w:val="0"/>
          <w:i w:val="0"/>
          <w:sz w:val="18"/>
        </w:rPr>
        <w:t xml:space="preserve">; </w:t>
      </w:r>
      <w:r>
        <w:rPr>
          <w:b w:val="0"/>
          <w:i w:val="0"/>
          <w:sz w:val="18"/>
        </w:rPr>
        <w:t>Polity Press: Cambridge, UK, 2020.</w:t>
      </w:r>
    </w:p>
    <w:p>
      <w:pPr>
        <w:pStyle w:val="MDPI32textnoindent"/>
        <w:spacing w:line="240" w:lineRule="auto" w:before="0" w:after="40"/>
        <w:ind w:left="425" w:hanging="425"/>
        <w:tabs>
          <w:tab w:val="left" w:pos="425"/>
        </w:tabs>
      </w:pPr>
      <w:bookmarkStart w:id="1063" w:name="_Ref_63"/>
      <w:r>
        <w:rPr>
          <w:b w:val="0"/>
          <w:sz w:val="18"/>
        </w:rPr>
        <w:t>63</w:t>
      </w:r>
      <w:bookmarkEnd w:id="1063"/>
      <w:r>
        <w:rPr>
          <w:sz w:val="18"/>
        </w:rPr>
        <w:t>.</w:t>
        <w:tab/>
      </w:r>
      <w:r>
        <w:rPr>
          <w:b w:val="0"/>
          <w:i w:val="0"/>
          <w:sz w:val="18"/>
        </w:rPr>
        <w:t xml:space="preserve">Yang, B.; Sun, Y.; Zeng, Z.; Li, Q. </w:t>
      </w:r>
      <w:r>
        <w:rPr>
          <w:b w:val="0"/>
          <w:i w:val="0"/>
          <w:sz w:val="18"/>
        </w:rPr>
        <w:t xml:space="preserve">Deskilling, Reskilling, or Upskilling? Unpacking the Pathways of Student Adaptation to Generative Artificial Intelligence. </w:t>
      </w:r>
      <w:r>
        <w:rPr>
          <w:b w:val="0"/>
          <w:i/>
          <w:sz w:val="18"/>
        </w:rPr>
        <w:t xml:space="preserve">Int. J. Inf. Manag. </w:t>
      </w:r>
      <w:r>
        <w:rPr>
          <w:b/>
          <w:i w:val="0"/>
          <w:sz w:val="18"/>
        </w:rPr>
        <w:t>2026</w:t>
      </w:r>
      <w:r>
        <w:rPr>
          <w:b w:val="0"/>
          <w:i w:val="0"/>
          <w:sz w:val="18"/>
        </w:rPr>
        <w:t xml:space="preserve">, </w:t>
      </w:r>
      <w:r>
        <w:rPr>
          <w:b w:val="0"/>
          <w:i/>
          <w:sz w:val="18"/>
        </w:rPr>
        <w:t>87</w:t>
      </w:r>
      <w:r>
        <w:rPr>
          <w:b w:val="0"/>
          <w:i w:val="0"/>
          <w:sz w:val="18"/>
        </w:rPr>
        <w:t>, 103002.</w:t>
      </w:r>
      <w:r>
        <w:rPr>
          <w:b w:val="0"/>
          <w:i w:val="0"/>
          <w:sz w:val="18"/>
        </w:rPr>
        <w:t xml:space="preserve"> [CrossRef]</w:t>
      </w:r>
    </w:p>
    <w:p>
      <w:pPr>
        <w:pStyle w:val="MDPI32textnoindent"/>
        <w:spacing w:line="240" w:lineRule="auto" w:before="0" w:after="40"/>
        <w:ind w:left="425" w:hanging="425"/>
        <w:tabs>
          <w:tab w:val="left" w:pos="425"/>
        </w:tabs>
      </w:pPr>
      <w:bookmarkStart w:id="1064" w:name="_Ref_64"/>
      <w:r>
        <w:rPr>
          <w:b w:val="0"/>
          <w:sz w:val="18"/>
        </w:rPr>
        <w:t>64</w:t>
      </w:r>
      <w:bookmarkEnd w:id="1064"/>
      <w:r>
        <w:rPr>
          <w:sz w:val="18"/>
        </w:rPr>
        <w:t>.</w:t>
        <w:tab/>
      </w:r>
      <w:r>
        <w:rPr>
          <w:b w:val="0"/>
          <w:i w:val="0"/>
          <w:sz w:val="18"/>
        </w:rPr>
        <w:t xml:space="preserve">Xue, F.; Jin, S. </w:t>
      </w:r>
      <w:r>
        <w:rPr>
          <w:b w:val="0"/>
          <w:i w:val="0"/>
          <w:sz w:val="18"/>
        </w:rPr>
        <w:t xml:space="preserve">Artificial Intelligence Adoption, Innovation Efficiency, and Governance Mechanisms: Evidence from China. </w:t>
      </w:r>
      <w:r>
        <w:rPr>
          <w:b w:val="0"/>
          <w:i/>
          <w:sz w:val="18"/>
        </w:rPr>
        <w:t xml:space="preserve">Systems </w:t>
      </w:r>
      <w:r>
        <w:rPr>
          <w:b/>
          <w:i w:val="0"/>
          <w:sz w:val="18"/>
        </w:rPr>
        <w:t>2025</w:t>
      </w:r>
      <w:r>
        <w:rPr>
          <w:b w:val="0"/>
          <w:i w:val="0"/>
          <w:sz w:val="18"/>
        </w:rPr>
        <w:t xml:space="preserve">, </w:t>
      </w:r>
      <w:r>
        <w:rPr>
          <w:b w:val="0"/>
          <w:i/>
          <w:sz w:val="18"/>
        </w:rPr>
        <w:t>13</w:t>
      </w:r>
      <w:r>
        <w:rPr>
          <w:b w:val="0"/>
          <w:i w:val="0"/>
          <w:sz w:val="18"/>
        </w:rPr>
        <w:t>, 1062.</w:t>
      </w:r>
      <w:r>
        <w:rPr>
          <w:b w:val="0"/>
          <w:i w:val="0"/>
          <w:sz w:val="18"/>
        </w:rPr>
        <w:t xml:space="preserve"> [CrossRef]</w:t>
      </w:r>
    </w:p>
    <w:p>
      <w:pPr>
        <w:pStyle w:val="MDPI32textnoindent"/>
        <w:spacing w:line="240" w:lineRule="auto" w:before="0" w:after="40"/>
        <w:ind w:left="425" w:hanging="425"/>
        <w:tabs>
          <w:tab w:val="left" w:pos="425"/>
        </w:tabs>
      </w:pPr>
      <w:bookmarkStart w:id="1065" w:name="_Ref_65"/>
      <w:r>
        <w:rPr>
          <w:b w:val="0"/>
          <w:sz w:val="18"/>
        </w:rPr>
        <w:t>65</w:t>
      </w:r>
      <w:bookmarkEnd w:id="1065"/>
      <w:r>
        <w:rPr>
          <w:sz w:val="18"/>
        </w:rPr>
        <w:t>.</w:t>
        <w:tab/>
      </w:r>
      <w:r>
        <w:rPr>
          <w:b w:val="0"/>
          <w:i w:val="0"/>
          <w:sz w:val="18"/>
        </w:rPr>
        <w:t xml:space="preserve">Janssen, M. </w:t>
      </w:r>
      <w:r>
        <w:rPr>
          <w:b w:val="0"/>
          <w:i w:val="0"/>
          <w:sz w:val="18"/>
        </w:rPr>
        <w:t xml:space="preserve">Responsible Governance of Generative AI: Conceptualizing GenAI as Complex Adaptive Systems. </w:t>
      </w:r>
      <w:r>
        <w:rPr>
          <w:b w:val="0"/>
          <w:i/>
          <w:sz w:val="18"/>
        </w:rPr>
        <w:t xml:space="preserve">Policy Soc. </w:t>
      </w:r>
      <w:r>
        <w:rPr>
          <w:b/>
          <w:i w:val="0"/>
          <w:sz w:val="18"/>
        </w:rPr>
        <w:t>2025</w:t>
      </w:r>
      <w:r>
        <w:rPr>
          <w:b w:val="0"/>
          <w:i w:val="0"/>
          <w:sz w:val="18"/>
        </w:rPr>
        <w:t xml:space="preserve">, </w:t>
      </w:r>
      <w:r>
        <w:rPr>
          <w:b w:val="0"/>
          <w:i/>
          <w:sz w:val="18"/>
        </w:rPr>
        <w:t>44</w:t>
      </w:r>
      <w:r>
        <w:rPr>
          <w:b w:val="0"/>
          <w:i w:val="0"/>
          <w:sz w:val="18"/>
        </w:rPr>
        <w:t>, 38–51.</w:t>
      </w:r>
      <w:r>
        <w:rPr>
          <w:b w:val="0"/>
          <w:i w:val="0"/>
          <w:sz w:val="18"/>
        </w:rPr>
        <w:t xml:space="preserve"> [CrossRef]</w:t>
      </w:r>
    </w:p>
    <w:p>
      <w:pPr>
        <w:pStyle w:val="MDPI32textnoindent"/>
        <w:spacing w:line="240" w:lineRule="auto" w:before="0" w:after="40"/>
        <w:ind w:left="425" w:hanging="425"/>
        <w:tabs>
          <w:tab w:val="left" w:pos="425"/>
        </w:tabs>
      </w:pPr>
      <w:bookmarkStart w:id="1066" w:name="_Ref_66"/>
      <w:r>
        <w:rPr>
          <w:b w:val="0"/>
          <w:sz w:val="18"/>
        </w:rPr>
        <w:t>66</w:t>
      </w:r>
      <w:bookmarkEnd w:id="1066"/>
      <w:r>
        <w:rPr>
          <w:sz w:val="18"/>
        </w:rPr>
        <w:t>.</w:t>
        <w:tab/>
      </w:r>
      <w:r>
        <w:rPr>
          <w:b w:val="0"/>
          <w:i w:val="0"/>
          <w:sz w:val="18"/>
        </w:rPr>
        <w:t xml:space="preserve">Machucho, R.; Ortiz, D. </w:t>
      </w:r>
      <w:r>
        <w:rPr>
          <w:b w:val="0"/>
          <w:i w:val="0"/>
          <w:sz w:val="18"/>
        </w:rPr>
        <w:t xml:space="preserve">The Impacts of Artificial Intelligence on Business Innovation: A Comprehensive Review of Applications, Organizational Challenges, and Ethical Considerations. </w:t>
      </w:r>
      <w:r>
        <w:rPr>
          <w:b w:val="0"/>
          <w:i/>
          <w:sz w:val="18"/>
        </w:rPr>
        <w:t xml:space="preserve">Systems </w:t>
      </w:r>
      <w:r>
        <w:rPr>
          <w:b/>
          <w:i w:val="0"/>
          <w:sz w:val="18"/>
        </w:rPr>
        <w:t>2025</w:t>
      </w:r>
      <w:r>
        <w:rPr>
          <w:b w:val="0"/>
          <w:i w:val="0"/>
          <w:sz w:val="18"/>
        </w:rPr>
        <w:t xml:space="preserve">, </w:t>
      </w:r>
      <w:r>
        <w:rPr>
          <w:b w:val="0"/>
          <w:i/>
          <w:sz w:val="18"/>
        </w:rPr>
        <w:t>13</w:t>
      </w:r>
      <w:r>
        <w:rPr>
          <w:b w:val="0"/>
          <w:i w:val="0"/>
          <w:sz w:val="18"/>
        </w:rPr>
        <w:t>, 264.</w:t>
      </w:r>
      <w:r>
        <w:rPr>
          <w:b w:val="0"/>
          <w:i w:val="0"/>
          <w:sz w:val="18"/>
        </w:rPr>
        <w:t xml:space="preserve"> [CrossRef]</w:t>
      </w:r>
    </w:p>
    <w:p>
      <w:pPr>
        <w:pStyle w:val="MDPI32textnoindent"/>
        <w:spacing w:line="240" w:lineRule="auto" w:before="0" w:after="40"/>
        <w:ind w:left="425" w:hanging="425"/>
        <w:tabs>
          <w:tab w:val="left" w:pos="425"/>
        </w:tabs>
      </w:pPr>
      <w:bookmarkStart w:id="1067" w:name="_Ref_67"/>
      <w:r>
        <w:rPr>
          <w:b w:val="0"/>
          <w:sz w:val="18"/>
        </w:rPr>
        <w:t>67</w:t>
      </w:r>
      <w:bookmarkEnd w:id="1067"/>
      <w:r>
        <w:rPr>
          <w:sz w:val="18"/>
        </w:rPr>
        <w:t>.</w:t>
        <w:tab/>
      </w:r>
      <w:r>
        <w:rPr>
          <w:b w:val="0"/>
          <w:i w:val="0"/>
          <w:sz w:val="18"/>
        </w:rPr>
        <w:t xml:space="preserve">International Labour Organization. </w:t>
      </w:r>
      <w:r>
        <w:rPr>
          <w:b w:val="0"/>
          <w:i/>
          <w:sz w:val="18"/>
        </w:rPr>
        <w:t xml:space="preserve">Global Employment Trends for Youth 2024: Decent Work, Brighter Futures; </w:t>
      </w:r>
      <w:r>
        <w:rPr>
          <w:b w:val="0"/>
          <w:i w:val="0"/>
          <w:sz w:val="18"/>
        </w:rPr>
        <w:t>International Labour Office: Geneva, Switzerland, 2024.</w:t>
      </w:r>
    </w:p>
    <w:p>
      <w:pPr>
        <w:pStyle w:val="MDPI32textnoindent"/>
        <w:spacing w:line="240" w:lineRule="auto" w:before="0" w:after="40"/>
        <w:ind w:left="425" w:hanging="425"/>
        <w:tabs>
          <w:tab w:val="left" w:pos="425"/>
        </w:tabs>
      </w:pPr>
      <w:bookmarkStart w:id="1068" w:name="_Ref_68"/>
      <w:r>
        <w:rPr>
          <w:b w:val="0"/>
          <w:sz w:val="18"/>
        </w:rPr>
        <w:t>68</w:t>
      </w:r>
      <w:bookmarkEnd w:id="1068"/>
      <w:r>
        <w:rPr>
          <w:sz w:val="18"/>
        </w:rPr>
        <w:t>.</w:t>
        <w:tab/>
      </w:r>
      <w:r>
        <w:rPr>
          <w:b w:val="0"/>
          <w:i w:val="0"/>
          <w:sz w:val="18"/>
        </w:rPr>
        <w:t xml:space="preserve">International Labour Organization. </w:t>
      </w:r>
      <w:r>
        <w:rPr>
          <w:b w:val="0"/>
          <w:i/>
          <w:sz w:val="18"/>
        </w:rPr>
        <w:t xml:space="preserve">World Employment and Social Outlook: Trends 2025; </w:t>
      </w:r>
      <w:r>
        <w:rPr>
          <w:b w:val="0"/>
          <w:i w:val="0"/>
          <w:sz w:val="18"/>
        </w:rPr>
        <w:t>International Labour Office: Geneva, Switzerland, 2025.</w:t>
      </w:r>
    </w:p>
    <w:p>
      <w:pPr>
        <w:pStyle w:val="MDPI32textnoindent"/>
        <w:spacing w:line="240" w:lineRule="auto" w:before="0" w:after="40"/>
        <w:ind w:left="425" w:hanging="425"/>
        <w:tabs>
          <w:tab w:val="left" w:pos="425"/>
        </w:tabs>
      </w:pPr>
      <w:bookmarkStart w:id="1069" w:name="_Ref_69"/>
      <w:r>
        <w:rPr>
          <w:b w:val="0"/>
          <w:sz w:val="18"/>
        </w:rPr>
        <w:t>69</w:t>
      </w:r>
      <w:bookmarkEnd w:id="1069"/>
      <w:r>
        <w:rPr>
          <w:sz w:val="18"/>
        </w:rPr>
        <w:t>.</w:t>
        <w:tab/>
      </w:r>
      <w:r>
        <w:rPr>
          <w:b w:val="0"/>
          <w:i w:val="0"/>
          <w:sz w:val="18"/>
        </w:rPr>
        <w:t xml:space="preserve">Liang, H.; Fan, J.; Wang, Y. </w:t>
      </w:r>
      <w:r>
        <w:rPr>
          <w:b w:val="0"/>
          <w:i w:val="0"/>
          <w:sz w:val="18"/>
        </w:rPr>
        <w:t xml:space="preserve">Artificial Intelligence, Technological Innovation, and Employment Transformation for Sustainable Development: Evidence from China. </w:t>
      </w:r>
      <w:r>
        <w:rPr>
          <w:b w:val="0"/>
          <w:i/>
          <w:sz w:val="18"/>
        </w:rPr>
        <w:t xml:space="preserve">Sustainability </w:t>
      </w:r>
      <w:r>
        <w:rPr>
          <w:b/>
          <w:i w:val="0"/>
          <w:sz w:val="18"/>
        </w:rPr>
        <w:t>2025</w:t>
      </w:r>
      <w:r>
        <w:rPr>
          <w:b w:val="0"/>
          <w:i w:val="0"/>
          <w:sz w:val="18"/>
        </w:rPr>
        <w:t xml:space="preserve">, </w:t>
      </w:r>
      <w:r>
        <w:rPr>
          <w:b w:val="0"/>
          <w:i/>
          <w:sz w:val="18"/>
        </w:rPr>
        <w:t>17</w:t>
      </w:r>
      <w:r>
        <w:rPr>
          <w:b w:val="0"/>
          <w:i w:val="0"/>
          <w:sz w:val="18"/>
        </w:rPr>
        <w:t>, 3842.</w:t>
      </w:r>
      <w:r>
        <w:rPr>
          <w:b w:val="0"/>
          <w:i w:val="0"/>
          <w:sz w:val="18"/>
        </w:rPr>
        <w:t xml:space="preserve"> [CrossRef]</w:t>
      </w:r>
    </w:p>
    <w:p>
      <w:pPr>
        <w:pStyle w:val="MDPI32textnoindent"/>
        <w:spacing w:line="240" w:lineRule="auto" w:before="0" w:after="40"/>
        <w:ind w:left="425" w:hanging="425"/>
        <w:tabs>
          <w:tab w:val="left" w:pos="425"/>
        </w:tabs>
      </w:pPr>
      <w:bookmarkStart w:id="1070" w:name="_Ref_70"/>
      <w:r>
        <w:rPr>
          <w:b w:val="0"/>
          <w:sz w:val="18"/>
        </w:rPr>
        <w:t>70</w:t>
      </w:r>
      <w:bookmarkEnd w:id="1070"/>
      <w:r>
        <w:rPr>
          <w:sz w:val="18"/>
        </w:rPr>
        <w:t>.</w:t>
        <w:tab/>
      </w:r>
      <w:r>
        <w:rPr>
          <w:b w:val="0"/>
          <w:i w:val="0"/>
          <w:sz w:val="18"/>
        </w:rPr>
        <w:t xml:space="preserve">DiMaggio, P.J.; Powell, W.W. </w:t>
      </w:r>
      <w:r>
        <w:rPr>
          <w:b w:val="0"/>
          <w:i w:val="0"/>
          <w:sz w:val="18"/>
        </w:rPr>
        <w:t xml:space="preserve">The Iron Cage Revisited: Institutional Isomorphism and Collective Rationality in Organizational Fields. </w:t>
      </w:r>
      <w:r>
        <w:rPr>
          <w:b w:val="0"/>
          <w:i/>
          <w:sz w:val="18"/>
        </w:rPr>
        <w:t xml:space="preserve">Am. Sociol. Rev. </w:t>
      </w:r>
      <w:r>
        <w:rPr>
          <w:b/>
          <w:i w:val="0"/>
          <w:sz w:val="18"/>
        </w:rPr>
        <w:t>1983</w:t>
      </w:r>
      <w:r>
        <w:rPr>
          <w:b w:val="0"/>
          <w:i w:val="0"/>
          <w:sz w:val="18"/>
        </w:rPr>
        <w:t xml:space="preserve">, </w:t>
      </w:r>
      <w:r>
        <w:rPr>
          <w:b w:val="0"/>
          <w:i/>
          <w:sz w:val="18"/>
        </w:rPr>
        <w:t>48</w:t>
      </w:r>
      <w:r>
        <w:rPr>
          <w:b w:val="0"/>
          <w:i w:val="0"/>
          <w:sz w:val="18"/>
        </w:rPr>
        <w:t>, 147–160.</w:t>
      </w:r>
      <w:r>
        <w:rPr>
          <w:b w:val="0"/>
          <w:i w:val="0"/>
          <w:sz w:val="18"/>
        </w:rPr>
        <w:t xml:space="preserve"> [CrossRef]</w:t>
      </w:r>
    </w:p>
    <w:p>
      <w:pPr>
        <w:pStyle w:val="MDPI32textnoindent"/>
        <w:spacing w:line="240" w:lineRule="auto" w:before="0" w:after="40"/>
        <w:ind w:left="425" w:hanging="425"/>
        <w:tabs>
          <w:tab w:val="left" w:pos="425"/>
        </w:tabs>
      </w:pPr>
      <w:bookmarkStart w:id="1071" w:name="_Ref_71"/>
      <w:r>
        <w:rPr>
          <w:b w:val="0"/>
          <w:sz w:val="18"/>
        </w:rPr>
        <w:t>71</w:t>
      </w:r>
      <w:bookmarkEnd w:id="1071"/>
      <w:r>
        <w:rPr>
          <w:sz w:val="18"/>
        </w:rPr>
        <w:t>.</w:t>
        <w:tab/>
      </w:r>
      <w:r>
        <w:rPr>
          <w:b w:val="0"/>
          <w:i w:val="0"/>
          <w:sz w:val="18"/>
        </w:rPr>
        <w:t xml:space="preserve">Meyer, J.W.; Rowan, B. </w:t>
      </w:r>
      <w:r>
        <w:rPr>
          <w:b w:val="0"/>
          <w:i w:val="0"/>
          <w:sz w:val="18"/>
        </w:rPr>
        <w:t xml:space="preserve">Institutionalized Organizations: Formal Structure as Myth and Ceremony. </w:t>
      </w:r>
      <w:r>
        <w:rPr>
          <w:b w:val="0"/>
          <w:i/>
          <w:sz w:val="18"/>
        </w:rPr>
        <w:t xml:space="preserve">Am. J. Sociol. </w:t>
      </w:r>
      <w:r>
        <w:rPr>
          <w:b/>
          <w:i w:val="0"/>
          <w:sz w:val="18"/>
        </w:rPr>
        <w:t>1977</w:t>
      </w:r>
      <w:r>
        <w:rPr>
          <w:b w:val="0"/>
          <w:i w:val="0"/>
          <w:sz w:val="18"/>
        </w:rPr>
        <w:t xml:space="preserve">, </w:t>
      </w:r>
      <w:r>
        <w:rPr>
          <w:b w:val="0"/>
          <w:i/>
          <w:sz w:val="18"/>
        </w:rPr>
        <w:t>83</w:t>
      </w:r>
      <w:r>
        <w:rPr>
          <w:b w:val="0"/>
          <w:i w:val="0"/>
          <w:sz w:val="18"/>
        </w:rPr>
        <w:t>, 340–363.</w:t>
      </w:r>
      <w:r>
        <w:rPr>
          <w:b w:val="0"/>
          <w:i w:val="0"/>
          <w:sz w:val="18"/>
        </w:rPr>
        <w:t xml:space="preserve"> [CrossRef]</w:t>
      </w:r>
    </w:p>
    <w:p>
      <w:pPr>
        <w:pStyle w:val="MDPI32textnoindent"/>
        <w:spacing w:line="240" w:lineRule="auto" w:before="0" w:after="40"/>
        <w:ind w:left="425" w:hanging="425"/>
        <w:tabs>
          <w:tab w:val="left" w:pos="425"/>
        </w:tabs>
      </w:pPr>
      <w:bookmarkStart w:id="1072" w:name="_Ref_72"/>
      <w:r>
        <w:rPr>
          <w:b w:val="0"/>
          <w:sz w:val="18"/>
        </w:rPr>
        <w:t>72</w:t>
      </w:r>
      <w:bookmarkEnd w:id="1072"/>
      <w:r>
        <w:rPr>
          <w:sz w:val="18"/>
        </w:rPr>
        <w:t>.</w:t>
        <w:tab/>
      </w:r>
      <w:r>
        <w:rPr>
          <w:b w:val="0"/>
          <w:i w:val="0"/>
          <w:sz w:val="18"/>
        </w:rPr>
        <w:t xml:space="preserve">Scott, W.R. </w:t>
      </w:r>
      <w:r>
        <w:rPr>
          <w:b w:val="0"/>
          <w:i/>
          <w:sz w:val="18"/>
        </w:rPr>
        <w:t>Institutions and Organizations: Ideas, Interests, and Identities</w:t>
      </w:r>
      <w:r>
        <w:rPr>
          <w:b w:val="0"/>
          <w:i w:val="0"/>
          <w:sz w:val="18"/>
        </w:rPr>
        <w:t xml:space="preserve">, 4th ed.; </w:t>
      </w:r>
      <w:r>
        <w:rPr>
          <w:b w:val="0"/>
          <w:i w:val="0"/>
          <w:sz w:val="18"/>
        </w:rPr>
        <w:t>Sage: Thousand Oaks, CA, USA, 2014.</w:t>
      </w:r>
    </w:p>
    <w:p>
      <w:pPr>
        <w:pStyle w:val="MDPI32textnoindent"/>
        <w:spacing w:line="240" w:lineRule="auto" w:before="0" w:after="40"/>
        <w:ind w:left="425" w:hanging="425"/>
        <w:tabs>
          <w:tab w:val="left" w:pos="425"/>
        </w:tabs>
      </w:pPr>
      <w:bookmarkStart w:id="1073" w:name="_Ref_73"/>
      <w:r>
        <w:rPr>
          <w:b w:val="0"/>
          <w:sz w:val="18"/>
        </w:rPr>
        <w:t>73</w:t>
      </w:r>
      <w:bookmarkEnd w:id="1073"/>
      <w:r>
        <w:rPr>
          <w:sz w:val="18"/>
        </w:rPr>
        <w:t>.</w:t>
        <w:tab/>
      </w:r>
      <w:r>
        <w:rPr>
          <w:b w:val="0"/>
          <w:i w:val="0"/>
          <w:sz w:val="18"/>
        </w:rPr>
        <w:t xml:space="preserve">European Parliament; Council of the European Union. </w:t>
      </w:r>
      <w:r>
        <w:rPr>
          <w:b w:val="0"/>
          <w:i w:val="0"/>
          <w:sz w:val="18"/>
        </w:rPr>
        <w:t xml:space="preserve">Decision (EU) 2022/2481 Establishing the Digital Decade Policy Programme 2030. </w:t>
      </w:r>
      <w:r>
        <w:rPr>
          <w:b w:val="0"/>
          <w:i w:val="0"/>
          <w:sz w:val="18"/>
        </w:rPr>
        <w:t>Available online: https://eur-lex.europa.eu/eli/dec/2022/2481/oj (accessed on 17 August 2026).</w:t>
      </w:r>
    </w:p>
    <w:p>
      <w:pPr>
        <w:pStyle w:val="MDPI32textnoindent"/>
        <w:spacing w:line="240" w:lineRule="auto" w:before="0" w:after="40"/>
        <w:ind w:left="425" w:hanging="425"/>
        <w:tabs>
          <w:tab w:val="left" w:pos="425"/>
        </w:tabs>
      </w:pPr>
      <w:bookmarkStart w:id="1074" w:name="_Ref_74"/>
      <w:r>
        <w:rPr>
          <w:b w:val="0"/>
          <w:sz w:val="18"/>
        </w:rPr>
        <w:t>74</w:t>
      </w:r>
      <w:bookmarkEnd w:id="1074"/>
      <w:r>
        <w:rPr>
          <w:sz w:val="18"/>
        </w:rPr>
        <w:t>.</w:t>
        <w:tab/>
      </w:r>
      <w:r>
        <w:rPr>
          <w:b w:val="0"/>
          <w:i w:val="0"/>
          <w:sz w:val="18"/>
        </w:rPr>
        <w:t xml:space="preserve">European Parliament; Council of the European Union. </w:t>
      </w:r>
      <w:r>
        <w:rPr>
          <w:b w:val="0"/>
          <w:i w:val="0"/>
          <w:sz w:val="18"/>
        </w:rPr>
        <w:t xml:space="preserve">Regulation (EU) 2024/1689 Laying Down Harmonised Rules on Artificial Intelligence (Artificial Intelligence Act). </w:t>
      </w:r>
      <w:r>
        <w:rPr>
          <w:b w:val="0"/>
          <w:i w:val="0"/>
          <w:sz w:val="18"/>
        </w:rPr>
        <w:t>Available online: https://eur-lex.europa.eu/eli/reg/2024/1689/oj (accessed on 17 August 2026).</w:t>
      </w:r>
    </w:p>
    <w:p>
      <w:pPr>
        <w:pStyle w:val="MDPI32textnoindent"/>
        <w:spacing w:line="240" w:lineRule="auto" w:before="0" w:after="40"/>
        <w:ind w:left="425" w:hanging="425"/>
        <w:tabs>
          <w:tab w:val="left" w:pos="425"/>
        </w:tabs>
      </w:pPr>
      <w:bookmarkStart w:id="1075" w:name="_Ref_75"/>
      <w:r>
        <w:rPr>
          <w:b w:val="0"/>
          <w:sz w:val="18"/>
        </w:rPr>
        <w:t>75</w:t>
      </w:r>
      <w:bookmarkEnd w:id="1075"/>
      <w:r>
        <w:rPr>
          <w:sz w:val="18"/>
        </w:rPr>
        <w:t>.</w:t>
        <w:tab/>
      </w:r>
      <w:r>
        <w:rPr>
          <w:b w:val="0"/>
          <w:i w:val="0"/>
          <w:sz w:val="18"/>
        </w:rPr>
        <w:t xml:space="preserve">Council of the European Union. </w:t>
      </w:r>
      <w:r>
        <w:rPr>
          <w:b w:val="0"/>
          <w:i w:val="0"/>
          <w:sz w:val="18"/>
        </w:rPr>
        <w:t xml:space="preserve">Council Recommendation of 30 October 2020 on a Bridge to Jobs—Reinforcing the Youth Guarantee. </w:t>
      </w:r>
      <w:r>
        <w:rPr>
          <w:b w:val="0"/>
          <w:i/>
          <w:sz w:val="18"/>
        </w:rPr>
        <w:t xml:space="preserve">Off. J. Eur. Union </w:t>
      </w:r>
      <w:r>
        <w:rPr>
          <w:b/>
          <w:i w:val="0"/>
          <w:sz w:val="18"/>
        </w:rPr>
        <w:t>2020</w:t>
      </w:r>
      <w:r>
        <w:rPr>
          <w:b w:val="0"/>
          <w:i w:val="0"/>
          <w:sz w:val="18"/>
        </w:rPr>
        <w:t xml:space="preserve">, </w:t>
      </w:r>
      <w:r>
        <w:rPr>
          <w:b w:val="0"/>
          <w:i/>
          <w:sz w:val="18"/>
        </w:rPr>
        <w:t>C 372</w:t>
      </w:r>
      <w:r>
        <w:rPr>
          <w:b w:val="0"/>
          <w:i w:val="0"/>
          <w:sz w:val="18"/>
        </w:rPr>
        <w:t>, 1–9.</w:t>
      </w:r>
    </w:p>
    <w:p>
      <w:pPr>
        <w:pStyle w:val="MDPI32textnoindent"/>
        <w:spacing w:line="240" w:lineRule="auto" w:before="0" w:after="40"/>
        <w:ind w:left="425" w:hanging="425"/>
        <w:tabs>
          <w:tab w:val="left" w:pos="425"/>
        </w:tabs>
      </w:pPr>
      <w:bookmarkStart w:id="1076" w:name="_Ref_76"/>
      <w:r>
        <w:rPr>
          <w:b w:val="0"/>
          <w:sz w:val="18"/>
        </w:rPr>
        <w:t>76</w:t>
      </w:r>
      <w:bookmarkEnd w:id="1076"/>
      <w:r>
        <w:rPr>
          <w:sz w:val="18"/>
        </w:rPr>
        <w:t>.</w:t>
        <w:tab/>
      </w:r>
      <w:r>
        <w:rPr>
          <w:b w:val="0"/>
          <w:i w:val="0"/>
          <w:sz w:val="18"/>
        </w:rPr>
        <w:t xml:space="preserve">Eurostat. </w:t>
      </w:r>
      <w:r>
        <w:rPr>
          <w:b w:val="0"/>
          <w:i w:val="0"/>
          <w:sz w:val="18"/>
        </w:rPr>
        <w:t xml:space="preserve">Artificial Intelligence by Size Class of Enterprise (isoc_eb_ai). </w:t>
      </w:r>
      <w:r>
        <w:rPr>
          <w:b w:val="0"/>
          <w:i w:val="0"/>
          <w:sz w:val="18"/>
        </w:rPr>
        <w:t>Available online: https://ec.europa.eu/eurostat/databrowser/view/isoc_eb_ai/default/table (accessed on 17 August 2026).</w:t>
      </w:r>
    </w:p>
    <w:p>
      <w:pPr>
        <w:pStyle w:val="MDPI32textnoindent"/>
        <w:spacing w:line="240" w:lineRule="auto" w:before="0" w:after="40"/>
        <w:ind w:left="425" w:hanging="425"/>
        <w:tabs>
          <w:tab w:val="left" w:pos="425"/>
        </w:tabs>
      </w:pPr>
      <w:bookmarkStart w:id="1077" w:name="_Ref_77"/>
      <w:r>
        <w:rPr>
          <w:b w:val="0"/>
          <w:sz w:val="18"/>
        </w:rPr>
        <w:t>77</w:t>
      </w:r>
      <w:bookmarkEnd w:id="1077"/>
      <w:r>
        <w:rPr>
          <w:sz w:val="18"/>
        </w:rPr>
        <w:t>.</w:t>
        <w:tab/>
      </w:r>
      <w:r>
        <w:rPr>
          <w:b w:val="0"/>
          <w:i w:val="0"/>
          <w:sz w:val="18"/>
        </w:rPr>
        <w:t xml:space="preserve">Eurostat. </w:t>
      </w:r>
      <w:r>
        <w:rPr>
          <w:b w:val="0"/>
          <w:i w:val="0"/>
          <w:sz w:val="18"/>
        </w:rPr>
        <w:t xml:space="preserve">Use of Generative Artificial Intelligence Tools by Individuals, ICT Usage in Households and by Individuals Survey 2025 (isoc_ci_ax_i). </w:t>
      </w:r>
      <w:r>
        <w:rPr>
          <w:b w:val="0"/>
          <w:i w:val="0"/>
          <w:sz w:val="18"/>
        </w:rPr>
        <w:t>Available online: https://ec.europa.eu/eurostat/databrowser/view/isoc_ci_ax_i/default/table (accessed on 17 August 2026).</w:t>
      </w:r>
    </w:p>
    <w:p>
      <w:pPr>
        <w:pStyle w:val="MDPI32textnoindent"/>
        <w:spacing w:line="240" w:lineRule="auto" w:before="0" w:after="40"/>
        <w:ind w:left="425" w:hanging="425"/>
        <w:tabs>
          <w:tab w:val="left" w:pos="425"/>
        </w:tabs>
      </w:pPr>
      <w:bookmarkStart w:id="1078" w:name="_Ref_78"/>
      <w:r>
        <w:rPr>
          <w:b w:val="0"/>
          <w:sz w:val="18"/>
        </w:rPr>
        <w:t>78</w:t>
      </w:r>
      <w:bookmarkEnd w:id="1078"/>
      <w:r>
        <w:rPr>
          <w:sz w:val="18"/>
        </w:rPr>
        <w:t>.</w:t>
        <w:tab/>
      </w:r>
      <w:r>
        <w:rPr>
          <w:b w:val="0"/>
          <w:i w:val="0"/>
          <w:sz w:val="18"/>
        </w:rPr>
        <w:t xml:space="preserve">Eurostat. </w:t>
      </w:r>
      <w:r>
        <w:rPr>
          <w:b w:val="0"/>
          <w:i w:val="0"/>
          <w:sz w:val="18"/>
        </w:rPr>
        <w:t xml:space="preserve">Individuals’ Level of Digital Skills (from 2021 Onwards) (isoc_sk_dskl_i21). </w:t>
      </w:r>
      <w:r>
        <w:rPr>
          <w:b w:val="0"/>
          <w:i w:val="0"/>
          <w:sz w:val="18"/>
        </w:rPr>
        <w:t>Available online: https://ec.europa.eu/eurostat/databrowser/view/isoc_sk_dskl_i21/default/table (accessed on 17 August 2026).</w:t>
      </w:r>
    </w:p>
    <w:p>
      <w:pPr>
        <w:pStyle w:val="MDPI32textnoindent"/>
        <w:spacing w:line="240" w:lineRule="auto" w:before="0" w:after="40"/>
        <w:ind w:left="425" w:hanging="425"/>
        <w:tabs>
          <w:tab w:val="left" w:pos="425"/>
        </w:tabs>
      </w:pPr>
      <w:bookmarkStart w:id="1079" w:name="_Ref_79"/>
      <w:r>
        <w:rPr>
          <w:b w:val="0"/>
          <w:sz w:val="18"/>
        </w:rPr>
        <w:t>79</w:t>
      </w:r>
      <w:bookmarkEnd w:id="1079"/>
      <w:r>
        <w:rPr>
          <w:sz w:val="18"/>
        </w:rPr>
        <w:t>.</w:t>
        <w:tab/>
      </w:r>
      <w:r>
        <w:rPr>
          <w:b w:val="0"/>
          <w:i w:val="0"/>
          <w:sz w:val="18"/>
        </w:rPr>
        <w:t xml:space="preserve">Eurostat. </w:t>
      </w:r>
      <w:r>
        <w:rPr>
          <w:b w:val="0"/>
          <w:i w:val="0"/>
          <w:sz w:val="18"/>
        </w:rPr>
        <w:t xml:space="preserve">Employed ICT Specialists—Total (isoc_sks_itspt). </w:t>
      </w:r>
      <w:r>
        <w:rPr>
          <w:b w:val="0"/>
          <w:i w:val="0"/>
          <w:sz w:val="18"/>
        </w:rPr>
        <w:t>Available online: https://ec.europa.eu/eurostat/databrowser/view/isoc_sks_itspt/default/table (accessed on 17 August 2026).</w:t>
      </w:r>
    </w:p>
    <w:p>
      <w:pPr>
        <w:pStyle w:val="MDPI32textnoindent"/>
        <w:spacing w:line="240" w:lineRule="auto" w:before="0" w:after="40"/>
        <w:ind w:left="425" w:hanging="425"/>
        <w:tabs>
          <w:tab w:val="left" w:pos="425"/>
        </w:tabs>
      </w:pPr>
      <w:bookmarkStart w:id="1080" w:name="_Ref_80"/>
      <w:r>
        <w:rPr>
          <w:b w:val="0"/>
          <w:sz w:val="18"/>
        </w:rPr>
        <w:t>80</w:t>
      </w:r>
      <w:bookmarkEnd w:id="1080"/>
      <w:r>
        <w:rPr>
          <w:sz w:val="18"/>
        </w:rPr>
        <w:t>.</w:t>
        <w:tab/>
      </w:r>
      <w:r>
        <w:rPr>
          <w:b w:val="0"/>
          <w:i w:val="0"/>
          <w:sz w:val="18"/>
        </w:rPr>
        <w:t xml:space="preserve">Eurostat. </w:t>
      </w:r>
      <w:r>
        <w:rPr>
          <w:b w:val="0"/>
          <w:i w:val="0"/>
          <w:sz w:val="18"/>
        </w:rPr>
        <w:t xml:space="preserve">Young People Neither in Employment nor in Education and Training by Sex and Age (edat_lfse_20). </w:t>
      </w:r>
      <w:r>
        <w:rPr>
          <w:b w:val="0"/>
          <w:i w:val="0"/>
          <w:sz w:val="18"/>
        </w:rPr>
        <w:t>Available online: https://ec.europa.eu/eurostat/databrowser/view/edat_lfse_20/default/table (accessed on 17 August 2026).</w:t>
      </w:r>
    </w:p>
    <w:p>
      <w:pPr>
        <w:pStyle w:val="MDPI32textnoindent"/>
        <w:spacing w:line="240" w:lineRule="auto" w:before="0" w:after="40"/>
        <w:ind w:left="425" w:hanging="425"/>
        <w:tabs>
          <w:tab w:val="left" w:pos="425"/>
        </w:tabs>
      </w:pPr>
      <w:bookmarkStart w:id="1081" w:name="_Ref_81"/>
      <w:r>
        <w:rPr>
          <w:b w:val="0"/>
          <w:sz w:val="18"/>
        </w:rPr>
        <w:t>81</w:t>
      </w:r>
      <w:bookmarkEnd w:id="1081"/>
      <w:r>
        <w:rPr>
          <w:sz w:val="18"/>
        </w:rPr>
        <w:t>.</w:t>
        <w:tab/>
      </w:r>
      <w:r>
        <w:rPr>
          <w:b w:val="0"/>
          <w:i w:val="0"/>
          <w:sz w:val="18"/>
        </w:rPr>
        <w:t xml:space="preserve">Eurostat. </w:t>
      </w:r>
      <w:r>
        <w:rPr>
          <w:b w:val="0"/>
          <w:i w:val="0"/>
          <w:sz w:val="18"/>
        </w:rPr>
        <w:t xml:space="preserve">Unemployment by Sex and Age—Annual Data (une_rt_a). </w:t>
      </w:r>
      <w:r>
        <w:rPr>
          <w:b w:val="0"/>
          <w:i w:val="0"/>
          <w:sz w:val="18"/>
        </w:rPr>
        <w:t>Available online: https://ec.europa.eu/eurostat/databrowser/view/une_rt_a/default/table (accessed on 17 August 2026).</w:t>
      </w:r>
    </w:p>
    <w:p>
      <w:pPr>
        <w:pStyle w:val="MDPI32textnoindent"/>
        <w:spacing w:line="240" w:lineRule="auto" w:before="0" w:after="40"/>
        <w:ind w:left="425" w:hanging="425"/>
        <w:tabs>
          <w:tab w:val="left" w:pos="425"/>
        </w:tabs>
      </w:pPr>
      <w:bookmarkStart w:id="1082" w:name="_Ref_82"/>
      <w:r>
        <w:rPr>
          <w:b w:val="0"/>
          <w:sz w:val="18"/>
        </w:rPr>
        <w:t>82</w:t>
      </w:r>
      <w:bookmarkEnd w:id="1082"/>
      <w:r>
        <w:rPr>
          <w:sz w:val="18"/>
        </w:rPr>
        <w:t>.</w:t>
        <w:tab/>
      </w:r>
      <w:r>
        <w:rPr>
          <w:b w:val="0"/>
          <w:i w:val="0"/>
          <w:sz w:val="18"/>
        </w:rPr>
        <w:t xml:space="preserve">Eurostat. </w:t>
      </w:r>
      <w:r>
        <w:rPr>
          <w:b w:val="0"/>
          <w:i w:val="0"/>
          <w:sz w:val="18"/>
        </w:rPr>
        <w:t xml:space="preserve">Population by Educational Attainment Level, Sex and Age (edat_lfse_03). </w:t>
      </w:r>
      <w:r>
        <w:rPr>
          <w:b w:val="0"/>
          <w:i w:val="0"/>
          <w:sz w:val="18"/>
        </w:rPr>
        <w:t>Available online: https://ec.europa.eu/eurostat/databrowser/view/edat_lfse_03/default/table (accessed on 17 August 2026).</w:t>
      </w:r>
    </w:p>
    <w:p>
      <w:pPr>
        <w:pStyle w:val="MDPI32textnoindent"/>
        <w:spacing w:line="240" w:lineRule="auto" w:before="0" w:after="40"/>
        <w:ind w:left="425" w:hanging="425"/>
        <w:tabs>
          <w:tab w:val="left" w:pos="425"/>
        </w:tabs>
      </w:pPr>
      <w:bookmarkStart w:id="1083" w:name="_Ref_83"/>
      <w:r>
        <w:rPr>
          <w:b w:val="0"/>
          <w:sz w:val="18"/>
        </w:rPr>
        <w:t>83</w:t>
      </w:r>
      <w:bookmarkEnd w:id="1083"/>
      <w:r>
        <w:rPr>
          <w:sz w:val="18"/>
        </w:rPr>
        <w:t>.</w:t>
        <w:tab/>
      </w:r>
      <w:r>
        <w:rPr>
          <w:b w:val="0"/>
          <w:i w:val="0"/>
          <w:sz w:val="18"/>
        </w:rPr>
        <w:t xml:space="preserve">Eurostat. </w:t>
      </w:r>
      <w:r>
        <w:rPr>
          <w:b w:val="0"/>
          <w:i w:val="0"/>
          <w:sz w:val="18"/>
        </w:rPr>
        <w:t xml:space="preserve">GDP per Capita in Purchasing Power Standards (tec00114). </w:t>
      </w:r>
      <w:r>
        <w:rPr>
          <w:b w:val="0"/>
          <w:i w:val="0"/>
          <w:sz w:val="18"/>
        </w:rPr>
        <w:t>Available online: https://ec.europa.eu/eurostat/databrowser/view/tec00114/default/table (accessed on 17 August 2026).</w:t>
      </w:r>
    </w:p>
    <w:p>
      <w:pPr>
        <w:pStyle w:val="MDPI32textnoindent"/>
        <w:spacing w:line="240" w:lineRule="auto" w:before="0" w:after="40"/>
        <w:ind w:left="425" w:hanging="425"/>
        <w:tabs>
          <w:tab w:val="left" w:pos="425"/>
        </w:tabs>
      </w:pPr>
      <w:bookmarkStart w:id="1084" w:name="_Ref_84"/>
      <w:r>
        <w:rPr>
          <w:b w:val="0"/>
          <w:sz w:val="18"/>
        </w:rPr>
        <w:t>84</w:t>
      </w:r>
      <w:bookmarkEnd w:id="1084"/>
      <w:r>
        <w:rPr>
          <w:sz w:val="18"/>
        </w:rPr>
        <w:t>.</w:t>
        <w:tab/>
      </w:r>
      <w:r>
        <w:rPr>
          <w:b w:val="0"/>
          <w:i w:val="0"/>
          <w:sz w:val="18"/>
        </w:rPr>
        <w:t xml:space="preserve">Eurostat. </w:t>
      </w:r>
      <w:r>
        <w:rPr>
          <w:b w:val="0"/>
          <w:i w:val="0"/>
          <w:sz w:val="18"/>
        </w:rPr>
        <w:t xml:space="preserve">GERD by Sector of Performance (rd_e_gerdtot). </w:t>
      </w:r>
      <w:r>
        <w:rPr>
          <w:b w:val="0"/>
          <w:i w:val="0"/>
          <w:sz w:val="18"/>
        </w:rPr>
        <w:t>Available online: https://ec.europa.eu/eurostat/databrowser/view/rd_e_gerdtot/default/table (accessed on 17 August 2026).</w:t>
      </w:r>
    </w:p>
    <w:p>
      <w:pPr>
        <w:pStyle w:val="MDPI32textnoindent"/>
        <w:spacing w:line="240" w:lineRule="auto" w:before="0" w:after="40"/>
        <w:ind w:left="425" w:hanging="425"/>
        <w:tabs>
          <w:tab w:val="left" w:pos="425"/>
        </w:tabs>
      </w:pPr>
      <w:bookmarkStart w:id="1085" w:name="_Ref_85"/>
      <w:r>
        <w:rPr>
          <w:b w:val="0"/>
          <w:sz w:val="18"/>
        </w:rPr>
        <w:t>85</w:t>
      </w:r>
      <w:bookmarkEnd w:id="1085"/>
      <w:r>
        <w:rPr>
          <w:sz w:val="18"/>
        </w:rPr>
        <w:t>.</w:t>
        <w:tab/>
      </w:r>
      <w:r>
        <w:rPr>
          <w:b w:val="0"/>
          <w:i w:val="0"/>
          <w:sz w:val="18"/>
        </w:rPr>
        <w:t xml:space="preserve">Eurostat. </w:t>
      </w:r>
      <w:r>
        <w:rPr>
          <w:b w:val="0"/>
          <w:i w:val="0"/>
          <w:sz w:val="18"/>
        </w:rPr>
        <w:t xml:space="preserve">Early Leavers from Education and Training by Sex (edat_lfse_14). </w:t>
      </w:r>
      <w:r>
        <w:rPr>
          <w:b w:val="0"/>
          <w:i w:val="0"/>
          <w:sz w:val="18"/>
        </w:rPr>
        <w:t>Available online: https://ec.europa.eu/eurostat/databrowser/view/edat_lfse_14/default/table (accessed on 17 August 2026).</w:t>
      </w:r>
    </w:p>
    <w:p>
      <w:pPr>
        <w:pStyle w:val="MDPI32textnoindent"/>
        <w:spacing w:line="240" w:lineRule="auto" w:before="0" w:after="40"/>
        <w:ind w:left="425" w:hanging="425"/>
        <w:tabs>
          <w:tab w:val="left" w:pos="425"/>
        </w:tabs>
      </w:pPr>
      <w:bookmarkStart w:id="1086" w:name="_Ref_86"/>
      <w:r>
        <w:rPr>
          <w:b w:val="0"/>
          <w:sz w:val="18"/>
        </w:rPr>
        <w:t>86</w:t>
      </w:r>
      <w:bookmarkEnd w:id="1086"/>
      <w:r>
        <w:rPr>
          <w:sz w:val="18"/>
        </w:rPr>
        <w:t>.</w:t>
        <w:tab/>
      </w:r>
      <w:r>
        <w:rPr>
          <w:b w:val="0"/>
          <w:i w:val="0"/>
          <w:sz w:val="18"/>
        </w:rPr>
        <w:t xml:space="preserve">Tabachnick, B.G.; Fidell, L.S. </w:t>
      </w:r>
      <w:r>
        <w:rPr>
          <w:b w:val="0"/>
          <w:i/>
          <w:sz w:val="18"/>
        </w:rPr>
        <w:t>Using Multivariate Statistics</w:t>
      </w:r>
      <w:r>
        <w:rPr>
          <w:b w:val="0"/>
          <w:i w:val="0"/>
          <w:sz w:val="18"/>
        </w:rPr>
        <w:t xml:space="preserve">, 7th ed.; </w:t>
      </w:r>
      <w:r>
        <w:rPr>
          <w:b w:val="0"/>
          <w:i w:val="0"/>
          <w:sz w:val="18"/>
        </w:rPr>
        <w:t>Pearson: Boston, MA, USA, 2019.</w:t>
      </w:r>
    </w:p>
    <w:p>
      <w:pPr>
        <w:pStyle w:val="MDPI32textnoindent"/>
        <w:spacing w:line="240" w:lineRule="auto" w:before="0" w:after="40"/>
        <w:ind w:left="425" w:hanging="425"/>
        <w:tabs>
          <w:tab w:val="left" w:pos="425"/>
        </w:tabs>
      </w:pPr>
      <w:bookmarkStart w:id="1087" w:name="_Ref_87"/>
      <w:r>
        <w:rPr>
          <w:b w:val="0"/>
          <w:sz w:val="18"/>
        </w:rPr>
        <w:t>87</w:t>
      </w:r>
      <w:bookmarkEnd w:id="1087"/>
      <w:r>
        <w:rPr>
          <w:sz w:val="18"/>
        </w:rPr>
        <w:t>.</w:t>
        <w:tab/>
      </w:r>
      <w:r>
        <w:rPr>
          <w:b w:val="0"/>
          <w:i w:val="0"/>
          <w:sz w:val="18"/>
        </w:rPr>
        <w:t xml:space="preserve">Hair, J.F.; Black, W.C.; Babin, B.J.; Anderson, R.E. </w:t>
      </w:r>
      <w:r>
        <w:rPr>
          <w:b w:val="0"/>
          <w:i/>
          <w:sz w:val="18"/>
        </w:rPr>
        <w:t>Multivariate Data Analysis</w:t>
      </w:r>
      <w:r>
        <w:rPr>
          <w:b w:val="0"/>
          <w:i w:val="0"/>
          <w:sz w:val="18"/>
        </w:rPr>
        <w:t xml:space="preserve">, 8th ed.; </w:t>
      </w:r>
      <w:r>
        <w:rPr>
          <w:b w:val="0"/>
          <w:i w:val="0"/>
          <w:sz w:val="18"/>
        </w:rPr>
        <w:t>Cengage Learning: Andover, UK, 2019.</w:t>
      </w:r>
    </w:p>
    <w:p>
      <w:pPr>
        <w:pStyle w:val="MDPI32textnoindent"/>
        <w:spacing w:line="240" w:lineRule="auto" w:before="0" w:after="40"/>
        <w:ind w:left="425" w:hanging="425"/>
        <w:tabs>
          <w:tab w:val="left" w:pos="425"/>
        </w:tabs>
      </w:pPr>
      <w:bookmarkStart w:id="1088" w:name="_Ref_88"/>
      <w:r>
        <w:rPr>
          <w:b w:val="0"/>
          <w:sz w:val="18"/>
        </w:rPr>
        <w:t>88</w:t>
      </w:r>
      <w:bookmarkEnd w:id="1088"/>
      <w:r>
        <w:rPr>
          <w:sz w:val="18"/>
        </w:rPr>
        <w:t>.</w:t>
        <w:tab/>
      </w:r>
      <w:r>
        <w:rPr>
          <w:b w:val="0"/>
          <w:i w:val="0"/>
          <w:sz w:val="18"/>
        </w:rPr>
        <w:t xml:space="preserve">Shapiro, S.S.; Wilk, M.B. </w:t>
      </w:r>
      <w:r>
        <w:rPr>
          <w:b w:val="0"/>
          <w:i w:val="0"/>
          <w:sz w:val="18"/>
        </w:rPr>
        <w:t xml:space="preserve">An Analysis of Variance Test for Normality (Complete Samples). </w:t>
      </w:r>
      <w:r>
        <w:rPr>
          <w:b w:val="0"/>
          <w:i/>
          <w:sz w:val="18"/>
        </w:rPr>
        <w:t xml:space="preserve">Biometrika </w:t>
      </w:r>
      <w:r>
        <w:rPr>
          <w:b/>
          <w:i w:val="0"/>
          <w:sz w:val="18"/>
        </w:rPr>
        <w:t>1965</w:t>
      </w:r>
      <w:r>
        <w:rPr>
          <w:b w:val="0"/>
          <w:i w:val="0"/>
          <w:sz w:val="18"/>
        </w:rPr>
        <w:t xml:space="preserve">, </w:t>
      </w:r>
      <w:r>
        <w:rPr>
          <w:b w:val="0"/>
          <w:i/>
          <w:sz w:val="18"/>
        </w:rPr>
        <w:t>52</w:t>
      </w:r>
      <w:r>
        <w:rPr>
          <w:b w:val="0"/>
          <w:i w:val="0"/>
          <w:sz w:val="18"/>
        </w:rPr>
        <w:t>, 591–611.</w:t>
      </w:r>
      <w:r>
        <w:rPr>
          <w:b w:val="0"/>
          <w:i w:val="0"/>
          <w:sz w:val="18"/>
        </w:rPr>
        <w:t xml:space="preserve"> [CrossRef]</w:t>
      </w:r>
    </w:p>
    <w:p>
      <w:pPr>
        <w:pStyle w:val="MDPI32textnoindent"/>
        <w:spacing w:line="240" w:lineRule="auto" w:before="0" w:after="40"/>
        <w:ind w:left="425" w:hanging="425"/>
        <w:tabs>
          <w:tab w:val="left" w:pos="425"/>
        </w:tabs>
      </w:pPr>
      <w:bookmarkStart w:id="1089" w:name="_Ref_89"/>
      <w:r>
        <w:rPr>
          <w:b w:val="0"/>
          <w:sz w:val="18"/>
        </w:rPr>
        <w:t>89</w:t>
      </w:r>
      <w:bookmarkEnd w:id="1089"/>
      <w:r>
        <w:rPr>
          <w:sz w:val="18"/>
        </w:rPr>
        <w:t>.</w:t>
        <w:tab/>
      </w:r>
      <w:r>
        <w:rPr>
          <w:b w:val="0"/>
          <w:i w:val="0"/>
          <w:sz w:val="18"/>
        </w:rPr>
        <w:t xml:space="preserve">Cook, R.D. </w:t>
      </w:r>
      <w:r>
        <w:rPr>
          <w:b w:val="0"/>
          <w:i w:val="0"/>
          <w:sz w:val="18"/>
        </w:rPr>
        <w:t xml:space="preserve">Detection of Influential Observation in Linear Regression. </w:t>
      </w:r>
      <w:r>
        <w:rPr>
          <w:b w:val="0"/>
          <w:i/>
          <w:sz w:val="18"/>
        </w:rPr>
        <w:t xml:space="preserve">Technometrics </w:t>
      </w:r>
      <w:r>
        <w:rPr>
          <w:b/>
          <w:i w:val="0"/>
          <w:sz w:val="18"/>
        </w:rPr>
        <w:t>1977</w:t>
      </w:r>
      <w:r>
        <w:rPr>
          <w:b w:val="0"/>
          <w:i w:val="0"/>
          <w:sz w:val="18"/>
        </w:rPr>
        <w:t xml:space="preserve">, </w:t>
      </w:r>
      <w:r>
        <w:rPr>
          <w:b w:val="0"/>
          <w:i/>
          <w:sz w:val="18"/>
        </w:rPr>
        <w:t>19</w:t>
      </w:r>
      <w:r>
        <w:rPr>
          <w:b w:val="0"/>
          <w:i w:val="0"/>
          <w:sz w:val="18"/>
        </w:rPr>
        <w:t>, 15–18.</w:t>
      </w:r>
      <w:r>
        <w:rPr>
          <w:b w:val="0"/>
          <w:i w:val="0"/>
          <w:sz w:val="18"/>
        </w:rPr>
        <w:t xml:space="preserve"> [CrossRef]</w:t>
      </w:r>
    </w:p>
    <w:p>
      <w:pPr>
        <w:pStyle w:val="MDPI32textnoindent"/>
        <w:spacing w:line="240" w:lineRule="auto" w:before="0" w:after="40"/>
        <w:ind w:left="425" w:hanging="425"/>
        <w:tabs>
          <w:tab w:val="left" w:pos="425"/>
        </w:tabs>
      </w:pPr>
      <w:bookmarkStart w:id="1090" w:name="_Ref_90"/>
      <w:r>
        <w:rPr>
          <w:b w:val="0"/>
          <w:sz w:val="18"/>
        </w:rPr>
        <w:t>90</w:t>
      </w:r>
      <w:bookmarkEnd w:id="1090"/>
      <w:r>
        <w:rPr>
          <w:sz w:val="18"/>
        </w:rPr>
        <w:t>.</w:t>
        <w:tab/>
      </w:r>
      <w:r>
        <w:rPr>
          <w:b w:val="0"/>
          <w:i w:val="0"/>
          <w:sz w:val="18"/>
        </w:rPr>
        <w:t xml:space="preserve">Fabrigar, L.R.; Wegener, D.T.; MacCallum, R.C.; Strahan, E.J. </w:t>
      </w:r>
      <w:r>
        <w:rPr>
          <w:b w:val="0"/>
          <w:i w:val="0"/>
          <w:sz w:val="18"/>
        </w:rPr>
        <w:t xml:space="preserve">Evaluating the Use of Exploratory Factor Analysis in Psychological Research. </w:t>
      </w:r>
      <w:r>
        <w:rPr>
          <w:b w:val="0"/>
          <w:i/>
          <w:sz w:val="18"/>
        </w:rPr>
        <w:t xml:space="preserve">Psychol. Methods </w:t>
      </w:r>
      <w:r>
        <w:rPr>
          <w:b/>
          <w:i w:val="0"/>
          <w:sz w:val="18"/>
        </w:rPr>
        <w:t>1999</w:t>
      </w:r>
      <w:r>
        <w:rPr>
          <w:b w:val="0"/>
          <w:i w:val="0"/>
          <w:sz w:val="18"/>
        </w:rPr>
        <w:t xml:space="preserve">, </w:t>
      </w:r>
      <w:r>
        <w:rPr>
          <w:b w:val="0"/>
          <w:i/>
          <w:sz w:val="18"/>
        </w:rPr>
        <w:t>4</w:t>
      </w:r>
      <w:r>
        <w:rPr>
          <w:b w:val="0"/>
          <w:i w:val="0"/>
          <w:sz w:val="18"/>
        </w:rPr>
        <w:t>, 272–299.</w:t>
      </w:r>
      <w:r>
        <w:rPr>
          <w:b w:val="0"/>
          <w:i w:val="0"/>
          <w:sz w:val="18"/>
        </w:rPr>
        <w:t xml:space="preserve"> [CrossRef]</w:t>
      </w:r>
    </w:p>
    <w:p>
      <w:pPr>
        <w:pStyle w:val="MDPI32textnoindent"/>
        <w:spacing w:line="240" w:lineRule="auto" w:before="0" w:after="40"/>
        <w:ind w:left="425" w:hanging="425"/>
        <w:tabs>
          <w:tab w:val="left" w:pos="425"/>
        </w:tabs>
      </w:pPr>
      <w:bookmarkStart w:id="1091" w:name="_Ref_91"/>
      <w:r>
        <w:rPr>
          <w:b w:val="0"/>
          <w:sz w:val="18"/>
        </w:rPr>
        <w:t>91</w:t>
      </w:r>
      <w:bookmarkEnd w:id="1091"/>
      <w:r>
        <w:rPr>
          <w:sz w:val="18"/>
        </w:rPr>
        <w:t>.</w:t>
        <w:tab/>
      </w:r>
      <w:r>
        <w:rPr>
          <w:b w:val="0"/>
          <w:i w:val="0"/>
          <w:sz w:val="18"/>
        </w:rPr>
        <w:t xml:space="preserve">Kaiser, H.F. </w:t>
      </w:r>
      <w:r>
        <w:rPr>
          <w:b w:val="0"/>
          <w:i w:val="0"/>
          <w:sz w:val="18"/>
        </w:rPr>
        <w:t xml:space="preserve">An Index of Factorial Simplicity. </w:t>
      </w:r>
      <w:r>
        <w:rPr>
          <w:b w:val="0"/>
          <w:i/>
          <w:sz w:val="18"/>
        </w:rPr>
        <w:t xml:space="preserve">Psychometrika </w:t>
      </w:r>
      <w:r>
        <w:rPr>
          <w:b/>
          <w:i w:val="0"/>
          <w:sz w:val="18"/>
        </w:rPr>
        <w:t>1974</w:t>
      </w:r>
      <w:r>
        <w:rPr>
          <w:b w:val="0"/>
          <w:i w:val="0"/>
          <w:sz w:val="18"/>
        </w:rPr>
        <w:t xml:space="preserve">, </w:t>
      </w:r>
      <w:r>
        <w:rPr>
          <w:b w:val="0"/>
          <w:i/>
          <w:sz w:val="18"/>
        </w:rPr>
        <w:t>39</w:t>
      </w:r>
      <w:r>
        <w:rPr>
          <w:b w:val="0"/>
          <w:i w:val="0"/>
          <w:sz w:val="18"/>
        </w:rPr>
        <w:t>, 31–36.</w:t>
      </w:r>
      <w:r>
        <w:rPr>
          <w:b w:val="0"/>
          <w:i w:val="0"/>
          <w:sz w:val="18"/>
        </w:rPr>
        <w:t xml:space="preserve"> [CrossRef]</w:t>
      </w:r>
    </w:p>
    <w:p>
      <w:pPr>
        <w:pStyle w:val="MDPI32textnoindent"/>
        <w:spacing w:line="240" w:lineRule="auto" w:before="0" w:after="40"/>
        <w:ind w:left="425" w:hanging="425"/>
        <w:tabs>
          <w:tab w:val="left" w:pos="425"/>
        </w:tabs>
      </w:pPr>
      <w:bookmarkStart w:id="1092" w:name="_Ref_92"/>
      <w:r>
        <w:rPr>
          <w:b w:val="0"/>
          <w:sz w:val="18"/>
        </w:rPr>
        <w:t>92</w:t>
      </w:r>
      <w:bookmarkEnd w:id="1092"/>
      <w:r>
        <w:rPr>
          <w:sz w:val="18"/>
        </w:rPr>
        <w:t>.</w:t>
        <w:tab/>
      </w:r>
      <w:r>
        <w:rPr>
          <w:b w:val="0"/>
          <w:i w:val="0"/>
          <w:sz w:val="18"/>
        </w:rPr>
        <w:t xml:space="preserve">Bartlett, M.S. </w:t>
      </w:r>
      <w:r>
        <w:rPr>
          <w:b w:val="0"/>
          <w:i w:val="0"/>
          <w:sz w:val="18"/>
        </w:rPr>
        <w:t xml:space="preserve">Tests of Significance in Factor Analysis. </w:t>
      </w:r>
      <w:r>
        <w:rPr>
          <w:b w:val="0"/>
          <w:i/>
          <w:sz w:val="18"/>
        </w:rPr>
        <w:t xml:space="preserve">Br. J. Stat. Psychol. </w:t>
      </w:r>
      <w:r>
        <w:rPr>
          <w:b/>
          <w:i w:val="0"/>
          <w:sz w:val="18"/>
        </w:rPr>
        <w:t>1950</w:t>
      </w:r>
      <w:r>
        <w:rPr>
          <w:b w:val="0"/>
          <w:i w:val="0"/>
          <w:sz w:val="18"/>
        </w:rPr>
        <w:t xml:space="preserve">, </w:t>
      </w:r>
      <w:r>
        <w:rPr>
          <w:b w:val="0"/>
          <w:i/>
          <w:sz w:val="18"/>
        </w:rPr>
        <w:t>3</w:t>
      </w:r>
      <w:r>
        <w:rPr>
          <w:b w:val="0"/>
          <w:i w:val="0"/>
          <w:sz w:val="18"/>
        </w:rPr>
        <w:t>, 77–85.</w:t>
      </w:r>
      <w:r>
        <w:rPr>
          <w:b w:val="0"/>
          <w:i w:val="0"/>
          <w:sz w:val="18"/>
        </w:rPr>
        <w:t xml:space="preserve"> [CrossRef]</w:t>
      </w:r>
    </w:p>
    <w:p>
      <w:pPr>
        <w:pStyle w:val="MDPI32textnoindent"/>
        <w:spacing w:line="240" w:lineRule="auto" w:before="0" w:after="40"/>
        <w:ind w:left="425" w:hanging="425"/>
        <w:tabs>
          <w:tab w:val="left" w:pos="425"/>
        </w:tabs>
      </w:pPr>
      <w:bookmarkStart w:id="1093" w:name="_Ref_93"/>
      <w:r>
        <w:rPr>
          <w:b w:val="0"/>
          <w:sz w:val="18"/>
        </w:rPr>
        <w:t>93</w:t>
      </w:r>
      <w:bookmarkEnd w:id="1093"/>
      <w:r>
        <w:rPr>
          <w:sz w:val="18"/>
        </w:rPr>
        <w:t>.</w:t>
        <w:tab/>
      </w:r>
      <w:r>
        <w:rPr>
          <w:b w:val="0"/>
          <w:i w:val="0"/>
          <w:sz w:val="18"/>
        </w:rPr>
        <w:t xml:space="preserve">Everitt, B.S.; Landau, S.; Leese, M.; Stahl, D. </w:t>
      </w:r>
      <w:r>
        <w:rPr>
          <w:b w:val="0"/>
          <w:i/>
          <w:sz w:val="18"/>
        </w:rPr>
        <w:t>Cluster Analysis</w:t>
      </w:r>
      <w:r>
        <w:rPr>
          <w:b w:val="0"/>
          <w:i w:val="0"/>
          <w:sz w:val="18"/>
        </w:rPr>
        <w:t xml:space="preserve">, 5th ed.; </w:t>
      </w:r>
      <w:r>
        <w:rPr>
          <w:b w:val="0"/>
          <w:i w:val="0"/>
          <w:sz w:val="18"/>
        </w:rPr>
        <w:t>Wiley: Chichester, UK, 2011.</w:t>
      </w:r>
    </w:p>
    <w:p>
      <w:pPr>
        <w:pStyle w:val="MDPI32textnoindent"/>
        <w:spacing w:line="240" w:lineRule="auto" w:before="0" w:after="40"/>
        <w:ind w:left="425" w:hanging="425"/>
        <w:tabs>
          <w:tab w:val="left" w:pos="425"/>
        </w:tabs>
      </w:pPr>
      <w:bookmarkStart w:id="1094" w:name="_Ref_94"/>
      <w:r>
        <w:rPr>
          <w:b w:val="0"/>
          <w:sz w:val="18"/>
        </w:rPr>
        <w:t>94</w:t>
      </w:r>
      <w:bookmarkEnd w:id="1094"/>
      <w:r>
        <w:rPr>
          <w:sz w:val="18"/>
        </w:rPr>
        <w:t>.</w:t>
        <w:tab/>
      </w:r>
      <w:r>
        <w:rPr>
          <w:b w:val="0"/>
          <w:i w:val="0"/>
          <w:sz w:val="18"/>
        </w:rPr>
        <w:t xml:space="preserve">Jain, A.K. </w:t>
      </w:r>
      <w:r>
        <w:rPr>
          <w:b w:val="0"/>
          <w:i w:val="0"/>
          <w:sz w:val="18"/>
        </w:rPr>
        <w:t xml:space="preserve">Data Clustering: 50 Years beyond K-Means. </w:t>
      </w:r>
      <w:r>
        <w:rPr>
          <w:b w:val="0"/>
          <w:i/>
          <w:sz w:val="18"/>
        </w:rPr>
        <w:t xml:space="preserve">Pattern Recognit. Lett. </w:t>
      </w:r>
      <w:r>
        <w:rPr>
          <w:b/>
          <w:i w:val="0"/>
          <w:sz w:val="18"/>
        </w:rPr>
        <w:t>2010</w:t>
      </w:r>
      <w:r>
        <w:rPr>
          <w:b w:val="0"/>
          <w:i w:val="0"/>
          <w:sz w:val="18"/>
        </w:rPr>
        <w:t xml:space="preserve">, </w:t>
      </w:r>
      <w:r>
        <w:rPr>
          <w:b w:val="0"/>
          <w:i/>
          <w:sz w:val="18"/>
        </w:rPr>
        <w:t>31</w:t>
      </w:r>
      <w:r>
        <w:rPr>
          <w:b w:val="0"/>
          <w:i w:val="0"/>
          <w:sz w:val="18"/>
        </w:rPr>
        <w:t>, 651–666.</w:t>
      </w:r>
      <w:r>
        <w:rPr>
          <w:b w:val="0"/>
          <w:i w:val="0"/>
          <w:sz w:val="18"/>
        </w:rPr>
        <w:t xml:space="preserve"> [CrossRef]</w:t>
      </w:r>
    </w:p>
    <w:p>
      <w:pPr>
        <w:pStyle w:val="MDPI32textnoindent"/>
        <w:spacing w:line="240" w:lineRule="auto" w:before="0" w:after="40"/>
        <w:ind w:left="425" w:hanging="425"/>
        <w:tabs>
          <w:tab w:val="left" w:pos="425"/>
        </w:tabs>
      </w:pPr>
      <w:bookmarkStart w:id="1095" w:name="_Ref_95"/>
      <w:r>
        <w:rPr>
          <w:b w:val="0"/>
          <w:sz w:val="18"/>
        </w:rPr>
        <w:t>95</w:t>
      </w:r>
      <w:bookmarkEnd w:id="1095"/>
      <w:r>
        <w:rPr>
          <w:sz w:val="18"/>
        </w:rPr>
        <w:t>.</w:t>
        <w:tab/>
      </w:r>
      <w:r>
        <w:rPr>
          <w:b w:val="0"/>
          <w:i w:val="0"/>
          <w:sz w:val="18"/>
        </w:rPr>
        <w:t xml:space="preserve">Rousseeuw, P.J. </w:t>
      </w:r>
      <w:r>
        <w:rPr>
          <w:b w:val="0"/>
          <w:i w:val="0"/>
          <w:sz w:val="18"/>
        </w:rPr>
        <w:t xml:space="preserve">Silhouettes: A Graphical Aid to the Interpretation and Validation of Cluster Analysis. </w:t>
      </w:r>
      <w:r>
        <w:rPr>
          <w:b w:val="0"/>
          <w:i/>
          <w:sz w:val="18"/>
        </w:rPr>
        <w:t xml:space="preserve">J. Comput. Appl. Math. </w:t>
      </w:r>
      <w:r>
        <w:rPr>
          <w:b/>
          <w:i w:val="0"/>
          <w:sz w:val="18"/>
        </w:rPr>
        <w:t>1987</w:t>
      </w:r>
      <w:r>
        <w:rPr>
          <w:b w:val="0"/>
          <w:i w:val="0"/>
          <w:sz w:val="18"/>
        </w:rPr>
        <w:t xml:space="preserve">, </w:t>
      </w:r>
      <w:r>
        <w:rPr>
          <w:b w:val="0"/>
          <w:i/>
          <w:sz w:val="18"/>
        </w:rPr>
        <w:t>20</w:t>
      </w:r>
      <w:r>
        <w:rPr>
          <w:b w:val="0"/>
          <w:i w:val="0"/>
          <w:sz w:val="18"/>
        </w:rPr>
        <w:t>, 53–65.</w:t>
      </w:r>
      <w:r>
        <w:rPr>
          <w:b w:val="0"/>
          <w:i w:val="0"/>
          <w:sz w:val="18"/>
        </w:rPr>
        <w:t xml:space="preserve"> [CrossRef]</w:t>
      </w:r>
    </w:p>
    <w:p>
      <w:pPr>
        <w:pStyle w:val="MDPI32textnoindent"/>
        <w:spacing w:line="240" w:lineRule="auto" w:before="0" w:after="40"/>
        <w:ind w:left="425" w:hanging="425"/>
        <w:tabs>
          <w:tab w:val="left" w:pos="425"/>
        </w:tabs>
      </w:pPr>
      <w:bookmarkStart w:id="1096" w:name="_Ref_96"/>
      <w:r>
        <w:rPr>
          <w:b w:val="0"/>
          <w:sz w:val="18"/>
        </w:rPr>
        <w:t>96</w:t>
      </w:r>
      <w:bookmarkEnd w:id="1096"/>
      <w:r>
        <w:rPr>
          <w:sz w:val="18"/>
        </w:rPr>
        <w:t>.</w:t>
        <w:tab/>
      </w:r>
      <w:r>
        <w:rPr>
          <w:b w:val="0"/>
          <w:i w:val="0"/>
          <w:sz w:val="18"/>
        </w:rPr>
        <w:t xml:space="preserve">Autor, D. </w:t>
      </w:r>
      <w:r>
        <w:rPr>
          <w:b w:val="0"/>
          <w:i/>
          <w:sz w:val="18"/>
        </w:rPr>
        <w:t xml:space="preserve">Applying AI to Rebuild Middle Class Jobs; </w:t>
      </w:r>
      <w:r>
        <w:rPr>
          <w:b w:val="0"/>
          <w:i w:val="0"/>
          <w:sz w:val="18"/>
        </w:rPr>
        <w:t xml:space="preserve">NBER Working Paper 32140; </w:t>
      </w:r>
      <w:r>
        <w:rPr>
          <w:b w:val="0"/>
          <w:i w:val="0"/>
          <w:sz w:val="18"/>
        </w:rPr>
        <w:t>National Bureau of Economic Research: Cambridge, MA, USA, 2024.</w:t>
      </w:r>
    </w:p>
    <w:sectPr w:rsidR="003D34A1" w:rsidRPr="00B86B71" w:rsidSect="00C245DC">
      <w:headerReference w:type="even" r:id="rId11"/>
      <w:headerReference w:type="default" r:id="rId12"/>
      <w:footerReference w:type="default" r:id="rId13"/>
      <w:headerReference w:type="first" r:id="rId14"/>
      <w:footerReference w:type="first" r:id="rId15"/>
      <w:footerReference w:type="even" r:id="rId22"/>
      <w:type w:val="continuous"/>
      <w:pgSz w:w="11906" w:h="16838" w:code="9"/>
      <w:pgMar w:top="1417" w:right="720" w:bottom="907" w:left="720" w:header="720" w:footer="612" w:gutter="0"/>
      <w:lnNumType w:countBy="1" w:distance="255" w:restart="continuous"/>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C0D8D" w14:textId="77777777" w:rsidR="00042A41" w:rsidRPr="00FA5AAF" w:rsidRDefault="00042A41">
      <w:pPr>
        <w:spacing w:line="240" w:lineRule="auto"/>
      </w:pPr>
      <w:r w:rsidRPr="00FA5AAF">
        <w:separator/>
      </w:r>
    </w:p>
  </w:endnote>
  <w:endnote w:type="continuationSeparator" w:id="0">
    <w:p w14:paraId="0A21264B" w14:textId="77777777" w:rsidR="00042A41" w:rsidRPr="00FA5AAF" w:rsidRDefault="00042A41">
      <w:pPr>
        <w:spacing w:line="240" w:lineRule="auto"/>
      </w:pPr>
      <w:r w:rsidRPr="00FA5AA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723B7" w14:textId="77777777" w:rsidR="00697B5A" w:rsidRPr="00FA5AAF" w:rsidRDefault="00697B5A" w:rsidP="00697B5A">
    <w:pPr>
      <w:pStyle w:val="Footer"/>
      <w:spacing w:line="240" w:lineRule="auto"/>
      <w:suppressLineNumber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C9B57" w14:textId="77777777" w:rsidR="00CF1526" w:rsidRPr="00FA5AAF" w:rsidRDefault="00CF1526" w:rsidP="00942152">
    <w:pPr>
      <w:pBdr>
        <w:top w:val="single" w:sz="4" w:space="0" w:color="000000"/>
      </w:pBdr>
      <w:tabs>
        <w:tab w:val="right" w:pos="8844"/>
      </w:tabs>
      <w:adjustRightInd w:val="0"/>
      <w:snapToGrid w:val="0"/>
      <w:spacing w:before="480" w:line="100" w:lineRule="exact"/>
      <w:jc w:val="left"/>
      <w:rPr>
        <w:i/>
        <w:sz w:val="16"/>
        <w:szCs w:val="16"/>
      </w:rPr>
      <w:suppressLineNumbers/>
    </w:pPr>
  </w:p>
  <w:p w14:paraId="2F5022B6" w14:textId="22010ACB" w:rsidR="00697B5A" w:rsidRPr="00FA5AAF" w:rsidRDefault="00697B5A" w:rsidP="007E21E9">
    <w:pPr>
      <w:tabs>
        <w:tab w:val="right" w:pos="10466"/>
      </w:tabs>
      <w:adjustRightInd w:val="0"/>
      <w:snapToGrid w:val="0"/>
      <w:spacing w:line="240" w:lineRule="auto"/>
      <w:rPr>
        <w:sz w:val="16"/>
        <w:szCs w:val="16"/>
      </w:rPr>
      <w:suppressLineNumbers/>
    </w:pPr>
    <w:r w:rsidRPr="00FA5AAF">
      <w:rPr>
        <w:i/>
        <w:sz w:val="16"/>
        <w:szCs w:val="16"/>
      </w:rPr>
      <w:t xml:space="preserve">Systems </w:t>
    </w:r>
    <w:r w:rsidR="00C245DC" w:rsidRPr="00FA5AAF">
      <w:rPr>
        <w:b/>
        <w:bCs/>
        <w:iCs/>
        <w:sz w:val="16"/>
        <w:szCs w:val="16"/>
      </w:rPr>
      <w:t>2025</w:t>
    </w:r>
    <w:r w:rsidR="00C047A0" w:rsidRPr="00FA5AAF">
      <w:rPr>
        <w:bCs/>
        <w:iCs/>
        <w:sz w:val="16"/>
        <w:szCs w:val="16"/>
      </w:rPr>
      <w:t>,</w:t>
    </w:r>
    <w:r w:rsidR="00C245DC" w:rsidRPr="00FA5AAF">
      <w:rPr>
        <w:bCs/>
        <w:i/>
        <w:iCs/>
        <w:sz w:val="16"/>
        <w:szCs w:val="16"/>
      </w:rPr>
      <w:t xml:space="preserve"> 13</w:t>
    </w:r>
    <w:r w:rsidR="00C047A0" w:rsidRPr="00FA5AAF">
      <w:rPr>
        <w:bCs/>
        <w:iCs/>
        <w:sz w:val="16"/>
        <w:szCs w:val="16"/>
      </w:rPr>
      <w:t xml:space="preserve">, </w:t>
    </w:r>
    <w:r w:rsidR="005F1025" w:rsidRPr="00FA5AAF">
      <w:rPr>
        <w:bCs/>
        <w:iCs/>
        <w:sz w:val="16"/>
        <w:szCs w:val="16"/>
      </w:rPr>
      <w:t>x</w:t>
    </w:r>
    <w:r w:rsidR="007E21E9" w:rsidRPr="00FA5AAF">
      <w:rPr>
        <w:sz w:val="16"/>
        <w:szCs w:val="16"/>
      </w:rPr>
      <w:tab/>
    </w:r>
    <w:r w:rsidR="00C245DC" w:rsidRPr="00FA5AAF">
      <w:rPr>
        <w:sz w:val="16"/>
        <w:szCs w:val="16"/>
      </w:rPr>
      <w:t>https://doi.org/10.3390/xxxxx</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uppressLineNumber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28F93" w14:textId="77777777" w:rsidR="00042A41" w:rsidRPr="00FA5AAF" w:rsidRDefault="00042A41">
      <w:pPr>
        <w:spacing w:line="240" w:lineRule="auto"/>
      </w:pPr>
      <w:r w:rsidRPr="00FA5AAF">
        <w:separator/>
      </w:r>
    </w:p>
  </w:footnote>
  <w:footnote w:type="continuationSeparator" w:id="0">
    <w:p w14:paraId="571C0C7B" w14:textId="77777777" w:rsidR="00042A41" w:rsidRPr="00FA5AAF" w:rsidRDefault="00042A41">
      <w:pPr>
        <w:spacing w:line="240" w:lineRule="auto"/>
      </w:pPr>
      <w:r w:rsidRPr="00FA5AA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89A58" w14:textId="77777777" w:rsidR="00697B5A" w:rsidRPr="00FA5AAF" w:rsidRDefault="00697B5A" w:rsidP="00697B5A">
    <w:pPr>
      <w:pStyle w:val="Header"/>
      <w:pBdr>
        <w:bottom w:val="none" w:sz="0" w:space="0" w:color="auto"/>
      </w:pBdr>
      <w:suppressLineNumber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740F5" w14:textId="333822ED" w:rsidR="00CF1526" w:rsidRPr="00FA5AAF" w:rsidRDefault="00697B5A" w:rsidP="007E21E9">
    <w:pPr>
      <w:tabs>
        <w:tab w:val="right" w:pos="10466"/>
      </w:tabs>
      <w:adjustRightInd w:val="0"/>
      <w:snapToGrid w:val="0"/>
      <w:spacing w:line="240" w:lineRule="auto"/>
      <w:rPr>
        <w:sz w:val="16"/>
      </w:rPr>
      <w:suppressLineNumbers/>
    </w:pPr>
    <w:r w:rsidRPr="00FA5AAF">
      <w:rPr>
        <w:i/>
        <w:sz w:val="16"/>
      </w:rPr>
      <w:t xml:space="preserve">Systems </w:t>
    </w:r>
    <w:r w:rsidR="00C245DC" w:rsidRPr="00FA5AAF">
      <w:rPr>
        <w:b/>
        <w:sz w:val="16"/>
      </w:rPr>
      <w:t>2025</w:t>
    </w:r>
    <w:r w:rsidR="00C047A0" w:rsidRPr="00FA5AAF">
      <w:rPr>
        <w:sz w:val="16"/>
      </w:rPr>
      <w:t>,</w:t>
    </w:r>
    <w:r w:rsidR="00C245DC" w:rsidRPr="00FA5AAF">
      <w:rPr>
        <w:i/>
        <w:sz w:val="16"/>
      </w:rPr>
      <w:t xml:space="preserve"> 13</w:t>
    </w:r>
    <w:r w:rsidR="005F1025" w:rsidRPr="00FA5AAF">
      <w:rPr>
        <w:sz w:val="16"/>
      </w:rPr>
      <w:t xml:space="preserve">, x </w:t>
    </w:r>
    <w:r w:rsidR="00C245DC" w:rsidRPr="00FA5AAF">
      <w:rPr>
        <w:sz w:val="16"/>
      </w:rPr>
      <w:t>FOR PEER REVIEW</w:t>
    </w:r>
    <w:r w:rsidR="00C245DC" w:rsidRPr="00FA5AAF">
      <w:rPr>
        <w:sz w:val="16"/>
      </w:rPr>
      <w:ptab w:relativeTo="margin" w:alignment="right" w:leader="none"/>
    </w:r>
    <w:r w:rsidR="00C245DC" w:rsidRPr="00FA5AAF">
      <w:rPr>
        <w:sz w:val="16"/>
      </w:rPr>
      <w:fldChar w:fldCharType="begin"/>
    </w:r>
    <w:r w:rsidR="00C245DC" w:rsidRPr="00FA5AAF">
      <w:rPr>
        <w:sz w:val="16"/>
      </w:rPr>
      <w:instrText xml:space="preserve"> PAGE   \* MERGEFORMAT </w:instrText>
    </w:r>
    <w:r w:rsidR="00C245DC" w:rsidRPr="00FA5AAF">
      <w:rPr>
        <w:sz w:val="16"/>
      </w:rPr>
      <w:fldChar w:fldCharType="separate"/>
    </w:r>
    <w:r w:rsidR="00C245DC" w:rsidRPr="00FA5AAF">
      <w:rPr>
        <w:sz w:val="16"/>
      </w:rPr>
      <w:t>2</w:t>
    </w:r>
    <w:r w:rsidR="00C245DC" w:rsidRPr="00FA5AAF">
      <w:rPr>
        <w:sz w:val="16"/>
      </w:rPr>
      <w:fldChar w:fldCharType="end"/>
    </w:r>
    <w:r w:rsidR="00C245DC" w:rsidRPr="00FA5AAF">
      <w:rPr>
        <w:sz w:val="16"/>
      </w:rPr>
      <w:t xml:space="preserve"> of </w:t>
    </w:r>
    <w:r w:rsidR="00C245DC" w:rsidRPr="00FA5AAF">
      <w:rPr>
        <w:sz w:val="16"/>
      </w:rPr>
      <w:fldChar w:fldCharType="begin"/>
    </w:r>
    <w:r w:rsidR="00C245DC" w:rsidRPr="00FA5AAF">
      <w:rPr>
        <w:sz w:val="16"/>
      </w:rPr>
      <w:instrText xml:space="preserve"> NUMPAGES   \* MERGEFORMAT </w:instrText>
    </w:r>
    <w:r w:rsidR="00C245DC" w:rsidRPr="00FA5AAF">
      <w:rPr>
        <w:sz w:val="16"/>
      </w:rPr>
      <w:fldChar w:fldCharType="separate"/>
    </w:r>
    <w:r w:rsidR="00C245DC" w:rsidRPr="00FA5AAF">
      <w:rPr>
        <w:sz w:val="16"/>
      </w:rPr>
      <w:t>8</w:t>
    </w:r>
    <w:r w:rsidR="00C245DC" w:rsidRPr="00FA5AAF">
      <w:rPr>
        <w:sz w:val="16"/>
      </w:rPr>
      <w:fldChar w:fldCharType="end"/>
    </w:r>
  </w:p>
  <w:p w14:paraId="2153CD40" w14:textId="77777777" w:rsidR="00697B5A" w:rsidRPr="00FA5AAF" w:rsidRDefault="00697B5A" w:rsidP="00942152">
    <w:pPr>
      <w:pBdr>
        <w:bottom w:val="single" w:sz="4" w:space="1" w:color="000000"/>
      </w:pBdr>
      <w:tabs>
        <w:tab w:val="right" w:pos="8844"/>
      </w:tabs>
      <w:adjustRightInd w:val="0"/>
      <w:snapToGrid w:val="0"/>
      <w:spacing w:after="480" w:line="100" w:lineRule="exact"/>
      <w:jc w:val="left"/>
      <w:rPr>
        <w:sz w:val="16"/>
      </w:rPr>
      <w:suppressLineNumber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CF1526" w:rsidRPr="00FA5AAF" w14:paraId="64528AE3" w14:textId="77777777" w:rsidTr="003D5EB7">
      <w:trPr>
        <w:trHeight w:val="686"/>
      </w:trPr>
      <w:tc>
        <w:tcPr>
          <w:tcW w:w="3679" w:type="dxa"/>
          <w:shd w:val="clear" w:color="auto" w:fill="auto"/>
          <w:vAlign w:val="center"/>
        </w:tcPr>
        <w:p w14:paraId="17A05555" w14:textId="19B635A0" w:rsidR="00CF1526" w:rsidRPr="00FA5AAF" w:rsidRDefault="00686F99" w:rsidP="007E21E9">
          <w:pPr>
            <w:pStyle w:val="Header"/>
            <w:pBdr>
              <w:bottom w:val="none" w:sz="0" w:space="0" w:color="auto"/>
            </w:pBdr>
            <w:jc w:val="left"/>
            <w:rPr>
              <w:rFonts w:eastAsia="等线"/>
              <w:b/>
              <w:bCs/>
            </w:rPr>
            <w:suppressLineNumbers/>
          </w:pPr>
          <w:r w:rsidRPr="00FA5AAF">
            <w:rPr>
              <w:rFonts w:eastAsia="等线"/>
              <w:b/>
              <w:bCs/>
              <w:noProof/>
            </w:rPr>
            <w:drawing>
              <wp:inline distT="0" distB="0" distL="0" distR="0" wp14:anchorId="7E33E9A7" wp14:editId="320F0D53">
                <wp:extent cx="1210817" cy="432000"/>
                <wp:effectExtent l="0" t="0" r="8890" b="6350"/>
                <wp:docPr id="156332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21446" name=""/>
                        <pic:cNvPicPr/>
                      </pic:nvPicPr>
                      <pic:blipFill>
                        <a:blip r:embed="rId1"/>
                        <a:stretch>
                          <a:fillRect/>
                        </a:stretch>
                      </pic:blipFill>
                      <pic:spPr>
                        <a:xfrm>
                          <a:off x="0" y="0"/>
                          <a:ext cx="1210817" cy="432000"/>
                        </a:xfrm>
                        <a:prstGeom prst="rect">
                          <a:avLst/>
                        </a:prstGeom>
                      </pic:spPr>
                    </pic:pic>
                  </a:graphicData>
                </a:graphic>
              </wp:inline>
            </w:drawing>
          </w:r>
        </w:p>
      </w:tc>
      <w:tc>
        <w:tcPr>
          <w:tcW w:w="4535" w:type="dxa"/>
          <w:shd w:val="clear" w:color="auto" w:fill="auto"/>
          <w:vAlign w:val="center"/>
        </w:tcPr>
        <w:p w14:paraId="7CF66176" w14:textId="77777777" w:rsidR="00CF1526" w:rsidRPr="00FA5AAF" w:rsidRDefault="00CF1526" w:rsidP="007E21E9">
          <w:pPr>
            <w:pStyle w:val="Header"/>
            <w:pBdr>
              <w:bottom w:val="none" w:sz="0" w:space="0" w:color="auto"/>
            </w:pBdr>
            <w:rPr>
              <w:rFonts w:eastAsia="等线"/>
              <w:b/>
              <w:bCs/>
            </w:rPr>
            <w:suppressLineNumbers/>
          </w:pPr>
        </w:p>
      </w:tc>
      <w:tc>
        <w:tcPr>
          <w:tcW w:w="2273" w:type="dxa"/>
          <w:shd w:val="clear" w:color="auto" w:fill="auto"/>
          <w:vAlign w:val="center"/>
        </w:tcPr>
        <w:p w14:paraId="1305E5EE" w14:textId="25C19A66" w:rsidR="00CF1526" w:rsidRPr="00FA5AAF" w:rsidRDefault="003D5EB7" w:rsidP="003D5EB7">
          <w:pPr>
            <w:pStyle w:val="Header"/>
            <w:pBdr>
              <w:bottom w:val="none" w:sz="0" w:space="0" w:color="auto"/>
            </w:pBdr>
            <w:jc w:val="right"/>
            <w:rPr>
              <w:rFonts w:eastAsia="等线"/>
              <w:b/>
              <w:bCs/>
            </w:rPr>
            <w:suppressLineNumbers/>
          </w:pPr>
          <w:r w:rsidRPr="00FA5AAF">
            <w:rPr>
              <w:rFonts w:eastAsia="等线"/>
              <w:b/>
              <w:bCs/>
              <w:noProof/>
            </w:rPr>
            <w:drawing>
              <wp:inline distT="0" distB="0" distL="0" distR="0" wp14:anchorId="0F4CF8B9" wp14:editId="58D9554F">
                <wp:extent cx="540000" cy="360000"/>
                <wp:effectExtent l="0" t="0" r="0" b="2540"/>
                <wp:docPr id="815455501" name="Picture 1"/>
                <wp:cNvGraphicFramePr/>
                <a:graphic xmlns:a="http://schemas.openxmlformats.org/drawingml/2006/main">
                  <a:graphicData uri="http://schemas.openxmlformats.org/drawingml/2006/picture">
                    <pic:pic xmlns:pic="http://schemas.openxmlformats.org/drawingml/2006/picture">
                      <pic:nvPicPr>
                        <pic:cNvPr id="815455501" name=""/>
                        <pic:cNvPicPr/>
                      </pic:nvPicPr>
                      <pic:blipFill>
                        <a:blip r:embed="rId2"/>
                        <a:stretch>
                          <a:fillRect/>
                        </a:stretch>
                      </pic:blipFill>
                      <pic:spPr>
                        <a:xfrm>
                          <a:off x="0" y="0"/>
                          <a:ext cx="540000" cy="360000"/>
                        </a:xfrm>
                        <a:prstGeom prst="rect">
                          <a:avLst/>
                        </a:prstGeom>
                      </pic:spPr>
                    </pic:pic>
                  </a:graphicData>
                </a:graphic>
              </wp:inline>
            </w:drawing>
          </w:r>
        </w:p>
      </w:tc>
    </w:tr>
  </w:tbl>
  <w:p w14:paraId="4DA725D8" w14:textId="77777777" w:rsidR="00697B5A" w:rsidRPr="00FA5AAF" w:rsidRDefault="00697B5A" w:rsidP="00C245DC">
    <w:pPr>
      <w:pBdr>
        <w:bottom w:val="single" w:sz="4" w:space="1" w:color="000000"/>
      </w:pBdr>
      <w:adjustRightInd w:val="0"/>
      <w:snapToGrid w:val="0"/>
      <w:spacing w:before="120" w:line="100" w:lineRule="exact"/>
      <w:jc w:val="left"/>
      <w:suppressLineNumber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E1431"/>
    <w:multiLevelType w:val="hybridMultilevel"/>
    <w:tmpl w:val="A61AAF98"/>
    <w:lvl w:ilvl="0" w:tplc="D848CE30">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E7903E34"/>
    <w:lvl w:ilvl="0" w:tplc="2A78C5DA">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7" w15:restartNumberingAfterBreak="0">
    <w:nsid w:val="42114A6C"/>
    <w:multiLevelType w:val="hybridMultilevel"/>
    <w:tmpl w:val="CC4E641A"/>
    <w:lvl w:ilvl="0" w:tplc="3F1A14D6">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5DC474D"/>
    <w:multiLevelType w:val="hybridMultilevel"/>
    <w:tmpl w:val="92AEC3E0"/>
    <w:lvl w:ilvl="0" w:tplc="C7E4EB54">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num w:numId="1" w16cid:durableId="142891102">
    <w:abstractNumId w:val="4"/>
  </w:num>
  <w:num w:numId="2" w16cid:durableId="948045547">
    <w:abstractNumId w:val="6"/>
  </w:num>
  <w:num w:numId="3" w16cid:durableId="1557161254">
    <w:abstractNumId w:val="3"/>
  </w:num>
  <w:num w:numId="4" w16cid:durableId="20660993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01730135">
    <w:abstractNumId w:val="5"/>
  </w:num>
  <w:num w:numId="6" w16cid:durableId="685132415">
    <w:abstractNumId w:val="9"/>
  </w:num>
  <w:num w:numId="7" w16cid:durableId="1862694624">
    <w:abstractNumId w:val="2"/>
  </w:num>
  <w:num w:numId="8" w16cid:durableId="1063598598">
    <w:abstractNumId w:val="9"/>
  </w:num>
  <w:num w:numId="9" w16cid:durableId="1656185621">
    <w:abstractNumId w:val="2"/>
  </w:num>
  <w:num w:numId="10" w16cid:durableId="2055427729">
    <w:abstractNumId w:val="9"/>
  </w:num>
  <w:num w:numId="11" w16cid:durableId="589847698">
    <w:abstractNumId w:val="2"/>
  </w:num>
  <w:num w:numId="12" w16cid:durableId="1759599816">
    <w:abstractNumId w:val="10"/>
  </w:num>
  <w:num w:numId="13" w16cid:durableId="624196927">
    <w:abstractNumId w:val="9"/>
  </w:num>
  <w:num w:numId="14" w16cid:durableId="17394898">
    <w:abstractNumId w:val="2"/>
  </w:num>
  <w:num w:numId="15" w16cid:durableId="2087678822">
    <w:abstractNumId w:val="1"/>
  </w:num>
  <w:num w:numId="16" w16cid:durableId="1671523435">
    <w:abstractNumId w:val="8"/>
  </w:num>
  <w:num w:numId="17" w16cid:durableId="1772772747">
    <w:abstractNumId w:val="0"/>
  </w:num>
  <w:num w:numId="18" w16cid:durableId="146285709">
    <w:abstractNumId w:val="9"/>
  </w:num>
  <w:num w:numId="19" w16cid:durableId="773982015">
    <w:abstractNumId w:val="2"/>
  </w:num>
  <w:num w:numId="20" w16cid:durableId="2070960159">
    <w:abstractNumId w:val="1"/>
  </w:num>
  <w:num w:numId="21" w16cid:durableId="1475757333">
    <w:abstractNumId w:val="7"/>
  </w:num>
  <w:num w:numId="22" w16cid:durableId="577398895">
    <w:abstractNumId w:val="11"/>
  </w:num>
  <w:num w:numId="23" w16cid:durableId="1891259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241"/>
    <w:rsid w:val="00024355"/>
    <w:rsid w:val="000273DF"/>
    <w:rsid w:val="00030C02"/>
    <w:rsid w:val="00042A41"/>
    <w:rsid w:val="00052E90"/>
    <w:rsid w:val="000724B2"/>
    <w:rsid w:val="00096207"/>
    <w:rsid w:val="000B02FD"/>
    <w:rsid w:val="000B1763"/>
    <w:rsid w:val="000E5122"/>
    <w:rsid w:val="000F06FD"/>
    <w:rsid w:val="00107006"/>
    <w:rsid w:val="001566B5"/>
    <w:rsid w:val="00173241"/>
    <w:rsid w:val="001807D0"/>
    <w:rsid w:val="001A3141"/>
    <w:rsid w:val="001A4946"/>
    <w:rsid w:val="001B15BB"/>
    <w:rsid w:val="001B1E4C"/>
    <w:rsid w:val="001B3476"/>
    <w:rsid w:val="001C4F5D"/>
    <w:rsid w:val="001D3F55"/>
    <w:rsid w:val="001E2AEB"/>
    <w:rsid w:val="001F333C"/>
    <w:rsid w:val="001F6B2A"/>
    <w:rsid w:val="00212227"/>
    <w:rsid w:val="0021537E"/>
    <w:rsid w:val="00217EE2"/>
    <w:rsid w:val="0024581C"/>
    <w:rsid w:val="00274866"/>
    <w:rsid w:val="00290CA2"/>
    <w:rsid w:val="00291165"/>
    <w:rsid w:val="00295161"/>
    <w:rsid w:val="002B4C82"/>
    <w:rsid w:val="002C420F"/>
    <w:rsid w:val="002D0DC4"/>
    <w:rsid w:val="003212F5"/>
    <w:rsid w:val="003234A8"/>
    <w:rsid w:val="00326141"/>
    <w:rsid w:val="0033365D"/>
    <w:rsid w:val="0033394C"/>
    <w:rsid w:val="00386F7E"/>
    <w:rsid w:val="003A5C3C"/>
    <w:rsid w:val="003C7481"/>
    <w:rsid w:val="003D34A1"/>
    <w:rsid w:val="003D5EB7"/>
    <w:rsid w:val="003E1CB9"/>
    <w:rsid w:val="003F37F7"/>
    <w:rsid w:val="00401D30"/>
    <w:rsid w:val="00402B74"/>
    <w:rsid w:val="00402BA1"/>
    <w:rsid w:val="00411E95"/>
    <w:rsid w:val="0042259B"/>
    <w:rsid w:val="00463FB0"/>
    <w:rsid w:val="004701FA"/>
    <w:rsid w:val="00473F73"/>
    <w:rsid w:val="0048675C"/>
    <w:rsid w:val="00491A38"/>
    <w:rsid w:val="004A44EE"/>
    <w:rsid w:val="004C2D9F"/>
    <w:rsid w:val="004D586B"/>
    <w:rsid w:val="004E1514"/>
    <w:rsid w:val="004E661E"/>
    <w:rsid w:val="0052050E"/>
    <w:rsid w:val="005352E0"/>
    <w:rsid w:val="00545B32"/>
    <w:rsid w:val="005546D2"/>
    <w:rsid w:val="00567F4C"/>
    <w:rsid w:val="005778BD"/>
    <w:rsid w:val="005944E0"/>
    <w:rsid w:val="00597CEF"/>
    <w:rsid w:val="005B6B9B"/>
    <w:rsid w:val="005C2797"/>
    <w:rsid w:val="005C4752"/>
    <w:rsid w:val="005D49F7"/>
    <w:rsid w:val="005E64C3"/>
    <w:rsid w:val="005F1025"/>
    <w:rsid w:val="00602843"/>
    <w:rsid w:val="006060F0"/>
    <w:rsid w:val="00621CD0"/>
    <w:rsid w:val="00631236"/>
    <w:rsid w:val="00662367"/>
    <w:rsid w:val="00667908"/>
    <w:rsid w:val="0068146A"/>
    <w:rsid w:val="00682756"/>
    <w:rsid w:val="0068346F"/>
    <w:rsid w:val="00686F99"/>
    <w:rsid w:val="00691935"/>
    <w:rsid w:val="00692393"/>
    <w:rsid w:val="00692EF9"/>
    <w:rsid w:val="00696B45"/>
    <w:rsid w:val="00696F7D"/>
    <w:rsid w:val="0069792F"/>
    <w:rsid w:val="00697B5A"/>
    <w:rsid w:val="006A501D"/>
    <w:rsid w:val="006A61B7"/>
    <w:rsid w:val="006C34CE"/>
    <w:rsid w:val="006F3EB8"/>
    <w:rsid w:val="00700834"/>
    <w:rsid w:val="00706180"/>
    <w:rsid w:val="00711C35"/>
    <w:rsid w:val="0072104A"/>
    <w:rsid w:val="007267C3"/>
    <w:rsid w:val="00726AE9"/>
    <w:rsid w:val="00745775"/>
    <w:rsid w:val="00746DB9"/>
    <w:rsid w:val="00752DC1"/>
    <w:rsid w:val="0075693E"/>
    <w:rsid w:val="00787A94"/>
    <w:rsid w:val="007A45A6"/>
    <w:rsid w:val="007A5599"/>
    <w:rsid w:val="007C63CB"/>
    <w:rsid w:val="007E21E9"/>
    <w:rsid w:val="008046B5"/>
    <w:rsid w:val="00825361"/>
    <w:rsid w:val="00826DC7"/>
    <w:rsid w:val="00844CCF"/>
    <w:rsid w:val="00852894"/>
    <w:rsid w:val="00853F7A"/>
    <w:rsid w:val="00855A5A"/>
    <w:rsid w:val="00860B4F"/>
    <w:rsid w:val="00862970"/>
    <w:rsid w:val="00865AC6"/>
    <w:rsid w:val="00880CDC"/>
    <w:rsid w:val="00894AF0"/>
    <w:rsid w:val="008B2F77"/>
    <w:rsid w:val="008B355C"/>
    <w:rsid w:val="00906CDA"/>
    <w:rsid w:val="00920CE2"/>
    <w:rsid w:val="00931D46"/>
    <w:rsid w:val="00933543"/>
    <w:rsid w:val="00942152"/>
    <w:rsid w:val="009711A9"/>
    <w:rsid w:val="00973C3F"/>
    <w:rsid w:val="00974BF0"/>
    <w:rsid w:val="00991250"/>
    <w:rsid w:val="0099645E"/>
    <w:rsid w:val="009F65D2"/>
    <w:rsid w:val="009F70E6"/>
    <w:rsid w:val="009F7EF7"/>
    <w:rsid w:val="00A0209A"/>
    <w:rsid w:val="00A0510E"/>
    <w:rsid w:val="00A27049"/>
    <w:rsid w:val="00A50BAC"/>
    <w:rsid w:val="00A62098"/>
    <w:rsid w:val="00A87F05"/>
    <w:rsid w:val="00A96919"/>
    <w:rsid w:val="00AB1C83"/>
    <w:rsid w:val="00AB2CFC"/>
    <w:rsid w:val="00AB7F9D"/>
    <w:rsid w:val="00AC011A"/>
    <w:rsid w:val="00AD0917"/>
    <w:rsid w:val="00AE3076"/>
    <w:rsid w:val="00AE78A6"/>
    <w:rsid w:val="00AF4572"/>
    <w:rsid w:val="00B227AE"/>
    <w:rsid w:val="00B3089C"/>
    <w:rsid w:val="00B44A3E"/>
    <w:rsid w:val="00B50D0A"/>
    <w:rsid w:val="00B5395F"/>
    <w:rsid w:val="00B619EF"/>
    <w:rsid w:val="00B70A81"/>
    <w:rsid w:val="00B831DB"/>
    <w:rsid w:val="00B86B71"/>
    <w:rsid w:val="00B97843"/>
    <w:rsid w:val="00BA0752"/>
    <w:rsid w:val="00BA697E"/>
    <w:rsid w:val="00BB4ECE"/>
    <w:rsid w:val="00BB65AA"/>
    <w:rsid w:val="00BC1DAF"/>
    <w:rsid w:val="00BD0190"/>
    <w:rsid w:val="00BD78F6"/>
    <w:rsid w:val="00BE46B3"/>
    <w:rsid w:val="00BF2449"/>
    <w:rsid w:val="00BF5B29"/>
    <w:rsid w:val="00BF72BA"/>
    <w:rsid w:val="00C047A0"/>
    <w:rsid w:val="00C12FD6"/>
    <w:rsid w:val="00C20ADD"/>
    <w:rsid w:val="00C245DC"/>
    <w:rsid w:val="00C2479E"/>
    <w:rsid w:val="00C51301"/>
    <w:rsid w:val="00C551F8"/>
    <w:rsid w:val="00C57C44"/>
    <w:rsid w:val="00C77DFC"/>
    <w:rsid w:val="00CB1365"/>
    <w:rsid w:val="00CD2C47"/>
    <w:rsid w:val="00CD4E06"/>
    <w:rsid w:val="00CE1FFF"/>
    <w:rsid w:val="00CE47B8"/>
    <w:rsid w:val="00CF1526"/>
    <w:rsid w:val="00D0346E"/>
    <w:rsid w:val="00D04039"/>
    <w:rsid w:val="00D21345"/>
    <w:rsid w:val="00D22698"/>
    <w:rsid w:val="00D42C10"/>
    <w:rsid w:val="00D474EE"/>
    <w:rsid w:val="00D552C0"/>
    <w:rsid w:val="00D63E61"/>
    <w:rsid w:val="00D802CB"/>
    <w:rsid w:val="00DD53BE"/>
    <w:rsid w:val="00DD6B43"/>
    <w:rsid w:val="00DE5229"/>
    <w:rsid w:val="00E03F3D"/>
    <w:rsid w:val="00E10DAA"/>
    <w:rsid w:val="00E2035E"/>
    <w:rsid w:val="00E56996"/>
    <w:rsid w:val="00E74221"/>
    <w:rsid w:val="00EA1995"/>
    <w:rsid w:val="00EA2E33"/>
    <w:rsid w:val="00EB578D"/>
    <w:rsid w:val="00EB627A"/>
    <w:rsid w:val="00EC3E5C"/>
    <w:rsid w:val="00ED31D0"/>
    <w:rsid w:val="00F06AB4"/>
    <w:rsid w:val="00F073E1"/>
    <w:rsid w:val="00F10D3F"/>
    <w:rsid w:val="00F147BC"/>
    <w:rsid w:val="00F179A9"/>
    <w:rsid w:val="00F34FEE"/>
    <w:rsid w:val="00F358F1"/>
    <w:rsid w:val="00F3641D"/>
    <w:rsid w:val="00F40B07"/>
    <w:rsid w:val="00F47333"/>
    <w:rsid w:val="00F50D7B"/>
    <w:rsid w:val="00F51ED6"/>
    <w:rsid w:val="00F5210F"/>
    <w:rsid w:val="00F8722C"/>
    <w:rsid w:val="00FA5AAF"/>
    <w:rsid w:val="00FD300C"/>
    <w:rsid w:val="00FD4B6A"/>
    <w:rsid w:val="00FE2998"/>
    <w:rsid w:val="00FE3D1A"/>
    <w:rsid w:val="00FF03E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782C9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4A1"/>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3D34A1"/>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3D34A1"/>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3D34A1"/>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3D34A1"/>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3D34A1"/>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3D34A1"/>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3D34A1"/>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3D34A1"/>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173241"/>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3D34A1"/>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3D34A1"/>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3D34A1"/>
    <w:rPr>
      <w:rFonts w:ascii="Palatino Linotype" w:hAnsi="Palatino Linotype"/>
      <w:noProof/>
      <w:color w:val="000000"/>
      <w:szCs w:val="18"/>
    </w:rPr>
  </w:style>
  <w:style w:type="paragraph" w:styleId="Header">
    <w:name w:val="header"/>
    <w:basedOn w:val="Normal"/>
    <w:link w:val="HeaderChar"/>
    <w:uiPriority w:val="99"/>
    <w:rsid w:val="003D34A1"/>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3D34A1"/>
    <w:rPr>
      <w:rFonts w:ascii="Palatino Linotype" w:hAnsi="Palatino Linotype"/>
      <w:noProof/>
      <w:color w:val="000000"/>
      <w:szCs w:val="18"/>
    </w:rPr>
  </w:style>
  <w:style w:type="paragraph" w:customStyle="1" w:styleId="MDPI32textnoindent">
    <w:name w:val="MDPI_3.2_text_no_indent"/>
    <w:basedOn w:val="MDPI31text"/>
    <w:qFormat/>
    <w:rsid w:val="003D34A1"/>
    <w:pPr>
      <w:ind w:firstLine="0"/>
    </w:pPr>
  </w:style>
  <w:style w:type="paragraph" w:customStyle="1" w:styleId="MDPI31text">
    <w:name w:val="MDPI_3.1_text"/>
    <w:qFormat/>
    <w:rsid w:val="00BA0752"/>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3D34A1"/>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4textspacebefore">
    <w:name w:val="MDPI_3.4_text_space_before"/>
    <w:qFormat/>
    <w:rsid w:val="003D34A1"/>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3D34A1"/>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3D34A1"/>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A96919"/>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A96919"/>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3D34A1"/>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3D34A1"/>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3D34A1"/>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0B1763"/>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3D34A1"/>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3D34A1"/>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3D34A1"/>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82theorem">
    <w:name w:val="MDPI_8.2_theorem"/>
    <w:qFormat/>
    <w:rsid w:val="003D34A1"/>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3D34A1"/>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qFormat/>
    <w:rsid w:val="003D34A1"/>
    <w:pPr>
      <w:keepNext/>
      <w:keepLines/>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3D34A1"/>
    <w:pPr>
      <w:keepNext/>
      <w:keepLines/>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3D34A1"/>
    <w:pPr>
      <w:keepNext/>
      <w:keepLines/>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682756"/>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3D34A1"/>
    <w:rPr>
      <w:rFonts w:cs="Tahoma"/>
      <w:szCs w:val="18"/>
    </w:rPr>
  </w:style>
  <w:style w:type="character" w:customStyle="1" w:styleId="BalloonTextChar">
    <w:name w:val="Balloon Text Char"/>
    <w:link w:val="BalloonText"/>
    <w:uiPriority w:val="99"/>
    <w:rsid w:val="003D34A1"/>
    <w:rPr>
      <w:rFonts w:ascii="Palatino Linotype" w:hAnsi="Palatino Linotype" w:cs="Tahoma"/>
      <w:noProof/>
      <w:color w:val="000000"/>
      <w:szCs w:val="18"/>
    </w:rPr>
  </w:style>
  <w:style w:type="character" w:styleId="LineNumber">
    <w:name w:val="line number"/>
    <w:uiPriority w:val="99"/>
    <w:rsid w:val="00030C02"/>
    <w:rPr>
      <w:rFonts w:ascii="Palatino Linotype" w:hAnsi="Palatino Linotype"/>
      <w:sz w:val="16"/>
    </w:rPr>
  </w:style>
  <w:style w:type="table" w:customStyle="1" w:styleId="MDPI41threelinetable">
    <w:name w:val="MDPI_4.1_three_line_table"/>
    <w:basedOn w:val="TableNormal"/>
    <w:uiPriority w:val="99"/>
    <w:rsid w:val="003D34A1"/>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3D34A1"/>
    <w:rPr>
      <w:color w:val="0000FF"/>
      <w:u w:val="single"/>
    </w:rPr>
  </w:style>
  <w:style w:type="character" w:styleId="UnresolvedMention">
    <w:name w:val="Unresolved Mention"/>
    <w:uiPriority w:val="99"/>
    <w:semiHidden/>
    <w:unhideWhenUsed/>
    <w:rsid w:val="00EA2E33"/>
    <w:rPr>
      <w:color w:val="605E5C"/>
      <w:shd w:val="clear" w:color="auto" w:fill="E1DFDD"/>
    </w:rPr>
  </w:style>
  <w:style w:type="table" w:styleId="PlainTable4">
    <w:name w:val="Plain Table 4"/>
    <w:basedOn w:val="TableNormal"/>
    <w:uiPriority w:val="44"/>
    <w:rsid w:val="00C047A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3D34A1"/>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3D34A1"/>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3D34A1"/>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1F6B2A"/>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3D34A1"/>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3D34A1"/>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E10DAA"/>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3D34A1"/>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3D34A1"/>
  </w:style>
  <w:style w:type="paragraph" w:styleId="Bibliography">
    <w:name w:val="Bibliography"/>
    <w:basedOn w:val="Normal"/>
    <w:next w:val="Normal"/>
    <w:uiPriority w:val="37"/>
    <w:semiHidden/>
    <w:unhideWhenUsed/>
    <w:rsid w:val="003D34A1"/>
  </w:style>
  <w:style w:type="paragraph" w:styleId="BodyText">
    <w:name w:val="Body Text"/>
    <w:link w:val="BodyTextChar"/>
    <w:rsid w:val="003D34A1"/>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3D34A1"/>
    <w:rPr>
      <w:rFonts w:ascii="Palatino Linotype" w:hAnsi="Palatino Linotype"/>
      <w:color w:val="000000"/>
      <w:sz w:val="24"/>
      <w:lang w:eastAsia="de-DE"/>
    </w:rPr>
  </w:style>
  <w:style w:type="character" w:styleId="CommentReference">
    <w:name w:val="annotation reference"/>
    <w:rsid w:val="003D34A1"/>
    <w:rPr>
      <w:sz w:val="21"/>
      <w:szCs w:val="21"/>
    </w:rPr>
  </w:style>
  <w:style w:type="paragraph" w:styleId="CommentText">
    <w:name w:val="annotation text"/>
    <w:basedOn w:val="Normal"/>
    <w:link w:val="CommentTextChar"/>
    <w:rsid w:val="003D34A1"/>
  </w:style>
  <w:style w:type="character" w:customStyle="1" w:styleId="CommentTextChar">
    <w:name w:val="Comment Text Char"/>
    <w:link w:val="CommentText"/>
    <w:rsid w:val="003D34A1"/>
    <w:rPr>
      <w:rFonts w:ascii="Palatino Linotype" w:hAnsi="Palatino Linotype"/>
      <w:noProof/>
      <w:color w:val="000000"/>
    </w:rPr>
  </w:style>
  <w:style w:type="paragraph" w:styleId="CommentSubject">
    <w:name w:val="annotation subject"/>
    <w:basedOn w:val="CommentText"/>
    <w:next w:val="CommentText"/>
    <w:link w:val="CommentSubjectChar"/>
    <w:rsid w:val="003D34A1"/>
    <w:rPr>
      <w:b/>
      <w:bCs/>
    </w:rPr>
  </w:style>
  <w:style w:type="character" w:customStyle="1" w:styleId="CommentSubjectChar">
    <w:name w:val="Comment Subject Char"/>
    <w:link w:val="CommentSubject"/>
    <w:rsid w:val="003D34A1"/>
    <w:rPr>
      <w:rFonts w:ascii="Palatino Linotype" w:hAnsi="Palatino Linotype"/>
      <w:b/>
      <w:bCs/>
      <w:noProof/>
      <w:color w:val="000000"/>
    </w:rPr>
  </w:style>
  <w:style w:type="character" w:styleId="EndnoteReference">
    <w:name w:val="endnote reference"/>
    <w:rsid w:val="003D34A1"/>
    <w:rPr>
      <w:vertAlign w:val="superscript"/>
    </w:rPr>
  </w:style>
  <w:style w:type="paragraph" w:styleId="EndnoteText">
    <w:name w:val="endnote text"/>
    <w:basedOn w:val="Normal"/>
    <w:link w:val="EndnoteTextChar"/>
    <w:semiHidden/>
    <w:unhideWhenUsed/>
    <w:rsid w:val="003D34A1"/>
    <w:pPr>
      <w:spacing w:line="240" w:lineRule="auto"/>
    </w:pPr>
  </w:style>
  <w:style w:type="character" w:customStyle="1" w:styleId="EndnoteTextChar">
    <w:name w:val="Endnote Text Char"/>
    <w:link w:val="EndnoteText"/>
    <w:semiHidden/>
    <w:rsid w:val="003D34A1"/>
    <w:rPr>
      <w:rFonts w:ascii="Palatino Linotype" w:hAnsi="Palatino Linotype"/>
      <w:noProof/>
      <w:color w:val="000000"/>
    </w:rPr>
  </w:style>
  <w:style w:type="character" w:styleId="FollowedHyperlink">
    <w:name w:val="FollowedHyperlink"/>
    <w:rsid w:val="003D34A1"/>
    <w:rPr>
      <w:color w:val="954F72"/>
      <w:u w:val="single"/>
    </w:rPr>
  </w:style>
  <w:style w:type="paragraph" w:styleId="FootnoteText">
    <w:name w:val="footnote text"/>
    <w:basedOn w:val="Normal"/>
    <w:link w:val="FootnoteTextChar"/>
    <w:semiHidden/>
    <w:unhideWhenUsed/>
    <w:rsid w:val="003D34A1"/>
    <w:pPr>
      <w:spacing w:line="240" w:lineRule="auto"/>
    </w:pPr>
  </w:style>
  <w:style w:type="character" w:customStyle="1" w:styleId="FootnoteTextChar">
    <w:name w:val="Footnote Text Char"/>
    <w:link w:val="FootnoteText"/>
    <w:semiHidden/>
    <w:rsid w:val="003D34A1"/>
    <w:rPr>
      <w:rFonts w:ascii="Palatino Linotype" w:hAnsi="Palatino Linotype"/>
      <w:noProof/>
      <w:color w:val="000000"/>
    </w:rPr>
  </w:style>
  <w:style w:type="paragraph" w:styleId="NormalWeb">
    <w:name w:val="Normal (Web)"/>
    <w:basedOn w:val="Normal"/>
    <w:uiPriority w:val="99"/>
    <w:rsid w:val="003D34A1"/>
    <w:rPr>
      <w:szCs w:val="24"/>
    </w:rPr>
  </w:style>
  <w:style w:type="paragraph" w:customStyle="1" w:styleId="MsoFootnoteText0">
    <w:name w:val="MsoFootnoteText"/>
    <w:basedOn w:val="NormalWeb"/>
    <w:qFormat/>
    <w:rsid w:val="003D34A1"/>
    <w:rPr>
      <w:rFonts w:ascii="Times New Roman" w:hAnsi="Times New Roman"/>
    </w:rPr>
  </w:style>
  <w:style w:type="character" w:styleId="PageNumber">
    <w:name w:val="page number"/>
    <w:rsid w:val="003D34A1"/>
  </w:style>
  <w:style w:type="character" w:styleId="PlaceholderText">
    <w:name w:val="Placeholder Text"/>
    <w:uiPriority w:val="99"/>
    <w:semiHidden/>
    <w:rsid w:val="003D34A1"/>
    <w:rPr>
      <w:color w:val="808080"/>
    </w:rPr>
  </w:style>
  <w:style w:type="paragraph" w:customStyle="1" w:styleId="MDPI71footnotes">
    <w:name w:val="MDPI_7.1_footnotes"/>
    <w:qFormat/>
    <w:rsid w:val="00F358F1"/>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1C4F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img.mdpi.org/data/contributor-role-instruction.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1"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systems-template.dot</Template>
  <TotalTime>1</TotalTime>
  <Pages>6</Pages>
  <Words>2274</Words>
  <Characters>12077</Characters>
  <Application>Microsoft Office Word</Application>
  <DocSecurity>0</DocSecurity>
  <Lines>287</Lines>
  <Paragraphs>191</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MDPI</cp:lastModifiedBy>
  <cp:revision>4</cp:revision>
  <dcterms:created xsi:type="dcterms:W3CDTF">2025-06-13T06:12:00Z</dcterms:created>
  <dcterms:modified xsi:type="dcterms:W3CDTF">2025-06-17T06:48:00Z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5470e00577bbcda9f6f0393045ea6a6a1d505038b62b8a58bba9ca28bce24e25</vt:lpwstr>
  </property>
</Properties>
</file>