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Does Parental Career Support Buffer or Amplify the Association Between Career Anxiety and Career Decision-Making Difficulties? A Simulation Study of a Reported Moderation</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A recent study of Chinese female undergraduates reported that the association between career anxiety and career decision-making difficulties was stronger, not weaker, among students reporting more frequent parental career support. The present study asks what would have to be true of the underlying process for such a pattern to arise. A dynamic model was specified in which career anxiety reduces both the amount and the informational yield of career exploration, exploration builds career decision-making self-efficacy, and self-efficacy sustains further exploration, with parental involvement entering as reassurance, as scaffolding of the student’s own exploration, and as involvement that takes the decision over. The model was calibrated so that a simulated cross-section reproduced the six correlations reported in that study, which it did with a root mean squared error of 0.113. Simulated cross-sectional studies were then analysed with the same conditional process procedure the original used. Across the plausible parameter space, amplification was uncommon, arising in 5.8 per cent of 243 parameter combinations, and involvement that took the decision over produced buffering rather than amplification. Amplification arose instead where involvement scaffolded exploration the student was too anxious to undertake: scaffolding reduced simulated difficulty by 0.167 for the least anxious quartile and by 0.004 for the most anxious. The reported moderation is therefore more consistent with autonomy-supportive help that anxious students cannot use than with directive involvement, and distinguishing the two requires measuring the kind of support rather than its frequency.</w:t>
      </w:r>
    </w:p>
    <w:p>
      <w:pPr>
        <w:pStyle w:val="MDPI18keywords"/>
      </w:pPr>
      <w:r>
        <w:rPr>
          <w:b/>
        </w:rPr>
        <w:t xml:space="preserve">Keywords: </w:t>
      </w:r>
      <w:r>
        <w:t>career decision-making difficulties; career anxiety; career decision-making self-efficacy; parental career support; computational modeling</w:t>
      </w:r>
    </w:p>
    <w:p>
      <w:pPr>
        <w:pStyle w:val="MDPI19line"/>
        <w:suppressLineNumbers/>
      </w:pPr>
    </w:p>
    <w:p>
      <w:pPr>
        <w:pStyle w:val="MDPI21heading1"/>
      </w:pPr>
      <w:r>
        <w:t>1. Introduction</w:t>
      </w:r>
    </w:p>
    <w:p>
      <w:pPr>
        <w:pStyle w:val="MDPI32textnoindent"/>
      </w:pPr>
      <w:r>
        <w:rPr>
          <w:b w:val="0"/>
          <w:i w:val="0"/>
        </w:rPr>
        <w:t xml:space="preserve">Career decision-making difficulties are among the most consistently studied outcomes in vocational psychology, and the constructs that accompany them are by now familiar. Career anxiety is associated with greater difficulty in deciding </w:t>
      </w:r>
      <w:r>
        <w:t>(Campagna &amp; Curtis, 2007; Fuqua et al., 1987; Saka &amp; Gati, 2007)</w:t>
      </w:r>
      <w:r>
        <w:rPr>
          <w:b w:val="0"/>
          <w:i w:val="0"/>
        </w:rPr>
        <w:t xml:space="preserve">; career decision-making self-efficacy is associated with less </w:t>
      </w:r>
      <w:r>
        <w:t>(Choi et al., 2012; Udayar et al., 2020)</w:t>
      </w:r>
      <w:r>
        <w:rPr>
          <w:b w:val="0"/>
          <w:i w:val="0"/>
        </w:rPr>
        <w:t xml:space="preserve">; and the social context in which a young person decides, parental involvement in particular, is associated with both </w:t>
      </w:r>
      <w:r>
        <w:t>(Dietrich &amp; Kracke, 2009; Zhou et al., 2024)</w:t>
      </w:r>
      <w:r>
        <w:rPr>
          <w:b w:val="0"/>
          <w:i w:val="0"/>
        </w:rPr>
        <w:t xml:space="preserve">. Social Cognitive Career Theory supplies the framework within which these associations are usually interpreted </w:t>
      </w:r>
      <w:r>
        <w:t>(Lent et al., 1994, 2000)</w:t>
      </w:r>
      <w:r>
        <w:rPr>
          <w:b w:val="0"/>
          <w:i w:val="0"/>
        </w:rPr>
        <w:t>.</w:t>
      </w:r>
    </w:p>
    <w:p>
      <w:pPr>
        <w:pStyle w:val="MDPI31text"/>
      </w:pPr>
      <w:r>
        <w:rPr>
          <w:b w:val="0"/>
          <w:i w:val="0"/>
        </w:rPr>
        <w:t xml:space="preserve">Within that framework, one recent finding is difficult to accommodate. In a mixed-methods study of 407 female undergraduates at four non-elite Chinese universities, </w:t>
      </w:r>
      <w:r>
        <w:t>Pan and He (2026)</w:t>
      </w:r>
      <w:r>
        <w:rPr>
          <w:b w:val="0"/>
          <w:i w:val="0"/>
        </w:rPr>
        <w:t xml:space="preserve"> reported that the association between career anxiety and career decision-making difficulties was stronger among students who reported more frequent parental career support. Support, on that estimate, did not buffer the relationship between anxiety and difficulty; it accompanied a steeper one. Their qualitative phase suggested that what mattered was not how often parents were involved but how that involvement was experienced, and specifically whether it left the student any autonomy.</w:t>
      </w:r>
    </w:p>
    <w:p>
      <w:pPr>
        <w:pStyle w:val="MDPI31text"/>
      </w:pPr>
      <w:r>
        <w:rPr>
          <w:b w:val="0"/>
          <w:i w:val="0"/>
        </w:rPr>
        <w:t xml:space="preserve">That interpretation is plausible, and it is consistent with a long line of work distinguishing autonomy-supportive from controlling career involvement </w:t>
      </w:r>
      <w:r>
        <w:t>(Dietrich &amp; Kracke, 2009; Guay, Senécal, et al., 2003)</w:t>
      </w:r>
      <w:r>
        <w:rPr>
          <w:b w:val="0"/>
          <w:i w:val="0"/>
        </w:rPr>
        <w:t>. It is also, on cross-sectional evidence, difficult to test. A moderation coefficient estimated at one point in time is a summary of a process that has been running for years, and several quite different processes can leave the same summary behind. The question the present study asks is therefore not whether the reported moderation is correct, which its authors are better placed to judge, but what would have to be true of the underlying process for a pattern of that kind to arise at all.</w:t>
      </w:r>
    </w:p>
    <w:p>
      <w:pPr>
        <w:pStyle w:val="MDPI31text"/>
      </w:pPr>
      <w:r>
        <w:rPr>
          <w:b w:val="0"/>
          <w:i w:val="0"/>
        </w:rPr>
        <w:t xml:space="preserve">Answering a question of that form calls for a different method from the one that raised it. We specify a dynamic model of the process, calibrate it so that a simulated cross-section reproduces the correlations actually reported, and then run on the simulated data exactly the analysis the original study ran. Because the generating process is known by construction, the relationship between what is happening and what a cross-sectional analysis reports can be examined directly. The approach follows a small tradition of formalising social cognitive theory as an executable system </w:t>
      </w:r>
      <w:r>
        <w:t>(Mozahem, 2022; Riley et al., 2016)</w:t>
      </w:r>
      <w:r>
        <w:rPr>
          <w:b w:val="0"/>
          <w:i w:val="0"/>
        </w:rPr>
        <w:t xml:space="preserve"> rather than as a set of paths, and it inherits that tradition’s central caution: what a simulation establishes is what follows from a set of assumptions, not what is the case.</w:t>
      </w:r>
    </w:p>
    <w:p>
      <w:pPr>
        <w:pStyle w:val="MDPI31text"/>
      </w:pPr>
      <w:r>
        <w:rPr>
          <w:b w:val="0"/>
          <w:i w:val="0"/>
        </w:rPr>
        <w:t xml:space="preserve">The model rests on three propositions, each with independent empirical support. First, career anxiety reduces not only how much a student explores but how much they get out of exploring, because anxiety occupies the attentional resources that interpreting new information requires </w:t>
      </w:r>
      <w:r>
        <w:t>(Eysenck &amp; Calvo, 1992; Eysenck et al., 2007; Shi et al., 2019)</w:t>
      </w:r>
      <w:r>
        <w:rPr>
          <w:b w:val="0"/>
          <w:i w:val="0"/>
        </w:rPr>
        <w:t xml:space="preserve">. Second, exploration is the principal route by which career decision-making self-efficacy is built, and self-efficacy in turn sustains exploration, so the two form a reinforcing pair </w:t>
      </w:r>
      <w:r>
        <w:t>(Bandura, 1997; Guan et al., 2017; Kleine et al., 2021; Lent &amp; Brown, 2013)</w:t>
      </w:r>
      <w:r>
        <w:rPr>
          <w:b w:val="0"/>
          <w:i w:val="0"/>
        </w:rPr>
        <w:t xml:space="preserve">. Third, parental involvement can enter this system in more than one way: it can reassure, it can support the student’s own exploring, or it can conduct the exploration on the student’s behalf </w:t>
      </w:r>
      <w:r>
        <w:t>(Dietrich &amp; Kracke, 2009)</w:t>
      </w:r>
      <w:r>
        <w:rPr>
          <w:b w:val="0"/>
          <w:i w:val="0"/>
        </w:rPr>
        <w:t>. These are not variants of a single quantity, and the study turns on the difference between them.</w:t>
      </w:r>
    </w:p>
    <w:p>
      <w:pPr>
        <w:pStyle w:val="MDPI31text"/>
      </w:pPr>
      <w:r>
        <w:rPr>
          <w:b w:val="0"/>
          <w:i w:val="0"/>
        </w:rPr>
        <w:t xml:space="preserve">Several gaps motivate the present analysis. First, the moderating role of parental support in the anxiety–difficulty association has been estimated but not explained: no account has been offered of a process that would produce amplification rather than buffering. Second, the distinction between supportive and directive involvement is drawn verbally in this literature but is rarely represented in a way that generates differing predictions. Third, the instruments in common use measure the frequency of parental career behaviours rather than their kind, so the two accounts are not separated by the measurement. Fourth, and more generally, conditional process models in this field are estimated on cross-sections of processes that unfold over years, and, as </w:t>
      </w:r>
      <w:r>
        <w:t>Maxwell and Cole (2007)</w:t>
      </w:r>
      <w:r>
        <w:rPr>
          <w:b w:val="0"/>
          <w:i w:val="0"/>
        </w:rPr>
        <w:t xml:space="preserve"> showed, the correspondence between the two is assumed rather than examined.</w:t>
      </w:r>
    </w:p>
    <w:p>
      <w:pPr>
        <w:pStyle w:val="MDPI31text"/>
      </w:pPr>
      <w:r>
        <w:rPr>
          <w:b w:val="0"/>
          <w:i w:val="0"/>
        </w:rPr>
        <w:t>Building on these gaps, the present study addresses three research questions.</w:t>
      </w:r>
    </w:p>
    <w:p>
      <w:pPr>
        <w:pStyle w:val="MDPI31text"/>
      </w:pPr>
      <w:r>
        <w:rPr>
          <w:b w:val="0"/>
          <w:i w:val="0"/>
        </w:rPr>
        <w:t>RQ1: Can a dynamic model in which anxiety degrades career exploration, exploration builds self-efficacy, and self-efficacy sustains exploration reproduce the pattern of cross-sectional correlations reported among career anxiety, career decision-making self-efficacy, perceived parental career support and career decision-making difficulties?</w:t>
      </w:r>
    </w:p>
    <w:p>
      <w:pPr>
        <w:pStyle w:val="MDPI31text"/>
      </w:pPr>
      <w:r>
        <w:rPr>
          <w:b w:val="0"/>
          <w:i w:val="0"/>
        </w:rPr>
        <w:t>RQ2: Within such a model, under what conditions does parental involvement amplify rather than buffer the association between career anxiety and career decision-making difficulties?</w:t>
      </w:r>
    </w:p>
    <w:p>
      <w:pPr>
        <w:pStyle w:val="MDPI31text"/>
      </w:pPr>
      <w:r>
        <w:rPr>
          <w:b w:val="0"/>
          <w:i w:val="0"/>
        </w:rPr>
        <w:t>RQ3: What do the resulting patterns imply for the measurement of parental career support and for the interpretation of conditional process models estimated on cross-sectional data?</w:t>
      </w:r>
    </w:p>
    <w:p>
      <w:pPr>
        <w:pStyle w:val="MDPI31text"/>
      </w:pPr>
      <w:r>
        <w:rPr>
          <w:b w:val="0"/>
          <w:i w:val="0"/>
        </w:rPr>
        <w:t>The contribution is accordingly a conditional one. The study does not establish how parental involvement operates among Chinese undergraduates, and it collects no data from any student. It establishes what a process would have to look like for a reported pattern to follow from it, and what measurement would be needed to tell the candidate processes apart.</w:t>
      </w:r>
    </w:p>
    <w:p>
      <w:pPr>
        <w:pStyle w:val="MDPI21heading1"/>
      </w:pPr>
      <w:r>
        <w:t>2. Literature Review</w:t>
      </w:r>
    </w:p>
    <w:p>
      <w:pPr>
        <w:pStyle w:val="MDPI22heading2"/>
      </w:pPr>
      <w:r>
        <w:t>2.1. Social Cognitive Career Theory as a System Rather Than a Path</w:t>
      </w:r>
    </w:p>
    <w:p>
      <w:pPr>
        <w:pStyle w:val="MDPI32textnoindent"/>
      </w:pPr>
      <w:r>
        <w:rPr>
          <w:b w:val="0"/>
          <w:i w:val="0"/>
        </w:rPr>
        <w:t xml:space="preserve">Social Cognitive Career Theory holds that self-efficacy beliefs, outcome expectations and goals jointly shape career behaviour, and that these are formed and revised through experience </w:t>
      </w:r>
      <w:r>
        <w:t>(Lent et al., 1994, 2000)</w:t>
      </w:r>
      <w:r>
        <w:rPr>
          <w:b w:val="0"/>
          <w:i w:val="0"/>
        </w:rPr>
        <w:t xml:space="preserve">. In its career self-management form the theory is explicit that adaptive career behaviours and the beliefs supporting them influence one another over time </w:t>
      </w:r>
      <w:r>
        <w:t>(Lent &amp; Brown, 2013)</w:t>
      </w:r>
      <w:r>
        <w:rPr>
          <w:b w:val="0"/>
          <w:i w:val="0"/>
        </w:rPr>
        <w:t xml:space="preserve">. Empirical work has followed: reciprocal relations between career exploration and the developing sense of a future working self have been shown across waves </w:t>
      </w:r>
      <w:r>
        <w:t>(Guan et al., 2017)</w:t>
      </w:r>
      <w:r>
        <w:rPr>
          <w:b w:val="0"/>
          <w:i w:val="0"/>
        </w:rPr>
        <w:t xml:space="preserve">, and meta-analytic evidence places self-efficacy for exploration among the strongest correlates of exploration itself </w:t>
      </w:r>
      <w:r>
        <w:t>(Kleine et al., 2021)</w:t>
      </w:r>
      <w:r>
        <w:rPr>
          <w:b w:val="0"/>
          <w:i w:val="0"/>
        </w:rPr>
        <w:t>.</w:t>
      </w:r>
    </w:p>
    <w:p>
      <w:pPr>
        <w:pStyle w:val="MDPI31text"/>
      </w:pPr>
      <w:r>
        <w:rPr>
          <w:b w:val="0"/>
          <w:i w:val="0"/>
        </w:rPr>
        <w:t xml:space="preserve">Most applications nonetheless estimate the theory as a path model on a single cross-section. That practice is not mistaken, but it represents a system of mutual influence as a sequence of one-way arrows, and the two need not agree about anything beyond the sign of a correlation </w:t>
      </w:r>
      <w:r>
        <w:t>(Cole &amp; Preacher, 2014; Maxwell &amp; Cole, 2007)</w:t>
      </w:r>
      <w:r>
        <w:rPr>
          <w:b w:val="0"/>
          <w:i w:val="0"/>
        </w:rPr>
        <w:t xml:space="preserve">. Where a theory says that A shapes B and B shapes A, a cross-section reports one number where the theory implies a loop. Representing the theory as an executable dynamic system, as </w:t>
      </w:r>
      <w:r>
        <w:t>Riley et al. (2016)</w:t>
      </w:r>
      <w:r>
        <w:rPr>
          <w:b w:val="0"/>
          <w:i w:val="0"/>
        </w:rPr>
        <w:t xml:space="preserve"> have done for social cognitive theory in health behaviour and </w:t>
      </w:r>
      <w:r>
        <w:t>Mozahem (2022)</w:t>
      </w:r>
      <w:r>
        <w:rPr>
          <w:b w:val="0"/>
          <w:i w:val="0"/>
        </w:rPr>
        <w:t xml:space="preserve"> for career choice, makes the difference visible.</w:t>
      </w:r>
    </w:p>
    <w:p>
      <w:pPr>
        <w:pStyle w:val="MDPI22heading2"/>
      </w:pPr>
      <w:r>
        <w:t>2.2. Career Anxiety, Exploration and the Yield of Looking</w:t>
      </w:r>
    </w:p>
    <w:p>
      <w:pPr>
        <w:pStyle w:val="MDPI32textnoindent"/>
      </w:pPr>
      <w:r>
        <w:rPr>
          <w:b w:val="0"/>
          <w:i w:val="0"/>
        </w:rPr>
        <w:t xml:space="preserve">That career anxiety accompanies career decision-making difficulty is among the older findings in this literature </w:t>
      </w:r>
      <w:r>
        <w:t>(Fuqua et al., 1987)</w:t>
      </w:r>
      <w:r>
        <w:rPr>
          <w:b w:val="0"/>
          <w:i w:val="0"/>
        </w:rPr>
        <w:t xml:space="preserve"> and among the better replicated </w:t>
      </w:r>
      <w:r>
        <w:t>(Campagna &amp; Curtis, 2007; Saka &amp; Gati, 2007; Udayar et al., 2020)</w:t>
      </w:r>
      <w:r>
        <w:rPr>
          <w:b w:val="0"/>
          <w:i w:val="0"/>
        </w:rPr>
        <w:t xml:space="preserve">. The mechanism usually proposed is avoidance: anxious students postpone the decision and the activities that would inform it </w:t>
      </w:r>
      <w:r>
        <w:t>(Anderson, 2003)</w:t>
      </w:r>
      <w:r>
        <w:rPr>
          <w:b w:val="0"/>
          <w:i w:val="0"/>
        </w:rPr>
        <w:t xml:space="preserve">. Career anxiety has also been linked to broader adjustment outcomes in student samples </w:t>
      </w:r>
      <w:r>
        <w:t>(Müceldili et al., 2025)</w:t>
      </w:r>
      <w:r>
        <w:rPr>
          <w:b w:val="0"/>
          <w:i w:val="0"/>
        </w:rPr>
        <w:t>.</w:t>
      </w:r>
    </w:p>
    <w:p>
      <w:pPr>
        <w:pStyle w:val="MDPI31text"/>
      </w:pPr>
      <w:r>
        <w:rPr>
          <w:b w:val="0"/>
          <w:i w:val="0"/>
        </w:rPr>
        <w:t xml:space="preserve">Attentional control theory suggests a second and less discussed mechanism. Anxiety consumes the executive resources that complex processing requires, so performance falls further than effort does </w:t>
      </w:r>
      <w:r>
        <w:t>(Eysenck &amp; Calvo, 1992; Eysenck et al., 2007)</w:t>
      </w:r>
      <w:r>
        <w:rPr>
          <w:b w:val="0"/>
          <w:i w:val="0"/>
        </w:rPr>
        <w:t xml:space="preserve">; meta-analytic evidence supports an association between anxiety and reduced attentional control </w:t>
      </w:r>
      <w:r>
        <w:t>(Shi et al., 2019)</w:t>
      </w:r>
      <w:r>
        <w:rPr>
          <w:b w:val="0"/>
          <w:i w:val="0"/>
        </w:rPr>
        <w:t>. Applied to career exploration, the implication is that an anxious student who does spend an afternoon reading about occupations extracts less usable information from that afternoon than a composed student would. Anxiety would then reduce not only the amount of exploration but its yield, and the two have different consequences: reduced amount can be compensated by prompting the student to look, whereas reduced yield cannot.</w:t>
      </w:r>
    </w:p>
    <w:p>
      <w:pPr>
        <w:pStyle w:val="MDPI22heading2"/>
      </w:pPr>
      <w:r>
        <w:t>2.3. Self-Efficacy as a Consequence of Exploration</w:t>
      </w:r>
    </w:p>
    <w:p>
      <w:pPr>
        <w:pStyle w:val="MDPI32textnoindent"/>
      </w:pPr>
      <w:r>
        <w:rPr>
          <w:b w:val="0"/>
          <w:i w:val="0"/>
        </w:rPr>
        <w:t xml:space="preserve">Career decision-making self-efficacy is negatively associated with career indecision across many samples </w:t>
      </w:r>
      <w:r>
        <w:t>(Bi et al., 2023; Choi et al., 2012; Udayar et al., 2020)</w:t>
      </w:r>
      <w:r>
        <w:rPr>
          <w:b w:val="0"/>
          <w:i w:val="0"/>
        </w:rPr>
        <w:t xml:space="preserve">, and it is generally modelled as a mediator between affective or dispositional inputs and decision outcomes. Its status as an outcome is less often modelled. In social cognitive theory the principal source of efficacy beliefs is mastery experience </w:t>
      </w:r>
      <w:r>
        <w:t>(Bandura, 1997)</w:t>
      </w:r>
      <w:r>
        <w:rPr>
          <w:b w:val="0"/>
          <w:i w:val="0"/>
        </w:rPr>
        <w:t xml:space="preserve">, which in this domain means exploring and finding that the exploring produced something. Efficacy is therefore downstream of exploration as well as upstream of it, and the reinforcing pair this creates is what allows small differences in initial anxiety to accumulate into large differences in eventual indecision </w:t>
      </w:r>
      <w:r>
        <w:t>(Jaensch et al., 2015)</w:t>
      </w:r>
      <w:r>
        <w:rPr>
          <w:b w:val="0"/>
          <w:i w:val="0"/>
        </w:rPr>
        <w:t xml:space="preserve">. Meta-analytic work on the antecedents of career decision self-efficacy points to the same breadth of inputs </w:t>
      </w:r>
      <w:r>
        <w:t>(Wang et al., 2023)</w:t>
      </w:r>
      <w:r>
        <w:rPr>
          <w:b w:val="0"/>
          <w:i w:val="0"/>
        </w:rPr>
        <w:t xml:space="preserve">, and the longitudinal evidence reported by </w:t>
      </w:r>
      <w:r>
        <w:t>Liu et al. (2024)</w:t>
      </w:r>
      <w:r>
        <w:rPr>
          <w:b w:val="0"/>
          <w:i w:val="0"/>
        </w:rPr>
        <w:t xml:space="preserve"> supports treating it as a quantity that moves.</w:t>
      </w:r>
    </w:p>
    <w:p>
      <w:pPr>
        <w:pStyle w:val="MDPI22heading2"/>
      </w:pPr>
      <w:r>
        <w:t>2.4. Parental Involvement: Three Functions, One Measure</w:t>
      </w:r>
    </w:p>
    <w:p>
      <w:pPr>
        <w:pStyle w:val="MDPI32textnoindent"/>
      </w:pPr>
      <w:r>
        <w:rPr>
          <w:b w:val="0"/>
          <w:i w:val="0"/>
        </w:rPr>
        <w:t xml:space="preserve">Career-specific parental behaviours are conventionally distinguished into support, interference and lack of engagement </w:t>
      </w:r>
      <w:r>
        <w:t>(Dietrich &amp; Kracke, 2009)</w:t>
      </w:r>
      <w:r>
        <w:rPr>
          <w:b w:val="0"/>
          <w:i w:val="0"/>
        </w:rPr>
        <w:t xml:space="preserve">, and self-determination theory adds the distinction between autonomy-supportive and controlling involvement, which predicts career indecision even when the amount of involvement does not </w:t>
      </w:r>
      <w:r>
        <w:t>(Guay, Ratelle, et al., 2006; Guay, Senécal, et al., 2003)</w:t>
      </w:r>
      <w:r>
        <w:rPr>
          <w:b w:val="0"/>
          <w:i w:val="0"/>
        </w:rPr>
        <w:t xml:space="preserve">. Social support more broadly is associated with lower decision-making difficulty, with self-efficacy among the mediating routes </w:t>
      </w:r>
      <w:r>
        <w:t>(Zhou et al., 2024)</w:t>
      </w:r>
      <w:r>
        <w:rPr>
          <w:b w:val="0"/>
          <w:i w:val="0"/>
        </w:rPr>
        <w:t>.</w:t>
      </w:r>
    </w:p>
    <w:p>
      <w:pPr>
        <w:pStyle w:val="MDPI31text"/>
      </w:pPr>
      <w:r>
        <w:rPr>
          <w:b w:val="0"/>
          <w:i w:val="0"/>
        </w:rPr>
        <w:t>For the present purpose these distinctions can be organised by what the involvement does to the student’s own exploring. Involvement may reassure, lowering anxiety without altering the informational situation. It may scaffold, raising what the student’s own exploration yields. Or it may substitute, resolving the uncertainty on the student’s behalf. The three have the same sign in a correlation with difficulty and quite different implications for self-efficacy, because only the second leaves the student with a mastery experience to attribute to themselves. Instruments measuring the reported frequency of parental career behaviours do not separate them, which is the measurement problem this study ends by describing.</w:t>
      </w:r>
    </w:p>
    <w:p>
      <w:pPr>
        <w:pStyle w:val="MDPI22heading2"/>
      </w:pPr>
      <w:r>
        <w:t>2.5. The Present Study</w:t>
      </w:r>
    </w:p>
    <w:p>
      <w:pPr>
        <w:pStyle w:val="MDPI32textnoindent"/>
      </w:pPr>
      <w:r>
        <w:rPr>
          <w:b w:val="0"/>
          <w:i w:val="0"/>
        </w:rPr>
        <w:t xml:space="preserve">The study proceeds in four steps. A dynamic model of the anxiety–exploration–efficacy system is specified, with parental involvement entering through the three functions above. The model is calibrated so that a simulated cross-section reproduces the correlations reported by </w:t>
      </w:r>
      <w:r>
        <w:t>Pan and He (2026)</w:t>
      </w:r>
      <w:r>
        <w:rPr>
          <w:b w:val="0"/>
          <w:i w:val="0"/>
        </w:rPr>
        <w:t xml:space="preserve">. Simulated cross-sectional studies are then analysed with the same conditional process procedure used in that study </w:t>
      </w:r>
      <w:r>
        <w:t>(Aiken &amp; West, 1991; Hayes, 2018)</w:t>
      </w:r>
      <w:r>
        <w:rPr>
          <w:b w:val="0"/>
          <w:i w:val="0"/>
        </w:rPr>
        <w:t>. Finally, the parameter space is searched for the conditions under which the analysis returns amplification rather than buffering. Figure 1 shows the process the model represents.</w:t>
      </w:r>
    </w:p>
    <w:p>
      <w:pPr>
        <w:pStyle w:val="MDPI52figure"/>
        <w:keepNext/>
        <w:ind w:left="2608" w:firstLine="0"/>
        <w:jc w:val="center"/>
      </w:pPr>
      <w:r>
        <w:drawing>
          <wp:inline xmlns:a="http://schemas.openxmlformats.org/drawingml/2006/main" xmlns:pic="http://schemas.openxmlformats.org/drawingml/2006/picture">
            <wp:extent cx="5040000" cy="3275318"/>
            <wp:docPr id="1" name="Picture 1"/>
            <wp:cNvGraphicFramePr>
              <a:graphicFrameLocks noChangeAspect="1"/>
            </wp:cNvGraphicFramePr>
            <a:graphic>
              <a:graphicData uri="http://schemas.openxmlformats.org/drawingml/2006/picture">
                <pic:pic>
                  <pic:nvPicPr>
                    <pic:cNvPr id="0" name="figure1_model.png"/>
                    <pic:cNvPicPr/>
                  </pic:nvPicPr>
                  <pic:blipFill>
                    <a:blip r:embed="rId1"/>
                    <a:stretch>
                      <a:fillRect/>
                    </a:stretch>
                  </pic:blipFill>
                  <pic:spPr>
                    <a:xfrm>
                      <a:off x="0" y="0"/>
                      <a:ext cx="5040000" cy="3275318"/>
                    </a:xfrm>
                    <a:prstGeom prst="rect"/>
                  </pic:spPr>
                </pic:pic>
              </a:graphicData>
            </a:graphic>
          </wp:inline>
        </w:drawing>
      </w:r>
    </w:p>
    <w:p>
      <w:pPr>
        <w:pStyle w:val="MDPI51figurecaption"/>
        <w:spacing w:after="200"/>
      </w:pPr>
      <w:r>
        <w:rPr>
          <w:b/>
          <w:sz w:val="18"/>
        </w:rPr>
        <w:t xml:space="preserve">Figure 1. </w:t>
      </w:r>
      <w:r>
        <w:rPr>
          <w:b w:val="0"/>
          <w:i w:val="0"/>
          <w:sz w:val="18"/>
        </w:rPr>
        <w:t>The process the model represents. Solid arrows are the loop through which career anxiety, career exploration, decision-making self-efficacy and unresolved uncertainty influence one another. Dashed arrows are the three functions through which parental involvement enters, together with the interference of anxiety with what exploration yields, which acts on the mastery path rather than adding to it.</w:t>
      </w:r>
    </w:p>
    <w:p>
      <w:pPr>
        <w:pStyle w:val="MDPI21heading1"/>
      </w:pPr>
      <w:r>
        <w:t>3. Materials and Methods</w:t>
      </w:r>
    </w:p>
    <w:p>
      <w:pPr>
        <w:pStyle w:val="MDPI22heading2"/>
      </w:pPr>
      <w:r>
        <w:t>3.1. Design and the Status of the Data</w:t>
      </w:r>
    </w:p>
    <w:p>
      <w:pPr>
        <w:pStyle w:val="MDPI32textnoindent"/>
      </w:pPr>
      <w:r>
        <w:rPr>
          <w:b w:val="0"/>
          <w:i w:val="0"/>
        </w:rPr>
        <w:t xml:space="preserve">This is a simulation study. No students were recruited, no questionnaire was administered, and no dataset describing real people was analysed. Every number reported below is produced by executing the study code under a fixed random seed, and re-executing that code reproduces the tables exactly. The one empirical quantity the study uses is the correlation matrix </w:t>
      </w:r>
      <w:r>
        <w:t>Pan and He (2026)</w:t>
      </w:r>
      <w:r>
        <w:rPr>
          <w:b w:val="0"/>
          <w:i w:val="0"/>
        </w:rPr>
        <w:t xml:space="preserve"> reported for their sample of 407 female undergraduates, which serves as the calibration target and is described as such wherever it appears.</w:t>
      </w:r>
    </w:p>
    <w:p>
      <w:pPr>
        <w:pStyle w:val="MDPI31text"/>
      </w:pPr>
      <w:r>
        <w:rPr>
          <w:b w:val="0"/>
          <w:i w:val="0"/>
        </w:rPr>
        <w:t>The design is accordingly conditional rather than descriptive. It cannot establish how parental involvement operates in any population. What it can establish is which processes are capable of producing a reported pattern and which are not, and that is a question about the logical relations among assumptions, for which a simulation is the appropriate instrument rather than a substitute for data.</w:t>
      </w:r>
    </w:p>
    <w:p>
      <w:pPr>
        <w:pStyle w:val="MDPI22heading2"/>
      </w:pPr>
      <w:r>
        <w:t>3.2. The Dynamic Model</w:t>
      </w:r>
    </w:p>
    <w:p>
      <w:pPr>
        <w:pStyle w:val="MDPI32textnoindent"/>
      </w:pPr>
      <w:r>
        <w:rPr>
          <w:b w:val="0"/>
          <w:i w:val="0"/>
        </w:rPr>
        <w:t>Four quantities evolve together over the weeks of a decision horizon for each simulated student: unresolved uncertainty about career fit, career decision-making self-efficacy, career anxiety, and the exploration undertaken in the current week. The horizon is set at 30 weeks, approximately one academic year.</w:t>
      </w:r>
    </w:p>
    <w:p>
      <w:pPr>
        <w:pStyle w:val="MDPI31text"/>
      </w:pPr>
      <w:r>
        <w:rPr>
          <w:b w:val="0"/>
          <w:i w:val="0"/>
        </w:rPr>
        <w:t xml:space="preserve">Exploration effort in a given week rises with self-efficacy and with unresolved uncertainty and falls with anxiety, the last of these representing avoidance of the decision situation </w:t>
      </w:r>
      <w:r>
        <w:t>(Anderson, 2003)</w:t>
      </w:r>
      <w:r>
        <w:rPr>
          <w:b w:val="0"/>
          <w:i w:val="0"/>
        </w:rPr>
        <w:t xml:space="preserve">. The informational yield of that effort is then degraded by anxiety, following attentional control theory </w:t>
      </w:r>
      <w:r>
        <w:t>(Eysenck et al., 2007; Shi et al., 2019)</w:t>
      </w:r>
      <w:r>
        <w:rPr>
          <w:b w:val="0"/>
          <w:i w:val="0"/>
        </w:rPr>
        <w:t>: the same hour of looking returns less usable information to an anxious student. Uncertainty falls with the information actually obtained and regenerates slowly, since options and requirements change.</w:t>
      </w:r>
    </w:p>
    <w:p>
      <w:pPr>
        <w:pStyle w:val="MDPI31text"/>
      </w:pPr>
      <w:r>
        <w:rPr>
          <w:b w:val="0"/>
          <w:i w:val="0"/>
        </w:rPr>
        <w:t xml:space="preserve">Self-efficacy is where the three functions of parental involvement come apart. Efficacy moves towards the recent productivity of the student’s own agency: how much of the progress was theirs, and how well their own effort converted into information. Involvement that resolves uncertainty on the student’s behalf lowers the first quantity without raising the second, so uncertainty falls while efficacy does not, which is the formal counterpart of the observation that doing something for a young person and helping them do it are not the same act </w:t>
      </w:r>
      <w:r>
        <w:t>(Bandura, 1997; Guay, Senécal, et al., 2003)</w:t>
      </w:r>
      <w:r>
        <w:rPr>
          <w:b w:val="0"/>
          <w:i w:val="0"/>
        </w:rPr>
        <w:t>. Anxiety, finally, moves towards the level implied by current uncertainty, weighted by an approaching deadline, less the reassurance that self-efficacy and parental involvement provide. A stable dispositional component is retained alongside the responsive one, without which the loop always unwinds and no simulated student remains undecided.</w:t>
      </w:r>
    </w:p>
    <w:p>
      <w:pPr>
        <w:pStyle w:val="MDPI31text"/>
      </w:pPr>
      <w:r>
        <w:rPr>
          <w:b w:val="0"/>
          <w:i w:val="0"/>
        </w:rPr>
        <w:t xml:space="preserve">Measured career decision-making difficulty is formed from two components, in keeping with instruments that score both a lack of information and internal or external conflict </w:t>
      </w:r>
      <w:r>
        <w:t>(Gati et al., 1996; Levin et al., 2023)</w:t>
      </w:r>
      <w:r>
        <w:rPr>
          <w:b w:val="0"/>
          <w:i w:val="0"/>
        </w:rPr>
        <w:t>: the unresolved uncertainty just described, and conflict between the option the student has come to prefer and the option the family endorses. Conflict requires all three of a formed preference, a divergent family position, and too little standing to reconcile them, the last being lower for anxious students. Table 1 lists the quantities and Table A1 the 32 parameters, each with the interval over which the analysis varies it and a statement of where its value came from.</w:t>
      </w:r>
    </w:p>
    <w:p>
      <w:pPr>
        <w:pStyle w:val="MDPI41tablecaption"/>
        <w:keepNext/>
        <w:spacing w:after="60"/>
      </w:pPr>
      <w:r>
        <w:rPr>
          <w:b/>
          <w:sz w:val="18"/>
        </w:rPr>
        <w:t xml:space="preserve">Table 1. </w:t>
      </w:r>
      <w:r>
        <w:rPr>
          <w:b w:val="0"/>
          <w:i w:val="0"/>
          <w:sz w:val="18"/>
        </w:rPr>
        <w:t>Quantities represented in the model.</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121"/>
        <w:gridCol w:w="4164"/>
        <w:gridCol w:w="1571"/>
      </w:tblGrid>
      <w:tr>
        <w:trPr>
          <w:cantSplit/>
          <w:tblHeader/>
        </w:trPr>
        <w:tc>
          <w:tcPr>
            <w:tcW w:type="dxa" w:w="2121"/>
            <w:tcBorders>
              <w:bottom w:val="single" w:sz="8" w:space="0" w:color="auto"/>
            </w:tcBorders>
          </w:tcPr>
          <w:p>
            <w:pPr>
              <w:pStyle w:val="MDPI42tablebody"/>
              <w:keepNext/>
              <w:spacing w:line="240" w:lineRule="auto" w:before="30" w:after="30"/>
              <w:jc w:val="center"/>
            </w:pPr>
            <w:r>
              <w:rPr>
                <w:b/>
                <w:i w:val="0"/>
                <w:sz w:val="18"/>
              </w:rPr>
              <w:t>Quantity</w:t>
            </w:r>
          </w:p>
        </w:tc>
        <w:tc>
          <w:tcPr>
            <w:tcW w:type="dxa" w:w="4164"/>
            <w:tcBorders>
              <w:bottom w:val="single" w:sz="8" w:space="0" w:color="auto"/>
            </w:tcBorders>
          </w:tcPr>
          <w:p>
            <w:pPr>
              <w:pStyle w:val="MDPI42tablebody"/>
              <w:keepNext/>
              <w:spacing w:line="240" w:lineRule="auto" w:before="30" w:after="30"/>
              <w:jc w:val="center"/>
            </w:pPr>
            <w:r>
              <w:rPr>
                <w:b/>
                <w:i w:val="0"/>
                <w:sz w:val="18"/>
              </w:rPr>
              <w:t>Meaning</w:t>
            </w:r>
          </w:p>
        </w:tc>
        <w:tc>
          <w:tcPr>
            <w:tcW w:type="dxa" w:w="1571"/>
            <w:tcBorders>
              <w:bottom w:val="single" w:sz="8" w:space="0" w:color="auto"/>
            </w:tcBorders>
          </w:tcPr>
          <w:p>
            <w:pPr>
              <w:pStyle w:val="MDPI42tablebody"/>
              <w:keepNext/>
              <w:spacing w:line="240" w:lineRule="auto" w:before="30" w:after="30"/>
              <w:jc w:val="center"/>
            </w:pPr>
            <w:r>
              <w:rPr>
                <w:b/>
                <w:i w:val="0"/>
                <w:sz w:val="18"/>
              </w:rPr>
              <w:t>Status</w:t>
            </w:r>
          </w:p>
        </w:tc>
      </w:tr>
      <w:tr>
        <w:trPr>
          <w:cantSplit/>
        </w:trPr>
        <w:tc>
          <w:tcPr>
            <w:tcW w:type="dxa" w:w="2121"/>
          </w:tcPr>
          <w:p>
            <w:pPr>
              <w:pStyle w:val="MDPI42tablebody"/>
              <w:keepNext/>
              <w:spacing w:line="240" w:lineRule="auto" w:before="30" w:after="30"/>
              <w:jc w:val="left"/>
            </w:pPr>
            <w:r>
              <w:rPr>
                <w:b w:val="0"/>
                <w:i w:val="0"/>
                <w:sz w:val="18"/>
              </w:rPr>
              <w:t>Unresolved uncertainty</w:t>
            </w:r>
          </w:p>
        </w:tc>
        <w:tc>
          <w:tcPr>
            <w:tcW w:type="dxa" w:w="4164"/>
          </w:tcPr>
          <w:p>
            <w:pPr>
              <w:pStyle w:val="MDPI42tablebody"/>
              <w:keepNext/>
              <w:spacing w:line="240" w:lineRule="auto" w:before="30" w:after="30"/>
              <w:jc w:val="left"/>
            </w:pPr>
            <w:r>
              <w:rPr>
                <w:b w:val="0"/>
                <w:i w:val="0"/>
                <w:sz w:val="18"/>
              </w:rPr>
              <w:t>How much about career fit the student has still to settle</w:t>
            </w:r>
          </w:p>
        </w:tc>
        <w:tc>
          <w:tcPr>
            <w:tcW w:type="dxa" w:w="1571"/>
          </w:tcPr>
          <w:p>
            <w:pPr>
              <w:pStyle w:val="MDPI42tablebody"/>
              <w:keepNext/>
              <w:spacing w:line="240" w:lineRule="auto" w:before="30" w:after="30"/>
              <w:jc w:val="center"/>
            </w:pPr>
            <w:r>
              <w:rPr>
                <w:b w:val="0"/>
                <w:i w:val="0"/>
                <w:sz w:val="18"/>
              </w:rPr>
              <w:t>Evolves weekly</w:t>
            </w:r>
          </w:p>
        </w:tc>
      </w:tr>
      <w:tr>
        <w:trPr>
          <w:cantSplit/>
        </w:trPr>
        <w:tc>
          <w:tcPr>
            <w:tcW w:type="dxa" w:w="2121"/>
          </w:tcPr>
          <w:p>
            <w:pPr>
              <w:pStyle w:val="MDPI42tablebody"/>
              <w:keepNext/>
              <w:spacing w:line="240" w:lineRule="auto" w:before="30" w:after="30"/>
              <w:jc w:val="left"/>
            </w:pPr>
            <w:r>
              <w:rPr>
                <w:b w:val="0"/>
                <w:i w:val="0"/>
                <w:sz w:val="18"/>
              </w:rPr>
              <w:t>Career exploration</w:t>
            </w:r>
          </w:p>
        </w:tc>
        <w:tc>
          <w:tcPr>
            <w:tcW w:type="dxa" w:w="4164"/>
          </w:tcPr>
          <w:p>
            <w:pPr>
              <w:pStyle w:val="MDPI42tablebody"/>
              <w:keepNext/>
              <w:spacing w:line="240" w:lineRule="auto" w:before="30" w:after="30"/>
              <w:jc w:val="left"/>
            </w:pPr>
            <w:r>
              <w:rPr>
                <w:b w:val="0"/>
                <w:i w:val="0"/>
                <w:sz w:val="18"/>
              </w:rPr>
              <w:t>Effort spent gathering career information in the current week</w:t>
            </w:r>
          </w:p>
        </w:tc>
        <w:tc>
          <w:tcPr>
            <w:tcW w:type="dxa" w:w="1571"/>
          </w:tcPr>
          <w:p>
            <w:pPr>
              <w:pStyle w:val="MDPI42tablebody"/>
              <w:keepNext/>
              <w:spacing w:line="240" w:lineRule="auto" w:before="30" w:after="30"/>
              <w:jc w:val="center"/>
            </w:pPr>
            <w:r>
              <w:rPr>
                <w:b w:val="0"/>
                <w:i w:val="0"/>
                <w:sz w:val="18"/>
              </w:rPr>
              <w:t>Evolves weekly</w:t>
            </w:r>
          </w:p>
        </w:tc>
      </w:tr>
      <w:tr>
        <w:trPr>
          <w:cantSplit/>
        </w:trPr>
        <w:tc>
          <w:tcPr>
            <w:tcW w:type="dxa" w:w="2121"/>
          </w:tcPr>
          <w:p>
            <w:pPr>
              <w:pStyle w:val="MDPI42tablebody"/>
              <w:keepNext/>
              <w:spacing w:line="240" w:lineRule="auto" w:before="30" w:after="30"/>
              <w:jc w:val="left"/>
            </w:pPr>
            <w:r>
              <w:rPr>
                <w:b w:val="0"/>
                <w:i w:val="0"/>
                <w:sz w:val="18"/>
              </w:rPr>
              <w:t>Decision-making self-efficacy</w:t>
            </w:r>
          </w:p>
        </w:tc>
        <w:tc>
          <w:tcPr>
            <w:tcW w:type="dxa" w:w="4164"/>
          </w:tcPr>
          <w:p>
            <w:pPr>
              <w:pStyle w:val="MDPI42tablebody"/>
              <w:keepNext/>
              <w:spacing w:line="240" w:lineRule="auto" w:before="30" w:after="30"/>
              <w:jc w:val="left"/>
            </w:pPr>
            <w:r>
              <w:rPr>
                <w:b w:val="0"/>
                <w:i w:val="0"/>
                <w:sz w:val="18"/>
              </w:rPr>
              <w:t>Belief in one's capacity to carry out career decision tasks</w:t>
            </w:r>
          </w:p>
        </w:tc>
        <w:tc>
          <w:tcPr>
            <w:tcW w:type="dxa" w:w="1571"/>
          </w:tcPr>
          <w:p>
            <w:pPr>
              <w:pStyle w:val="MDPI42tablebody"/>
              <w:keepNext/>
              <w:spacing w:line="240" w:lineRule="auto" w:before="30" w:after="30"/>
              <w:jc w:val="center"/>
            </w:pPr>
            <w:r>
              <w:rPr>
                <w:b w:val="0"/>
                <w:i w:val="0"/>
                <w:sz w:val="18"/>
              </w:rPr>
              <w:t>Evolves weekly</w:t>
            </w:r>
          </w:p>
        </w:tc>
      </w:tr>
      <w:tr>
        <w:trPr>
          <w:cantSplit/>
        </w:trPr>
        <w:tc>
          <w:tcPr>
            <w:tcW w:type="dxa" w:w="2121"/>
          </w:tcPr>
          <w:p>
            <w:pPr>
              <w:pStyle w:val="MDPI42tablebody"/>
              <w:keepNext/>
              <w:spacing w:line="240" w:lineRule="auto" w:before="30" w:after="30"/>
              <w:jc w:val="left"/>
            </w:pPr>
            <w:r>
              <w:rPr>
                <w:b w:val="0"/>
                <w:i w:val="0"/>
                <w:sz w:val="18"/>
              </w:rPr>
              <w:t>Career anxiety</w:t>
            </w:r>
          </w:p>
        </w:tc>
        <w:tc>
          <w:tcPr>
            <w:tcW w:type="dxa" w:w="4164"/>
          </w:tcPr>
          <w:p>
            <w:pPr>
              <w:pStyle w:val="MDPI42tablebody"/>
              <w:keepNext/>
              <w:spacing w:line="240" w:lineRule="auto" w:before="30" w:after="30"/>
              <w:jc w:val="left"/>
            </w:pPr>
            <w:r>
              <w:rPr>
                <w:b w:val="0"/>
                <w:i w:val="0"/>
                <w:sz w:val="18"/>
              </w:rPr>
              <w:t>A stable dispositional component plus a component responding to the situation</w:t>
            </w:r>
          </w:p>
        </w:tc>
        <w:tc>
          <w:tcPr>
            <w:tcW w:type="dxa" w:w="1571"/>
          </w:tcPr>
          <w:p>
            <w:pPr>
              <w:pStyle w:val="MDPI42tablebody"/>
              <w:keepNext/>
              <w:spacing w:line="240" w:lineRule="auto" w:before="30" w:after="30"/>
              <w:jc w:val="center"/>
            </w:pPr>
            <w:r>
              <w:rPr>
                <w:b w:val="0"/>
                <w:i w:val="0"/>
                <w:sz w:val="18"/>
              </w:rPr>
              <w:t>Evolves weekly</w:t>
            </w:r>
          </w:p>
        </w:tc>
      </w:tr>
      <w:tr>
        <w:trPr>
          <w:cantSplit/>
        </w:trPr>
        <w:tc>
          <w:tcPr>
            <w:tcW w:type="dxa" w:w="2121"/>
          </w:tcPr>
          <w:p>
            <w:pPr>
              <w:pStyle w:val="MDPI42tablebody"/>
              <w:keepNext/>
              <w:spacing w:line="240" w:lineRule="auto" w:before="30" w:after="30"/>
              <w:jc w:val="left"/>
            </w:pPr>
            <w:r>
              <w:rPr>
                <w:b w:val="0"/>
                <w:i w:val="0"/>
                <w:sz w:val="18"/>
              </w:rPr>
              <w:t>Parental involvement</w:t>
            </w:r>
          </w:p>
        </w:tc>
        <w:tc>
          <w:tcPr>
            <w:tcW w:type="dxa" w:w="4164"/>
          </w:tcPr>
          <w:p>
            <w:pPr>
              <w:pStyle w:val="MDPI42tablebody"/>
              <w:keepNext/>
              <w:spacing w:line="240" w:lineRule="auto" w:before="30" w:after="30"/>
              <w:jc w:val="left"/>
            </w:pPr>
            <w:r>
              <w:rPr>
                <w:b w:val="0"/>
                <w:i w:val="0"/>
                <w:sz w:val="18"/>
              </w:rPr>
              <w:t>Reassurance, scaffolding of the student's own exploring, and taking the decision over</w:t>
            </w:r>
          </w:p>
        </w:tc>
        <w:tc>
          <w:tcPr>
            <w:tcW w:type="dxa" w:w="1571"/>
          </w:tcPr>
          <w:p>
            <w:pPr>
              <w:pStyle w:val="MDPI42tablebody"/>
              <w:keepNext/>
              <w:spacing w:line="240" w:lineRule="auto" w:before="30" w:after="30"/>
              <w:jc w:val="center"/>
            </w:pPr>
            <w:r>
              <w:rPr>
                <w:b w:val="0"/>
                <w:i w:val="0"/>
                <w:sz w:val="18"/>
              </w:rPr>
              <w:t>Fixed per family</w:t>
            </w:r>
          </w:p>
        </w:tc>
      </w:tr>
      <w:tr>
        <w:trPr>
          <w:cantSplit/>
        </w:trPr>
        <w:tc>
          <w:tcPr>
            <w:tcW w:type="dxa" w:w="2121"/>
          </w:tcPr>
          <w:p>
            <w:pPr>
              <w:pStyle w:val="MDPI42tablebody"/>
              <w:keepNext/>
              <w:spacing w:line="240" w:lineRule="auto" w:before="30" w:after="30"/>
              <w:jc w:val="left"/>
            </w:pPr>
            <w:r>
              <w:rPr>
                <w:b w:val="0"/>
                <w:i w:val="0"/>
                <w:sz w:val="18"/>
              </w:rPr>
              <w:t>Preference divergence</w:t>
            </w:r>
          </w:p>
        </w:tc>
        <w:tc>
          <w:tcPr>
            <w:tcW w:type="dxa" w:w="4164"/>
          </w:tcPr>
          <w:p>
            <w:pPr>
              <w:pStyle w:val="MDPI42tablebody"/>
              <w:keepNext/>
              <w:spacing w:line="240" w:lineRule="auto" w:before="30" w:after="30"/>
              <w:jc w:val="left"/>
            </w:pPr>
            <w:r>
              <w:rPr>
                <w:b w:val="0"/>
                <w:i w:val="0"/>
                <w:sz w:val="18"/>
              </w:rPr>
              <w:t>Distance between the option the student comes to prefer and the one the family endorses</w:t>
            </w:r>
          </w:p>
        </w:tc>
        <w:tc>
          <w:tcPr>
            <w:tcW w:type="dxa" w:w="1571"/>
          </w:tcPr>
          <w:p>
            <w:pPr>
              <w:pStyle w:val="MDPI42tablebody"/>
              <w:keepNext/>
              <w:spacing w:line="240" w:lineRule="auto" w:before="30" w:after="30"/>
              <w:jc w:val="center"/>
            </w:pPr>
            <w:r>
              <w:rPr>
                <w:b w:val="0"/>
                <w:i w:val="0"/>
                <w:sz w:val="18"/>
              </w:rPr>
              <w:t>Fixed per family</w:t>
            </w:r>
          </w:p>
        </w:tc>
      </w:tr>
      <w:tr>
        <w:trPr>
          <w:cantSplit/>
        </w:trPr>
        <w:tc>
          <w:tcPr>
            <w:tcW w:type="dxa" w:w="2121"/>
          </w:tcPr>
          <w:p>
            <w:pPr>
              <w:pStyle w:val="MDPI42tablebody"/>
              <w:keepNext/>
              <w:spacing w:line="240" w:lineRule="auto" w:before="30" w:after="30"/>
              <w:jc w:val="left"/>
            </w:pPr>
            <w:r>
              <w:rPr>
                <w:b w:val="0"/>
                <w:i w:val="0"/>
                <w:sz w:val="18"/>
              </w:rPr>
              <w:t>Decision difficulty</w:t>
            </w:r>
          </w:p>
        </w:tc>
        <w:tc>
          <w:tcPr>
            <w:tcW w:type="dxa" w:w="4164"/>
          </w:tcPr>
          <w:p>
            <w:pPr>
              <w:pStyle w:val="MDPI42tablebody"/>
              <w:keepNext/>
              <w:spacing w:line="240" w:lineRule="auto" w:before="30" w:after="30"/>
              <w:jc w:val="left"/>
            </w:pPr>
            <w:r>
              <w:rPr>
                <w:b w:val="0"/>
                <w:i w:val="0"/>
                <w:sz w:val="18"/>
              </w:rPr>
              <w:t>Unresolved uncertainty combined with unreconciled conflict</w:t>
            </w:r>
          </w:p>
        </w:tc>
        <w:tc>
          <w:tcPr>
            <w:tcW w:type="dxa" w:w="1571"/>
          </w:tcPr>
          <w:p>
            <w:pPr>
              <w:pStyle w:val="MDPI42tablebody"/>
              <w:keepNext/>
              <w:spacing w:line="240" w:lineRule="auto" w:before="30" w:after="30"/>
              <w:jc w:val="center"/>
            </w:pPr>
            <w:r>
              <w:rPr>
                <w:b w:val="0"/>
                <w:i w:val="0"/>
                <w:sz w:val="18"/>
              </w:rPr>
              <w:t>Outcome</w:t>
            </w:r>
          </w:p>
        </w:tc>
      </w:tr>
    </w:tbl>
    <w:p>
      <w:pPr>
        <w:pStyle w:val="MDPI43tablefooter"/>
        <w:keepLines/>
        <w:spacing w:line="240" w:lineRule="auto" w:before="40" w:after="200"/>
        <w:ind w:left="2608" w:firstLine="0"/>
      </w:pPr>
      <w:r>
        <w:rPr>
          <w:sz w:val="16"/>
        </w:rPr>
        <w:t xml:space="preserve">Note: </w:t>
      </w:r>
      <w:r>
        <w:rPr>
          <w:b w:val="0"/>
          <w:i w:val="0"/>
          <w:sz w:val="16"/>
        </w:rPr>
        <w:t>The model is a set of stated equations, not an estimate from data. Appendix A lists every parameter with its provenance. Source: authors’ simulation.</w:t>
      </w:r>
    </w:p>
    <w:p>
      <w:pPr>
        <w:pStyle w:val="MDPI22heading2"/>
      </w:pPr>
      <w:r>
        <w:t>3.3. Calibration</w:t>
      </w:r>
    </w:p>
    <w:p>
      <w:pPr>
        <w:pStyle w:val="MDPI32textnoindent"/>
      </w:pPr>
      <w:r>
        <w:rPr>
          <w:b w:val="0"/>
          <w:i w:val="0"/>
        </w:rPr>
        <w:t xml:space="preserve">The model has no data of its own to be fitted to, and it is not fitted to any. What it is held to is the pattern of association the empirical literature reports. A subset of parameters was searched by coordinate descent so that the six correlations among the four constructs in a simulated cross-section approached those </w:t>
      </w:r>
      <w:r>
        <w:t>Pan and He (2026)</w:t>
      </w:r>
      <w:r>
        <w:rPr>
          <w:b w:val="0"/>
          <w:i w:val="0"/>
        </w:rPr>
        <w:t xml:space="preserve"> reported. Observed variables were formed by adding classical measurement error to the latent quantities, with the error share bounded by the composite reliabilities reported for those four scales, so that the calibration could not buy agreement by assuming implausibly unreliable measurement </w:t>
      </w:r>
      <w:r>
        <w:t>(Cole &amp; Preacher, 2014)</w:t>
      </w:r>
      <w:r>
        <w:rPr>
          <w:b w:val="0"/>
          <w:i w:val="0"/>
        </w:rPr>
        <w:t>.</w:t>
      </w:r>
    </w:p>
    <w:p>
      <w:pPr>
        <w:pStyle w:val="MDPI31text"/>
      </w:pPr>
      <w:r>
        <w:rPr>
          <w:b w:val="0"/>
          <w:i w:val="0"/>
        </w:rPr>
        <w:t>One parameter was deliberately excluded from the search: the share of parental involvement that takes the decision over rather than supporting the student’s own exploring. That quantity is what the study varies, and calibrating it against the same correlations that are later used to assess it would assume the answer.</w:t>
      </w:r>
    </w:p>
    <w:p>
      <w:pPr>
        <w:pStyle w:val="MDPI22heading2"/>
      </w:pPr>
      <w:r>
        <w:t>3.4. Simulated Studies and Their Analysis</w:t>
      </w:r>
    </w:p>
    <w:p>
      <w:pPr>
        <w:pStyle w:val="MDPI32textnoindent"/>
      </w:pPr>
      <w:r>
        <w:rPr>
          <w:b w:val="0"/>
          <w:i w:val="0"/>
        </w:rPr>
        <w:t xml:space="preserve">Simulated cohorts were analysed exactly as the original study analysed its sample. A conditional process model was estimated in which career anxiety predicts difficulty both directly and through self-efficacy, with perceived parental involvement moderating the direct path </w:t>
      </w:r>
      <w:r>
        <w:t>(Hayes, 2018)</w:t>
      </w:r>
      <w:r>
        <w:rPr>
          <w:b w:val="0"/>
          <w:i w:val="0"/>
        </w:rPr>
        <w:t xml:space="preserve">. Variables were mean-centred before the product term was formed </w:t>
      </w:r>
      <w:r>
        <w:t>(Aiken &amp; West, 1991)</w:t>
      </w:r>
      <w:r>
        <w:rPr>
          <w:b w:val="0"/>
          <w:i w:val="0"/>
        </w:rPr>
        <w:t>, the indirect effect and the interaction were bracketed by 5000 percentile bootstrap samples, and simple slopes were computed at one standard deviation either side of the moderator. The estimator was written for this study rather than taken from a package, so that what the simulated analyst does is fully specified; it was verified by recovering known coefficients from data generated with those coefficients.</w:t>
      </w:r>
    </w:p>
    <w:p>
      <w:pPr>
        <w:pStyle w:val="MDPI31text"/>
      </w:pPr>
      <w:r>
        <w:rPr>
          <w:b w:val="0"/>
          <w:i w:val="0"/>
        </w:rPr>
        <w:t>Three analyses follow. The first estimates the conditional process model on a cohort the size of the original sample. The second varies the share of involvement that takes the decision over, from none to all, and records what the same analysis then reports. The third searches a factorial grid over the parameters governing conflict and involvement, and records in what fraction of that space the analysis returns amplification. A fourth examines how precisely an interaction of this kind is estimated at the sample sizes this literature uses.</w:t>
      </w:r>
    </w:p>
    <w:p>
      <w:pPr>
        <w:pStyle w:val="MDPI21heading1"/>
      </w:pPr>
      <w:r>
        <w:t>4. Results</w:t>
      </w:r>
    </w:p>
    <w:p>
      <w:pPr>
        <w:pStyle w:val="MDPI22heading2"/>
      </w:pPr>
      <w:r>
        <w:t>4.1. Calibration Against the Reported Correlations</w:t>
      </w:r>
    </w:p>
    <w:p>
      <w:pPr>
        <w:pStyle w:val="MDPI32textnoindent"/>
      </w:pPr>
      <w:r>
        <w:rPr>
          <w:b w:val="0"/>
          <w:i w:val="0"/>
        </w:rPr>
        <w:t>Table 2 compares the correlations produced by the calibrated model with those reported for the original sample. The root mean squared difference is 0.113. Five of the six correlations are reproduced closely, including the association between career anxiety and decision difficulty, which is the one the study’s central question concerns.</w:t>
      </w:r>
    </w:p>
    <w:p>
      <w:pPr>
        <w:pStyle w:val="MDPI31text"/>
      </w:pPr>
      <w:r>
        <w:rPr>
          <w:b w:val="0"/>
          <w:i w:val="0"/>
        </w:rPr>
        <w:t xml:space="preserve">The exception is the association between parental support and self-efficacy, which the model reproduces at .19 against a reported .43. The shortfall is informative rather than incidental. In the model, involvement raises self-efficacy only to the extent that it scaffolds the student’s own exploring; a population in which involvement is substantially directive cannot generate an association as strong as the one reported. Either the families in that sample were unusually autonomy-supportive, or the reported association reflects something the model does not represent, such as students with higher efficacy perceiving the same parental behaviour more favourably, or shared method variance between self-reported constructs </w:t>
      </w:r>
      <w:r>
        <w:t>(Podsakoff et al., 2003)</w:t>
      </w:r>
      <w:r>
        <w:rPr>
          <w:b w:val="0"/>
          <w:i w:val="0"/>
        </w:rPr>
        <w:t>. Both possibilities are returned to in the Discussion.</w:t>
      </w:r>
    </w:p>
    <w:p>
      <w:pPr>
        <w:pStyle w:val="MDPI41tablecaption"/>
        <w:keepNext/>
        <w:spacing w:after="60"/>
      </w:pPr>
      <w:r>
        <w:rPr>
          <w:b/>
          <w:sz w:val="18"/>
        </w:rPr>
        <w:t xml:space="preserve">Table 2. </w:t>
      </w:r>
      <w:r>
        <w:rPr>
          <w:b w:val="0"/>
          <w:i w:val="0"/>
          <w:sz w:val="18"/>
        </w:rPr>
        <w:t>Correlations reported for the original sample and reproduced by the calibrated model.</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614"/>
        <w:gridCol w:w="1414"/>
        <w:gridCol w:w="1414"/>
        <w:gridCol w:w="1414"/>
      </w:tblGrid>
      <w:tr>
        <w:trPr>
          <w:cantSplit/>
          <w:tblHeader/>
        </w:trPr>
        <w:tc>
          <w:tcPr>
            <w:tcW w:type="dxa" w:w="3614"/>
            <w:tcBorders>
              <w:bottom w:val="single" w:sz="8" w:space="0" w:color="auto"/>
            </w:tcBorders>
          </w:tcPr>
          <w:p>
            <w:pPr>
              <w:pStyle w:val="MDPI42tablebody"/>
              <w:keepNext/>
              <w:spacing w:line="240" w:lineRule="auto" w:before="30" w:after="30"/>
              <w:jc w:val="center"/>
            </w:pPr>
            <w:r>
              <w:rPr>
                <w:b/>
                <w:i w:val="0"/>
                <w:sz w:val="18"/>
              </w:rPr>
              <w:t>Association</w:t>
            </w:r>
          </w:p>
        </w:tc>
        <w:tc>
          <w:tcPr>
            <w:tcW w:type="dxa" w:w="1414"/>
            <w:tcBorders>
              <w:bottom w:val="single" w:sz="8" w:space="0" w:color="auto"/>
            </w:tcBorders>
          </w:tcPr>
          <w:p>
            <w:pPr>
              <w:pStyle w:val="MDPI42tablebody"/>
              <w:keepNext/>
              <w:spacing w:line="240" w:lineRule="auto" w:before="30" w:after="30"/>
              <w:jc w:val="center"/>
            </w:pPr>
            <w:r>
              <w:rPr>
                <w:b/>
                <w:i w:val="0"/>
                <w:sz w:val="18"/>
              </w:rPr>
              <w:t>Reported</w:t>
            </w:r>
          </w:p>
        </w:tc>
        <w:tc>
          <w:tcPr>
            <w:tcW w:type="dxa" w:w="1414"/>
            <w:tcBorders>
              <w:bottom w:val="single" w:sz="8" w:space="0" w:color="auto"/>
            </w:tcBorders>
          </w:tcPr>
          <w:p>
            <w:pPr>
              <w:pStyle w:val="MDPI42tablebody"/>
              <w:keepNext/>
              <w:spacing w:line="240" w:lineRule="auto" w:before="30" w:after="30"/>
              <w:jc w:val="center"/>
            </w:pPr>
            <w:r>
              <w:rPr>
                <w:b/>
                <w:i w:val="0"/>
                <w:sz w:val="18"/>
              </w:rPr>
              <w:t>Simulated</w:t>
            </w:r>
          </w:p>
        </w:tc>
        <w:tc>
          <w:tcPr>
            <w:tcW w:type="dxa" w:w="1414"/>
            <w:tcBorders>
              <w:bottom w:val="single" w:sz="8" w:space="0" w:color="auto"/>
            </w:tcBorders>
          </w:tcPr>
          <w:p>
            <w:pPr>
              <w:pStyle w:val="MDPI42tablebody"/>
              <w:keepNext/>
              <w:spacing w:line="240" w:lineRule="auto" w:before="30" w:after="30"/>
              <w:jc w:val="center"/>
            </w:pPr>
            <w:r>
              <w:rPr>
                <w:b/>
                <w:i w:val="0"/>
                <w:sz w:val="18"/>
              </w:rPr>
              <w:t>Difference</w:t>
            </w:r>
          </w:p>
        </w:tc>
      </w:tr>
      <w:tr>
        <w:trPr>
          <w:cantSplit/>
        </w:trPr>
        <w:tc>
          <w:tcPr>
            <w:tcW w:type="dxa" w:w="3614"/>
          </w:tcPr>
          <w:p>
            <w:pPr>
              <w:pStyle w:val="MDPI42tablebody"/>
              <w:keepNext/>
              <w:spacing w:line="240" w:lineRule="auto" w:before="30" w:after="30"/>
              <w:jc w:val="left"/>
            </w:pPr>
            <w:r>
              <w:rPr>
                <w:b w:val="0"/>
                <w:i w:val="0"/>
                <w:sz w:val="18"/>
              </w:rPr>
              <w:t>Career anxiety with self-efficacy</w:t>
            </w:r>
          </w:p>
        </w:tc>
        <w:tc>
          <w:tcPr>
            <w:tcW w:type="dxa" w:w="1414"/>
          </w:tcPr>
          <w:p>
            <w:pPr>
              <w:pStyle w:val="MDPI42tablebody"/>
              <w:keepNext/>
              <w:spacing w:line="240" w:lineRule="auto" w:before="30" w:after="30"/>
              <w:jc w:val="center"/>
            </w:pPr>
            <w:r>
              <w:rPr>
                <w:b w:val="0"/>
                <w:i w:val="0"/>
                <w:sz w:val="18"/>
              </w:rPr>
              <w:t>−0.275</w:t>
            </w:r>
          </w:p>
        </w:tc>
        <w:tc>
          <w:tcPr>
            <w:tcW w:type="dxa" w:w="1414"/>
          </w:tcPr>
          <w:p>
            <w:pPr>
              <w:pStyle w:val="MDPI42tablebody"/>
              <w:keepNext/>
              <w:spacing w:line="240" w:lineRule="auto" w:before="30" w:after="30"/>
              <w:jc w:val="center"/>
            </w:pPr>
            <w:r>
              <w:rPr>
                <w:b w:val="0"/>
                <w:i w:val="0"/>
                <w:sz w:val="18"/>
              </w:rPr>
              <w:t>−0.392</w:t>
            </w:r>
          </w:p>
        </w:tc>
        <w:tc>
          <w:tcPr>
            <w:tcW w:type="dxa" w:w="1414"/>
          </w:tcPr>
          <w:p>
            <w:pPr>
              <w:pStyle w:val="MDPI42tablebody"/>
              <w:keepNext/>
              <w:spacing w:line="240" w:lineRule="auto" w:before="30" w:after="30"/>
              <w:jc w:val="center"/>
            </w:pPr>
            <w:r>
              <w:rPr>
                <w:b w:val="0"/>
                <w:i w:val="0"/>
                <w:sz w:val="18"/>
              </w:rPr>
              <w:t>−0.117</w:t>
            </w:r>
          </w:p>
        </w:tc>
      </w:tr>
      <w:tr>
        <w:trPr>
          <w:cantSplit/>
        </w:trPr>
        <w:tc>
          <w:tcPr>
            <w:tcW w:type="dxa" w:w="3614"/>
          </w:tcPr>
          <w:p>
            <w:pPr>
              <w:pStyle w:val="MDPI42tablebody"/>
              <w:keepNext/>
              <w:spacing w:line="240" w:lineRule="auto" w:before="30" w:after="30"/>
              <w:jc w:val="left"/>
            </w:pPr>
            <w:r>
              <w:rPr>
                <w:b w:val="0"/>
                <w:i w:val="0"/>
                <w:sz w:val="18"/>
              </w:rPr>
              <w:t>Career anxiety with parental involvement</w:t>
            </w:r>
          </w:p>
        </w:tc>
        <w:tc>
          <w:tcPr>
            <w:tcW w:type="dxa" w:w="1414"/>
          </w:tcPr>
          <w:p>
            <w:pPr>
              <w:pStyle w:val="MDPI42tablebody"/>
              <w:keepNext/>
              <w:spacing w:line="240" w:lineRule="auto" w:before="30" w:after="30"/>
              <w:jc w:val="center"/>
            </w:pPr>
            <w:r>
              <w:rPr>
                <w:b w:val="0"/>
                <w:i w:val="0"/>
                <w:sz w:val="18"/>
              </w:rPr>
              <w:t>−0.281</w:t>
            </w:r>
          </w:p>
        </w:tc>
        <w:tc>
          <w:tcPr>
            <w:tcW w:type="dxa" w:w="1414"/>
          </w:tcPr>
          <w:p>
            <w:pPr>
              <w:pStyle w:val="MDPI42tablebody"/>
              <w:keepNext/>
              <w:spacing w:line="240" w:lineRule="auto" w:before="30" w:after="30"/>
              <w:jc w:val="center"/>
            </w:pPr>
            <w:r>
              <w:rPr>
                <w:b w:val="0"/>
                <w:i w:val="0"/>
                <w:sz w:val="18"/>
              </w:rPr>
              <w:t>−0.300</w:t>
            </w:r>
          </w:p>
        </w:tc>
        <w:tc>
          <w:tcPr>
            <w:tcW w:type="dxa" w:w="1414"/>
          </w:tcPr>
          <w:p>
            <w:pPr>
              <w:pStyle w:val="MDPI42tablebody"/>
              <w:keepNext/>
              <w:spacing w:line="240" w:lineRule="auto" w:before="30" w:after="30"/>
              <w:jc w:val="center"/>
            </w:pPr>
            <w:r>
              <w:rPr>
                <w:b w:val="0"/>
                <w:i w:val="0"/>
                <w:sz w:val="18"/>
              </w:rPr>
              <w:t>−0.019</w:t>
            </w:r>
          </w:p>
        </w:tc>
      </w:tr>
      <w:tr>
        <w:trPr>
          <w:cantSplit/>
        </w:trPr>
        <w:tc>
          <w:tcPr>
            <w:tcW w:type="dxa" w:w="3614"/>
          </w:tcPr>
          <w:p>
            <w:pPr>
              <w:pStyle w:val="MDPI42tablebody"/>
              <w:keepNext/>
              <w:spacing w:line="240" w:lineRule="auto" w:before="30" w:after="30"/>
              <w:jc w:val="left"/>
            </w:pPr>
            <w:r>
              <w:rPr>
                <w:b w:val="0"/>
                <w:i w:val="0"/>
                <w:sz w:val="18"/>
              </w:rPr>
              <w:t>Career anxiety with decision difficulty</w:t>
            </w:r>
          </w:p>
        </w:tc>
        <w:tc>
          <w:tcPr>
            <w:tcW w:type="dxa" w:w="1414"/>
          </w:tcPr>
          <w:p>
            <w:pPr>
              <w:pStyle w:val="MDPI42tablebody"/>
              <w:keepNext/>
              <w:spacing w:line="240" w:lineRule="auto" w:before="30" w:after="30"/>
              <w:jc w:val="center"/>
            </w:pPr>
            <w:r>
              <w:rPr>
                <w:b w:val="0"/>
                <w:i w:val="0"/>
                <w:sz w:val="18"/>
              </w:rPr>
              <w:t>0.460</w:t>
            </w:r>
          </w:p>
        </w:tc>
        <w:tc>
          <w:tcPr>
            <w:tcW w:type="dxa" w:w="1414"/>
          </w:tcPr>
          <w:p>
            <w:pPr>
              <w:pStyle w:val="MDPI42tablebody"/>
              <w:keepNext/>
              <w:spacing w:line="240" w:lineRule="auto" w:before="30" w:after="30"/>
              <w:jc w:val="center"/>
            </w:pPr>
            <w:r>
              <w:rPr>
                <w:b w:val="0"/>
                <w:i w:val="0"/>
                <w:sz w:val="18"/>
              </w:rPr>
              <w:t>0.528</w:t>
            </w:r>
          </w:p>
        </w:tc>
        <w:tc>
          <w:tcPr>
            <w:tcW w:type="dxa" w:w="1414"/>
          </w:tcPr>
          <w:p>
            <w:pPr>
              <w:pStyle w:val="MDPI42tablebody"/>
              <w:keepNext/>
              <w:spacing w:line="240" w:lineRule="auto" w:before="30" w:after="30"/>
              <w:jc w:val="center"/>
            </w:pPr>
            <w:r>
              <w:rPr>
                <w:b w:val="0"/>
                <w:i w:val="0"/>
                <w:sz w:val="18"/>
              </w:rPr>
              <w:t>+0.068</w:t>
            </w:r>
          </w:p>
        </w:tc>
      </w:tr>
      <w:tr>
        <w:trPr>
          <w:cantSplit/>
        </w:trPr>
        <w:tc>
          <w:tcPr>
            <w:tcW w:type="dxa" w:w="3614"/>
          </w:tcPr>
          <w:p>
            <w:pPr>
              <w:pStyle w:val="MDPI42tablebody"/>
              <w:keepNext/>
              <w:spacing w:line="240" w:lineRule="auto" w:before="30" w:after="30"/>
              <w:jc w:val="left"/>
            </w:pPr>
            <w:r>
              <w:rPr>
                <w:b w:val="0"/>
                <w:i w:val="0"/>
                <w:sz w:val="18"/>
              </w:rPr>
              <w:t>Self-efficacy with parental involvement</w:t>
            </w:r>
          </w:p>
        </w:tc>
        <w:tc>
          <w:tcPr>
            <w:tcW w:type="dxa" w:w="1414"/>
          </w:tcPr>
          <w:p>
            <w:pPr>
              <w:pStyle w:val="MDPI42tablebody"/>
              <w:keepNext/>
              <w:spacing w:line="240" w:lineRule="auto" w:before="30" w:after="30"/>
              <w:jc w:val="center"/>
            </w:pPr>
            <w:r>
              <w:rPr>
                <w:b w:val="0"/>
                <w:i w:val="0"/>
                <w:sz w:val="18"/>
              </w:rPr>
              <w:t>0.429</w:t>
            </w:r>
          </w:p>
        </w:tc>
        <w:tc>
          <w:tcPr>
            <w:tcW w:type="dxa" w:w="1414"/>
          </w:tcPr>
          <w:p>
            <w:pPr>
              <w:pStyle w:val="MDPI42tablebody"/>
              <w:keepNext/>
              <w:spacing w:line="240" w:lineRule="auto" w:before="30" w:after="30"/>
              <w:jc w:val="center"/>
            </w:pPr>
            <w:r>
              <w:rPr>
                <w:b w:val="0"/>
                <w:i w:val="0"/>
                <w:sz w:val="18"/>
              </w:rPr>
              <w:t>0.192</w:t>
            </w:r>
          </w:p>
        </w:tc>
        <w:tc>
          <w:tcPr>
            <w:tcW w:type="dxa" w:w="1414"/>
          </w:tcPr>
          <w:p>
            <w:pPr>
              <w:pStyle w:val="MDPI42tablebody"/>
              <w:keepNext/>
              <w:spacing w:line="240" w:lineRule="auto" w:before="30" w:after="30"/>
              <w:jc w:val="center"/>
            </w:pPr>
            <w:r>
              <w:rPr>
                <w:b w:val="0"/>
                <w:i w:val="0"/>
                <w:sz w:val="18"/>
              </w:rPr>
              <w:t>−0.237</w:t>
            </w:r>
          </w:p>
        </w:tc>
      </w:tr>
      <w:tr>
        <w:trPr>
          <w:cantSplit/>
        </w:trPr>
        <w:tc>
          <w:tcPr>
            <w:tcW w:type="dxa" w:w="3614"/>
          </w:tcPr>
          <w:p>
            <w:pPr>
              <w:pStyle w:val="MDPI42tablebody"/>
              <w:keepNext/>
              <w:spacing w:line="240" w:lineRule="auto" w:before="30" w:after="30"/>
              <w:jc w:val="left"/>
            </w:pPr>
            <w:r>
              <w:rPr>
                <w:b w:val="0"/>
                <w:i w:val="0"/>
                <w:sz w:val="18"/>
              </w:rPr>
              <w:t>Self-efficacy with decision difficulty</w:t>
            </w:r>
          </w:p>
        </w:tc>
        <w:tc>
          <w:tcPr>
            <w:tcW w:type="dxa" w:w="1414"/>
          </w:tcPr>
          <w:p>
            <w:pPr>
              <w:pStyle w:val="MDPI42tablebody"/>
              <w:keepNext/>
              <w:spacing w:line="240" w:lineRule="auto" w:before="30" w:after="30"/>
              <w:jc w:val="center"/>
            </w:pPr>
            <w:r>
              <w:rPr>
                <w:b w:val="0"/>
                <w:i w:val="0"/>
                <w:sz w:val="18"/>
              </w:rPr>
              <w:t>−0.286</w:t>
            </w:r>
          </w:p>
        </w:tc>
        <w:tc>
          <w:tcPr>
            <w:tcW w:type="dxa" w:w="1414"/>
          </w:tcPr>
          <w:p>
            <w:pPr>
              <w:pStyle w:val="MDPI42tablebody"/>
              <w:keepNext/>
              <w:spacing w:line="240" w:lineRule="auto" w:before="30" w:after="30"/>
              <w:jc w:val="center"/>
            </w:pPr>
            <w:r>
              <w:rPr>
                <w:b w:val="0"/>
                <w:i w:val="0"/>
                <w:sz w:val="18"/>
              </w:rPr>
              <w:t>−0.250</w:t>
            </w:r>
          </w:p>
        </w:tc>
        <w:tc>
          <w:tcPr>
            <w:tcW w:type="dxa" w:w="1414"/>
          </w:tcPr>
          <w:p>
            <w:pPr>
              <w:pStyle w:val="MDPI42tablebody"/>
              <w:keepNext/>
              <w:spacing w:line="240" w:lineRule="auto" w:before="30" w:after="30"/>
              <w:jc w:val="center"/>
            </w:pPr>
            <w:r>
              <w:rPr>
                <w:b w:val="0"/>
                <w:i w:val="0"/>
                <w:sz w:val="18"/>
              </w:rPr>
              <w:t>+0.036</w:t>
            </w:r>
          </w:p>
        </w:tc>
      </w:tr>
      <w:tr>
        <w:trPr>
          <w:cantSplit/>
        </w:trPr>
        <w:tc>
          <w:tcPr>
            <w:tcW w:type="dxa" w:w="3614"/>
          </w:tcPr>
          <w:p>
            <w:pPr>
              <w:pStyle w:val="MDPI42tablebody"/>
              <w:keepNext/>
              <w:spacing w:line="240" w:lineRule="auto" w:before="30" w:after="30"/>
              <w:jc w:val="left"/>
            </w:pPr>
            <w:r>
              <w:rPr>
                <w:b w:val="0"/>
                <w:i w:val="0"/>
                <w:sz w:val="18"/>
              </w:rPr>
              <w:t>Parental involvement with decision difficulty</w:t>
            </w:r>
          </w:p>
        </w:tc>
        <w:tc>
          <w:tcPr>
            <w:tcW w:type="dxa" w:w="1414"/>
          </w:tcPr>
          <w:p>
            <w:pPr>
              <w:pStyle w:val="MDPI42tablebody"/>
              <w:keepNext/>
              <w:spacing w:line="240" w:lineRule="auto" w:before="30" w:after="30"/>
              <w:jc w:val="center"/>
            </w:pPr>
            <w:r>
              <w:rPr>
                <w:b w:val="0"/>
                <w:i w:val="0"/>
                <w:sz w:val="18"/>
              </w:rPr>
              <w:t>−0.268</w:t>
            </w:r>
          </w:p>
        </w:tc>
        <w:tc>
          <w:tcPr>
            <w:tcW w:type="dxa" w:w="1414"/>
          </w:tcPr>
          <w:p>
            <w:pPr>
              <w:pStyle w:val="MDPI42tablebody"/>
              <w:keepNext/>
              <w:spacing w:line="240" w:lineRule="auto" w:before="30" w:after="30"/>
              <w:jc w:val="center"/>
            </w:pPr>
            <w:r>
              <w:rPr>
                <w:b w:val="0"/>
                <w:i w:val="0"/>
                <w:sz w:val="18"/>
              </w:rPr>
              <w:t>−0.296</w:t>
            </w:r>
          </w:p>
        </w:tc>
        <w:tc>
          <w:tcPr>
            <w:tcW w:type="dxa" w:w="1414"/>
          </w:tcPr>
          <w:p>
            <w:pPr>
              <w:pStyle w:val="MDPI42tablebody"/>
              <w:keepNext/>
              <w:spacing w:line="240" w:lineRule="auto" w:before="30" w:after="30"/>
              <w:jc w:val="center"/>
            </w:pPr>
            <w:r>
              <w:rPr>
                <w:b w:val="0"/>
                <w:i w:val="0"/>
                <w:sz w:val="18"/>
              </w:rPr>
              <w:t>−0.028</w:t>
            </w:r>
          </w:p>
        </w:tc>
      </w:tr>
    </w:tbl>
    <w:p>
      <w:pPr>
        <w:pStyle w:val="MDPI43tablefooter"/>
        <w:keepLines/>
        <w:spacing w:line="240" w:lineRule="auto" w:before="40" w:after="200"/>
        <w:ind w:left="2608" w:firstLine="0"/>
      </w:pPr>
      <w:r>
        <w:rPr>
          <w:sz w:val="16"/>
        </w:rPr>
        <w:t xml:space="preserve">Note: </w:t>
      </w:r>
      <w:r>
        <w:rPr>
          <w:b w:val="0"/>
          <w:i w:val="0"/>
          <w:sz w:val="16"/>
        </w:rPr>
        <w:t>Reported values are those given by Pan and He (2026) for 407 female undergraduates and are used here as the calibration target. Root mean squared difference 0.113. Correlations from a sample of that size carry sampling error of roughly a tenth in themselves. Source: authors’ simulation.</w:t>
      </w:r>
    </w:p>
    <w:p>
      <w:pPr>
        <w:pStyle w:val="MDPI22heading2"/>
      </w:pPr>
      <w:r>
        <w:t>4.2. The Behaviour of the Modelled Process</w:t>
      </w:r>
    </w:p>
    <w:p>
      <w:pPr>
        <w:pStyle w:val="MDPI32textnoindent"/>
      </w:pPr>
      <w:r>
        <w:rPr>
          <w:b w:val="0"/>
          <w:i w:val="0"/>
        </w:rPr>
        <w:t>Before any cross-sectional analysis is applied, it is worth recording what the model does over the horizon. Averaged across simulated students, unresolved uncertainty falls from 0.78 to 0.40 over the horizon, and self-efficacy falls as well, from 0.45 to 0.22, because the attribution of progress to one’s own effort is modest at the calibrated value and the exploring most students do returns less mastery than their starting belief presumes. Neither average is the feature that matters. Students in the least anxious quartile of the dispositional distribution end the year at 0.30 of their initial uncertainty and at 0.29 on self-efficacy, while those in the most anxious quartile end at 0.54 and 0.14, having explored less and having extracted less from what exploring they did. Figure 2 shows the two pairs of trajectories.</w:t>
      </w:r>
    </w:p>
    <w:p>
      <w:pPr>
        <w:pStyle w:val="MDPI31text"/>
      </w:pPr>
      <w:r>
        <w:rPr>
          <w:b w:val="0"/>
          <w:i w:val="0"/>
        </w:rPr>
        <w:t xml:space="preserve">The divergence is not produced by a difference in the strength of any single path. It is produced by the loop: a student who begins more anxious explores less, learns less from exploring, builds less self-efficacy, and therefore explores less again, so that a modest initial difference is compounded over the horizon. This is what the reinforcing structure of social cognitive theory implies when it is allowed to run </w:t>
      </w:r>
      <w:r>
        <w:t>(Bandura, 1997; Lent &amp; Brown, 2013)</w:t>
      </w:r>
      <w:r>
        <w:rPr>
          <w:b w:val="0"/>
          <w:i w:val="0"/>
        </w:rPr>
        <w:t>, and it is not visible in a cross-section.</w:t>
      </w:r>
    </w:p>
    <w:p>
      <w:pPr>
        <w:pStyle w:val="MDPI52figure"/>
        <w:keepNext/>
        <w:ind w:left="2608" w:firstLine="0"/>
        <w:jc w:val="center"/>
      </w:pPr>
      <w:r>
        <w:drawing>
          <wp:inline xmlns:a="http://schemas.openxmlformats.org/drawingml/2006/main" xmlns:pic="http://schemas.openxmlformats.org/drawingml/2006/picture">
            <wp:extent cx="5040000" cy="2122105"/>
            <wp:docPr id="2" name="Picture 2"/>
            <wp:cNvGraphicFramePr>
              <a:graphicFrameLocks noChangeAspect="1"/>
            </wp:cNvGraphicFramePr>
            <a:graphic>
              <a:graphicData uri="http://schemas.openxmlformats.org/drawingml/2006/picture">
                <pic:pic>
                  <pic:nvPicPr>
                    <pic:cNvPr id="0" name="figure2_trajectories.png"/>
                    <pic:cNvPicPr/>
                  </pic:nvPicPr>
                  <pic:blipFill>
                    <a:blip r:embed="rId17"/>
                    <a:stretch>
                      <a:fillRect/>
                    </a:stretch>
                  </pic:blipFill>
                  <pic:spPr>
                    <a:xfrm>
                      <a:off x="0" y="0"/>
                      <a:ext cx="5040000" cy="2122105"/>
                    </a:xfrm>
                    <a:prstGeom prst="rect"/>
                  </pic:spPr>
                </pic:pic>
              </a:graphicData>
            </a:graphic>
          </wp:inline>
        </w:drawing>
      </w:r>
    </w:p>
    <w:p>
      <w:pPr>
        <w:pStyle w:val="MDPI51figurecaption"/>
        <w:spacing w:after="200"/>
      </w:pPr>
      <w:r>
        <w:rPr>
          <w:b/>
          <w:sz w:val="18"/>
        </w:rPr>
        <w:t xml:space="preserve">Figure 2. </w:t>
      </w:r>
      <w:r>
        <w:rPr>
          <w:b w:val="0"/>
          <w:i w:val="0"/>
          <w:sz w:val="18"/>
        </w:rPr>
        <w:t>Simulated trajectories of unresolved uncertainty and decision-making self-efficacy over the decision horizon, for the extreme quartiles of the dispositional anxiety distribution.</w:t>
      </w:r>
    </w:p>
    <w:p>
      <w:pPr>
        <w:pStyle w:val="MDPI22heading2"/>
      </w:pPr>
      <w:r>
        <w:t>4.3. The Conditional Process Model, as the Original Estimated It</w:t>
      </w:r>
    </w:p>
    <w:p>
      <w:pPr>
        <w:pStyle w:val="MDPI32textnoindent"/>
      </w:pPr>
      <w:r>
        <w:rPr>
          <w:b w:val="0"/>
          <w:i w:val="0"/>
        </w:rPr>
        <w:t>Table 3 reports the conditional process model estimated on a simulated cohort at the calibrated parameters. Career anxiety is negatively associated with self-efficacy (a = −.384), self-efficacy is negatively associated with difficulty (b = −.084), and the indirect path is .032, with a bootstrap interval of [.001, .065] that excludes zero. So far the simulated study recovers the qualitative structure the original reported.</w:t>
      </w:r>
    </w:p>
    <w:p>
      <w:pPr>
        <w:pStyle w:val="MDPI31text"/>
      </w:pPr>
      <w:r>
        <w:rPr>
          <w:b w:val="0"/>
          <w:i w:val="0"/>
        </w:rPr>
        <w:t>The moderation does not follow that pattern. The interaction between anxiety and involvement is −.105, with a bootstrap interval of [−.207, −.007], and it is negative. The simple slope of anxiety on difficulty is .583 at one standard deviation below the mean of involvement and .373 at one standard deviation above. In the calibrated model, in other words, parental involvement buffers the association between anxiety and difficulty, which is the opposite of what was reported for the sample the model was calibrated to reproduce.</w:t>
      </w:r>
    </w:p>
    <w:p>
      <w:pPr>
        <w:pStyle w:val="MDPI41tablecaption"/>
        <w:keepNext/>
        <w:spacing w:after="60"/>
      </w:pPr>
      <w:r>
        <w:rPr>
          <w:b/>
          <w:sz w:val="18"/>
        </w:rPr>
        <w:t xml:space="preserve">Table 3. </w:t>
      </w:r>
      <w:r>
        <w:rPr>
          <w:b w:val="0"/>
          <w:i w:val="0"/>
          <w:sz w:val="18"/>
        </w:rPr>
        <w:t>The conditional process model estimated on a simulated cohort at the calibrated parameters.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086"/>
        <w:gridCol w:w="1728"/>
        <w:gridCol w:w="2043"/>
      </w:tblGrid>
      <w:tr>
        <w:trPr>
          <w:cantSplit/>
          <w:tblHeader/>
        </w:trPr>
        <w:tc>
          <w:tcPr>
            <w:tcW w:type="dxa" w:w="4086"/>
            <w:tcBorders>
              <w:bottom w:val="single" w:sz="8" w:space="0" w:color="auto"/>
            </w:tcBorders>
          </w:tcPr>
          <w:p>
            <w:pPr>
              <w:pStyle w:val="MDPI42tablebody"/>
              <w:keepNext/>
              <w:spacing w:line="240" w:lineRule="auto" w:before="30" w:after="30"/>
              <w:jc w:val="center"/>
            </w:pPr>
            <w:r>
              <w:rPr>
                <w:b/>
                <w:i w:val="0"/>
                <w:sz w:val="18"/>
              </w:rPr>
              <w:t>Quantity</w:t>
            </w:r>
          </w:p>
        </w:tc>
        <w:tc>
          <w:tcPr>
            <w:tcW w:type="dxa" w:w="1728"/>
            <w:tcBorders>
              <w:bottom w:val="single" w:sz="8" w:space="0" w:color="auto"/>
            </w:tcBorders>
          </w:tcPr>
          <w:p>
            <w:pPr>
              <w:pStyle w:val="MDPI42tablebody"/>
              <w:keepNext/>
              <w:spacing w:line="240" w:lineRule="auto" w:before="30" w:after="30"/>
              <w:jc w:val="center"/>
            </w:pPr>
            <w:r>
              <w:rPr>
                <w:b/>
                <w:i w:val="0"/>
                <w:sz w:val="18"/>
              </w:rPr>
              <w:t>Estimate</w:t>
            </w:r>
          </w:p>
        </w:tc>
        <w:tc>
          <w:tcPr>
            <w:tcW w:type="dxa" w:w="2043"/>
            <w:tcBorders>
              <w:bottom w:val="single" w:sz="8" w:space="0" w:color="auto"/>
            </w:tcBorders>
          </w:tcPr>
          <w:p>
            <w:pPr>
              <w:pStyle w:val="MDPI42tablebody"/>
              <w:keepNext/>
              <w:spacing w:line="240" w:lineRule="auto" w:before="30" w:after="30"/>
              <w:jc w:val="center"/>
            </w:pPr>
            <w:r>
              <w:rPr>
                <w:b/>
                <w:i w:val="0"/>
                <w:sz w:val="18"/>
              </w:rPr>
              <w:t>95% bootstrap interval</w:t>
            </w:r>
          </w:p>
        </w:tc>
      </w:tr>
      <w:tr>
        <w:trPr>
          <w:cantSplit/>
        </w:trPr>
        <w:tc>
          <w:tcPr>
            <w:tcW w:type="dxa" w:w="4086"/>
          </w:tcPr>
          <w:p>
            <w:pPr>
              <w:pStyle w:val="MDPI42tablebody"/>
              <w:keepNext/>
              <w:spacing w:line="240" w:lineRule="auto" w:before="30" w:after="30"/>
              <w:jc w:val="left"/>
            </w:pPr>
            <w:r>
              <w:rPr>
                <w:b w:val="0"/>
                <w:i w:val="0"/>
                <w:sz w:val="18"/>
              </w:rPr>
              <w:t>a (anxiety on self-efficacy)</w:t>
            </w:r>
          </w:p>
        </w:tc>
        <w:tc>
          <w:tcPr>
            <w:tcW w:type="dxa" w:w="1728"/>
          </w:tcPr>
          <w:p>
            <w:pPr>
              <w:pStyle w:val="MDPI42tablebody"/>
              <w:keepNext/>
              <w:spacing w:line="240" w:lineRule="auto" w:before="30" w:after="30"/>
              <w:jc w:val="center"/>
            </w:pPr>
            <w:r>
              <w:rPr>
                <w:b w:val="0"/>
                <w:i w:val="0"/>
                <w:sz w:val="18"/>
              </w:rPr>
              <w:t>−0.384</w:t>
            </w:r>
          </w:p>
        </w:tc>
        <w:tc>
          <w:tcPr>
            <w:tcW w:type="dxa" w:w="2043"/>
          </w:tcPr>
          <w:p>
            <w:pPr>
              <w:pStyle w:val="MDPI42tablebody"/>
              <w:keepNext/>
              <w:spacing w:line="240" w:lineRule="auto" w:before="30" w:after="30"/>
              <w:jc w:val="center"/>
            </w:pPr>
            <w:r>
              <w:rPr>
                <w:b w:val="0"/>
                <w:i w:val="0"/>
                <w:sz w:val="18"/>
              </w:rPr>
              <w:t>—</w:t>
            </w:r>
          </w:p>
        </w:tc>
      </w:tr>
      <w:tr>
        <w:trPr>
          <w:cantSplit/>
        </w:trPr>
        <w:tc>
          <w:tcPr>
            <w:tcW w:type="dxa" w:w="4086"/>
          </w:tcPr>
          <w:p>
            <w:pPr>
              <w:pStyle w:val="MDPI42tablebody"/>
              <w:keepNext/>
              <w:spacing w:line="240" w:lineRule="auto" w:before="30" w:after="30"/>
              <w:jc w:val="left"/>
            </w:pPr>
            <w:r>
              <w:rPr>
                <w:b w:val="0"/>
                <w:i w:val="0"/>
                <w:sz w:val="18"/>
              </w:rPr>
              <w:t>b (self-efficacy on difficulty)</w:t>
            </w:r>
          </w:p>
        </w:tc>
        <w:tc>
          <w:tcPr>
            <w:tcW w:type="dxa" w:w="1728"/>
          </w:tcPr>
          <w:p>
            <w:pPr>
              <w:pStyle w:val="MDPI42tablebody"/>
              <w:keepNext/>
              <w:spacing w:line="240" w:lineRule="auto" w:before="30" w:after="30"/>
              <w:jc w:val="center"/>
            </w:pPr>
            <w:r>
              <w:rPr>
                <w:b w:val="0"/>
                <w:i w:val="0"/>
                <w:sz w:val="18"/>
              </w:rPr>
              <w:t>−0.084</w:t>
            </w:r>
          </w:p>
        </w:tc>
        <w:tc>
          <w:tcPr>
            <w:tcW w:type="dxa" w:w="2043"/>
          </w:tcPr>
          <w:p>
            <w:pPr>
              <w:pStyle w:val="MDPI42tablebody"/>
              <w:keepNext/>
              <w:spacing w:line="240" w:lineRule="auto" w:before="30" w:after="30"/>
              <w:jc w:val="center"/>
            </w:pPr>
            <w:r>
              <w:rPr>
                <w:b w:val="0"/>
                <w:i w:val="0"/>
                <w:sz w:val="18"/>
              </w:rPr>
              <w:t>—</w:t>
            </w:r>
          </w:p>
        </w:tc>
      </w:tr>
      <w:tr>
        <w:trPr>
          <w:cantSplit/>
        </w:trPr>
        <w:tc>
          <w:tcPr>
            <w:tcW w:type="dxa" w:w="4086"/>
          </w:tcPr>
          <w:p>
            <w:pPr>
              <w:pStyle w:val="MDPI42tablebody"/>
              <w:keepNext/>
              <w:spacing w:line="240" w:lineRule="auto" w:before="30" w:after="30"/>
              <w:jc w:val="left"/>
            </w:pPr>
            <w:r>
              <w:rPr>
                <w:b w:val="0"/>
                <w:i w:val="0"/>
                <w:sz w:val="18"/>
              </w:rPr>
              <w:t>c' (direct, at mean support)</w:t>
            </w:r>
          </w:p>
        </w:tc>
        <w:tc>
          <w:tcPr>
            <w:tcW w:type="dxa" w:w="1728"/>
          </w:tcPr>
          <w:p>
            <w:pPr>
              <w:pStyle w:val="MDPI42tablebody"/>
              <w:keepNext/>
              <w:spacing w:line="240" w:lineRule="auto" w:before="30" w:after="30"/>
              <w:jc w:val="center"/>
            </w:pPr>
            <w:r>
              <w:rPr>
                <w:b w:val="0"/>
                <w:i w:val="0"/>
                <w:sz w:val="18"/>
              </w:rPr>
              <w:t>0.478</w:t>
            </w:r>
          </w:p>
        </w:tc>
        <w:tc>
          <w:tcPr>
            <w:tcW w:type="dxa" w:w="2043"/>
          </w:tcPr>
          <w:p>
            <w:pPr>
              <w:pStyle w:val="MDPI42tablebody"/>
              <w:keepNext/>
              <w:spacing w:line="240" w:lineRule="auto" w:before="30" w:after="30"/>
              <w:jc w:val="center"/>
            </w:pPr>
            <w:r>
              <w:rPr>
                <w:b w:val="0"/>
                <w:i w:val="0"/>
                <w:sz w:val="18"/>
              </w:rPr>
              <w:t>—</w:t>
            </w:r>
          </w:p>
        </w:tc>
      </w:tr>
      <w:tr>
        <w:trPr>
          <w:cantSplit/>
        </w:trPr>
        <w:tc>
          <w:tcPr>
            <w:tcW w:type="dxa" w:w="4086"/>
          </w:tcPr>
          <w:p>
            <w:pPr>
              <w:pStyle w:val="MDPI42tablebody"/>
              <w:keepNext/>
              <w:spacing w:line="240" w:lineRule="auto" w:before="30" w:after="30"/>
              <w:jc w:val="left"/>
            </w:pPr>
            <w:r>
              <w:rPr>
                <w:b w:val="0"/>
                <w:i w:val="0"/>
                <w:sz w:val="18"/>
              </w:rPr>
              <w:t>Indirect effect (a x b)</w:t>
            </w:r>
          </w:p>
        </w:tc>
        <w:tc>
          <w:tcPr>
            <w:tcW w:type="dxa" w:w="1728"/>
          </w:tcPr>
          <w:p>
            <w:pPr>
              <w:pStyle w:val="MDPI42tablebody"/>
              <w:keepNext/>
              <w:spacing w:line="240" w:lineRule="auto" w:before="30" w:after="30"/>
              <w:jc w:val="center"/>
            </w:pPr>
            <w:r>
              <w:rPr>
                <w:b w:val="0"/>
                <w:i w:val="0"/>
                <w:sz w:val="18"/>
              </w:rPr>
              <w:t>0.032</w:t>
            </w:r>
          </w:p>
        </w:tc>
        <w:tc>
          <w:tcPr>
            <w:tcW w:type="dxa" w:w="2043"/>
          </w:tcPr>
          <w:p>
            <w:pPr>
              <w:pStyle w:val="MDPI42tablebody"/>
              <w:keepNext/>
              <w:spacing w:line="240" w:lineRule="auto" w:before="30" w:after="30"/>
              <w:jc w:val="center"/>
            </w:pPr>
            <w:r>
              <w:rPr>
                <w:b w:val="0"/>
                <w:i w:val="0"/>
                <w:sz w:val="18"/>
              </w:rPr>
              <w:t>[0.001, 0.065]</w:t>
            </w:r>
          </w:p>
        </w:tc>
      </w:tr>
      <w:tr>
        <w:trPr>
          <w:cantSplit/>
        </w:trPr>
        <w:tc>
          <w:tcPr>
            <w:tcW w:type="dxa" w:w="4086"/>
          </w:tcPr>
          <w:p>
            <w:pPr>
              <w:pStyle w:val="MDPI42tablebody"/>
              <w:keepNext/>
              <w:spacing w:line="240" w:lineRule="auto" w:before="30" w:after="30"/>
              <w:jc w:val="left"/>
            </w:pPr>
            <w:r>
              <w:rPr>
                <w:b w:val="0"/>
                <w:i w:val="0"/>
                <w:sz w:val="18"/>
              </w:rPr>
              <w:t>Anxiety x support interaction</w:t>
            </w:r>
          </w:p>
        </w:tc>
        <w:tc>
          <w:tcPr>
            <w:tcW w:type="dxa" w:w="1728"/>
          </w:tcPr>
          <w:p>
            <w:pPr>
              <w:pStyle w:val="MDPI42tablebody"/>
              <w:keepNext/>
              <w:spacing w:line="240" w:lineRule="auto" w:before="30" w:after="30"/>
              <w:jc w:val="center"/>
            </w:pPr>
            <w:r>
              <w:rPr>
                <w:b w:val="0"/>
                <w:i w:val="0"/>
                <w:sz w:val="18"/>
              </w:rPr>
              <w:t>−0.105</w:t>
            </w:r>
          </w:p>
        </w:tc>
        <w:tc>
          <w:tcPr>
            <w:tcW w:type="dxa" w:w="2043"/>
          </w:tcPr>
          <w:p>
            <w:pPr>
              <w:pStyle w:val="MDPI42tablebody"/>
              <w:keepNext/>
              <w:spacing w:line="240" w:lineRule="auto" w:before="30" w:after="30"/>
              <w:jc w:val="center"/>
            </w:pPr>
            <w:r>
              <w:rPr>
                <w:b w:val="0"/>
                <w:i w:val="0"/>
                <w:sz w:val="18"/>
              </w:rPr>
              <w:t>[−0.207, −0.007]</w:t>
            </w:r>
          </w:p>
        </w:tc>
      </w:tr>
      <w:tr>
        <w:trPr>
          <w:cantSplit/>
        </w:trPr>
        <w:tc>
          <w:tcPr>
            <w:tcW w:type="dxa" w:w="4086"/>
          </w:tcPr>
          <w:p>
            <w:pPr>
              <w:pStyle w:val="MDPI42tablebody"/>
              <w:keepNext/>
              <w:spacing w:line="240" w:lineRule="auto" w:before="30" w:after="30"/>
              <w:jc w:val="left"/>
            </w:pPr>
            <w:r>
              <w:rPr>
                <w:b w:val="0"/>
                <w:i w:val="0"/>
                <w:sz w:val="18"/>
              </w:rPr>
              <w:t>Simple slope at low support (−1 SD)</w:t>
            </w:r>
          </w:p>
        </w:tc>
        <w:tc>
          <w:tcPr>
            <w:tcW w:type="dxa" w:w="1728"/>
          </w:tcPr>
          <w:p>
            <w:pPr>
              <w:pStyle w:val="MDPI42tablebody"/>
              <w:keepNext/>
              <w:spacing w:line="240" w:lineRule="auto" w:before="30" w:after="30"/>
              <w:jc w:val="center"/>
            </w:pPr>
            <w:r>
              <w:rPr>
                <w:b w:val="0"/>
                <w:i w:val="0"/>
                <w:sz w:val="18"/>
              </w:rPr>
              <w:t>0.583</w:t>
            </w:r>
          </w:p>
        </w:tc>
        <w:tc>
          <w:tcPr>
            <w:tcW w:type="dxa" w:w="2043"/>
          </w:tcPr>
          <w:p>
            <w:pPr>
              <w:pStyle w:val="MDPI42tablebody"/>
              <w:keepNext/>
              <w:spacing w:line="240" w:lineRule="auto" w:before="30" w:after="30"/>
              <w:jc w:val="center"/>
            </w:pPr>
            <w:r>
              <w:rPr>
                <w:b w:val="0"/>
                <w:i w:val="0"/>
                <w:sz w:val="18"/>
              </w:rPr>
              <w:t>—</w:t>
            </w:r>
          </w:p>
        </w:tc>
      </w:tr>
      <w:tr>
        <w:trPr>
          <w:cantSplit/>
        </w:trPr>
        <w:tc>
          <w:tcPr>
            <w:tcW w:type="dxa" w:w="4086"/>
          </w:tcPr>
          <w:p>
            <w:pPr>
              <w:pStyle w:val="MDPI42tablebody"/>
              <w:keepNext/>
              <w:spacing w:line="240" w:lineRule="auto" w:before="30" w:after="30"/>
              <w:jc w:val="left"/>
            </w:pPr>
            <w:r>
              <w:rPr>
                <w:b w:val="0"/>
                <w:i w:val="0"/>
                <w:sz w:val="18"/>
              </w:rPr>
              <w:t>Simple slope at high support (+1 SD)</w:t>
            </w:r>
          </w:p>
        </w:tc>
        <w:tc>
          <w:tcPr>
            <w:tcW w:type="dxa" w:w="1728"/>
          </w:tcPr>
          <w:p>
            <w:pPr>
              <w:pStyle w:val="MDPI42tablebody"/>
              <w:keepNext/>
              <w:spacing w:line="240" w:lineRule="auto" w:before="30" w:after="30"/>
              <w:jc w:val="center"/>
            </w:pPr>
            <w:r>
              <w:rPr>
                <w:b w:val="0"/>
                <w:i w:val="0"/>
                <w:sz w:val="18"/>
              </w:rPr>
              <w:t>0.373</w:t>
            </w:r>
          </w:p>
        </w:tc>
        <w:tc>
          <w:tcPr>
            <w:tcW w:type="dxa" w:w="2043"/>
          </w:tcPr>
          <w:p>
            <w:pPr>
              <w:pStyle w:val="MDPI42tablebody"/>
              <w:keepNext/>
              <w:spacing w:line="240" w:lineRule="auto" w:before="30" w:after="30"/>
              <w:jc w:val="center"/>
            </w:pPr>
            <w:r>
              <w:rPr>
                <w:b w:val="0"/>
                <w:i w:val="0"/>
                <w:sz w:val="18"/>
              </w:rPr>
              <w:t>—</w:t>
            </w:r>
          </w:p>
        </w:tc>
      </w:tr>
    </w:tbl>
    <w:p>
      <w:pPr>
        <w:pStyle w:val="MDPI43tablefooter"/>
        <w:keepLines/>
        <w:spacing w:line="240" w:lineRule="auto" w:before="40" w:after="200"/>
        <w:ind w:left="2608" w:firstLine="0"/>
      </w:pPr>
      <w:r>
        <w:rPr>
          <w:sz w:val="16"/>
        </w:rPr>
        <w:t xml:space="preserve">Note: </w:t>
      </w:r>
      <w:r>
        <w:rPr>
          <w:b w:val="0"/>
          <w:i w:val="0"/>
          <w:sz w:val="16"/>
        </w:rPr>
        <w:t>Standardised coefficients. Career anxiety predicts difficulty directly and through self-efficacy, with parental involvement moderating the direct path. Intervals are percentile bootstrap intervals from 5000 resamples. Source: authors’ simulation.</w:t>
      </w:r>
    </w:p>
    <w:p>
      <w:pPr>
        <w:pStyle w:val="MDPI22heading2"/>
      </w:pPr>
      <w:r>
        <w:t>4.4. What the Kind of Involvement Does</w:t>
      </w:r>
    </w:p>
    <w:p>
      <w:pPr>
        <w:pStyle w:val="MDPI32textnoindent"/>
      </w:pPr>
      <w:r>
        <w:rPr>
          <w:b w:val="0"/>
          <w:i w:val="0"/>
        </w:rPr>
        <w:t>Table 4 and the left panel of Figure 3 vary the share of involvement that takes the decision over rather than supporting the student’s own exploring, holding everything else at the calibrated values. The interaction runs from .017 where involvement is wholly scaffolding to −.370 where it is wholly directive. The direction is the reverse of the one we anticipated. Directive involvement does not amplify the association between anxiety and difficulty; it buffers it most strongly of all, because it resolves uncertainty irrespective of whether the student is in any condition to resolve it themselves.</w:t>
      </w:r>
    </w:p>
    <w:p>
      <w:pPr>
        <w:pStyle w:val="MDPI31text"/>
      </w:pPr>
      <w:r>
        <w:rPr>
          <w:b w:val="0"/>
          <w:i w:val="0"/>
        </w:rPr>
        <w:t>The amplifying pattern appears at the other end, where involvement is wholly scaffolding, and the reason is visible in Table 5. Scaffolding raises what the student’s own exploration yields, and a student too anxious to explore has little for it to multiply. Among the least anxious quartile, moving from low to high involvement reduces simulated difficulty by 0.167; among the most anxious quartile the same movement reduces it by 0.004. Help of this kind reaches those already able to use it, and the gap between the composed and the anxious therefore widens as it is provided, which is precisely what a positive interaction between anxiety and support records.</w:t>
      </w:r>
    </w:p>
    <w:p>
      <w:pPr>
        <w:pStyle w:val="MDPI41tablecaption"/>
        <w:keepNext/>
        <w:spacing w:after="60"/>
      </w:pPr>
      <w:r>
        <w:rPr>
          <w:b/>
          <w:sz w:val="18"/>
        </w:rPr>
        <w:t xml:space="preserve">Table 4. </w:t>
      </w:r>
      <w:r>
        <w:rPr>
          <w:b w:val="0"/>
          <w:i w:val="0"/>
          <w:sz w:val="18"/>
        </w:rPr>
        <w:t>The conditional process model as the kind of parental involvement varies.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255"/>
        <w:gridCol w:w="1151"/>
        <w:gridCol w:w="1151"/>
        <w:gridCol w:w="1360"/>
        <w:gridCol w:w="2197"/>
        <w:gridCol w:w="1674"/>
        <w:gridCol w:w="1674"/>
      </w:tblGrid>
      <w:tr>
        <w:trPr>
          <w:cantSplit/>
          <w:tblHeader/>
        </w:trPr>
        <w:tc>
          <w:tcPr>
            <w:tcW w:type="dxa" w:w="1255"/>
            <w:tcBorders>
              <w:bottom w:val="single" w:sz="8" w:space="0" w:color="auto"/>
            </w:tcBorders>
          </w:tcPr>
          <w:p>
            <w:pPr>
              <w:pStyle w:val="MDPI42tablebody"/>
              <w:keepNext/>
              <w:spacing w:line="240" w:lineRule="auto" w:before="30" w:after="30"/>
              <w:jc w:val="center"/>
            </w:pPr>
            <w:r>
              <w:rPr>
                <w:b/>
                <w:i w:val="0"/>
                <w:sz w:val="16"/>
              </w:rPr>
              <w:t>Directive</w:t>
              <w:br/>
              <w:t>share</w:t>
            </w:r>
          </w:p>
        </w:tc>
        <w:tc>
          <w:tcPr>
            <w:tcW w:type="dxa" w:w="1151"/>
            <w:tcBorders>
              <w:bottom w:val="single" w:sz="8" w:space="0" w:color="auto"/>
            </w:tcBorders>
          </w:tcPr>
          <w:p>
            <w:pPr>
              <w:pStyle w:val="MDPI42tablebody"/>
              <w:keepNext/>
              <w:spacing w:line="240" w:lineRule="auto" w:before="30" w:after="30"/>
              <w:jc w:val="center"/>
            </w:pPr>
            <w:r>
              <w:rPr>
                <w:b/>
                <w:i w:val="0"/>
                <w:sz w:val="16"/>
              </w:rPr>
              <w:t>Direct</w:t>
            </w:r>
          </w:p>
        </w:tc>
        <w:tc>
          <w:tcPr>
            <w:tcW w:type="dxa" w:w="1151"/>
            <w:tcBorders>
              <w:bottom w:val="single" w:sz="8" w:space="0" w:color="auto"/>
            </w:tcBorders>
          </w:tcPr>
          <w:p>
            <w:pPr>
              <w:pStyle w:val="MDPI42tablebody"/>
              <w:keepNext/>
              <w:spacing w:line="240" w:lineRule="auto" w:before="30" w:after="30"/>
              <w:jc w:val="center"/>
            </w:pPr>
            <w:r>
              <w:rPr>
                <w:b/>
                <w:i w:val="0"/>
                <w:sz w:val="16"/>
              </w:rPr>
              <w:t>Indirect</w:t>
            </w:r>
          </w:p>
        </w:tc>
        <w:tc>
          <w:tcPr>
            <w:tcW w:type="dxa" w:w="1360"/>
            <w:tcBorders>
              <w:bottom w:val="single" w:sz="8" w:space="0" w:color="auto"/>
            </w:tcBorders>
          </w:tcPr>
          <w:p>
            <w:pPr>
              <w:pStyle w:val="MDPI42tablebody"/>
              <w:keepNext/>
              <w:spacing w:line="240" w:lineRule="auto" w:before="30" w:after="30"/>
              <w:jc w:val="center"/>
            </w:pPr>
            <w:r>
              <w:rPr>
                <w:b/>
                <w:i w:val="0"/>
                <w:sz w:val="16"/>
              </w:rPr>
              <w:t>Interaction</w:t>
            </w:r>
          </w:p>
        </w:tc>
        <w:tc>
          <w:tcPr>
            <w:tcW w:type="dxa" w:w="2197"/>
            <w:tcBorders>
              <w:bottom w:val="single" w:sz="8" w:space="0" w:color="auto"/>
            </w:tcBorders>
          </w:tcPr>
          <w:p>
            <w:pPr>
              <w:pStyle w:val="MDPI42tablebody"/>
              <w:keepNext/>
              <w:spacing w:line="240" w:lineRule="auto" w:before="30" w:after="30"/>
              <w:jc w:val="center"/>
            </w:pPr>
            <w:r>
              <w:rPr>
                <w:b/>
                <w:i w:val="0"/>
                <w:sz w:val="16"/>
              </w:rPr>
              <w:t>95% interval</w:t>
            </w:r>
          </w:p>
        </w:tc>
        <w:tc>
          <w:tcPr>
            <w:tcW w:type="dxa" w:w="1674"/>
            <w:tcBorders>
              <w:bottom w:val="single" w:sz="8" w:space="0" w:color="auto"/>
            </w:tcBorders>
          </w:tcPr>
          <w:p>
            <w:pPr>
              <w:pStyle w:val="MDPI42tablebody"/>
              <w:keepNext/>
              <w:spacing w:line="240" w:lineRule="auto" w:before="30" w:after="30"/>
              <w:jc w:val="center"/>
            </w:pPr>
            <w:r>
              <w:rPr>
                <w:b/>
                <w:i w:val="0"/>
                <w:sz w:val="16"/>
              </w:rPr>
              <w:t>Slope at</w:t>
              <w:br/>
              <w:t>low support</w:t>
            </w:r>
          </w:p>
        </w:tc>
        <w:tc>
          <w:tcPr>
            <w:tcW w:type="dxa" w:w="1674"/>
            <w:tcBorders>
              <w:bottom w:val="single" w:sz="8" w:space="0" w:color="auto"/>
            </w:tcBorders>
          </w:tcPr>
          <w:p>
            <w:pPr>
              <w:pStyle w:val="MDPI42tablebody"/>
              <w:keepNext/>
              <w:spacing w:line="240" w:lineRule="auto" w:before="30" w:after="30"/>
              <w:jc w:val="center"/>
            </w:pPr>
            <w:r>
              <w:rPr>
                <w:b/>
                <w:i w:val="0"/>
                <w:sz w:val="16"/>
              </w:rPr>
              <w:t>Slope at</w:t>
              <w:br/>
              <w:t>high support</w:t>
            </w:r>
          </w:p>
        </w:tc>
      </w:tr>
      <w:tr>
        <w:trPr>
          <w:cantSplit/>
        </w:trPr>
        <w:tc>
          <w:tcPr>
            <w:tcW w:type="dxa" w:w="1255"/>
          </w:tcPr>
          <w:p>
            <w:pPr>
              <w:pStyle w:val="MDPI42tablebody"/>
              <w:keepNext/>
              <w:spacing w:line="240" w:lineRule="auto" w:before="30" w:after="30"/>
              <w:jc w:val="left"/>
            </w:pPr>
            <w:r>
              <w:rPr>
                <w:b w:val="0"/>
                <w:i w:val="0"/>
                <w:sz w:val="16"/>
              </w:rPr>
              <w:t>0.0</w:t>
            </w:r>
          </w:p>
        </w:tc>
        <w:tc>
          <w:tcPr>
            <w:tcW w:type="dxa" w:w="1151"/>
          </w:tcPr>
          <w:p>
            <w:pPr>
              <w:pStyle w:val="MDPI42tablebody"/>
              <w:keepNext/>
              <w:spacing w:line="240" w:lineRule="auto" w:before="30" w:after="30"/>
              <w:jc w:val="center"/>
            </w:pPr>
            <w:r>
              <w:rPr>
                <w:b w:val="0"/>
                <w:i w:val="0"/>
                <w:sz w:val="16"/>
              </w:rPr>
              <w:t>0.700</w:t>
            </w:r>
          </w:p>
        </w:tc>
        <w:tc>
          <w:tcPr>
            <w:tcW w:type="dxa" w:w="1151"/>
          </w:tcPr>
          <w:p>
            <w:pPr>
              <w:pStyle w:val="MDPI42tablebody"/>
              <w:keepNext/>
              <w:spacing w:line="240" w:lineRule="auto" w:before="30" w:after="30"/>
              <w:jc w:val="center"/>
            </w:pPr>
            <w:r>
              <w:rPr>
                <w:b w:val="0"/>
                <w:i w:val="0"/>
                <w:sz w:val="16"/>
              </w:rPr>
              <w:t>0.053</w:t>
            </w:r>
          </w:p>
        </w:tc>
        <w:tc>
          <w:tcPr>
            <w:tcW w:type="dxa" w:w="1360"/>
          </w:tcPr>
          <w:p>
            <w:pPr>
              <w:pStyle w:val="MDPI42tablebody"/>
              <w:keepNext/>
              <w:spacing w:line="240" w:lineRule="auto" w:before="30" w:after="30"/>
              <w:jc w:val="center"/>
            </w:pPr>
            <w:r>
              <w:rPr>
                <w:b w:val="0"/>
                <w:i w:val="0"/>
                <w:sz w:val="16"/>
              </w:rPr>
              <w:t>0.017</w:t>
            </w:r>
          </w:p>
        </w:tc>
        <w:tc>
          <w:tcPr>
            <w:tcW w:type="dxa" w:w="2197"/>
          </w:tcPr>
          <w:p>
            <w:pPr>
              <w:pStyle w:val="MDPI42tablebody"/>
              <w:keepNext/>
              <w:spacing w:line="240" w:lineRule="auto" w:before="30" w:after="30"/>
              <w:jc w:val="center"/>
            </w:pPr>
            <w:r>
              <w:rPr>
                <w:b w:val="0"/>
                <w:i w:val="0"/>
                <w:sz w:val="16"/>
              </w:rPr>
              <w:t>[0.001, 0.031]</w:t>
            </w:r>
          </w:p>
        </w:tc>
        <w:tc>
          <w:tcPr>
            <w:tcW w:type="dxa" w:w="1674"/>
          </w:tcPr>
          <w:p>
            <w:pPr>
              <w:pStyle w:val="MDPI42tablebody"/>
              <w:keepNext/>
              <w:spacing w:line="240" w:lineRule="auto" w:before="30" w:after="30"/>
              <w:jc w:val="center"/>
            </w:pPr>
            <w:r>
              <w:rPr>
                <w:b w:val="0"/>
                <w:i w:val="0"/>
                <w:sz w:val="16"/>
              </w:rPr>
              <w:t>0.683</w:t>
            </w:r>
          </w:p>
        </w:tc>
        <w:tc>
          <w:tcPr>
            <w:tcW w:type="dxa" w:w="1674"/>
          </w:tcPr>
          <w:p>
            <w:pPr>
              <w:pStyle w:val="MDPI42tablebody"/>
              <w:keepNext/>
              <w:spacing w:line="240" w:lineRule="auto" w:before="30" w:after="30"/>
              <w:jc w:val="center"/>
            </w:pPr>
            <w:r>
              <w:rPr>
                <w:b w:val="0"/>
                <w:i w:val="0"/>
                <w:sz w:val="16"/>
              </w:rPr>
              <w:t>0.718</w:t>
            </w:r>
          </w:p>
        </w:tc>
      </w:tr>
      <w:tr>
        <w:trPr>
          <w:cantSplit/>
        </w:trPr>
        <w:tc>
          <w:tcPr>
            <w:tcW w:type="dxa" w:w="1255"/>
          </w:tcPr>
          <w:p>
            <w:pPr>
              <w:pStyle w:val="MDPI42tablebody"/>
              <w:keepNext/>
              <w:spacing w:line="240" w:lineRule="auto" w:before="30" w:after="30"/>
              <w:jc w:val="left"/>
            </w:pPr>
            <w:r>
              <w:rPr>
                <w:b w:val="0"/>
                <w:i w:val="0"/>
                <w:sz w:val="16"/>
              </w:rPr>
              <w:t>0.2</w:t>
            </w:r>
          </w:p>
        </w:tc>
        <w:tc>
          <w:tcPr>
            <w:tcW w:type="dxa" w:w="1151"/>
          </w:tcPr>
          <w:p>
            <w:pPr>
              <w:pStyle w:val="MDPI42tablebody"/>
              <w:keepNext/>
              <w:spacing w:line="240" w:lineRule="auto" w:before="30" w:after="30"/>
              <w:jc w:val="center"/>
            </w:pPr>
            <w:r>
              <w:rPr>
                <w:b w:val="0"/>
                <w:i w:val="0"/>
                <w:sz w:val="16"/>
              </w:rPr>
              <w:t>0.642</w:t>
            </w:r>
          </w:p>
        </w:tc>
        <w:tc>
          <w:tcPr>
            <w:tcW w:type="dxa" w:w="1151"/>
          </w:tcPr>
          <w:p>
            <w:pPr>
              <w:pStyle w:val="MDPI42tablebody"/>
              <w:keepNext/>
              <w:spacing w:line="240" w:lineRule="auto" w:before="30" w:after="30"/>
              <w:jc w:val="center"/>
            </w:pPr>
            <w:r>
              <w:rPr>
                <w:b w:val="0"/>
                <w:i w:val="0"/>
                <w:sz w:val="16"/>
              </w:rPr>
              <w:t>0.041</w:t>
            </w:r>
          </w:p>
        </w:tc>
        <w:tc>
          <w:tcPr>
            <w:tcW w:type="dxa" w:w="1360"/>
          </w:tcPr>
          <w:p>
            <w:pPr>
              <w:pStyle w:val="MDPI42tablebody"/>
              <w:keepNext/>
              <w:spacing w:line="240" w:lineRule="auto" w:before="30" w:after="30"/>
              <w:jc w:val="center"/>
            </w:pPr>
            <w:r>
              <w:rPr>
                <w:b w:val="0"/>
                <w:i w:val="0"/>
                <w:sz w:val="16"/>
              </w:rPr>
              <w:t>−0.037</w:t>
            </w:r>
          </w:p>
        </w:tc>
        <w:tc>
          <w:tcPr>
            <w:tcW w:type="dxa" w:w="2197"/>
          </w:tcPr>
          <w:p>
            <w:pPr>
              <w:pStyle w:val="MDPI42tablebody"/>
              <w:keepNext/>
              <w:spacing w:line="240" w:lineRule="auto" w:before="30" w:after="30"/>
              <w:jc w:val="center"/>
            </w:pPr>
            <w:r>
              <w:rPr>
                <w:b w:val="0"/>
                <w:i w:val="0"/>
                <w:sz w:val="16"/>
              </w:rPr>
              <w:t>[−0.054, −0.021]</w:t>
            </w:r>
          </w:p>
        </w:tc>
        <w:tc>
          <w:tcPr>
            <w:tcW w:type="dxa" w:w="1674"/>
          </w:tcPr>
          <w:p>
            <w:pPr>
              <w:pStyle w:val="MDPI42tablebody"/>
              <w:keepNext/>
              <w:spacing w:line="240" w:lineRule="auto" w:before="30" w:after="30"/>
              <w:jc w:val="center"/>
            </w:pPr>
            <w:r>
              <w:rPr>
                <w:b w:val="0"/>
                <w:i w:val="0"/>
                <w:sz w:val="16"/>
              </w:rPr>
              <w:t>0.679</w:t>
            </w:r>
          </w:p>
        </w:tc>
        <w:tc>
          <w:tcPr>
            <w:tcW w:type="dxa" w:w="1674"/>
          </w:tcPr>
          <w:p>
            <w:pPr>
              <w:pStyle w:val="MDPI42tablebody"/>
              <w:keepNext/>
              <w:spacing w:line="240" w:lineRule="auto" w:before="30" w:after="30"/>
              <w:jc w:val="center"/>
            </w:pPr>
            <w:r>
              <w:rPr>
                <w:b w:val="0"/>
                <w:i w:val="0"/>
                <w:sz w:val="16"/>
              </w:rPr>
              <w:t>0.605</w:t>
            </w:r>
          </w:p>
        </w:tc>
      </w:tr>
      <w:tr>
        <w:trPr>
          <w:cantSplit/>
        </w:trPr>
        <w:tc>
          <w:tcPr>
            <w:tcW w:type="dxa" w:w="1255"/>
          </w:tcPr>
          <w:p>
            <w:pPr>
              <w:pStyle w:val="MDPI42tablebody"/>
              <w:keepNext/>
              <w:spacing w:line="240" w:lineRule="auto" w:before="30" w:after="30"/>
              <w:jc w:val="left"/>
            </w:pPr>
            <w:r>
              <w:rPr>
                <w:b w:val="0"/>
                <w:i w:val="0"/>
                <w:sz w:val="16"/>
              </w:rPr>
              <w:t>0.4</w:t>
            </w:r>
          </w:p>
        </w:tc>
        <w:tc>
          <w:tcPr>
            <w:tcW w:type="dxa" w:w="1151"/>
          </w:tcPr>
          <w:p>
            <w:pPr>
              <w:pStyle w:val="MDPI42tablebody"/>
              <w:keepNext/>
              <w:spacing w:line="240" w:lineRule="auto" w:before="30" w:after="30"/>
              <w:jc w:val="center"/>
            </w:pPr>
            <w:r>
              <w:rPr>
                <w:b w:val="0"/>
                <w:i w:val="0"/>
                <w:sz w:val="16"/>
              </w:rPr>
              <w:t>0.544</w:t>
            </w:r>
          </w:p>
        </w:tc>
        <w:tc>
          <w:tcPr>
            <w:tcW w:type="dxa" w:w="1151"/>
          </w:tcPr>
          <w:p>
            <w:pPr>
              <w:pStyle w:val="MDPI42tablebody"/>
              <w:keepNext/>
              <w:spacing w:line="240" w:lineRule="auto" w:before="30" w:after="30"/>
              <w:jc w:val="center"/>
            </w:pPr>
            <w:r>
              <w:rPr>
                <w:b w:val="0"/>
                <w:i w:val="0"/>
                <w:sz w:val="16"/>
              </w:rPr>
              <w:t>0.033</w:t>
            </w:r>
          </w:p>
        </w:tc>
        <w:tc>
          <w:tcPr>
            <w:tcW w:type="dxa" w:w="1360"/>
          </w:tcPr>
          <w:p>
            <w:pPr>
              <w:pStyle w:val="MDPI42tablebody"/>
              <w:keepNext/>
              <w:spacing w:line="240" w:lineRule="auto" w:before="30" w:after="30"/>
              <w:jc w:val="center"/>
            </w:pPr>
            <w:r>
              <w:rPr>
                <w:b w:val="0"/>
                <w:i w:val="0"/>
                <w:sz w:val="16"/>
              </w:rPr>
              <w:t>−0.118</w:t>
            </w:r>
          </w:p>
        </w:tc>
        <w:tc>
          <w:tcPr>
            <w:tcW w:type="dxa" w:w="2197"/>
          </w:tcPr>
          <w:p>
            <w:pPr>
              <w:pStyle w:val="MDPI42tablebody"/>
              <w:keepNext/>
              <w:spacing w:line="240" w:lineRule="auto" w:before="30" w:after="30"/>
              <w:jc w:val="center"/>
            </w:pPr>
            <w:r>
              <w:rPr>
                <w:b w:val="0"/>
                <w:i w:val="0"/>
                <w:sz w:val="16"/>
              </w:rPr>
              <w:t>[−0.136, −0.101]</w:t>
            </w:r>
          </w:p>
        </w:tc>
        <w:tc>
          <w:tcPr>
            <w:tcW w:type="dxa" w:w="1674"/>
          </w:tcPr>
          <w:p>
            <w:pPr>
              <w:pStyle w:val="MDPI42tablebody"/>
              <w:keepNext/>
              <w:spacing w:line="240" w:lineRule="auto" w:before="30" w:after="30"/>
              <w:jc w:val="center"/>
            </w:pPr>
            <w:r>
              <w:rPr>
                <w:b w:val="0"/>
                <w:i w:val="0"/>
                <w:sz w:val="16"/>
              </w:rPr>
              <w:t>0.662</w:t>
            </w:r>
          </w:p>
        </w:tc>
        <w:tc>
          <w:tcPr>
            <w:tcW w:type="dxa" w:w="1674"/>
          </w:tcPr>
          <w:p>
            <w:pPr>
              <w:pStyle w:val="MDPI42tablebody"/>
              <w:keepNext/>
              <w:spacing w:line="240" w:lineRule="auto" w:before="30" w:after="30"/>
              <w:jc w:val="center"/>
            </w:pPr>
            <w:r>
              <w:rPr>
                <w:b w:val="0"/>
                <w:i w:val="0"/>
                <w:sz w:val="16"/>
              </w:rPr>
              <w:t>0.427</w:t>
            </w:r>
          </w:p>
        </w:tc>
      </w:tr>
      <w:tr>
        <w:trPr>
          <w:cantSplit/>
        </w:trPr>
        <w:tc>
          <w:tcPr>
            <w:tcW w:type="dxa" w:w="1255"/>
          </w:tcPr>
          <w:p>
            <w:pPr>
              <w:pStyle w:val="MDPI42tablebody"/>
              <w:keepNext/>
              <w:spacing w:line="240" w:lineRule="auto" w:before="30" w:after="30"/>
              <w:jc w:val="left"/>
            </w:pPr>
            <w:r>
              <w:rPr>
                <w:b w:val="0"/>
                <w:i w:val="0"/>
                <w:sz w:val="16"/>
              </w:rPr>
              <w:t>0.6</w:t>
            </w:r>
          </w:p>
        </w:tc>
        <w:tc>
          <w:tcPr>
            <w:tcW w:type="dxa" w:w="1151"/>
          </w:tcPr>
          <w:p>
            <w:pPr>
              <w:pStyle w:val="MDPI42tablebody"/>
              <w:keepNext/>
              <w:spacing w:line="240" w:lineRule="auto" w:before="30" w:after="30"/>
              <w:jc w:val="center"/>
            </w:pPr>
            <w:r>
              <w:rPr>
                <w:b w:val="0"/>
                <w:i w:val="0"/>
                <w:sz w:val="16"/>
              </w:rPr>
              <w:t>0.411</w:t>
            </w:r>
          </w:p>
        </w:tc>
        <w:tc>
          <w:tcPr>
            <w:tcW w:type="dxa" w:w="1151"/>
          </w:tcPr>
          <w:p>
            <w:pPr>
              <w:pStyle w:val="MDPI42tablebody"/>
              <w:keepNext/>
              <w:spacing w:line="240" w:lineRule="auto" w:before="30" w:after="30"/>
              <w:jc w:val="center"/>
            </w:pPr>
            <w:r>
              <w:rPr>
                <w:b w:val="0"/>
                <w:i w:val="0"/>
                <w:sz w:val="16"/>
              </w:rPr>
              <w:t>0.027</w:t>
            </w:r>
          </w:p>
        </w:tc>
        <w:tc>
          <w:tcPr>
            <w:tcW w:type="dxa" w:w="1360"/>
          </w:tcPr>
          <w:p>
            <w:pPr>
              <w:pStyle w:val="MDPI42tablebody"/>
              <w:keepNext/>
              <w:spacing w:line="240" w:lineRule="auto" w:before="30" w:after="30"/>
              <w:jc w:val="center"/>
            </w:pPr>
            <w:r>
              <w:rPr>
                <w:b w:val="0"/>
                <w:i w:val="0"/>
                <w:sz w:val="16"/>
              </w:rPr>
              <w:t>−0.212</w:t>
            </w:r>
          </w:p>
        </w:tc>
        <w:tc>
          <w:tcPr>
            <w:tcW w:type="dxa" w:w="2197"/>
          </w:tcPr>
          <w:p>
            <w:pPr>
              <w:pStyle w:val="MDPI42tablebody"/>
              <w:keepNext/>
              <w:spacing w:line="240" w:lineRule="auto" w:before="30" w:after="30"/>
              <w:jc w:val="center"/>
            </w:pPr>
            <w:r>
              <w:rPr>
                <w:b w:val="0"/>
                <w:i w:val="0"/>
                <w:sz w:val="16"/>
              </w:rPr>
              <w:t>[−0.232, −0.194]</w:t>
            </w:r>
          </w:p>
        </w:tc>
        <w:tc>
          <w:tcPr>
            <w:tcW w:type="dxa" w:w="1674"/>
          </w:tcPr>
          <w:p>
            <w:pPr>
              <w:pStyle w:val="MDPI42tablebody"/>
              <w:keepNext/>
              <w:spacing w:line="240" w:lineRule="auto" w:before="30" w:after="30"/>
              <w:jc w:val="center"/>
            </w:pPr>
            <w:r>
              <w:rPr>
                <w:b w:val="0"/>
                <w:i w:val="0"/>
                <w:sz w:val="16"/>
              </w:rPr>
              <w:t>0.623</w:t>
            </w:r>
          </w:p>
        </w:tc>
        <w:tc>
          <w:tcPr>
            <w:tcW w:type="dxa" w:w="1674"/>
          </w:tcPr>
          <w:p>
            <w:pPr>
              <w:pStyle w:val="MDPI42tablebody"/>
              <w:keepNext/>
              <w:spacing w:line="240" w:lineRule="auto" w:before="30" w:after="30"/>
              <w:jc w:val="center"/>
            </w:pPr>
            <w:r>
              <w:rPr>
                <w:b w:val="0"/>
                <w:i w:val="0"/>
                <w:sz w:val="16"/>
              </w:rPr>
              <w:t>0.199</w:t>
            </w:r>
          </w:p>
        </w:tc>
      </w:tr>
      <w:tr>
        <w:trPr>
          <w:cantSplit/>
        </w:trPr>
        <w:tc>
          <w:tcPr>
            <w:tcW w:type="dxa" w:w="1255"/>
          </w:tcPr>
          <w:p>
            <w:pPr>
              <w:pStyle w:val="MDPI42tablebody"/>
              <w:keepNext/>
              <w:spacing w:line="240" w:lineRule="auto" w:before="30" w:after="30"/>
              <w:jc w:val="left"/>
            </w:pPr>
            <w:r>
              <w:rPr>
                <w:b w:val="0"/>
                <w:i w:val="0"/>
                <w:sz w:val="16"/>
              </w:rPr>
              <w:t>0.8</w:t>
            </w:r>
          </w:p>
        </w:tc>
        <w:tc>
          <w:tcPr>
            <w:tcW w:type="dxa" w:w="1151"/>
          </w:tcPr>
          <w:p>
            <w:pPr>
              <w:pStyle w:val="MDPI42tablebody"/>
              <w:keepNext/>
              <w:spacing w:line="240" w:lineRule="auto" w:before="30" w:after="30"/>
              <w:jc w:val="center"/>
            </w:pPr>
            <w:r>
              <w:rPr>
                <w:b w:val="0"/>
                <w:i w:val="0"/>
                <w:sz w:val="16"/>
              </w:rPr>
              <w:t>0.258</w:t>
            </w:r>
          </w:p>
        </w:tc>
        <w:tc>
          <w:tcPr>
            <w:tcW w:type="dxa" w:w="1151"/>
          </w:tcPr>
          <w:p>
            <w:pPr>
              <w:pStyle w:val="MDPI42tablebody"/>
              <w:keepNext/>
              <w:spacing w:line="240" w:lineRule="auto" w:before="30" w:after="30"/>
              <w:jc w:val="center"/>
            </w:pPr>
            <w:r>
              <w:rPr>
                <w:b w:val="0"/>
                <w:i w:val="0"/>
                <w:sz w:val="16"/>
              </w:rPr>
              <w:t>0.019</w:t>
            </w:r>
          </w:p>
        </w:tc>
        <w:tc>
          <w:tcPr>
            <w:tcW w:type="dxa" w:w="1360"/>
          </w:tcPr>
          <w:p>
            <w:pPr>
              <w:pStyle w:val="MDPI42tablebody"/>
              <w:keepNext/>
              <w:spacing w:line="240" w:lineRule="auto" w:before="30" w:after="30"/>
              <w:jc w:val="center"/>
            </w:pPr>
            <w:r>
              <w:rPr>
                <w:b w:val="0"/>
                <w:i w:val="0"/>
                <w:sz w:val="16"/>
              </w:rPr>
              <w:t>−0.302</w:t>
            </w:r>
          </w:p>
        </w:tc>
        <w:tc>
          <w:tcPr>
            <w:tcW w:type="dxa" w:w="2197"/>
          </w:tcPr>
          <w:p>
            <w:pPr>
              <w:pStyle w:val="MDPI42tablebody"/>
              <w:keepNext/>
              <w:spacing w:line="240" w:lineRule="auto" w:before="30" w:after="30"/>
              <w:jc w:val="center"/>
            </w:pPr>
            <w:r>
              <w:rPr>
                <w:b w:val="0"/>
                <w:i w:val="0"/>
                <w:sz w:val="16"/>
              </w:rPr>
              <w:t>[−0.322, −0.282]</w:t>
            </w:r>
          </w:p>
        </w:tc>
        <w:tc>
          <w:tcPr>
            <w:tcW w:type="dxa" w:w="1674"/>
          </w:tcPr>
          <w:p>
            <w:pPr>
              <w:pStyle w:val="MDPI42tablebody"/>
              <w:keepNext/>
              <w:spacing w:line="240" w:lineRule="auto" w:before="30" w:after="30"/>
              <w:jc w:val="center"/>
            </w:pPr>
            <w:r>
              <w:rPr>
                <w:b w:val="0"/>
                <w:i w:val="0"/>
                <w:sz w:val="16"/>
              </w:rPr>
              <w:t>0.559</w:t>
            </w:r>
          </w:p>
        </w:tc>
        <w:tc>
          <w:tcPr>
            <w:tcW w:type="dxa" w:w="1674"/>
          </w:tcPr>
          <w:p>
            <w:pPr>
              <w:pStyle w:val="MDPI42tablebody"/>
              <w:keepNext/>
              <w:spacing w:line="240" w:lineRule="auto" w:before="30" w:after="30"/>
              <w:jc w:val="center"/>
            </w:pPr>
            <w:r>
              <w:rPr>
                <w:b w:val="0"/>
                <w:i w:val="0"/>
                <w:sz w:val="16"/>
              </w:rPr>
              <w:t>−0.044</w:t>
            </w:r>
          </w:p>
        </w:tc>
      </w:tr>
      <w:tr>
        <w:trPr>
          <w:cantSplit/>
        </w:trPr>
        <w:tc>
          <w:tcPr>
            <w:tcW w:type="dxa" w:w="1255"/>
          </w:tcPr>
          <w:p>
            <w:pPr>
              <w:pStyle w:val="MDPI42tablebody"/>
              <w:keepNext/>
              <w:spacing w:line="240" w:lineRule="auto" w:before="30" w:after="30"/>
              <w:jc w:val="left"/>
            </w:pPr>
            <w:r>
              <w:rPr>
                <w:b w:val="0"/>
                <w:i w:val="0"/>
                <w:sz w:val="16"/>
              </w:rPr>
              <w:t>1.0</w:t>
            </w:r>
          </w:p>
        </w:tc>
        <w:tc>
          <w:tcPr>
            <w:tcW w:type="dxa" w:w="1151"/>
          </w:tcPr>
          <w:p>
            <w:pPr>
              <w:pStyle w:val="MDPI42tablebody"/>
              <w:keepNext/>
              <w:spacing w:line="240" w:lineRule="auto" w:before="30" w:after="30"/>
              <w:jc w:val="center"/>
            </w:pPr>
            <w:r>
              <w:rPr>
                <w:b w:val="0"/>
                <w:i w:val="0"/>
                <w:sz w:val="16"/>
              </w:rPr>
              <w:t>0.108</w:t>
            </w:r>
          </w:p>
        </w:tc>
        <w:tc>
          <w:tcPr>
            <w:tcW w:type="dxa" w:w="1151"/>
          </w:tcPr>
          <w:p>
            <w:pPr>
              <w:pStyle w:val="MDPI42tablebody"/>
              <w:keepNext/>
              <w:spacing w:line="240" w:lineRule="auto" w:before="30" w:after="30"/>
              <w:jc w:val="center"/>
            </w:pPr>
            <w:r>
              <w:rPr>
                <w:b w:val="0"/>
                <w:i w:val="0"/>
                <w:sz w:val="16"/>
              </w:rPr>
              <w:t>0.012</w:t>
            </w:r>
          </w:p>
        </w:tc>
        <w:tc>
          <w:tcPr>
            <w:tcW w:type="dxa" w:w="1360"/>
          </w:tcPr>
          <w:p>
            <w:pPr>
              <w:pStyle w:val="MDPI42tablebody"/>
              <w:keepNext/>
              <w:spacing w:line="240" w:lineRule="auto" w:before="30" w:after="30"/>
              <w:jc w:val="center"/>
            </w:pPr>
            <w:r>
              <w:rPr>
                <w:b w:val="0"/>
                <w:i w:val="0"/>
                <w:sz w:val="16"/>
              </w:rPr>
              <w:t>−0.370</w:t>
            </w:r>
          </w:p>
        </w:tc>
        <w:tc>
          <w:tcPr>
            <w:tcW w:type="dxa" w:w="2197"/>
          </w:tcPr>
          <w:p>
            <w:pPr>
              <w:pStyle w:val="MDPI42tablebody"/>
              <w:keepNext/>
              <w:spacing w:line="240" w:lineRule="auto" w:before="30" w:after="30"/>
              <w:jc w:val="center"/>
            </w:pPr>
            <w:r>
              <w:rPr>
                <w:b w:val="0"/>
                <w:i w:val="0"/>
                <w:sz w:val="16"/>
              </w:rPr>
              <w:t>[−0.391, −0.349]</w:t>
            </w:r>
          </w:p>
        </w:tc>
        <w:tc>
          <w:tcPr>
            <w:tcW w:type="dxa" w:w="1674"/>
          </w:tcPr>
          <w:p>
            <w:pPr>
              <w:pStyle w:val="MDPI42tablebody"/>
              <w:keepNext/>
              <w:spacing w:line="240" w:lineRule="auto" w:before="30" w:after="30"/>
              <w:jc w:val="center"/>
            </w:pPr>
            <w:r>
              <w:rPr>
                <w:b w:val="0"/>
                <w:i w:val="0"/>
                <w:sz w:val="16"/>
              </w:rPr>
              <w:t>0.478</w:t>
            </w:r>
          </w:p>
        </w:tc>
        <w:tc>
          <w:tcPr>
            <w:tcW w:type="dxa" w:w="1674"/>
          </w:tcPr>
          <w:p>
            <w:pPr>
              <w:pStyle w:val="MDPI42tablebody"/>
              <w:keepNext/>
              <w:spacing w:line="240" w:lineRule="auto" w:before="30" w:after="30"/>
              <w:jc w:val="center"/>
            </w:pPr>
            <w:r>
              <w:rPr>
                <w:b w:val="0"/>
                <w:i w:val="0"/>
                <w:sz w:val="16"/>
              </w:rPr>
              <w:t>−0.262</w:t>
            </w:r>
          </w:p>
        </w:tc>
      </w:tr>
    </w:tbl>
    <w:p>
      <w:pPr>
        <w:pStyle w:val="MDPI43tablefooter"/>
        <w:keepLines/>
        <w:spacing w:line="240" w:lineRule="auto" w:before="40" w:after="200"/>
        <w:ind w:left="2608" w:firstLine="0"/>
      </w:pPr>
      <w:r>
        <w:rPr>
          <w:sz w:val="16"/>
        </w:rPr>
        <w:t xml:space="preserve">Note: </w:t>
      </w:r>
      <w:r>
        <w:rPr>
          <w:b w:val="0"/>
          <w:i w:val="0"/>
          <w:sz w:val="16"/>
        </w:rPr>
        <w:t>The directive share is the fraction of parental involvement that resolves uncertainty on the student’s behalf rather than supporting the student’s own exploring; everything else is held at the calibrated values. Simple slopes are of anxiety on difficulty at one standard deviation either side of the mean of involvement. Source: authors’ simulation.</w:t>
      </w:r>
    </w:p>
    <w:p>
      <w:pPr>
        <w:pStyle w:val="MDPI41tablecaption"/>
        <w:keepNext/>
        <w:spacing w:after="60"/>
      </w:pPr>
      <w:r>
        <w:rPr>
          <w:b/>
          <w:sz w:val="18"/>
        </w:rPr>
        <w:t xml:space="preserve">Table 5. </w:t>
      </w:r>
      <w:r>
        <w:rPr>
          <w:b w:val="0"/>
          <w:i w:val="0"/>
          <w:sz w:val="18"/>
        </w:rPr>
        <w:t>Reduction in simulated decision difficulty from scaffolding involvement, by dispositional anxiety.</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43"/>
        <w:gridCol w:w="1571"/>
        <w:gridCol w:w="1571"/>
        <w:gridCol w:w="1571"/>
      </w:tblGrid>
      <w:tr>
        <w:trPr>
          <w:cantSplit/>
          <w:tblHeader/>
        </w:trPr>
        <w:tc>
          <w:tcPr>
            <w:tcW w:type="dxa" w:w="3143"/>
            <w:tcBorders>
              <w:bottom w:val="single" w:sz="8" w:space="0" w:color="auto"/>
            </w:tcBorders>
          </w:tcPr>
          <w:p>
            <w:pPr>
              <w:pStyle w:val="MDPI42tablebody"/>
              <w:keepNext/>
              <w:spacing w:line="240" w:lineRule="auto" w:before="30" w:after="30"/>
              <w:jc w:val="center"/>
            </w:pPr>
            <w:r>
              <w:rPr>
                <w:b/>
                <w:i w:val="0"/>
                <w:sz w:val="18"/>
              </w:rPr>
              <w:t>Group</w:t>
            </w:r>
          </w:p>
        </w:tc>
        <w:tc>
          <w:tcPr>
            <w:tcW w:type="dxa" w:w="1571"/>
            <w:tcBorders>
              <w:bottom w:val="single" w:sz="8" w:space="0" w:color="auto"/>
            </w:tcBorders>
          </w:tcPr>
          <w:p>
            <w:pPr>
              <w:pStyle w:val="MDPI42tablebody"/>
              <w:keepNext/>
              <w:spacing w:line="240" w:lineRule="auto" w:before="30" w:after="30"/>
              <w:jc w:val="center"/>
            </w:pPr>
            <w:r>
              <w:rPr>
                <w:b/>
                <w:i w:val="0"/>
                <w:sz w:val="18"/>
              </w:rPr>
              <w:t>Low involvement</w:t>
            </w:r>
          </w:p>
        </w:tc>
        <w:tc>
          <w:tcPr>
            <w:tcW w:type="dxa" w:w="1571"/>
            <w:tcBorders>
              <w:bottom w:val="single" w:sz="8" w:space="0" w:color="auto"/>
            </w:tcBorders>
          </w:tcPr>
          <w:p>
            <w:pPr>
              <w:pStyle w:val="MDPI42tablebody"/>
              <w:keepNext/>
              <w:spacing w:line="240" w:lineRule="auto" w:before="30" w:after="30"/>
              <w:jc w:val="center"/>
            </w:pPr>
            <w:r>
              <w:rPr>
                <w:b/>
                <w:i w:val="0"/>
                <w:sz w:val="18"/>
              </w:rPr>
              <w:t>High involvement</w:t>
            </w:r>
          </w:p>
        </w:tc>
        <w:tc>
          <w:tcPr>
            <w:tcW w:type="dxa" w:w="1571"/>
            <w:tcBorders>
              <w:bottom w:val="single" w:sz="8" w:space="0" w:color="auto"/>
            </w:tcBorders>
          </w:tcPr>
          <w:p>
            <w:pPr>
              <w:pStyle w:val="MDPI42tablebody"/>
              <w:keepNext/>
              <w:spacing w:line="240" w:lineRule="auto" w:before="30" w:after="30"/>
              <w:jc w:val="center"/>
            </w:pPr>
            <w:r>
              <w:rPr>
                <w:b/>
                <w:i w:val="0"/>
                <w:sz w:val="18"/>
              </w:rPr>
              <w:t>Benefit</w:t>
            </w:r>
          </w:p>
        </w:tc>
      </w:tr>
      <w:tr>
        <w:trPr>
          <w:cantSplit/>
        </w:trPr>
        <w:tc>
          <w:tcPr>
            <w:tcW w:type="dxa" w:w="3143"/>
          </w:tcPr>
          <w:p>
            <w:pPr>
              <w:pStyle w:val="MDPI42tablebody"/>
              <w:keepNext/>
              <w:spacing w:line="240" w:lineRule="auto" w:before="30" w:after="30"/>
              <w:jc w:val="left"/>
            </w:pPr>
            <w:r>
              <w:rPr>
                <w:b w:val="0"/>
                <w:i w:val="0"/>
                <w:sz w:val="18"/>
              </w:rPr>
              <w:t>Low anxiety (lowest quartile)</w:t>
            </w:r>
          </w:p>
        </w:tc>
        <w:tc>
          <w:tcPr>
            <w:tcW w:type="dxa" w:w="1571"/>
          </w:tcPr>
          <w:p>
            <w:pPr>
              <w:pStyle w:val="MDPI42tablebody"/>
              <w:keepNext/>
              <w:spacing w:line="240" w:lineRule="auto" w:before="30" w:after="30"/>
              <w:jc w:val="center"/>
            </w:pPr>
            <w:r>
              <w:rPr>
                <w:b w:val="0"/>
                <w:i w:val="0"/>
                <w:sz w:val="18"/>
              </w:rPr>
              <w:t>0.229</w:t>
            </w:r>
          </w:p>
        </w:tc>
        <w:tc>
          <w:tcPr>
            <w:tcW w:type="dxa" w:w="1571"/>
          </w:tcPr>
          <w:p>
            <w:pPr>
              <w:pStyle w:val="MDPI42tablebody"/>
              <w:keepNext/>
              <w:spacing w:line="240" w:lineRule="auto" w:before="30" w:after="30"/>
              <w:jc w:val="center"/>
            </w:pPr>
            <w:r>
              <w:rPr>
                <w:b w:val="0"/>
                <w:i w:val="0"/>
                <w:sz w:val="18"/>
              </w:rPr>
              <w:t>0.062</w:t>
            </w:r>
          </w:p>
        </w:tc>
        <w:tc>
          <w:tcPr>
            <w:tcW w:type="dxa" w:w="1571"/>
          </w:tcPr>
          <w:p>
            <w:pPr>
              <w:pStyle w:val="MDPI42tablebody"/>
              <w:keepNext/>
              <w:spacing w:line="240" w:lineRule="auto" w:before="30" w:after="30"/>
              <w:jc w:val="center"/>
            </w:pPr>
            <w:r>
              <w:rPr>
                <w:b w:val="0"/>
                <w:i w:val="0"/>
                <w:sz w:val="18"/>
              </w:rPr>
              <w:t>+0.167</w:t>
            </w:r>
          </w:p>
        </w:tc>
      </w:tr>
      <w:tr>
        <w:trPr>
          <w:cantSplit/>
        </w:trPr>
        <w:tc>
          <w:tcPr>
            <w:tcW w:type="dxa" w:w="3143"/>
          </w:tcPr>
          <w:p>
            <w:pPr>
              <w:pStyle w:val="MDPI42tablebody"/>
              <w:keepNext/>
              <w:spacing w:line="240" w:lineRule="auto" w:before="30" w:after="30"/>
              <w:jc w:val="left"/>
            </w:pPr>
            <w:r>
              <w:rPr>
                <w:b w:val="0"/>
                <w:i w:val="0"/>
                <w:sz w:val="18"/>
              </w:rPr>
              <w:t>High anxiety (highest quartile)</w:t>
            </w:r>
          </w:p>
        </w:tc>
        <w:tc>
          <w:tcPr>
            <w:tcW w:type="dxa" w:w="1571"/>
          </w:tcPr>
          <w:p>
            <w:pPr>
              <w:pStyle w:val="MDPI42tablebody"/>
              <w:keepNext/>
              <w:spacing w:line="240" w:lineRule="auto" w:before="30" w:after="30"/>
              <w:jc w:val="center"/>
            </w:pPr>
            <w:r>
              <w:rPr>
                <w:b w:val="0"/>
                <w:i w:val="0"/>
                <w:sz w:val="18"/>
              </w:rPr>
              <w:t>0.343</w:t>
            </w:r>
          </w:p>
        </w:tc>
        <w:tc>
          <w:tcPr>
            <w:tcW w:type="dxa" w:w="1571"/>
          </w:tcPr>
          <w:p>
            <w:pPr>
              <w:pStyle w:val="MDPI42tablebody"/>
              <w:keepNext/>
              <w:spacing w:line="240" w:lineRule="auto" w:before="30" w:after="30"/>
              <w:jc w:val="center"/>
            </w:pPr>
            <w:r>
              <w:rPr>
                <w:b w:val="0"/>
                <w:i w:val="0"/>
                <w:sz w:val="18"/>
              </w:rPr>
              <w:t>0.339</w:t>
            </w:r>
          </w:p>
        </w:tc>
        <w:tc>
          <w:tcPr>
            <w:tcW w:type="dxa" w:w="1571"/>
          </w:tcPr>
          <w:p>
            <w:pPr>
              <w:pStyle w:val="MDPI42tablebody"/>
              <w:keepNext/>
              <w:spacing w:line="240" w:lineRule="auto" w:before="30" w:after="30"/>
              <w:jc w:val="center"/>
            </w:pPr>
            <w:r>
              <w:rPr>
                <w:b w:val="0"/>
                <w:i w:val="0"/>
                <w:sz w:val="18"/>
              </w:rPr>
              <w:t>+0.004</w:t>
            </w:r>
          </w:p>
        </w:tc>
      </w:tr>
    </w:tbl>
    <w:p>
      <w:pPr>
        <w:pStyle w:val="MDPI43tablefooter"/>
        <w:keepLines/>
        <w:spacing w:line="240" w:lineRule="auto" w:before="40" w:after="200"/>
        <w:ind w:left="2608" w:firstLine="0"/>
      </w:pPr>
      <w:r>
        <w:rPr>
          <w:sz w:val="16"/>
        </w:rPr>
        <w:t xml:space="preserve">Note: </w:t>
      </w:r>
      <w:r>
        <w:rPr>
          <w:b w:val="0"/>
          <w:i w:val="0"/>
          <w:sz w:val="16"/>
        </w:rPr>
        <w:t>Involvement wholly scaffolding, that is with a directive share of zero. Groups are the extreme quartiles of the dispositional anxiety distribution, and involvement is compared between its extreme quartiles. Source: authors’ simulation.</w:t>
      </w:r>
    </w:p>
    <w:p>
      <w:pPr>
        <w:pStyle w:val="MDPI52figure"/>
        <w:keepNext/>
        <w:ind w:left="2608" w:firstLine="0"/>
        <w:jc w:val="center"/>
      </w:pPr>
      <w:r>
        <w:drawing>
          <wp:inline xmlns:a="http://schemas.openxmlformats.org/drawingml/2006/main" xmlns:pic="http://schemas.openxmlformats.org/drawingml/2006/picture">
            <wp:extent cx="5040000" cy="2214694"/>
            <wp:docPr id="3" name="Picture 3"/>
            <wp:cNvGraphicFramePr>
              <a:graphicFrameLocks noChangeAspect="1"/>
            </wp:cNvGraphicFramePr>
            <a:graphic>
              <a:graphicData uri="http://schemas.openxmlformats.org/drawingml/2006/picture">
                <pic:pic>
                  <pic:nvPicPr>
                    <pic:cNvPr id="0" name="figure3_slopes.png"/>
                    <pic:cNvPicPr/>
                  </pic:nvPicPr>
                  <pic:blipFill>
                    <a:blip r:embed="rId18"/>
                    <a:stretch>
                      <a:fillRect/>
                    </a:stretch>
                  </pic:blipFill>
                  <pic:spPr>
                    <a:xfrm>
                      <a:off x="0" y="0"/>
                      <a:ext cx="5040000" cy="2214694"/>
                    </a:xfrm>
                    <a:prstGeom prst="rect"/>
                  </pic:spPr>
                </pic:pic>
              </a:graphicData>
            </a:graphic>
          </wp:inline>
        </w:drawing>
      </w:r>
    </w:p>
    <w:p>
      <w:pPr>
        <w:pStyle w:val="MDPI51figurecaption"/>
        <w:spacing w:after="200"/>
      </w:pPr>
      <w:r>
        <w:rPr>
          <w:b/>
          <w:sz w:val="18"/>
        </w:rPr>
        <w:t xml:space="preserve">Figure 3. </w:t>
      </w:r>
      <w:r>
        <w:rPr>
          <w:b w:val="0"/>
          <w:i w:val="0"/>
          <w:sz w:val="18"/>
        </w:rPr>
        <w:t>The anxiety by involvement interaction as the directive share of parental involvement varies, and the simple slopes of career anxiety on decision difficulty at low and high involvement under the calibrated parameters.</w:t>
      </w:r>
    </w:p>
    <w:p>
      <w:pPr>
        <w:pStyle w:val="MDPI22heading2"/>
      </w:pPr>
      <w:r>
        <w:t>4.5. How Often Amplification Occurs</w:t>
      </w:r>
    </w:p>
    <w:p>
      <w:pPr>
        <w:pStyle w:val="MDPI32textnoindent"/>
      </w:pPr>
      <w:r>
        <w:rPr>
          <w:b w:val="0"/>
          <w:i w:val="0"/>
        </w:rPr>
        <w:t>Table 6 reports a factorial search over the parameters governing conflict and involvement. Amplification, defined as a positive interaction, arises in 14 of 243 parameter combinations, or 5.8 per cent of the space searched. It is concentrated where involvement is predominantly scaffolding and where that scaffolding resolves comparatively little uncertainty on its own account; it does not occur at all where the directive share reaches one half. Amplification is therefore a possible outcome of this process but an uncommon one, and it carries a specific signature.</w:t>
      </w:r>
    </w:p>
    <w:p>
      <w:pPr>
        <w:pStyle w:val="MDPI41tablecaption"/>
        <w:keepNext/>
        <w:spacing w:after="60"/>
      </w:pPr>
      <w:r>
        <w:rPr>
          <w:b/>
          <w:sz w:val="18"/>
        </w:rPr>
        <w:t xml:space="preserve">Table 6. </w:t>
      </w:r>
      <w:r>
        <w:rPr>
          <w:b w:val="0"/>
          <w:i w:val="0"/>
          <w:sz w:val="18"/>
        </w:rPr>
        <w:t>Where amplification arises in the parameter space.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457"/>
        <w:gridCol w:w="1100"/>
        <w:gridCol w:w="1728"/>
        <w:gridCol w:w="1571"/>
      </w:tblGrid>
      <w:tr>
        <w:trPr>
          <w:cantSplit/>
          <w:tblHeader/>
        </w:trPr>
        <w:tc>
          <w:tcPr>
            <w:tcW w:type="dxa" w:w="3457"/>
            <w:tcBorders>
              <w:bottom w:val="single" w:sz="8" w:space="0" w:color="auto"/>
            </w:tcBorders>
          </w:tcPr>
          <w:p>
            <w:pPr>
              <w:pStyle w:val="MDPI42tablebody"/>
              <w:keepNext/>
              <w:spacing w:line="240" w:lineRule="auto" w:before="30" w:after="30"/>
              <w:jc w:val="center"/>
            </w:pPr>
            <w:r>
              <w:rPr>
                <w:b/>
                <w:i w:val="0"/>
                <w:sz w:val="18"/>
              </w:rPr>
              <w:t>Condition</w:t>
            </w:r>
          </w:p>
        </w:tc>
        <w:tc>
          <w:tcPr>
            <w:tcW w:type="dxa" w:w="1100"/>
            <w:tcBorders>
              <w:bottom w:val="single" w:sz="8" w:space="0" w:color="auto"/>
            </w:tcBorders>
          </w:tcPr>
          <w:p>
            <w:pPr>
              <w:pStyle w:val="MDPI42tablebody"/>
              <w:keepNext/>
              <w:spacing w:line="240" w:lineRule="auto" w:before="30" w:after="30"/>
              <w:jc w:val="center"/>
            </w:pPr>
            <w:r>
              <w:rPr>
                <w:b/>
                <w:i w:val="0"/>
                <w:sz w:val="18"/>
              </w:rPr>
              <w:t>Level</w:t>
            </w:r>
          </w:p>
        </w:tc>
        <w:tc>
          <w:tcPr>
            <w:tcW w:type="dxa" w:w="1728"/>
            <w:tcBorders>
              <w:bottom w:val="single" w:sz="8" w:space="0" w:color="auto"/>
            </w:tcBorders>
          </w:tcPr>
          <w:p>
            <w:pPr>
              <w:pStyle w:val="MDPI42tablebody"/>
              <w:keepNext/>
              <w:spacing w:line="240" w:lineRule="auto" w:before="30" w:after="30"/>
              <w:jc w:val="center"/>
            </w:pPr>
            <w:r>
              <w:rPr>
                <w:b/>
                <w:i w:val="0"/>
                <w:sz w:val="18"/>
              </w:rPr>
              <w:t>Mean interaction</w:t>
            </w:r>
          </w:p>
        </w:tc>
        <w:tc>
          <w:tcPr>
            <w:tcW w:type="dxa" w:w="1571"/>
            <w:tcBorders>
              <w:bottom w:val="single" w:sz="8" w:space="0" w:color="auto"/>
            </w:tcBorders>
          </w:tcPr>
          <w:p>
            <w:pPr>
              <w:pStyle w:val="MDPI42tablebody"/>
              <w:keepNext/>
              <w:spacing w:line="240" w:lineRule="auto" w:before="30" w:after="30"/>
              <w:jc w:val="center"/>
            </w:pPr>
            <w:r>
              <w:rPr>
                <w:b/>
                <w:i w:val="0"/>
                <w:sz w:val="18"/>
              </w:rPr>
              <w:t>Amplifying (%)</w:t>
            </w:r>
          </w:p>
        </w:tc>
      </w:tr>
      <w:tr>
        <w:trPr>
          <w:cantSplit/>
        </w:trPr>
        <w:tc>
          <w:tcPr>
            <w:tcW w:type="dxa" w:w="3457"/>
          </w:tcPr>
          <w:p>
            <w:pPr>
              <w:pStyle w:val="MDPI42tablebody"/>
              <w:keepNext/>
              <w:spacing w:line="240" w:lineRule="auto" w:before="30" w:after="30"/>
              <w:jc w:val="left"/>
            </w:pPr>
            <w:r>
              <w:rPr>
                <w:b w:val="0"/>
                <w:i w:val="0"/>
                <w:sz w:val="18"/>
              </w:rPr>
              <w:t>Directive share of involvement</w:t>
            </w:r>
          </w:p>
        </w:tc>
        <w:tc>
          <w:tcPr>
            <w:tcW w:type="dxa" w:w="1100"/>
          </w:tcPr>
          <w:p>
            <w:pPr>
              <w:pStyle w:val="MDPI42tablebody"/>
              <w:keepNext/>
              <w:spacing w:line="240" w:lineRule="auto" w:before="30" w:after="30"/>
              <w:jc w:val="center"/>
            </w:pPr>
            <w:r>
              <w:rPr>
                <w:b w:val="0"/>
                <w:i w:val="0"/>
                <w:sz w:val="18"/>
              </w:rPr>
              <w:t>0.20</w:t>
            </w:r>
          </w:p>
        </w:tc>
        <w:tc>
          <w:tcPr>
            <w:tcW w:type="dxa" w:w="1728"/>
          </w:tcPr>
          <w:p>
            <w:pPr>
              <w:pStyle w:val="MDPI42tablebody"/>
              <w:keepNext/>
              <w:spacing w:line="240" w:lineRule="auto" w:before="30" w:after="30"/>
              <w:jc w:val="center"/>
            </w:pPr>
            <w:r>
              <w:rPr>
                <w:b w:val="0"/>
                <w:i w:val="0"/>
                <w:sz w:val="18"/>
              </w:rPr>
              <w:t>−0.056</w:t>
            </w:r>
          </w:p>
        </w:tc>
        <w:tc>
          <w:tcPr>
            <w:tcW w:type="dxa" w:w="1571"/>
          </w:tcPr>
          <w:p>
            <w:pPr>
              <w:pStyle w:val="MDPI42tablebody"/>
              <w:keepNext/>
              <w:spacing w:line="240" w:lineRule="auto" w:before="30" w:after="30"/>
              <w:jc w:val="center"/>
            </w:pPr>
            <w:r>
              <w:rPr>
                <w:b w:val="0"/>
                <w:i w:val="0"/>
                <w:sz w:val="18"/>
              </w:rPr>
              <w:t>17.3</w:t>
            </w:r>
          </w:p>
        </w:tc>
      </w:tr>
      <w:tr>
        <w:trPr>
          <w:cantSplit/>
        </w:trPr>
        <w:tc>
          <w:tcPr>
            <w:tcW w:type="dxa" w:w="3457"/>
          </w:tcPr>
          <w:p>
            <w:pPr>
              <w:pStyle w:val="MDPI42tablebody"/>
              <w:keepNext/>
              <w:spacing w:line="240" w:lineRule="auto" w:before="30" w:after="30"/>
              <w:jc w:val="left"/>
            </w:pPr>
            <w:r>
              <w:rPr>
                <w:b w:val="0"/>
                <w:i w:val="0"/>
                <w:sz w:val="18"/>
              </w:rPr>
              <w:t>Directive share of involvement</w:t>
            </w:r>
          </w:p>
        </w:tc>
        <w:tc>
          <w:tcPr>
            <w:tcW w:type="dxa" w:w="1100"/>
          </w:tcPr>
          <w:p>
            <w:pPr>
              <w:pStyle w:val="MDPI42tablebody"/>
              <w:keepNext/>
              <w:spacing w:line="240" w:lineRule="auto" w:before="30" w:after="30"/>
              <w:jc w:val="center"/>
            </w:pPr>
            <w:r>
              <w:rPr>
                <w:b w:val="0"/>
                <w:i w:val="0"/>
                <w:sz w:val="18"/>
              </w:rPr>
              <w:t>0.50</w:t>
            </w:r>
          </w:p>
        </w:tc>
        <w:tc>
          <w:tcPr>
            <w:tcW w:type="dxa" w:w="1728"/>
          </w:tcPr>
          <w:p>
            <w:pPr>
              <w:pStyle w:val="MDPI42tablebody"/>
              <w:keepNext/>
              <w:spacing w:line="240" w:lineRule="auto" w:before="30" w:after="30"/>
              <w:jc w:val="center"/>
            </w:pPr>
            <w:r>
              <w:rPr>
                <w:b w:val="0"/>
                <w:i w:val="0"/>
                <w:sz w:val="18"/>
              </w:rPr>
              <w:t>−0.129</w:t>
            </w:r>
          </w:p>
        </w:tc>
        <w:tc>
          <w:tcPr>
            <w:tcW w:type="dxa" w:w="1571"/>
          </w:tcPr>
          <w:p>
            <w:pPr>
              <w:pStyle w:val="MDPI42tablebody"/>
              <w:keepNext/>
              <w:spacing w:line="240" w:lineRule="auto" w:before="30" w:after="30"/>
              <w:jc w:val="center"/>
            </w:pPr>
            <w:r>
              <w:rPr>
                <w:b w:val="0"/>
                <w:i w:val="0"/>
                <w:sz w:val="18"/>
              </w:rPr>
              <w:t>0.0</w:t>
            </w:r>
          </w:p>
        </w:tc>
      </w:tr>
      <w:tr>
        <w:trPr>
          <w:cantSplit/>
        </w:trPr>
        <w:tc>
          <w:tcPr>
            <w:tcW w:type="dxa" w:w="3457"/>
          </w:tcPr>
          <w:p>
            <w:pPr>
              <w:pStyle w:val="MDPI42tablebody"/>
              <w:keepNext/>
              <w:spacing w:line="240" w:lineRule="auto" w:before="30" w:after="30"/>
              <w:jc w:val="left"/>
            </w:pPr>
            <w:r>
              <w:rPr>
                <w:b w:val="0"/>
                <w:i w:val="0"/>
                <w:sz w:val="18"/>
              </w:rPr>
              <w:t>Directive share of involvement</w:t>
            </w:r>
          </w:p>
        </w:tc>
        <w:tc>
          <w:tcPr>
            <w:tcW w:type="dxa" w:w="1100"/>
          </w:tcPr>
          <w:p>
            <w:pPr>
              <w:pStyle w:val="MDPI42tablebody"/>
              <w:keepNext/>
              <w:spacing w:line="240" w:lineRule="auto" w:before="30" w:after="30"/>
              <w:jc w:val="center"/>
            </w:pPr>
            <w:r>
              <w:rPr>
                <w:b w:val="0"/>
                <w:i w:val="0"/>
                <w:sz w:val="18"/>
              </w:rPr>
              <w:t>0.85</w:t>
            </w:r>
          </w:p>
        </w:tc>
        <w:tc>
          <w:tcPr>
            <w:tcW w:type="dxa" w:w="1728"/>
          </w:tcPr>
          <w:p>
            <w:pPr>
              <w:pStyle w:val="MDPI42tablebody"/>
              <w:keepNext/>
              <w:spacing w:line="240" w:lineRule="auto" w:before="30" w:after="30"/>
              <w:jc w:val="center"/>
            </w:pPr>
            <w:r>
              <w:rPr>
                <w:b w:val="0"/>
                <w:i w:val="0"/>
                <w:sz w:val="18"/>
              </w:rPr>
              <w:t>−0.205</w:t>
            </w:r>
          </w:p>
        </w:tc>
        <w:tc>
          <w:tcPr>
            <w:tcW w:type="dxa" w:w="1571"/>
          </w:tcPr>
          <w:p>
            <w:pPr>
              <w:pStyle w:val="MDPI42tablebody"/>
              <w:keepNext/>
              <w:spacing w:line="240" w:lineRule="auto" w:before="30" w:after="30"/>
              <w:jc w:val="center"/>
            </w:pPr>
            <w:r>
              <w:rPr>
                <w:b w:val="0"/>
                <w:i w:val="0"/>
                <w:sz w:val="18"/>
              </w:rPr>
              <w:t>0.0</w:t>
            </w:r>
          </w:p>
        </w:tc>
      </w:tr>
      <w:tr>
        <w:trPr>
          <w:cantSplit/>
        </w:trPr>
        <w:tc>
          <w:tcPr>
            <w:tcW w:type="dxa" w:w="3457"/>
          </w:tcPr>
          <w:p>
            <w:pPr>
              <w:pStyle w:val="MDPI42tablebody"/>
              <w:keepNext/>
              <w:spacing w:line="240" w:lineRule="auto" w:before="30" w:after="30"/>
              <w:jc w:val="left"/>
            </w:pPr>
            <w:r>
              <w:rPr>
                <w:b w:val="0"/>
                <w:i w:val="0"/>
                <w:sz w:val="18"/>
              </w:rPr>
              <w:t>Weight of conflict in the difficulty score</w:t>
            </w:r>
          </w:p>
        </w:tc>
        <w:tc>
          <w:tcPr>
            <w:tcW w:type="dxa" w:w="1100"/>
          </w:tcPr>
          <w:p>
            <w:pPr>
              <w:pStyle w:val="MDPI42tablebody"/>
              <w:keepNext/>
              <w:spacing w:line="240" w:lineRule="auto" w:before="30" w:after="30"/>
              <w:jc w:val="center"/>
            </w:pPr>
            <w:r>
              <w:rPr>
                <w:b w:val="0"/>
                <w:i w:val="0"/>
                <w:sz w:val="18"/>
              </w:rPr>
              <w:t>0.25</w:t>
            </w:r>
          </w:p>
        </w:tc>
        <w:tc>
          <w:tcPr>
            <w:tcW w:type="dxa" w:w="1728"/>
          </w:tcPr>
          <w:p>
            <w:pPr>
              <w:pStyle w:val="MDPI42tablebody"/>
              <w:keepNext/>
              <w:spacing w:line="240" w:lineRule="auto" w:before="30" w:after="30"/>
              <w:jc w:val="center"/>
            </w:pPr>
            <w:r>
              <w:rPr>
                <w:b w:val="0"/>
                <w:i w:val="0"/>
                <w:sz w:val="18"/>
              </w:rPr>
              <w:t>−0.081</w:t>
            </w:r>
          </w:p>
        </w:tc>
        <w:tc>
          <w:tcPr>
            <w:tcW w:type="dxa" w:w="1571"/>
          </w:tcPr>
          <w:p>
            <w:pPr>
              <w:pStyle w:val="MDPI42tablebody"/>
              <w:keepNext/>
              <w:spacing w:line="240" w:lineRule="auto" w:before="30" w:after="30"/>
              <w:jc w:val="center"/>
            </w:pPr>
            <w:r>
              <w:rPr>
                <w:b w:val="0"/>
                <w:i w:val="0"/>
                <w:sz w:val="18"/>
              </w:rPr>
              <w:t>11.1</w:t>
            </w:r>
          </w:p>
        </w:tc>
      </w:tr>
      <w:tr>
        <w:trPr>
          <w:cantSplit/>
        </w:trPr>
        <w:tc>
          <w:tcPr>
            <w:tcW w:type="dxa" w:w="3457"/>
          </w:tcPr>
          <w:p>
            <w:pPr>
              <w:pStyle w:val="MDPI42tablebody"/>
              <w:keepNext/>
              <w:spacing w:line="240" w:lineRule="auto" w:before="30" w:after="30"/>
              <w:jc w:val="left"/>
            </w:pPr>
            <w:r>
              <w:rPr>
                <w:b w:val="0"/>
                <w:i w:val="0"/>
                <w:sz w:val="18"/>
              </w:rPr>
              <w:t>Weight of conflict in the difficulty score</w:t>
            </w:r>
          </w:p>
        </w:tc>
        <w:tc>
          <w:tcPr>
            <w:tcW w:type="dxa" w:w="1100"/>
          </w:tcPr>
          <w:p>
            <w:pPr>
              <w:pStyle w:val="MDPI42tablebody"/>
              <w:keepNext/>
              <w:spacing w:line="240" w:lineRule="auto" w:before="30" w:after="30"/>
              <w:jc w:val="center"/>
            </w:pPr>
            <w:r>
              <w:rPr>
                <w:b w:val="0"/>
                <w:i w:val="0"/>
                <w:sz w:val="18"/>
              </w:rPr>
              <w:t>0.60</w:t>
            </w:r>
          </w:p>
        </w:tc>
        <w:tc>
          <w:tcPr>
            <w:tcW w:type="dxa" w:w="1728"/>
          </w:tcPr>
          <w:p>
            <w:pPr>
              <w:pStyle w:val="MDPI42tablebody"/>
              <w:keepNext/>
              <w:spacing w:line="240" w:lineRule="auto" w:before="30" w:after="30"/>
              <w:jc w:val="center"/>
            </w:pPr>
            <w:r>
              <w:rPr>
                <w:b w:val="0"/>
                <w:i w:val="0"/>
                <w:sz w:val="18"/>
              </w:rPr>
              <w:t>−0.138</w:t>
            </w:r>
          </w:p>
        </w:tc>
        <w:tc>
          <w:tcPr>
            <w:tcW w:type="dxa" w:w="1571"/>
          </w:tcPr>
          <w:p>
            <w:pPr>
              <w:pStyle w:val="MDPI42tablebody"/>
              <w:keepNext/>
              <w:spacing w:line="240" w:lineRule="auto" w:before="30" w:after="30"/>
              <w:jc w:val="center"/>
            </w:pPr>
            <w:r>
              <w:rPr>
                <w:b w:val="0"/>
                <w:i w:val="0"/>
                <w:sz w:val="18"/>
              </w:rPr>
              <w:t>6.2</w:t>
            </w:r>
          </w:p>
        </w:tc>
      </w:tr>
      <w:tr>
        <w:trPr>
          <w:cantSplit/>
        </w:trPr>
        <w:tc>
          <w:tcPr>
            <w:tcW w:type="dxa" w:w="3457"/>
          </w:tcPr>
          <w:p>
            <w:pPr>
              <w:pStyle w:val="MDPI42tablebody"/>
              <w:keepNext/>
              <w:spacing w:line="240" w:lineRule="auto" w:before="30" w:after="30"/>
              <w:jc w:val="left"/>
            </w:pPr>
            <w:r>
              <w:rPr>
                <w:b w:val="0"/>
                <w:i w:val="0"/>
                <w:sz w:val="18"/>
              </w:rPr>
              <w:t>Weight of conflict in the difficulty score</w:t>
            </w:r>
          </w:p>
        </w:tc>
        <w:tc>
          <w:tcPr>
            <w:tcW w:type="dxa" w:w="1100"/>
          </w:tcPr>
          <w:p>
            <w:pPr>
              <w:pStyle w:val="MDPI42tablebody"/>
              <w:keepNext/>
              <w:spacing w:line="240" w:lineRule="auto" w:before="30" w:after="30"/>
              <w:jc w:val="center"/>
            </w:pPr>
            <w:r>
              <w:rPr>
                <w:b w:val="0"/>
                <w:i w:val="0"/>
                <w:sz w:val="18"/>
              </w:rPr>
              <w:t>1.00</w:t>
            </w:r>
          </w:p>
        </w:tc>
        <w:tc>
          <w:tcPr>
            <w:tcW w:type="dxa" w:w="1728"/>
          </w:tcPr>
          <w:p>
            <w:pPr>
              <w:pStyle w:val="MDPI42tablebody"/>
              <w:keepNext/>
              <w:spacing w:line="240" w:lineRule="auto" w:before="30" w:after="30"/>
              <w:jc w:val="center"/>
            </w:pPr>
            <w:r>
              <w:rPr>
                <w:b w:val="0"/>
                <w:i w:val="0"/>
                <w:sz w:val="18"/>
              </w:rPr>
              <w:t>−0.171</w:t>
            </w:r>
          </w:p>
        </w:tc>
        <w:tc>
          <w:tcPr>
            <w:tcW w:type="dxa" w:w="1571"/>
          </w:tcPr>
          <w:p>
            <w:pPr>
              <w:pStyle w:val="MDPI42tablebody"/>
              <w:keepNext/>
              <w:spacing w:line="240" w:lineRule="auto" w:before="30" w:after="30"/>
              <w:jc w:val="center"/>
            </w:pPr>
            <w:r>
              <w:rPr>
                <w:b w:val="0"/>
                <w:i w:val="0"/>
                <w:sz w:val="18"/>
              </w:rPr>
              <w:t>0.0</w:t>
            </w:r>
          </w:p>
        </w:tc>
      </w:tr>
      <w:tr>
        <w:trPr>
          <w:cantSplit/>
        </w:trPr>
        <w:tc>
          <w:tcPr>
            <w:tcW w:type="dxa" w:w="3457"/>
          </w:tcPr>
          <w:p>
            <w:pPr>
              <w:pStyle w:val="MDPI42tablebody"/>
              <w:keepNext/>
              <w:spacing w:line="240" w:lineRule="auto" w:before="30" w:after="30"/>
              <w:jc w:val="left"/>
            </w:pPr>
            <w:r>
              <w:rPr>
                <w:b w:val="0"/>
                <w:i w:val="0"/>
                <w:sz w:val="18"/>
              </w:rPr>
              <w:t>Distance between preferred and endorsed option</w:t>
            </w:r>
          </w:p>
        </w:tc>
        <w:tc>
          <w:tcPr>
            <w:tcW w:type="dxa" w:w="1100"/>
          </w:tcPr>
          <w:p>
            <w:pPr>
              <w:pStyle w:val="MDPI42tablebody"/>
              <w:keepNext/>
              <w:spacing w:line="240" w:lineRule="auto" w:before="30" w:after="30"/>
              <w:jc w:val="center"/>
            </w:pPr>
            <w:r>
              <w:rPr>
                <w:b w:val="0"/>
                <w:i w:val="0"/>
                <w:sz w:val="18"/>
              </w:rPr>
              <w:t>0.20</w:t>
            </w:r>
          </w:p>
        </w:tc>
        <w:tc>
          <w:tcPr>
            <w:tcW w:type="dxa" w:w="1728"/>
          </w:tcPr>
          <w:p>
            <w:pPr>
              <w:pStyle w:val="MDPI42tablebody"/>
              <w:keepNext/>
              <w:spacing w:line="240" w:lineRule="auto" w:before="30" w:after="30"/>
              <w:jc w:val="center"/>
            </w:pPr>
            <w:r>
              <w:rPr>
                <w:b w:val="0"/>
                <w:i w:val="0"/>
                <w:sz w:val="18"/>
              </w:rPr>
              <w:t>−0.102</w:t>
            </w:r>
          </w:p>
        </w:tc>
        <w:tc>
          <w:tcPr>
            <w:tcW w:type="dxa" w:w="1571"/>
          </w:tcPr>
          <w:p>
            <w:pPr>
              <w:pStyle w:val="MDPI42tablebody"/>
              <w:keepNext/>
              <w:spacing w:line="240" w:lineRule="auto" w:before="30" w:after="30"/>
              <w:jc w:val="center"/>
            </w:pPr>
            <w:r>
              <w:rPr>
                <w:b w:val="0"/>
                <w:i w:val="0"/>
                <w:sz w:val="18"/>
              </w:rPr>
              <w:t>7.4</w:t>
            </w:r>
          </w:p>
        </w:tc>
      </w:tr>
      <w:tr>
        <w:trPr>
          <w:cantSplit/>
        </w:trPr>
        <w:tc>
          <w:tcPr>
            <w:tcW w:type="dxa" w:w="3457"/>
          </w:tcPr>
          <w:p>
            <w:pPr>
              <w:pStyle w:val="MDPI42tablebody"/>
              <w:keepNext/>
              <w:spacing w:line="240" w:lineRule="auto" w:before="30" w:after="30"/>
              <w:jc w:val="left"/>
            </w:pPr>
            <w:r>
              <w:rPr>
                <w:b w:val="0"/>
                <w:i w:val="0"/>
                <w:sz w:val="18"/>
              </w:rPr>
              <w:t>Distance between preferred and endorsed option</w:t>
            </w:r>
          </w:p>
        </w:tc>
        <w:tc>
          <w:tcPr>
            <w:tcW w:type="dxa" w:w="1100"/>
          </w:tcPr>
          <w:p>
            <w:pPr>
              <w:pStyle w:val="MDPI42tablebody"/>
              <w:keepNext/>
              <w:spacing w:line="240" w:lineRule="auto" w:before="30" w:after="30"/>
              <w:jc w:val="center"/>
            </w:pPr>
            <w:r>
              <w:rPr>
                <w:b w:val="0"/>
                <w:i w:val="0"/>
                <w:sz w:val="18"/>
              </w:rPr>
              <w:t>0.50</w:t>
            </w:r>
          </w:p>
        </w:tc>
        <w:tc>
          <w:tcPr>
            <w:tcW w:type="dxa" w:w="1728"/>
          </w:tcPr>
          <w:p>
            <w:pPr>
              <w:pStyle w:val="MDPI42tablebody"/>
              <w:keepNext/>
              <w:spacing w:line="240" w:lineRule="auto" w:before="30" w:after="30"/>
              <w:jc w:val="center"/>
            </w:pPr>
            <w:r>
              <w:rPr>
                <w:b w:val="0"/>
                <w:i w:val="0"/>
                <w:sz w:val="18"/>
              </w:rPr>
              <w:t>−0.132</w:t>
            </w:r>
          </w:p>
        </w:tc>
        <w:tc>
          <w:tcPr>
            <w:tcW w:type="dxa" w:w="1571"/>
          </w:tcPr>
          <w:p>
            <w:pPr>
              <w:pStyle w:val="MDPI42tablebody"/>
              <w:keepNext/>
              <w:spacing w:line="240" w:lineRule="auto" w:before="30" w:after="30"/>
              <w:jc w:val="center"/>
            </w:pPr>
            <w:r>
              <w:rPr>
                <w:b w:val="0"/>
                <w:i w:val="0"/>
                <w:sz w:val="18"/>
              </w:rPr>
              <w:t>6.2</w:t>
            </w:r>
          </w:p>
        </w:tc>
      </w:tr>
      <w:tr>
        <w:trPr>
          <w:cantSplit/>
        </w:trPr>
        <w:tc>
          <w:tcPr>
            <w:tcW w:type="dxa" w:w="3457"/>
          </w:tcPr>
          <w:p>
            <w:pPr>
              <w:pStyle w:val="MDPI42tablebody"/>
              <w:keepNext/>
              <w:spacing w:line="240" w:lineRule="auto" w:before="30" w:after="30"/>
              <w:jc w:val="left"/>
            </w:pPr>
            <w:r>
              <w:rPr>
                <w:b w:val="0"/>
                <w:i w:val="0"/>
                <w:sz w:val="18"/>
              </w:rPr>
              <w:t>Distance between preferred and endorsed option</w:t>
            </w:r>
          </w:p>
        </w:tc>
        <w:tc>
          <w:tcPr>
            <w:tcW w:type="dxa" w:w="1100"/>
          </w:tcPr>
          <w:p>
            <w:pPr>
              <w:pStyle w:val="MDPI42tablebody"/>
              <w:keepNext/>
              <w:spacing w:line="240" w:lineRule="auto" w:before="30" w:after="30"/>
              <w:jc w:val="center"/>
            </w:pPr>
            <w:r>
              <w:rPr>
                <w:b w:val="0"/>
                <w:i w:val="0"/>
                <w:sz w:val="18"/>
              </w:rPr>
              <w:t>0.80</w:t>
            </w:r>
          </w:p>
        </w:tc>
        <w:tc>
          <w:tcPr>
            <w:tcW w:type="dxa" w:w="1728"/>
          </w:tcPr>
          <w:p>
            <w:pPr>
              <w:pStyle w:val="MDPI42tablebody"/>
              <w:keepNext/>
              <w:spacing w:line="240" w:lineRule="auto" w:before="30" w:after="30"/>
              <w:jc w:val="center"/>
            </w:pPr>
            <w:r>
              <w:rPr>
                <w:b w:val="0"/>
                <w:i w:val="0"/>
                <w:sz w:val="18"/>
              </w:rPr>
              <w:t>−0.156</w:t>
            </w:r>
          </w:p>
        </w:tc>
        <w:tc>
          <w:tcPr>
            <w:tcW w:type="dxa" w:w="1571"/>
          </w:tcPr>
          <w:p>
            <w:pPr>
              <w:pStyle w:val="MDPI42tablebody"/>
              <w:keepNext/>
              <w:spacing w:line="240" w:lineRule="auto" w:before="30" w:after="30"/>
              <w:jc w:val="center"/>
            </w:pPr>
            <w:r>
              <w:rPr>
                <w:b w:val="0"/>
                <w:i w:val="0"/>
                <w:sz w:val="18"/>
              </w:rPr>
              <w:t>3.7</w:t>
            </w:r>
          </w:p>
        </w:tc>
      </w:tr>
      <w:tr>
        <w:trPr>
          <w:cantSplit/>
        </w:trPr>
        <w:tc>
          <w:tcPr>
            <w:tcW w:type="dxa" w:w="3457"/>
          </w:tcPr>
          <w:p>
            <w:pPr>
              <w:pStyle w:val="MDPI42tablebody"/>
              <w:keepNext/>
              <w:spacing w:line="240" w:lineRule="auto" w:before="30" w:after="30"/>
              <w:jc w:val="left"/>
            </w:pPr>
            <w:r>
              <w:rPr>
                <w:b w:val="0"/>
                <w:i w:val="0"/>
                <w:sz w:val="18"/>
              </w:rPr>
              <w:t>Uncertainty actually resolved by involvement</w:t>
            </w:r>
          </w:p>
        </w:tc>
        <w:tc>
          <w:tcPr>
            <w:tcW w:type="dxa" w:w="1100"/>
          </w:tcPr>
          <w:p>
            <w:pPr>
              <w:pStyle w:val="MDPI42tablebody"/>
              <w:keepNext/>
              <w:spacing w:line="240" w:lineRule="auto" w:before="30" w:after="30"/>
              <w:jc w:val="center"/>
            </w:pPr>
            <w:r>
              <w:rPr>
                <w:b w:val="0"/>
                <w:i w:val="0"/>
                <w:sz w:val="18"/>
              </w:rPr>
              <w:t>0.15</w:t>
            </w:r>
          </w:p>
        </w:tc>
        <w:tc>
          <w:tcPr>
            <w:tcW w:type="dxa" w:w="1728"/>
          </w:tcPr>
          <w:p>
            <w:pPr>
              <w:pStyle w:val="MDPI42tablebody"/>
              <w:keepNext/>
              <w:spacing w:line="240" w:lineRule="auto" w:before="30" w:after="30"/>
              <w:jc w:val="center"/>
            </w:pPr>
            <w:r>
              <w:rPr>
                <w:b w:val="0"/>
                <w:i w:val="0"/>
                <w:sz w:val="18"/>
              </w:rPr>
              <w:t>−0.069</w:t>
            </w:r>
          </w:p>
        </w:tc>
        <w:tc>
          <w:tcPr>
            <w:tcW w:type="dxa" w:w="1571"/>
          </w:tcPr>
          <w:p>
            <w:pPr>
              <w:pStyle w:val="MDPI42tablebody"/>
              <w:keepNext/>
              <w:spacing w:line="240" w:lineRule="auto" w:before="30" w:after="30"/>
              <w:jc w:val="center"/>
            </w:pPr>
            <w:r>
              <w:rPr>
                <w:b w:val="0"/>
                <w:i w:val="0"/>
                <w:sz w:val="18"/>
              </w:rPr>
              <w:t>17.3</w:t>
            </w:r>
          </w:p>
        </w:tc>
      </w:tr>
      <w:tr>
        <w:trPr>
          <w:cantSplit/>
        </w:trPr>
        <w:tc>
          <w:tcPr>
            <w:tcW w:type="dxa" w:w="3457"/>
          </w:tcPr>
          <w:p>
            <w:pPr>
              <w:pStyle w:val="MDPI42tablebody"/>
              <w:keepNext/>
              <w:spacing w:line="240" w:lineRule="auto" w:before="30" w:after="30"/>
              <w:jc w:val="left"/>
            </w:pPr>
            <w:r>
              <w:rPr>
                <w:b w:val="0"/>
                <w:i w:val="0"/>
                <w:sz w:val="18"/>
              </w:rPr>
              <w:t>Uncertainty actually resolved by involvement</w:t>
            </w:r>
          </w:p>
        </w:tc>
        <w:tc>
          <w:tcPr>
            <w:tcW w:type="dxa" w:w="1100"/>
          </w:tcPr>
          <w:p>
            <w:pPr>
              <w:pStyle w:val="MDPI42tablebody"/>
              <w:keepNext/>
              <w:spacing w:line="240" w:lineRule="auto" w:before="30" w:after="30"/>
              <w:jc w:val="center"/>
            </w:pPr>
            <w:r>
              <w:rPr>
                <w:b w:val="0"/>
                <w:i w:val="0"/>
                <w:sz w:val="18"/>
              </w:rPr>
              <w:t>0.50</w:t>
            </w:r>
          </w:p>
        </w:tc>
        <w:tc>
          <w:tcPr>
            <w:tcW w:type="dxa" w:w="1728"/>
          </w:tcPr>
          <w:p>
            <w:pPr>
              <w:pStyle w:val="MDPI42tablebody"/>
              <w:keepNext/>
              <w:spacing w:line="240" w:lineRule="auto" w:before="30" w:after="30"/>
              <w:jc w:val="center"/>
            </w:pPr>
            <w:r>
              <w:rPr>
                <w:b w:val="0"/>
                <w:i w:val="0"/>
                <w:sz w:val="18"/>
              </w:rPr>
              <w:t>−0.132</w:t>
            </w:r>
          </w:p>
        </w:tc>
        <w:tc>
          <w:tcPr>
            <w:tcW w:type="dxa" w:w="1571"/>
          </w:tcPr>
          <w:p>
            <w:pPr>
              <w:pStyle w:val="MDPI42tablebody"/>
              <w:keepNext/>
              <w:spacing w:line="240" w:lineRule="auto" w:before="30" w:after="30"/>
              <w:jc w:val="center"/>
            </w:pPr>
            <w:r>
              <w:rPr>
                <w:b w:val="0"/>
                <w:i w:val="0"/>
                <w:sz w:val="18"/>
              </w:rPr>
              <w:t>0.0</w:t>
            </w:r>
          </w:p>
        </w:tc>
      </w:tr>
      <w:tr>
        <w:trPr>
          <w:cantSplit/>
        </w:trPr>
        <w:tc>
          <w:tcPr>
            <w:tcW w:type="dxa" w:w="3457"/>
          </w:tcPr>
          <w:p>
            <w:pPr>
              <w:pStyle w:val="MDPI42tablebody"/>
              <w:keepNext/>
              <w:spacing w:line="240" w:lineRule="auto" w:before="30" w:after="30"/>
              <w:jc w:val="left"/>
            </w:pPr>
            <w:r>
              <w:rPr>
                <w:b w:val="0"/>
                <w:i w:val="0"/>
                <w:sz w:val="18"/>
              </w:rPr>
              <w:t>Uncertainty actually resolved by involvement</w:t>
            </w:r>
          </w:p>
        </w:tc>
        <w:tc>
          <w:tcPr>
            <w:tcW w:type="dxa" w:w="1100"/>
          </w:tcPr>
          <w:p>
            <w:pPr>
              <w:pStyle w:val="MDPI42tablebody"/>
              <w:keepNext/>
              <w:spacing w:line="240" w:lineRule="auto" w:before="30" w:after="30"/>
              <w:jc w:val="center"/>
            </w:pPr>
            <w:r>
              <w:rPr>
                <w:b w:val="0"/>
                <w:i w:val="0"/>
                <w:sz w:val="18"/>
              </w:rPr>
              <w:t>0.90</w:t>
            </w:r>
          </w:p>
        </w:tc>
        <w:tc>
          <w:tcPr>
            <w:tcW w:type="dxa" w:w="1728"/>
          </w:tcPr>
          <w:p>
            <w:pPr>
              <w:pStyle w:val="MDPI42tablebody"/>
              <w:keepNext/>
              <w:spacing w:line="240" w:lineRule="auto" w:before="30" w:after="30"/>
              <w:jc w:val="center"/>
            </w:pPr>
            <w:r>
              <w:rPr>
                <w:b w:val="0"/>
                <w:i w:val="0"/>
                <w:sz w:val="18"/>
              </w:rPr>
              <w:t>−0.189</w:t>
            </w:r>
          </w:p>
        </w:tc>
        <w:tc>
          <w:tcPr>
            <w:tcW w:type="dxa" w:w="1571"/>
          </w:tcPr>
          <w:p>
            <w:pPr>
              <w:pStyle w:val="MDPI42tablebody"/>
              <w:keepNext/>
              <w:spacing w:line="240" w:lineRule="auto" w:before="30" w:after="30"/>
              <w:jc w:val="center"/>
            </w:pPr>
            <w:r>
              <w:rPr>
                <w:b w:val="0"/>
                <w:i w:val="0"/>
                <w:sz w:val="18"/>
              </w:rPr>
              <w:t>0.0</w:t>
            </w:r>
          </w:p>
        </w:tc>
      </w:tr>
      <w:tr>
        <w:trPr>
          <w:cantSplit/>
        </w:trPr>
        <w:tc>
          <w:tcPr>
            <w:tcW w:type="dxa" w:w="3457"/>
          </w:tcPr>
          <w:p>
            <w:pPr>
              <w:pStyle w:val="MDPI42tablebody"/>
              <w:keepNext/>
              <w:spacing w:line="240" w:lineRule="auto" w:before="30" w:after="30"/>
              <w:jc w:val="left"/>
            </w:pPr>
            <w:r>
              <w:rPr>
                <w:b w:val="0"/>
                <w:i w:val="0"/>
                <w:sz w:val="18"/>
              </w:rPr>
              <w:t>Loss of standing per unit of anxiety</w:t>
            </w:r>
          </w:p>
        </w:tc>
        <w:tc>
          <w:tcPr>
            <w:tcW w:type="dxa" w:w="1100"/>
          </w:tcPr>
          <w:p>
            <w:pPr>
              <w:pStyle w:val="MDPI42tablebody"/>
              <w:keepNext/>
              <w:spacing w:line="240" w:lineRule="auto" w:before="30" w:after="30"/>
              <w:jc w:val="center"/>
            </w:pPr>
            <w:r>
              <w:rPr>
                <w:b w:val="0"/>
                <w:i w:val="0"/>
                <w:sz w:val="18"/>
              </w:rPr>
              <w:t>0.30</w:t>
            </w:r>
          </w:p>
        </w:tc>
        <w:tc>
          <w:tcPr>
            <w:tcW w:type="dxa" w:w="1728"/>
          </w:tcPr>
          <w:p>
            <w:pPr>
              <w:pStyle w:val="MDPI42tablebody"/>
              <w:keepNext/>
              <w:spacing w:line="240" w:lineRule="auto" w:before="30" w:after="30"/>
              <w:jc w:val="center"/>
            </w:pPr>
            <w:r>
              <w:rPr>
                <w:b w:val="0"/>
                <w:i w:val="0"/>
                <w:sz w:val="18"/>
              </w:rPr>
              <w:t>−0.133</w:t>
            </w:r>
          </w:p>
        </w:tc>
        <w:tc>
          <w:tcPr>
            <w:tcW w:type="dxa" w:w="1571"/>
          </w:tcPr>
          <w:p>
            <w:pPr>
              <w:pStyle w:val="MDPI42tablebody"/>
              <w:keepNext/>
              <w:spacing w:line="240" w:lineRule="auto" w:before="30" w:after="30"/>
              <w:jc w:val="center"/>
            </w:pPr>
            <w:r>
              <w:rPr>
                <w:b w:val="0"/>
                <w:i w:val="0"/>
                <w:sz w:val="18"/>
              </w:rPr>
              <w:t>4.9</w:t>
            </w:r>
          </w:p>
        </w:tc>
      </w:tr>
      <w:tr>
        <w:trPr>
          <w:cantSplit/>
        </w:trPr>
        <w:tc>
          <w:tcPr>
            <w:tcW w:type="dxa" w:w="3457"/>
          </w:tcPr>
          <w:p>
            <w:pPr>
              <w:pStyle w:val="MDPI42tablebody"/>
              <w:keepNext/>
              <w:spacing w:line="240" w:lineRule="auto" w:before="30" w:after="30"/>
              <w:jc w:val="left"/>
            </w:pPr>
            <w:r>
              <w:rPr>
                <w:b w:val="0"/>
                <w:i w:val="0"/>
                <w:sz w:val="18"/>
              </w:rPr>
              <w:t>Loss of standing per unit of anxiety</w:t>
            </w:r>
          </w:p>
        </w:tc>
        <w:tc>
          <w:tcPr>
            <w:tcW w:type="dxa" w:w="1100"/>
          </w:tcPr>
          <w:p>
            <w:pPr>
              <w:pStyle w:val="MDPI42tablebody"/>
              <w:keepNext/>
              <w:spacing w:line="240" w:lineRule="auto" w:before="30" w:after="30"/>
              <w:jc w:val="center"/>
            </w:pPr>
            <w:r>
              <w:rPr>
                <w:b w:val="0"/>
                <w:i w:val="0"/>
                <w:sz w:val="18"/>
              </w:rPr>
              <w:t>0.80</w:t>
            </w:r>
          </w:p>
        </w:tc>
        <w:tc>
          <w:tcPr>
            <w:tcW w:type="dxa" w:w="1728"/>
          </w:tcPr>
          <w:p>
            <w:pPr>
              <w:pStyle w:val="MDPI42tablebody"/>
              <w:keepNext/>
              <w:spacing w:line="240" w:lineRule="auto" w:before="30" w:after="30"/>
              <w:jc w:val="center"/>
            </w:pPr>
            <w:r>
              <w:rPr>
                <w:b w:val="0"/>
                <w:i w:val="0"/>
                <w:sz w:val="18"/>
              </w:rPr>
              <w:t>−0.129</w:t>
            </w:r>
          </w:p>
        </w:tc>
        <w:tc>
          <w:tcPr>
            <w:tcW w:type="dxa" w:w="1571"/>
          </w:tcPr>
          <w:p>
            <w:pPr>
              <w:pStyle w:val="MDPI42tablebody"/>
              <w:keepNext/>
              <w:spacing w:line="240" w:lineRule="auto" w:before="30" w:after="30"/>
              <w:jc w:val="center"/>
            </w:pPr>
            <w:r>
              <w:rPr>
                <w:b w:val="0"/>
                <w:i w:val="0"/>
                <w:sz w:val="18"/>
              </w:rPr>
              <w:t>6.2</w:t>
            </w:r>
          </w:p>
        </w:tc>
      </w:tr>
      <w:tr>
        <w:trPr>
          <w:cantSplit/>
        </w:trPr>
        <w:tc>
          <w:tcPr>
            <w:tcW w:type="dxa" w:w="3457"/>
          </w:tcPr>
          <w:p>
            <w:pPr>
              <w:pStyle w:val="MDPI42tablebody"/>
              <w:keepNext/>
              <w:spacing w:line="240" w:lineRule="auto" w:before="30" w:after="30"/>
              <w:jc w:val="left"/>
            </w:pPr>
            <w:r>
              <w:rPr>
                <w:b w:val="0"/>
                <w:i w:val="0"/>
                <w:sz w:val="18"/>
              </w:rPr>
              <w:t>Loss of standing per unit of anxiety</w:t>
            </w:r>
          </w:p>
        </w:tc>
        <w:tc>
          <w:tcPr>
            <w:tcW w:type="dxa" w:w="1100"/>
          </w:tcPr>
          <w:p>
            <w:pPr>
              <w:pStyle w:val="MDPI42tablebody"/>
              <w:keepNext/>
              <w:spacing w:line="240" w:lineRule="auto" w:before="30" w:after="30"/>
              <w:jc w:val="center"/>
            </w:pPr>
            <w:r>
              <w:rPr>
                <w:b w:val="0"/>
                <w:i w:val="0"/>
                <w:sz w:val="18"/>
              </w:rPr>
              <w:t>1.30</w:t>
            </w:r>
          </w:p>
        </w:tc>
        <w:tc>
          <w:tcPr>
            <w:tcW w:type="dxa" w:w="1728"/>
          </w:tcPr>
          <w:p>
            <w:pPr>
              <w:pStyle w:val="MDPI42tablebody"/>
              <w:keepNext/>
              <w:spacing w:line="240" w:lineRule="auto" w:before="30" w:after="30"/>
              <w:jc w:val="center"/>
            </w:pPr>
            <w:r>
              <w:rPr>
                <w:b w:val="0"/>
                <w:i w:val="0"/>
                <w:sz w:val="18"/>
              </w:rPr>
              <w:t>−0.128</w:t>
            </w:r>
          </w:p>
        </w:tc>
        <w:tc>
          <w:tcPr>
            <w:tcW w:type="dxa" w:w="1571"/>
          </w:tcPr>
          <w:p>
            <w:pPr>
              <w:pStyle w:val="MDPI42tablebody"/>
              <w:keepNext/>
              <w:spacing w:line="240" w:lineRule="auto" w:before="30" w:after="30"/>
              <w:jc w:val="center"/>
            </w:pPr>
            <w:r>
              <w:rPr>
                <w:b w:val="0"/>
                <w:i w:val="0"/>
                <w:sz w:val="18"/>
              </w:rPr>
              <w:t>6.2</w:t>
            </w:r>
          </w:p>
        </w:tc>
      </w:tr>
    </w:tbl>
    <w:p>
      <w:pPr>
        <w:pStyle w:val="MDPI43tablefooter"/>
        <w:keepLines/>
        <w:spacing w:line="240" w:lineRule="auto" w:before="40" w:after="200"/>
        <w:ind w:left="2608" w:firstLine="0"/>
      </w:pPr>
      <w:r>
        <w:rPr>
          <w:sz w:val="16"/>
        </w:rPr>
        <w:t xml:space="preserve">Note: </w:t>
      </w:r>
      <w:r>
        <w:rPr>
          <w:b w:val="0"/>
          <w:i w:val="0"/>
          <w:sz w:val="16"/>
        </w:rPr>
        <w:t>A factorial search over 243 combinations of the five parameters governing conflict and involvement. Amplification, a positive interaction, arises in 14 of them. Each row averages over the other four parameters. Source: authors’ simulation.</w:t>
      </w:r>
    </w:p>
    <w:p>
      <w:pPr>
        <w:pStyle w:val="MDPI22heading2"/>
      </w:pPr>
      <w:r>
        <w:t>4.6. How Precisely Such an Interaction Is Estimated</w:t>
      </w:r>
    </w:p>
    <w:p>
      <w:pPr>
        <w:pStyle w:val="MDPI32textnoindent"/>
      </w:pPr>
      <w:r>
        <w:rPr>
          <w:b w:val="0"/>
          <w:i w:val="0"/>
        </w:rPr>
        <w:t>One explanation for a discrepant moderation is that interactions are estimated imprecisely, so a single study may report one by chance. Table 7 examines this directly by drawing repeated simulated studies at the calibrated parameters. At a cohort of 407, the size of the original sample, the estimated interaction has a mean of −.184 and a standard deviation of .041 across studies, with a central 95 per cent range of [−.266, −.109], and it is detected at the conventional threshold in 99.67 per cent of studies. Sampling variability of that magnitude does not span zero, let alone reach a positive value of the size reported. Within this model, chance is not a sufficient account of the discrepancy.</w:t>
      </w:r>
    </w:p>
    <w:p>
      <w:pPr>
        <w:pStyle w:val="MDPI41tablecaption"/>
        <w:keepNext/>
        <w:spacing w:after="60"/>
      </w:pPr>
      <w:r>
        <w:rPr>
          <w:b/>
          <w:sz w:val="18"/>
        </w:rPr>
        <w:t xml:space="preserve">Table 7. </w:t>
      </w:r>
      <w:r>
        <w:rPr>
          <w:b w:val="0"/>
          <w:i w:val="0"/>
          <w:sz w:val="18"/>
        </w:rPr>
        <w:t>How precisely the interaction is estimated, by cohort size.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465"/>
        <w:gridCol w:w="1674"/>
        <w:gridCol w:w="2302"/>
        <w:gridCol w:w="2721"/>
        <w:gridCol w:w="2302"/>
      </w:tblGrid>
      <w:tr>
        <w:trPr>
          <w:cantSplit/>
          <w:tblHeader/>
        </w:trPr>
        <w:tc>
          <w:tcPr>
            <w:tcW w:type="dxa" w:w="1465"/>
            <w:tcBorders>
              <w:bottom w:val="single" w:sz="8" w:space="0" w:color="auto"/>
            </w:tcBorders>
          </w:tcPr>
          <w:p>
            <w:pPr>
              <w:pStyle w:val="MDPI42tablebody"/>
              <w:keepNext/>
              <w:spacing w:line="240" w:lineRule="auto" w:before="30" w:after="30"/>
              <w:jc w:val="center"/>
            </w:pPr>
            <w:r>
              <w:rPr>
                <w:b/>
                <w:i w:val="0"/>
                <w:sz w:val="18"/>
              </w:rPr>
              <w:t>Cohort</w:t>
            </w:r>
          </w:p>
        </w:tc>
        <w:tc>
          <w:tcPr>
            <w:tcW w:type="dxa" w:w="1674"/>
            <w:tcBorders>
              <w:bottom w:val="single" w:sz="8" w:space="0" w:color="auto"/>
            </w:tcBorders>
          </w:tcPr>
          <w:p>
            <w:pPr>
              <w:pStyle w:val="MDPI42tablebody"/>
              <w:keepNext/>
              <w:spacing w:line="240" w:lineRule="auto" w:before="30" w:after="30"/>
              <w:jc w:val="center"/>
            </w:pPr>
            <w:r>
              <w:rPr>
                <w:b/>
                <w:i w:val="0"/>
                <w:sz w:val="18"/>
              </w:rPr>
              <w:t>Mean</w:t>
            </w:r>
          </w:p>
        </w:tc>
        <w:tc>
          <w:tcPr>
            <w:tcW w:type="dxa" w:w="2302"/>
            <w:tcBorders>
              <w:bottom w:val="single" w:sz="8" w:space="0" w:color="auto"/>
            </w:tcBorders>
          </w:tcPr>
          <w:p>
            <w:pPr>
              <w:pStyle w:val="MDPI42tablebody"/>
              <w:keepNext/>
              <w:spacing w:line="240" w:lineRule="auto" w:before="30" w:after="30"/>
              <w:jc w:val="center"/>
            </w:pPr>
            <w:r>
              <w:rPr>
                <w:b/>
                <w:i w:val="0"/>
                <w:sz w:val="18"/>
              </w:rPr>
              <w:t>SD across studies</w:t>
            </w:r>
          </w:p>
        </w:tc>
        <w:tc>
          <w:tcPr>
            <w:tcW w:type="dxa" w:w="2721"/>
            <w:tcBorders>
              <w:bottom w:val="single" w:sz="8" w:space="0" w:color="auto"/>
            </w:tcBorders>
          </w:tcPr>
          <w:p>
            <w:pPr>
              <w:pStyle w:val="MDPI42tablebody"/>
              <w:keepNext/>
              <w:spacing w:line="240" w:lineRule="auto" w:before="30" w:after="30"/>
              <w:jc w:val="center"/>
            </w:pPr>
            <w:r>
              <w:rPr>
                <w:b/>
                <w:i w:val="0"/>
                <w:sz w:val="18"/>
              </w:rPr>
              <w:t>Central 95% range</w:t>
            </w:r>
          </w:p>
        </w:tc>
        <w:tc>
          <w:tcPr>
            <w:tcW w:type="dxa" w:w="2302"/>
            <w:tcBorders>
              <w:bottom w:val="single" w:sz="8" w:space="0" w:color="auto"/>
            </w:tcBorders>
          </w:tcPr>
          <w:p>
            <w:pPr>
              <w:pStyle w:val="MDPI42tablebody"/>
              <w:keepNext/>
              <w:spacing w:line="240" w:lineRule="auto" w:before="30" w:after="30"/>
              <w:jc w:val="center"/>
            </w:pPr>
            <w:r>
              <w:rPr>
                <w:b/>
                <w:i w:val="0"/>
                <w:sz w:val="18"/>
              </w:rPr>
              <w:t>Detected (%)</w:t>
            </w:r>
          </w:p>
        </w:tc>
      </w:tr>
      <w:tr>
        <w:trPr>
          <w:cantSplit/>
        </w:trPr>
        <w:tc>
          <w:tcPr>
            <w:tcW w:type="dxa" w:w="1465"/>
          </w:tcPr>
          <w:p>
            <w:pPr>
              <w:pStyle w:val="MDPI42tablebody"/>
              <w:keepNext/>
              <w:spacing w:line="240" w:lineRule="auto" w:before="30" w:after="30"/>
              <w:jc w:val="center"/>
            </w:pPr>
            <w:r>
              <w:rPr>
                <w:b w:val="0"/>
                <w:i w:val="0"/>
                <w:sz w:val="18"/>
              </w:rPr>
              <w:t>200</w:t>
            </w:r>
          </w:p>
        </w:tc>
        <w:tc>
          <w:tcPr>
            <w:tcW w:type="dxa" w:w="1674"/>
          </w:tcPr>
          <w:p>
            <w:pPr>
              <w:pStyle w:val="MDPI42tablebody"/>
              <w:keepNext/>
              <w:spacing w:line="240" w:lineRule="auto" w:before="30" w:after="30"/>
              <w:jc w:val="center"/>
            </w:pPr>
            <w:r>
              <w:rPr>
                <w:b w:val="0"/>
                <w:i w:val="0"/>
                <w:sz w:val="18"/>
              </w:rPr>
              <w:t>−0.189</w:t>
            </w:r>
          </w:p>
        </w:tc>
        <w:tc>
          <w:tcPr>
            <w:tcW w:type="dxa" w:w="2302"/>
          </w:tcPr>
          <w:p>
            <w:pPr>
              <w:pStyle w:val="MDPI42tablebody"/>
              <w:keepNext/>
              <w:spacing w:line="240" w:lineRule="auto" w:before="30" w:after="30"/>
              <w:jc w:val="center"/>
            </w:pPr>
            <w:r>
              <w:rPr>
                <w:b w:val="0"/>
                <w:i w:val="0"/>
                <w:sz w:val="18"/>
              </w:rPr>
              <w:t>0.059</w:t>
            </w:r>
          </w:p>
        </w:tc>
        <w:tc>
          <w:tcPr>
            <w:tcW w:type="dxa" w:w="2721"/>
          </w:tcPr>
          <w:p>
            <w:pPr>
              <w:pStyle w:val="MDPI42tablebody"/>
              <w:keepNext/>
              <w:spacing w:line="240" w:lineRule="auto" w:before="30" w:after="30"/>
              <w:jc w:val="center"/>
            </w:pPr>
            <w:r>
              <w:rPr>
                <w:b w:val="0"/>
                <w:i w:val="0"/>
                <w:sz w:val="18"/>
              </w:rPr>
              <w:t>[−0.293, −0.075]</w:t>
            </w:r>
          </w:p>
        </w:tc>
        <w:tc>
          <w:tcPr>
            <w:tcW w:type="dxa" w:w="2302"/>
          </w:tcPr>
          <w:p>
            <w:pPr>
              <w:pStyle w:val="MDPI42tablebody"/>
              <w:keepNext/>
              <w:spacing w:line="240" w:lineRule="auto" w:before="30" w:after="30"/>
              <w:jc w:val="center"/>
            </w:pPr>
            <w:r>
              <w:rPr>
                <w:b w:val="0"/>
                <w:i w:val="0"/>
                <w:sz w:val="18"/>
              </w:rPr>
              <w:t>87.0</w:t>
            </w:r>
          </w:p>
        </w:tc>
      </w:tr>
      <w:tr>
        <w:trPr>
          <w:cantSplit/>
        </w:trPr>
        <w:tc>
          <w:tcPr>
            <w:tcW w:type="dxa" w:w="1465"/>
          </w:tcPr>
          <w:p>
            <w:pPr>
              <w:pStyle w:val="MDPI42tablebody"/>
              <w:keepNext/>
              <w:spacing w:line="240" w:lineRule="auto" w:before="30" w:after="30"/>
              <w:jc w:val="center"/>
            </w:pPr>
            <w:r>
              <w:rPr>
                <w:b w:val="0"/>
                <w:i w:val="0"/>
                <w:sz w:val="18"/>
              </w:rPr>
              <w:t>407</w:t>
            </w:r>
          </w:p>
        </w:tc>
        <w:tc>
          <w:tcPr>
            <w:tcW w:type="dxa" w:w="1674"/>
          </w:tcPr>
          <w:p>
            <w:pPr>
              <w:pStyle w:val="MDPI42tablebody"/>
              <w:keepNext/>
              <w:spacing w:line="240" w:lineRule="auto" w:before="30" w:after="30"/>
              <w:jc w:val="center"/>
            </w:pPr>
            <w:r>
              <w:rPr>
                <w:b w:val="0"/>
                <w:i w:val="0"/>
                <w:sz w:val="18"/>
              </w:rPr>
              <w:t>−0.184</w:t>
            </w:r>
          </w:p>
        </w:tc>
        <w:tc>
          <w:tcPr>
            <w:tcW w:type="dxa" w:w="2302"/>
          </w:tcPr>
          <w:p>
            <w:pPr>
              <w:pStyle w:val="MDPI42tablebody"/>
              <w:keepNext/>
              <w:spacing w:line="240" w:lineRule="auto" w:before="30" w:after="30"/>
              <w:jc w:val="center"/>
            </w:pPr>
            <w:r>
              <w:rPr>
                <w:b w:val="0"/>
                <w:i w:val="0"/>
                <w:sz w:val="18"/>
              </w:rPr>
              <w:t>0.041</w:t>
            </w:r>
          </w:p>
        </w:tc>
        <w:tc>
          <w:tcPr>
            <w:tcW w:type="dxa" w:w="2721"/>
          </w:tcPr>
          <w:p>
            <w:pPr>
              <w:pStyle w:val="MDPI42tablebody"/>
              <w:keepNext/>
              <w:spacing w:line="240" w:lineRule="auto" w:before="30" w:after="30"/>
              <w:jc w:val="center"/>
            </w:pPr>
            <w:r>
              <w:rPr>
                <w:b w:val="0"/>
                <w:i w:val="0"/>
                <w:sz w:val="18"/>
              </w:rPr>
              <w:t>[−0.266, −0.109]</w:t>
            </w:r>
          </w:p>
        </w:tc>
        <w:tc>
          <w:tcPr>
            <w:tcW w:type="dxa" w:w="2302"/>
          </w:tcPr>
          <w:p>
            <w:pPr>
              <w:pStyle w:val="MDPI42tablebody"/>
              <w:keepNext/>
              <w:spacing w:line="240" w:lineRule="auto" w:before="30" w:after="30"/>
              <w:jc w:val="center"/>
            </w:pPr>
            <w:r>
              <w:rPr>
                <w:b w:val="0"/>
                <w:i w:val="0"/>
                <w:sz w:val="18"/>
              </w:rPr>
              <w:t>99.7</w:t>
            </w:r>
          </w:p>
        </w:tc>
      </w:tr>
      <w:tr>
        <w:trPr>
          <w:cantSplit/>
        </w:trPr>
        <w:tc>
          <w:tcPr>
            <w:tcW w:type="dxa" w:w="1465"/>
          </w:tcPr>
          <w:p>
            <w:pPr>
              <w:pStyle w:val="MDPI42tablebody"/>
              <w:keepNext/>
              <w:spacing w:line="240" w:lineRule="auto" w:before="30" w:after="30"/>
              <w:jc w:val="center"/>
            </w:pPr>
            <w:r>
              <w:rPr>
                <w:b w:val="0"/>
                <w:i w:val="0"/>
                <w:sz w:val="18"/>
              </w:rPr>
              <w:t>800</w:t>
            </w:r>
          </w:p>
        </w:tc>
        <w:tc>
          <w:tcPr>
            <w:tcW w:type="dxa" w:w="1674"/>
          </w:tcPr>
          <w:p>
            <w:pPr>
              <w:pStyle w:val="MDPI42tablebody"/>
              <w:keepNext/>
              <w:spacing w:line="240" w:lineRule="auto" w:before="30" w:after="30"/>
              <w:jc w:val="center"/>
            </w:pPr>
            <w:r>
              <w:rPr>
                <w:b w:val="0"/>
                <w:i w:val="0"/>
                <w:sz w:val="18"/>
              </w:rPr>
              <w:t>−0.185</w:t>
            </w:r>
          </w:p>
        </w:tc>
        <w:tc>
          <w:tcPr>
            <w:tcW w:type="dxa" w:w="2302"/>
          </w:tcPr>
          <w:p>
            <w:pPr>
              <w:pStyle w:val="MDPI42tablebody"/>
              <w:keepNext/>
              <w:spacing w:line="240" w:lineRule="auto" w:before="30" w:after="30"/>
              <w:jc w:val="center"/>
            </w:pPr>
            <w:r>
              <w:rPr>
                <w:b w:val="0"/>
                <w:i w:val="0"/>
                <w:sz w:val="18"/>
              </w:rPr>
              <w:t>0.030</w:t>
            </w:r>
          </w:p>
        </w:tc>
        <w:tc>
          <w:tcPr>
            <w:tcW w:type="dxa" w:w="2721"/>
          </w:tcPr>
          <w:p>
            <w:pPr>
              <w:pStyle w:val="MDPI42tablebody"/>
              <w:keepNext/>
              <w:spacing w:line="240" w:lineRule="auto" w:before="30" w:after="30"/>
              <w:jc w:val="center"/>
            </w:pPr>
            <w:r>
              <w:rPr>
                <w:b w:val="0"/>
                <w:i w:val="0"/>
                <w:sz w:val="18"/>
              </w:rPr>
              <w:t>[−0.242, −0.126]</w:t>
            </w:r>
          </w:p>
        </w:tc>
        <w:tc>
          <w:tcPr>
            <w:tcW w:type="dxa" w:w="2302"/>
          </w:tcPr>
          <w:p>
            <w:pPr>
              <w:pStyle w:val="MDPI42tablebody"/>
              <w:keepNext/>
              <w:spacing w:line="240" w:lineRule="auto" w:before="30" w:after="30"/>
              <w:jc w:val="center"/>
            </w:pPr>
            <w:r>
              <w:rPr>
                <w:b w:val="0"/>
                <w:i w:val="0"/>
                <w:sz w:val="18"/>
              </w:rPr>
              <w:t>100.0</w:t>
            </w:r>
          </w:p>
        </w:tc>
      </w:tr>
      <w:tr>
        <w:trPr>
          <w:cantSplit/>
        </w:trPr>
        <w:tc>
          <w:tcPr>
            <w:tcW w:type="dxa" w:w="1465"/>
          </w:tcPr>
          <w:p>
            <w:pPr>
              <w:pStyle w:val="MDPI42tablebody"/>
              <w:keepNext/>
              <w:spacing w:line="240" w:lineRule="auto" w:before="30" w:after="30"/>
              <w:jc w:val="center"/>
            </w:pPr>
            <w:r>
              <w:rPr>
                <w:b w:val="0"/>
                <w:i w:val="0"/>
                <w:sz w:val="18"/>
              </w:rPr>
              <w:t>2000</w:t>
            </w:r>
          </w:p>
        </w:tc>
        <w:tc>
          <w:tcPr>
            <w:tcW w:type="dxa" w:w="1674"/>
          </w:tcPr>
          <w:p>
            <w:pPr>
              <w:pStyle w:val="MDPI42tablebody"/>
              <w:keepNext/>
              <w:spacing w:line="240" w:lineRule="auto" w:before="30" w:after="30"/>
              <w:jc w:val="center"/>
            </w:pPr>
            <w:r>
              <w:rPr>
                <w:b w:val="0"/>
                <w:i w:val="0"/>
                <w:sz w:val="18"/>
              </w:rPr>
              <w:t>−0.188</w:t>
            </w:r>
          </w:p>
        </w:tc>
        <w:tc>
          <w:tcPr>
            <w:tcW w:type="dxa" w:w="2302"/>
          </w:tcPr>
          <w:p>
            <w:pPr>
              <w:pStyle w:val="MDPI42tablebody"/>
              <w:keepNext/>
              <w:spacing w:line="240" w:lineRule="auto" w:before="30" w:after="30"/>
              <w:jc w:val="center"/>
            </w:pPr>
            <w:r>
              <w:rPr>
                <w:b w:val="0"/>
                <w:i w:val="0"/>
                <w:sz w:val="18"/>
              </w:rPr>
              <w:t>0.019</w:t>
            </w:r>
          </w:p>
        </w:tc>
        <w:tc>
          <w:tcPr>
            <w:tcW w:type="dxa" w:w="2721"/>
          </w:tcPr>
          <w:p>
            <w:pPr>
              <w:pStyle w:val="MDPI42tablebody"/>
              <w:keepNext/>
              <w:spacing w:line="240" w:lineRule="auto" w:before="30" w:after="30"/>
              <w:jc w:val="center"/>
            </w:pPr>
            <w:r>
              <w:rPr>
                <w:b w:val="0"/>
                <w:i w:val="0"/>
                <w:sz w:val="18"/>
              </w:rPr>
              <w:t>[−0.224, −0.152]</w:t>
            </w:r>
          </w:p>
        </w:tc>
        <w:tc>
          <w:tcPr>
            <w:tcW w:type="dxa" w:w="2302"/>
          </w:tcPr>
          <w:p>
            <w:pPr>
              <w:pStyle w:val="MDPI42tablebody"/>
              <w:keepNext/>
              <w:spacing w:line="240" w:lineRule="auto" w:before="30" w:after="30"/>
              <w:jc w:val="center"/>
            </w:pPr>
            <w:r>
              <w:rPr>
                <w:b w:val="0"/>
                <w:i w:val="0"/>
                <w:sz w:val="18"/>
              </w:rPr>
              <w:t>100.0</w:t>
            </w:r>
          </w:p>
        </w:tc>
      </w:tr>
    </w:tbl>
    <w:p>
      <w:pPr>
        <w:pStyle w:val="MDPI43tablefooter"/>
        <w:keepLines/>
        <w:spacing w:line="240" w:lineRule="auto" w:before="40" w:after="200"/>
        <w:ind w:left="2608" w:firstLine="0"/>
      </w:pPr>
      <w:r>
        <w:rPr>
          <w:sz w:val="16"/>
        </w:rPr>
        <w:t xml:space="preserve">Note: </w:t>
      </w:r>
      <w:r>
        <w:rPr>
          <w:b w:val="0"/>
          <w:i w:val="0"/>
          <w:sz w:val="16"/>
        </w:rPr>
        <w:t>300 simulated studies at each size, drawn at the calibrated parameters. Detection is at the conventional two-tailed threshold. Source: authors’ simulation.</w:t>
      </w:r>
    </w:p>
    <w:p>
      <w:pPr>
        <w:pStyle w:val="MDPI21heading1"/>
      </w:pPr>
      <w:r>
        <w:t>5. Discussion</w:t>
      </w:r>
    </w:p>
    <w:p>
      <w:pPr>
        <w:pStyle w:val="MDPI32textnoindent"/>
      </w:pPr>
      <w:r>
        <w:rPr>
          <w:b w:val="0"/>
          <w:i w:val="0"/>
        </w:rPr>
        <w:t>The study asked what would have to be true for parental career support to accompany a steeper rather than a shallower association between career anxiety and career decision-making difficulties. The model returns an answer, and it is not the answer we expected.</w:t>
      </w:r>
    </w:p>
    <w:p>
      <w:pPr>
        <w:pStyle w:val="MDPI22heading2"/>
      </w:pPr>
      <w:r>
        <w:t>5.1. Amplification Is a Signature of Help That Must Be Used</w:t>
      </w:r>
    </w:p>
    <w:p>
      <w:pPr>
        <w:pStyle w:val="MDPI32textnoindent"/>
      </w:pPr>
      <w:r>
        <w:rPr>
          <w:b w:val="0"/>
          <w:i w:val="0"/>
        </w:rPr>
        <w:t>Involvement that takes the decision over buffers the anxiety–difficulty association, and buffers it strongly. It does so for an uninteresting reason: it lowers uncertainty whether or not the student is in a state to lower it themselves, and so it helps the anxious at least as much as the composed. Involvement that scaffolds the student’s own exploring behaves differently, because scaffolding multiplies a quantity that anxiety has already suppressed. In the model, moving from low to high scaffolding involvement reduced difficulty by 0.167 among the least anxious quartile and by 0.004 among the most anxious. Support of that kind widens the distance between the two groups, and a moderation analysis records that widening as a positive interaction.</w:t>
      </w:r>
    </w:p>
    <w:p>
      <w:pPr>
        <w:pStyle w:val="MDPI31text"/>
      </w:pPr>
      <w:r>
        <w:rPr>
          <w:b w:val="0"/>
          <w:i w:val="0"/>
        </w:rPr>
        <w:t xml:space="preserve">If this is right, the reported moderation is not evidence that parental involvement was intrusive. It is more consistent with involvement that was well intentioned and autonomy-supportive in exactly the way the literature recommends </w:t>
      </w:r>
      <w:r>
        <w:t>(Dietrich &amp; Kracke, 2009; Guay, Senécal, et al., 2003)</w:t>
      </w:r>
      <w:r>
        <w:rPr>
          <w:b w:val="0"/>
          <w:i w:val="0"/>
        </w:rPr>
        <w:t>, and that for that reason failed the students who were least able to act on it. The implication is uncomfortable, because autonomy-supportive help is what practitioners are advised to provide, and it appears to be the form of help whose benefit is most unequally distributed with respect to anxiety.</w:t>
      </w:r>
    </w:p>
    <w:p>
      <w:pPr>
        <w:pStyle w:val="MDPI31text"/>
      </w:pPr>
      <w:r>
        <w:rPr>
          <w:b w:val="0"/>
          <w:i w:val="0"/>
        </w:rPr>
        <w:t xml:space="preserve">This reading is consistent with what the original study’s interview phase reported, though it locates the difficulty elsewhere. Those interviews described support that was emotionally present but constraining, and </w:t>
      </w:r>
      <w:r>
        <w:t>Pan and He (2026)</w:t>
      </w:r>
      <w:r>
        <w:rPr>
          <w:b w:val="0"/>
          <w:i w:val="0"/>
        </w:rPr>
        <w:t xml:space="preserve"> concluded that quality rather than frequency was what mattered. The present analysis agrees that frequency is the wrong measurement while suggesting that the relevant quality may not be intrusiveness but the demand that the help places on the recipient’s own capacity to act.</w:t>
      </w:r>
    </w:p>
    <w:p>
      <w:pPr>
        <w:pStyle w:val="MDPI22heading2"/>
      </w:pPr>
      <w:r>
        <w:t>5.2. What a Cross-Section Can and Cannot Separate</w:t>
      </w:r>
    </w:p>
    <w:p>
      <w:pPr>
        <w:pStyle w:val="MDPI32textnoindent"/>
      </w:pPr>
      <w:r>
        <w:rPr>
          <w:b w:val="0"/>
          <w:i w:val="0"/>
        </w:rPr>
        <w:t>The calibration exercise is instructive in a second way. A model in which involvement is substantially directive reproduces five of the six reported correlations closely while producing an interaction of the wrong sign. A model in which involvement is wholly scaffolding produces an interaction of the right sign while reproducing the support–efficacy correlation less well. The reported correlation matrix and the reported interaction, in other words, point towards different accounts of the same construct, and no reweighting of the model’s parameters made both fit comfortably at once.</w:t>
      </w:r>
    </w:p>
    <w:p>
      <w:pPr>
        <w:pStyle w:val="MDPI31text"/>
      </w:pPr>
      <w:r>
        <w:rPr>
          <w:b w:val="0"/>
          <w:i w:val="0"/>
        </w:rPr>
        <w:t xml:space="preserve">That tension is not a defect of the original study, which reported both quantities as it found them. It is a property of measuring parental involvement by frequency. A frequency score sums behaviours with opposite implications for self-efficacy, and a single such score cannot separate a parent who reads vacancy listings aloud from one who sits with their child while the child reads them. Distinguishing the accounts requires instruments that record the kind of involvement, of which the autonomy-support tradition already provides examples </w:t>
      </w:r>
      <w:r>
        <w:t>(Dietrich &amp; Kracke, 2009; Guay, Ratelle, et al., 2006; Guay, Senécal, et al., 2003)</w:t>
      </w:r>
      <w:r>
        <w:rPr>
          <w:b w:val="0"/>
          <w:i w:val="0"/>
        </w:rPr>
        <w:t>.</w:t>
      </w:r>
    </w:p>
    <w:p>
      <w:pPr>
        <w:pStyle w:val="MDPI22heading2"/>
      </w:pPr>
      <w:r>
        <w:t>5.3. Loops, Paths and the Interpretation of Mediation</w:t>
      </w:r>
    </w:p>
    <w:p>
      <w:pPr>
        <w:pStyle w:val="MDPI32textnoindent"/>
      </w:pPr>
      <w:r>
        <w:rPr>
          <w:b w:val="0"/>
          <w:i w:val="0"/>
        </w:rPr>
        <w:t xml:space="preserve">The modelled process is a loop, and the analysis applied to it is a path model. Over the horizon, a modest difference in initial anxiety compounds through reduced exploration, reduced mastery experience and reduced self-efficacy into a substantial difference in eventual uncertainty, 0.30 against 0.54 between the extreme quartiles. A cross-sectional mediation estimated at the end of that process recovers an indirect effect through self-efficacy, and the estimate is not meaningless, but it is a summary of accumulated history rather than a measurement of a transmission occurring at the moment of measurement </w:t>
      </w:r>
      <w:r>
        <w:t>(Cole &amp; Preacher, 2014; Maxwell &amp; Cole, 2007)</w:t>
      </w:r>
      <w:r>
        <w:rPr>
          <w:b w:val="0"/>
          <w:i w:val="0"/>
        </w:rPr>
        <w:t>. The practical consequence is that the size of an indirect effect in this literature should not be read as the size of an effect that an intervention could expect to move.</w:t>
      </w:r>
    </w:p>
    <w:p>
      <w:pPr>
        <w:pStyle w:val="MDPI22heading2"/>
      </w:pPr>
      <w:r>
        <w:t>5.4. Implications for Practice</w:t>
      </w:r>
    </w:p>
    <w:p>
      <w:pPr>
        <w:pStyle w:val="MDPI32textnoindent"/>
      </w:pPr>
      <w:r>
        <w:rPr>
          <w:b w:val="0"/>
          <w:i w:val="0"/>
        </w:rPr>
        <w:t>Three implications follow, each conditional on the model. First, career services that work through parents should attend to whether the student is in a condition to use what is offered. Where anxiety is high, the model suggests that reducing it, or providing help that does not depend on the student’s own exploratory capacity, will reach students that autonomy-supportive guidance alone will not.</w:t>
      </w:r>
    </w:p>
    <w:p>
      <w:pPr>
        <w:pStyle w:val="MDPI31text"/>
      </w:pPr>
      <w:r>
        <w:rPr>
          <w:b w:val="0"/>
          <w:i w:val="0"/>
        </w:rPr>
        <w:t xml:space="preserve">Second, the apparent superiority of directive involvement in these simulations should not be read as a recommendation. Directive involvement buffers the anxiety–difficulty association while leaving self-efficacy unbuilt, and self-efficacy is what the student carries into the next decision </w:t>
      </w:r>
      <w:r>
        <w:t>(Bandura, 1997)</w:t>
      </w:r>
      <w:r>
        <w:rPr>
          <w:b w:val="0"/>
          <w:i w:val="0"/>
        </w:rPr>
        <w:t>. The model measures one year; the cost of substitution falls outside it.</w:t>
      </w:r>
    </w:p>
    <w:p>
      <w:pPr>
        <w:pStyle w:val="MDPI31text"/>
      </w:pPr>
      <w:r>
        <w:rPr>
          <w:b w:val="0"/>
          <w:i w:val="0"/>
        </w:rPr>
        <w:t>Third, and most concretely, instruments used to assess parental career support in studies of this kind should record the kind of involvement alongside its frequency. The two accounts the present study distinguishes make opposite predictions about the interaction, and a frequency measure cannot tell them apart.</w:t>
      </w:r>
    </w:p>
    <w:p>
      <w:pPr>
        <w:pStyle w:val="MDPI21heading1"/>
      </w:pPr>
      <w:r>
        <w:t>6. Limitations and Future Directions</w:t>
      </w:r>
    </w:p>
    <w:p>
      <w:pPr>
        <w:pStyle w:val="MDPI32textnoindent"/>
      </w:pPr>
      <w:r>
        <w:rPr>
          <w:b w:val="0"/>
          <w:i w:val="0"/>
        </w:rPr>
        <w:t>The principal limitation is the one the design entails. The study is a simulation, and its conclusions are conditional on a set of equations and on 32 parameters, of which 31 are modelling choices rather than measured quantities. A simulation establishes what follows from assumptions; it cannot establish that the assumptions hold of any student. Where a parameter could not be grounded, it was swept across a declared interval rather than defended, and the parameter appendix records which is which.</w:t>
      </w:r>
    </w:p>
    <w:p>
      <w:pPr>
        <w:pStyle w:val="MDPI31text"/>
      </w:pPr>
      <w:r>
        <w:rPr>
          <w:b w:val="0"/>
          <w:i w:val="0"/>
        </w:rPr>
        <w:t xml:space="preserve">Second, the calibration target is a single correlation matrix from one sample of female undergraduates at four non-elite universities in one Chinese province </w:t>
      </w:r>
      <w:r>
        <w:t>(Pan &amp; He, 2026)</w:t>
      </w:r>
      <w:r>
        <w:rPr>
          <w:b w:val="0"/>
          <w:i w:val="0"/>
        </w:rPr>
        <w:t>. Correlations from a sample of that size carry sampling error of roughly a tenth in themselves, the sample was purposive, and nothing about it licenses generalisation. The model inherits every one of those limits.</w:t>
      </w:r>
    </w:p>
    <w:p>
      <w:pPr>
        <w:pStyle w:val="MDPI31text"/>
      </w:pPr>
      <w:r>
        <w:rPr>
          <w:b w:val="0"/>
          <w:i w:val="0"/>
        </w:rPr>
        <w:t>Third, the model represents parental involvement as a quantity with a fixed composition over the horizon. Real families adjust, and involvement that begins as scaffolding may become directive as a deadline approaches. A version in which the composition responds to the student’s progress was examined and did not by itself produce amplification, but the space of such feedbacks is larger than what was searched.</w:t>
      </w:r>
    </w:p>
    <w:p>
      <w:pPr>
        <w:pStyle w:val="MDPI31text"/>
      </w:pPr>
      <w:r>
        <w:rPr>
          <w:b w:val="0"/>
          <w:i w:val="0"/>
        </w:rPr>
        <w:t xml:space="preserve">Fourth, the difficulty measure combines missing information with conflict in fixed proportion, whereas the instruments used in practice score the several categories that </w:t>
      </w:r>
      <w:r>
        <w:t>Gati et al. (1996)</w:t>
      </w:r>
      <w:r>
        <w:rPr>
          <w:b w:val="0"/>
          <w:i w:val="0"/>
        </w:rPr>
        <w:t xml:space="preserve"> set out </w:t>
      </w:r>
      <w:r>
        <w:t>(Levin et al., 2023)</w:t>
      </w:r>
      <w:r>
        <w:rPr>
          <w:b w:val="0"/>
          <w:i w:val="0"/>
        </w:rPr>
        <w:t>, and the accounts compared here may bear differently on each. Fifth, the model contains no interpersonal process beyond the parent, no institutional context, and no labour market, all of which the original study treated as central to its population.</w:t>
      </w:r>
    </w:p>
    <w:p>
      <w:pPr>
        <w:pStyle w:val="MDPI31text"/>
      </w:pPr>
      <w:r>
        <w:rPr>
          <w:b w:val="0"/>
          <w:i w:val="0"/>
        </w:rPr>
        <w:t>One property of the calibrated set deserves to be stated rather than left to be noticed. Mean self-efficacy declines over the simulated horizon, from 0.45 to 0.22, because calibration to a cross-section fixes the associations among the constructs and not their trends, and the parameter values that reproduce those associations happen to place the sustainable level of self-efficacy below the value the cohort starts from. Longitudinal studies of undergraduate cohorts more often report a rise. Nothing in the analysis turns on the direction of the mean, which does not enter any estimate reported here, but a correlation matrix cannot pin a trend down, and a study seeking to identify one would have to target the trend as well.</w:t>
      </w:r>
    </w:p>
    <w:p>
      <w:pPr>
        <w:pStyle w:val="MDPI31text"/>
      </w:pPr>
      <w:r>
        <w:rPr>
          <w:b w:val="0"/>
          <w:i w:val="0"/>
        </w:rPr>
        <w:t xml:space="preserve">Three directions follow. The most direct is measurement: a study recording the kind as well as the frequency of parental career involvement, alongside anxiety and self-efficacy, would test the distinction the model draws. The second is longitudinal: the compounding this model produces is observable across waves, and reciprocal designs in this literature already exist </w:t>
      </w:r>
      <w:r>
        <w:t>(Guan et al., 2017)</w:t>
      </w:r>
      <w:r>
        <w:rPr>
          <w:b w:val="0"/>
          <w:i w:val="0"/>
        </w:rPr>
        <w:t>. The third is experimental: the model predicts that scaffolding help benefits low-anxiety students more than high-anxiety ones, which is a testable and falsifiable claim about an intervention.</w:t>
      </w:r>
    </w:p>
    <w:p>
      <w:pPr>
        <w:pStyle w:val="MDPI21heading1"/>
      </w:pPr>
      <w:r>
        <w:t>7. Conclusions</w:t>
      </w:r>
    </w:p>
    <w:p>
      <w:pPr>
        <w:pStyle w:val="MDPI32textnoindent"/>
      </w:pPr>
      <w:r>
        <w:rPr>
          <w:b w:val="0"/>
          <w:i w:val="0"/>
        </w:rPr>
        <w:t>A reported finding that parental career support accompanied a steeper association between career anxiety and career decision-making difficulties was examined by asking what process could produce it. A dynamic model of career exploration, self-efficacy and anxiety was specified, calibrated so that a simulated cross-section reproduced the reported correlations, and analysed with the same conditional process procedure the original used.</w:t>
      </w:r>
    </w:p>
    <w:p>
      <w:pPr>
        <w:pStyle w:val="MDPI31text"/>
      </w:pPr>
      <w:r>
        <w:rPr>
          <w:b w:val="0"/>
          <w:i w:val="0"/>
        </w:rPr>
        <w:t>Within that model, involvement that takes the decision over buffers the association rather than amplifying it, and amplification is uncommon, arising in 5.8 per cent of the parameter combinations searched. Where it arises, it arises from help that scaffolds the student’s own exploration: such help multiplies a capacity that anxiety has suppressed, so it reaches the composed and not the anxious, reducing simulated difficulty by 0.167 in the least anxious quartile and by 0.004 in the most anxious.</w:t>
      </w:r>
    </w:p>
    <w:p>
      <w:pPr>
        <w:pStyle w:val="MDPI31text"/>
      </w:pPr>
      <w:r>
        <w:rPr>
          <w:b w:val="0"/>
          <w:i w:val="0"/>
        </w:rPr>
        <w:t>The reported moderation is therefore more consistent with autonomy-supportive help that anxious students were not in a position to use than with involvement that was intrusive. The two accounts differ in what they recommend and cannot be separated by an instrument that counts how often parents are involved. Recording what kind of involvement it is would separate them, and that is the measurement this literature now needs.</w:t>
      </w:r>
    </w:p>
    <w:p>
      <w:pPr>
        <w:pStyle w:val="MDPI62backmatter"/>
        <w:spacing w:before="120"/>
      </w:pPr>
      <w:r>
        <w:rPr>
          <w:b/>
          <w:sz w:val="18"/>
        </w:rPr>
        <w:t xml:space="preserve">Author Contributions: </w:t>
      </w:r>
    </w:p>
    <w:p>
      <w:pPr>
        <w:pStyle w:val="MDPI31text"/>
      </w:pPr>
      <w:r>
        <w:rPr>
          <w:b w:val="0"/>
          <w:i w:val="0"/>
        </w:rPr>
        <w:t>Conceptualisation, X.C. and T.M.; methodology, X.C.; software, X.C.; formal analysis, X.C.; writing—original draft preparation, X.C.; writing—review and editing, T.M.; supervision, T.M. All authors have read and agreed to the published version of the manuscript.</w:t>
      </w:r>
    </w:p>
    <w:p>
      <w:pPr>
        <w:pStyle w:val="MDPI62backmatter"/>
        <w:spacing w:before="120"/>
      </w:pPr>
      <w:r>
        <w:rPr>
          <w:b/>
          <w:sz w:val="18"/>
        </w:rPr>
        <w:t xml:space="preserve">Funding: </w:t>
      </w:r>
    </w:p>
    <w:p>
      <w:pPr>
        <w:pStyle w:val="MDPI31text"/>
      </w:pPr>
      <w:r>
        <w:rPr>
          <w:b w:val="0"/>
          <w:i w:val="0"/>
        </w:rPr>
        <w:t>This research received no external funding.</w:t>
      </w:r>
    </w:p>
    <w:p>
      <w:pPr>
        <w:pStyle w:val="MDPI62backmatter"/>
        <w:spacing w:before="120"/>
      </w:pPr>
      <w:r>
        <w:rPr>
          <w:b/>
          <w:sz w:val="18"/>
        </w:rPr>
        <w:t xml:space="preserve">Institutional Review Board Statement: </w:t>
      </w:r>
    </w:p>
    <w:p>
      <w:pPr>
        <w:pStyle w:val="MDPI31text"/>
      </w:pPr>
      <w:r>
        <w:rPr>
          <w:b w:val="0"/>
          <w:i w:val="0"/>
        </w:rPr>
        <w:t>Not applicable. The study is a simulation and involves no human participants, no animals and no personal data.</w:t>
      </w:r>
    </w:p>
    <w:p>
      <w:pPr>
        <w:pStyle w:val="MDPI62backmatter"/>
        <w:spacing w:before="120"/>
      </w:pPr>
      <w:r>
        <w:rPr>
          <w:b/>
          <w:sz w:val="18"/>
        </w:rPr>
        <w:t xml:space="preserve">Informed Consent Statement: </w:t>
      </w:r>
    </w:p>
    <w:p>
      <w:pPr>
        <w:pStyle w:val="MDPI31text"/>
      </w:pPr>
      <w:r>
        <w:rPr>
          <w:b w:val="0"/>
          <w:i w:val="0"/>
        </w:rPr>
        <w:t>Not applicable.</w:t>
      </w:r>
    </w:p>
    <w:p>
      <w:pPr>
        <w:pStyle w:val="MDPI62backmatter"/>
        <w:spacing w:before="120"/>
      </w:pPr>
      <w:r>
        <w:rPr>
          <w:b/>
          <w:sz w:val="18"/>
        </w:rPr>
        <w:t xml:space="preserve">Data Availability Statement: </w:t>
      </w:r>
    </w:p>
    <w:p>
      <w:pPr>
        <w:pStyle w:val="MDPI31text"/>
      </w:pPr>
      <w:r>
        <w:rPr>
          <w:b w:val="0"/>
          <w:i w:val="0"/>
        </w:rPr>
        <w:t xml:space="preserve">No empirical data were collected for this study. The manuscript reports the output of a simulation model, and every number in it is produced by executing the study code under a fixed random seed, so that re-execution reproduces the tables exactly. The one empirical input is the correlation matrix </w:t>
      </w:r>
      <w:r>
        <w:t>Pan and He (2026)</w:t>
      </w:r>
      <w:r>
        <w:rPr>
          <w:b w:val="0"/>
          <w:i w:val="0"/>
        </w:rPr>
        <w:t xml:space="preserve"> reported for their sample of 407 female undergraduates, which is used as a calibration target and is reproduced in Table 2 alongside the simulated values. The model code, the calibrated parameter set and the complete output on which every table is built are available from the corresponding author on request.</w:t>
      </w:r>
    </w:p>
    <w:p>
      <w:pPr>
        <w:pStyle w:val="MDPI62backmatter"/>
        <w:spacing w:before="120"/>
      </w:pPr>
      <w:r>
        <w:rPr>
          <w:b/>
          <w:sz w:val="18"/>
        </w:rPr>
        <w:t xml:space="preserve">Conflicts of Interest: </w:t>
      </w:r>
    </w:p>
    <w:p>
      <w:pPr>
        <w:pStyle w:val="MDPI31text"/>
      </w:pPr>
      <w:r>
        <w:rPr>
          <w:b w:val="0"/>
          <w:i w:val="0"/>
        </w:rPr>
        <w:t>The authors declare no conflicts of interest.</w:t>
      </w:r>
    </w:p>
    <w:p>
      <w:pPr>
        <w:pStyle w:val="MDPI62backmatter"/>
        <w:spacing w:before="120"/>
      </w:pPr>
      <w:r>
        <w:rPr>
          <w:b/>
          <w:sz w:val="18"/>
        </w:rPr>
        <w:t xml:space="preserve">Appendix A: </w:t>
      </w:r>
    </w:p>
    <w:p>
      <w:pPr>
        <w:pStyle w:val="MDPI31text"/>
      </w:pPr>
      <w:r>
        <w:rPr>
          <w:b w:val="0"/>
          <w:i w:val="0"/>
        </w:rPr>
        <w:t>Table A1 lists every parameter of the model with the interval over which the analysis varies it and a statement of its provenance. Of the 32 parameters, 1 take a value bounded by a cited source and 31 are modelling choices; the calibration search moved 12 of them.</w:t>
      </w:r>
    </w:p>
    <w:p>
      <w:pPr>
        <w:pStyle w:val="MDPI41tablecaption"/>
        <w:keepNext/>
        <w:spacing w:after="60"/>
      </w:pPr>
      <w:r>
        <w:rPr>
          <w:b/>
          <w:sz w:val="18"/>
        </w:rPr>
        <w:t xml:space="preserve">Table A1. </w:t>
      </w:r>
      <w:r>
        <w:rPr>
          <w:b w:val="0"/>
          <w:i w:val="0"/>
          <w:sz w:val="18"/>
        </w:rPr>
        <w:t>Every parameter of the model, with its sweep interval and its provenance.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721"/>
        <w:gridCol w:w="1151"/>
        <w:gridCol w:w="3035"/>
        <w:gridCol w:w="1674"/>
        <w:gridCol w:w="1883"/>
      </w:tblGrid>
      <w:tr>
        <w:trPr>
          <w:cantSplit/>
          <w:tblHeader/>
        </w:trPr>
        <w:tc>
          <w:tcPr>
            <w:tcW w:type="dxa" w:w="2721"/>
            <w:tcBorders>
              <w:bottom w:val="single" w:sz="8" w:space="0" w:color="auto"/>
            </w:tcBorders>
          </w:tcPr>
          <w:p>
            <w:pPr>
              <w:pStyle w:val="MDPI42tablebody"/>
              <w:keepNext/>
              <w:spacing w:line="240" w:lineRule="auto" w:before="30" w:after="30"/>
              <w:jc w:val="center"/>
            </w:pPr>
            <w:r>
              <w:rPr>
                <w:b/>
                <w:i w:val="0"/>
                <w:sz w:val="18"/>
              </w:rPr>
              <w:t>Parameter</w:t>
            </w:r>
          </w:p>
        </w:tc>
        <w:tc>
          <w:tcPr>
            <w:tcW w:type="dxa" w:w="1151"/>
            <w:tcBorders>
              <w:bottom w:val="single" w:sz="8" w:space="0" w:color="auto"/>
            </w:tcBorders>
          </w:tcPr>
          <w:p>
            <w:pPr>
              <w:pStyle w:val="MDPI42tablebody"/>
              <w:keepNext/>
              <w:spacing w:line="240" w:lineRule="auto" w:before="30" w:after="30"/>
              <w:jc w:val="center"/>
            </w:pPr>
            <w:r>
              <w:rPr>
                <w:b/>
                <w:i w:val="0"/>
                <w:sz w:val="18"/>
              </w:rPr>
              <w:t>Value</w:t>
            </w:r>
          </w:p>
        </w:tc>
        <w:tc>
          <w:tcPr>
            <w:tcW w:type="dxa" w:w="3035"/>
            <w:tcBorders>
              <w:bottom w:val="single" w:sz="8" w:space="0" w:color="auto"/>
            </w:tcBorders>
          </w:tcPr>
          <w:p>
            <w:pPr>
              <w:pStyle w:val="MDPI42tablebody"/>
              <w:keepNext/>
              <w:spacing w:line="240" w:lineRule="auto" w:before="30" w:after="30"/>
              <w:jc w:val="center"/>
            </w:pPr>
            <w:r>
              <w:rPr>
                <w:b/>
                <w:i w:val="0"/>
                <w:sz w:val="18"/>
              </w:rPr>
              <w:t>Unit</w:t>
            </w:r>
          </w:p>
        </w:tc>
        <w:tc>
          <w:tcPr>
            <w:tcW w:type="dxa" w:w="1674"/>
            <w:tcBorders>
              <w:bottom w:val="single" w:sz="8" w:space="0" w:color="auto"/>
            </w:tcBorders>
          </w:tcPr>
          <w:p>
            <w:pPr>
              <w:pStyle w:val="MDPI42tablebody"/>
              <w:keepNext/>
              <w:spacing w:line="240" w:lineRule="auto" w:before="30" w:after="30"/>
              <w:jc w:val="center"/>
            </w:pPr>
            <w:r>
              <w:rPr>
                <w:b/>
                <w:i w:val="0"/>
                <w:sz w:val="18"/>
              </w:rPr>
              <w:t>Swept over</w:t>
            </w:r>
          </w:p>
        </w:tc>
        <w:tc>
          <w:tcPr>
            <w:tcW w:type="dxa" w:w="1883"/>
            <w:tcBorders>
              <w:bottom w:val="single" w:sz="8" w:space="0" w:color="auto"/>
            </w:tcBorders>
          </w:tcPr>
          <w:p>
            <w:pPr>
              <w:pStyle w:val="MDPI42tablebody"/>
              <w:keepNext/>
              <w:spacing w:line="240" w:lineRule="auto" w:before="30" w:after="30"/>
              <w:jc w:val="center"/>
            </w:pPr>
            <w:r>
              <w:rPr>
                <w:b/>
                <w:i w:val="0"/>
                <w:sz w:val="18"/>
              </w:rPr>
              <w:t>Provenance</w:t>
            </w:r>
          </w:p>
        </w:tc>
      </w:tr>
      <w:tr>
        <w:trPr>
          <w:cantSplit/>
        </w:trPr>
        <w:tc>
          <w:tcPr>
            <w:tcW w:type="dxa" w:w="2721"/>
          </w:tcPr>
          <w:p>
            <w:pPr>
              <w:pStyle w:val="MDPI42tablebody"/>
              <w:keepNext/>
              <w:spacing w:line="240" w:lineRule="auto" w:before="30" w:after="30"/>
              <w:jc w:val="left"/>
            </w:pPr>
            <w:r>
              <w:rPr>
                <w:b w:val="0"/>
                <w:i w:val="0"/>
                <w:sz w:val="18"/>
              </w:rPr>
              <w:t>anxiety from efficacy</w:t>
            </w:r>
          </w:p>
        </w:tc>
        <w:tc>
          <w:tcPr>
            <w:tcW w:type="dxa" w:w="1151"/>
          </w:tcPr>
          <w:p>
            <w:pPr>
              <w:pStyle w:val="MDPI42tablebody"/>
              <w:keepNext/>
              <w:spacing w:line="240" w:lineRule="auto" w:before="30" w:after="30"/>
              <w:jc w:val="left"/>
            </w:pPr>
            <w:r>
              <w:rPr>
                <w:b w:val="0"/>
                <w:i w:val="0"/>
                <w:sz w:val="18"/>
              </w:rPr>
              <w:t>0.05</w:t>
            </w:r>
          </w:p>
        </w:tc>
        <w:tc>
          <w:tcPr>
            <w:tcW w:type="dxa" w:w="3035"/>
          </w:tcPr>
          <w:p>
            <w:pPr>
              <w:pStyle w:val="MDPI42tablebody"/>
              <w:keepNext/>
              <w:spacing w:line="240" w:lineRule="auto" w:before="30" w:after="30"/>
              <w:jc w:val="left"/>
            </w:pPr>
            <w:r>
              <w:rPr>
                <w:b w:val="0"/>
                <w:i w:val="0"/>
                <w:sz w:val="18"/>
              </w:rPr>
              <w:t>units per unit</w:t>
            </w:r>
          </w:p>
        </w:tc>
        <w:tc>
          <w:tcPr>
            <w:tcW w:type="dxa" w:w="1674"/>
          </w:tcPr>
          <w:p>
            <w:pPr>
              <w:pStyle w:val="MDPI42tablebody"/>
              <w:keepNext/>
              <w:spacing w:line="240" w:lineRule="auto" w:before="30" w:after="30"/>
              <w:jc w:val="left"/>
            </w:pPr>
            <w:r>
              <w:rPr>
                <w:b w:val="0"/>
                <w:i w:val="0"/>
                <w:sz w:val="18"/>
              </w:rPr>
              <w:t>0.05–1.4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anxiety from uncertainty</w:t>
            </w:r>
          </w:p>
        </w:tc>
        <w:tc>
          <w:tcPr>
            <w:tcW w:type="dxa" w:w="1151"/>
          </w:tcPr>
          <w:p>
            <w:pPr>
              <w:pStyle w:val="MDPI42tablebody"/>
              <w:keepNext/>
              <w:spacing w:line="240" w:lineRule="auto" w:before="30" w:after="30"/>
              <w:jc w:val="left"/>
            </w:pPr>
            <w:r>
              <w:rPr>
                <w:b w:val="0"/>
                <w:i w:val="0"/>
                <w:sz w:val="18"/>
              </w:rPr>
              <w:t>1.05</w:t>
            </w:r>
          </w:p>
        </w:tc>
        <w:tc>
          <w:tcPr>
            <w:tcW w:type="dxa" w:w="3035"/>
          </w:tcPr>
          <w:p>
            <w:pPr>
              <w:pStyle w:val="MDPI42tablebody"/>
              <w:keepNext/>
              <w:spacing w:line="240" w:lineRule="auto" w:before="30" w:after="30"/>
              <w:jc w:val="left"/>
            </w:pPr>
            <w:r>
              <w:rPr>
                <w:b w:val="0"/>
                <w:i w:val="0"/>
                <w:sz w:val="18"/>
              </w:rPr>
              <w:t>units per unit</w:t>
            </w:r>
          </w:p>
        </w:tc>
        <w:tc>
          <w:tcPr>
            <w:tcW w:type="dxa" w:w="1674"/>
          </w:tcPr>
          <w:p>
            <w:pPr>
              <w:pStyle w:val="MDPI42tablebody"/>
              <w:keepNext/>
              <w:spacing w:line="240" w:lineRule="auto" w:before="30" w:after="30"/>
              <w:jc w:val="left"/>
            </w:pPr>
            <w:r>
              <w:rPr>
                <w:b w:val="0"/>
                <w:i w:val="0"/>
                <w:sz w:val="18"/>
              </w:rPr>
              <w:t>0.5–1.8</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anxiety interference</w:t>
            </w:r>
          </w:p>
        </w:tc>
        <w:tc>
          <w:tcPr>
            <w:tcW w:type="dxa" w:w="1151"/>
          </w:tcPr>
          <w:p>
            <w:pPr>
              <w:pStyle w:val="MDPI42tablebody"/>
              <w:keepNext/>
              <w:spacing w:line="240" w:lineRule="auto" w:before="30" w:after="30"/>
              <w:jc w:val="left"/>
            </w:pPr>
            <w:r>
              <w:rPr>
                <w:b w:val="0"/>
                <w:i w:val="0"/>
                <w:sz w:val="18"/>
              </w:rPr>
              <w:t>0.85</w:t>
            </w:r>
          </w:p>
        </w:tc>
        <w:tc>
          <w:tcPr>
            <w:tcW w:type="dxa" w:w="3035"/>
          </w:tcPr>
          <w:p>
            <w:pPr>
              <w:pStyle w:val="MDPI42tablebody"/>
              <w:keepNext/>
              <w:spacing w:line="240" w:lineRule="auto" w:before="30" w:after="30"/>
              <w:jc w:val="left"/>
            </w:pPr>
            <w:r>
              <w:rPr>
                <w:b w:val="0"/>
                <w:i w:val="0"/>
                <w:sz w:val="18"/>
              </w:rPr>
              <w:t>share lost per unit anxiety</w:t>
            </w:r>
          </w:p>
        </w:tc>
        <w:tc>
          <w:tcPr>
            <w:tcW w:type="dxa" w:w="1674"/>
          </w:tcPr>
          <w:p>
            <w:pPr>
              <w:pStyle w:val="MDPI42tablebody"/>
              <w:keepNext/>
              <w:spacing w:line="240" w:lineRule="auto" w:before="30" w:after="30"/>
              <w:jc w:val="left"/>
            </w:pPr>
            <w:r>
              <w:rPr>
                <w:b w:val="0"/>
                <w:i w:val="0"/>
                <w:sz w:val="18"/>
              </w:rPr>
              <w:t>0.2–0.85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anxiety learning</w:t>
            </w:r>
          </w:p>
        </w:tc>
        <w:tc>
          <w:tcPr>
            <w:tcW w:type="dxa" w:w="1151"/>
          </w:tcPr>
          <w:p>
            <w:pPr>
              <w:pStyle w:val="MDPI42tablebody"/>
              <w:keepNext/>
              <w:spacing w:line="240" w:lineRule="auto" w:before="30" w:after="30"/>
              <w:jc w:val="left"/>
            </w:pPr>
            <w:r>
              <w:rPr>
                <w:b w:val="0"/>
                <w:i w:val="0"/>
                <w:sz w:val="18"/>
              </w:rPr>
              <w:t>0.14</w:t>
            </w:r>
          </w:p>
        </w:tc>
        <w:tc>
          <w:tcPr>
            <w:tcW w:type="dxa" w:w="3035"/>
          </w:tcPr>
          <w:p>
            <w:pPr>
              <w:pStyle w:val="MDPI42tablebody"/>
              <w:keepNext/>
              <w:spacing w:line="240" w:lineRule="auto" w:before="30" w:after="30"/>
              <w:jc w:val="left"/>
            </w:pPr>
            <w:r>
              <w:rPr>
                <w:b w:val="0"/>
                <w:i w:val="0"/>
                <w:sz w:val="18"/>
              </w:rPr>
              <w:t>per week</w:t>
            </w:r>
          </w:p>
        </w:tc>
        <w:tc>
          <w:tcPr>
            <w:tcW w:type="dxa" w:w="1674"/>
          </w:tcPr>
          <w:p>
            <w:pPr>
              <w:pStyle w:val="MDPI42tablebody"/>
              <w:keepNext/>
              <w:spacing w:line="240" w:lineRule="auto" w:before="30" w:after="30"/>
              <w:jc w:val="left"/>
            </w:pPr>
            <w:r>
              <w:rPr>
                <w:b w:val="0"/>
                <w:i w:val="0"/>
                <w:sz w:val="18"/>
              </w:rPr>
              <w:t>0.05–0.3</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assertion anxiety</w:t>
            </w:r>
          </w:p>
        </w:tc>
        <w:tc>
          <w:tcPr>
            <w:tcW w:type="dxa" w:w="1151"/>
          </w:tcPr>
          <w:p>
            <w:pPr>
              <w:pStyle w:val="MDPI42tablebody"/>
              <w:keepNext/>
              <w:spacing w:line="240" w:lineRule="auto" w:before="30" w:after="30"/>
              <w:jc w:val="left"/>
            </w:pPr>
            <w:r>
              <w:rPr>
                <w:b w:val="0"/>
                <w:i w:val="0"/>
                <w:sz w:val="18"/>
              </w:rPr>
              <w:t>0.7</w:t>
            </w:r>
          </w:p>
        </w:tc>
        <w:tc>
          <w:tcPr>
            <w:tcW w:type="dxa" w:w="3035"/>
          </w:tcPr>
          <w:p>
            <w:pPr>
              <w:pStyle w:val="MDPI42tablebody"/>
              <w:keepNext/>
              <w:spacing w:line="240" w:lineRule="auto" w:before="30" w:after="30"/>
              <w:jc w:val="left"/>
            </w:pPr>
            <w:r>
              <w:rPr>
                <w:b w:val="0"/>
                <w:i w:val="0"/>
                <w:sz w:val="18"/>
              </w:rPr>
              <w:t>units per unit</w:t>
            </w:r>
          </w:p>
        </w:tc>
        <w:tc>
          <w:tcPr>
            <w:tcW w:type="dxa" w:w="1674"/>
          </w:tcPr>
          <w:p>
            <w:pPr>
              <w:pStyle w:val="MDPI42tablebody"/>
              <w:keepNext/>
              <w:spacing w:line="240" w:lineRule="auto" w:before="30" w:after="30"/>
              <w:jc w:val="left"/>
            </w:pPr>
            <w:r>
              <w:rPr>
                <w:b w:val="0"/>
                <w:i w:val="0"/>
                <w:sz w:val="18"/>
              </w:rPr>
              <w:t>0.2–1.3</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assertion efficacy</w:t>
            </w:r>
          </w:p>
        </w:tc>
        <w:tc>
          <w:tcPr>
            <w:tcW w:type="dxa" w:w="1151"/>
          </w:tcPr>
          <w:p>
            <w:pPr>
              <w:pStyle w:val="MDPI42tablebody"/>
              <w:keepNext/>
              <w:spacing w:line="240" w:lineRule="auto" w:before="30" w:after="30"/>
              <w:jc w:val="left"/>
            </w:pPr>
            <w:r>
              <w:rPr>
                <w:b w:val="0"/>
                <w:i w:val="0"/>
                <w:sz w:val="18"/>
              </w:rPr>
              <w:t>0.85</w:t>
            </w:r>
          </w:p>
        </w:tc>
        <w:tc>
          <w:tcPr>
            <w:tcW w:type="dxa" w:w="3035"/>
          </w:tcPr>
          <w:p>
            <w:pPr>
              <w:pStyle w:val="MDPI42tablebody"/>
              <w:keepNext/>
              <w:spacing w:line="240" w:lineRule="auto" w:before="30" w:after="30"/>
              <w:jc w:val="left"/>
            </w:pPr>
            <w:r>
              <w:rPr>
                <w:b w:val="0"/>
                <w:i w:val="0"/>
                <w:sz w:val="18"/>
              </w:rPr>
              <w:t>units per unit</w:t>
            </w:r>
          </w:p>
        </w:tc>
        <w:tc>
          <w:tcPr>
            <w:tcW w:type="dxa" w:w="1674"/>
          </w:tcPr>
          <w:p>
            <w:pPr>
              <w:pStyle w:val="MDPI42tablebody"/>
              <w:keepNext/>
              <w:spacing w:line="240" w:lineRule="auto" w:before="30" w:after="30"/>
              <w:jc w:val="left"/>
            </w:pPr>
            <w:r>
              <w:rPr>
                <w:b w:val="0"/>
                <w:i w:val="0"/>
                <w:sz w:val="18"/>
              </w:rPr>
              <w:t>0.3–1.4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conflict weight</w:t>
            </w:r>
          </w:p>
        </w:tc>
        <w:tc>
          <w:tcPr>
            <w:tcW w:type="dxa" w:w="1151"/>
          </w:tcPr>
          <w:p>
            <w:pPr>
              <w:pStyle w:val="MDPI42tablebody"/>
              <w:keepNext/>
              <w:spacing w:line="240" w:lineRule="auto" w:before="30" w:after="30"/>
              <w:jc w:val="left"/>
            </w:pPr>
            <w:r>
              <w:rPr>
                <w:b w:val="0"/>
                <w:i w:val="0"/>
                <w:sz w:val="18"/>
              </w:rPr>
              <w:t>0.55</w:t>
            </w:r>
          </w:p>
        </w:tc>
        <w:tc>
          <w:tcPr>
            <w:tcW w:type="dxa" w:w="3035"/>
          </w:tcPr>
          <w:p>
            <w:pPr>
              <w:pStyle w:val="MDPI42tablebody"/>
              <w:keepNext/>
              <w:spacing w:line="240" w:lineRule="auto" w:before="30" w:after="30"/>
              <w:jc w:val="left"/>
            </w:pPr>
            <w:r>
              <w:rPr>
                <w:b w:val="0"/>
                <w:i w:val="0"/>
                <w:sz w:val="18"/>
              </w:rPr>
              <w:t>share of measured difficulty</w:t>
            </w:r>
          </w:p>
        </w:tc>
        <w:tc>
          <w:tcPr>
            <w:tcW w:type="dxa" w:w="1674"/>
          </w:tcPr>
          <w:p>
            <w:pPr>
              <w:pStyle w:val="MDPI42tablebody"/>
              <w:keepNext/>
              <w:spacing w:line="240" w:lineRule="auto" w:before="30" w:after="30"/>
              <w:jc w:val="left"/>
            </w:pPr>
            <w:r>
              <w:rPr>
                <w:b w:val="0"/>
                <w:i w:val="0"/>
                <w:sz w:val="18"/>
              </w:rPr>
              <w:t>0.1–1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deadline slope</w:t>
            </w:r>
          </w:p>
        </w:tc>
        <w:tc>
          <w:tcPr>
            <w:tcW w:type="dxa" w:w="1151"/>
          </w:tcPr>
          <w:p>
            <w:pPr>
              <w:pStyle w:val="MDPI42tablebody"/>
              <w:keepNext/>
              <w:spacing w:line="240" w:lineRule="auto" w:before="30" w:after="30"/>
              <w:jc w:val="left"/>
            </w:pPr>
            <w:r>
              <w:rPr>
                <w:b w:val="0"/>
                <w:i w:val="0"/>
                <w:sz w:val="18"/>
              </w:rPr>
              <w:t>1.3</w:t>
            </w:r>
          </w:p>
        </w:tc>
        <w:tc>
          <w:tcPr>
            <w:tcW w:type="dxa" w:w="3035"/>
          </w:tcPr>
          <w:p>
            <w:pPr>
              <w:pStyle w:val="MDPI42tablebody"/>
              <w:keepNext/>
              <w:spacing w:line="240" w:lineRule="auto" w:before="30" w:after="30"/>
              <w:jc w:val="left"/>
            </w:pPr>
            <w:r>
              <w:rPr>
                <w:b w:val="0"/>
                <w:i w:val="0"/>
                <w:sz w:val="18"/>
              </w:rPr>
              <w:t>multiplier over the horizon</w:t>
            </w:r>
          </w:p>
        </w:tc>
        <w:tc>
          <w:tcPr>
            <w:tcW w:type="dxa" w:w="1674"/>
          </w:tcPr>
          <w:p>
            <w:pPr>
              <w:pStyle w:val="MDPI42tablebody"/>
              <w:keepNext/>
              <w:spacing w:line="240" w:lineRule="auto" w:before="30" w:after="30"/>
              <w:jc w:val="left"/>
            </w:pPr>
            <w:r>
              <w:rPr>
                <w:b w:val="0"/>
                <w:i w:val="0"/>
                <w:sz w:val="18"/>
              </w:rPr>
              <w:t>1–2.4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divergence mean</w:t>
            </w:r>
          </w:p>
        </w:tc>
        <w:tc>
          <w:tcPr>
            <w:tcW w:type="dxa" w:w="1151"/>
          </w:tcPr>
          <w:p>
            <w:pPr>
              <w:pStyle w:val="MDPI42tablebody"/>
              <w:keepNext/>
              <w:spacing w:line="240" w:lineRule="auto" w:before="30" w:after="30"/>
              <w:jc w:val="left"/>
            </w:pPr>
            <w:r>
              <w:rPr>
                <w:b w:val="0"/>
                <w:i w:val="0"/>
                <w:sz w:val="18"/>
              </w:rPr>
              <w:t>0.45</w:t>
            </w:r>
          </w:p>
        </w:tc>
        <w:tc>
          <w:tcPr>
            <w:tcW w:type="dxa" w:w="3035"/>
          </w:tcPr>
          <w:p>
            <w:pPr>
              <w:pStyle w:val="MDPI42tablebody"/>
              <w:keepNext/>
              <w:spacing w:line="240" w:lineRule="auto" w:before="30" w:after="30"/>
              <w:jc w:val="left"/>
            </w:pPr>
            <w:r>
              <w:rPr>
                <w:b w:val="0"/>
                <w:i w:val="0"/>
                <w:sz w:val="18"/>
              </w:rPr>
              <w:t>units</w:t>
            </w:r>
          </w:p>
        </w:tc>
        <w:tc>
          <w:tcPr>
            <w:tcW w:type="dxa" w:w="1674"/>
          </w:tcPr>
          <w:p>
            <w:pPr>
              <w:pStyle w:val="MDPI42tablebody"/>
              <w:keepNext/>
              <w:spacing w:line="240" w:lineRule="auto" w:before="30" w:after="30"/>
              <w:jc w:val="left"/>
            </w:pPr>
            <w:r>
              <w:rPr>
                <w:b w:val="0"/>
                <w:i w:val="0"/>
                <w:sz w:val="18"/>
              </w:rPr>
              <w:t>0.15–0.8</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divergence sd</w:t>
            </w:r>
          </w:p>
        </w:tc>
        <w:tc>
          <w:tcPr>
            <w:tcW w:type="dxa" w:w="1151"/>
          </w:tcPr>
          <w:p>
            <w:pPr>
              <w:pStyle w:val="MDPI42tablebody"/>
              <w:keepNext/>
              <w:spacing w:line="240" w:lineRule="auto" w:before="30" w:after="30"/>
              <w:jc w:val="left"/>
            </w:pPr>
            <w:r>
              <w:rPr>
                <w:b w:val="0"/>
                <w:i w:val="0"/>
                <w:sz w:val="18"/>
              </w:rPr>
              <w:t>0.25</w:t>
            </w:r>
          </w:p>
        </w:tc>
        <w:tc>
          <w:tcPr>
            <w:tcW w:type="dxa" w:w="3035"/>
          </w:tcPr>
          <w:p>
            <w:pPr>
              <w:pStyle w:val="MDPI42tablebody"/>
              <w:keepNext/>
              <w:spacing w:line="240" w:lineRule="auto" w:before="30" w:after="30"/>
              <w:jc w:val="left"/>
            </w:pPr>
            <w:r>
              <w:rPr>
                <w:b w:val="0"/>
                <w:i w:val="0"/>
                <w:sz w:val="18"/>
              </w:rPr>
              <w:t>units</w:t>
            </w:r>
          </w:p>
        </w:tc>
        <w:tc>
          <w:tcPr>
            <w:tcW w:type="dxa" w:w="1674"/>
          </w:tcPr>
          <w:p>
            <w:pPr>
              <w:pStyle w:val="MDPI42tablebody"/>
              <w:keepNext/>
              <w:spacing w:line="240" w:lineRule="auto" w:before="30" w:after="30"/>
              <w:jc w:val="left"/>
            </w:pPr>
            <w:r>
              <w:rPr>
                <w:b w:val="0"/>
                <w:i w:val="0"/>
                <w:sz w:val="18"/>
              </w:rPr>
              <w:t>0.1–0.45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efficacy attribution</w:t>
            </w:r>
          </w:p>
        </w:tc>
        <w:tc>
          <w:tcPr>
            <w:tcW w:type="dxa" w:w="1151"/>
          </w:tcPr>
          <w:p>
            <w:pPr>
              <w:pStyle w:val="MDPI42tablebody"/>
              <w:keepNext/>
              <w:spacing w:line="240" w:lineRule="auto" w:before="30" w:after="30"/>
              <w:jc w:val="left"/>
            </w:pPr>
            <w:r>
              <w:rPr>
                <w:b w:val="0"/>
                <w:i w:val="0"/>
                <w:sz w:val="18"/>
              </w:rPr>
              <w:t>0.283176</w:t>
            </w:r>
          </w:p>
        </w:tc>
        <w:tc>
          <w:tcPr>
            <w:tcW w:type="dxa" w:w="3035"/>
          </w:tcPr>
          <w:p>
            <w:pPr>
              <w:pStyle w:val="MDPI42tablebody"/>
              <w:keepNext/>
              <w:spacing w:line="240" w:lineRule="auto" w:before="30" w:after="30"/>
              <w:jc w:val="left"/>
            </w:pPr>
            <w:r>
              <w:rPr>
                <w:b w:val="0"/>
                <w:i w:val="0"/>
                <w:sz w:val="18"/>
              </w:rPr>
              <w:t>share</w:t>
            </w:r>
          </w:p>
        </w:tc>
        <w:tc>
          <w:tcPr>
            <w:tcW w:type="dxa" w:w="1674"/>
          </w:tcPr>
          <w:p>
            <w:pPr>
              <w:pStyle w:val="MDPI42tablebody"/>
              <w:keepNext/>
              <w:spacing w:line="240" w:lineRule="auto" w:before="30" w:after="30"/>
              <w:jc w:val="left"/>
            </w:pPr>
            <w:r>
              <w:rPr>
                <w:b w:val="0"/>
                <w:i w:val="0"/>
                <w:sz w:val="18"/>
              </w:rPr>
              <w:t>0.2–1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efficacy learning</w:t>
            </w:r>
          </w:p>
        </w:tc>
        <w:tc>
          <w:tcPr>
            <w:tcW w:type="dxa" w:w="1151"/>
          </w:tcPr>
          <w:p>
            <w:pPr>
              <w:pStyle w:val="MDPI42tablebody"/>
              <w:keepNext/>
              <w:spacing w:line="240" w:lineRule="auto" w:before="30" w:after="30"/>
              <w:jc w:val="left"/>
            </w:pPr>
            <w:r>
              <w:rPr>
                <w:b w:val="0"/>
                <w:i w:val="0"/>
                <w:sz w:val="18"/>
              </w:rPr>
              <w:t>0.16</w:t>
            </w:r>
          </w:p>
        </w:tc>
        <w:tc>
          <w:tcPr>
            <w:tcW w:type="dxa" w:w="3035"/>
          </w:tcPr>
          <w:p>
            <w:pPr>
              <w:pStyle w:val="MDPI42tablebody"/>
              <w:keepNext/>
              <w:spacing w:line="240" w:lineRule="auto" w:before="30" w:after="30"/>
              <w:jc w:val="left"/>
            </w:pPr>
            <w:r>
              <w:rPr>
                <w:b w:val="0"/>
                <w:i w:val="0"/>
                <w:sz w:val="18"/>
              </w:rPr>
              <w:t>per week</w:t>
            </w:r>
          </w:p>
        </w:tc>
        <w:tc>
          <w:tcPr>
            <w:tcW w:type="dxa" w:w="1674"/>
          </w:tcPr>
          <w:p>
            <w:pPr>
              <w:pStyle w:val="MDPI42tablebody"/>
              <w:keepNext/>
              <w:spacing w:line="240" w:lineRule="auto" w:before="30" w:after="30"/>
              <w:jc w:val="left"/>
            </w:pPr>
            <w:r>
              <w:rPr>
                <w:b w:val="0"/>
                <w:i w:val="0"/>
                <w:sz w:val="18"/>
              </w:rPr>
              <w:t>0.06–0.32</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expl anxiety</w:t>
            </w:r>
          </w:p>
        </w:tc>
        <w:tc>
          <w:tcPr>
            <w:tcW w:type="dxa" w:w="1151"/>
          </w:tcPr>
          <w:p>
            <w:pPr>
              <w:pStyle w:val="MDPI42tablebody"/>
              <w:keepNext/>
              <w:spacing w:line="240" w:lineRule="auto" w:before="30" w:after="30"/>
              <w:jc w:val="left"/>
            </w:pPr>
            <w:r>
              <w:rPr>
                <w:b w:val="0"/>
                <w:i w:val="0"/>
                <w:sz w:val="18"/>
              </w:rPr>
              <w:t>2.4</w:t>
            </w:r>
          </w:p>
        </w:tc>
        <w:tc>
          <w:tcPr>
            <w:tcW w:type="dxa" w:w="3035"/>
          </w:tcPr>
          <w:p>
            <w:pPr>
              <w:pStyle w:val="MDPI42tablebody"/>
              <w:keepNext/>
              <w:spacing w:line="240" w:lineRule="auto" w:before="30" w:after="30"/>
              <w:jc w:val="left"/>
            </w:pPr>
            <w:r>
              <w:rPr>
                <w:b w:val="0"/>
                <w:i w:val="0"/>
                <w:sz w:val="18"/>
              </w:rPr>
              <w:t>logit per unit</w:t>
            </w:r>
          </w:p>
        </w:tc>
        <w:tc>
          <w:tcPr>
            <w:tcW w:type="dxa" w:w="1674"/>
          </w:tcPr>
          <w:p>
            <w:pPr>
              <w:pStyle w:val="MDPI42tablebody"/>
              <w:keepNext/>
              <w:spacing w:line="240" w:lineRule="auto" w:before="30" w:after="30"/>
              <w:jc w:val="left"/>
            </w:pPr>
            <w:r>
              <w:rPr>
                <w:b w:val="0"/>
                <w:i w:val="0"/>
                <w:sz w:val="18"/>
              </w:rPr>
              <w:t>0.4–2.4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expl efficacy</w:t>
            </w:r>
          </w:p>
        </w:tc>
        <w:tc>
          <w:tcPr>
            <w:tcW w:type="dxa" w:w="1151"/>
          </w:tcPr>
          <w:p>
            <w:pPr>
              <w:pStyle w:val="MDPI42tablebody"/>
              <w:keepNext/>
              <w:spacing w:line="240" w:lineRule="auto" w:before="30" w:after="30"/>
              <w:jc w:val="left"/>
            </w:pPr>
            <w:r>
              <w:rPr>
                <w:b w:val="0"/>
                <w:i w:val="0"/>
                <w:sz w:val="18"/>
              </w:rPr>
              <w:t>0.4</w:t>
            </w:r>
          </w:p>
        </w:tc>
        <w:tc>
          <w:tcPr>
            <w:tcW w:type="dxa" w:w="3035"/>
          </w:tcPr>
          <w:p>
            <w:pPr>
              <w:pStyle w:val="MDPI42tablebody"/>
              <w:keepNext/>
              <w:spacing w:line="240" w:lineRule="auto" w:before="30" w:after="30"/>
              <w:jc w:val="left"/>
            </w:pPr>
            <w:r>
              <w:rPr>
                <w:b w:val="0"/>
                <w:i w:val="0"/>
                <w:sz w:val="18"/>
              </w:rPr>
              <w:t>logit per unit</w:t>
            </w:r>
          </w:p>
        </w:tc>
        <w:tc>
          <w:tcPr>
            <w:tcW w:type="dxa" w:w="1674"/>
          </w:tcPr>
          <w:p>
            <w:pPr>
              <w:pStyle w:val="MDPI42tablebody"/>
              <w:keepNext/>
              <w:spacing w:line="240" w:lineRule="auto" w:before="30" w:after="30"/>
              <w:jc w:val="left"/>
            </w:pPr>
            <w:r>
              <w:rPr>
                <w:b w:val="0"/>
                <w:i w:val="0"/>
                <w:sz w:val="18"/>
              </w:rPr>
              <w:t>0.4–3.2</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expl intercept</w:t>
            </w:r>
          </w:p>
        </w:tc>
        <w:tc>
          <w:tcPr>
            <w:tcW w:type="dxa" w:w="1151"/>
          </w:tcPr>
          <w:p>
            <w:pPr>
              <w:pStyle w:val="MDPI42tablebody"/>
              <w:keepNext/>
              <w:spacing w:line="240" w:lineRule="auto" w:before="30" w:after="30"/>
              <w:jc w:val="left"/>
            </w:pPr>
            <w:r>
              <w:rPr>
                <w:b w:val="0"/>
                <w:i w:val="0"/>
                <w:sz w:val="18"/>
              </w:rPr>
              <w:t>−0.4</w:t>
            </w:r>
          </w:p>
        </w:tc>
        <w:tc>
          <w:tcPr>
            <w:tcW w:type="dxa" w:w="3035"/>
          </w:tcPr>
          <w:p>
            <w:pPr>
              <w:pStyle w:val="MDPI42tablebody"/>
              <w:keepNext/>
              <w:spacing w:line="240" w:lineRule="auto" w:before="30" w:after="30"/>
              <w:jc w:val="left"/>
            </w:pPr>
            <w:r>
              <w:rPr>
                <w:b w:val="0"/>
                <w:i w:val="0"/>
                <w:sz w:val="18"/>
              </w:rPr>
              <w:t>logit</w:t>
            </w:r>
          </w:p>
        </w:tc>
        <w:tc>
          <w:tcPr>
            <w:tcW w:type="dxa" w:w="1674"/>
          </w:tcPr>
          <w:p>
            <w:pPr>
              <w:pStyle w:val="MDPI42tablebody"/>
              <w:keepNext/>
              <w:spacing w:line="240" w:lineRule="auto" w:before="30" w:after="30"/>
              <w:jc w:val="left"/>
            </w:pPr>
            <w:r>
              <w:rPr>
                <w:b w:val="0"/>
                <w:i w:val="0"/>
                <w:sz w:val="18"/>
              </w:rPr>
              <w:t>−1.2–0.4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expl uncertainty</w:t>
            </w:r>
          </w:p>
        </w:tc>
        <w:tc>
          <w:tcPr>
            <w:tcW w:type="dxa" w:w="1151"/>
          </w:tcPr>
          <w:p>
            <w:pPr>
              <w:pStyle w:val="MDPI42tablebody"/>
              <w:keepNext/>
              <w:spacing w:line="240" w:lineRule="auto" w:before="30" w:after="30"/>
              <w:jc w:val="left"/>
            </w:pPr>
            <w:r>
              <w:rPr>
                <w:b w:val="0"/>
                <w:i w:val="0"/>
                <w:sz w:val="18"/>
              </w:rPr>
              <w:t>0.9</w:t>
            </w:r>
          </w:p>
        </w:tc>
        <w:tc>
          <w:tcPr>
            <w:tcW w:type="dxa" w:w="3035"/>
          </w:tcPr>
          <w:p>
            <w:pPr>
              <w:pStyle w:val="MDPI42tablebody"/>
              <w:keepNext/>
              <w:spacing w:line="240" w:lineRule="auto" w:before="30" w:after="30"/>
              <w:jc w:val="left"/>
            </w:pPr>
            <w:r>
              <w:rPr>
                <w:b w:val="0"/>
                <w:i w:val="0"/>
                <w:sz w:val="18"/>
              </w:rPr>
              <w:t>logit per unit</w:t>
            </w:r>
          </w:p>
        </w:tc>
        <w:tc>
          <w:tcPr>
            <w:tcW w:type="dxa" w:w="1674"/>
          </w:tcPr>
          <w:p>
            <w:pPr>
              <w:pStyle w:val="MDPI42tablebody"/>
              <w:keepNext/>
              <w:spacing w:line="240" w:lineRule="auto" w:before="30" w:after="30"/>
              <w:jc w:val="left"/>
            </w:pPr>
            <w:r>
              <w:rPr>
                <w:b w:val="0"/>
                <w:i w:val="0"/>
                <w:sz w:val="18"/>
              </w:rPr>
              <w:t>0.2–1.8</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heterogeneity</w:t>
            </w:r>
          </w:p>
        </w:tc>
        <w:tc>
          <w:tcPr>
            <w:tcW w:type="dxa" w:w="1151"/>
          </w:tcPr>
          <w:p>
            <w:pPr>
              <w:pStyle w:val="MDPI42tablebody"/>
              <w:keepNext/>
              <w:spacing w:line="240" w:lineRule="auto" w:before="30" w:after="30"/>
              <w:jc w:val="left"/>
            </w:pPr>
            <w:r>
              <w:rPr>
                <w:b w:val="0"/>
                <w:i w:val="0"/>
                <w:sz w:val="18"/>
              </w:rPr>
              <w:t>0</w:t>
            </w:r>
          </w:p>
        </w:tc>
        <w:tc>
          <w:tcPr>
            <w:tcW w:type="dxa" w:w="3035"/>
          </w:tcPr>
          <w:p>
            <w:pPr>
              <w:pStyle w:val="MDPI42tablebody"/>
              <w:keepNext/>
              <w:spacing w:line="240" w:lineRule="auto" w:before="30" w:after="30"/>
              <w:jc w:val="left"/>
            </w:pPr>
            <w:r>
              <w:rPr>
                <w:b w:val="0"/>
                <w:i w:val="0"/>
                <w:sz w:val="18"/>
              </w:rPr>
              <w:t>share of each coefficient</w:t>
            </w:r>
          </w:p>
        </w:tc>
        <w:tc>
          <w:tcPr>
            <w:tcW w:type="dxa" w:w="1674"/>
          </w:tcPr>
          <w:p>
            <w:pPr>
              <w:pStyle w:val="MDPI42tablebody"/>
              <w:keepNext/>
              <w:spacing w:line="240" w:lineRule="auto" w:before="30" w:after="30"/>
              <w:jc w:val="left"/>
            </w:pPr>
            <w:r>
              <w:rPr>
                <w:b w:val="0"/>
                <w:i w:val="0"/>
                <w:sz w:val="18"/>
              </w:rPr>
              <w:t>0–0.9</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measurement error</w:t>
            </w:r>
          </w:p>
        </w:tc>
        <w:tc>
          <w:tcPr>
            <w:tcW w:type="dxa" w:w="1151"/>
          </w:tcPr>
          <w:p>
            <w:pPr>
              <w:pStyle w:val="MDPI42tablebody"/>
              <w:keepNext/>
              <w:spacing w:line="240" w:lineRule="auto" w:before="30" w:after="30"/>
              <w:jc w:val="left"/>
            </w:pPr>
            <w:r>
              <w:rPr>
                <w:b w:val="0"/>
                <w:i w:val="0"/>
                <w:sz w:val="18"/>
              </w:rPr>
              <w:t>0.06</w:t>
            </w:r>
          </w:p>
        </w:tc>
        <w:tc>
          <w:tcPr>
            <w:tcW w:type="dxa" w:w="3035"/>
          </w:tcPr>
          <w:p>
            <w:pPr>
              <w:pStyle w:val="MDPI42tablebody"/>
              <w:keepNext/>
              <w:spacing w:line="240" w:lineRule="auto" w:before="30" w:after="30"/>
              <w:jc w:val="left"/>
            </w:pPr>
            <w:r>
              <w:rPr>
                <w:b w:val="0"/>
                <w:i w:val="0"/>
                <w:sz w:val="18"/>
              </w:rPr>
              <w:t>share of variance</w:t>
            </w:r>
          </w:p>
        </w:tc>
        <w:tc>
          <w:tcPr>
            <w:tcW w:type="dxa" w:w="1674"/>
          </w:tcPr>
          <w:p>
            <w:pPr>
              <w:pStyle w:val="MDPI42tablebody"/>
              <w:keepNext/>
              <w:spacing w:line="240" w:lineRule="auto" w:before="30" w:after="30"/>
              <w:jc w:val="left"/>
            </w:pPr>
            <w:r>
              <w:rPr>
                <w:b w:val="0"/>
                <w:i w:val="0"/>
                <w:sz w:val="18"/>
              </w:rPr>
              <w:t>0.04–0.12</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721"/>
          </w:tcPr>
          <w:p>
            <w:pPr>
              <w:pStyle w:val="MDPI42tablebody"/>
              <w:keepNext/>
              <w:spacing w:line="240" w:lineRule="auto" w:before="30" w:after="30"/>
              <w:jc w:val="left"/>
            </w:pPr>
            <w:r>
              <w:rPr>
                <w:b w:val="0"/>
                <w:i w:val="0"/>
                <w:sz w:val="18"/>
              </w:rPr>
              <w:t>process noise</w:t>
            </w:r>
          </w:p>
        </w:tc>
        <w:tc>
          <w:tcPr>
            <w:tcW w:type="dxa" w:w="1151"/>
          </w:tcPr>
          <w:p>
            <w:pPr>
              <w:pStyle w:val="MDPI42tablebody"/>
              <w:keepNext/>
              <w:spacing w:line="240" w:lineRule="auto" w:before="30" w:after="30"/>
              <w:jc w:val="left"/>
            </w:pPr>
            <w:r>
              <w:rPr>
                <w:b w:val="0"/>
                <w:i w:val="0"/>
                <w:sz w:val="18"/>
              </w:rPr>
              <w:t>0.12</w:t>
            </w:r>
          </w:p>
        </w:tc>
        <w:tc>
          <w:tcPr>
            <w:tcW w:type="dxa" w:w="3035"/>
          </w:tcPr>
          <w:p>
            <w:pPr>
              <w:pStyle w:val="MDPI42tablebody"/>
              <w:keepNext/>
              <w:spacing w:line="240" w:lineRule="auto" w:before="30" w:after="30"/>
              <w:jc w:val="left"/>
            </w:pPr>
            <w:r>
              <w:rPr>
                <w:b w:val="0"/>
                <w:i w:val="0"/>
                <w:sz w:val="18"/>
              </w:rPr>
              <w:t>units per week</w:t>
            </w:r>
          </w:p>
        </w:tc>
        <w:tc>
          <w:tcPr>
            <w:tcW w:type="dxa" w:w="1674"/>
          </w:tcPr>
          <w:p>
            <w:pPr>
              <w:pStyle w:val="MDPI42tablebody"/>
              <w:keepNext/>
              <w:spacing w:line="240" w:lineRule="auto" w:before="30" w:after="30"/>
              <w:jc w:val="left"/>
            </w:pPr>
            <w:r>
              <w:rPr>
                <w:b w:val="0"/>
                <w:i w:val="0"/>
                <w:sz w:val="18"/>
              </w:rPr>
              <w:t>0.01–0.12</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scaffold gain</w:t>
            </w:r>
          </w:p>
        </w:tc>
        <w:tc>
          <w:tcPr>
            <w:tcW w:type="dxa" w:w="1151"/>
          </w:tcPr>
          <w:p>
            <w:pPr>
              <w:pStyle w:val="MDPI42tablebody"/>
              <w:keepNext/>
              <w:spacing w:line="240" w:lineRule="auto" w:before="30" w:after="30"/>
              <w:jc w:val="left"/>
            </w:pPr>
            <w:r>
              <w:rPr>
                <w:b w:val="0"/>
                <w:i w:val="0"/>
                <w:sz w:val="18"/>
              </w:rPr>
              <w:t>2</w:t>
            </w:r>
          </w:p>
        </w:tc>
        <w:tc>
          <w:tcPr>
            <w:tcW w:type="dxa" w:w="3035"/>
          </w:tcPr>
          <w:p>
            <w:pPr>
              <w:pStyle w:val="MDPI42tablebody"/>
              <w:keepNext/>
              <w:spacing w:line="240" w:lineRule="auto" w:before="30" w:after="30"/>
              <w:jc w:val="left"/>
            </w:pPr>
            <w:r>
              <w:rPr>
                <w:b w:val="0"/>
                <w:i w:val="0"/>
                <w:sz w:val="18"/>
              </w:rPr>
              <w:t>multiplier</w:t>
            </w:r>
          </w:p>
        </w:tc>
        <w:tc>
          <w:tcPr>
            <w:tcW w:type="dxa" w:w="1674"/>
          </w:tcPr>
          <w:p>
            <w:pPr>
              <w:pStyle w:val="MDPI42tablebody"/>
              <w:keepNext/>
              <w:spacing w:line="240" w:lineRule="auto" w:before="30" w:after="30"/>
              <w:jc w:val="left"/>
            </w:pPr>
            <w:r>
              <w:rPr>
                <w:b w:val="0"/>
                <w:i w:val="0"/>
                <w:sz w:val="18"/>
              </w:rPr>
              <w:t>0.05–2</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sd trait anxiety</w:t>
            </w:r>
          </w:p>
        </w:tc>
        <w:tc>
          <w:tcPr>
            <w:tcW w:type="dxa" w:w="1151"/>
          </w:tcPr>
          <w:p>
            <w:pPr>
              <w:pStyle w:val="MDPI42tablebody"/>
              <w:keepNext/>
              <w:spacing w:line="240" w:lineRule="auto" w:before="30" w:after="30"/>
              <w:jc w:val="left"/>
            </w:pPr>
            <w:r>
              <w:rPr>
                <w:b w:val="0"/>
                <w:i w:val="0"/>
                <w:sz w:val="18"/>
              </w:rPr>
              <w:t>0.85</w:t>
            </w:r>
          </w:p>
        </w:tc>
        <w:tc>
          <w:tcPr>
            <w:tcW w:type="dxa" w:w="3035"/>
          </w:tcPr>
          <w:p>
            <w:pPr>
              <w:pStyle w:val="MDPI42tablebody"/>
              <w:keepNext/>
              <w:spacing w:line="240" w:lineRule="auto" w:before="30" w:after="30"/>
              <w:jc w:val="left"/>
            </w:pPr>
            <w:r>
              <w:rPr>
                <w:b w:val="0"/>
                <w:i w:val="0"/>
                <w:sz w:val="18"/>
              </w:rPr>
              <w:t>units</w:t>
            </w:r>
          </w:p>
        </w:tc>
        <w:tc>
          <w:tcPr>
            <w:tcW w:type="dxa" w:w="1674"/>
          </w:tcPr>
          <w:p>
            <w:pPr>
              <w:pStyle w:val="MDPI42tablebody"/>
              <w:keepNext/>
              <w:spacing w:line="240" w:lineRule="auto" w:before="30" w:after="30"/>
              <w:jc w:val="left"/>
            </w:pPr>
            <w:r>
              <w:rPr>
                <w:b w:val="0"/>
                <w:i w:val="0"/>
                <w:sz w:val="18"/>
              </w:rPr>
              <w:t>0.3–0.85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sd trait efficacy</w:t>
            </w:r>
          </w:p>
        </w:tc>
        <w:tc>
          <w:tcPr>
            <w:tcW w:type="dxa" w:w="1151"/>
          </w:tcPr>
          <w:p>
            <w:pPr>
              <w:pStyle w:val="MDPI42tablebody"/>
              <w:keepNext/>
              <w:spacing w:line="240" w:lineRule="auto" w:before="30" w:after="30"/>
              <w:jc w:val="left"/>
            </w:pPr>
            <w:r>
              <w:rPr>
                <w:b w:val="0"/>
                <w:i w:val="0"/>
                <w:sz w:val="18"/>
              </w:rPr>
              <w:t>0.55</w:t>
            </w:r>
          </w:p>
        </w:tc>
        <w:tc>
          <w:tcPr>
            <w:tcW w:type="dxa" w:w="3035"/>
          </w:tcPr>
          <w:p>
            <w:pPr>
              <w:pStyle w:val="MDPI42tablebody"/>
              <w:keepNext/>
              <w:spacing w:line="240" w:lineRule="auto" w:before="30" w:after="30"/>
              <w:jc w:val="left"/>
            </w:pPr>
            <w:r>
              <w:rPr>
                <w:b w:val="0"/>
                <w:i w:val="0"/>
                <w:sz w:val="18"/>
              </w:rPr>
              <w:t>units</w:t>
            </w:r>
          </w:p>
        </w:tc>
        <w:tc>
          <w:tcPr>
            <w:tcW w:type="dxa" w:w="1674"/>
          </w:tcPr>
          <w:p>
            <w:pPr>
              <w:pStyle w:val="MDPI42tablebody"/>
              <w:keepNext/>
              <w:spacing w:line="240" w:lineRule="auto" w:before="30" w:after="30"/>
              <w:jc w:val="left"/>
            </w:pPr>
            <w:r>
              <w:rPr>
                <w:b w:val="0"/>
                <w:i w:val="0"/>
                <w:sz w:val="18"/>
              </w:rPr>
              <w:t>0.3–0.85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substitute yield</w:t>
            </w:r>
          </w:p>
        </w:tc>
        <w:tc>
          <w:tcPr>
            <w:tcW w:type="dxa" w:w="1151"/>
          </w:tcPr>
          <w:p>
            <w:pPr>
              <w:pStyle w:val="MDPI42tablebody"/>
              <w:keepNext/>
              <w:spacing w:line="240" w:lineRule="auto" w:before="30" w:after="30"/>
              <w:jc w:val="left"/>
            </w:pPr>
            <w:r>
              <w:rPr>
                <w:b w:val="0"/>
                <w:i w:val="0"/>
                <w:sz w:val="18"/>
              </w:rPr>
              <w:t>0.693728</w:t>
            </w:r>
          </w:p>
        </w:tc>
        <w:tc>
          <w:tcPr>
            <w:tcW w:type="dxa" w:w="3035"/>
          </w:tcPr>
          <w:p>
            <w:pPr>
              <w:pStyle w:val="MDPI42tablebody"/>
              <w:keepNext/>
              <w:spacing w:line="240" w:lineRule="auto" w:before="30" w:after="30"/>
              <w:jc w:val="left"/>
            </w:pPr>
            <w:r>
              <w:rPr>
                <w:b w:val="0"/>
                <w:i w:val="0"/>
                <w:sz w:val="18"/>
              </w:rPr>
              <w:t>share of own yield</w:t>
            </w:r>
          </w:p>
        </w:tc>
        <w:tc>
          <w:tcPr>
            <w:tcW w:type="dxa" w:w="1674"/>
          </w:tcPr>
          <w:p>
            <w:pPr>
              <w:pStyle w:val="MDPI42tablebody"/>
              <w:keepNext/>
              <w:spacing w:line="240" w:lineRule="auto" w:before="30" w:after="30"/>
              <w:jc w:val="left"/>
            </w:pPr>
            <w:r>
              <w:rPr>
                <w:b w:val="0"/>
                <w:i w:val="0"/>
                <w:sz w:val="18"/>
              </w:rPr>
              <w:t>0.15–1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substitution share</w:t>
            </w:r>
          </w:p>
        </w:tc>
        <w:tc>
          <w:tcPr>
            <w:tcW w:type="dxa" w:w="1151"/>
          </w:tcPr>
          <w:p>
            <w:pPr>
              <w:pStyle w:val="MDPI42tablebody"/>
              <w:keepNext/>
              <w:spacing w:line="240" w:lineRule="auto" w:before="30" w:after="30"/>
              <w:jc w:val="left"/>
            </w:pPr>
            <w:r>
              <w:rPr>
                <w:b w:val="0"/>
                <w:i w:val="0"/>
                <w:sz w:val="18"/>
              </w:rPr>
              <w:t>0.55</w:t>
            </w:r>
          </w:p>
        </w:tc>
        <w:tc>
          <w:tcPr>
            <w:tcW w:type="dxa" w:w="3035"/>
          </w:tcPr>
          <w:p>
            <w:pPr>
              <w:pStyle w:val="MDPI42tablebody"/>
              <w:keepNext/>
              <w:spacing w:line="240" w:lineRule="auto" w:before="30" w:after="30"/>
              <w:jc w:val="left"/>
            </w:pPr>
            <w:r>
              <w:rPr>
                <w:b w:val="0"/>
                <w:i w:val="0"/>
                <w:sz w:val="18"/>
              </w:rPr>
              <w:t>share</w:t>
            </w:r>
          </w:p>
        </w:tc>
        <w:tc>
          <w:tcPr>
            <w:tcW w:type="dxa" w:w="1674"/>
          </w:tcPr>
          <w:p>
            <w:pPr>
              <w:pStyle w:val="MDPI42tablebody"/>
              <w:keepNext/>
              <w:spacing w:line="240" w:lineRule="auto" w:before="30" w:after="30"/>
              <w:jc w:val="left"/>
            </w:pPr>
            <w:r>
              <w:rPr>
                <w:b w:val="0"/>
                <w:i w:val="0"/>
                <w:sz w:val="18"/>
              </w:rPr>
              <w:t>0–1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support intensity</w:t>
            </w:r>
          </w:p>
        </w:tc>
        <w:tc>
          <w:tcPr>
            <w:tcW w:type="dxa" w:w="1151"/>
          </w:tcPr>
          <w:p>
            <w:pPr>
              <w:pStyle w:val="MDPI42tablebody"/>
              <w:keepNext/>
              <w:spacing w:line="240" w:lineRule="auto" w:before="30" w:after="30"/>
              <w:jc w:val="left"/>
            </w:pPr>
            <w:r>
              <w:rPr>
                <w:b w:val="0"/>
                <w:i w:val="0"/>
                <w:sz w:val="18"/>
              </w:rPr>
              <w:t>0.45</w:t>
            </w:r>
          </w:p>
        </w:tc>
        <w:tc>
          <w:tcPr>
            <w:tcW w:type="dxa" w:w="3035"/>
          </w:tcPr>
          <w:p>
            <w:pPr>
              <w:pStyle w:val="MDPI42tablebody"/>
              <w:keepNext/>
              <w:spacing w:line="240" w:lineRule="auto" w:before="30" w:after="30"/>
              <w:jc w:val="left"/>
            </w:pPr>
            <w:r>
              <w:rPr>
                <w:b w:val="0"/>
                <w:i w:val="0"/>
                <w:sz w:val="18"/>
              </w:rPr>
              <w:t>units</w:t>
            </w:r>
          </w:p>
        </w:tc>
        <w:tc>
          <w:tcPr>
            <w:tcW w:type="dxa" w:w="1674"/>
          </w:tcPr>
          <w:p>
            <w:pPr>
              <w:pStyle w:val="MDPI42tablebody"/>
              <w:keepNext/>
              <w:spacing w:line="240" w:lineRule="auto" w:before="30" w:after="30"/>
              <w:jc w:val="left"/>
            </w:pPr>
            <w:r>
              <w:rPr>
                <w:b w:val="0"/>
                <w:i w:val="0"/>
                <w:sz w:val="18"/>
              </w:rPr>
              <w:t>0–1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support pressure</w:t>
            </w:r>
          </w:p>
        </w:tc>
        <w:tc>
          <w:tcPr>
            <w:tcW w:type="dxa" w:w="1151"/>
          </w:tcPr>
          <w:p>
            <w:pPr>
              <w:pStyle w:val="MDPI42tablebody"/>
              <w:keepNext/>
              <w:spacing w:line="240" w:lineRule="auto" w:before="30" w:after="30"/>
              <w:jc w:val="left"/>
            </w:pPr>
            <w:r>
              <w:rPr>
                <w:b w:val="0"/>
                <w:i w:val="0"/>
                <w:sz w:val="18"/>
              </w:rPr>
              <w:t>0.6</w:t>
            </w:r>
          </w:p>
        </w:tc>
        <w:tc>
          <w:tcPr>
            <w:tcW w:type="dxa" w:w="3035"/>
          </w:tcPr>
          <w:p>
            <w:pPr>
              <w:pStyle w:val="MDPI42tablebody"/>
              <w:keepNext/>
              <w:spacing w:line="240" w:lineRule="auto" w:before="30" w:after="30"/>
              <w:jc w:val="left"/>
            </w:pPr>
            <w:r>
              <w:rPr>
                <w:b w:val="0"/>
                <w:i w:val="0"/>
                <w:sz w:val="18"/>
              </w:rPr>
              <w:t>multiplier per unit</w:t>
            </w:r>
          </w:p>
        </w:tc>
        <w:tc>
          <w:tcPr>
            <w:tcW w:type="dxa" w:w="1674"/>
          </w:tcPr>
          <w:p>
            <w:pPr>
              <w:pStyle w:val="MDPI42tablebody"/>
              <w:keepNext/>
              <w:spacing w:line="240" w:lineRule="auto" w:before="30" w:after="30"/>
              <w:jc w:val="left"/>
            </w:pPr>
            <w:r>
              <w:rPr>
                <w:b w:val="0"/>
                <w:i w:val="0"/>
                <w:sz w:val="18"/>
              </w:rPr>
              <w:t>0–1.6</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support reassurance</w:t>
            </w:r>
          </w:p>
        </w:tc>
        <w:tc>
          <w:tcPr>
            <w:tcW w:type="dxa" w:w="1151"/>
          </w:tcPr>
          <w:p>
            <w:pPr>
              <w:pStyle w:val="MDPI42tablebody"/>
              <w:keepNext/>
              <w:spacing w:line="240" w:lineRule="auto" w:before="30" w:after="30"/>
              <w:jc w:val="left"/>
            </w:pPr>
            <w:r>
              <w:rPr>
                <w:b w:val="0"/>
                <w:i w:val="0"/>
                <w:sz w:val="18"/>
              </w:rPr>
              <w:t>0.492541</w:t>
            </w:r>
          </w:p>
        </w:tc>
        <w:tc>
          <w:tcPr>
            <w:tcW w:type="dxa" w:w="3035"/>
          </w:tcPr>
          <w:p>
            <w:pPr>
              <w:pStyle w:val="MDPI42tablebody"/>
              <w:keepNext/>
              <w:spacing w:line="240" w:lineRule="auto" w:before="30" w:after="30"/>
              <w:jc w:val="left"/>
            </w:pPr>
            <w:r>
              <w:rPr>
                <w:b w:val="0"/>
                <w:i w:val="0"/>
                <w:sz w:val="18"/>
              </w:rPr>
              <w:t>units per unit</w:t>
            </w:r>
          </w:p>
        </w:tc>
        <w:tc>
          <w:tcPr>
            <w:tcW w:type="dxa" w:w="1674"/>
          </w:tcPr>
          <w:p>
            <w:pPr>
              <w:pStyle w:val="MDPI42tablebody"/>
              <w:keepNext/>
              <w:spacing w:line="240" w:lineRule="auto" w:before="30" w:after="30"/>
              <w:jc w:val="left"/>
            </w:pPr>
            <w:r>
              <w:rPr>
                <w:b w:val="0"/>
                <w:i w:val="0"/>
                <w:sz w:val="18"/>
              </w:rPr>
              <w:t>0–0.9</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support responsiveness</w:t>
            </w:r>
          </w:p>
        </w:tc>
        <w:tc>
          <w:tcPr>
            <w:tcW w:type="dxa" w:w="1151"/>
          </w:tcPr>
          <w:p>
            <w:pPr>
              <w:pStyle w:val="MDPI42tablebody"/>
              <w:keepNext/>
              <w:spacing w:line="240" w:lineRule="auto" w:before="30" w:after="30"/>
              <w:jc w:val="left"/>
            </w:pPr>
            <w:r>
              <w:rPr>
                <w:b w:val="0"/>
                <w:i w:val="0"/>
                <w:sz w:val="18"/>
              </w:rPr>
              <w:t>0</w:t>
            </w:r>
          </w:p>
        </w:tc>
        <w:tc>
          <w:tcPr>
            <w:tcW w:type="dxa" w:w="3035"/>
          </w:tcPr>
          <w:p>
            <w:pPr>
              <w:pStyle w:val="MDPI42tablebody"/>
              <w:keepNext/>
              <w:spacing w:line="240" w:lineRule="auto" w:before="30" w:after="30"/>
              <w:jc w:val="left"/>
            </w:pPr>
            <w:r>
              <w:rPr>
                <w:b w:val="0"/>
                <w:i w:val="0"/>
                <w:sz w:val="18"/>
              </w:rPr>
              <w:t>units per unit of difficulty</w:t>
            </w:r>
          </w:p>
        </w:tc>
        <w:tc>
          <w:tcPr>
            <w:tcW w:type="dxa" w:w="1674"/>
          </w:tcPr>
          <w:p>
            <w:pPr>
              <w:pStyle w:val="MDPI42tablebody"/>
              <w:keepNext/>
              <w:spacing w:line="240" w:lineRule="auto" w:before="30" w:after="30"/>
              <w:jc w:val="left"/>
            </w:pPr>
            <w:r>
              <w:rPr>
                <w:b w:val="0"/>
                <w:i w:val="0"/>
                <w:sz w:val="18"/>
              </w:rPr>
              <w:t>0–1.6</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trait anxiety mean</w:t>
            </w:r>
          </w:p>
        </w:tc>
        <w:tc>
          <w:tcPr>
            <w:tcW w:type="dxa" w:w="1151"/>
          </w:tcPr>
          <w:p>
            <w:pPr>
              <w:pStyle w:val="MDPI42tablebody"/>
              <w:keepNext/>
              <w:spacing w:line="240" w:lineRule="auto" w:before="30" w:after="30"/>
              <w:jc w:val="left"/>
            </w:pPr>
            <w:r>
              <w:rPr>
                <w:b w:val="0"/>
                <w:i w:val="0"/>
                <w:sz w:val="18"/>
              </w:rPr>
              <w:t>0.1</w:t>
            </w:r>
          </w:p>
        </w:tc>
        <w:tc>
          <w:tcPr>
            <w:tcW w:type="dxa" w:w="3035"/>
          </w:tcPr>
          <w:p>
            <w:pPr>
              <w:pStyle w:val="MDPI42tablebody"/>
              <w:keepNext/>
              <w:spacing w:line="240" w:lineRule="auto" w:before="30" w:after="30"/>
              <w:jc w:val="left"/>
            </w:pPr>
            <w:r>
              <w:rPr>
                <w:b w:val="0"/>
                <w:i w:val="0"/>
                <w:sz w:val="18"/>
              </w:rPr>
              <w:t>units</w:t>
            </w:r>
          </w:p>
        </w:tc>
        <w:tc>
          <w:tcPr>
            <w:tcW w:type="dxa" w:w="1674"/>
          </w:tcPr>
          <w:p>
            <w:pPr>
              <w:pStyle w:val="MDPI42tablebody"/>
              <w:keepNext/>
              <w:spacing w:line="240" w:lineRule="auto" w:before="30" w:after="30"/>
              <w:jc w:val="left"/>
            </w:pPr>
            <w:r>
              <w:rPr>
                <w:b w:val="0"/>
                <w:i w:val="0"/>
                <w:sz w:val="18"/>
              </w:rPr>
              <w:t>0.1–1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uncertainty drift</w:t>
            </w:r>
          </w:p>
        </w:tc>
        <w:tc>
          <w:tcPr>
            <w:tcW w:type="dxa" w:w="1151"/>
          </w:tcPr>
          <w:p>
            <w:pPr>
              <w:pStyle w:val="MDPI42tablebody"/>
              <w:keepNext/>
              <w:spacing w:line="240" w:lineRule="auto" w:before="30" w:after="30"/>
              <w:jc w:val="left"/>
            </w:pPr>
            <w:r>
              <w:rPr>
                <w:b w:val="0"/>
                <w:i w:val="0"/>
                <w:sz w:val="18"/>
              </w:rPr>
              <w:t>0.02</w:t>
            </w:r>
          </w:p>
        </w:tc>
        <w:tc>
          <w:tcPr>
            <w:tcW w:type="dxa" w:w="3035"/>
          </w:tcPr>
          <w:p>
            <w:pPr>
              <w:pStyle w:val="MDPI42tablebody"/>
              <w:keepNext/>
              <w:spacing w:line="240" w:lineRule="auto" w:before="30" w:after="30"/>
              <w:jc w:val="left"/>
            </w:pPr>
            <w:r>
              <w:rPr>
                <w:b w:val="0"/>
                <w:i w:val="0"/>
                <w:sz w:val="18"/>
              </w:rPr>
              <w:t>units per week</w:t>
            </w:r>
          </w:p>
        </w:tc>
        <w:tc>
          <w:tcPr>
            <w:tcW w:type="dxa" w:w="1674"/>
          </w:tcPr>
          <w:p>
            <w:pPr>
              <w:pStyle w:val="MDPI42tablebody"/>
              <w:keepNext/>
              <w:spacing w:line="240" w:lineRule="auto" w:before="30" w:after="30"/>
              <w:jc w:val="left"/>
            </w:pPr>
            <w:r>
              <w:rPr>
                <w:b w:val="0"/>
                <w:i w:val="0"/>
                <w:sz w:val="18"/>
              </w:rPr>
              <w:t>0.005–0.045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weeks</w:t>
            </w:r>
          </w:p>
        </w:tc>
        <w:tc>
          <w:tcPr>
            <w:tcW w:type="dxa" w:w="1151"/>
          </w:tcPr>
          <w:p>
            <w:pPr>
              <w:pStyle w:val="MDPI42tablebody"/>
              <w:keepNext/>
              <w:spacing w:line="240" w:lineRule="auto" w:before="30" w:after="30"/>
              <w:jc w:val="left"/>
            </w:pPr>
            <w:r>
              <w:rPr>
                <w:b w:val="0"/>
                <w:i w:val="0"/>
                <w:sz w:val="18"/>
              </w:rPr>
              <w:t>30</w:t>
            </w:r>
          </w:p>
        </w:tc>
        <w:tc>
          <w:tcPr>
            <w:tcW w:type="dxa" w:w="3035"/>
          </w:tcPr>
          <w:p>
            <w:pPr>
              <w:pStyle w:val="MDPI42tablebody"/>
              <w:keepNext/>
              <w:spacing w:line="240" w:lineRule="auto" w:before="30" w:after="30"/>
              <w:jc w:val="left"/>
            </w:pPr>
            <w:r>
              <w:rPr>
                <w:b w:val="0"/>
                <w:i w:val="0"/>
                <w:sz w:val="18"/>
              </w:rPr>
              <w:t>weeks</w:t>
            </w:r>
          </w:p>
        </w:tc>
        <w:tc>
          <w:tcPr>
            <w:tcW w:type="dxa" w:w="1674"/>
          </w:tcPr>
          <w:p>
            <w:pPr>
              <w:pStyle w:val="MDPI42tablebody"/>
              <w:keepNext/>
              <w:spacing w:line="240" w:lineRule="auto" w:before="30" w:after="30"/>
              <w:jc w:val="left"/>
            </w:pPr>
            <w:r>
              <w:rPr>
                <w:b w:val="0"/>
                <w:i w:val="0"/>
                <w:sz w:val="18"/>
              </w:rPr>
              <w:t>16–44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721"/>
          </w:tcPr>
          <w:p>
            <w:pPr>
              <w:pStyle w:val="MDPI42tablebody"/>
              <w:keepNext/>
              <w:spacing w:line="240" w:lineRule="auto" w:before="30" w:after="30"/>
              <w:jc w:val="left"/>
            </w:pPr>
            <w:r>
              <w:rPr>
                <w:b w:val="0"/>
                <w:i w:val="0"/>
                <w:sz w:val="18"/>
              </w:rPr>
              <w:t>yield rate</w:t>
            </w:r>
          </w:p>
        </w:tc>
        <w:tc>
          <w:tcPr>
            <w:tcW w:type="dxa" w:w="1151"/>
          </w:tcPr>
          <w:p>
            <w:pPr>
              <w:pStyle w:val="MDPI42tablebody"/>
              <w:keepNext/>
              <w:spacing w:line="240" w:lineRule="auto" w:before="30" w:after="30"/>
              <w:jc w:val="left"/>
            </w:pPr>
            <w:r>
              <w:rPr>
                <w:b w:val="0"/>
                <w:i w:val="0"/>
                <w:sz w:val="18"/>
              </w:rPr>
              <w:t>0.22</w:t>
            </w:r>
          </w:p>
        </w:tc>
        <w:tc>
          <w:tcPr>
            <w:tcW w:type="dxa" w:w="3035"/>
          </w:tcPr>
          <w:p>
            <w:pPr>
              <w:pStyle w:val="MDPI42tablebody"/>
              <w:keepNext/>
              <w:spacing w:line="240" w:lineRule="auto" w:before="30" w:after="30"/>
              <w:jc w:val="left"/>
            </w:pPr>
            <w:r>
              <w:rPr>
                <w:b w:val="0"/>
                <w:i w:val="0"/>
                <w:sz w:val="18"/>
              </w:rPr>
              <w:t>share of uncertainty per unit effort</w:t>
            </w:r>
          </w:p>
        </w:tc>
        <w:tc>
          <w:tcPr>
            <w:tcW w:type="dxa" w:w="1674"/>
          </w:tcPr>
          <w:p>
            <w:pPr>
              <w:pStyle w:val="MDPI42tablebody"/>
              <w:keepNext/>
              <w:spacing w:line="240" w:lineRule="auto" w:before="30" w:after="30"/>
              <w:jc w:val="left"/>
            </w:pPr>
            <w:r>
              <w:rPr>
                <w:b w:val="0"/>
                <w:i w:val="0"/>
                <w:sz w:val="18"/>
              </w:rPr>
              <w:t>0.1–0.4</w:t>
            </w:r>
          </w:p>
        </w:tc>
        <w:tc>
          <w:tcPr>
            <w:tcW w:type="dxa" w:w="1883"/>
          </w:tcPr>
          <w:p>
            <w:pPr>
              <w:pStyle w:val="MDPI42tablebody"/>
              <w:keepNext/>
              <w:spacing w:line="240" w:lineRule="auto" w:before="30" w:after="30"/>
              <w:jc w:val="center"/>
            </w:pPr>
            <w:r>
              <w:rPr>
                <w:b w:val="0"/>
                <w:i w:val="0"/>
                <w:sz w:val="18"/>
              </w:rPr>
              <w:t>Assumed</w:t>
            </w:r>
          </w:p>
        </w:tc>
      </w:tr>
    </w:tbl>
    <w:p>
      <w:pPr>
        <w:pStyle w:val="MDPI43tablefooter"/>
        <w:keepLines/>
        <w:spacing w:line="240" w:lineRule="auto" w:before="40" w:after="200"/>
        <w:ind w:left="2608" w:firstLine="0"/>
      </w:pPr>
      <w:r>
        <w:rPr>
          <w:sz w:val="16"/>
        </w:rPr>
        <w:t xml:space="preserve">Note: </w:t>
      </w:r>
      <w:r>
        <w:rPr>
          <w:b w:val="0"/>
          <w:i w:val="0"/>
          <w:sz w:val="16"/>
        </w:rPr>
        <w:t>Of 32 parameters, 1 are bounded by a cited source and 31 are modelling choices. The table is generated from the registry the code reads, so it cannot disagree with the values actually used. Source: authors’ simulation.</w:t>
      </w:r>
    </w:p>
    <w:p>
      <w:pPr>
        <w:pStyle w:val="MDPI21heading1"/>
        <w:ind w:left="0" w:firstLine="0"/>
      </w:pPr>
      <w:r>
        <w:t>References</w:t>
      </w:r>
    </w:p>
    <w:p>
      <w:pPr>
        <w:pStyle w:val="MDPI32textnoindent"/>
        <w:spacing w:line="240" w:lineRule="auto" w:before="0" w:after="40"/>
        <w:ind w:left="425" w:hanging="425"/>
      </w:pPr>
      <w:r>
        <w:rPr>
          <w:b w:val="0"/>
          <w:i w:val="0"/>
          <w:sz w:val="18"/>
        </w:rPr>
        <w:t xml:space="preserve">Aiken, L. S., &amp; West, S. G. </w:t>
      </w:r>
      <w:r>
        <w:rPr>
          <w:b w:val="0"/>
          <w:i w:val="0"/>
          <w:sz w:val="18"/>
        </w:rPr>
        <w:t xml:space="preserve">(1991). </w:t>
      </w:r>
      <w:r>
        <w:rPr>
          <w:b w:val="0"/>
          <w:i/>
          <w:sz w:val="18"/>
        </w:rPr>
        <w:t>Multiple regression: Testing and interpreting interactions</w:t>
      </w:r>
      <w:r>
        <w:rPr>
          <w:b w:val="0"/>
          <w:i w:val="0"/>
          <w:sz w:val="18"/>
        </w:rPr>
        <w:t>. Sage Publications.</w:t>
      </w:r>
    </w:p>
    <w:p>
      <w:pPr>
        <w:pStyle w:val="MDPI32textnoindent"/>
        <w:spacing w:line="240" w:lineRule="auto" w:before="0" w:after="40"/>
        <w:ind w:left="425" w:hanging="425"/>
      </w:pPr>
      <w:r>
        <w:rPr>
          <w:b w:val="0"/>
          <w:i w:val="0"/>
          <w:sz w:val="18"/>
        </w:rPr>
        <w:t xml:space="preserve">Anderson, C. J. </w:t>
      </w:r>
      <w:r>
        <w:rPr>
          <w:b w:val="0"/>
          <w:i w:val="0"/>
          <w:sz w:val="18"/>
        </w:rPr>
        <w:t xml:space="preserve">(2003). </w:t>
      </w:r>
      <w:r>
        <w:rPr>
          <w:b w:val="0"/>
          <w:i w:val="0"/>
          <w:sz w:val="18"/>
        </w:rPr>
        <w:t xml:space="preserve">The psychology of doing nothing: Forms of decision avoidance result from reason and emotion. </w:t>
      </w:r>
      <w:r>
        <w:rPr>
          <w:b w:val="0"/>
          <w:i/>
          <w:sz w:val="18"/>
        </w:rPr>
        <w:t>Psychological Bulletin</w:t>
      </w:r>
      <w:r>
        <w:rPr>
          <w:b w:val="0"/>
          <w:i w:val="0"/>
          <w:sz w:val="18"/>
        </w:rPr>
        <w:t xml:space="preserve">, </w:t>
      </w:r>
      <w:r>
        <w:rPr>
          <w:b w:val="0"/>
          <w:i/>
          <w:sz w:val="18"/>
        </w:rPr>
        <w:t>129</w:t>
      </w:r>
      <w:r>
        <w:rPr>
          <w:b w:val="0"/>
          <w:i w:val="0"/>
          <w:sz w:val="18"/>
        </w:rPr>
        <w:t>(1)</w:t>
      </w:r>
      <w:r>
        <w:rPr>
          <w:b w:val="0"/>
          <w:i w:val="0"/>
          <w:sz w:val="18"/>
        </w:rPr>
        <w:t>, 139–167</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Bandura, A. </w:t>
      </w:r>
      <w:r>
        <w:rPr>
          <w:b w:val="0"/>
          <w:i w:val="0"/>
          <w:sz w:val="18"/>
        </w:rPr>
        <w:t xml:space="preserve">(1997). </w:t>
      </w:r>
      <w:r>
        <w:rPr>
          <w:b w:val="0"/>
          <w:i/>
          <w:sz w:val="18"/>
        </w:rPr>
        <w:t>Self-efficacy: The exercise of control</w:t>
      </w:r>
      <w:r>
        <w:rPr>
          <w:b w:val="0"/>
          <w:i w:val="0"/>
          <w:sz w:val="18"/>
        </w:rPr>
        <w:t>. W. H. Freeman.</w:t>
      </w:r>
    </w:p>
    <w:p>
      <w:pPr>
        <w:pStyle w:val="MDPI32textnoindent"/>
        <w:spacing w:line="240" w:lineRule="auto" w:before="0" w:after="40"/>
        <w:ind w:left="425" w:hanging="425"/>
      </w:pPr>
      <w:r>
        <w:rPr>
          <w:b w:val="0"/>
          <w:i w:val="0"/>
          <w:sz w:val="18"/>
        </w:rPr>
        <w:t xml:space="preserve">Bi, Y., Mou, S., Wang, G., &amp; Liao, M. </w:t>
      </w:r>
      <w:r>
        <w:rPr>
          <w:b w:val="0"/>
          <w:i w:val="0"/>
          <w:sz w:val="18"/>
        </w:rPr>
        <w:t xml:space="preserve">(2023). </w:t>
      </w:r>
      <w:r>
        <w:rPr>
          <w:b w:val="0"/>
          <w:i w:val="0"/>
          <w:sz w:val="18"/>
        </w:rPr>
        <w:t xml:space="preserve">The relationship between professional self-concept and career decision-making difficulties among postgraduate nursing students in China: The mediating role of career decision-making self-efficacy. </w:t>
      </w:r>
      <w:r>
        <w:rPr>
          <w:b w:val="0"/>
          <w:i/>
          <w:sz w:val="18"/>
        </w:rPr>
        <w:t>Frontiers in Psychology</w:t>
      </w:r>
      <w:r>
        <w:rPr>
          <w:b w:val="0"/>
          <w:i w:val="0"/>
          <w:sz w:val="18"/>
        </w:rPr>
        <w:t xml:space="preserve">, </w:t>
      </w:r>
      <w:r>
        <w:rPr>
          <w:b w:val="0"/>
          <w:i/>
          <w:sz w:val="18"/>
        </w:rPr>
        <w:t>14</w:t>
      </w:r>
      <w:r>
        <w:rPr>
          <w:b w:val="0"/>
          <w:i w:val="0"/>
          <w:sz w:val="18"/>
        </w:rPr>
        <w:t>, 1198974</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Campagna, C. G., &amp; Curtis, G. J. </w:t>
      </w:r>
      <w:r>
        <w:rPr>
          <w:b w:val="0"/>
          <w:i w:val="0"/>
          <w:sz w:val="18"/>
        </w:rPr>
        <w:t xml:space="preserve">(2007). </w:t>
      </w:r>
      <w:r>
        <w:rPr>
          <w:b w:val="0"/>
          <w:i w:val="0"/>
          <w:sz w:val="18"/>
        </w:rPr>
        <w:t xml:space="preserve">So worried I don’t know what to be: Anxiety is associated with increased career indecision and reduced career certainty. </w:t>
      </w:r>
      <w:r>
        <w:rPr>
          <w:b w:val="0"/>
          <w:i/>
          <w:sz w:val="18"/>
        </w:rPr>
        <w:t>Australian Journal of Guidance &amp; Counselling</w:t>
      </w:r>
      <w:r>
        <w:rPr>
          <w:b w:val="0"/>
          <w:i w:val="0"/>
          <w:sz w:val="18"/>
        </w:rPr>
        <w:t xml:space="preserve">, </w:t>
      </w:r>
      <w:r>
        <w:rPr>
          <w:b w:val="0"/>
          <w:i/>
          <w:sz w:val="18"/>
        </w:rPr>
        <w:t>17</w:t>
      </w:r>
      <w:r>
        <w:rPr>
          <w:b w:val="0"/>
          <w:i w:val="0"/>
          <w:sz w:val="18"/>
        </w:rPr>
        <w:t>(1)</w:t>
      </w:r>
      <w:r>
        <w:rPr>
          <w:b w:val="0"/>
          <w:i w:val="0"/>
          <w:sz w:val="18"/>
        </w:rPr>
        <w:t>, 91–96</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Choi, B. Y., Park, H., Yang, E., Lee, S. K., Lee, Y., &amp; Lee, S. M. </w:t>
      </w:r>
      <w:r>
        <w:rPr>
          <w:b w:val="0"/>
          <w:i w:val="0"/>
          <w:sz w:val="18"/>
        </w:rPr>
        <w:t xml:space="preserve">(2012). </w:t>
      </w:r>
      <w:r>
        <w:rPr>
          <w:b w:val="0"/>
          <w:i w:val="0"/>
          <w:sz w:val="18"/>
        </w:rPr>
        <w:t xml:space="preserve">Understanding career decision self-efficacy: A meta-analytic approach. </w:t>
      </w:r>
      <w:r>
        <w:rPr>
          <w:b w:val="0"/>
          <w:i/>
          <w:sz w:val="18"/>
        </w:rPr>
        <w:t>Journal of Career Development</w:t>
      </w:r>
      <w:r>
        <w:rPr>
          <w:b w:val="0"/>
          <w:i w:val="0"/>
          <w:sz w:val="18"/>
        </w:rPr>
        <w:t xml:space="preserve">, </w:t>
      </w:r>
      <w:r>
        <w:rPr>
          <w:b w:val="0"/>
          <w:i/>
          <w:sz w:val="18"/>
        </w:rPr>
        <w:t>39</w:t>
      </w:r>
      <w:r>
        <w:rPr>
          <w:b w:val="0"/>
          <w:i w:val="0"/>
          <w:sz w:val="18"/>
        </w:rPr>
        <w:t>(5)</w:t>
      </w:r>
      <w:r>
        <w:rPr>
          <w:b w:val="0"/>
          <w:i w:val="0"/>
          <w:sz w:val="18"/>
        </w:rPr>
        <w:t>, 443–460</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Cole, D. A., &amp; Preacher, K. J. </w:t>
      </w:r>
      <w:r>
        <w:rPr>
          <w:b w:val="0"/>
          <w:i w:val="0"/>
          <w:sz w:val="18"/>
        </w:rPr>
        <w:t xml:space="preserve">(2014). </w:t>
      </w:r>
      <w:r>
        <w:rPr>
          <w:b w:val="0"/>
          <w:i w:val="0"/>
          <w:sz w:val="18"/>
        </w:rPr>
        <w:t xml:space="preserve">Manifest variable path analysis: Potentially serious and misleading consequences due to uncorrected measurement error. </w:t>
      </w:r>
      <w:r>
        <w:rPr>
          <w:b w:val="0"/>
          <w:i/>
          <w:sz w:val="18"/>
        </w:rPr>
        <w:t>Psychological Methods</w:t>
      </w:r>
      <w:r>
        <w:rPr>
          <w:b w:val="0"/>
          <w:i w:val="0"/>
          <w:sz w:val="18"/>
        </w:rPr>
        <w:t xml:space="preserve">, </w:t>
      </w:r>
      <w:r>
        <w:rPr>
          <w:b w:val="0"/>
          <w:i/>
          <w:sz w:val="18"/>
        </w:rPr>
        <w:t>19</w:t>
      </w:r>
      <w:r>
        <w:rPr>
          <w:b w:val="0"/>
          <w:i w:val="0"/>
          <w:sz w:val="18"/>
        </w:rPr>
        <w:t>(2)</w:t>
      </w:r>
      <w:r>
        <w:rPr>
          <w:b w:val="0"/>
          <w:i w:val="0"/>
          <w:sz w:val="18"/>
        </w:rPr>
        <w:t>, 300–315</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Dietrich, J., &amp; Kracke, B. </w:t>
      </w:r>
      <w:r>
        <w:rPr>
          <w:b w:val="0"/>
          <w:i w:val="0"/>
          <w:sz w:val="18"/>
        </w:rPr>
        <w:t xml:space="preserve">(2009). </w:t>
      </w:r>
      <w:r>
        <w:rPr>
          <w:b w:val="0"/>
          <w:i w:val="0"/>
          <w:sz w:val="18"/>
        </w:rPr>
        <w:t xml:space="preserve">Career-specific parental behaviors in adolescents’ development. </w:t>
      </w:r>
      <w:r>
        <w:rPr>
          <w:b w:val="0"/>
          <w:i/>
          <w:sz w:val="18"/>
        </w:rPr>
        <w:t>Journal of Vocational Behavior</w:t>
      </w:r>
      <w:r>
        <w:rPr>
          <w:b w:val="0"/>
          <w:i w:val="0"/>
          <w:sz w:val="18"/>
        </w:rPr>
        <w:t xml:space="preserve">, </w:t>
      </w:r>
      <w:r>
        <w:rPr>
          <w:b w:val="0"/>
          <w:i/>
          <w:sz w:val="18"/>
        </w:rPr>
        <w:t>75</w:t>
      </w:r>
      <w:r>
        <w:rPr>
          <w:b w:val="0"/>
          <w:i w:val="0"/>
          <w:sz w:val="18"/>
        </w:rPr>
        <w:t>(2)</w:t>
      </w:r>
      <w:r>
        <w:rPr>
          <w:b w:val="0"/>
          <w:i w:val="0"/>
          <w:sz w:val="18"/>
        </w:rPr>
        <w:t>, 109–119</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Eysenck, M. W., &amp; Calvo, M. G. </w:t>
      </w:r>
      <w:r>
        <w:rPr>
          <w:b w:val="0"/>
          <w:i w:val="0"/>
          <w:sz w:val="18"/>
        </w:rPr>
        <w:t xml:space="preserve">(1992). </w:t>
      </w:r>
      <w:r>
        <w:rPr>
          <w:b w:val="0"/>
          <w:i w:val="0"/>
          <w:sz w:val="18"/>
        </w:rPr>
        <w:t xml:space="preserve">Anxiety and performance: The processing efficiency theory. </w:t>
      </w:r>
      <w:r>
        <w:rPr>
          <w:b w:val="0"/>
          <w:i/>
          <w:sz w:val="18"/>
        </w:rPr>
        <w:t>Cognition &amp; Emotion</w:t>
      </w:r>
      <w:r>
        <w:rPr>
          <w:b w:val="0"/>
          <w:i w:val="0"/>
          <w:sz w:val="18"/>
        </w:rPr>
        <w:t xml:space="preserve">, </w:t>
      </w:r>
      <w:r>
        <w:rPr>
          <w:b w:val="0"/>
          <w:i/>
          <w:sz w:val="18"/>
        </w:rPr>
        <w:t>6</w:t>
      </w:r>
      <w:r>
        <w:rPr>
          <w:b w:val="0"/>
          <w:i w:val="0"/>
          <w:sz w:val="18"/>
        </w:rPr>
        <w:t>(6)</w:t>
      </w:r>
      <w:r>
        <w:rPr>
          <w:b w:val="0"/>
          <w:i w:val="0"/>
          <w:sz w:val="18"/>
        </w:rPr>
        <w:t>, 409–434</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Eysenck, M. W., Derakshan, N., Santos, R., &amp; Calvo, M. G. </w:t>
      </w:r>
      <w:r>
        <w:rPr>
          <w:b w:val="0"/>
          <w:i w:val="0"/>
          <w:sz w:val="18"/>
        </w:rPr>
        <w:t xml:space="preserve">(2007). </w:t>
      </w:r>
      <w:r>
        <w:rPr>
          <w:b w:val="0"/>
          <w:i w:val="0"/>
          <w:sz w:val="18"/>
        </w:rPr>
        <w:t xml:space="preserve">Anxiety and cognitive performance: Attentional control theory. </w:t>
      </w:r>
      <w:r>
        <w:rPr>
          <w:b w:val="0"/>
          <w:i/>
          <w:sz w:val="18"/>
        </w:rPr>
        <w:t>Emotion</w:t>
      </w:r>
      <w:r>
        <w:rPr>
          <w:b w:val="0"/>
          <w:i w:val="0"/>
          <w:sz w:val="18"/>
        </w:rPr>
        <w:t xml:space="preserve">, </w:t>
      </w:r>
      <w:r>
        <w:rPr>
          <w:b w:val="0"/>
          <w:i/>
          <w:sz w:val="18"/>
        </w:rPr>
        <w:t>7</w:t>
      </w:r>
      <w:r>
        <w:rPr>
          <w:b w:val="0"/>
          <w:i w:val="0"/>
          <w:sz w:val="18"/>
        </w:rPr>
        <w:t>(2)</w:t>
      </w:r>
      <w:r>
        <w:rPr>
          <w:b w:val="0"/>
          <w:i w:val="0"/>
          <w:sz w:val="18"/>
        </w:rPr>
        <w:t>, 336–353</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Fuqua, D. R., Seaworth, T. B., &amp; Newman, J. L. </w:t>
      </w:r>
      <w:r>
        <w:rPr>
          <w:b w:val="0"/>
          <w:i w:val="0"/>
          <w:sz w:val="18"/>
        </w:rPr>
        <w:t xml:space="preserve">(1987). </w:t>
      </w:r>
      <w:r>
        <w:rPr>
          <w:b w:val="0"/>
          <w:i w:val="0"/>
          <w:sz w:val="18"/>
        </w:rPr>
        <w:t xml:space="preserve">The relationship of career indecision and anxiety: A multivariate examination. </w:t>
      </w:r>
      <w:r>
        <w:rPr>
          <w:b w:val="0"/>
          <w:i/>
          <w:sz w:val="18"/>
        </w:rPr>
        <w:t>Journal of Vocational Behavior</w:t>
      </w:r>
      <w:r>
        <w:rPr>
          <w:b w:val="0"/>
          <w:i w:val="0"/>
          <w:sz w:val="18"/>
        </w:rPr>
        <w:t xml:space="preserve">, </w:t>
      </w:r>
      <w:r>
        <w:rPr>
          <w:b w:val="0"/>
          <w:i/>
          <w:sz w:val="18"/>
        </w:rPr>
        <w:t>30</w:t>
      </w:r>
      <w:r>
        <w:rPr>
          <w:b w:val="0"/>
          <w:i w:val="0"/>
          <w:sz w:val="18"/>
        </w:rPr>
        <w:t>(2)</w:t>
      </w:r>
      <w:r>
        <w:rPr>
          <w:b w:val="0"/>
          <w:i w:val="0"/>
          <w:sz w:val="18"/>
        </w:rPr>
        <w:t>, 175–186</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Gati, I., Krausz, M., &amp; Osipow, S. H. </w:t>
      </w:r>
      <w:r>
        <w:rPr>
          <w:b w:val="0"/>
          <w:i w:val="0"/>
          <w:sz w:val="18"/>
        </w:rPr>
        <w:t xml:space="preserve">(1996). </w:t>
      </w:r>
      <w:r>
        <w:rPr>
          <w:b w:val="0"/>
          <w:i w:val="0"/>
          <w:sz w:val="18"/>
        </w:rPr>
        <w:t xml:space="preserve">A taxonomy of difficulties in career decision making. </w:t>
      </w:r>
      <w:r>
        <w:rPr>
          <w:b w:val="0"/>
          <w:i/>
          <w:sz w:val="18"/>
        </w:rPr>
        <w:t>Journal of Counseling Psychology</w:t>
      </w:r>
      <w:r>
        <w:rPr>
          <w:b w:val="0"/>
          <w:i w:val="0"/>
          <w:sz w:val="18"/>
        </w:rPr>
        <w:t xml:space="preserve">, </w:t>
      </w:r>
      <w:r>
        <w:rPr>
          <w:b w:val="0"/>
          <w:i/>
          <w:sz w:val="18"/>
        </w:rPr>
        <w:t>43</w:t>
      </w:r>
      <w:r>
        <w:rPr>
          <w:b w:val="0"/>
          <w:i w:val="0"/>
          <w:sz w:val="18"/>
        </w:rPr>
        <w:t>(4)</w:t>
      </w:r>
      <w:r>
        <w:rPr>
          <w:b w:val="0"/>
          <w:i w:val="0"/>
          <w:sz w:val="18"/>
        </w:rPr>
        <w:t>, 510–526</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Guan, Y., Zhuang, M., Cai, Z., Ding, Y., Wang, Y., Huang, Z., &amp; Lai, X. </w:t>
      </w:r>
      <w:r>
        <w:rPr>
          <w:b w:val="0"/>
          <w:i w:val="0"/>
          <w:sz w:val="18"/>
        </w:rPr>
        <w:t xml:space="preserve">(2017). </w:t>
      </w:r>
      <w:r>
        <w:rPr>
          <w:b w:val="0"/>
          <w:i w:val="0"/>
          <w:sz w:val="18"/>
        </w:rPr>
        <w:t xml:space="preserve">Modeling dynamics in career construction: Reciprocal relationship between future work self and career exploration. </w:t>
      </w:r>
      <w:r>
        <w:rPr>
          <w:b w:val="0"/>
          <w:i/>
          <w:sz w:val="18"/>
        </w:rPr>
        <w:t>Journal of Vocational Behavior</w:t>
      </w:r>
      <w:r>
        <w:rPr>
          <w:b w:val="0"/>
          <w:i w:val="0"/>
          <w:sz w:val="18"/>
        </w:rPr>
        <w:t xml:space="preserve">, </w:t>
      </w:r>
      <w:r>
        <w:rPr>
          <w:b w:val="0"/>
          <w:i/>
          <w:sz w:val="18"/>
        </w:rPr>
        <w:t>101</w:t>
      </w:r>
      <w:r>
        <w:rPr>
          <w:b w:val="0"/>
          <w:i w:val="0"/>
          <w:sz w:val="18"/>
        </w:rPr>
        <w:t>, 21–31</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Guay, F., Ratelle, C. F., Senécal, C., Larose, S., &amp; Deschênes, A. </w:t>
      </w:r>
      <w:r>
        <w:rPr>
          <w:b w:val="0"/>
          <w:i w:val="0"/>
          <w:sz w:val="18"/>
        </w:rPr>
        <w:t xml:space="preserve">(2006). </w:t>
      </w:r>
      <w:r>
        <w:rPr>
          <w:b w:val="0"/>
          <w:i w:val="0"/>
          <w:sz w:val="18"/>
        </w:rPr>
        <w:t xml:space="preserve">Distinguishing developmental from chronic career indecision: Self-efficacy, autonomy, and social support. </w:t>
      </w:r>
      <w:r>
        <w:rPr>
          <w:b w:val="0"/>
          <w:i/>
          <w:sz w:val="18"/>
        </w:rPr>
        <w:t>Journal of Career Assessment</w:t>
      </w:r>
      <w:r>
        <w:rPr>
          <w:b w:val="0"/>
          <w:i w:val="0"/>
          <w:sz w:val="18"/>
        </w:rPr>
        <w:t xml:space="preserve">, </w:t>
      </w:r>
      <w:r>
        <w:rPr>
          <w:b w:val="0"/>
          <w:i/>
          <w:sz w:val="18"/>
        </w:rPr>
        <w:t>14</w:t>
      </w:r>
      <w:r>
        <w:rPr>
          <w:b w:val="0"/>
          <w:i w:val="0"/>
          <w:sz w:val="18"/>
        </w:rPr>
        <w:t>(2)</w:t>
      </w:r>
      <w:r>
        <w:rPr>
          <w:b w:val="0"/>
          <w:i w:val="0"/>
          <w:sz w:val="18"/>
        </w:rPr>
        <w:t>, 235–251</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Guay, F., Senécal, C., Gauthier, L., &amp; Fernet, C. </w:t>
      </w:r>
      <w:r>
        <w:rPr>
          <w:b w:val="0"/>
          <w:i w:val="0"/>
          <w:sz w:val="18"/>
        </w:rPr>
        <w:t xml:space="preserve">(2003). </w:t>
      </w:r>
      <w:r>
        <w:rPr>
          <w:b w:val="0"/>
          <w:i w:val="0"/>
          <w:sz w:val="18"/>
        </w:rPr>
        <w:t xml:space="preserve">Predicting career indecision: A self-determination theory perspective. </w:t>
      </w:r>
      <w:r>
        <w:rPr>
          <w:b w:val="0"/>
          <w:i/>
          <w:sz w:val="18"/>
        </w:rPr>
        <w:t>Journal of Counseling Psychology</w:t>
      </w:r>
      <w:r>
        <w:rPr>
          <w:b w:val="0"/>
          <w:i w:val="0"/>
          <w:sz w:val="18"/>
        </w:rPr>
        <w:t xml:space="preserve">, </w:t>
      </w:r>
      <w:r>
        <w:rPr>
          <w:b w:val="0"/>
          <w:i/>
          <w:sz w:val="18"/>
        </w:rPr>
        <w:t>50</w:t>
      </w:r>
      <w:r>
        <w:rPr>
          <w:b w:val="0"/>
          <w:i w:val="0"/>
          <w:sz w:val="18"/>
        </w:rPr>
        <w:t>(2)</w:t>
      </w:r>
      <w:r>
        <w:rPr>
          <w:b w:val="0"/>
          <w:i w:val="0"/>
          <w:sz w:val="18"/>
        </w:rPr>
        <w:t>, 165–177</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Hayes, A. F. </w:t>
      </w:r>
      <w:r>
        <w:rPr>
          <w:b w:val="0"/>
          <w:i w:val="0"/>
          <w:sz w:val="18"/>
        </w:rPr>
        <w:t xml:space="preserve">(2018). </w:t>
      </w:r>
      <w:r>
        <w:rPr>
          <w:b w:val="0"/>
          <w:i/>
          <w:sz w:val="18"/>
        </w:rPr>
        <w:t>Introduction to mediation, moderation, and conditional process analysis: A regression-based approach</w:t>
      </w:r>
      <w:r>
        <w:rPr>
          <w:b w:val="0"/>
          <w:i w:val="0"/>
          <w:sz w:val="18"/>
        </w:rPr>
        <w:t xml:space="preserve"> (2nd ed.)</w:t>
      </w:r>
      <w:r>
        <w:rPr>
          <w:b w:val="0"/>
          <w:i w:val="0"/>
          <w:sz w:val="18"/>
        </w:rPr>
        <w:t>. The Guilford Press.</w:t>
      </w:r>
    </w:p>
    <w:p>
      <w:pPr>
        <w:pStyle w:val="MDPI32textnoindent"/>
        <w:spacing w:line="240" w:lineRule="auto" w:before="0" w:after="40"/>
        <w:ind w:left="425" w:hanging="425"/>
      </w:pPr>
      <w:r>
        <w:rPr>
          <w:b w:val="0"/>
          <w:i w:val="0"/>
          <w:sz w:val="18"/>
        </w:rPr>
        <w:t xml:space="preserve">Jaensch, V. K., Hirschi, A., &amp; Freund, P. A. </w:t>
      </w:r>
      <w:r>
        <w:rPr>
          <w:b w:val="0"/>
          <w:i w:val="0"/>
          <w:sz w:val="18"/>
        </w:rPr>
        <w:t xml:space="preserve">(2015). </w:t>
      </w:r>
      <w:r>
        <w:rPr>
          <w:b w:val="0"/>
          <w:i w:val="0"/>
          <w:sz w:val="18"/>
        </w:rPr>
        <w:t xml:space="preserve">Persistent career indecision over time: Links with personality, barriers, self-efficacy, and life satisfaction. </w:t>
      </w:r>
      <w:r>
        <w:rPr>
          <w:b w:val="0"/>
          <w:i/>
          <w:sz w:val="18"/>
        </w:rPr>
        <w:t>Journal of Vocational Behavior</w:t>
      </w:r>
      <w:r>
        <w:rPr>
          <w:b w:val="0"/>
          <w:i w:val="0"/>
          <w:sz w:val="18"/>
        </w:rPr>
        <w:t xml:space="preserve">, </w:t>
      </w:r>
      <w:r>
        <w:rPr>
          <w:b w:val="0"/>
          <w:i/>
          <w:sz w:val="18"/>
        </w:rPr>
        <w:t>91</w:t>
      </w:r>
      <w:r>
        <w:rPr>
          <w:b w:val="0"/>
          <w:i w:val="0"/>
          <w:sz w:val="18"/>
        </w:rPr>
        <w:t>, 122–133</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Kleine, A.-K., Schmitt, A., &amp; Wisse, B. </w:t>
      </w:r>
      <w:r>
        <w:rPr>
          <w:b w:val="0"/>
          <w:i w:val="0"/>
          <w:sz w:val="18"/>
        </w:rPr>
        <w:t xml:space="preserve">(2021). </w:t>
      </w:r>
      <w:r>
        <w:rPr>
          <w:b w:val="0"/>
          <w:i w:val="0"/>
          <w:sz w:val="18"/>
        </w:rPr>
        <w:t xml:space="preserve">Students’ career exploration: A meta-analysis. </w:t>
      </w:r>
      <w:r>
        <w:rPr>
          <w:b w:val="0"/>
          <w:i/>
          <w:sz w:val="18"/>
        </w:rPr>
        <w:t>Journal of Vocational Behavior</w:t>
      </w:r>
      <w:r>
        <w:rPr>
          <w:b w:val="0"/>
          <w:i w:val="0"/>
          <w:sz w:val="18"/>
        </w:rPr>
        <w:t xml:space="preserve">, </w:t>
      </w:r>
      <w:r>
        <w:rPr>
          <w:b w:val="0"/>
          <w:i/>
          <w:sz w:val="18"/>
        </w:rPr>
        <w:t>131</w:t>
      </w:r>
      <w:r>
        <w:rPr>
          <w:b w:val="0"/>
          <w:i w:val="0"/>
          <w:sz w:val="18"/>
        </w:rPr>
        <w:t>, 103645</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Lent, R. W., &amp; Brown, S. D. </w:t>
      </w:r>
      <w:r>
        <w:rPr>
          <w:b w:val="0"/>
          <w:i w:val="0"/>
          <w:sz w:val="18"/>
        </w:rPr>
        <w:t xml:space="preserve">(2013). </w:t>
      </w:r>
      <w:r>
        <w:rPr>
          <w:b w:val="0"/>
          <w:i w:val="0"/>
          <w:sz w:val="18"/>
        </w:rPr>
        <w:t xml:space="preserve">Social cognitive model of career self-management: Toward a unifying view of adaptive career behavior across the life span. </w:t>
      </w:r>
      <w:r>
        <w:rPr>
          <w:b w:val="0"/>
          <w:i/>
          <w:sz w:val="18"/>
        </w:rPr>
        <w:t>Journal of Counseling Psychology</w:t>
      </w:r>
      <w:r>
        <w:rPr>
          <w:b w:val="0"/>
          <w:i w:val="0"/>
          <w:sz w:val="18"/>
        </w:rPr>
        <w:t xml:space="preserve">, </w:t>
      </w:r>
      <w:r>
        <w:rPr>
          <w:b w:val="0"/>
          <w:i/>
          <w:sz w:val="18"/>
        </w:rPr>
        <w:t>60</w:t>
      </w:r>
      <w:r>
        <w:rPr>
          <w:b w:val="0"/>
          <w:i w:val="0"/>
          <w:sz w:val="18"/>
        </w:rPr>
        <w:t>(4)</w:t>
      </w:r>
      <w:r>
        <w:rPr>
          <w:b w:val="0"/>
          <w:i w:val="0"/>
          <w:sz w:val="18"/>
        </w:rPr>
        <w:t>, 557–568</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Lent, R. W., Brown, S. D., &amp; Hackett, G. </w:t>
      </w:r>
      <w:r>
        <w:rPr>
          <w:b w:val="0"/>
          <w:i w:val="0"/>
          <w:sz w:val="18"/>
        </w:rPr>
        <w:t xml:space="preserve">(1994). </w:t>
      </w:r>
      <w:r>
        <w:rPr>
          <w:b w:val="0"/>
          <w:i w:val="0"/>
          <w:sz w:val="18"/>
        </w:rPr>
        <w:t xml:space="preserve">Toward a unifying social cognitive theory of career and academic interest, choice, and performance. </w:t>
      </w:r>
      <w:r>
        <w:rPr>
          <w:b w:val="0"/>
          <w:i/>
          <w:sz w:val="18"/>
        </w:rPr>
        <w:t>Journal of Vocational Behavior</w:t>
      </w:r>
      <w:r>
        <w:rPr>
          <w:b w:val="0"/>
          <w:i w:val="0"/>
          <w:sz w:val="18"/>
        </w:rPr>
        <w:t xml:space="preserve">, </w:t>
      </w:r>
      <w:r>
        <w:rPr>
          <w:b w:val="0"/>
          <w:i/>
          <w:sz w:val="18"/>
        </w:rPr>
        <w:t>45</w:t>
      </w:r>
      <w:r>
        <w:rPr>
          <w:b w:val="0"/>
          <w:i w:val="0"/>
          <w:sz w:val="18"/>
        </w:rPr>
        <w:t>(1)</w:t>
      </w:r>
      <w:r>
        <w:rPr>
          <w:b w:val="0"/>
          <w:i w:val="0"/>
          <w:sz w:val="18"/>
        </w:rPr>
        <w:t>, 79–122</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Lent, R. W., Brown, S. D., &amp; Hackett, G. </w:t>
      </w:r>
      <w:r>
        <w:rPr>
          <w:b w:val="0"/>
          <w:i w:val="0"/>
          <w:sz w:val="18"/>
        </w:rPr>
        <w:t xml:space="preserve">(2000). </w:t>
      </w:r>
      <w:r>
        <w:rPr>
          <w:b w:val="0"/>
          <w:i w:val="0"/>
          <w:sz w:val="18"/>
        </w:rPr>
        <w:t xml:space="preserve">Contextual supports and barriers to career choice: A social cognitive analysis. </w:t>
      </w:r>
      <w:r>
        <w:rPr>
          <w:b w:val="0"/>
          <w:i/>
          <w:sz w:val="18"/>
        </w:rPr>
        <w:t>Journal of Counseling Psychology</w:t>
      </w:r>
      <w:r>
        <w:rPr>
          <w:b w:val="0"/>
          <w:i w:val="0"/>
          <w:sz w:val="18"/>
        </w:rPr>
        <w:t xml:space="preserve">, </w:t>
      </w:r>
      <w:r>
        <w:rPr>
          <w:b w:val="0"/>
          <w:i/>
          <w:sz w:val="18"/>
        </w:rPr>
        <w:t>47</w:t>
      </w:r>
      <w:r>
        <w:rPr>
          <w:b w:val="0"/>
          <w:i w:val="0"/>
          <w:sz w:val="18"/>
        </w:rPr>
        <w:t>(1)</w:t>
      </w:r>
      <w:r>
        <w:rPr>
          <w:b w:val="0"/>
          <w:i w:val="0"/>
          <w:sz w:val="18"/>
        </w:rPr>
        <w:t>, 36–49</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Levin, N., Udayar, S., Lipshits-Braziler, Y., Gati, I., &amp; Rossier, J. </w:t>
      </w:r>
      <w:r>
        <w:rPr>
          <w:b w:val="0"/>
          <w:i w:val="0"/>
          <w:sz w:val="18"/>
        </w:rPr>
        <w:t xml:space="preserve">(2023). </w:t>
      </w:r>
      <w:r>
        <w:rPr>
          <w:b w:val="0"/>
          <w:i w:val="0"/>
          <w:sz w:val="18"/>
        </w:rPr>
        <w:t xml:space="preserve">The structure of the career decision-making difficulties questionnaire across 13 countries. </w:t>
      </w:r>
      <w:r>
        <w:rPr>
          <w:b w:val="0"/>
          <w:i/>
          <w:sz w:val="18"/>
        </w:rPr>
        <w:t>Journal of Career Assessment</w:t>
      </w:r>
      <w:r>
        <w:rPr>
          <w:b w:val="0"/>
          <w:i w:val="0"/>
          <w:sz w:val="18"/>
        </w:rPr>
        <w:t xml:space="preserve">, </w:t>
      </w:r>
      <w:r>
        <w:rPr>
          <w:b w:val="0"/>
          <w:i/>
          <w:sz w:val="18"/>
        </w:rPr>
        <w:t>31</w:t>
      </w:r>
      <w:r>
        <w:rPr>
          <w:b w:val="0"/>
          <w:i w:val="0"/>
          <w:sz w:val="18"/>
        </w:rPr>
        <w:t>(1)</w:t>
      </w:r>
      <w:r>
        <w:rPr>
          <w:b w:val="0"/>
          <w:i w:val="0"/>
          <w:sz w:val="18"/>
        </w:rPr>
        <w:t>, 129–148</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Liu, X., Zhu, C., Dong, Z., &amp; Luo, Y. </w:t>
      </w:r>
      <w:r>
        <w:rPr>
          <w:b w:val="0"/>
          <w:i w:val="0"/>
          <w:sz w:val="18"/>
        </w:rPr>
        <w:t xml:space="preserve">(2024). </w:t>
      </w:r>
      <w:r>
        <w:rPr>
          <w:b w:val="0"/>
          <w:i w:val="0"/>
          <w:sz w:val="18"/>
        </w:rPr>
        <w:t xml:space="preserve">The relationship between stress and academic self-efficacy among students at elite colleges: A longitudinal analysis. </w:t>
      </w:r>
      <w:r>
        <w:rPr>
          <w:b w:val="0"/>
          <w:i/>
          <w:sz w:val="18"/>
        </w:rPr>
        <w:t>Behavioral Sciences</w:t>
      </w:r>
      <w:r>
        <w:rPr>
          <w:b w:val="0"/>
          <w:i w:val="0"/>
          <w:sz w:val="18"/>
        </w:rPr>
        <w:t xml:space="preserve">, </w:t>
      </w:r>
      <w:r>
        <w:rPr>
          <w:b w:val="0"/>
          <w:i/>
          <w:sz w:val="18"/>
        </w:rPr>
        <w:t>14</w:t>
      </w:r>
      <w:r>
        <w:rPr>
          <w:b w:val="0"/>
          <w:i w:val="0"/>
          <w:sz w:val="18"/>
        </w:rPr>
        <w:t>(7)</w:t>
      </w:r>
      <w:r>
        <w:rPr>
          <w:b w:val="0"/>
          <w:i w:val="0"/>
          <w:sz w:val="18"/>
        </w:rPr>
        <w:t>, 537</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Maxwell, S. E., &amp; Cole, D. A. </w:t>
      </w:r>
      <w:r>
        <w:rPr>
          <w:b w:val="0"/>
          <w:i w:val="0"/>
          <w:sz w:val="18"/>
        </w:rPr>
        <w:t xml:space="preserve">(2007). </w:t>
      </w:r>
      <w:r>
        <w:rPr>
          <w:b w:val="0"/>
          <w:i w:val="0"/>
          <w:sz w:val="18"/>
        </w:rPr>
        <w:t xml:space="preserve">Bias in cross-sectional analyses of longitudinal mediation. </w:t>
      </w:r>
      <w:r>
        <w:rPr>
          <w:b w:val="0"/>
          <w:i/>
          <w:sz w:val="18"/>
        </w:rPr>
        <w:t>Psychological Methods</w:t>
      </w:r>
      <w:r>
        <w:rPr>
          <w:b w:val="0"/>
          <w:i w:val="0"/>
          <w:sz w:val="18"/>
        </w:rPr>
        <w:t xml:space="preserve">, </w:t>
      </w:r>
      <w:r>
        <w:rPr>
          <w:b w:val="0"/>
          <w:i/>
          <w:sz w:val="18"/>
        </w:rPr>
        <w:t>12</w:t>
      </w:r>
      <w:r>
        <w:rPr>
          <w:b w:val="0"/>
          <w:i w:val="0"/>
          <w:sz w:val="18"/>
        </w:rPr>
        <w:t>(1)</w:t>
      </w:r>
      <w:r>
        <w:rPr>
          <w:b w:val="0"/>
          <w:i w:val="0"/>
          <w:sz w:val="18"/>
        </w:rPr>
        <w:t>, 23–44</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Mozahem, N. A. </w:t>
      </w:r>
      <w:r>
        <w:rPr>
          <w:b w:val="0"/>
          <w:i w:val="0"/>
          <w:sz w:val="18"/>
        </w:rPr>
        <w:t xml:space="preserve">(2022). </w:t>
      </w:r>
      <w:r>
        <w:rPr>
          <w:b w:val="0"/>
          <w:i w:val="0"/>
          <w:sz w:val="18"/>
        </w:rPr>
        <w:t xml:space="preserve">Social cognitive theory and career choice: An agent-based modeling approach. </w:t>
      </w:r>
      <w:r>
        <w:rPr>
          <w:b w:val="0"/>
          <w:i/>
          <w:sz w:val="18"/>
        </w:rPr>
        <w:t>Journal of Computational Social Science</w:t>
      </w:r>
      <w:r>
        <w:rPr>
          <w:b w:val="0"/>
          <w:i w:val="0"/>
          <w:sz w:val="18"/>
        </w:rPr>
        <w:t>.</w:t>
      </w:r>
    </w:p>
    <w:p>
      <w:pPr>
        <w:pStyle w:val="MDPI32textnoindent"/>
        <w:spacing w:line="240" w:lineRule="auto" w:before="0" w:after="40"/>
        <w:ind w:left="425" w:hanging="425"/>
      </w:pPr>
      <w:r>
        <w:rPr>
          <w:b w:val="0"/>
          <w:i w:val="0"/>
          <w:sz w:val="18"/>
        </w:rPr>
        <w:t xml:space="preserve">Müceldili, B., Tatar, B., &amp; Erdil, O. </w:t>
      </w:r>
      <w:r>
        <w:rPr>
          <w:b w:val="0"/>
          <w:i w:val="0"/>
          <w:sz w:val="18"/>
        </w:rPr>
        <w:t xml:space="preserve">(2025). </w:t>
      </w:r>
      <w:r>
        <w:rPr>
          <w:b w:val="0"/>
          <w:i w:val="0"/>
          <w:sz w:val="18"/>
        </w:rPr>
        <w:t xml:space="preserve">Career anxiety as a barrier to life satisfaction among undergraduate students: The role of meaning in life and self-efficacy. </w:t>
      </w:r>
      <w:r>
        <w:rPr>
          <w:b w:val="0"/>
          <w:i/>
          <w:sz w:val="18"/>
        </w:rPr>
        <w:t>International Journal for Educational and Vocational Guidance</w:t>
      </w:r>
      <w:r>
        <w:rPr>
          <w:b w:val="0"/>
          <w:i w:val="0"/>
          <w:sz w:val="18"/>
        </w:rPr>
        <w:t xml:space="preserve">, </w:t>
      </w:r>
      <w:r>
        <w:rPr>
          <w:b w:val="0"/>
          <w:i/>
          <w:sz w:val="18"/>
        </w:rPr>
        <w:t>25</w:t>
      </w:r>
      <w:r>
        <w:rPr>
          <w:b w:val="0"/>
          <w:i w:val="0"/>
          <w:sz w:val="18"/>
        </w:rPr>
        <w:t>(3)</w:t>
      </w:r>
      <w:r>
        <w:rPr>
          <w:b w:val="0"/>
          <w:i w:val="0"/>
          <w:sz w:val="18"/>
        </w:rPr>
        <w:t>, 607–631</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Pan, J., &amp; He, M. </w:t>
      </w:r>
      <w:r>
        <w:rPr>
          <w:b w:val="0"/>
          <w:i w:val="0"/>
          <w:sz w:val="18"/>
        </w:rPr>
        <w:t xml:space="preserve">(2026). </w:t>
      </w:r>
      <w:r>
        <w:rPr>
          <w:b w:val="0"/>
          <w:i w:val="0"/>
          <w:sz w:val="18"/>
        </w:rPr>
        <w:t xml:space="preserve">Career anxiety and career decision-making difficulties among female undergraduates in four non-elite Chinese universities: A mixed-methods study. </w:t>
      </w:r>
      <w:r>
        <w:rPr>
          <w:b w:val="0"/>
          <w:i/>
          <w:sz w:val="18"/>
        </w:rPr>
        <w:t>Behavioral Sciences</w:t>
      </w:r>
      <w:r>
        <w:rPr>
          <w:b w:val="0"/>
          <w:i w:val="0"/>
          <w:sz w:val="18"/>
        </w:rPr>
        <w:t xml:space="preserve">, </w:t>
      </w:r>
      <w:r>
        <w:rPr>
          <w:b w:val="0"/>
          <w:i/>
          <w:sz w:val="18"/>
        </w:rPr>
        <w:t>16</w:t>
      </w:r>
      <w:r>
        <w:rPr>
          <w:b w:val="0"/>
          <w:i w:val="0"/>
          <w:sz w:val="18"/>
        </w:rPr>
        <w:t>(9)</w:t>
      </w:r>
      <w:r>
        <w:rPr>
          <w:b w:val="0"/>
          <w:i w:val="0"/>
          <w:sz w:val="18"/>
        </w:rPr>
        <w:t>, 1479</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Podsakoff, P. M., MacKenzie, S. B., Lee, J.-Y., &amp; Podsakoff, N. P. </w:t>
      </w:r>
      <w:r>
        <w:rPr>
          <w:b w:val="0"/>
          <w:i w:val="0"/>
          <w:sz w:val="18"/>
        </w:rPr>
        <w:t xml:space="preserve">(2003). </w:t>
      </w:r>
      <w:r>
        <w:rPr>
          <w:b w:val="0"/>
          <w:i w:val="0"/>
          <w:sz w:val="18"/>
        </w:rPr>
        <w:t xml:space="preserve">Common method biases in behavioral research: A critical review of the literature and recommended remedies. </w:t>
      </w:r>
      <w:r>
        <w:rPr>
          <w:b w:val="0"/>
          <w:i/>
          <w:sz w:val="18"/>
        </w:rPr>
        <w:t>Journal of Applied Psychology</w:t>
      </w:r>
      <w:r>
        <w:rPr>
          <w:b w:val="0"/>
          <w:i w:val="0"/>
          <w:sz w:val="18"/>
        </w:rPr>
        <w:t xml:space="preserve">, </w:t>
      </w:r>
      <w:r>
        <w:rPr>
          <w:b w:val="0"/>
          <w:i/>
          <w:sz w:val="18"/>
        </w:rPr>
        <w:t>88</w:t>
      </w:r>
      <w:r>
        <w:rPr>
          <w:b w:val="0"/>
          <w:i w:val="0"/>
          <w:sz w:val="18"/>
        </w:rPr>
        <w:t>(5)</w:t>
      </w:r>
      <w:r>
        <w:rPr>
          <w:b w:val="0"/>
          <w:i w:val="0"/>
          <w:sz w:val="18"/>
        </w:rPr>
        <w:t>, 879–903</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Riley, W. T., Martin, C. A., Rivera, D. E., Hekler, E. B., Adams, M. A., Buman, M. P., Pavel, M., &amp; King, A. C. </w:t>
      </w:r>
      <w:r>
        <w:rPr>
          <w:b w:val="0"/>
          <w:i w:val="0"/>
          <w:sz w:val="18"/>
        </w:rPr>
        <w:t xml:space="preserve">(2016). </w:t>
      </w:r>
      <w:r>
        <w:rPr>
          <w:b w:val="0"/>
          <w:i w:val="0"/>
          <w:sz w:val="18"/>
        </w:rPr>
        <w:t xml:space="preserve">Development of a dynamic computational model of social cognitive theory. </w:t>
      </w:r>
      <w:r>
        <w:rPr>
          <w:b w:val="0"/>
          <w:i/>
          <w:sz w:val="18"/>
        </w:rPr>
        <w:t>Translational Behavioral Medicine</w:t>
      </w:r>
      <w:r>
        <w:rPr>
          <w:b w:val="0"/>
          <w:i w:val="0"/>
          <w:sz w:val="18"/>
        </w:rPr>
        <w:t xml:space="preserve">, </w:t>
      </w:r>
      <w:r>
        <w:rPr>
          <w:b w:val="0"/>
          <w:i/>
          <w:sz w:val="18"/>
        </w:rPr>
        <w:t>6</w:t>
      </w:r>
      <w:r>
        <w:rPr>
          <w:b w:val="0"/>
          <w:i w:val="0"/>
          <w:sz w:val="18"/>
        </w:rPr>
        <w:t>(4)</w:t>
      </w:r>
      <w:r>
        <w:rPr>
          <w:b w:val="0"/>
          <w:i w:val="0"/>
          <w:sz w:val="18"/>
        </w:rPr>
        <w:t>, 483–495</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Saka, N., &amp; Gati, I. </w:t>
      </w:r>
      <w:r>
        <w:rPr>
          <w:b w:val="0"/>
          <w:i w:val="0"/>
          <w:sz w:val="18"/>
        </w:rPr>
        <w:t xml:space="preserve">(2007). </w:t>
      </w:r>
      <w:r>
        <w:rPr>
          <w:b w:val="0"/>
          <w:i w:val="0"/>
          <w:sz w:val="18"/>
        </w:rPr>
        <w:t xml:space="preserve">Emotional and personality-related aspects of persistent career decision-making difficulties. </w:t>
      </w:r>
      <w:r>
        <w:rPr>
          <w:b w:val="0"/>
          <w:i/>
          <w:sz w:val="18"/>
        </w:rPr>
        <w:t>Journal of Vocational Behavior</w:t>
      </w:r>
      <w:r>
        <w:rPr>
          <w:b w:val="0"/>
          <w:i w:val="0"/>
          <w:sz w:val="18"/>
        </w:rPr>
        <w:t xml:space="preserve">, </w:t>
      </w:r>
      <w:r>
        <w:rPr>
          <w:b w:val="0"/>
          <w:i/>
          <w:sz w:val="18"/>
        </w:rPr>
        <w:t>71</w:t>
      </w:r>
      <w:r>
        <w:rPr>
          <w:b w:val="0"/>
          <w:i w:val="0"/>
          <w:sz w:val="18"/>
        </w:rPr>
        <w:t>(3)</w:t>
      </w:r>
      <w:r>
        <w:rPr>
          <w:b w:val="0"/>
          <w:i w:val="0"/>
          <w:sz w:val="18"/>
        </w:rPr>
        <w:t>, 340–358</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Shi, R., Sharpe, L., &amp; Abbott, M. </w:t>
      </w:r>
      <w:r>
        <w:rPr>
          <w:b w:val="0"/>
          <w:i w:val="0"/>
          <w:sz w:val="18"/>
        </w:rPr>
        <w:t xml:space="preserve">(2019). </w:t>
      </w:r>
      <w:r>
        <w:rPr>
          <w:b w:val="0"/>
          <w:i w:val="0"/>
          <w:sz w:val="18"/>
        </w:rPr>
        <w:t xml:space="preserve">A meta-analysis of the relationship between anxiety and attentional control. </w:t>
      </w:r>
      <w:r>
        <w:rPr>
          <w:b w:val="0"/>
          <w:i/>
          <w:sz w:val="18"/>
        </w:rPr>
        <w:t>Clinical Psychology Review</w:t>
      </w:r>
      <w:r>
        <w:rPr>
          <w:b w:val="0"/>
          <w:i w:val="0"/>
          <w:sz w:val="18"/>
        </w:rPr>
        <w:t xml:space="preserve">, </w:t>
      </w:r>
      <w:r>
        <w:rPr>
          <w:b w:val="0"/>
          <w:i/>
          <w:sz w:val="18"/>
        </w:rPr>
        <w:t>72</w:t>
      </w:r>
      <w:r>
        <w:rPr>
          <w:b w:val="0"/>
          <w:i w:val="0"/>
          <w:sz w:val="18"/>
        </w:rPr>
        <w:t>, 101754</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Udayar, S., Levin, N., Lipshits-Braziler, Y., Rochat, S., Di Fabio, A., Gati, I., Sovet, L., &amp; Rossier, J. </w:t>
      </w:r>
      <w:r>
        <w:rPr>
          <w:b w:val="0"/>
          <w:i w:val="0"/>
          <w:sz w:val="18"/>
        </w:rPr>
        <w:t xml:space="preserve">(2020). </w:t>
      </w:r>
      <w:r>
        <w:rPr>
          <w:b w:val="0"/>
          <w:i w:val="0"/>
          <w:sz w:val="18"/>
        </w:rPr>
        <w:t xml:space="preserve">Difficulties in career decision-making and self-evaluations: A meta-analysis. </w:t>
      </w:r>
      <w:r>
        <w:rPr>
          <w:b w:val="0"/>
          <w:i/>
          <w:sz w:val="18"/>
        </w:rPr>
        <w:t>Journal of Career Assessment</w:t>
      </w:r>
      <w:r>
        <w:rPr>
          <w:b w:val="0"/>
          <w:i w:val="0"/>
          <w:sz w:val="18"/>
        </w:rPr>
        <w:t xml:space="preserve">, </w:t>
      </w:r>
      <w:r>
        <w:rPr>
          <w:b w:val="0"/>
          <w:i/>
          <w:sz w:val="18"/>
        </w:rPr>
        <w:t>28</w:t>
      </w:r>
      <w:r>
        <w:rPr>
          <w:b w:val="0"/>
          <w:i w:val="0"/>
          <w:sz w:val="18"/>
        </w:rPr>
        <w:t>(4)</w:t>
      </w:r>
      <w:r>
        <w:rPr>
          <w:b w:val="0"/>
          <w:i w:val="0"/>
          <w:sz w:val="18"/>
        </w:rPr>
        <w:t>, 608–635</w:t>
      </w:r>
      <w:r>
        <w:rPr>
          <w:b w:val="0"/>
          <w:i w:val="0"/>
          <w:sz w:val="18"/>
        </w:rPr>
        <w:t>.</w:t>
      </w:r>
      <w:r>
        <w:rPr>
          <w:b w:val="0"/>
          <w:i w:val="0"/>
          <w:sz w:val="18"/>
        </w:rPr>
        <w:t xml:space="preserve"> [CrossRef]</w:t>
      </w:r>
    </w:p>
    <w:p>
      <w:pPr>
        <w:pStyle w:val="MDPI32textnoindent"/>
        <w:spacing w:line="240" w:lineRule="auto" w:before="0" w:after="40"/>
        <w:ind w:left="425" w:hanging="425"/>
      </w:pPr>
      <w:r>
        <w:rPr>
          <w:b w:val="0"/>
          <w:i w:val="0"/>
          <w:sz w:val="18"/>
        </w:rPr>
        <w:t xml:space="preserve">Wang, D., Luan, Y., Zhao, Y., &amp; Ma, J. </w:t>
      </w:r>
      <w:r>
        <w:rPr>
          <w:b w:val="0"/>
          <w:i w:val="0"/>
          <w:sz w:val="18"/>
        </w:rPr>
        <w:t xml:space="preserve">(2023). </w:t>
      </w:r>
      <w:r>
        <w:rPr>
          <w:b w:val="0"/>
          <w:i w:val="0"/>
          <w:sz w:val="18"/>
        </w:rPr>
        <w:t xml:space="preserve">The antecedents of career decision self-efficacy: A meta-analysis on 20 years of research. </w:t>
      </w:r>
      <w:r>
        <w:rPr>
          <w:b w:val="0"/>
          <w:i/>
          <w:sz w:val="18"/>
        </w:rPr>
        <w:t>Career Development International</w:t>
      </w:r>
      <w:r>
        <w:rPr>
          <w:b w:val="0"/>
          <w:i w:val="0"/>
          <w:sz w:val="18"/>
        </w:rPr>
        <w:t xml:space="preserve">, </w:t>
      </w:r>
      <w:r>
        <w:rPr>
          <w:b w:val="0"/>
          <w:i/>
          <w:sz w:val="18"/>
        </w:rPr>
        <w:t>28</w:t>
      </w:r>
      <w:r>
        <w:rPr>
          <w:b w:val="0"/>
          <w:i w:val="0"/>
          <w:sz w:val="18"/>
        </w:rPr>
        <w:t>(6/7)</w:t>
      </w:r>
      <w:r>
        <w:rPr>
          <w:b w:val="0"/>
          <w:i w:val="0"/>
          <w:sz w:val="18"/>
        </w:rPr>
        <w:t>, 633–648</w:t>
      </w:r>
      <w:r>
        <w:rPr>
          <w:b w:val="0"/>
          <w:i w:val="0"/>
          <w:sz w:val="18"/>
        </w:rPr>
        <w:t>.</w:t>
      </w:r>
    </w:p>
    <w:p>
      <w:pPr>
        <w:pStyle w:val="MDPI32textnoindent"/>
        <w:spacing w:line="240" w:lineRule="auto" w:before="0" w:after="40"/>
        <w:ind w:left="425" w:hanging="425"/>
      </w:pPr>
      <w:r>
        <w:rPr>
          <w:b w:val="0"/>
          <w:i w:val="0"/>
          <w:sz w:val="18"/>
        </w:rPr>
        <w:t xml:space="preserve">Zhou, A., Liu, J., Xu, C., &amp; Jobe, M. C. </w:t>
      </w:r>
      <w:r>
        <w:rPr>
          <w:b w:val="0"/>
          <w:i w:val="0"/>
          <w:sz w:val="18"/>
        </w:rPr>
        <w:t xml:space="preserve">(2024). </w:t>
      </w:r>
      <w:r>
        <w:rPr>
          <w:b w:val="0"/>
          <w:i w:val="0"/>
          <w:sz w:val="18"/>
        </w:rPr>
        <w:t xml:space="preserve">Effect of social support on career decision-making difficulties: The chain mediating roles of psychological capital and career decision-making self-efficacy. </w:t>
      </w:r>
      <w:r>
        <w:rPr>
          <w:b w:val="0"/>
          <w:i/>
          <w:sz w:val="18"/>
        </w:rPr>
        <w:t>Behavioral Sciences</w:t>
      </w:r>
      <w:r>
        <w:rPr>
          <w:b w:val="0"/>
          <w:i w:val="0"/>
          <w:sz w:val="18"/>
        </w:rPr>
        <w:t xml:space="preserve">, </w:t>
      </w:r>
      <w:r>
        <w:rPr>
          <w:b w:val="0"/>
          <w:i/>
          <w:sz w:val="18"/>
        </w:rPr>
        <w:t>14</w:t>
      </w:r>
      <w:r>
        <w:rPr>
          <w:b w:val="0"/>
          <w:i w:val="0"/>
          <w:sz w:val="18"/>
        </w:rPr>
        <w:t>(4)</w:t>
      </w:r>
      <w:r>
        <w:rPr>
          <w:b w:val="0"/>
          <w:i w:val="0"/>
          <w:sz w:val="18"/>
        </w:rPr>
        <w:t>, 318</w:t>
      </w:r>
      <w:r>
        <w:rPr>
          <w:b w:val="0"/>
          <w:i w:val="0"/>
          <w:sz w:val="18"/>
        </w:rPr>
        <w:t>.</w:t>
      </w:r>
      <w:r>
        <w:rPr>
          <w:b w:val="0"/>
          <w:i w:val="0"/>
          <w:sz w:val="18"/>
        </w:rPr>
        <w:t xml:space="preserve"> [CrossRef]</w:t>
      </w:r>
    </w:p>
    <w:sectPr w:rsidR="00F40265" w:rsidRPr="002D3A93" w:rsidSect="00147A79">
      <w:headerReference w:type="even" r:id="rId11"/>
      <w:headerReference w:type="default" r:id="rId12"/>
      <w:headerReference w:type="first" r:id="rId13"/>
      <w:footerReference w:type="first" r:id="rId14"/>
      <w:footerReference w:type="default" r:id="rId19"/>
      <w:footerReference w:type="even" r:id="rId20"/>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DA72" w14:textId="77777777" w:rsidR="00270F68" w:rsidRPr="00093A5B" w:rsidRDefault="00270F68">
      <w:pPr>
        <w:spacing w:line="240" w:lineRule="auto"/>
      </w:pPr>
      <w:r w:rsidRPr="00093A5B">
        <w:separator/>
      </w:r>
    </w:p>
  </w:endnote>
  <w:endnote w:type="continuationSeparator" w:id="0">
    <w:p w14:paraId="6AFF05C4" w14:textId="77777777" w:rsidR="00270F68" w:rsidRPr="00093A5B" w:rsidRDefault="00270F68">
      <w:pPr>
        <w:spacing w:line="240" w:lineRule="auto"/>
      </w:pPr>
      <w:r w:rsidRPr="00093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MT">
    <w:altName w:val="Klee One"/>
    <w:panose1 w:val="00000000000000000000"/>
    <w:charset w:val="80"/>
    <w:family w:val="auto"/>
    <w:notTrueType/>
    <w:pitch w:val="default"/>
    <w:sig w:usb0="00000001" w:usb1="080F0000" w:usb2="00000010" w:usb3="00000000" w:csb0="00060000" w:csb1="00000000"/>
  </w:font>
  <w:font w:name="TimesNewRomanPSMT">
    <w:altName w:val="微软雅黑"/>
    <w:panose1 w:val="00000000000000000000"/>
    <w:charset w:val="86"/>
    <w:family w:val="auto"/>
    <w:notTrueType/>
    <w:pitch w:val="default"/>
    <w:sig w:usb0="00000001" w:usb1="080E0000" w:usb2="00000010" w:usb3="00000000" w:csb0="00040000"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15C" w14:textId="77777777" w:rsidR="00FC1F6C" w:rsidRPr="00093A5B" w:rsidRDefault="00FC1F6C" w:rsidP="004631A2">
    <w:pPr>
      <w:pBdr>
        <w:top w:val="single" w:sz="4" w:space="0" w:color="000000"/>
      </w:pBdr>
      <w:tabs>
        <w:tab w:val="right" w:pos="8844"/>
      </w:tabs>
      <w:adjustRightInd w:val="0"/>
      <w:snapToGrid w:val="0"/>
      <w:spacing w:before="480" w:line="100" w:lineRule="exact"/>
      <w:jc w:val="left"/>
      <w:rPr>
        <w:i/>
        <w:sz w:val="16"/>
        <w:szCs w:val="16"/>
      </w:rPr>
      <w:suppressLineNumbers/>
    </w:pPr>
  </w:p>
  <w:p w14:paraId="0351F8B4" w14:textId="44489EF3" w:rsidR="00547C57" w:rsidRPr="00093A5B" w:rsidRDefault="00547C57" w:rsidP="005B05F3">
    <w:pPr>
      <w:tabs>
        <w:tab w:val="right" w:pos="10466"/>
      </w:tabs>
      <w:adjustRightInd w:val="0"/>
      <w:snapToGrid w:val="0"/>
      <w:spacing w:line="240" w:lineRule="auto"/>
      <w:rPr>
        <w:sz w:val="16"/>
        <w:szCs w:val="16"/>
      </w:rPr>
      <w:suppressLineNumbers/>
    </w:pPr>
    <w:r w:rsidRPr="00093A5B">
      <w:rPr>
        <w:i/>
        <w:sz w:val="16"/>
        <w:szCs w:val="16"/>
      </w:rPr>
      <w:t xml:space="preserve">Behav. Sci. </w:t>
    </w:r>
    <w:r w:rsidR="00147A79" w:rsidRPr="00093A5B">
      <w:rPr>
        <w:b/>
        <w:bCs/>
        <w:iCs/>
        <w:sz w:val="16"/>
        <w:szCs w:val="16"/>
      </w:rPr>
      <w:t>2026</w:t>
    </w:r>
    <w:r w:rsidR="00A95BD4" w:rsidRPr="00093A5B">
      <w:rPr>
        <w:bCs/>
        <w:iCs/>
        <w:sz w:val="16"/>
        <w:szCs w:val="16"/>
      </w:rPr>
      <w:t>,</w:t>
    </w:r>
    <w:r w:rsidR="00147A79" w:rsidRPr="00093A5B">
      <w:rPr>
        <w:bCs/>
        <w:i/>
        <w:iCs/>
        <w:sz w:val="16"/>
        <w:szCs w:val="16"/>
      </w:rPr>
      <w:t xml:space="preserve"> 16</w:t>
    </w:r>
    <w:r w:rsidR="00A95BD4" w:rsidRPr="00093A5B">
      <w:rPr>
        <w:bCs/>
        <w:iCs/>
        <w:sz w:val="16"/>
        <w:szCs w:val="16"/>
      </w:rPr>
      <w:t xml:space="preserve">, </w:t>
    </w:r>
    <w:r w:rsidR="00120448" w:rsidRPr="00093A5B">
      <w:rPr>
        <w:bCs/>
        <w:iCs/>
        <w:sz w:val="16"/>
        <w:szCs w:val="16"/>
      </w:rPr>
      <w:t>x</w:t>
    </w:r>
    <w:r w:rsidR="005B05F3" w:rsidRPr="00093A5B">
      <w:rPr>
        <w:sz w:val="16"/>
        <w:szCs w:val="16"/>
      </w:rPr>
      <w:tab/>
    </w:r>
    <w:r w:rsidR="00147A79" w:rsidRPr="00093A5B">
      <w:rPr>
        <w:sz w:val="16"/>
        <w:szCs w:val="16"/>
      </w:rPr>
      <w:t>https://doi.org/10.3390/xxxxx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514F" w14:textId="77777777" w:rsidR="00270F68" w:rsidRPr="00093A5B" w:rsidRDefault="00270F68">
      <w:pPr>
        <w:spacing w:line="240" w:lineRule="auto"/>
      </w:pPr>
      <w:r w:rsidRPr="00093A5B">
        <w:separator/>
      </w:r>
    </w:p>
  </w:footnote>
  <w:footnote w:type="continuationSeparator" w:id="0">
    <w:p w14:paraId="618A21B1" w14:textId="77777777" w:rsidR="00270F68" w:rsidRPr="00093A5B" w:rsidRDefault="00270F68">
      <w:pPr>
        <w:spacing w:line="240" w:lineRule="auto"/>
      </w:pPr>
      <w:r w:rsidRPr="00093A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39B0" w14:textId="77777777" w:rsidR="00547C57" w:rsidRPr="00093A5B" w:rsidRDefault="00547C57" w:rsidP="00547C57">
    <w:pPr>
      <w:pStyle w:val="Header"/>
      <w:pBdr>
        <w:bottom w:val="none" w:sz="0" w:space="0" w:color="auto"/>
      </w:pBd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16C0" w14:textId="2D5A8A07" w:rsidR="00FC1F6C" w:rsidRPr="00093A5B" w:rsidRDefault="00547C57" w:rsidP="005B05F3">
    <w:pPr>
      <w:tabs>
        <w:tab w:val="right" w:pos="10466"/>
      </w:tabs>
      <w:adjustRightInd w:val="0"/>
      <w:snapToGrid w:val="0"/>
      <w:spacing w:line="240" w:lineRule="auto"/>
      <w:rPr>
        <w:sz w:val="16"/>
      </w:rPr>
      <w:suppressLineNumbers/>
    </w:pPr>
    <w:r w:rsidRPr="00093A5B">
      <w:rPr>
        <w:i/>
        <w:sz w:val="16"/>
      </w:rPr>
      <w:t xml:space="preserve">Behav. Sci. </w:t>
    </w:r>
    <w:r w:rsidR="00147A79" w:rsidRPr="00093A5B">
      <w:rPr>
        <w:b/>
        <w:sz w:val="16"/>
      </w:rPr>
      <w:t>2026</w:t>
    </w:r>
    <w:r w:rsidR="00A95BD4" w:rsidRPr="00093A5B">
      <w:rPr>
        <w:sz w:val="16"/>
      </w:rPr>
      <w:t>,</w:t>
    </w:r>
    <w:r w:rsidR="00147A79" w:rsidRPr="00093A5B">
      <w:rPr>
        <w:i/>
        <w:sz w:val="16"/>
      </w:rPr>
      <w:t xml:space="preserve"> 16</w:t>
    </w:r>
    <w:r w:rsidR="00120448" w:rsidRPr="00093A5B">
      <w:rPr>
        <w:sz w:val="16"/>
      </w:rPr>
      <w:t xml:space="preserve">, x </w:t>
    </w:r>
    <w:r w:rsidR="00147A79" w:rsidRPr="00093A5B">
      <w:rPr>
        <w:sz w:val="16"/>
      </w:rPr>
      <w:t>FOR PEER REVIEW</w:t>
    </w:r>
    <w:r w:rsidR="00147A79" w:rsidRPr="00093A5B">
      <w:rPr>
        <w:sz w:val="16"/>
      </w:rPr>
      <w:ptab w:relativeTo="margin" w:alignment="right" w:leader="none"/>
    </w:r>
    <w:r w:rsidR="00147A79" w:rsidRPr="00093A5B">
      <w:rPr>
        <w:sz w:val="16"/>
      </w:rPr>
      <w:fldChar w:fldCharType="begin"/>
    </w:r>
    <w:r w:rsidR="00147A79" w:rsidRPr="00093A5B">
      <w:rPr>
        <w:sz w:val="16"/>
      </w:rPr>
      <w:instrText xml:space="preserve"> PAGE   \* MERGEFORMAT </w:instrText>
    </w:r>
    <w:r w:rsidR="00147A79" w:rsidRPr="00093A5B">
      <w:rPr>
        <w:sz w:val="16"/>
      </w:rPr>
      <w:fldChar w:fldCharType="separate"/>
    </w:r>
    <w:r w:rsidR="00147A79" w:rsidRPr="00093A5B">
      <w:rPr>
        <w:sz w:val="16"/>
      </w:rPr>
      <w:t>2</w:t>
    </w:r>
    <w:r w:rsidR="00147A79" w:rsidRPr="00093A5B">
      <w:rPr>
        <w:sz w:val="16"/>
      </w:rPr>
      <w:fldChar w:fldCharType="end"/>
    </w:r>
    <w:r w:rsidR="00147A79" w:rsidRPr="00093A5B">
      <w:rPr>
        <w:sz w:val="16"/>
      </w:rPr>
      <w:t xml:space="preserve"> of </w:t>
    </w:r>
    <w:r w:rsidR="00147A79" w:rsidRPr="00093A5B">
      <w:rPr>
        <w:sz w:val="16"/>
      </w:rPr>
      <w:fldChar w:fldCharType="begin"/>
    </w:r>
    <w:r w:rsidR="00147A79" w:rsidRPr="00093A5B">
      <w:rPr>
        <w:sz w:val="16"/>
      </w:rPr>
      <w:instrText xml:space="preserve"> NUMPAGES   \* MERGEFORMAT </w:instrText>
    </w:r>
    <w:r w:rsidR="00147A79" w:rsidRPr="00093A5B">
      <w:rPr>
        <w:sz w:val="16"/>
      </w:rPr>
      <w:fldChar w:fldCharType="separate"/>
    </w:r>
    <w:r w:rsidR="00147A79" w:rsidRPr="00093A5B">
      <w:rPr>
        <w:sz w:val="16"/>
      </w:rPr>
      <w:t>7</w:t>
    </w:r>
    <w:r w:rsidR="00147A79" w:rsidRPr="00093A5B">
      <w:rPr>
        <w:sz w:val="16"/>
      </w:rPr>
      <w:fldChar w:fldCharType="end"/>
    </w:r>
  </w:p>
  <w:p w14:paraId="1FF38983" w14:textId="77777777" w:rsidR="00547C57" w:rsidRPr="00093A5B" w:rsidRDefault="00547C57" w:rsidP="004631A2">
    <w:pPr>
      <w:pBdr>
        <w:bottom w:val="single" w:sz="4" w:space="1" w:color="000000"/>
      </w:pBdr>
      <w:tabs>
        <w:tab w:val="right" w:pos="8844"/>
      </w:tabs>
      <w:adjustRightInd w:val="0"/>
      <w:snapToGrid w:val="0"/>
      <w:spacing w:after="480" w:line="100" w:lineRule="exact"/>
      <w:jc w:val="left"/>
      <w:rPr>
        <w:sz w:val="16"/>
      </w:r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C1F6C" w:rsidRPr="00093A5B" w14:paraId="0233B2E0" w14:textId="77777777" w:rsidTr="001F04DA">
      <w:trPr>
        <w:trHeight w:val="686"/>
      </w:trPr>
      <w:tc>
        <w:tcPr>
          <w:tcW w:w="3679" w:type="dxa"/>
          <w:vAlign w:val="center"/>
        </w:tcPr>
        <w:p w14:paraId="5C65E8BC" w14:textId="79329CC0" w:rsidR="00FC1F6C" w:rsidRPr="00093A5B" w:rsidRDefault="009740EF" w:rsidP="005B05F3">
          <w:pPr>
            <w:pStyle w:val="Header"/>
            <w:pBdr>
              <w:bottom w:val="none" w:sz="0" w:space="0" w:color="auto"/>
            </w:pBdr>
            <w:jc w:val="left"/>
            <w:rPr>
              <w:rFonts w:eastAsia="等线"/>
              <w:b/>
              <w:bCs/>
            </w:rPr>
            <w:suppressLineNumbers/>
          </w:pPr>
          <w:r w:rsidRPr="00093A5B">
            <w:rPr>
              <w:rFonts w:eastAsia="等线"/>
              <w:b/>
              <w:bCs/>
              <w:noProof/>
            </w:rPr>
            <w:drawing>
              <wp:inline distT="0" distB="0" distL="0" distR="0" wp14:anchorId="25B46D29" wp14:editId="5485B1D0">
                <wp:extent cx="1959211" cy="432000"/>
                <wp:effectExtent l="0" t="0" r="3175" b="6350"/>
                <wp:docPr id="89494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9540" name=""/>
                        <pic:cNvPicPr/>
                      </pic:nvPicPr>
                      <pic:blipFill>
                        <a:blip r:embed="rId1"/>
                        <a:stretch>
                          <a:fillRect/>
                        </a:stretch>
                      </pic:blipFill>
                      <pic:spPr>
                        <a:xfrm>
                          <a:off x="0" y="0"/>
                          <a:ext cx="1959211" cy="432000"/>
                        </a:xfrm>
                        <a:prstGeom prst="rect">
                          <a:avLst/>
                        </a:prstGeom>
                      </pic:spPr>
                    </pic:pic>
                  </a:graphicData>
                </a:graphic>
              </wp:inline>
            </w:drawing>
          </w:r>
        </w:p>
      </w:tc>
      <w:tc>
        <w:tcPr>
          <w:tcW w:w="4535" w:type="dxa"/>
          <w:vAlign w:val="center"/>
        </w:tcPr>
        <w:p w14:paraId="4C9E5135" w14:textId="77777777" w:rsidR="00FC1F6C" w:rsidRPr="00093A5B" w:rsidRDefault="00FC1F6C" w:rsidP="005B05F3">
          <w:pPr>
            <w:pStyle w:val="Header"/>
            <w:pBdr>
              <w:bottom w:val="none" w:sz="0" w:space="0" w:color="auto"/>
            </w:pBdr>
            <w:rPr>
              <w:rFonts w:eastAsia="等线"/>
              <w:b/>
              <w:bCs/>
            </w:rPr>
            <w:suppressLineNumbers/>
          </w:pPr>
        </w:p>
      </w:tc>
      <w:tc>
        <w:tcPr>
          <w:tcW w:w="2273" w:type="dxa"/>
          <w:vAlign w:val="center"/>
        </w:tcPr>
        <w:p w14:paraId="709E4115" w14:textId="455EA1A8" w:rsidR="00FC1F6C" w:rsidRPr="00093A5B" w:rsidRDefault="001F04DA" w:rsidP="001F04DA">
          <w:pPr>
            <w:pStyle w:val="Header"/>
            <w:pBdr>
              <w:bottom w:val="none" w:sz="0" w:space="0" w:color="auto"/>
            </w:pBdr>
            <w:jc w:val="right"/>
            <w:rPr>
              <w:rFonts w:eastAsia="等线"/>
              <w:b/>
              <w:bCs/>
            </w:rPr>
            <w:suppressLineNumbers/>
          </w:pPr>
          <w:r w:rsidRPr="00093A5B">
            <w:rPr>
              <w:rFonts w:eastAsia="等线"/>
              <w:b/>
              <w:bCs/>
              <w:noProof/>
            </w:rPr>
            <w:drawing>
              <wp:inline distT="0" distB="0" distL="0" distR="0" wp14:anchorId="5A6C8405" wp14:editId="43F3B997">
                <wp:extent cx="540000" cy="360000"/>
                <wp:effectExtent l="0" t="0" r="0" b="2540"/>
                <wp:docPr id="939112222" name="Picture 1"/>
                <wp:cNvGraphicFramePr/>
                <a:graphic xmlns:a="http://schemas.openxmlformats.org/drawingml/2006/main">
                  <a:graphicData uri="http://schemas.openxmlformats.org/drawingml/2006/picture">
                    <pic:pic xmlns:pic="http://schemas.openxmlformats.org/drawingml/2006/picture">
                      <pic:nvPicPr>
                        <pic:cNvPr id="939112222" name=""/>
                        <pic:cNvPicPr/>
                      </pic:nvPicPr>
                      <pic:blipFill>
                        <a:blip r:embed="rId2"/>
                        <a:stretch>
                          <a:fillRect/>
                        </a:stretch>
                      </pic:blipFill>
                      <pic:spPr>
                        <a:xfrm>
                          <a:off x="0" y="0"/>
                          <a:ext cx="540000" cy="360000"/>
                        </a:xfrm>
                        <a:prstGeom prst="rect">
                          <a:avLst/>
                        </a:prstGeom>
                      </pic:spPr>
                    </pic:pic>
                  </a:graphicData>
                </a:graphic>
              </wp:inline>
            </w:drawing>
          </w:r>
        </w:p>
      </w:tc>
    </w:tr>
  </w:tbl>
  <w:p w14:paraId="1461F2C0" w14:textId="77777777" w:rsidR="00547C57" w:rsidRPr="00093A5B" w:rsidRDefault="00547C57" w:rsidP="00147A79">
    <w:pPr>
      <w:pBdr>
        <w:bottom w:val="single" w:sz="4" w:space="1" w:color="000000"/>
      </w:pBdr>
      <w:adjustRightInd w:val="0"/>
      <w:snapToGrid w:val="0"/>
      <w:spacing w:before="120" w:line="100" w:lineRule="exact"/>
      <w:jc w:val="left"/>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44D5"/>
    <w:multiLevelType w:val="hybridMultilevel"/>
    <w:tmpl w:val="CA5839F6"/>
    <w:lvl w:ilvl="0" w:tplc="C1E608B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D0921A9A"/>
    <w:lvl w:ilvl="0" w:tplc="25AEDD5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34D2D8DE"/>
    <w:lvl w:ilvl="0" w:tplc="1C5E87D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97451"/>
    <w:multiLevelType w:val="hybridMultilevel"/>
    <w:tmpl w:val="BA8E614E"/>
    <w:lvl w:ilvl="0" w:tplc="F3FA4DB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359138">
    <w:abstractNumId w:val="5"/>
  </w:num>
  <w:num w:numId="2" w16cid:durableId="1878463367">
    <w:abstractNumId w:val="7"/>
  </w:num>
  <w:num w:numId="3" w16cid:durableId="14624578">
    <w:abstractNumId w:val="4"/>
  </w:num>
  <w:num w:numId="4" w16cid:durableId="80372627">
    <w:abstractNumId w:val="6"/>
  </w:num>
  <w:num w:numId="5" w16cid:durableId="1558010044">
    <w:abstractNumId w:val="9"/>
  </w:num>
  <w:num w:numId="6" w16cid:durableId="246350979">
    <w:abstractNumId w:val="3"/>
  </w:num>
  <w:num w:numId="7" w16cid:durableId="537594026">
    <w:abstractNumId w:val="9"/>
  </w:num>
  <w:num w:numId="8" w16cid:durableId="88670674">
    <w:abstractNumId w:val="3"/>
  </w:num>
  <w:num w:numId="9" w16cid:durableId="476384113">
    <w:abstractNumId w:val="9"/>
  </w:num>
  <w:num w:numId="10" w16cid:durableId="675184597">
    <w:abstractNumId w:val="3"/>
  </w:num>
  <w:num w:numId="11" w16cid:durableId="117352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5699982">
    <w:abstractNumId w:val="1"/>
  </w:num>
  <w:num w:numId="13" w16cid:durableId="818766436">
    <w:abstractNumId w:val="10"/>
  </w:num>
  <w:num w:numId="14" w16cid:durableId="1050030624">
    <w:abstractNumId w:val="9"/>
  </w:num>
  <w:num w:numId="15" w16cid:durableId="309940233">
    <w:abstractNumId w:val="3"/>
  </w:num>
  <w:num w:numId="16" w16cid:durableId="1501964301">
    <w:abstractNumId w:val="2"/>
  </w:num>
  <w:num w:numId="17" w16cid:durableId="1579366127">
    <w:abstractNumId w:val="8"/>
  </w:num>
  <w:num w:numId="18" w16cid:durableId="1419256257">
    <w:abstractNumId w:val="0"/>
  </w:num>
  <w:num w:numId="19" w16cid:durableId="1229850791">
    <w:abstractNumId w:val="9"/>
  </w:num>
  <w:num w:numId="20" w16cid:durableId="82338894">
    <w:abstractNumId w:val="3"/>
  </w:num>
  <w:num w:numId="21" w16cid:durableId="41562331">
    <w:abstractNumId w:val="2"/>
  </w:num>
  <w:num w:numId="22" w16cid:durableId="1506356562">
    <w:abstractNumId w:val="0"/>
  </w:num>
  <w:num w:numId="23" w16cid:durableId="42245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1F"/>
    <w:rsid w:val="00001B9D"/>
    <w:rsid w:val="000132BB"/>
    <w:rsid w:val="00042C91"/>
    <w:rsid w:val="00046701"/>
    <w:rsid w:val="00054ACA"/>
    <w:rsid w:val="00060798"/>
    <w:rsid w:val="00076F37"/>
    <w:rsid w:val="000811BB"/>
    <w:rsid w:val="0008504A"/>
    <w:rsid w:val="00093A5B"/>
    <w:rsid w:val="000E256B"/>
    <w:rsid w:val="000F7E25"/>
    <w:rsid w:val="001070B1"/>
    <w:rsid w:val="00110443"/>
    <w:rsid w:val="00110A22"/>
    <w:rsid w:val="00120448"/>
    <w:rsid w:val="00123054"/>
    <w:rsid w:val="00125B2E"/>
    <w:rsid w:val="00144F85"/>
    <w:rsid w:val="001461C9"/>
    <w:rsid w:val="00147A79"/>
    <w:rsid w:val="00157279"/>
    <w:rsid w:val="00160BAD"/>
    <w:rsid w:val="00174C1F"/>
    <w:rsid w:val="0018583F"/>
    <w:rsid w:val="0019437F"/>
    <w:rsid w:val="001A5BD7"/>
    <w:rsid w:val="001B4491"/>
    <w:rsid w:val="001D0F29"/>
    <w:rsid w:val="001D3EC3"/>
    <w:rsid w:val="001E2AEB"/>
    <w:rsid w:val="001F04DA"/>
    <w:rsid w:val="001F2D59"/>
    <w:rsid w:val="00202DD1"/>
    <w:rsid w:val="002140C8"/>
    <w:rsid w:val="00222D0A"/>
    <w:rsid w:val="00232B3A"/>
    <w:rsid w:val="00241860"/>
    <w:rsid w:val="00246B13"/>
    <w:rsid w:val="00255DF7"/>
    <w:rsid w:val="00270F68"/>
    <w:rsid w:val="002719FC"/>
    <w:rsid w:val="002758F4"/>
    <w:rsid w:val="00294A0E"/>
    <w:rsid w:val="00295161"/>
    <w:rsid w:val="0029654B"/>
    <w:rsid w:val="002A3026"/>
    <w:rsid w:val="002A44FA"/>
    <w:rsid w:val="002A644D"/>
    <w:rsid w:val="002B0591"/>
    <w:rsid w:val="002B1B9E"/>
    <w:rsid w:val="002B60FB"/>
    <w:rsid w:val="002C4BB9"/>
    <w:rsid w:val="002C6088"/>
    <w:rsid w:val="002C79BE"/>
    <w:rsid w:val="002D3148"/>
    <w:rsid w:val="002D3A93"/>
    <w:rsid w:val="00317124"/>
    <w:rsid w:val="00321697"/>
    <w:rsid w:val="00326141"/>
    <w:rsid w:val="003641C8"/>
    <w:rsid w:val="00370E9B"/>
    <w:rsid w:val="003A2D29"/>
    <w:rsid w:val="003B637B"/>
    <w:rsid w:val="003E68BF"/>
    <w:rsid w:val="003F29BE"/>
    <w:rsid w:val="00401D30"/>
    <w:rsid w:val="00406DCB"/>
    <w:rsid w:val="00416226"/>
    <w:rsid w:val="00416372"/>
    <w:rsid w:val="00416BA1"/>
    <w:rsid w:val="00417249"/>
    <w:rsid w:val="00454A4A"/>
    <w:rsid w:val="004631A2"/>
    <w:rsid w:val="004A1CBA"/>
    <w:rsid w:val="004A3E2F"/>
    <w:rsid w:val="004A7A48"/>
    <w:rsid w:val="004C4ADA"/>
    <w:rsid w:val="004D3A86"/>
    <w:rsid w:val="004E6864"/>
    <w:rsid w:val="004F082A"/>
    <w:rsid w:val="004F58C1"/>
    <w:rsid w:val="005146D0"/>
    <w:rsid w:val="005203B1"/>
    <w:rsid w:val="005226E8"/>
    <w:rsid w:val="005318DF"/>
    <w:rsid w:val="0053336C"/>
    <w:rsid w:val="0054117D"/>
    <w:rsid w:val="005458EA"/>
    <w:rsid w:val="00545B32"/>
    <w:rsid w:val="00547C57"/>
    <w:rsid w:val="005623CE"/>
    <w:rsid w:val="0056426E"/>
    <w:rsid w:val="005666CC"/>
    <w:rsid w:val="00580C2D"/>
    <w:rsid w:val="00584C02"/>
    <w:rsid w:val="00590EE0"/>
    <w:rsid w:val="005B05F3"/>
    <w:rsid w:val="005C19F9"/>
    <w:rsid w:val="005D5639"/>
    <w:rsid w:val="005F4270"/>
    <w:rsid w:val="005F44F2"/>
    <w:rsid w:val="00610F34"/>
    <w:rsid w:val="006323AC"/>
    <w:rsid w:val="00653DB2"/>
    <w:rsid w:val="006622C8"/>
    <w:rsid w:val="00663269"/>
    <w:rsid w:val="006639F4"/>
    <w:rsid w:val="006913E9"/>
    <w:rsid w:val="00692393"/>
    <w:rsid w:val="00696B0F"/>
    <w:rsid w:val="006A081D"/>
    <w:rsid w:val="006D32CF"/>
    <w:rsid w:val="00710839"/>
    <w:rsid w:val="007131B6"/>
    <w:rsid w:val="00714490"/>
    <w:rsid w:val="007159D6"/>
    <w:rsid w:val="00720949"/>
    <w:rsid w:val="00723840"/>
    <w:rsid w:val="007336DF"/>
    <w:rsid w:val="00733EDC"/>
    <w:rsid w:val="00736A96"/>
    <w:rsid w:val="00751493"/>
    <w:rsid w:val="00761E72"/>
    <w:rsid w:val="007621DD"/>
    <w:rsid w:val="00777D5E"/>
    <w:rsid w:val="00792F8B"/>
    <w:rsid w:val="007D3F94"/>
    <w:rsid w:val="007D71DF"/>
    <w:rsid w:val="007E0FB1"/>
    <w:rsid w:val="007E6A49"/>
    <w:rsid w:val="00811A3E"/>
    <w:rsid w:val="00813C5B"/>
    <w:rsid w:val="008361DF"/>
    <w:rsid w:val="00844578"/>
    <w:rsid w:val="00865AC6"/>
    <w:rsid w:val="008742FC"/>
    <w:rsid w:val="00894FDF"/>
    <w:rsid w:val="008F1249"/>
    <w:rsid w:val="008F7BEB"/>
    <w:rsid w:val="00913B24"/>
    <w:rsid w:val="00917983"/>
    <w:rsid w:val="00920C76"/>
    <w:rsid w:val="009424CB"/>
    <w:rsid w:val="00944D2B"/>
    <w:rsid w:val="009740EF"/>
    <w:rsid w:val="00986811"/>
    <w:rsid w:val="00987CB0"/>
    <w:rsid w:val="009C0E46"/>
    <w:rsid w:val="009F70E6"/>
    <w:rsid w:val="00A05007"/>
    <w:rsid w:val="00A128A0"/>
    <w:rsid w:val="00A12F43"/>
    <w:rsid w:val="00A221F2"/>
    <w:rsid w:val="00A37154"/>
    <w:rsid w:val="00A508DC"/>
    <w:rsid w:val="00A54A21"/>
    <w:rsid w:val="00A902CF"/>
    <w:rsid w:val="00A92DB2"/>
    <w:rsid w:val="00A95BD4"/>
    <w:rsid w:val="00AA00D6"/>
    <w:rsid w:val="00AB0EB8"/>
    <w:rsid w:val="00AC17A8"/>
    <w:rsid w:val="00AC37DB"/>
    <w:rsid w:val="00B042B4"/>
    <w:rsid w:val="00B134A8"/>
    <w:rsid w:val="00B338AA"/>
    <w:rsid w:val="00B367CE"/>
    <w:rsid w:val="00B46045"/>
    <w:rsid w:val="00B95336"/>
    <w:rsid w:val="00BA3A78"/>
    <w:rsid w:val="00BA7D50"/>
    <w:rsid w:val="00BE47C1"/>
    <w:rsid w:val="00C02FA0"/>
    <w:rsid w:val="00C03889"/>
    <w:rsid w:val="00C07745"/>
    <w:rsid w:val="00C15F82"/>
    <w:rsid w:val="00C24827"/>
    <w:rsid w:val="00C26A58"/>
    <w:rsid w:val="00C27D89"/>
    <w:rsid w:val="00C30B6E"/>
    <w:rsid w:val="00C3638E"/>
    <w:rsid w:val="00C4748F"/>
    <w:rsid w:val="00C72FF9"/>
    <w:rsid w:val="00C87E77"/>
    <w:rsid w:val="00C90850"/>
    <w:rsid w:val="00C95065"/>
    <w:rsid w:val="00CA673F"/>
    <w:rsid w:val="00CD3C40"/>
    <w:rsid w:val="00D0253B"/>
    <w:rsid w:val="00D04E6A"/>
    <w:rsid w:val="00D06375"/>
    <w:rsid w:val="00D253DE"/>
    <w:rsid w:val="00D301A9"/>
    <w:rsid w:val="00D3440E"/>
    <w:rsid w:val="00D36E5D"/>
    <w:rsid w:val="00D52E26"/>
    <w:rsid w:val="00D6081B"/>
    <w:rsid w:val="00D62611"/>
    <w:rsid w:val="00D66734"/>
    <w:rsid w:val="00D67153"/>
    <w:rsid w:val="00D700E8"/>
    <w:rsid w:val="00D71CEF"/>
    <w:rsid w:val="00D868A2"/>
    <w:rsid w:val="00DA26A2"/>
    <w:rsid w:val="00DA40B2"/>
    <w:rsid w:val="00DA4DBF"/>
    <w:rsid w:val="00DB11B6"/>
    <w:rsid w:val="00DC1482"/>
    <w:rsid w:val="00DE5DB4"/>
    <w:rsid w:val="00DE6228"/>
    <w:rsid w:val="00E125FC"/>
    <w:rsid w:val="00E1339D"/>
    <w:rsid w:val="00E30038"/>
    <w:rsid w:val="00E4157B"/>
    <w:rsid w:val="00E44176"/>
    <w:rsid w:val="00E60F4E"/>
    <w:rsid w:val="00E62678"/>
    <w:rsid w:val="00E63AD7"/>
    <w:rsid w:val="00E70ECC"/>
    <w:rsid w:val="00EA3F84"/>
    <w:rsid w:val="00ED612A"/>
    <w:rsid w:val="00EE54B7"/>
    <w:rsid w:val="00EF556B"/>
    <w:rsid w:val="00F02618"/>
    <w:rsid w:val="00F07B0B"/>
    <w:rsid w:val="00F34FEE"/>
    <w:rsid w:val="00F400BD"/>
    <w:rsid w:val="00F40265"/>
    <w:rsid w:val="00F5148E"/>
    <w:rsid w:val="00F71623"/>
    <w:rsid w:val="00F724C3"/>
    <w:rsid w:val="00F7412F"/>
    <w:rsid w:val="00FB335B"/>
    <w:rsid w:val="00FB621B"/>
    <w:rsid w:val="00FC1303"/>
    <w:rsid w:val="00FC1F6C"/>
    <w:rsid w:val="00FC7782"/>
    <w:rsid w:val="00FD3A24"/>
    <w:rsid w:val="00FE1F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ED3C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65"/>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4026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4026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4026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4026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4026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4026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4026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A4D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4026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4026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40265"/>
    <w:rPr>
      <w:rFonts w:ascii="Palatino Linotype" w:hAnsi="Palatino Linotype"/>
      <w:noProof/>
      <w:color w:val="000000"/>
      <w:szCs w:val="18"/>
    </w:rPr>
  </w:style>
  <w:style w:type="paragraph" w:customStyle="1" w:styleId="MDPI32textnoindent">
    <w:name w:val="MDPI_3.2_text_no_indent"/>
    <w:basedOn w:val="MDPI31text"/>
    <w:qFormat/>
    <w:rsid w:val="00F40265"/>
    <w:pPr>
      <w:ind w:firstLine="0"/>
    </w:pPr>
  </w:style>
  <w:style w:type="paragraph" w:customStyle="1" w:styleId="MDPI31text">
    <w:name w:val="MDPI_3.1_text"/>
    <w:qFormat/>
    <w:rsid w:val="00C72FF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4026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4026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4026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E5DB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E5DB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4026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4026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4026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C608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4026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4026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4026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40265"/>
    <w:pPr>
      <w:keepNext/>
      <w:keepLines/>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40265"/>
    <w:pPr>
      <w:keepNext/>
      <w:keepLines/>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40265"/>
    <w:pPr>
      <w:keepNext/>
      <w:keepLines/>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EE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40265"/>
    <w:rPr>
      <w:rFonts w:cs="Tahoma"/>
      <w:szCs w:val="18"/>
    </w:rPr>
  </w:style>
  <w:style w:type="character" w:customStyle="1" w:styleId="BalloonTextChar">
    <w:name w:val="Balloon Text Char"/>
    <w:link w:val="BalloonText"/>
    <w:uiPriority w:val="99"/>
    <w:rsid w:val="00F40265"/>
    <w:rPr>
      <w:rFonts w:ascii="Palatino Linotype" w:hAnsi="Palatino Linotype" w:cs="Tahoma"/>
      <w:noProof/>
      <w:color w:val="000000"/>
      <w:szCs w:val="18"/>
    </w:rPr>
  </w:style>
  <w:style w:type="character" w:styleId="LineNumber">
    <w:name w:val="line number"/>
    <w:uiPriority w:val="99"/>
    <w:rsid w:val="00D66734"/>
    <w:rPr>
      <w:rFonts w:ascii="Palatino Linotype" w:hAnsi="Palatino Linotype"/>
      <w:sz w:val="16"/>
    </w:rPr>
  </w:style>
  <w:style w:type="table" w:customStyle="1" w:styleId="MDPI41threelinetable">
    <w:name w:val="MDPI_4.1_three_line_table"/>
    <w:basedOn w:val="TableNormal"/>
    <w:uiPriority w:val="99"/>
    <w:rsid w:val="00F4026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40265"/>
    <w:rPr>
      <w:color w:val="0000FF"/>
      <w:u w:val="single"/>
    </w:rPr>
  </w:style>
  <w:style w:type="character" w:styleId="UnresolvedMention">
    <w:name w:val="Unresolved Mention"/>
    <w:uiPriority w:val="99"/>
    <w:semiHidden/>
    <w:unhideWhenUsed/>
    <w:rsid w:val="00777D5E"/>
    <w:rPr>
      <w:color w:val="605E5C"/>
      <w:shd w:val="clear" w:color="auto" w:fill="E1DFDD"/>
    </w:rPr>
  </w:style>
  <w:style w:type="paragraph" w:styleId="Footer">
    <w:name w:val="footer"/>
    <w:basedOn w:val="Normal"/>
    <w:link w:val="FooterChar"/>
    <w:uiPriority w:val="99"/>
    <w:rsid w:val="00F4026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40265"/>
    <w:rPr>
      <w:rFonts w:ascii="Palatino Linotype" w:hAnsi="Palatino Linotype"/>
      <w:noProof/>
      <w:color w:val="000000"/>
      <w:szCs w:val="18"/>
    </w:rPr>
  </w:style>
  <w:style w:type="table" w:styleId="PlainTable4">
    <w:name w:val="Plain Table 4"/>
    <w:basedOn w:val="TableNormal"/>
    <w:uiPriority w:val="44"/>
    <w:rsid w:val="00A95B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4026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4026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4026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4026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4026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461C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4026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4026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5148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4026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40265"/>
  </w:style>
  <w:style w:type="paragraph" w:styleId="Bibliography">
    <w:name w:val="Bibliography"/>
    <w:basedOn w:val="Normal"/>
    <w:next w:val="Normal"/>
    <w:uiPriority w:val="37"/>
    <w:semiHidden/>
    <w:unhideWhenUsed/>
    <w:rsid w:val="00F40265"/>
  </w:style>
  <w:style w:type="paragraph" w:styleId="BodyText">
    <w:name w:val="Body Text"/>
    <w:link w:val="BodyTextChar"/>
    <w:rsid w:val="00F4026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40265"/>
    <w:rPr>
      <w:rFonts w:ascii="Palatino Linotype" w:hAnsi="Palatino Linotype"/>
      <w:color w:val="000000"/>
      <w:sz w:val="24"/>
      <w:lang w:eastAsia="de-DE"/>
    </w:rPr>
  </w:style>
  <w:style w:type="character" w:styleId="CommentReference">
    <w:name w:val="annotation reference"/>
    <w:rsid w:val="00F40265"/>
    <w:rPr>
      <w:sz w:val="21"/>
      <w:szCs w:val="21"/>
    </w:rPr>
  </w:style>
  <w:style w:type="paragraph" w:styleId="CommentText">
    <w:name w:val="annotation text"/>
    <w:basedOn w:val="Normal"/>
    <w:link w:val="CommentTextChar"/>
    <w:rsid w:val="00F40265"/>
  </w:style>
  <w:style w:type="character" w:customStyle="1" w:styleId="CommentTextChar">
    <w:name w:val="Comment Text Char"/>
    <w:link w:val="CommentText"/>
    <w:rsid w:val="00F40265"/>
    <w:rPr>
      <w:rFonts w:ascii="Palatino Linotype" w:hAnsi="Palatino Linotype"/>
      <w:noProof/>
      <w:color w:val="000000"/>
    </w:rPr>
  </w:style>
  <w:style w:type="paragraph" w:styleId="CommentSubject">
    <w:name w:val="annotation subject"/>
    <w:basedOn w:val="CommentText"/>
    <w:next w:val="CommentText"/>
    <w:link w:val="CommentSubjectChar"/>
    <w:rsid w:val="00F40265"/>
    <w:rPr>
      <w:b/>
      <w:bCs/>
    </w:rPr>
  </w:style>
  <w:style w:type="character" w:customStyle="1" w:styleId="CommentSubjectChar">
    <w:name w:val="Comment Subject Char"/>
    <w:link w:val="CommentSubject"/>
    <w:rsid w:val="00F40265"/>
    <w:rPr>
      <w:rFonts w:ascii="Palatino Linotype" w:hAnsi="Palatino Linotype"/>
      <w:b/>
      <w:bCs/>
      <w:noProof/>
      <w:color w:val="000000"/>
    </w:rPr>
  </w:style>
  <w:style w:type="character" w:styleId="EndnoteReference">
    <w:name w:val="endnote reference"/>
    <w:rsid w:val="00F40265"/>
    <w:rPr>
      <w:vertAlign w:val="superscript"/>
    </w:rPr>
  </w:style>
  <w:style w:type="paragraph" w:styleId="EndnoteText">
    <w:name w:val="endnote text"/>
    <w:basedOn w:val="Normal"/>
    <w:link w:val="EndnoteTextChar"/>
    <w:semiHidden/>
    <w:unhideWhenUsed/>
    <w:rsid w:val="00F40265"/>
    <w:pPr>
      <w:spacing w:line="240" w:lineRule="auto"/>
    </w:pPr>
  </w:style>
  <w:style w:type="character" w:customStyle="1" w:styleId="EndnoteTextChar">
    <w:name w:val="Endnote Text Char"/>
    <w:link w:val="EndnoteText"/>
    <w:semiHidden/>
    <w:rsid w:val="00F40265"/>
    <w:rPr>
      <w:rFonts w:ascii="Palatino Linotype" w:hAnsi="Palatino Linotype"/>
      <w:noProof/>
      <w:color w:val="000000"/>
    </w:rPr>
  </w:style>
  <w:style w:type="character" w:styleId="FollowedHyperlink">
    <w:name w:val="FollowedHyperlink"/>
    <w:rsid w:val="00F40265"/>
    <w:rPr>
      <w:color w:val="954F72"/>
      <w:u w:val="single"/>
    </w:rPr>
  </w:style>
  <w:style w:type="paragraph" w:styleId="FootnoteText">
    <w:name w:val="footnote text"/>
    <w:basedOn w:val="Normal"/>
    <w:link w:val="FootnoteTextChar"/>
    <w:semiHidden/>
    <w:unhideWhenUsed/>
    <w:rsid w:val="00F40265"/>
    <w:pPr>
      <w:spacing w:line="240" w:lineRule="auto"/>
    </w:pPr>
  </w:style>
  <w:style w:type="character" w:customStyle="1" w:styleId="FootnoteTextChar">
    <w:name w:val="Footnote Text Char"/>
    <w:link w:val="FootnoteText"/>
    <w:semiHidden/>
    <w:rsid w:val="00F40265"/>
    <w:rPr>
      <w:rFonts w:ascii="Palatino Linotype" w:hAnsi="Palatino Linotype"/>
      <w:noProof/>
      <w:color w:val="000000"/>
    </w:rPr>
  </w:style>
  <w:style w:type="paragraph" w:styleId="NormalWeb">
    <w:name w:val="Normal (Web)"/>
    <w:basedOn w:val="Normal"/>
    <w:uiPriority w:val="99"/>
    <w:rsid w:val="00F40265"/>
    <w:rPr>
      <w:szCs w:val="24"/>
    </w:rPr>
  </w:style>
  <w:style w:type="paragraph" w:customStyle="1" w:styleId="MsoFootnoteText0">
    <w:name w:val="MsoFootnoteText"/>
    <w:basedOn w:val="NormalWeb"/>
    <w:qFormat/>
    <w:rsid w:val="00F40265"/>
    <w:rPr>
      <w:rFonts w:ascii="Times New Roman" w:hAnsi="Times New Roman"/>
    </w:rPr>
  </w:style>
  <w:style w:type="character" w:styleId="PageNumber">
    <w:name w:val="page number"/>
    <w:rsid w:val="00F40265"/>
  </w:style>
  <w:style w:type="character" w:styleId="PlaceholderText">
    <w:name w:val="Placeholder Text"/>
    <w:uiPriority w:val="99"/>
    <w:semiHidden/>
    <w:rsid w:val="00F40265"/>
    <w:rPr>
      <w:color w:val="808080"/>
    </w:rPr>
  </w:style>
  <w:style w:type="paragraph" w:customStyle="1" w:styleId="MDPI71footnotes">
    <w:name w:val="MDPI_7.1_footnotes"/>
    <w:qFormat/>
    <w:rsid w:val="00A05007"/>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10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footer" Target="footer2.xml"/><Relationship Id="rId20"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behavsci-template.dot</Template>
  <TotalTime>0</TotalTime>
  <Pages>2</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2025-08-12T07:49:00Z</dcterms:created>
  <dcterms:modified xsi:type="dcterms:W3CDTF">2025-08-12T07:49:00Z</dcterms:modified>
</cp:coreProperties>
</file>