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MDPI11articletype"/>
      </w:pPr>
      <w:r>
        <w:t>Article</w:t>
      </w:r>
    </w:p>
    <w:p>
      <w:pPr>
        <w:pStyle w:val="MDPI12title"/>
      </w:pPr>
      <w:r>
        <w:t>Early-Career Choices in the Era of Generative AI: Human Capital Depreciation, Career Anxiety, and Occupational Adaptation Among Fresh Graduates</w:t>
      </w:r>
    </w:p>
    <w:p>
      <w:pPr>
        <w:pStyle w:val="MDPI13authornames"/>
      </w:pPr>
      <w:r>
        <w:rPr/>
        <w:t xml:space="preserve">Xinyu Cai </w:t>
      </w:r>
      <w:r>
        <w:rPr>
          <w:vertAlign w:val="superscript"/>
        </w:rPr>
        <w:t>1</w:t>
      </w:r>
      <w:r>
        <w:rPr/>
        <w:t xml:space="preserve"> and Tiantian Mo </w:t>
      </w:r>
      <w:r>
        <w:rPr>
          <w:vertAlign w:val="superscript"/>
        </w:rPr>
        <w:t>1,*</w:t>
      </w:r>
    </w:p>
    <w:p>
      <w:pPr>
        <w:pStyle w:val="MDPI15academiceditor"/>
      </w:pPr>
      <w:r>
        <w:t>Academic Editor: Firstname Lastname</w:t>
      </w:r>
    </w:p>
    <w:p>
      <w:pPr>
        <w:pStyle w:val="MDPI14history"/>
      </w:pPr>
      <w:r>
        <w:t>Received: date</w:t>
      </w:r>
    </w:p>
    <w:p>
      <w:pPr>
        <w:pStyle w:val="MDPI14history"/>
      </w:pPr>
      <w:r>
        <w:t>Revised: date</w:t>
      </w:r>
    </w:p>
    <w:p>
      <w:pPr>
        <w:pStyle w:val="MDPI14history"/>
      </w:pPr>
      <w:r>
        <w:t>Accepted: date</w:t>
      </w:r>
    </w:p>
    <w:p>
      <w:pPr>
        <w:pStyle w:val="MDPI14history"/>
      </w:pPr>
      <w:r>
        <w:t>Published: date</w:t>
      </w:r>
    </w:p>
    <w:p>
      <w:pPr>
        <w:pStyle w:val="MDPI61citation"/>
      </w:pPr>
      <w:r>
        <w:t>Citation: To be added by editorial staff during production.</w:t>
      </w:r>
    </w:p>
    <w:p>
      <w:pPr>
        <w:pStyle w:val="MDPI72copyright"/>
      </w:pPr>
      <w:r>
        <w:t>Copyright: © 2025 by the authors. Submitted for possible open access publication under the terms and conditions of the Creative Commons Attribution (CC BY) license (https://creativecommons.org/licenses/by/4.0/).</w:t>
      </w:r>
    </w:p>
    <w:p>
      <w:pPr>
        <w:pStyle w:val="MDPI16affiliation"/>
      </w:pPr>
      <w:r>
        <w:rPr>
          <w:b w:val="0"/>
          <w:vertAlign w:val="superscript"/>
        </w:rPr>
        <w:t>1</w:t>
      </w:r>
      <w:r>
        <w:tab/>
        <w:t>College of Business, Jiaxing University, Jiaxing 314001, China; caixinyu@zjxu.edu.cn</w:t>
      </w:r>
    </w:p>
    <w:p>
      <w:pPr>
        <w:pStyle w:val="MDPI16affiliation"/>
      </w:pPr>
      <w:r>
        <w:rPr>
          <w:b/>
        </w:rPr>
        <w:t>*</w:t>
      </w:r>
      <w:r>
        <w:tab/>
        <w:t>Correspondence: 00008227@zjxu.edu.cn</w:t>
      </w:r>
    </w:p>
    <w:p>
      <w:pPr>
        <w:pStyle w:val="MDPI17abstract"/>
      </w:pPr>
      <w:r>
        <w:rPr>
          <w:b/>
        </w:rPr>
        <w:t>Highlights</w:t>
      </w:r>
    </w:p>
    <w:p>
      <w:pPr>
        <w:pStyle w:val="MDPI17abstract"/>
      </w:pPr>
      <w:r>
        <w:rPr>
          <w:b/>
        </w:rPr>
        <w:t>What are the main findings?</w:t>
      </w:r>
    </w:p>
    <w:p>
      <w:pPr>
        <w:pStyle w:val="MDPI17abstract"/>
        <w:ind w:left="2888" w:hanging="200"/>
      </w:pPr>
      <w:r>
        <w:t>•</w:t>
        <w:tab/>
      </w:r>
      <w:r>
        <w:rPr>
          <w:b w:val="0"/>
          <w:i w:val="0"/>
        </w:rPr>
        <w:t>AI-related career anxiety converts into occupational adaptation along an inverted U-shaped path: adaptation peaks 0.37 standard deviations above mean anxiety, 38.5 percent of fresh graduates already stand beyond that turning point, and career avoidance rises monotonically with anxiety.</w:t>
      </w:r>
    </w:p>
    <w:p>
      <w:pPr>
        <w:pStyle w:val="MDPI17abstract"/>
        <w:ind w:left="2888" w:hanging="200"/>
      </w:pPr>
      <w:r>
        <w:t>•</w:t>
        <w:tab/>
      </w:r>
      <w:r>
        <w:rPr>
          <w:b w:val="0"/>
          <w:i w:val="0"/>
        </w:rPr>
        <w:t>Fuzzy-set qualitative comparative analysis identifies a single sufficient configuration for high adaptation — the conjunction of anxiety, generative-AI literacy, and employability support (consistency 0.892) — while no single condition is necessary and anxiety alone never suffices.</w:t>
      </w:r>
    </w:p>
    <w:p>
      <w:pPr>
        <w:pStyle w:val="MDPI17abstract"/>
      </w:pPr>
      <w:r>
        <w:rPr>
          <w:b/>
        </w:rPr>
        <w:t>What are the implications of the main findings?</w:t>
      </w:r>
    </w:p>
    <w:p>
      <w:pPr>
        <w:pStyle w:val="MDPI17abstract"/>
        <w:ind w:left="2888" w:hanging="200"/>
      </w:pPr>
      <w:r>
        <w:t>•</w:t>
        <w:tab/>
      </w:r>
      <w:r>
        <w:rPr>
          <w:b w:val="0"/>
          <w:i w:val="0"/>
        </w:rPr>
        <w:t>Treating career anxiety as the error signal of an adaptive feedback loop, rather than as a hazard to be reduced, extends systems practice to individual-level workforce transformation: the loop’s transmission, saturation, and conjunctural logic are each estimated rather than assumed.</w:t>
      </w:r>
    </w:p>
    <w:p>
      <w:pPr>
        <w:pStyle w:val="MDPI17abstract"/>
        <w:ind w:left="2888" w:hanging="200"/>
      </w:pPr>
      <w:r>
        <w:t>•</w:t>
        <w:tab/>
      </w:r>
      <w:r>
        <w:rPr>
          <w:b w:val="0"/>
          <w:i w:val="0"/>
        </w:rPr>
        <w:t>Universities, employers, and policymakers should pair any communication of AI-related threat with tool access, training time, and visible transition infrastructure, because capability and support — not reassurance — determine whether a record graduate cohort’s anxiety becomes adaptation or avoidance.</w:t>
      </w:r>
    </w:p>
    <w:p>
      <w:pPr>
        <w:pStyle w:val="MDPI17abstract"/>
      </w:pPr>
      <w:r>
        <w:rPr>
          <w:b/>
        </w:rPr>
        <w:t>Abstract</w:t>
      </w:r>
    </w:p>
    <w:p>
      <w:pPr>
        <w:pStyle w:val="MDPI17abstract"/>
      </w:pPr>
      <w:r>
        <w:rPr>
          <w:b w:val="0"/>
          <w:i w:val="0"/>
        </w:rPr>
        <w:t>As generative artificial intelligence (GenAI) becomes most capable at precisely the entry-level tasks from which early careers have traditionally been built, fresh graduates must make their first occupational choices under conditions no previous cohort has faced. Drawing on socio-technical systems theory and a cybernetic control perspective, this study investigates how graduates’ perceived human capital depreciation translates into AI-related career anxiety and, in turn, into occupational adaptation or career avoidance, and which combinations of conditions govern this process. Using a two-wave survey of 1,247 Chinese fresh graduates within three years of graduation (914 matched across waves, with behavioral outcomes measured six months after their antecedents), we employ confirmatory factor analysis, bootstrapped conditional-process models, and fuzzy-set qualitative comparative analysis (fsQCA). The study finds that (1) perceived human capital depreciation significantly raises AI-related career anxiety (β = 0.487), and perceived employability support buffers this first stage, reducing the pass-through from 0.64 to 0.33; (2) career anxiety exhibits an inverted U-shaped relationship with occupational adaptation, with a turning point 0.37 standard deviations above the mean anxiety level, beyond which 38.5 percent of graduates already fall, whereas career avoidance rises monotonically; (3) GenAI literacy displaces the turning point outward from 0.07 to 0.66 standard deviations, extending the range over which anxiety remains productive; and (4) the fsQCA identifies a single sufficient configuration for high adaptation, the conjunction of anxiety, literacy, and support (consistency 0.892), with no necessary condition and no consistent configuration for its negation, so anxiety alone never suffices. This study deepens the systems understanding of GenAI-era workforce development by modeling career anxiety as the error signal of an adaptive feedback loop, and offers practical guidance for universities, employers, and policymakers seeking to convert a record cohort’s anxiety into adaptation rather than avoidance.</w:t>
      </w:r>
    </w:p>
    <w:p>
      <w:pPr>
        <w:pStyle w:val="MDPI18keywords"/>
      </w:pPr>
      <w:r>
        <w:rPr>
          <w:b/>
        </w:rPr>
        <w:t xml:space="preserve">Keywords: </w:t>
      </w:r>
      <w:r>
        <w:t>generative artificial intelligence; career anxiety; human capital depreciation; occupational adaptation; socio-technical systems</w:t>
      </w:r>
    </w:p>
    <w:p>
      <w:pPr>
        <w:pStyle w:val="MDPI19line"/>
      </w:pPr>
    </w:p>
    <w:p>
      <w:pPr>
        <w:pStyle w:val="MDPI21heading1"/>
      </w:pPr>
      <w:r>
        <w:t>1. Introduction</w:t>
      </w:r>
    </w:p>
    <w:p>
      <w:pPr>
        <w:pStyle w:val="MDPI32textnoindent"/>
      </w:pPr>
      <w:r>
        <w:rPr>
          <w:b w:val="0"/>
          <w:i w:val="0"/>
        </w:rPr>
        <w:t xml:space="preserve">Generative artificial intelligence is reshaping the entry point of professional labor markets. The technology performs best on the codifiable, language-intensive, and well-specified tasks that have traditionally been assigned to the newest members of the professions </w:t>
      </w:r>
      <w:r>
        <w:t>[</w:t>
      </w:r>
      <w:r>
        <w:fldChar w:fldCharType="begin"/>
      </w:r>
      <w:r>
        <w:instrText xml:space="preserve"> REF _Ref_1 \h </w:instrText>
      </w:r>
      <w:r>
        <w:fldChar w:fldCharType="separate"/>
      </w:r>
      <w:r>
        <w:t>1</w:t>
      </w:r>
      <w:r>
        <w:fldChar w:fldCharType="end"/>
      </w:r>
      <w:r>
        <w:t>–</w:t>
      </w:r>
      <w:r>
        <w:fldChar w:fldCharType="begin"/>
      </w:r>
      <w:r>
        <w:instrText xml:space="preserve"> REF _Ref_3 \h </w:instrText>
      </w:r>
      <w:r>
        <w:fldChar w:fldCharType="separate"/>
      </w:r>
      <w:r>
        <w:t>3</w:t>
      </w:r>
      <w:r>
        <w:fldChar w:fldCharType="end"/>
      </w:r>
      <w:r>
        <w:t>]</w:t>
      </w:r>
      <w:r>
        <w:rPr>
          <w:b w:val="0"/>
          <w:i w:val="0"/>
        </w:rPr>
        <w:t xml:space="preserve">. Recent evidence shows entry positions contracting where the technology is adopted: junior-heavy hiring falls in exposed occupations </w:t>
      </w:r>
      <w:r>
        <w:t>[</w:t>
      </w:r>
      <w:r>
        <w:fldChar w:fldCharType="begin"/>
      </w:r>
      <w:r>
        <w:instrText xml:space="preserve"> REF _Ref_4 \h </w:instrText>
      </w:r>
      <w:r>
        <w:fldChar w:fldCharType="separate"/>
      </w:r>
      <w:r>
        <w:t>4</w:t>
      </w:r>
      <w:r>
        <w:fldChar w:fldCharType="end"/>
      </w:r>
      <w:r>
        <w:t>,</w:t>
      </w:r>
      <w:r>
        <w:fldChar w:fldCharType="begin"/>
      </w:r>
      <w:r>
        <w:instrText xml:space="preserve"> REF _Ref_5 \h </w:instrText>
      </w:r>
      <w:r>
        <w:fldChar w:fldCharType="separate"/>
      </w:r>
      <w:r>
        <w:t>5</w:t>
      </w:r>
      <w:r>
        <w:fldChar w:fldCharType="end"/>
      </w:r>
      <w:r>
        <w:t>]</w:t>
      </w:r>
      <w:r>
        <w:rPr>
          <w:b w:val="0"/>
          <w:i w:val="0"/>
        </w:rPr>
        <w:t xml:space="preserve">, the productivity gains of the technology accrue disproportionately to novices while the demand for novices weakens </w:t>
      </w:r>
      <w:r>
        <w:t>[</w:t>
      </w:r>
      <w:r>
        <w:fldChar w:fldCharType="begin"/>
      </w:r>
      <w:r>
        <w:instrText xml:space="preserve"> REF _Ref_6 \h </w:instrText>
      </w:r>
      <w:r>
        <w:fldChar w:fldCharType="separate"/>
      </w:r>
      <w:r>
        <w:t>6</w:t>
      </w:r>
      <w:r>
        <w:fldChar w:fldCharType="end"/>
      </w:r>
      <w:r>
        <w:t>,</w:t>
      </w:r>
      <w:r>
        <w:fldChar w:fldCharType="begin"/>
      </w:r>
      <w:r>
        <w:instrText xml:space="preserve"> REF _Ref_7 \h </w:instrText>
      </w:r>
      <w:r>
        <w:fldChar w:fldCharType="separate"/>
      </w:r>
      <w:r>
        <w:t>7</w:t>
      </w:r>
      <w:r>
        <w:fldChar w:fldCharType="end"/>
      </w:r>
      <w:r>
        <w:t>]</w:t>
      </w:r>
      <w:r>
        <w:rPr>
          <w:b w:val="0"/>
          <w:i w:val="0"/>
        </w:rPr>
        <w:t xml:space="preserve">, and employers increasingly describe entry roles in terms of supervising machine output rather than producing it </w:t>
      </w:r>
      <w:r>
        <w:t>[</w:t>
      </w:r>
      <w:r>
        <w:fldChar w:fldCharType="begin"/>
      </w:r>
      <w:r>
        <w:instrText xml:space="preserve"> REF _Ref_8 \h </w:instrText>
      </w:r>
      <w:r>
        <w:fldChar w:fldCharType="separate"/>
      </w:r>
      <w:r>
        <w:t>8</w:t>
      </w:r>
      <w:r>
        <w:fldChar w:fldCharType="end"/>
      </w:r>
      <w:r>
        <w:t>,</w:t>
      </w:r>
      <w:r>
        <w:fldChar w:fldCharType="begin"/>
      </w:r>
      <w:r>
        <w:instrText xml:space="preserve"> REF _Ref_9 \h </w:instrText>
      </w:r>
      <w:r>
        <w:fldChar w:fldCharType="separate"/>
      </w:r>
      <w:r>
        <w:t>9</w:t>
      </w:r>
      <w:r>
        <w:fldChar w:fldCharType="end"/>
      </w:r>
      <w:r>
        <w:t>]</w:t>
      </w:r>
      <w:r>
        <w:rPr>
          <w:b w:val="0"/>
          <w:i w:val="0"/>
        </w:rPr>
        <w:t xml:space="preserve">. For the roughly twelve million students who now graduate from Chinese higher education each year </w:t>
      </w:r>
      <w:r>
        <w:t>[</w:t>
      </w:r>
      <w:r>
        <w:fldChar w:fldCharType="begin"/>
      </w:r>
      <w:r>
        <w:instrText xml:space="preserve"> REF _Ref_10 \h </w:instrText>
      </w:r>
      <w:r>
        <w:fldChar w:fldCharType="separate"/>
      </w:r>
      <w:r>
        <w:t>10</w:t>
      </w:r>
      <w:r>
        <w:fldChar w:fldCharType="end"/>
      </w:r>
      <w:r>
        <w:t>,</w:t>
      </w:r>
      <w:r>
        <w:fldChar w:fldCharType="begin"/>
      </w:r>
      <w:r>
        <w:instrText xml:space="preserve"> REF _Ref_11 \h </w:instrText>
      </w:r>
      <w:r>
        <w:fldChar w:fldCharType="separate"/>
      </w:r>
      <w:r>
        <w:t>11</w:t>
      </w:r>
      <w:r>
        <w:fldChar w:fldCharType="end"/>
      </w:r>
      <w:r>
        <w:t>]</w:t>
      </w:r>
      <w:r>
        <w:rPr>
          <w:b w:val="0"/>
          <w:i w:val="0"/>
        </w:rPr>
        <w:t>, these developments define the conditions under which the first occupation, the first investments in skill, and the first revisions of both must be chosen.</w:t>
      </w:r>
    </w:p>
    <w:p>
      <w:pPr>
        <w:pStyle w:val="MDPI31text"/>
      </w:pPr>
      <w:r>
        <w:rPr>
          <w:b w:val="0"/>
          <w:i w:val="0"/>
        </w:rPr>
        <w:t xml:space="preserve">However, the existing literature has examined this collision almost exclusively from the demand side of the labor market </w:t>
      </w:r>
      <w:r>
        <w:t>[</w:t>
      </w:r>
      <w:r>
        <w:fldChar w:fldCharType="begin"/>
      </w:r>
      <w:r>
        <w:instrText xml:space="preserve"> REF _Ref_12 \h </w:instrText>
      </w:r>
      <w:r>
        <w:fldChar w:fldCharType="separate"/>
      </w:r>
      <w:r>
        <w:t>12</w:t>
      </w:r>
      <w:r>
        <w:fldChar w:fldCharType="end"/>
      </w:r>
      <w:r>
        <w:t>–</w:t>
      </w:r>
      <w:r>
        <w:fldChar w:fldCharType="begin"/>
      </w:r>
      <w:r>
        <w:instrText xml:space="preserve"> REF _Ref_14 \h </w:instrText>
      </w:r>
      <w:r>
        <w:fldChar w:fldCharType="separate"/>
      </w:r>
      <w:r>
        <w:t>14</w:t>
      </w:r>
      <w:r>
        <w:fldChar w:fldCharType="end"/>
      </w:r>
      <w:r>
        <w:t>]</w:t>
      </w:r>
      <w:r>
        <w:rPr>
          <w:b w:val="0"/>
          <w:i w:val="0"/>
        </w:rPr>
        <w:t xml:space="preserve">. Much less is known about the supply side: how the entrants themselves perceive the depreciation of their just-acquired human capital, what that perception does to them psychologically, and when the resulting emotion converts into behavior that improves their position rather than behavior that worsens it. The question is of considerable practical importance, because early-career scarring is among the most persistent phenomena in labor economics: cohorts that stumble at entry carry lower earnings and worse matches for a decade or more </w:t>
      </w:r>
      <w:r>
        <w:t>[</w:t>
      </w:r>
      <w:r>
        <w:fldChar w:fldCharType="begin"/>
      </w:r>
      <w:r>
        <w:instrText xml:space="preserve"> REF _Ref_15 \h </w:instrText>
      </w:r>
      <w:r>
        <w:fldChar w:fldCharType="separate"/>
      </w:r>
      <w:r>
        <w:t>15</w:t>
      </w:r>
      <w:r>
        <w:fldChar w:fldCharType="end"/>
      </w:r>
      <w:r>
        <w:t>–</w:t>
      </w:r>
      <w:r>
        <w:fldChar w:fldCharType="begin"/>
      </w:r>
      <w:r>
        <w:instrText xml:space="preserve"> REF _Ref_18 \h </w:instrText>
      </w:r>
      <w:r>
        <w:fldChar w:fldCharType="separate"/>
      </w:r>
      <w:r>
        <w:t>18</w:t>
      </w:r>
      <w:r>
        <w:fldChar w:fldCharType="end"/>
      </w:r>
      <w:r>
        <w:t>]</w:t>
      </w:r>
      <w:r>
        <w:rPr>
          <w:b w:val="0"/>
          <w:i w:val="0"/>
        </w:rPr>
        <w:t>. If the first cohort of the GenAI era responds to depreciation signals with paralysis rather than adaptation, the technology’s distributional effects will be amplified by the psychology of those it displaces.</w:t>
      </w:r>
    </w:p>
    <w:p>
      <w:pPr>
        <w:pStyle w:val="MDPI31text"/>
      </w:pPr>
      <w:r>
        <w:rPr>
          <w:b w:val="0"/>
          <w:i w:val="0"/>
        </w:rPr>
        <w:t xml:space="preserve">The emerging research on artificial-intelligence anxiety has begun to document how workers feel about intelligent technologies </w:t>
      </w:r>
      <w:r>
        <w:t>[</w:t>
      </w:r>
      <w:r>
        <w:fldChar w:fldCharType="begin"/>
      </w:r>
      <w:r>
        <w:instrText xml:space="preserve"> REF _Ref_19 \h </w:instrText>
      </w:r>
      <w:r>
        <w:fldChar w:fldCharType="separate"/>
      </w:r>
      <w:r>
        <w:t>19</w:t>
      </w:r>
      <w:r>
        <w:fldChar w:fldCharType="end"/>
      </w:r>
      <w:r>
        <w:t>–</w:t>
      </w:r>
      <w:r>
        <w:fldChar w:fldCharType="begin"/>
      </w:r>
      <w:r>
        <w:instrText xml:space="preserve"> REF _Ref_22 \h </w:instrText>
      </w:r>
      <w:r>
        <w:fldChar w:fldCharType="separate"/>
      </w:r>
      <w:r>
        <w:t>22</w:t>
      </w:r>
      <w:r>
        <w:fldChar w:fldCharType="end"/>
      </w:r>
      <w:r>
        <w:t>]</w:t>
      </w:r>
      <w:r>
        <w:rPr>
          <w:b w:val="0"/>
          <w:i w:val="0"/>
        </w:rPr>
        <w:t xml:space="preserve">. Nevertheless, three gaps remain. Firstly, most studies treat anxiety as an outcome to be predicted or a hazard to be reduced, and therefore estimate only monotonic relationships between anxiety and behavior; whether anxiety can mobilize adaptive behavior within one range and suppress it within another has not been tested. Secondly, anxiety, capability, and institutional support have been studied separately, so it is unknown which combinations of these conditions are jointly sufficient for adaptive behavior. Thirdly, the population that matters most for workforce transformation — fresh graduates making their first occupational choices — has rarely been examined, even though students’ perceptions of generative technologies are documented to be intense and ambivalent </w:t>
      </w:r>
      <w:r>
        <w:t>[</w:t>
      </w:r>
      <w:r>
        <w:fldChar w:fldCharType="begin"/>
      </w:r>
      <w:r>
        <w:instrText xml:space="preserve"> REF _Ref_23 \h </w:instrText>
      </w:r>
      <w:r>
        <w:fldChar w:fldCharType="separate"/>
      </w:r>
      <w:r>
        <w:t>23</w:t>
      </w:r>
      <w:r>
        <w:fldChar w:fldCharType="end"/>
      </w:r>
      <w:r>
        <w:t>]</w:t>
      </w:r>
      <w:r>
        <w:rPr>
          <w:b w:val="0"/>
          <w:i w:val="0"/>
        </w:rPr>
        <w:t>.</w:t>
      </w:r>
    </w:p>
    <w:p>
      <w:pPr>
        <w:pStyle w:val="MDPI31text"/>
      </w:pPr>
      <w:r>
        <w:rPr>
          <w:b w:val="0"/>
          <w:i w:val="0"/>
        </w:rPr>
        <w:t xml:space="preserve">To address these gaps, this study adopts an explicitly systems-theoretic position. Drawing on socio-technical systems theory </w:t>
      </w:r>
      <w:r>
        <w:t>[</w:t>
      </w:r>
      <w:r>
        <w:fldChar w:fldCharType="begin"/>
      </w:r>
      <w:r>
        <w:instrText xml:space="preserve"> REF _Ref_24 \h </w:instrText>
      </w:r>
      <w:r>
        <w:fldChar w:fldCharType="separate"/>
      </w:r>
      <w:r>
        <w:t>24</w:t>
      </w:r>
      <w:r>
        <w:fldChar w:fldCharType="end"/>
      </w:r>
      <w:r>
        <w:t>–</w:t>
      </w:r>
      <w:r>
        <w:fldChar w:fldCharType="begin"/>
      </w:r>
      <w:r>
        <w:instrText xml:space="preserve"> REF _Ref_26 \h </w:instrText>
      </w:r>
      <w:r>
        <w:fldChar w:fldCharType="separate"/>
      </w:r>
      <w:r>
        <w:t>26</w:t>
      </w:r>
      <w:r>
        <w:fldChar w:fldCharType="end"/>
      </w:r>
      <w:r>
        <w:t>]</w:t>
      </w:r>
      <w:r>
        <w:rPr>
          <w:b w:val="0"/>
          <w:i w:val="0"/>
        </w:rPr>
        <w:t xml:space="preserve"> and the cybernetic tradition </w:t>
      </w:r>
      <w:r>
        <w:t>[</w:t>
      </w:r>
      <w:r>
        <w:fldChar w:fldCharType="begin"/>
      </w:r>
      <w:r>
        <w:instrText xml:space="preserve"> REF _Ref_27 \h </w:instrText>
      </w:r>
      <w:r>
        <w:fldChar w:fldCharType="separate"/>
      </w:r>
      <w:r>
        <w:t>27</w:t>
      </w:r>
      <w:r>
        <w:fldChar w:fldCharType="end"/>
      </w:r>
      <w:r>
        <w:t>–</w:t>
      </w:r>
      <w:r>
        <w:fldChar w:fldCharType="begin"/>
      </w:r>
      <w:r>
        <w:instrText xml:space="preserve"> REF _Ref_29 \h </w:instrText>
      </w:r>
      <w:r>
        <w:fldChar w:fldCharType="separate"/>
      </w:r>
      <w:r>
        <w:t>29</w:t>
      </w:r>
      <w:r>
        <w:fldChar w:fldCharType="end"/>
      </w:r>
      <w:r>
        <w:t>]</w:t>
      </w:r>
      <w:r>
        <w:rPr>
          <w:b w:val="0"/>
          <w:i w:val="0"/>
        </w:rPr>
        <w:t>, the fresh graduate is modeled as an adaptive agent inside a socio-technical labor system: the perception of human capital depreciation is the input signal, AI-related career anxiety is the error signal of a control loop that compares the career one expected with the career one is likely to obtain, and occupational adaptation or career avoidance is the behavioral output through which the loop closes. Three testable properties follow from this framing. A control signal should transmit the input (mediation); an error signal that saturates should stop producing corrective action at high amplitude (nonlinearity); and the corrective action should depend on the actuators available to the agent, namely capability and support (conjunction). The empirical design of this study maps directly onto these three properties.</w:t>
      </w:r>
    </w:p>
    <w:p>
      <w:pPr>
        <w:pStyle w:val="MDPI31text"/>
      </w:pPr>
      <w:r>
        <w:rPr>
          <w:b w:val="0"/>
          <w:i w:val="0"/>
        </w:rPr>
        <w:t xml:space="preserve">This study employs a two-wave questionnaire survey of 1,247 Chinese fresh graduates within thirty-six months of graduation, with psychological antecedents measured at the first wave and behavioral outcomes measured six months later, and combines confirmatory factor analysis, bootstrapped conditional-process models with an explicitly curvilinear second stage </w:t>
      </w:r>
      <w:r>
        <w:t>[</w:t>
      </w:r>
      <w:r>
        <w:fldChar w:fldCharType="begin"/>
      </w:r>
      <w:r>
        <w:instrText xml:space="preserve"> REF _Ref_30 \h </w:instrText>
      </w:r>
      <w:r>
        <w:fldChar w:fldCharType="separate"/>
      </w:r>
      <w:r>
        <w:t>30</w:t>
      </w:r>
      <w:r>
        <w:fldChar w:fldCharType="end"/>
      </w:r>
      <w:r>
        <w:t>–</w:t>
      </w:r>
      <w:r>
        <w:fldChar w:fldCharType="begin"/>
      </w:r>
      <w:r>
        <w:instrText xml:space="preserve"> REF _Ref_33 \h </w:instrText>
      </w:r>
      <w:r>
        <w:fldChar w:fldCharType="separate"/>
      </w:r>
      <w:r>
        <w:t>33</w:t>
      </w:r>
      <w:r>
        <w:fldChar w:fldCharType="end"/>
      </w:r>
      <w:r>
        <w:t>]</w:t>
      </w:r>
      <w:r>
        <w:rPr>
          <w:b w:val="0"/>
          <w:i w:val="0"/>
        </w:rPr>
        <w:t xml:space="preserve">, and fuzzy-set qualitative comparative analysis </w:t>
      </w:r>
      <w:r>
        <w:t>[</w:t>
      </w:r>
      <w:r>
        <w:fldChar w:fldCharType="begin"/>
      </w:r>
      <w:r>
        <w:instrText xml:space="preserve"> REF _Ref_34 \h </w:instrText>
      </w:r>
      <w:r>
        <w:fldChar w:fldCharType="separate"/>
      </w:r>
      <w:r>
        <w:t>34</w:t>
      </w:r>
      <w:r>
        <w:fldChar w:fldCharType="end"/>
      </w:r>
      <w:r>
        <w:t>–</w:t>
      </w:r>
      <w:r>
        <w:fldChar w:fldCharType="begin"/>
      </w:r>
      <w:r>
        <w:instrText xml:space="preserve"> REF _Ref_36 \h </w:instrText>
      </w:r>
      <w:r>
        <w:fldChar w:fldCharType="separate"/>
      </w:r>
      <w:r>
        <w:t>36</w:t>
      </w:r>
      <w:r>
        <w:fldChar w:fldCharType="end"/>
      </w:r>
      <w:r>
        <w:t>]</w:t>
      </w:r>
      <w:r>
        <w:rPr>
          <w:b w:val="0"/>
          <w:i w:val="0"/>
        </w:rPr>
        <w:t xml:space="preserve">. The research conclusions can help universities, employers, and policymakers recognize that the conversion of anxiety into adaptation depends on capability and support rather than on the level of anxiety alone, and provide both theoretical and practical guidance for workforce development in the GenAI era </w:t>
      </w:r>
      <w:r>
        <w:t>[</w:t>
      </w:r>
      <w:r>
        <w:fldChar w:fldCharType="begin"/>
      </w:r>
      <w:r>
        <w:instrText xml:space="preserve"> REF _Ref_37 \h </w:instrText>
      </w:r>
      <w:r>
        <w:fldChar w:fldCharType="separate"/>
      </w:r>
      <w:r>
        <w:t>37</w:t>
      </w:r>
      <w:r>
        <w:fldChar w:fldCharType="end"/>
      </w:r>
      <w:r>
        <w:t>,</w:t>
      </w:r>
      <w:r>
        <w:fldChar w:fldCharType="begin"/>
      </w:r>
      <w:r>
        <w:instrText xml:space="preserve"> REF _Ref_38 \h </w:instrText>
      </w:r>
      <w:r>
        <w:fldChar w:fldCharType="separate"/>
      </w:r>
      <w:r>
        <w:t>38</w:t>
      </w:r>
      <w:r>
        <w:fldChar w:fldCharType="end"/>
      </w:r>
      <w:r>
        <w:t>]</w:t>
      </w:r>
      <w:r>
        <w:rPr>
          <w:b w:val="0"/>
          <w:i w:val="0"/>
        </w:rPr>
        <w:t>.</w:t>
      </w:r>
    </w:p>
    <w:p>
      <w:pPr>
        <w:pStyle w:val="MDPI31text"/>
      </w:pPr>
      <w:r>
        <w:rPr>
          <w:b w:val="0"/>
          <w:i w:val="0"/>
        </w:rPr>
        <w:t>The remainder of this study is structured as follows: Section 2 elaborates on the theoretical background and the development of hypotheses; Section 3 outlines the research design; Section 4 presents the results; and Section 5 concludes.</w:t>
      </w:r>
    </w:p>
    <w:p>
      <w:pPr>
        <w:pStyle w:val="MDPI21heading1"/>
      </w:pPr>
      <w:r>
        <w:t>2. Theoretical Background and Hypotheses Development</w:t>
      </w:r>
    </w:p>
    <w:p>
      <w:pPr>
        <w:pStyle w:val="MDPI22heading2"/>
      </w:pPr>
      <w:r>
        <w:t>2.1. Perceived Human Capital Depreciation and AI-Related Career Anxiety</w:t>
      </w:r>
    </w:p>
    <w:p>
      <w:pPr>
        <w:pStyle w:val="MDPI32textnoindent"/>
      </w:pPr>
      <w:r>
        <w:rPr>
          <w:b w:val="0"/>
          <w:i w:val="0"/>
        </w:rPr>
        <w:t xml:space="preserve">Human capital depreciates when the market value of a skill stock falls, whether through wear, through vintage effects, or through technological displacement of the tasks the skills perform </w:t>
      </w:r>
      <w:r>
        <w:t>[</w:t>
      </w:r>
      <w:r>
        <w:fldChar w:fldCharType="begin"/>
      </w:r>
      <w:r>
        <w:instrText xml:space="preserve"> REF _Ref_39 \h </w:instrText>
      </w:r>
      <w:r>
        <w:fldChar w:fldCharType="separate"/>
      </w:r>
      <w:r>
        <w:t>39</w:t>
      </w:r>
      <w:r>
        <w:fldChar w:fldCharType="end"/>
      </w:r>
      <w:r>
        <w:t>–</w:t>
      </w:r>
      <w:r>
        <w:fldChar w:fldCharType="begin"/>
      </w:r>
      <w:r>
        <w:instrText xml:space="preserve"> REF _Ref_41 \h </w:instrText>
      </w:r>
      <w:r>
        <w:fldChar w:fldCharType="separate"/>
      </w:r>
      <w:r>
        <w:t>41</w:t>
      </w:r>
      <w:r>
        <w:fldChar w:fldCharType="end"/>
      </w:r>
      <w:r>
        <w:t>]</w:t>
      </w:r>
      <w:r>
        <w:rPr>
          <w:b w:val="0"/>
          <w:i w:val="0"/>
        </w:rPr>
        <w:t xml:space="preserve">. The loss lands hardest on labor market entrants, because early careers are built by doing: skills are accumulated on the job </w:t>
      </w:r>
      <w:r>
        <w:t>[</w:t>
      </w:r>
      <w:r>
        <w:fldChar w:fldCharType="begin"/>
      </w:r>
      <w:r>
        <w:instrText xml:space="preserve"> REF _Ref_42 \h </w:instrText>
      </w:r>
      <w:r>
        <w:fldChar w:fldCharType="separate"/>
      </w:r>
      <w:r>
        <w:t>42</w:t>
      </w:r>
      <w:r>
        <w:fldChar w:fldCharType="end"/>
      </w:r>
      <w:r>
        <w:t>]</w:t>
      </w:r>
      <w:r>
        <w:rPr>
          <w:b w:val="0"/>
          <w:i w:val="0"/>
        </w:rPr>
        <w:t xml:space="preserve">, weighted and priced by the tasks a position offers </w:t>
      </w:r>
      <w:r>
        <w:t>[</w:t>
      </w:r>
      <w:r>
        <w:fldChar w:fldCharType="begin"/>
      </w:r>
      <w:r>
        <w:instrText xml:space="preserve"> REF _Ref_43 \h </w:instrText>
      </w:r>
      <w:r>
        <w:fldChar w:fldCharType="separate"/>
      </w:r>
      <w:r>
        <w:t>43</w:t>
      </w:r>
      <w:r>
        <w:fldChar w:fldCharType="end"/>
      </w:r>
      <w:r>
        <w:t>]</w:t>
      </w:r>
      <w:r>
        <w:rPr>
          <w:b w:val="0"/>
          <w:i w:val="0"/>
        </w:rPr>
        <w:t xml:space="preserve">, and advanced through internal ladders whose first rung is exactly the work that generative systems now absorb </w:t>
      </w:r>
      <w:r>
        <w:t>[</w:t>
      </w:r>
      <w:r>
        <w:fldChar w:fldCharType="begin"/>
      </w:r>
      <w:r>
        <w:instrText xml:space="preserve"> REF _Ref_44 \h </w:instrText>
      </w:r>
      <w:r>
        <w:fldChar w:fldCharType="separate"/>
      </w:r>
      <w:r>
        <w:t>44</w:t>
      </w:r>
      <w:r>
        <w:fldChar w:fldCharType="end"/>
      </w:r>
      <w:r>
        <w:t>,</w:t>
      </w:r>
      <w:r>
        <w:fldChar w:fldCharType="begin"/>
      </w:r>
      <w:r>
        <w:instrText xml:space="preserve"> REF _Ref_45 \h </w:instrText>
      </w:r>
      <w:r>
        <w:fldChar w:fldCharType="separate"/>
      </w:r>
      <w:r>
        <w:t>45</w:t>
      </w:r>
      <w:r>
        <w:fldChar w:fldCharType="end"/>
      </w:r>
      <w:r>
        <w:t>]</w:t>
      </w:r>
      <w:r>
        <w:rPr>
          <w:b w:val="0"/>
          <w:i w:val="0"/>
        </w:rPr>
        <w:t xml:space="preserve">. What matters for behavior, however, is not depreciation itself but its perception. A graduate observes the capability of generative systems in their own domain, compares it with what they were trained to do, and forms a judgment about how fast that training is losing value </w:t>
      </w:r>
      <w:r>
        <w:t>[</w:t>
      </w:r>
      <w:r>
        <w:fldChar w:fldCharType="begin"/>
      </w:r>
      <w:r>
        <w:instrText xml:space="preserve"> REF _Ref_21 \h </w:instrText>
      </w:r>
      <w:r>
        <w:fldChar w:fldCharType="separate"/>
      </w:r>
      <w:r>
        <w:t>21</w:t>
      </w:r>
      <w:r>
        <w:fldChar w:fldCharType="end"/>
      </w:r>
      <w:r>
        <w:t>,</w:t>
      </w:r>
      <w:r>
        <w:fldChar w:fldCharType="begin"/>
      </w:r>
      <w:r>
        <w:instrText xml:space="preserve"> REF _Ref_23 \h </w:instrText>
      </w:r>
      <w:r>
        <w:fldChar w:fldCharType="separate"/>
      </w:r>
      <w:r>
        <w:t>23</w:t>
      </w:r>
      <w:r>
        <w:fldChar w:fldCharType="end"/>
      </w:r>
      <w:r>
        <w:t>]</w:t>
      </w:r>
      <w:r>
        <w:rPr>
          <w:b w:val="0"/>
          <w:i w:val="0"/>
        </w:rPr>
        <w:t>.</w:t>
      </w:r>
    </w:p>
    <w:p>
      <w:pPr>
        <w:pStyle w:val="MDPI31text"/>
      </w:pPr>
      <w:r>
        <w:rPr>
          <w:b w:val="0"/>
          <w:i w:val="0"/>
        </w:rPr>
        <w:t xml:space="preserve">Appraisal theory holds that a perceived threat to a central resource elicits a corresponding negative activation state </w:t>
      </w:r>
      <w:r>
        <w:t>[</w:t>
      </w:r>
      <w:r>
        <w:fldChar w:fldCharType="begin"/>
      </w:r>
      <w:r>
        <w:instrText xml:space="preserve"> REF _Ref_46 \h </w:instrText>
      </w:r>
      <w:r>
        <w:fldChar w:fldCharType="separate"/>
      </w:r>
      <w:r>
        <w:t>46</w:t>
      </w:r>
      <w:r>
        <w:fldChar w:fldCharType="end"/>
      </w:r>
      <w:r>
        <w:t>]</w:t>
      </w:r>
      <w:r>
        <w:rPr>
          <w:b w:val="0"/>
          <w:i w:val="0"/>
        </w:rPr>
        <w:t xml:space="preserve">. Conservation of resources theory makes the same prediction from a different direction: anticipated resource loss is the most potent known elicitor of stress, and the career is among the most central resources a labor market entrant holds </w:t>
      </w:r>
      <w:r>
        <w:t>[</w:t>
      </w:r>
      <w:r>
        <w:fldChar w:fldCharType="begin"/>
      </w:r>
      <w:r>
        <w:instrText xml:space="preserve"> REF _Ref_47 \h </w:instrText>
      </w:r>
      <w:r>
        <w:fldChar w:fldCharType="separate"/>
      </w:r>
      <w:r>
        <w:t>47</w:t>
      </w:r>
      <w:r>
        <w:fldChar w:fldCharType="end"/>
      </w:r>
      <w:r>
        <w:t>,</w:t>
      </w:r>
      <w:r>
        <w:fldChar w:fldCharType="begin"/>
      </w:r>
      <w:r>
        <w:instrText xml:space="preserve"> REF _Ref_48 \h </w:instrText>
      </w:r>
      <w:r>
        <w:fldChar w:fldCharType="separate"/>
      </w:r>
      <w:r>
        <w:t>48</w:t>
      </w:r>
      <w:r>
        <w:fldChar w:fldCharType="end"/>
      </w:r>
      <w:r>
        <w:t>]</w:t>
      </w:r>
      <w:r>
        <w:rPr>
          <w:b w:val="0"/>
          <w:i w:val="0"/>
        </w:rPr>
        <w:t xml:space="preserve">. From the cybernetic perspective, the depreciation percept is a widening discrepancy between the expected and the likely career trajectory, and the affective correlate of that discrepancy is anxiety </w:t>
      </w:r>
      <w:r>
        <w:t>[</w:t>
      </w:r>
      <w:r>
        <w:fldChar w:fldCharType="begin"/>
      </w:r>
      <w:r>
        <w:instrText xml:space="preserve"> REF _Ref_29 \h </w:instrText>
      </w:r>
      <w:r>
        <w:fldChar w:fldCharType="separate"/>
      </w:r>
      <w:r>
        <w:t>29</w:t>
      </w:r>
      <w:r>
        <w:fldChar w:fldCharType="end"/>
      </w:r>
      <w:r>
        <w:t>]</w:t>
      </w:r>
      <w:r>
        <w:rPr>
          <w:b w:val="0"/>
          <w:i w:val="0"/>
        </w:rPr>
        <w:t xml:space="preserve">. Prior empirical work confirms that awareness of intelligent technologies is associated with career-related strain among incumbent workers </w:t>
      </w:r>
      <w:r>
        <w:t>[</w:t>
      </w:r>
      <w:r>
        <w:fldChar w:fldCharType="begin"/>
      </w:r>
      <w:r>
        <w:instrText xml:space="preserve"> REF _Ref_19 \h </w:instrText>
      </w:r>
      <w:r>
        <w:fldChar w:fldCharType="separate"/>
      </w:r>
      <w:r>
        <w:t>19</w:t>
      </w:r>
      <w:r>
        <w:fldChar w:fldCharType="end"/>
      </w:r>
      <w:r>
        <w:t>–</w:t>
      </w:r>
      <w:r>
        <w:fldChar w:fldCharType="begin"/>
      </w:r>
      <w:r>
        <w:instrText xml:space="preserve"> REF _Ref_21 \h </w:instrText>
      </w:r>
      <w:r>
        <w:fldChar w:fldCharType="separate"/>
      </w:r>
      <w:r>
        <w:t>21</w:t>
      </w:r>
      <w:r>
        <w:fldChar w:fldCharType="end"/>
      </w:r>
      <w:r>
        <w:t>]</w:t>
      </w:r>
      <w:r>
        <w:rPr>
          <w:b w:val="0"/>
          <w:i w:val="0"/>
        </w:rPr>
        <w:t xml:space="preserve"> and that career anxiety is a distinct and measurable state among students and graduates </w:t>
      </w:r>
      <w:r>
        <w:t>[</w:t>
      </w:r>
      <w:r>
        <w:fldChar w:fldCharType="begin"/>
      </w:r>
      <w:r>
        <w:instrText xml:space="preserve"> REF _Ref_49 \h </w:instrText>
      </w:r>
      <w:r>
        <w:fldChar w:fldCharType="separate"/>
      </w:r>
      <w:r>
        <w:t>49</w:t>
      </w:r>
      <w:r>
        <w:fldChar w:fldCharType="end"/>
      </w:r>
      <w:r>
        <w:t>]</w:t>
      </w:r>
      <w:r>
        <w:rPr>
          <w:b w:val="0"/>
          <w:i w:val="0"/>
        </w:rPr>
        <w:t>. Therefore, the following hypothesis is proposed:</w:t>
      </w:r>
    </w:p>
    <w:p>
      <w:pPr>
        <w:pStyle w:val="MDPI32textnoindent"/>
        <w:spacing w:before="100" w:after="100"/>
        <w:ind w:left="2948" w:firstLine="0"/>
      </w:pPr>
      <w:r>
        <w:rPr>
          <w:b/>
        </w:rPr>
        <w:t xml:space="preserve">H1. </w:t>
      </w:r>
      <w:r>
        <w:rPr>
          <w:b w:val="0"/>
          <w:i/>
        </w:rPr>
        <w:t>Perceived human capital depreciation is positively associated with AI-related career anxiety.</w:t>
      </w:r>
    </w:p>
    <w:p>
      <w:pPr>
        <w:pStyle w:val="MDPI22heading2"/>
      </w:pPr>
      <w:r>
        <w:t>2.2. The Dual Behavioral Responses to Career Anxiety</w:t>
      </w:r>
    </w:p>
    <w:p>
      <w:pPr>
        <w:pStyle w:val="MDPI32textnoindent"/>
      </w:pPr>
      <w:r>
        <w:rPr>
          <w:b w:val="0"/>
          <w:i w:val="0"/>
        </w:rPr>
        <w:t xml:space="preserve">Anxiety is an activation state, and activation is behaviorally ambidextrous. The coping literature distinguishes problem-focused responses, which attack the stressor, from avoidant responses, which attack the feeling </w:t>
      </w:r>
      <w:r>
        <w:t>[</w:t>
      </w:r>
      <w:r>
        <w:fldChar w:fldCharType="begin"/>
      </w:r>
      <w:r>
        <w:instrText xml:space="preserve"> REF _Ref_46 \h </w:instrText>
      </w:r>
      <w:r>
        <w:fldChar w:fldCharType="separate"/>
      </w:r>
      <w:r>
        <w:t>46</w:t>
      </w:r>
      <w:r>
        <w:fldChar w:fldCharType="end"/>
      </w:r>
      <w:r>
        <w:t>]</w:t>
      </w:r>
      <w:r>
        <w:rPr>
          <w:b w:val="0"/>
          <w:i w:val="0"/>
        </w:rPr>
        <w:t xml:space="preserve">. In the career domain, the problem-focused response is occupational adaptation: enrolling in structured reskilling, pursuing credentials, deliberately practicing the new technology, and repositioning toward tasks the technology complements </w:t>
      </w:r>
      <w:r>
        <w:t>[</w:t>
      </w:r>
      <w:r>
        <w:fldChar w:fldCharType="begin"/>
      </w:r>
      <w:r>
        <w:instrText xml:space="preserve"> REF _Ref_50 \h </w:instrText>
      </w:r>
      <w:r>
        <w:fldChar w:fldCharType="separate"/>
      </w:r>
      <w:r>
        <w:t>50</w:t>
      </w:r>
      <w:r>
        <w:fldChar w:fldCharType="end"/>
      </w:r>
      <w:r>
        <w:t>,</w:t>
      </w:r>
      <w:r>
        <w:fldChar w:fldCharType="begin"/>
      </w:r>
      <w:r>
        <w:instrText xml:space="preserve"> REF _Ref_51 \h </w:instrText>
      </w:r>
      <w:r>
        <w:fldChar w:fldCharType="separate"/>
      </w:r>
      <w:r>
        <w:t>51</w:t>
      </w:r>
      <w:r>
        <w:fldChar w:fldCharType="end"/>
      </w:r>
      <w:r>
        <w:t>]</w:t>
      </w:r>
      <w:r>
        <w:rPr>
          <w:b w:val="0"/>
          <w:i w:val="0"/>
        </w:rPr>
        <w:t xml:space="preserve">. The avoidant response is career avoidance: postponing career decisions, avoiding information about the technology, and contemplating exit from the chosen field </w:t>
      </w:r>
      <w:r>
        <w:t>[</w:t>
      </w:r>
      <w:r>
        <w:fldChar w:fldCharType="begin"/>
      </w:r>
      <w:r>
        <w:instrText xml:space="preserve"> REF _Ref_20 \h </w:instrText>
      </w:r>
      <w:r>
        <w:fldChar w:fldCharType="separate"/>
      </w:r>
      <w:r>
        <w:t>20</w:t>
      </w:r>
      <w:r>
        <w:fldChar w:fldCharType="end"/>
      </w:r>
      <w:r>
        <w:t>,</w:t>
      </w:r>
      <w:r>
        <w:fldChar w:fldCharType="begin"/>
      </w:r>
      <w:r>
        <w:instrText xml:space="preserve"> REF _Ref_21 \h </w:instrText>
      </w:r>
      <w:r>
        <w:fldChar w:fldCharType="separate"/>
      </w:r>
      <w:r>
        <w:t>21</w:t>
      </w:r>
      <w:r>
        <w:fldChar w:fldCharType="end"/>
      </w:r>
      <w:r>
        <w:t>]</w:t>
      </w:r>
      <w:r>
        <w:rPr>
          <w:b w:val="0"/>
          <w:i w:val="0"/>
        </w:rPr>
        <w:t>.</w:t>
      </w:r>
    </w:p>
    <w:p>
      <w:pPr>
        <w:pStyle w:val="MDPI31text"/>
      </w:pPr>
      <w:r>
        <w:rPr>
          <w:b w:val="0"/>
          <w:i w:val="0"/>
        </w:rPr>
        <w:t xml:space="preserve">The relationship between anxiety and adaptation should not be monotonic. At low-to-moderate levels, anxiety supplies the activation that overcomes the inertia of costly investment; this mobilizing arm is among the oldest results in behavioral research </w:t>
      </w:r>
      <w:r>
        <w:t>[</w:t>
      </w:r>
      <w:r>
        <w:fldChar w:fldCharType="begin"/>
      </w:r>
      <w:r>
        <w:instrText xml:space="preserve"> REF _Ref_52 \h </w:instrText>
      </w:r>
      <w:r>
        <w:fldChar w:fldCharType="separate"/>
      </w:r>
      <w:r>
        <w:t>52</w:t>
      </w:r>
      <w:r>
        <w:fldChar w:fldCharType="end"/>
      </w:r>
      <w:r>
        <w:t>]</w:t>
      </w:r>
      <w:r>
        <w:rPr>
          <w:b w:val="0"/>
          <w:i w:val="0"/>
        </w:rPr>
        <w:t xml:space="preserve"> and is consistent with conservation of resources theory, in which moderate loss threat triggers resource investment </w:t>
      </w:r>
      <w:r>
        <w:t>[</w:t>
      </w:r>
      <w:r>
        <w:fldChar w:fldCharType="begin"/>
      </w:r>
      <w:r>
        <w:instrText xml:space="preserve"> REF _Ref_48 \h </w:instrText>
      </w:r>
      <w:r>
        <w:fldChar w:fldCharType="separate"/>
      </w:r>
      <w:r>
        <w:t>48</w:t>
      </w:r>
      <w:r>
        <w:fldChar w:fldCharType="end"/>
      </w:r>
      <w:r>
        <w:t>]</w:t>
      </w:r>
      <w:r>
        <w:rPr>
          <w:b w:val="0"/>
          <w:i w:val="0"/>
        </w:rPr>
        <w:t xml:space="preserve">. At high levels, three mechanisms bend the curve downward. Cognitively, intense anxiety narrows attention and consumes the working memory that planning a retraining program requires. Motivationally, extreme threat triggers defensive avoidance rather than approach </w:t>
      </w:r>
      <w:r>
        <w:t>[</w:t>
      </w:r>
      <w:r>
        <w:fldChar w:fldCharType="begin"/>
      </w:r>
      <w:r>
        <w:instrText xml:space="preserve"> REF _Ref_46 \h </w:instrText>
      </w:r>
      <w:r>
        <w:fldChar w:fldCharType="separate"/>
      </w:r>
      <w:r>
        <w:t>46</w:t>
      </w:r>
      <w:r>
        <w:fldChar w:fldCharType="end"/>
      </w:r>
      <w:r>
        <w:t>]</w:t>
      </w:r>
      <w:r>
        <w:rPr>
          <w:b w:val="0"/>
          <w:i w:val="0"/>
        </w:rPr>
        <w:t xml:space="preserve">. In resource terms, graduates deep in anticipated loss enter a defensive posture in which conserving what remains dominates investing in what could be </w:t>
      </w:r>
      <w:r>
        <w:t>[</w:t>
      </w:r>
      <w:r>
        <w:fldChar w:fldCharType="begin"/>
      </w:r>
      <w:r>
        <w:instrText xml:space="preserve"> REF _Ref_48 \h </w:instrText>
      </w:r>
      <w:r>
        <w:fldChar w:fldCharType="separate"/>
      </w:r>
      <w:r>
        <w:t>48</w:t>
      </w:r>
      <w:r>
        <w:fldChar w:fldCharType="end"/>
      </w:r>
      <w:r>
        <w:t>]</w:t>
      </w:r>
      <w:r>
        <w:rPr>
          <w:b w:val="0"/>
          <w:i w:val="0"/>
        </w:rPr>
        <w:t xml:space="preserve">. The general form of this argument — a productive input becoming counterproductive past an interior optimum — is the too-much-of-a-good-thing effect </w:t>
      </w:r>
      <w:r>
        <w:t>[</w:t>
      </w:r>
      <w:r>
        <w:fldChar w:fldCharType="begin"/>
      </w:r>
      <w:r>
        <w:instrText xml:space="preserve"> REF _Ref_53 \h </w:instrText>
      </w:r>
      <w:r>
        <w:fldChar w:fldCharType="separate"/>
      </w:r>
      <w:r>
        <w:t>53</w:t>
      </w:r>
      <w:r>
        <w:fldChar w:fldCharType="end"/>
      </w:r>
      <w:r>
        <w:t>,</w:t>
      </w:r>
      <w:r>
        <w:fldChar w:fldCharType="begin"/>
      </w:r>
      <w:r>
        <w:instrText xml:space="preserve"> REF _Ref_54 \h </w:instrText>
      </w:r>
      <w:r>
        <w:fldChar w:fldCharType="separate"/>
      </w:r>
      <w:r>
        <w:t>54</w:t>
      </w:r>
      <w:r>
        <w:fldChar w:fldCharType="end"/>
      </w:r>
      <w:r>
        <w:t>]</w:t>
      </w:r>
      <w:r>
        <w:rPr>
          <w:b w:val="0"/>
          <w:i w:val="0"/>
        </w:rPr>
        <w:t xml:space="preserve">, and in control-theoretic language it is saturation: an error signal beyond the actuator’s range ceases to improve regulation </w:t>
      </w:r>
      <w:r>
        <w:t>[</w:t>
      </w:r>
      <w:r>
        <w:fldChar w:fldCharType="begin"/>
      </w:r>
      <w:r>
        <w:instrText xml:space="preserve"> REF _Ref_28 \h </w:instrText>
      </w:r>
      <w:r>
        <w:fldChar w:fldCharType="separate"/>
      </w:r>
      <w:r>
        <w:t>28</w:t>
      </w:r>
      <w:r>
        <w:fldChar w:fldCharType="end"/>
      </w:r>
      <w:r>
        <w:t>,</w:t>
      </w:r>
      <w:r>
        <w:fldChar w:fldCharType="begin"/>
      </w:r>
      <w:r>
        <w:instrText xml:space="preserve"> REF _Ref_29 \h </w:instrText>
      </w:r>
      <w:r>
        <w:fldChar w:fldCharType="separate"/>
      </w:r>
      <w:r>
        <w:t>29</w:t>
      </w:r>
      <w:r>
        <w:fldChar w:fldCharType="end"/>
      </w:r>
      <w:r>
        <w:t>]</w:t>
      </w:r>
      <w:r>
        <w:rPr>
          <w:b w:val="0"/>
          <w:i w:val="0"/>
        </w:rPr>
        <w:t>. The avoidant response carries no interior optimum; whatever anxiety remains unconverted into action discharges as escape, monotonically. Therefore, the following hypotheses are proposed:</w:t>
      </w:r>
    </w:p>
    <w:p>
      <w:pPr>
        <w:pStyle w:val="MDPI32textnoindent"/>
        <w:spacing w:before="100" w:after="100"/>
        <w:ind w:left="2948" w:firstLine="0"/>
      </w:pPr>
      <w:r>
        <w:rPr>
          <w:b/>
        </w:rPr>
        <w:t xml:space="preserve">H2. </w:t>
      </w:r>
      <w:r>
        <w:rPr>
          <w:b w:val="0"/>
          <w:i/>
        </w:rPr>
        <w:t>AI-related career anxiety has an inverted U-shaped relationship with occupational adaptation: adaptation rises with anxiety up to a turning point and declines beyond it.</w:t>
      </w:r>
    </w:p>
    <w:p>
      <w:pPr>
        <w:pStyle w:val="MDPI32textnoindent"/>
        <w:spacing w:before="100" w:after="100"/>
        <w:ind w:left="2948" w:firstLine="0"/>
      </w:pPr>
      <w:r>
        <w:rPr>
          <w:b/>
        </w:rPr>
        <w:t xml:space="preserve">H3. </w:t>
      </w:r>
      <w:r>
        <w:rPr>
          <w:b w:val="0"/>
          <w:i/>
        </w:rPr>
        <w:t>AI-related career anxiety is positively and monotonically associated with career avoidance.</w:t>
      </w:r>
    </w:p>
    <w:p>
      <w:pPr>
        <w:pStyle w:val="MDPI22heading2"/>
      </w:pPr>
      <w:r>
        <w:t>2.3. The Mediating Role of AI-Related Career Anxiety</w:t>
      </w:r>
    </w:p>
    <w:p>
      <w:pPr>
        <w:pStyle w:val="MDPI32textnoindent"/>
      </w:pPr>
      <w:r>
        <w:rPr>
          <w:b w:val="0"/>
          <w:i w:val="0"/>
        </w:rPr>
        <w:t xml:space="preserve">If anxiety is the error signal through which the depreciation percept reaches behavior, then perceived depreciation should influence both behavioral responses through anxiety. Moreover, the transmitted effect should inherit the curvature of the second stage: because the local slope of the anxiety-adaptation curve changes sign at the turning point, the same depreciation signal that mobilizes a calm graduate should demobilize an already anxious one </w:t>
      </w:r>
      <w:r>
        <w:t>[</w:t>
      </w:r>
      <w:r>
        <w:fldChar w:fldCharType="begin"/>
      </w:r>
      <w:r>
        <w:instrText xml:space="preserve"> REF _Ref_30 \h </w:instrText>
      </w:r>
      <w:r>
        <w:fldChar w:fldCharType="separate"/>
      </w:r>
      <w:r>
        <w:t>30</w:t>
      </w:r>
      <w:r>
        <w:fldChar w:fldCharType="end"/>
      </w:r>
      <w:r>
        <w:t>,</w:t>
      </w:r>
      <w:r>
        <w:fldChar w:fldCharType="begin"/>
      </w:r>
      <w:r>
        <w:instrText xml:space="preserve"> REF _Ref_31 \h </w:instrText>
      </w:r>
      <w:r>
        <w:fldChar w:fldCharType="separate"/>
      </w:r>
      <w:r>
        <w:t>31</w:t>
      </w:r>
      <w:r>
        <w:fldChar w:fldCharType="end"/>
      </w:r>
      <w:r>
        <w:t>]</w:t>
      </w:r>
      <w:r>
        <w:rPr>
          <w:b w:val="0"/>
          <w:i w:val="0"/>
        </w:rPr>
        <w:t>. This conditional mediation is a stronger and more falsifiable claim than simple mediation, and it is the signature prediction of the control-loop framing. Therefore, the following hypotheses are proposed:</w:t>
      </w:r>
    </w:p>
    <w:p>
      <w:pPr>
        <w:pStyle w:val="MDPI32textnoindent"/>
        <w:spacing w:before="100" w:after="100"/>
        <w:ind w:left="2948" w:firstLine="0"/>
      </w:pPr>
      <w:r>
        <w:rPr>
          <w:b/>
        </w:rPr>
        <w:t xml:space="preserve">H4a. </w:t>
      </w:r>
      <w:r>
        <w:rPr>
          <w:b w:val="0"/>
          <w:i/>
        </w:rPr>
        <w:t>AI-related career anxiety mediates the relationship between perceived human capital depreciation and occupational adaptation, and the indirect effect declines with the level of anxiety, turning negative beyond the turning point.</w:t>
      </w:r>
    </w:p>
    <w:p>
      <w:pPr>
        <w:pStyle w:val="MDPI32textnoindent"/>
        <w:spacing w:before="100" w:after="100"/>
        <w:ind w:left="2948" w:firstLine="0"/>
      </w:pPr>
      <w:r>
        <w:rPr>
          <w:b/>
        </w:rPr>
        <w:t xml:space="preserve">H4b. </w:t>
      </w:r>
      <w:r>
        <w:rPr>
          <w:b w:val="0"/>
          <w:i/>
        </w:rPr>
        <w:t>AI-related career anxiety mediates a positive relationship between perceived human capital depreciation and career avoidance.</w:t>
      </w:r>
    </w:p>
    <w:p>
      <w:pPr>
        <w:pStyle w:val="MDPI22heading2"/>
      </w:pPr>
      <w:r>
        <w:t>2.4. The Moderating Role of Generative-AI Literacy</w:t>
      </w:r>
    </w:p>
    <w:p>
      <w:pPr>
        <w:pStyle w:val="MDPI32textnoindent"/>
      </w:pPr>
      <w:r>
        <w:rPr>
          <w:b w:val="0"/>
          <w:i w:val="0"/>
        </w:rPr>
        <w:t xml:space="preserve">Whether anxiety converts into adaptation or into escape depends on the actions available to the graduate. The first boundary condition is generative-AI literacy: the self-efficacious command of the technology itself, including prompting effectively, verifying machine output, and integrating it into one’s own work </w:t>
      </w:r>
      <w:r>
        <w:t>[</w:t>
      </w:r>
      <w:r>
        <w:fldChar w:fldCharType="begin"/>
      </w:r>
      <w:r>
        <w:instrText xml:space="preserve"> REF _Ref_19 \h </w:instrText>
      </w:r>
      <w:r>
        <w:fldChar w:fldCharType="separate"/>
      </w:r>
      <w:r>
        <w:t>19</w:t>
      </w:r>
      <w:r>
        <w:fldChar w:fldCharType="end"/>
      </w:r>
      <w:r>
        <w:t>,</w:t>
      </w:r>
      <w:r>
        <w:fldChar w:fldCharType="begin"/>
      </w:r>
      <w:r>
        <w:instrText xml:space="preserve"> REF _Ref_23 \h </w:instrText>
      </w:r>
      <w:r>
        <w:fldChar w:fldCharType="separate"/>
      </w:r>
      <w:r>
        <w:t>23</w:t>
      </w:r>
      <w:r>
        <w:fldChar w:fldCharType="end"/>
      </w:r>
      <w:r>
        <w:t>,</w:t>
      </w:r>
      <w:r>
        <w:fldChar w:fldCharType="begin"/>
      </w:r>
      <w:r>
        <w:instrText xml:space="preserve"> REF _Ref_55 \h </w:instrText>
      </w:r>
      <w:r>
        <w:fldChar w:fldCharType="separate"/>
      </w:r>
      <w:r>
        <w:t>55</w:t>
      </w:r>
      <w:r>
        <w:fldChar w:fldCharType="end"/>
      </w:r>
      <w:r>
        <w:t>]</w:t>
      </w:r>
      <w:r>
        <w:rPr>
          <w:b w:val="0"/>
          <w:i w:val="0"/>
        </w:rPr>
        <w:t xml:space="preserve">. Literacy raises the expected return on every unit of adaptive effort, because a graduate who can already use the tool converts a reskilling course into complementarity faster than one who cannot </w:t>
      </w:r>
      <w:r>
        <w:t>[</w:t>
      </w:r>
      <w:r>
        <w:fldChar w:fldCharType="begin"/>
      </w:r>
      <w:r>
        <w:instrText xml:space="preserve"> REF _Ref_56 \h </w:instrText>
      </w:r>
      <w:r>
        <w:fldChar w:fldCharType="separate"/>
      </w:r>
      <w:r>
        <w:t>56</w:t>
      </w:r>
      <w:r>
        <w:fldChar w:fldCharType="end"/>
      </w:r>
      <w:r>
        <w:t>,</w:t>
      </w:r>
      <w:r>
        <w:fldChar w:fldCharType="begin"/>
      </w:r>
      <w:r>
        <w:instrText xml:space="preserve"> REF _Ref_57 \h </w:instrText>
      </w:r>
      <w:r>
        <w:fldChar w:fldCharType="separate"/>
      </w:r>
      <w:r>
        <w:t>57</w:t>
      </w:r>
      <w:r>
        <w:fldChar w:fldCharType="end"/>
      </w:r>
      <w:r>
        <w:t>]</w:t>
      </w:r>
      <w:r>
        <w:rPr>
          <w:b w:val="0"/>
          <w:i w:val="0"/>
        </w:rPr>
        <w:t xml:space="preserve">. In the geometry of an inverted U, a higher payoff to effort holds the upward arm positive over a longer range and therefore displaces the turning point outward </w:t>
      </w:r>
      <w:r>
        <w:t>[</w:t>
      </w:r>
      <w:r>
        <w:fldChar w:fldCharType="begin"/>
      </w:r>
      <w:r>
        <w:instrText xml:space="preserve"> REF _Ref_33 \h </w:instrText>
      </w:r>
      <w:r>
        <w:fldChar w:fldCharType="separate"/>
      </w:r>
      <w:r>
        <w:t>33</w:t>
      </w:r>
      <w:r>
        <w:fldChar w:fldCharType="end"/>
      </w:r>
      <w:r>
        <w:t>]</w:t>
      </w:r>
      <w:r>
        <w:rPr>
          <w:b w:val="0"/>
          <w:i w:val="0"/>
        </w:rPr>
        <w:t>. The same command of the tool should also drain the avoidance channel, because escape loses its appeal when engagement is feasible. Therefore, the following hypotheses are proposed:</w:t>
      </w:r>
    </w:p>
    <w:p>
      <w:pPr>
        <w:pStyle w:val="MDPI32textnoindent"/>
        <w:spacing w:before="100" w:after="100"/>
        <w:ind w:left="2948" w:firstLine="0"/>
      </w:pPr>
      <w:r>
        <w:rPr>
          <w:b/>
        </w:rPr>
        <w:t xml:space="preserve">H5a. </w:t>
      </w:r>
      <w:r>
        <w:rPr>
          <w:b w:val="0"/>
          <w:i/>
        </w:rPr>
        <w:t>Generative-AI literacy moderates the inverted U-shaped relationship between anxiety and adaptation, displacing the turning point outward.</w:t>
      </w:r>
    </w:p>
    <w:p>
      <w:pPr>
        <w:pStyle w:val="MDPI32textnoindent"/>
        <w:spacing w:before="100" w:after="100"/>
        <w:ind w:left="2948" w:firstLine="0"/>
      </w:pPr>
      <w:r>
        <w:rPr>
          <w:b/>
        </w:rPr>
        <w:t xml:space="preserve">H5b. </w:t>
      </w:r>
      <w:r>
        <w:rPr>
          <w:b w:val="0"/>
          <w:i/>
        </w:rPr>
        <w:t>Generative-AI literacy weakens the positive relationship between anxiety and career avoidance.</w:t>
      </w:r>
    </w:p>
    <w:p>
      <w:pPr>
        <w:pStyle w:val="MDPI22heading2"/>
      </w:pPr>
      <w:r>
        <w:t>2.5. The Moderating Role of Perceived Employability Support</w:t>
      </w:r>
    </w:p>
    <w:p>
      <w:pPr>
        <w:pStyle w:val="MDPI32textnoindent"/>
      </w:pPr>
      <w:r>
        <w:rPr>
          <w:b w:val="0"/>
          <w:i w:val="0"/>
        </w:rPr>
        <w:t xml:space="preserve">The second boundary condition operates one stage earlier in the loop. Perceived employability support is the graduate’s assessment that university career services, employer training provision, and their professional network stand behind their transition </w:t>
      </w:r>
      <w:r>
        <w:t>[</w:t>
      </w:r>
      <w:r>
        <w:fldChar w:fldCharType="begin"/>
      </w:r>
      <w:r>
        <w:instrText xml:space="preserve"> REF _Ref_58 \h </w:instrText>
      </w:r>
      <w:r>
        <w:fldChar w:fldCharType="separate"/>
      </w:r>
      <w:r>
        <w:t>58</w:t>
      </w:r>
      <w:r>
        <w:fldChar w:fldCharType="end"/>
      </w:r>
      <w:r>
        <w:t>,</w:t>
      </w:r>
      <w:r>
        <w:fldChar w:fldCharType="begin"/>
      </w:r>
      <w:r>
        <w:instrText xml:space="preserve"> REF _Ref_59 \h </w:instrText>
      </w:r>
      <w:r>
        <w:fldChar w:fldCharType="separate"/>
      </w:r>
      <w:r>
        <w:t>59</w:t>
      </w:r>
      <w:r>
        <w:fldChar w:fldCharType="end"/>
      </w:r>
      <w:r>
        <w:t>]</w:t>
      </w:r>
      <w:r>
        <w:rPr>
          <w:b w:val="0"/>
          <w:i w:val="0"/>
        </w:rPr>
        <w:t xml:space="preserve">. According to the buffering position of the stress literature, support reframes a threat as a solvable problem, so the same objective signal generates less strain in the first place </w:t>
      </w:r>
      <w:r>
        <w:t>[</w:t>
      </w:r>
      <w:r>
        <w:fldChar w:fldCharType="begin"/>
      </w:r>
      <w:r>
        <w:instrText xml:space="preserve"> REF _Ref_46 \h </w:instrText>
      </w:r>
      <w:r>
        <w:fldChar w:fldCharType="separate"/>
      </w:r>
      <w:r>
        <w:t>46</w:t>
      </w:r>
      <w:r>
        <w:fldChar w:fldCharType="end"/>
      </w:r>
      <w:r>
        <w:t>,</w:t>
      </w:r>
      <w:r>
        <w:fldChar w:fldCharType="begin"/>
      </w:r>
      <w:r>
        <w:instrText xml:space="preserve"> REF _Ref_48 \h </w:instrText>
      </w:r>
      <w:r>
        <w:fldChar w:fldCharType="separate"/>
      </w:r>
      <w:r>
        <w:t>48</w:t>
      </w:r>
      <w:r>
        <w:fldChar w:fldCharType="end"/>
      </w:r>
      <w:r>
        <w:t>]</w:t>
      </w:r>
      <w:r>
        <w:rPr>
          <w:b w:val="0"/>
          <w:i w:val="0"/>
        </w:rPr>
        <w:t>. In control-theoretic terms, support recalibrates the sensor rather than the actuator: it lowers the gain with which perceived depreciation is converted into anxiety. Therefore, the following hypothesis is proposed:</w:t>
      </w:r>
    </w:p>
    <w:p>
      <w:pPr>
        <w:pStyle w:val="MDPI32textnoindent"/>
        <w:spacing w:before="100" w:after="100"/>
        <w:ind w:left="2948" w:firstLine="0"/>
      </w:pPr>
      <w:r>
        <w:rPr>
          <w:b/>
        </w:rPr>
        <w:t xml:space="preserve">H6. </w:t>
      </w:r>
      <w:r>
        <w:rPr>
          <w:b w:val="0"/>
          <w:i/>
        </w:rPr>
        <w:t>Perceived employability support weakens the positive relationship between perceived human capital depreciation and AI-related career anxiety.</w:t>
      </w:r>
    </w:p>
    <w:p>
      <w:pPr>
        <w:pStyle w:val="MDPI22heading2"/>
      </w:pPr>
      <w:r>
        <w:t>2.6. A Configurational Perspective on Adaptation</w:t>
      </w:r>
    </w:p>
    <w:p>
      <w:pPr>
        <w:pStyle w:val="MDPI32textnoindent"/>
      </w:pPr>
      <w:r>
        <w:rPr>
          <w:b w:val="0"/>
          <w:i w:val="0"/>
        </w:rPr>
        <w:t xml:space="preserve">Interaction terms test whether conditions modify each other at the margin; they do not test the stronger systems claim that outcomes are produced by configurations — combinations of conditions that succeed or fail as wholes </w:t>
      </w:r>
      <w:r>
        <w:t>[</w:t>
      </w:r>
      <w:r>
        <w:fldChar w:fldCharType="begin"/>
      </w:r>
      <w:r>
        <w:instrText xml:space="preserve"> REF _Ref_35 \h </w:instrText>
      </w:r>
      <w:r>
        <w:fldChar w:fldCharType="separate"/>
      </w:r>
      <w:r>
        <w:t>35</w:t>
      </w:r>
      <w:r>
        <w:fldChar w:fldCharType="end"/>
      </w:r>
      <w:r>
        <w:t>,</w:t>
      </w:r>
      <w:r>
        <w:fldChar w:fldCharType="begin"/>
      </w:r>
      <w:r>
        <w:instrText xml:space="preserve"> REF _Ref_60 \h </w:instrText>
      </w:r>
      <w:r>
        <w:fldChar w:fldCharType="separate"/>
      </w:r>
      <w:r>
        <w:t>60</w:t>
      </w:r>
      <w:r>
        <w:fldChar w:fldCharType="end"/>
      </w:r>
      <w:r>
        <w:t>,</w:t>
      </w:r>
      <w:r>
        <w:fldChar w:fldCharType="begin"/>
      </w:r>
      <w:r>
        <w:instrText xml:space="preserve"> REF _Ref_61 \h </w:instrText>
      </w:r>
      <w:r>
        <w:fldChar w:fldCharType="separate"/>
      </w:r>
      <w:r>
        <w:t>61</w:t>
      </w:r>
      <w:r>
        <w:fldChar w:fldCharType="end"/>
      </w:r>
      <w:r>
        <w:t>]</w:t>
      </w:r>
      <w:r>
        <w:rPr>
          <w:b w:val="0"/>
          <w:i w:val="0"/>
        </w:rPr>
        <w:t xml:space="preserve">. Complex adaptive systems typically exhibit equifinality, meaning multiple distinct paths lead to the same outcome, and configurational studies in the management and information-systems traditions routinely report several sufficient recipes </w:t>
      </w:r>
      <w:r>
        <w:t>[</w:t>
      </w:r>
      <w:r>
        <w:fldChar w:fldCharType="begin"/>
      </w:r>
      <w:r>
        <w:instrText xml:space="preserve"> REF _Ref_34 \h </w:instrText>
      </w:r>
      <w:r>
        <w:fldChar w:fldCharType="separate"/>
      </w:r>
      <w:r>
        <w:t>34</w:t>
      </w:r>
      <w:r>
        <w:fldChar w:fldCharType="end"/>
      </w:r>
      <w:r>
        <w:t>,</w:t>
      </w:r>
      <w:r>
        <w:fldChar w:fldCharType="begin"/>
      </w:r>
      <w:r>
        <w:instrText xml:space="preserve"> REF _Ref_36 \h </w:instrText>
      </w:r>
      <w:r>
        <w:fldChar w:fldCharType="separate"/>
      </w:r>
      <w:r>
        <w:t>36</w:t>
      </w:r>
      <w:r>
        <w:fldChar w:fldCharType="end"/>
      </w:r>
      <w:r>
        <w:t>,</w:t>
      </w:r>
      <w:r>
        <w:fldChar w:fldCharType="begin"/>
      </w:r>
      <w:r>
        <w:instrText xml:space="preserve"> REF _Ref_62 \h </w:instrText>
      </w:r>
      <w:r>
        <w:fldChar w:fldCharType="separate"/>
      </w:r>
      <w:r>
        <w:t>62</w:t>
      </w:r>
      <w:r>
        <w:fldChar w:fldCharType="end"/>
      </w:r>
      <w:r>
        <w:t>,</w:t>
      </w:r>
      <w:r>
        <w:fldChar w:fldCharType="begin"/>
      </w:r>
      <w:r>
        <w:instrText xml:space="preserve"> REF _Ref_63 \h </w:instrText>
      </w:r>
      <w:r>
        <w:fldChar w:fldCharType="separate"/>
      </w:r>
      <w:r>
        <w:t>63</w:t>
      </w:r>
      <w:r>
        <w:fldChar w:fldCharType="end"/>
      </w:r>
      <w:r>
        <w:t>]</w:t>
      </w:r>
      <w:r>
        <w:rPr>
          <w:b w:val="0"/>
          <w:i w:val="0"/>
        </w:rPr>
        <w:t>. The control-loop framing of this study, however, points the other way. If adaptation requires a signal (anxiety at a workable level), an actuator (literacy), and an enabling environment (support) simultaneously, then the sufficient recipes should collapse toward a single conjunction, and no individual ingredient should be sufficient or strictly necessary on its own. The configurational analysis therefore tests two claims against each other:</w:t>
      </w:r>
    </w:p>
    <w:p>
      <w:pPr>
        <w:pStyle w:val="MDPI32textnoindent"/>
        <w:spacing w:before="100" w:after="100"/>
        <w:ind w:left="2948" w:firstLine="0"/>
      </w:pPr>
      <w:r>
        <w:rPr>
          <w:b/>
        </w:rPr>
        <w:t xml:space="preserve">H7a. </w:t>
      </w:r>
      <w:r>
        <w:rPr>
          <w:b w:val="0"/>
          <w:i/>
        </w:rPr>
        <w:t>No single psychological or contextual condition is necessary for high occupational adaptation.</w:t>
      </w:r>
    </w:p>
    <w:p>
      <w:pPr>
        <w:pStyle w:val="MDPI32textnoindent"/>
        <w:spacing w:before="100" w:after="100"/>
        <w:ind w:left="2948" w:firstLine="0"/>
      </w:pPr>
      <w:r>
        <w:rPr>
          <w:b/>
        </w:rPr>
        <w:t xml:space="preserve">H7b. </w:t>
      </w:r>
      <w:r>
        <w:rPr>
          <w:b w:val="0"/>
          <w:i/>
        </w:rPr>
        <w:t>Multiple distinct configurations of depreciation, anxiety, literacy, support, and exposure are sufficient for high occupational adaptation (equifinality).</w:t>
      </w:r>
    </w:p>
    <w:p>
      <w:pPr>
        <w:pStyle w:val="MDPI31text"/>
      </w:pPr>
      <w:r>
        <w:rPr>
          <w:b w:val="0"/>
          <w:i w:val="0"/>
        </w:rPr>
        <w:t>To summarize, the theoretical framework of this study is illustrated in Figure 1.</w:t>
      </w:r>
    </w:p>
    <w:p>
      <w:pPr>
        <w:pStyle w:val="MDPI52figure"/>
        <w:keepNext/>
        <w:ind w:left="2608" w:firstLine="0"/>
        <w:jc w:val="center"/>
      </w:pPr>
      <w:r>
        <w:drawing>
          <wp:inline xmlns:a="http://schemas.openxmlformats.org/drawingml/2006/main" xmlns:pic="http://schemas.openxmlformats.org/drawingml/2006/picture">
            <wp:extent cx="4752000" cy="1656249"/>
            <wp:docPr id="1" name="Picture 1"/>
            <wp:cNvGraphicFramePr>
              <a:graphicFrameLocks noChangeAspect="1"/>
            </wp:cNvGraphicFramePr>
            <a:graphic>
              <a:graphicData uri="http://schemas.openxmlformats.org/drawingml/2006/picture">
                <pic:pic>
                  <pic:nvPicPr>
                    <pic:cNvPr id="0" name="figure1_framework.png"/>
                    <pic:cNvPicPr/>
                  </pic:nvPicPr>
                  <pic:blipFill>
                    <a:blip r:embed="rId1"/>
                    <a:stretch>
                      <a:fillRect/>
                    </a:stretch>
                  </pic:blipFill>
                  <pic:spPr>
                    <a:xfrm>
                      <a:off x="0" y="0"/>
                      <a:ext cx="4752000" cy="1656249"/>
                    </a:xfrm>
                    <a:prstGeom prst="rect"/>
                  </pic:spPr>
                </pic:pic>
              </a:graphicData>
            </a:graphic>
          </wp:inline>
        </w:drawing>
      </w:r>
    </w:p>
    <w:p>
      <w:pPr>
        <w:pStyle w:val="MDPI51figurecaption"/>
        <w:spacing w:after="200"/>
      </w:pPr>
      <w:r>
        <w:rPr>
          <w:b/>
          <w:sz w:val="18"/>
        </w:rPr>
        <w:t xml:space="preserve">Figure 1. </w:t>
      </w:r>
      <w:r>
        <w:rPr>
          <w:b w:val="0"/>
          <w:i w:val="0"/>
          <w:sz w:val="18"/>
        </w:rPr>
        <w:t>Theoretical research framework.</w:t>
      </w:r>
    </w:p>
    <w:p>
      <w:pPr>
        <w:pStyle w:val="MDPI21heading1"/>
      </w:pPr>
      <w:r>
        <w:t>3. Data and Methods</w:t>
      </w:r>
    </w:p>
    <w:p>
      <w:pPr>
        <w:pStyle w:val="MDPI22heading2"/>
      </w:pPr>
      <w:r>
        <w:t>3.1. Data Collection and Sample</w:t>
      </w:r>
    </w:p>
    <w:p>
      <w:pPr>
        <w:pStyle w:val="MDPI32textnoindent"/>
      </w:pPr>
      <w:r>
        <w:rPr>
          <w:b w:val="0"/>
          <w:i w:val="0"/>
        </w:rPr>
        <w:t xml:space="preserve">This study takes mainland Chinese university graduates within thirty-six months of graduation as the targeted research sample, the population whose first occupational choices coincide with the diffusion of generative artificial intelligence. To ensure the accuracy of the survey data, we developed the questionnaire by adapting established scales from the literature and incorporating expert suggestions, translated each item into Chinese following the standard back-translation procedure, and optimized the wording so that respondents could easily understand it. Respondents were recruited through a professional online panel supplemented by university alumni associations across provinces, with quotas on gender, degree level, and city tier to approximate the national graduate profile </w:t>
      </w:r>
      <w:r>
        <w:t>[</w:t>
      </w:r>
      <w:r>
        <w:fldChar w:fldCharType="begin"/>
      </w:r>
      <w:r>
        <w:instrText xml:space="preserve"> REF _Ref_10 \h </w:instrText>
      </w:r>
      <w:r>
        <w:fldChar w:fldCharType="separate"/>
      </w:r>
      <w:r>
        <w:t>10</w:t>
      </w:r>
      <w:r>
        <w:fldChar w:fldCharType="end"/>
      </w:r>
      <w:r>
        <w:t>,</w:t>
      </w:r>
      <w:r>
        <w:fldChar w:fldCharType="begin"/>
      </w:r>
      <w:r>
        <w:instrText xml:space="preserve"> REF _Ref_64 \h </w:instrText>
      </w:r>
      <w:r>
        <w:fldChar w:fldCharType="separate"/>
      </w:r>
      <w:r>
        <w:t>64</w:t>
      </w:r>
      <w:r>
        <w:fldChar w:fldCharType="end"/>
      </w:r>
      <w:r>
        <w:t>]</w:t>
      </w:r>
      <w:r>
        <w:rPr>
          <w:b w:val="0"/>
          <w:i w:val="0"/>
        </w:rPr>
        <w:t>. The first wave, fielded in September 2025, measured perceptions, psychological states, moderators, and controls; the second wave, fielded six months later in March 2026, measured the two behavioral outcomes. Attention checks, minimum-duration screens, and straight-lining filters were applied. A total of 1,247 valid first-wave responses were obtained, of which 914 were matched at the second wave, a retention rate of 73.3 percent. All statistical analyses were performed with documented code whose random seeds are fixed in the released scripts.</w:t>
      </w:r>
    </w:p>
    <w:p>
      <w:pPr>
        <w:pStyle w:val="MDPI31text"/>
      </w:pPr>
      <w:r>
        <w:rPr>
          <w:b w:val="0"/>
          <w:i w:val="0"/>
        </w:rPr>
        <w:t xml:space="preserve">To ensure the sample is sufficiently representative and to rule out attrition bias, a sample structure and attrition analysis was conducted before the main analysis, as shown in Table 1. The retained and lost respondents do not differ significantly on any observable characteristic (the smallest p-value is 0.095), and anxiety itself does not predict attrition (p = 0.479); inverse-probability weighting is nevertheless applied in the robustness tests. The median monthly income of employed respondents is 6,300 yuan, in line with published graduate salary distributions </w:t>
      </w:r>
      <w:r>
        <w:t>[</w:t>
      </w:r>
      <w:r>
        <w:fldChar w:fldCharType="begin"/>
      </w:r>
      <w:r>
        <w:instrText xml:space="preserve"> REF _Ref_10 \h </w:instrText>
      </w:r>
      <w:r>
        <w:fldChar w:fldCharType="separate"/>
      </w:r>
      <w:r>
        <w:t>10</w:t>
      </w:r>
      <w:r>
        <w:fldChar w:fldCharType="end"/>
      </w:r>
      <w:r>
        <w:t>]</w:t>
      </w:r>
      <w:r>
        <w:rPr>
          <w:b w:val="0"/>
          <w:i w:val="0"/>
        </w:rPr>
        <w:t>. Respondents span 20 occupation groups.</w:t>
      </w:r>
    </w:p>
    <w:p>
      <w:pPr>
        <w:pStyle w:val="MDPI41tablecaption"/>
        <w:keepNext/>
        <w:spacing w:after="60"/>
      </w:pPr>
      <w:r>
        <w:rPr>
          <w:b/>
          <w:sz w:val="18"/>
        </w:rPr>
        <w:t xml:space="preserve">Table 1. </w:t>
      </w:r>
      <w:r>
        <w:rPr>
          <w:b w:val="0"/>
          <w:i w:val="0"/>
          <w:sz w:val="18"/>
        </w:rPr>
        <w:t>Sample profile and attrition analysis.</w:t>
      </w:r>
    </w:p>
    <w:tbl>
      <w:tblPr>
        <w:tblStyle w:val="MDPI41threelinetable"/>
        <w:tblW w:w="7858" w:type="dxa"/>
        <w:tblInd w:w="2608" w:type="dxa"/>
        <w:tblBorders>
          <w:top w:val="single" w:sz="8" w:space="0" w:color="auto"/>
          <w:left w:val="none" w:sz="0" w:space="0" w:color="auto"/>
          <w:bottom w:val="single" w:sz="8" w:space="0" w:color="auto"/>
          <w:right w:val="none" w:sz="0" w:space="0" w:color="auto"/>
          <w:insideH w:val="none" w:sz="0" w:space="0" w:color="auto"/>
          <w:insideV w:val="none" w:sz="0" w:space="0" w:color="auto"/>
        </w:tblBorders>
        <w:tblLayout w:type="fixed"/>
        <w:tblCellMar>
          <w:top w:w="0" w:type="dxa"/>
          <w:left w:w="57" w:type="dxa"/>
          <w:bottom w:w="0" w:type="dxa"/>
          <w:right w:w="57" w:type="dxa"/>
        </w:tblCellMar>
        <w:tblLook w:firstColumn="1" w:firstRow="1" w:lastColumn="0" w:lastRow="0" w:noHBand="0" w:noVBand="1" w:val="04A0"/>
      </w:tblPr>
      <w:tblGrid>
        <w:gridCol w:w="2671"/>
        <w:gridCol w:w="1571"/>
        <w:gridCol w:w="1571"/>
        <w:gridCol w:w="1257"/>
        <w:gridCol w:w="785"/>
      </w:tblGrid>
      <w:tr>
        <w:trPr>
          <w:cantSplit/>
          <w:tblHeader/>
        </w:trPr>
        <w:tc>
          <w:tcPr>
            <w:tcW w:type="dxa" w:w="2671"/>
            <w:tcBorders>
              <w:bottom w:val="single" w:sz="8" w:space="0" w:color="auto"/>
            </w:tcBorders>
          </w:tcPr>
          <w:p>
            <w:pPr>
              <w:pStyle w:val="MDPI42tablebody"/>
              <w:keepNext/>
              <w:spacing w:line="240" w:lineRule="auto" w:before="30" w:after="30"/>
              <w:jc w:val="center"/>
            </w:pPr>
            <w:r>
              <w:rPr>
                <w:b/>
                <w:i w:val="0"/>
                <w:sz w:val="18"/>
              </w:rPr>
              <w:t>Characteristic</w:t>
            </w:r>
          </w:p>
        </w:tc>
        <w:tc>
          <w:tcPr>
            <w:tcW w:type="dxa" w:w="1571"/>
            <w:tcBorders>
              <w:bottom w:val="single" w:sz="8" w:space="0" w:color="auto"/>
            </w:tcBorders>
          </w:tcPr>
          <w:p>
            <w:pPr>
              <w:pStyle w:val="MDPI42tablebody"/>
              <w:keepNext/>
              <w:spacing w:line="240" w:lineRule="auto" w:before="30" w:after="30"/>
              <w:jc w:val="center"/>
            </w:pPr>
            <w:r>
              <w:rPr>
                <w:b/>
                <w:i w:val="0"/>
                <w:sz w:val="18"/>
              </w:rPr>
              <w:t>Time 1 (N = 1247)</w:t>
            </w:r>
          </w:p>
        </w:tc>
        <w:tc>
          <w:tcPr>
            <w:tcW w:type="dxa" w:w="1571"/>
            <w:tcBorders>
              <w:bottom w:val="single" w:sz="8" w:space="0" w:color="auto"/>
            </w:tcBorders>
          </w:tcPr>
          <w:p>
            <w:pPr>
              <w:pStyle w:val="MDPI42tablebody"/>
              <w:keepNext/>
              <w:spacing w:line="240" w:lineRule="auto" w:before="30" w:after="30"/>
              <w:jc w:val="center"/>
            </w:pPr>
            <w:r>
              <w:rPr>
                <w:b/>
                <w:i w:val="0"/>
                <w:sz w:val="18"/>
              </w:rPr>
              <w:t>Retained (N = 914)</w:t>
            </w:r>
          </w:p>
        </w:tc>
        <w:tc>
          <w:tcPr>
            <w:tcW w:type="dxa" w:w="1257"/>
            <w:tcBorders>
              <w:bottom w:val="single" w:sz="8" w:space="0" w:color="auto"/>
            </w:tcBorders>
          </w:tcPr>
          <w:p>
            <w:pPr>
              <w:pStyle w:val="MDPI42tablebody"/>
              <w:keepNext/>
              <w:spacing w:line="240" w:lineRule="auto" w:before="30" w:after="30"/>
              <w:jc w:val="center"/>
            </w:pPr>
            <w:r>
              <w:rPr>
                <w:b/>
                <w:i w:val="0"/>
                <w:sz w:val="18"/>
              </w:rPr>
              <w:t>Lost (N = 333)</w:t>
            </w:r>
          </w:p>
        </w:tc>
        <w:tc>
          <w:tcPr>
            <w:tcW w:type="dxa" w:w="785"/>
            <w:tcBorders>
              <w:bottom w:val="single" w:sz="8" w:space="0" w:color="auto"/>
            </w:tcBorders>
          </w:tcPr>
          <w:p>
            <w:pPr>
              <w:pStyle w:val="MDPI42tablebody"/>
              <w:keepNext/>
              <w:spacing w:line="240" w:lineRule="auto" w:before="30" w:after="30"/>
              <w:jc w:val="center"/>
            </w:pPr>
            <w:r>
              <w:rPr>
                <w:b/>
                <w:i w:val="0"/>
                <w:sz w:val="18"/>
              </w:rPr>
              <w:t>p</w:t>
            </w:r>
          </w:p>
        </w:tc>
      </w:tr>
      <w:tr>
        <w:trPr>
          <w:cantSplit/>
        </w:trPr>
        <w:tc>
          <w:tcPr>
            <w:tcW w:type="dxa" w:w="2671"/>
          </w:tcPr>
          <w:p>
            <w:pPr>
              <w:pStyle w:val="MDPI42tablebody"/>
              <w:keepNext/>
              <w:spacing w:line="240" w:lineRule="auto" w:before="30" w:after="30"/>
              <w:jc w:val="left"/>
            </w:pPr>
            <w:r>
              <w:rPr>
                <w:b w:val="0"/>
                <w:i w:val="0"/>
                <w:sz w:val="18"/>
              </w:rPr>
              <w:t>Female (%)</w:t>
            </w:r>
          </w:p>
        </w:tc>
        <w:tc>
          <w:tcPr>
            <w:tcW w:type="dxa" w:w="1571"/>
          </w:tcPr>
          <w:p>
            <w:pPr>
              <w:pStyle w:val="MDPI42tablebody"/>
              <w:keepNext/>
              <w:spacing w:line="240" w:lineRule="auto" w:before="30" w:after="30"/>
              <w:jc w:val="center"/>
            </w:pPr>
            <w:r>
              <w:rPr>
                <w:b w:val="0"/>
                <w:i w:val="0"/>
                <w:sz w:val="18"/>
              </w:rPr>
              <w:t>52.6</w:t>
            </w:r>
          </w:p>
        </w:tc>
        <w:tc>
          <w:tcPr>
            <w:tcW w:type="dxa" w:w="1571"/>
          </w:tcPr>
          <w:p>
            <w:pPr>
              <w:pStyle w:val="MDPI42tablebody"/>
              <w:keepNext/>
              <w:spacing w:line="240" w:lineRule="auto" w:before="30" w:after="30"/>
              <w:jc w:val="center"/>
            </w:pPr>
            <w:r>
              <w:rPr>
                <w:b w:val="0"/>
                <w:i w:val="0"/>
                <w:sz w:val="18"/>
              </w:rPr>
              <w:t>52.8</w:t>
            </w:r>
          </w:p>
        </w:tc>
        <w:tc>
          <w:tcPr>
            <w:tcW w:type="dxa" w:w="1257"/>
          </w:tcPr>
          <w:p>
            <w:pPr>
              <w:pStyle w:val="MDPI42tablebody"/>
              <w:keepNext/>
              <w:spacing w:line="240" w:lineRule="auto" w:before="30" w:after="30"/>
              <w:jc w:val="center"/>
            </w:pPr>
            <w:r>
              <w:rPr>
                <w:b w:val="0"/>
                <w:i w:val="0"/>
                <w:sz w:val="18"/>
              </w:rPr>
              <w:t>52.0</w:t>
            </w:r>
          </w:p>
        </w:tc>
        <w:tc>
          <w:tcPr>
            <w:tcW w:type="dxa" w:w="785"/>
          </w:tcPr>
          <w:p>
            <w:pPr>
              <w:pStyle w:val="MDPI42tablebody"/>
              <w:keepNext/>
              <w:spacing w:line="240" w:lineRule="auto" w:before="30" w:after="30"/>
              <w:jc w:val="center"/>
            </w:pPr>
            <w:r>
              <w:rPr>
                <w:b w:val="0"/>
                <w:i w:val="0"/>
                <w:sz w:val="18"/>
              </w:rPr>
              <w:t>0.780</w:t>
            </w:r>
          </w:p>
        </w:tc>
      </w:tr>
      <w:tr>
        <w:trPr>
          <w:cantSplit/>
        </w:trPr>
        <w:tc>
          <w:tcPr>
            <w:tcW w:type="dxa" w:w="2671"/>
          </w:tcPr>
          <w:p>
            <w:pPr>
              <w:pStyle w:val="MDPI42tablebody"/>
              <w:keepNext/>
              <w:spacing w:line="240" w:lineRule="auto" w:before="30" w:after="30"/>
              <w:jc w:val="left"/>
            </w:pPr>
            <w:r>
              <w:rPr>
                <w:b w:val="0"/>
                <w:i w:val="0"/>
                <w:sz w:val="18"/>
              </w:rPr>
              <w:t>Age (years)</w:t>
            </w:r>
          </w:p>
        </w:tc>
        <w:tc>
          <w:tcPr>
            <w:tcW w:type="dxa" w:w="1571"/>
          </w:tcPr>
          <w:p>
            <w:pPr>
              <w:pStyle w:val="MDPI42tablebody"/>
              <w:keepNext/>
              <w:spacing w:line="240" w:lineRule="auto" w:before="30" w:after="30"/>
              <w:jc w:val="center"/>
            </w:pPr>
            <w:r>
              <w:rPr>
                <w:b w:val="0"/>
                <w:i w:val="0"/>
                <w:sz w:val="18"/>
              </w:rPr>
              <w:t>23.6</w:t>
            </w:r>
          </w:p>
        </w:tc>
        <w:tc>
          <w:tcPr>
            <w:tcW w:type="dxa" w:w="1571"/>
          </w:tcPr>
          <w:p>
            <w:pPr>
              <w:pStyle w:val="MDPI42tablebody"/>
              <w:keepNext/>
              <w:spacing w:line="240" w:lineRule="auto" w:before="30" w:after="30"/>
              <w:jc w:val="center"/>
            </w:pPr>
            <w:r>
              <w:rPr>
                <w:b w:val="0"/>
                <w:i w:val="0"/>
                <w:sz w:val="18"/>
              </w:rPr>
              <w:t>23.6</w:t>
            </w:r>
          </w:p>
        </w:tc>
        <w:tc>
          <w:tcPr>
            <w:tcW w:type="dxa" w:w="1257"/>
          </w:tcPr>
          <w:p>
            <w:pPr>
              <w:pStyle w:val="MDPI42tablebody"/>
              <w:keepNext/>
              <w:spacing w:line="240" w:lineRule="auto" w:before="30" w:after="30"/>
              <w:jc w:val="center"/>
            </w:pPr>
            <w:r>
              <w:rPr>
                <w:b w:val="0"/>
                <w:i w:val="0"/>
                <w:sz w:val="18"/>
              </w:rPr>
              <w:t>23.6</w:t>
            </w:r>
          </w:p>
        </w:tc>
        <w:tc>
          <w:tcPr>
            <w:tcW w:type="dxa" w:w="785"/>
          </w:tcPr>
          <w:p>
            <w:pPr>
              <w:pStyle w:val="MDPI42tablebody"/>
              <w:keepNext/>
              <w:spacing w:line="240" w:lineRule="auto" w:before="30" w:after="30"/>
              <w:jc w:val="center"/>
            </w:pPr>
            <w:r>
              <w:rPr>
                <w:b w:val="0"/>
                <w:i w:val="0"/>
                <w:sz w:val="18"/>
              </w:rPr>
              <w:t>0.461</w:t>
            </w:r>
          </w:p>
        </w:tc>
      </w:tr>
      <w:tr>
        <w:trPr>
          <w:cantSplit/>
        </w:trPr>
        <w:tc>
          <w:tcPr>
            <w:tcW w:type="dxa" w:w="2671"/>
          </w:tcPr>
          <w:p>
            <w:pPr>
              <w:pStyle w:val="MDPI42tablebody"/>
              <w:keepNext/>
              <w:spacing w:line="240" w:lineRule="auto" w:before="30" w:after="30"/>
              <w:jc w:val="left"/>
            </w:pPr>
            <w:r>
              <w:rPr>
                <w:b w:val="0"/>
                <w:i w:val="0"/>
                <w:sz w:val="18"/>
              </w:rPr>
              <w:t>Master's degree (%)</w:t>
            </w:r>
          </w:p>
        </w:tc>
        <w:tc>
          <w:tcPr>
            <w:tcW w:type="dxa" w:w="1571"/>
          </w:tcPr>
          <w:p>
            <w:pPr>
              <w:pStyle w:val="MDPI42tablebody"/>
              <w:keepNext/>
              <w:spacing w:line="240" w:lineRule="auto" w:before="30" w:after="30"/>
              <w:jc w:val="center"/>
            </w:pPr>
            <w:r>
              <w:rPr>
                <w:b w:val="0"/>
                <w:i w:val="0"/>
                <w:sz w:val="18"/>
              </w:rPr>
              <w:t>18.2</w:t>
            </w:r>
          </w:p>
        </w:tc>
        <w:tc>
          <w:tcPr>
            <w:tcW w:type="dxa" w:w="1571"/>
          </w:tcPr>
          <w:p>
            <w:pPr>
              <w:pStyle w:val="MDPI42tablebody"/>
              <w:keepNext/>
              <w:spacing w:line="240" w:lineRule="auto" w:before="30" w:after="30"/>
              <w:jc w:val="center"/>
            </w:pPr>
            <w:r>
              <w:rPr>
                <w:b w:val="0"/>
                <w:i w:val="0"/>
                <w:sz w:val="18"/>
              </w:rPr>
              <w:t>18.4</w:t>
            </w:r>
          </w:p>
        </w:tc>
        <w:tc>
          <w:tcPr>
            <w:tcW w:type="dxa" w:w="1257"/>
          </w:tcPr>
          <w:p>
            <w:pPr>
              <w:pStyle w:val="MDPI42tablebody"/>
              <w:keepNext/>
              <w:spacing w:line="240" w:lineRule="auto" w:before="30" w:after="30"/>
              <w:jc w:val="center"/>
            </w:pPr>
            <w:r>
              <w:rPr>
                <w:b w:val="0"/>
                <w:i w:val="0"/>
                <w:sz w:val="18"/>
              </w:rPr>
              <w:t>17.7</w:t>
            </w:r>
          </w:p>
        </w:tc>
        <w:tc>
          <w:tcPr>
            <w:tcW w:type="dxa" w:w="785"/>
          </w:tcPr>
          <w:p>
            <w:pPr>
              <w:pStyle w:val="MDPI42tablebody"/>
              <w:keepNext/>
              <w:spacing w:line="240" w:lineRule="auto" w:before="30" w:after="30"/>
              <w:jc w:val="center"/>
            </w:pPr>
            <w:r>
              <w:rPr>
                <w:b w:val="0"/>
                <w:i w:val="0"/>
                <w:sz w:val="18"/>
              </w:rPr>
              <w:t>0.787</w:t>
            </w:r>
          </w:p>
        </w:tc>
      </w:tr>
      <w:tr>
        <w:trPr>
          <w:cantSplit/>
        </w:trPr>
        <w:tc>
          <w:tcPr>
            <w:tcW w:type="dxa" w:w="2671"/>
          </w:tcPr>
          <w:p>
            <w:pPr>
              <w:pStyle w:val="MDPI42tablebody"/>
              <w:keepNext/>
              <w:spacing w:line="240" w:lineRule="auto" w:before="30" w:after="30"/>
              <w:jc w:val="left"/>
            </w:pPr>
            <w:r>
              <w:rPr>
                <w:b w:val="0"/>
                <w:i w:val="0"/>
                <w:sz w:val="18"/>
              </w:rPr>
              <w:t>STEM major (%)</w:t>
            </w:r>
          </w:p>
        </w:tc>
        <w:tc>
          <w:tcPr>
            <w:tcW w:type="dxa" w:w="1571"/>
          </w:tcPr>
          <w:p>
            <w:pPr>
              <w:pStyle w:val="MDPI42tablebody"/>
              <w:keepNext/>
              <w:spacing w:line="240" w:lineRule="auto" w:before="30" w:after="30"/>
              <w:jc w:val="center"/>
            </w:pPr>
            <w:r>
              <w:rPr>
                <w:b w:val="0"/>
                <w:i w:val="0"/>
                <w:sz w:val="18"/>
              </w:rPr>
              <w:t>40.4</w:t>
            </w:r>
          </w:p>
        </w:tc>
        <w:tc>
          <w:tcPr>
            <w:tcW w:type="dxa" w:w="1571"/>
          </w:tcPr>
          <w:p>
            <w:pPr>
              <w:pStyle w:val="MDPI42tablebody"/>
              <w:keepNext/>
              <w:spacing w:line="240" w:lineRule="auto" w:before="30" w:after="30"/>
              <w:jc w:val="center"/>
            </w:pPr>
            <w:r>
              <w:rPr>
                <w:b w:val="0"/>
                <w:i w:val="0"/>
                <w:sz w:val="18"/>
              </w:rPr>
              <w:t>40.3</w:t>
            </w:r>
          </w:p>
        </w:tc>
        <w:tc>
          <w:tcPr>
            <w:tcW w:type="dxa" w:w="1257"/>
          </w:tcPr>
          <w:p>
            <w:pPr>
              <w:pStyle w:val="MDPI42tablebody"/>
              <w:keepNext/>
              <w:spacing w:line="240" w:lineRule="auto" w:before="30" w:after="30"/>
              <w:jc w:val="center"/>
            </w:pPr>
            <w:r>
              <w:rPr>
                <w:b w:val="0"/>
                <w:i w:val="0"/>
                <w:sz w:val="18"/>
              </w:rPr>
              <w:t>40.8</w:t>
            </w:r>
          </w:p>
        </w:tc>
        <w:tc>
          <w:tcPr>
            <w:tcW w:type="dxa" w:w="785"/>
          </w:tcPr>
          <w:p>
            <w:pPr>
              <w:pStyle w:val="MDPI42tablebody"/>
              <w:keepNext/>
              <w:spacing w:line="240" w:lineRule="auto" w:before="30" w:after="30"/>
              <w:jc w:val="center"/>
            </w:pPr>
            <w:r>
              <w:rPr>
                <w:b w:val="0"/>
                <w:i w:val="0"/>
                <w:sz w:val="18"/>
              </w:rPr>
              <w:t>0.854</w:t>
            </w:r>
          </w:p>
        </w:tc>
      </w:tr>
      <w:tr>
        <w:trPr>
          <w:cantSplit/>
        </w:trPr>
        <w:tc>
          <w:tcPr>
            <w:tcW w:type="dxa" w:w="2671"/>
          </w:tcPr>
          <w:p>
            <w:pPr>
              <w:pStyle w:val="MDPI42tablebody"/>
              <w:keepNext/>
              <w:spacing w:line="240" w:lineRule="auto" w:before="30" w:after="30"/>
              <w:jc w:val="left"/>
            </w:pPr>
            <w:r>
              <w:rPr>
                <w:b w:val="0"/>
                <w:i w:val="0"/>
                <w:sz w:val="18"/>
              </w:rPr>
              <w:t>Tier-1 city (%)</w:t>
            </w:r>
          </w:p>
        </w:tc>
        <w:tc>
          <w:tcPr>
            <w:tcW w:type="dxa" w:w="1571"/>
          </w:tcPr>
          <w:p>
            <w:pPr>
              <w:pStyle w:val="MDPI42tablebody"/>
              <w:keepNext/>
              <w:spacing w:line="240" w:lineRule="auto" w:before="30" w:after="30"/>
              <w:jc w:val="center"/>
            </w:pPr>
            <w:r>
              <w:rPr>
                <w:b w:val="0"/>
                <w:i w:val="0"/>
                <w:sz w:val="18"/>
              </w:rPr>
              <w:t>31.9</w:t>
            </w:r>
          </w:p>
        </w:tc>
        <w:tc>
          <w:tcPr>
            <w:tcW w:type="dxa" w:w="1571"/>
          </w:tcPr>
          <w:p>
            <w:pPr>
              <w:pStyle w:val="MDPI42tablebody"/>
              <w:keepNext/>
              <w:spacing w:line="240" w:lineRule="auto" w:before="30" w:after="30"/>
              <w:jc w:val="center"/>
            </w:pPr>
            <w:r>
              <w:rPr>
                <w:b w:val="0"/>
                <w:i w:val="0"/>
                <w:sz w:val="18"/>
              </w:rPr>
              <w:t>32.6</w:t>
            </w:r>
          </w:p>
        </w:tc>
        <w:tc>
          <w:tcPr>
            <w:tcW w:type="dxa" w:w="1257"/>
          </w:tcPr>
          <w:p>
            <w:pPr>
              <w:pStyle w:val="MDPI42tablebody"/>
              <w:keepNext/>
              <w:spacing w:line="240" w:lineRule="auto" w:before="30" w:after="30"/>
              <w:jc w:val="center"/>
            </w:pPr>
            <w:r>
              <w:rPr>
                <w:b w:val="0"/>
                <w:i w:val="0"/>
                <w:sz w:val="18"/>
              </w:rPr>
              <w:t>30.0</w:t>
            </w:r>
          </w:p>
        </w:tc>
        <w:tc>
          <w:tcPr>
            <w:tcW w:type="dxa" w:w="785"/>
          </w:tcPr>
          <w:p>
            <w:pPr>
              <w:pStyle w:val="MDPI42tablebody"/>
              <w:keepNext/>
              <w:spacing w:line="240" w:lineRule="auto" w:before="30" w:after="30"/>
              <w:jc w:val="center"/>
            </w:pPr>
            <w:r>
              <w:rPr>
                <w:b w:val="0"/>
                <w:i w:val="0"/>
                <w:sz w:val="18"/>
              </w:rPr>
              <w:t>0.384</w:t>
            </w:r>
          </w:p>
        </w:tc>
      </w:tr>
      <w:tr>
        <w:trPr>
          <w:cantSplit/>
        </w:trPr>
        <w:tc>
          <w:tcPr>
            <w:tcW w:type="dxa" w:w="2671"/>
          </w:tcPr>
          <w:p>
            <w:pPr>
              <w:pStyle w:val="MDPI42tablebody"/>
              <w:keepNext/>
              <w:spacing w:line="240" w:lineRule="auto" w:before="30" w:after="30"/>
              <w:jc w:val="left"/>
            </w:pPr>
            <w:r>
              <w:rPr>
                <w:b w:val="0"/>
                <w:i w:val="0"/>
                <w:sz w:val="18"/>
              </w:rPr>
              <w:t>Months since graduation</w:t>
            </w:r>
          </w:p>
        </w:tc>
        <w:tc>
          <w:tcPr>
            <w:tcW w:type="dxa" w:w="1571"/>
          </w:tcPr>
          <w:p>
            <w:pPr>
              <w:pStyle w:val="MDPI42tablebody"/>
              <w:keepNext/>
              <w:spacing w:line="240" w:lineRule="auto" w:before="30" w:after="30"/>
              <w:jc w:val="center"/>
            </w:pPr>
            <w:r>
              <w:rPr>
                <w:b w:val="0"/>
                <w:i w:val="0"/>
                <w:sz w:val="18"/>
              </w:rPr>
              <w:t>18.7</w:t>
            </w:r>
          </w:p>
        </w:tc>
        <w:tc>
          <w:tcPr>
            <w:tcW w:type="dxa" w:w="1571"/>
          </w:tcPr>
          <w:p>
            <w:pPr>
              <w:pStyle w:val="MDPI42tablebody"/>
              <w:keepNext/>
              <w:spacing w:line="240" w:lineRule="auto" w:before="30" w:after="30"/>
              <w:jc w:val="center"/>
            </w:pPr>
            <w:r>
              <w:rPr>
                <w:b w:val="0"/>
                <w:i w:val="0"/>
                <w:sz w:val="18"/>
              </w:rPr>
              <w:t>18.7</w:t>
            </w:r>
          </w:p>
        </w:tc>
        <w:tc>
          <w:tcPr>
            <w:tcW w:type="dxa" w:w="1257"/>
          </w:tcPr>
          <w:p>
            <w:pPr>
              <w:pStyle w:val="MDPI42tablebody"/>
              <w:keepNext/>
              <w:spacing w:line="240" w:lineRule="auto" w:before="30" w:after="30"/>
              <w:jc w:val="center"/>
            </w:pPr>
            <w:r>
              <w:rPr>
                <w:b w:val="0"/>
                <w:i w:val="0"/>
                <w:sz w:val="18"/>
              </w:rPr>
              <w:t>18.6</w:t>
            </w:r>
          </w:p>
        </w:tc>
        <w:tc>
          <w:tcPr>
            <w:tcW w:type="dxa" w:w="785"/>
          </w:tcPr>
          <w:p>
            <w:pPr>
              <w:pStyle w:val="MDPI42tablebody"/>
              <w:keepNext/>
              <w:spacing w:line="240" w:lineRule="auto" w:before="30" w:after="30"/>
              <w:jc w:val="center"/>
            </w:pPr>
            <w:r>
              <w:rPr>
                <w:b w:val="0"/>
                <w:i w:val="0"/>
                <w:sz w:val="18"/>
              </w:rPr>
              <w:t>0.850</w:t>
            </w:r>
          </w:p>
        </w:tc>
      </w:tr>
      <w:tr>
        <w:trPr>
          <w:cantSplit/>
        </w:trPr>
        <w:tc>
          <w:tcPr>
            <w:tcW w:type="dxa" w:w="2671"/>
          </w:tcPr>
          <w:p>
            <w:pPr>
              <w:pStyle w:val="MDPI42tablebody"/>
              <w:keepNext/>
              <w:spacing w:line="240" w:lineRule="auto" w:before="30" w:after="30"/>
              <w:jc w:val="left"/>
            </w:pPr>
            <w:r>
              <w:rPr>
                <w:b w:val="0"/>
                <w:i w:val="0"/>
                <w:sz w:val="18"/>
              </w:rPr>
              <w:t>Employed (%)</w:t>
            </w:r>
          </w:p>
        </w:tc>
        <w:tc>
          <w:tcPr>
            <w:tcW w:type="dxa" w:w="1571"/>
          </w:tcPr>
          <w:p>
            <w:pPr>
              <w:pStyle w:val="MDPI42tablebody"/>
              <w:keepNext/>
              <w:spacing w:line="240" w:lineRule="auto" w:before="30" w:after="30"/>
              <w:jc w:val="center"/>
            </w:pPr>
            <w:r>
              <w:rPr>
                <w:b w:val="0"/>
                <w:i w:val="0"/>
                <w:sz w:val="18"/>
              </w:rPr>
              <w:t>72.7</w:t>
            </w:r>
          </w:p>
        </w:tc>
        <w:tc>
          <w:tcPr>
            <w:tcW w:type="dxa" w:w="1571"/>
          </w:tcPr>
          <w:p>
            <w:pPr>
              <w:pStyle w:val="MDPI42tablebody"/>
              <w:keepNext/>
              <w:spacing w:line="240" w:lineRule="auto" w:before="30" w:after="30"/>
              <w:jc w:val="center"/>
            </w:pPr>
            <w:r>
              <w:rPr>
                <w:b w:val="0"/>
                <w:i w:val="0"/>
                <w:sz w:val="18"/>
              </w:rPr>
              <w:t>74.0</w:t>
            </w:r>
          </w:p>
        </w:tc>
        <w:tc>
          <w:tcPr>
            <w:tcW w:type="dxa" w:w="1257"/>
          </w:tcPr>
          <w:p>
            <w:pPr>
              <w:pStyle w:val="MDPI42tablebody"/>
              <w:keepNext/>
              <w:spacing w:line="240" w:lineRule="auto" w:before="30" w:after="30"/>
              <w:jc w:val="center"/>
            </w:pPr>
            <w:r>
              <w:rPr>
                <w:b w:val="0"/>
                <w:i w:val="0"/>
                <w:sz w:val="18"/>
              </w:rPr>
              <w:t>69.1</w:t>
            </w:r>
          </w:p>
        </w:tc>
        <w:tc>
          <w:tcPr>
            <w:tcW w:type="dxa" w:w="785"/>
          </w:tcPr>
          <w:p>
            <w:pPr>
              <w:pStyle w:val="MDPI42tablebody"/>
              <w:keepNext/>
              <w:spacing w:line="240" w:lineRule="auto" w:before="30" w:after="30"/>
              <w:jc w:val="center"/>
            </w:pPr>
            <w:r>
              <w:rPr>
                <w:b w:val="0"/>
                <w:i w:val="0"/>
                <w:sz w:val="18"/>
              </w:rPr>
              <w:t>0.095</w:t>
            </w:r>
          </w:p>
        </w:tc>
      </w:tr>
      <w:tr>
        <w:trPr>
          <w:cantSplit/>
        </w:trPr>
        <w:tc>
          <w:tcPr>
            <w:tcW w:type="dxa" w:w="2671"/>
          </w:tcPr>
          <w:p>
            <w:pPr>
              <w:pStyle w:val="MDPI42tablebody"/>
              <w:keepNext/>
              <w:spacing w:line="240" w:lineRule="auto" w:before="30" w:after="30"/>
              <w:jc w:val="left"/>
            </w:pPr>
            <w:r>
              <w:rPr>
                <w:b w:val="0"/>
                <w:i w:val="0"/>
                <w:sz w:val="18"/>
              </w:rPr>
              <w:t>Parent with tertiary education (%)</w:t>
            </w:r>
          </w:p>
        </w:tc>
        <w:tc>
          <w:tcPr>
            <w:tcW w:type="dxa" w:w="1571"/>
          </w:tcPr>
          <w:p>
            <w:pPr>
              <w:pStyle w:val="MDPI42tablebody"/>
              <w:keepNext/>
              <w:spacing w:line="240" w:lineRule="auto" w:before="30" w:after="30"/>
              <w:jc w:val="center"/>
            </w:pPr>
            <w:r>
              <w:rPr>
                <w:b w:val="0"/>
                <w:i w:val="0"/>
                <w:sz w:val="18"/>
              </w:rPr>
              <w:t>28.4</w:t>
            </w:r>
          </w:p>
        </w:tc>
        <w:tc>
          <w:tcPr>
            <w:tcW w:type="dxa" w:w="1571"/>
          </w:tcPr>
          <w:p>
            <w:pPr>
              <w:pStyle w:val="MDPI42tablebody"/>
              <w:keepNext/>
              <w:spacing w:line="240" w:lineRule="auto" w:before="30" w:after="30"/>
              <w:jc w:val="center"/>
            </w:pPr>
            <w:r>
              <w:rPr>
                <w:b w:val="0"/>
                <w:i w:val="0"/>
                <w:sz w:val="18"/>
              </w:rPr>
              <w:t>28.0</w:t>
            </w:r>
          </w:p>
        </w:tc>
        <w:tc>
          <w:tcPr>
            <w:tcW w:type="dxa" w:w="1257"/>
          </w:tcPr>
          <w:p>
            <w:pPr>
              <w:pStyle w:val="MDPI42tablebody"/>
              <w:keepNext/>
              <w:spacing w:line="240" w:lineRule="auto" w:before="30" w:after="30"/>
              <w:jc w:val="center"/>
            </w:pPr>
            <w:r>
              <w:rPr>
                <w:b w:val="0"/>
                <w:i w:val="0"/>
                <w:sz w:val="18"/>
              </w:rPr>
              <w:t>29.4</w:t>
            </w:r>
          </w:p>
        </w:tc>
        <w:tc>
          <w:tcPr>
            <w:tcW w:type="dxa" w:w="785"/>
          </w:tcPr>
          <w:p>
            <w:pPr>
              <w:pStyle w:val="MDPI42tablebody"/>
              <w:keepNext/>
              <w:spacing w:line="240" w:lineRule="auto" w:before="30" w:after="30"/>
              <w:jc w:val="center"/>
            </w:pPr>
            <w:r>
              <w:rPr>
                <w:b w:val="0"/>
                <w:i w:val="0"/>
                <w:sz w:val="18"/>
              </w:rPr>
              <w:t>0.626</w:t>
            </w:r>
          </w:p>
        </w:tc>
      </w:tr>
      <w:tr>
        <w:trPr>
          <w:cantSplit/>
        </w:trPr>
        <w:tc>
          <w:tcPr>
            <w:tcW w:type="dxa" w:w="2671"/>
          </w:tcPr>
          <w:p>
            <w:pPr>
              <w:pStyle w:val="MDPI42tablebody"/>
              <w:keepNext/>
              <w:spacing w:line="240" w:lineRule="auto" w:before="30" w:after="30"/>
              <w:jc w:val="left"/>
            </w:pPr>
            <w:r>
              <w:rPr>
                <w:b w:val="0"/>
                <w:i w:val="0"/>
                <w:sz w:val="18"/>
              </w:rPr>
              <w:t>Internship experience (%)</w:t>
            </w:r>
          </w:p>
        </w:tc>
        <w:tc>
          <w:tcPr>
            <w:tcW w:type="dxa" w:w="1571"/>
          </w:tcPr>
          <w:p>
            <w:pPr>
              <w:pStyle w:val="MDPI42tablebody"/>
              <w:keepNext/>
              <w:spacing w:line="240" w:lineRule="auto" w:before="30" w:after="30"/>
              <w:jc w:val="center"/>
            </w:pPr>
            <w:r>
              <w:rPr>
                <w:b w:val="0"/>
                <w:i w:val="0"/>
                <w:sz w:val="18"/>
              </w:rPr>
              <w:t>65.0</w:t>
            </w:r>
          </w:p>
        </w:tc>
        <w:tc>
          <w:tcPr>
            <w:tcW w:type="dxa" w:w="1571"/>
          </w:tcPr>
          <w:p>
            <w:pPr>
              <w:pStyle w:val="MDPI42tablebody"/>
              <w:keepNext/>
              <w:spacing w:line="240" w:lineRule="auto" w:before="30" w:after="30"/>
              <w:jc w:val="center"/>
            </w:pPr>
            <w:r>
              <w:rPr>
                <w:b w:val="0"/>
                <w:i w:val="0"/>
                <w:sz w:val="18"/>
              </w:rPr>
              <w:t>65.3</w:t>
            </w:r>
          </w:p>
        </w:tc>
        <w:tc>
          <w:tcPr>
            <w:tcW w:type="dxa" w:w="1257"/>
          </w:tcPr>
          <w:p>
            <w:pPr>
              <w:pStyle w:val="MDPI42tablebody"/>
              <w:keepNext/>
              <w:spacing w:line="240" w:lineRule="auto" w:before="30" w:after="30"/>
              <w:jc w:val="center"/>
            </w:pPr>
            <w:r>
              <w:rPr>
                <w:b w:val="0"/>
                <w:i w:val="0"/>
                <w:sz w:val="18"/>
              </w:rPr>
              <w:t>64.3</w:t>
            </w:r>
          </w:p>
        </w:tc>
        <w:tc>
          <w:tcPr>
            <w:tcW w:type="dxa" w:w="785"/>
          </w:tcPr>
          <w:p>
            <w:pPr>
              <w:pStyle w:val="MDPI42tablebody"/>
              <w:keepNext/>
              <w:spacing w:line="240" w:lineRule="auto" w:before="30" w:after="30"/>
              <w:jc w:val="center"/>
            </w:pPr>
            <w:r>
              <w:rPr>
                <w:b w:val="0"/>
                <w:i w:val="0"/>
                <w:sz w:val="18"/>
              </w:rPr>
              <w:t>0.731</w:t>
            </w:r>
          </w:p>
        </w:tc>
      </w:tr>
      <w:tr>
        <w:trPr>
          <w:cantSplit/>
        </w:trPr>
        <w:tc>
          <w:tcPr>
            <w:tcW w:type="dxa" w:w="2671"/>
          </w:tcPr>
          <w:p>
            <w:pPr>
              <w:pStyle w:val="MDPI42tablebody"/>
              <w:keepNext/>
              <w:spacing w:line="240" w:lineRule="auto" w:before="30" w:after="30"/>
              <w:jc w:val="left"/>
            </w:pPr>
            <w:r>
              <w:rPr>
                <w:b w:val="0"/>
                <w:i w:val="0"/>
                <w:sz w:val="18"/>
              </w:rPr>
              <w:t>Depreciation items, mean</w:t>
            </w:r>
          </w:p>
        </w:tc>
        <w:tc>
          <w:tcPr>
            <w:tcW w:type="dxa" w:w="1571"/>
          </w:tcPr>
          <w:p>
            <w:pPr>
              <w:pStyle w:val="MDPI42tablebody"/>
              <w:keepNext/>
              <w:spacing w:line="240" w:lineRule="auto" w:before="30" w:after="30"/>
              <w:jc w:val="center"/>
            </w:pPr>
            <w:r>
              <w:rPr>
                <w:b w:val="0"/>
                <w:i w:val="0"/>
                <w:sz w:val="18"/>
              </w:rPr>
              <w:t>4.0</w:t>
            </w:r>
          </w:p>
        </w:tc>
        <w:tc>
          <w:tcPr>
            <w:tcW w:type="dxa" w:w="1571"/>
          </w:tcPr>
          <w:p>
            <w:pPr>
              <w:pStyle w:val="MDPI42tablebody"/>
              <w:keepNext/>
              <w:spacing w:line="240" w:lineRule="auto" w:before="30" w:after="30"/>
              <w:jc w:val="center"/>
            </w:pPr>
            <w:r>
              <w:rPr>
                <w:b w:val="0"/>
                <w:i w:val="0"/>
                <w:sz w:val="18"/>
              </w:rPr>
              <w:t>4.0</w:t>
            </w:r>
          </w:p>
        </w:tc>
        <w:tc>
          <w:tcPr>
            <w:tcW w:type="dxa" w:w="1257"/>
          </w:tcPr>
          <w:p>
            <w:pPr>
              <w:pStyle w:val="MDPI42tablebody"/>
              <w:keepNext/>
              <w:spacing w:line="240" w:lineRule="auto" w:before="30" w:after="30"/>
              <w:jc w:val="center"/>
            </w:pPr>
            <w:r>
              <w:rPr>
                <w:b w:val="0"/>
                <w:i w:val="0"/>
                <w:sz w:val="18"/>
              </w:rPr>
              <w:t>4.0</w:t>
            </w:r>
          </w:p>
        </w:tc>
        <w:tc>
          <w:tcPr>
            <w:tcW w:type="dxa" w:w="785"/>
          </w:tcPr>
          <w:p>
            <w:pPr>
              <w:pStyle w:val="MDPI42tablebody"/>
              <w:keepNext/>
              <w:spacing w:line="240" w:lineRule="auto" w:before="30" w:after="30"/>
              <w:jc w:val="center"/>
            </w:pPr>
            <w:r>
              <w:rPr>
                <w:b w:val="0"/>
                <w:i w:val="0"/>
                <w:sz w:val="18"/>
              </w:rPr>
              <w:t>0.534</w:t>
            </w:r>
          </w:p>
        </w:tc>
      </w:tr>
      <w:tr>
        <w:trPr>
          <w:cantSplit/>
        </w:trPr>
        <w:tc>
          <w:tcPr>
            <w:tcW w:type="dxa" w:w="2671"/>
          </w:tcPr>
          <w:p>
            <w:pPr>
              <w:pStyle w:val="MDPI42tablebody"/>
              <w:keepNext/>
              <w:spacing w:line="240" w:lineRule="auto" w:before="30" w:after="30"/>
              <w:jc w:val="left"/>
            </w:pPr>
            <w:r>
              <w:rPr>
                <w:b w:val="0"/>
                <w:i w:val="0"/>
                <w:sz w:val="18"/>
              </w:rPr>
              <w:t>Anxiety items, mean</w:t>
            </w:r>
          </w:p>
        </w:tc>
        <w:tc>
          <w:tcPr>
            <w:tcW w:type="dxa" w:w="1571"/>
          </w:tcPr>
          <w:p>
            <w:pPr>
              <w:pStyle w:val="MDPI42tablebody"/>
              <w:keepNext/>
              <w:spacing w:line="240" w:lineRule="auto" w:before="30" w:after="30"/>
              <w:jc w:val="center"/>
            </w:pPr>
            <w:r>
              <w:rPr>
                <w:b w:val="0"/>
                <w:i w:val="0"/>
                <w:sz w:val="18"/>
              </w:rPr>
              <w:t>4.0</w:t>
            </w:r>
          </w:p>
        </w:tc>
        <w:tc>
          <w:tcPr>
            <w:tcW w:type="dxa" w:w="1571"/>
          </w:tcPr>
          <w:p>
            <w:pPr>
              <w:pStyle w:val="MDPI42tablebody"/>
              <w:keepNext/>
              <w:spacing w:line="240" w:lineRule="auto" w:before="30" w:after="30"/>
              <w:jc w:val="center"/>
            </w:pPr>
            <w:r>
              <w:rPr>
                <w:b w:val="0"/>
                <w:i w:val="0"/>
                <w:sz w:val="18"/>
              </w:rPr>
              <w:t>3.9</w:t>
            </w:r>
          </w:p>
        </w:tc>
        <w:tc>
          <w:tcPr>
            <w:tcW w:type="dxa" w:w="1257"/>
          </w:tcPr>
          <w:p>
            <w:pPr>
              <w:pStyle w:val="MDPI42tablebody"/>
              <w:keepNext/>
              <w:spacing w:line="240" w:lineRule="auto" w:before="30" w:after="30"/>
              <w:jc w:val="center"/>
            </w:pPr>
            <w:r>
              <w:rPr>
                <w:b w:val="0"/>
                <w:i w:val="0"/>
                <w:sz w:val="18"/>
              </w:rPr>
              <w:t>4.0</w:t>
            </w:r>
          </w:p>
        </w:tc>
        <w:tc>
          <w:tcPr>
            <w:tcW w:type="dxa" w:w="785"/>
          </w:tcPr>
          <w:p>
            <w:pPr>
              <w:pStyle w:val="MDPI42tablebody"/>
              <w:keepNext/>
              <w:spacing w:line="240" w:lineRule="auto" w:before="30" w:after="30"/>
              <w:jc w:val="center"/>
            </w:pPr>
            <w:r>
              <w:rPr>
                <w:b w:val="0"/>
                <w:i w:val="0"/>
                <w:sz w:val="18"/>
              </w:rPr>
              <w:t>0.479</w:t>
            </w:r>
          </w:p>
        </w:tc>
      </w:tr>
    </w:tbl>
    <w:p>
      <w:pPr>
        <w:pStyle w:val="MDPI43tablefooter"/>
        <w:spacing w:line="240" w:lineRule="auto" w:before="40" w:after="200"/>
        <w:ind w:left="2608" w:firstLine="0"/>
      </w:pPr>
      <w:r>
        <w:rPr>
          <w:sz w:val="16"/>
        </w:rPr>
        <w:t xml:space="preserve">Note: </w:t>
      </w:r>
      <w:r>
        <w:rPr>
          <w:b w:val="0"/>
          <w:i w:val="0"/>
          <w:sz w:val="16"/>
        </w:rPr>
        <w:t>Continuous characteristics are means; binary characteristics are percentages. The final column reports the p-value of a Welch two-sample test of the difference between retained and lost respondents. Depreciation and anxiety rows are unweighted means of the raw seven-point items at the first wave. Source: authors’ own calculations.</w:t>
      </w:r>
    </w:p>
    <w:p>
      <w:pPr>
        <w:pStyle w:val="MDPI22heading2"/>
      </w:pPr>
      <w:r>
        <w:t>3.2. Measurement</w:t>
      </w:r>
    </w:p>
    <w:p>
      <w:pPr>
        <w:pStyle w:val="MDPI32textnoindent"/>
      </w:pPr>
      <w:r>
        <w:rPr>
          <w:b w:val="0"/>
          <w:i w:val="0"/>
        </w:rPr>
        <w:t>This study uses established questionnaire scales from the literature with appropriate modifications, using a seven-point Likert scale (1 = strongly disagree, 7 = strongly agree). The specific variables were measured as follows:</w:t>
      </w:r>
    </w:p>
    <w:p>
      <w:pPr>
        <w:pStyle w:val="MDPI31text"/>
      </w:pPr>
      <w:r>
        <w:rPr>
          <w:b w:val="0"/>
          <w:i w:val="0"/>
        </w:rPr>
        <w:t xml:space="preserve">Perceived human capital depreciation (PHCD). Adapting skill-obsolescence measures </w:t>
      </w:r>
      <w:r>
        <w:t>[</w:t>
      </w:r>
      <w:r>
        <w:fldChar w:fldCharType="begin"/>
      </w:r>
      <w:r>
        <w:instrText xml:space="preserve"> REF _Ref_40 \h </w:instrText>
      </w:r>
      <w:r>
        <w:fldChar w:fldCharType="separate"/>
      </w:r>
      <w:r>
        <w:t>40</w:t>
      </w:r>
      <w:r>
        <w:fldChar w:fldCharType="end"/>
      </w:r>
      <w:r>
        <w:t>,</w:t>
      </w:r>
      <w:r>
        <w:fldChar w:fldCharType="begin"/>
      </w:r>
      <w:r>
        <w:instrText xml:space="preserve"> REF _Ref_41 \h </w:instrText>
      </w:r>
      <w:r>
        <w:fldChar w:fldCharType="separate"/>
      </w:r>
      <w:r>
        <w:t>41</w:t>
      </w:r>
      <w:r>
        <w:fldChar w:fldCharType="end"/>
      </w:r>
      <w:r>
        <w:t>]</w:t>
      </w:r>
      <w:r>
        <w:rPr>
          <w:b w:val="0"/>
          <w:i w:val="0"/>
        </w:rPr>
        <w:t xml:space="preserve"> to the generative-AI context, four items capture the judgment that one’s degree skills are losing labor market value as generative systems improve (sample item: “The skills I acquired in my degree are losing value as generative AI systems improve”).</w:t>
      </w:r>
    </w:p>
    <w:p>
      <w:pPr>
        <w:pStyle w:val="MDPI31text"/>
      </w:pPr>
      <w:r>
        <w:rPr>
          <w:b w:val="0"/>
          <w:i w:val="0"/>
        </w:rPr>
        <w:t xml:space="preserve">AI-related career anxiety (ANX). Drawing mainly on the artificial-intelligence anxiety scale of Wang and Wang (2022) </w:t>
      </w:r>
      <w:r>
        <w:t>[</w:t>
      </w:r>
      <w:r>
        <w:fldChar w:fldCharType="begin"/>
      </w:r>
      <w:r>
        <w:instrText xml:space="preserve"> REF _Ref_19 \h </w:instrText>
      </w:r>
      <w:r>
        <w:fldChar w:fldCharType="separate"/>
      </w:r>
      <w:r>
        <w:t>19</w:t>
      </w:r>
      <w:r>
        <w:fldChar w:fldCharType="end"/>
      </w:r>
      <w:r>
        <w:t>]</w:t>
      </w:r>
      <w:r>
        <w:rPr>
          <w:b w:val="0"/>
          <w:i w:val="0"/>
        </w:rPr>
        <w:t>, four items adapt the job-replacement dimension to the career frame of reference (“Thinking about what AI means for my career path makes me tense”).</w:t>
      </w:r>
    </w:p>
    <w:p>
      <w:pPr>
        <w:pStyle w:val="MDPI31text"/>
      </w:pPr>
      <w:r>
        <w:rPr>
          <w:b w:val="0"/>
          <w:i w:val="0"/>
        </w:rPr>
        <w:t xml:space="preserve">Generative-AI literacy (LIT). Following the self-efficacy tradition </w:t>
      </w:r>
      <w:r>
        <w:t>[</w:t>
      </w:r>
      <w:r>
        <w:fldChar w:fldCharType="begin"/>
      </w:r>
      <w:r>
        <w:instrText xml:space="preserve"> REF _Ref_55 \h </w:instrText>
      </w:r>
      <w:r>
        <w:fldChar w:fldCharType="separate"/>
      </w:r>
      <w:r>
        <w:t>55</w:t>
      </w:r>
      <w:r>
        <w:fldChar w:fldCharType="end"/>
      </w:r>
      <w:r>
        <w:t>]</w:t>
      </w:r>
      <w:r>
        <w:rPr>
          <w:b w:val="0"/>
          <w:i w:val="0"/>
        </w:rPr>
        <w:t xml:space="preserve"> and studies of student GenAI competence </w:t>
      </w:r>
      <w:r>
        <w:t>[</w:t>
      </w:r>
      <w:r>
        <w:fldChar w:fldCharType="begin"/>
      </w:r>
      <w:r>
        <w:instrText xml:space="preserve"> REF _Ref_23 \h </w:instrText>
      </w:r>
      <w:r>
        <w:fldChar w:fldCharType="separate"/>
      </w:r>
      <w:r>
        <w:t>23</w:t>
      </w:r>
      <w:r>
        <w:fldChar w:fldCharType="end"/>
      </w:r>
      <w:r>
        <w:t>]</w:t>
      </w:r>
      <w:r>
        <w:rPr>
          <w:b w:val="0"/>
          <w:i w:val="0"/>
        </w:rPr>
        <w:t>, four items measure self-efficacious command of the technology: prompting effectively, verifying output, integrating it into one’s own work, and keeping pace with new releases.</w:t>
      </w:r>
    </w:p>
    <w:p>
      <w:pPr>
        <w:pStyle w:val="MDPI31text"/>
      </w:pPr>
      <w:r>
        <w:rPr>
          <w:b w:val="0"/>
          <w:i w:val="0"/>
        </w:rPr>
        <w:t xml:space="preserve">Perceived employability support (SUP). Drawing on the employability literature </w:t>
      </w:r>
      <w:r>
        <w:t>[</w:t>
      </w:r>
      <w:r>
        <w:fldChar w:fldCharType="begin"/>
      </w:r>
      <w:r>
        <w:instrText xml:space="preserve"> REF _Ref_58 \h </w:instrText>
      </w:r>
      <w:r>
        <w:fldChar w:fldCharType="separate"/>
      </w:r>
      <w:r>
        <w:t>58</w:t>
      </w:r>
      <w:r>
        <w:fldChar w:fldCharType="end"/>
      </w:r>
      <w:r>
        <w:t>]</w:t>
      </w:r>
      <w:r>
        <w:rPr>
          <w:b w:val="0"/>
          <w:i w:val="0"/>
        </w:rPr>
        <w:t>, four items measure the graduate’s assessment of university career services, employer training provision, and network support.</w:t>
      </w:r>
    </w:p>
    <w:p>
      <w:pPr>
        <w:pStyle w:val="MDPI31text"/>
      </w:pPr>
      <w:r>
        <w:rPr>
          <w:b w:val="0"/>
          <w:i w:val="0"/>
        </w:rPr>
        <w:t xml:space="preserve">Occupational adaptation (ADP). Measured at the second wave, four items record behavior over the intervening six months: enrollment in structured reskilling, credential pursuit, deliberate practice with generative tools, and movement toward tasks that complement the technology </w:t>
      </w:r>
      <w:r>
        <w:t>[</w:t>
      </w:r>
      <w:r>
        <w:fldChar w:fldCharType="begin"/>
      </w:r>
      <w:r>
        <w:instrText xml:space="preserve"> REF _Ref_50 \h </w:instrText>
      </w:r>
      <w:r>
        <w:fldChar w:fldCharType="separate"/>
      </w:r>
      <w:r>
        <w:t>50</w:t>
      </w:r>
      <w:r>
        <w:fldChar w:fldCharType="end"/>
      </w:r>
      <w:r>
        <w:t>,</w:t>
      </w:r>
      <w:r>
        <w:fldChar w:fldCharType="begin"/>
      </w:r>
      <w:r>
        <w:instrText xml:space="preserve"> REF _Ref_51 \h </w:instrText>
      </w:r>
      <w:r>
        <w:fldChar w:fldCharType="separate"/>
      </w:r>
      <w:r>
        <w:t>51</w:t>
      </w:r>
      <w:r>
        <w:fldChar w:fldCharType="end"/>
      </w:r>
      <w:r>
        <w:t>]</w:t>
      </w:r>
      <w:r>
        <w:rPr>
          <w:b w:val="0"/>
          <w:i w:val="0"/>
        </w:rPr>
        <w:t>. As a behavioral cross-check, the second wave also records hours of structured reskilling.</w:t>
      </w:r>
    </w:p>
    <w:p>
      <w:pPr>
        <w:pStyle w:val="MDPI31text"/>
      </w:pPr>
      <w:r>
        <w:rPr>
          <w:b w:val="0"/>
          <w:i w:val="0"/>
        </w:rPr>
        <w:t xml:space="preserve">Career avoidance (AVD). Measured at the second wave, three items record postponed career decisions, avoidance of AI-related information, and contemplated exit from the field </w:t>
      </w:r>
      <w:r>
        <w:t>[</w:t>
      </w:r>
      <w:r>
        <w:fldChar w:fldCharType="begin"/>
      </w:r>
      <w:r>
        <w:instrText xml:space="preserve"> REF _Ref_20 \h </w:instrText>
      </w:r>
      <w:r>
        <w:fldChar w:fldCharType="separate"/>
      </w:r>
      <w:r>
        <w:t>20</w:t>
      </w:r>
      <w:r>
        <w:fldChar w:fldCharType="end"/>
      </w:r>
      <w:r>
        <w:t>]</w:t>
      </w:r>
      <w:r>
        <w:rPr>
          <w:b w:val="0"/>
          <w:i w:val="0"/>
        </w:rPr>
        <w:t>.</w:t>
      </w:r>
    </w:p>
    <w:p>
      <w:pPr>
        <w:pStyle w:val="MDPI31text"/>
      </w:pPr>
      <w:r>
        <w:rPr>
          <w:b w:val="0"/>
          <w:i w:val="0"/>
        </w:rPr>
        <w:t xml:space="preserve">Occupational exposure (EXPO). The one non-perceptual condition: each respondent’s current or target occupation group is scored for generative-AI exposure by aggregating task-level language-model applicability to the occupation level, following the construction logic of the exposure literature </w:t>
      </w:r>
      <w:r>
        <w:t>[</w:t>
      </w:r>
      <w:r>
        <w:fldChar w:fldCharType="begin"/>
      </w:r>
      <w:r>
        <w:instrText xml:space="preserve"> REF _Ref_1 \h </w:instrText>
      </w:r>
      <w:r>
        <w:fldChar w:fldCharType="separate"/>
      </w:r>
      <w:r>
        <w:t>1</w:t>
      </w:r>
      <w:r>
        <w:fldChar w:fldCharType="end"/>
      </w:r>
      <w:r>
        <w:t>,</w:t>
      </w:r>
      <w:r>
        <w:fldChar w:fldCharType="begin"/>
      </w:r>
      <w:r>
        <w:instrText xml:space="preserve"> REF _Ref_2 \h </w:instrText>
      </w:r>
      <w:r>
        <w:fldChar w:fldCharType="separate"/>
      </w:r>
      <w:r>
        <w:t>2</w:t>
      </w:r>
      <w:r>
        <w:fldChar w:fldCharType="end"/>
      </w:r>
      <w:r>
        <w:t>]</w:t>
      </w:r>
      <w:r>
        <w:rPr>
          <w:b w:val="0"/>
          <w:i w:val="0"/>
        </w:rPr>
        <w:t>, and standardized over the sample (raw-score mean 0.58, standard deviation 0.18).</w:t>
      </w:r>
    </w:p>
    <w:p>
      <w:pPr>
        <w:pStyle w:val="MDPI31text"/>
      </w:pPr>
      <w:r>
        <w:rPr>
          <w:b w:val="0"/>
          <w:i w:val="0"/>
        </w:rPr>
        <w:t xml:space="preserve">Control variables. Gender, age, degree level, STEM major, city tier, months since graduation, employment status, parental tertiary education, and internship experience are controlled, these being standard determinants of early-career outcomes </w:t>
      </w:r>
      <w:r>
        <w:t>[</w:t>
      </w:r>
      <w:r>
        <w:fldChar w:fldCharType="begin"/>
      </w:r>
      <w:r>
        <w:instrText xml:space="preserve"> REF _Ref_15 \h </w:instrText>
      </w:r>
      <w:r>
        <w:fldChar w:fldCharType="separate"/>
      </w:r>
      <w:r>
        <w:t>15</w:t>
      </w:r>
      <w:r>
        <w:fldChar w:fldCharType="end"/>
      </w:r>
      <w:r>
        <w:t>,</w:t>
      </w:r>
      <w:r>
        <w:fldChar w:fldCharType="begin"/>
      </w:r>
      <w:r>
        <w:instrText xml:space="preserve"> REF _Ref_16 \h </w:instrText>
      </w:r>
      <w:r>
        <w:fldChar w:fldCharType="separate"/>
      </w:r>
      <w:r>
        <w:t>16</w:t>
      </w:r>
      <w:r>
        <w:fldChar w:fldCharType="end"/>
      </w:r>
      <w:r>
        <w:t>]</w:t>
      </w:r>
      <w:r>
        <w:rPr>
          <w:b w:val="0"/>
          <w:i w:val="0"/>
        </w:rPr>
        <w:t xml:space="preserve">. A three-item marker construct, theoretically unrelated aesthetic preference, is carried for method-bias diagnostics </w:t>
      </w:r>
      <w:r>
        <w:t>[</w:t>
      </w:r>
      <w:r>
        <w:fldChar w:fldCharType="begin"/>
      </w:r>
      <w:r>
        <w:instrText xml:space="preserve"> REF _Ref_65 \h </w:instrText>
      </w:r>
      <w:r>
        <w:fldChar w:fldCharType="separate"/>
      </w:r>
      <w:r>
        <w:t>65</w:t>
      </w:r>
      <w:r>
        <w:fldChar w:fldCharType="end"/>
      </w:r>
      <w:r>
        <w:t>]</w:t>
      </w:r>
      <w:r>
        <w:rPr>
          <w:b w:val="0"/>
          <w:i w:val="0"/>
        </w:rPr>
        <w:t>.</w:t>
      </w:r>
    </w:p>
    <w:p>
      <w:pPr>
        <w:pStyle w:val="MDPI22heading2"/>
      </w:pPr>
      <w:r>
        <w:t>3.3. Analytical Strategy</w:t>
      </w:r>
    </w:p>
    <w:p>
      <w:pPr>
        <w:pStyle w:val="MDPI32textnoindent"/>
      </w:pPr>
      <w:r>
        <w:rPr>
          <w:b w:val="0"/>
          <w:i w:val="0"/>
        </w:rPr>
        <w:t xml:space="preserve">The analysis proceeds in four steps. In the first step, a maximum-likelihood confirmatory factor analysis of the six substantive constructs establishes reliability, convergent and discriminant validity </w:t>
      </w:r>
      <w:r>
        <w:t>[</w:t>
      </w:r>
      <w:r>
        <w:fldChar w:fldCharType="begin"/>
      </w:r>
      <w:r>
        <w:instrText xml:space="preserve"> REF _Ref_66 \h </w:instrText>
      </w:r>
      <w:r>
        <w:fldChar w:fldCharType="separate"/>
      </w:r>
      <w:r>
        <w:t>66</w:t>
      </w:r>
      <w:r>
        <w:fldChar w:fldCharType="end"/>
      </w:r>
      <w:r>
        <w:t>–</w:t>
      </w:r>
      <w:r>
        <w:fldChar w:fldCharType="begin"/>
      </w:r>
      <w:r>
        <w:instrText xml:space="preserve"> REF _Ref_68 \h </w:instrText>
      </w:r>
      <w:r>
        <w:fldChar w:fldCharType="separate"/>
      </w:r>
      <w:r>
        <w:t>68</w:t>
      </w:r>
      <w:r>
        <w:fldChar w:fldCharType="end"/>
      </w:r>
      <w:r>
        <w:t>]</w:t>
      </w:r>
      <w:r>
        <w:rPr>
          <w:b w:val="0"/>
          <w:i w:val="0"/>
        </w:rPr>
        <w:t xml:space="preserve">, measurement invariance across gender and major, and common-method diagnostics </w:t>
      </w:r>
      <w:r>
        <w:t>[</w:t>
      </w:r>
      <w:r>
        <w:fldChar w:fldCharType="begin"/>
      </w:r>
      <w:r>
        <w:instrText xml:space="preserve"> REF _Ref_65 \h </w:instrText>
      </w:r>
      <w:r>
        <w:fldChar w:fldCharType="separate"/>
      </w:r>
      <w:r>
        <w:t>65</w:t>
      </w:r>
      <w:r>
        <w:fldChar w:fldCharType="end"/>
      </w:r>
      <w:r>
        <w:t>,</w:t>
      </w:r>
      <w:r>
        <w:fldChar w:fldCharType="begin"/>
      </w:r>
      <w:r>
        <w:instrText xml:space="preserve"> REF _Ref_69 \h </w:instrText>
      </w:r>
      <w:r>
        <w:fldChar w:fldCharType="separate"/>
      </w:r>
      <w:r>
        <w:t>69</w:t>
      </w:r>
      <w:r>
        <w:fldChar w:fldCharType="end"/>
      </w:r>
      <w:r>
        <w:t>,</w:t>
      </w:r>
      <w:r>
        <w:fldChar w:fldCharType="begin"/>
      </w:r>
      <w:r>
        <w:instrText xml:space="preserve"> REF _Ref_70 \h </w:instrText>
      </w:r>
      <w:r>
        <w:fldChar w:fldCharType="separate"/>
      </w:r>
      <w:r>
        <w:t>70</w:t>
      </w:r>
      <w:r>
        <w:fldChar w:fldCharType="end"/>
      </w:r>
      <w:r>
        <w:t>]</w:t>
      </w:r>
      <w:r>
        <w:rPr>
          <w:b w:val="0"/>
          <w:i w:val="0"/>
        </w:rPr>
        <w:t xml:space="preserve">. Bartlett factor scores carry the constructs into the structural step; factor-score regression of this form is consistent for the structural parameters under a correctly specified measurement model </w:t>
      </w:r>
      <w:r>
        <w:t>[</w:t>
      </w:r>
      <w:r>
        <w:fldChar w:fldCharType="begin"/>
      </w:r>
      <w:r>
        <w:instrText xml:space="preserve"> REF _Ref_71 \h </w:instrText>
      </w:r>
      <w:r>
        <w:fldChar w:fldCharType="separate"/>
      </w:r>
      <w:r>
        <w:t>71</w:t>
      </w:r>
      <w:r>
        <w:fldChar w:fldCharType="end"/>
      </w:r>
      <w:r>
        <w:t>]</w:t>
      </w:r>
      <w:r>
        <w:rPr>
          <w:b w:val="0"/>
          <w:i w:val="0"/>
        </w:rPr>
        <w:t>, and unit-weighted composites replicate every result in the robustness tests. In the second step, the following three structural equations are estimated:</w:t>
      </w:r>
    </w:p>
    <w:tbl>
      <w:tblPr>
        <w:tblW w:w="10466"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firstColumn="1" w:firstRow="1" w:lastColumn="0" w:lastRow="0" w:noHBand="0" w:noVBand="1" w:val="04A0"/>
      </w:tblPr>
      <w:tblGrid>
        <w:gridCol w:w="10035"/>
        <w:gridCol w:w="431"/>
      </w:tblGrid>
      <w:tr>
        <w:trPr>
          <w:cantSplit/>
        </w:trPr>
        <w:tc>
          <w:tcPr>
            <w:tcW w:type="dxa" w:w="10035"/>
            <w:vAlign w:val="center"/>
          </w:tcPr>
          <w:p>
            <w:pPr>
              <w:pStyle w:val="MDPI39equation"/>
              <w:ind w:left="0" w:right="0"/>
              <w:jc w:val="center"/>
            </w:pPr>
            <m:oMath>
              <m:sSub>
                <m:e>
                  <m:r>
                    <m:t xml:space="preserve">ANX</m:t>
                  </m:r>
                </m:e>
                <m:sub>
                  <m:r>
                    <m:t xml:space="preserve">i</m:t>
                  </m:r>
                </m:sub>
              </m:sSub>
              <m:r>
                <m:rPr>
                  <m:sty m:val="p"/>
                </m:rPr>
                <m:t xml:space="preserve">=</m:t>
              </m:r>
              <m:sSub>
                <m:e>
                  <m:r>
                    <m:t xml:space="preserve">a</m:t>
                  </m:r>
                </m:e>
                <m:sub>
                  <m:r>
                    <m:rPr>
                      <m:sty m:val="p"/>
                    </m:rPr>
                    <m:t xml:space="preserve">0</m:t>
                  </m:r>
                </m:sub>
              </m:sSub>
              <m:r>
                <m:rPr>
                  <m:sty m:val="p"/>
                </m:rPr>
                <m:t xml:space="preserve">+</m:t>
              </m:r>
              <m:sSub>
                <m:e>
                  <m:r>
                    <m:t xml:space="preserve">a</m:t>
                  </m:r>
                </m:e>
                <m:sub>
                  <m:r>
                    <m:rPr>
                      <m:sty m:val="p"/>
                    </m:rPr>
                    <m:t xml:space="preserve">1</m:t>
                  </m:r>
                </m:sub>
              </m:sSub>
              <m:sSub>
                <m:e>
                  <m:r>
                    <m:t xml:space="preserve">PHCD</m:t>
                  </m:r>
                </m:e>
                <m:sub>
                  <m:r>
                    <m:t xml:space="preserve">i</m:t>
                  </m:r>
                </m:sub>
              </m:sSub>
              <m:r>
                <m:rPr>
                  <m:sty m:val="p"/>
                </m:rPr>
                <m:t xml:space="preserve">+</m:t>
              </m:r>
              <m:sSub>
                <m:e>
                  <m:r>
                    <m:t xml:space="preserve">a</m:t>
                  </m:r>
                </m:e>
                <m:sub>
                  <m:r>
                    <m:rPr>
                      <m:sty m:val="p"/>
                    </m:rPr>
                    <m:t xml:space="preserve">2</m:t>
                  </m:r>
                </m:sub>
              </m:sSub>
              <m:r>
                <m:t xml:space="preserve">S</m:t>
              </m:r>
              <m:sSub>
                <m:e>
                  <m:r>
                    <m:t xml:space="preserve">UP</m:t>
                  </m:r>
                </m:e>
                <m:sub>
                  <m:r>
                    <m:t xml:space="preserve">i</m:t>
                  </m:r>
                </m:sub>
              </m:sSub>
              <m:r>
                <m:rPr>
                  <m:sty m:val="p"/>
                </m:rPr>
                <m:t xml:space="preserve">+</m:t>
              </m:r>
              <m:sSub>
                <m:e>
                  <m:r>
                    <m:t xml:space="preserve">a</m:t>
                  </m:r>
                </m:e>
                <m:sub>
                  <m:r>
                    <m:rPr>
                      <m:sty m:val="p"/>
                    </m:rPr>
                    <m:t xml:space="preserve">3</m:t>
                  </m:r>
                </m:sub>
              </m:sSub>
              <m:d>
                <m:dPr>
                  <m:begChr m:val="("/>
                  <m:endChr m:val=")"/>
                </m:dPr>
                <m:e>
                  <m:sSub>
                    <m:e>
                      <m:r>
                        <m:t xml:space="preserve">PHCD</m:t>
                      </m:r>
                    </m:e>
                    <m:sub>
                      <m:r>
                        <m:t xml:space="preserve">i</m:t>
                      </m:r>
                    </m:sub>
                  </m:sSub>
                  <m:r>
                    <m:rPr>
                      <m:sty m:val="p"/>
                    </m:rPr>
                    <m:t xml:space="preserve">×</m:t>
                  </m:r>
                  <m:r>
                    <m:t xml:space="preserve"> </m:t>
                  </m:r>
                  <m:r>
                    <m:t xml:space="preserve">S</m:t>
                  </m:r>
                  <m:sSub>
                    <m:e>
                      <m:r>
                        <m:t xml:space="preserve">UP</m:t>
                      </m:r>
                    </m:e>
                    <m:sub>
                      <m:r>
                        <m:t xml:space="preserve">i</m:t>
                      </m:r>
                    </m:sub>
                  </m:sSub>
                </m:e>
              </m:d>
              <m:r>
                <m:rPr>
                  <m:sty m:val="p"/>
                </m:rPr>
                <m:t xml:space="preserve">+</m:t>
              </m:r>
              <m:sSubSup>
                <m:e>
                  <m:r>
                    <m:t xml:space="preserve">γ</m:t>
                  </m:r>
                </m:e>
                <m:sub>
                  <m:r>
                    <m:rPr>
                      <m:sty m:val="p"/>
                    </m:rPr>
                    <m:t xml:space="preserve">1</m:t>
                  </m:r>
                </m:sub>
                <m:sup>
                  <m:r>
                    <m:rPr>
                      <m:sty m:val="p"/>
                    </m:rPr>
                    <m:t xml:space="preserve">′</m:t>
                  </m:r>
                </m:sup>
              </m:sSubSup>
              <m:sSub>
                <m:e>
                  <m:r>
                    <m:t xml:space="preserve">X</m:t>
                  </m:r>
                </m:e>
                <m:sub>
                  <m:r>
                    <m:t xml:space="preserve">i</m:t>
                  </m:r>
                </m:sub>
              </m:sSub>
              <m:r>
                <m:rPr>
                  <m:sty m:val="p"/>
                </m:rPr>
                <m:t xml:space="preserve">+</m:t>
              </m:r>
              <m:sSub>
                <m:e>
                  <m:r>
                    <m:t xml:space="preserve">ε</m:t>
                  </m:r>
                </m:e>
                <m:sub>
                  <m:r>
                    <m:rPr>
                      <m:sty m:val="p"/>
                    </m:rPr>
                    <m:t xml:space="preserve">1</m:t>
                  </m:r>
                  <m:r>
                    <m:t xml:space="preserve">i</m:t>
                  </m:r>
                </m:sub>
              </m:sSub>
            </m:oMath>
          </w:p>
        </w:tc>
        <w:tc>
          <w:tcPr>
            <w:tcW w:type="dxa" w:w="431"/>
            <w:vAlign w:val="center"/>
          </w:tcPr>
          <w:p>
            <w:pPr>
              <w:pStyle w:val="MDPI3aequationnumber"/>
              <w:jc w:val="right"/>
            </w:pPr>
            <w:r>
              <w:t>(1)</w:t>
            </w:r>
          </w:p>
        </w:tc>
      </w:tr>
    </w:tbl>
    <w:tbl>
      <w:tblPr>
        <w:tblW w:w="10466"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firstColumn="1" w:firstRow="1" w:lastColumn="0" w:lastRow="0" w:noHBand="0" w:noVBand="1" w:val="04A0"/>
      </w:tblPr>
      <w:tblGrid>
        <w:gridCol w:w="10035"/>
        <w:gridCol w:w="431"/>
      </w:tblGrid>
      <w:tr>
        <w:trPr>
          <w:cantSplit/>
        </w:trPr>
        <w:tc>
          <w:tcPr>
            <w:tcW w:type="dxa" w:w="10035"/>
            <w:vAlign w:val="center"/>
          </w:tcPr>
          <w:p>
            <w:pPr>
              <w:pStyle w:val="MDPI39equation"/>
              <w:ind w:left="0" w:right="0"/>
              <w:jc w:val="center"/>
            </w:pPr>
            <m:oMath>
              <m:sSub>
                <m:e>
                  <m:r>
                    <m:t xml:space="preserve">ADP</m:t>
                  </m:r>
                </m:e>
                <m:sub>
                  <m:r>
                    <m:t xml:space="preserve">i</m:t>
                  </m:r>
                </m:sub>
              </m:sSub>
              <m:r>
                <m:rPr>
                  <m:sty m:val="p"/>
                </m:rPr>
                <m:t xml:space="preserve">=</m:t>
              </m:r>
              <m:sSub>
                <m:e>
                  <m:r>
                    <m:t xml:space="preserve">b</m:t>
                  </m:r>
                </m:e>
                <m:sub>
                  <m:r>
                    <m:rPr>
                      <m:sty m:val="p"/>
                    </m:rPr>
                    <m:t xml:space="preserve">0</m:t>
                  </m:r>
                </m:sub>
              </m:sSub>
              <m:r>
                <m:rPr>
                  <m:sty m:val="p"/>
                </m:rPr>
                <m:t xml:space="preserve">+</m:t>
              </m:r>
              <m:sSub>
                <m:e>
                  <m:r>
                    <m:t xml:space="preserve">b</m:t>
                  </m:r>
                </m:e>
                <m:sub>
                  <m:r>
                    <m:rPr>
                      <m:sty m:val="p"/>
                    </m:rPr>
                    <m:t xml:space="preserve">1</m:t>
                  </m:r>
                </m:sub>
              </m:sSub>
              <m:sSub>
                <m:e>
                  <m:r>
                    <m:t xml:space="preserve">ANX</m:t>
                  </m:r>
                </m:e>
                <m:sub>
                  <m:r>
                    <m:t xml:space="preserve">i</m:t>
                  </m:r>
                </m:sub>
              </m:sSub>
              <m:r>
                <m:rPr>
                  <m:sty m:val="p"/>
                </m:rPr>
                <m:t xml:space="preserve">+</m:t>
              </m:r>
              <m:sSub>
                <m:e>
                  <m:r>
                    <m:t xml:space="preserve">b</m:t>
                  </m:r>
                </m:e>
                <m:sub>
                  <m:r>
                    <m:rPr>
                      <m:sty m:val="p"/>
                    </m:rPr>
                    <m:t xml:space="preserve">2</m:t>
                  </m:r>
                </m:sub>
              </m:sSub>
              <m:sSubSup>
                <m:e>
                  <m:r>
                    <m:t xml:space="preserve">ANX</m:t>
                  </m:r>
                </m:e>
                <m:sub>
                  <m:r>
                    <m:t xml:space="preserve">i</m:t>
                  </m:r>
                </m:sub>
                <m:sup>
                  <m:r>
                    <m:rPr>
                      <m:sty m:val="p"/>
                    </m:rPr>
                    <m:t xml:space="preserve">2</m:t>
                  </m:r>
                </m:sup>
              </m:sSubSup>
              <m:r>
                <m:rPr>
                  <m:sty m:val="p"/>
                </m:rPr>
                <m:t xml:space="preserve">+</m:t>
              </m:r>
              <m:sSub>
                <m:e>
                  <m:r>
                    <m:t xml:space="preserve">b</m:t>
                  </m:r>
                </m:e>
                <m:sub>
                  <m:r>
                    <m:rPr>
                      <m:sty m:val="p"/>
                    </m:rPr>
                    <m:t xml:space="preserve">3</m:t>
                  </m:r>
                </m:sub>
              </m:sSub>
              <m:d>
                <m:dPr>
                  <m:begChr m:val="("/>
                  <m:endChr m:val=")"/>
                </m:dPr>
                <m:e>
                  <m:sSub>
                    <m:e>
                      <m:r>
                        <m:t xml:space="preserve">ANX</m:t>
                      </m:r>
                    </m:e>
                    <m:sub>
                      <m:r>
                        <m:t xml:space="preserve">i</m:t>
                      </m:r>
                    </m:sub>
                  </m:sSub>
                  <m:r>
                    <m:rPr>
                      <m:sty m:val="p"/>
                    </m:rPr>
                    <m:t xml:space="preserve">×</m:t>
                  </m:r>
                  <m:r>
                    <m:t xml:space="preserve"> </m:t>
                  </m:r>
                  <m:sSub>
                    <m:e>
                      <m:r>
                        <m:t xml:space="preserve">LIT</m:t>
                      </m:r>
                    </m:e>
                    <m:sub>
                      <m:r>
                        <m:t xml:space="preserve">i</m:t>
                      </m:r>
                    </m:sub>
                  </m:sSub>
                </m:e>
              </m:d>
              <m:r>
                <m:rPr>
                  <m:sty m:val="p"/>
                </m:rPr>
                <m:t xml:space="preserve">+</m:t>
              </m:r>
              <m:sSub>
                <m:e>
                  <m:r>
                    <m:t xml:space="preserve">b</m:t>
                  </m:r>
                </m:e>
                <m:sub>
                  <m:r>
                    <m:rPr>
                      <m:sty m:val="p"/>
                    </m:rPr>
                    <m:t xml:space="preserve">4</m:t>
                  </m:r>
                </m:sub>
              </m:sSub>
              <m:sSub>
                <m:e>
                  <m:r>
                    <m:t xml:space="preserve">LIT</m:t>
                  </m:r>
                </m:e>
                <m:sub>
                  <m:r>
                    <m:t xml:space="preserve">i</m:t>
                  </m:r>
                </m:sub>
              </m:sSub>
              <m:r>
                <m:rPr>
                  <m:sty m:val="p"/>
                </m:rPr>
                <m:t xml:space="preserve">+</m:t>
              </m:r>
              <m:sSub>
                <m:e>
                  <m:r>
                    <m:t xml:space="preserve">b</m:t>
                  </m:r>
                </m:e>
                <m:sub>
                  <m:r>
                    <m:rPr>
                      <m:sty m:val="p"/>
                    </m:rPr>
                    <m:t xml:space="preserve">5</m:t>
                  </m:r>
                </m:sub>
              </m:sSub>
              <m:r>
                <m:t xml:space="preserve">S</m:t>
              </m:r>
              <m:sSub>
                <m:e>
                  <m:r>
                    <m:t xml:space="preserve">UP</m:t>
                  </m:r>
                </m:e>
                <m:sub>
                  <m:r>
                    <m:t xml:space="preserve">i</m:t>
                  </m:r>
                </m:sub>
              </m:sSub>
              <m:r>
                <m:rPr>
                  <m:sty m:val="p"/>
                </m:rPr>
                <m:t xml:space="preserve">+</m:t>
              </m:r>
              <m:sSub>
                <m:e>
                  <m:r>
                    <m:t xml:space="preserve">b</m:t>
                  </m:r>
                </m:e>
                <m:sub>
                  <m:r>
                    <m:rPr>
                      <m:sty m:val="p"/>
                    </m:rPr>
                    <m:t xml:space="preserve">6</m:t>
                  </m:r>
                </m:sub>
              </m:sSub>
              <m:sSub>
                <m:e>
                  <m:r>
                    <m:t xml:space="preserve">PHCD</m:t>
                  </m:r>
                </m:e>
                <m:sub>
                  <m:r>
                    <m:t xml:space="preserve">i</m:t>
                  </m:r>
                </m:sub>
              </m:sSub>
              <m:r>
                <m:rPr>
                  <m:sty m:val="p"/>
                </m:rPr>
                <m:t xml:space="preserve">+</m:t>
              </m:r>
              <m:sSubSup>
                <m:e>
                  <m:r>
                    <m:t xml:space="preserve">γ</m:t>
                  </m:r>
                </m:e>
                <m:sub>
                  <m:r>
                    <m:rPr>
                      <m:sty m:val="p"/>
                    </m:rPr>
                    <m:t xml:space="preserve">2</m:t>
                  </m:r>
                </m:sub>
                <m:sup>
                  <m:r>
                    <m:rPr>
                      <m:sty m:val="p"/>
                    </m:rPr>
                    <m:t xml:space="preserve">′</m:t>
                  </m:r>
                </m:sup>
              </m:sSubSup>
              <m:sSub>
                <m:e>
                  <m:r>
                    <m:t xml:space="preserve">X</m:t>
                  </m:r>
                </m:e>
                <m:sub>
                  <m:r>
                    <m:t xml:space="preserve">i</m:t>
                  </m:r>
                </m:sub>
              </m:sSub>
              <m:r>
                <m:rPr>
                  <m:sty m:val="p"/>
                </m:rPr>
                <m:t xml:space="preserve">+</m:t>
              </m:r>
              <m:sSub>
                <m:e>
                  <m:r>
                    <m:t xml:space="preserve">ε</m:t>
                  </m:r>
                </m:e>
                <m:sub>
                  <m:r>
                    <m:rPr>
                      <m:sty m:val="p"/>
                    </m:rPr>
                    <m:t xml:space="preserve">2</m:t>
                  </m:r>
                  <m:r>
                    <m:t xml:space="preserve">i</m:t>
                  </m:r>
                </m:sub>
              </m:sSub>
            </m:oMath>
          </w:p>
        </w:tc>
        <w:tc>
          <w:tcPr>
            <w:tcW w:type="dxa" w:w="431"/>
            <w:vAlign w:val="center"/>
          </w:tcPr>
          <w:p>
            <w:pPr>
              <w:pStyle w:val="MDPI3aequationnumber"/>
              <w:jc w:val="right"/>
            </w:pPr>
            <w:r>
              <w:t>(2)</w:t>
            </w:r>
          </w:p>
        </w:tc>
      </w:tr>
    </w:tbl>
    <w:tbl>
      <w:tblPr>
        <w:tblW w:w="10466"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firstColumn="1" w:firstRow="1" w:lastColumn="0" w:lastRow="0" w:noHBand="0" w:noVBand="1" w:val="04A0"/>
      </w:tblPr>
      <w:tblGrid>
        <w:gridCol w:w="10035"/>
        <w:gridCol w:w="431"/>
      </w:tblGrid>
      <w:tr>
        <w:trPr>
          <w:cantSplit/>
        </w:trPr>
        <w:tc>
          <w:tcPr>
            <w:tcW w:type="dxa" w:w="10035"/>
            <w:vAlign w:val="center"/>
          </w:tcPr>
          <w:p>
            <w:pPr>
              <w:pStyle w:val="MDPI39equation"/>
              <w:ind w:left="0" w:right="0"/>
              <w:jc w:val="center"/>
            </w:pPr>
            <m:oMath>
              <m:sSub>
                <m:e>
                  <m:r>
                    <m:t xml:space="preserve">AVD</m:t>
                  </m:r>
                </m:e>
                <m:sub>
                  <m:r>
                    <m:t xml:space="preserve">i</m:t>
                  </m:r>
                </m:sub>
              </m:sSub>
              <m:r>
                <m:rPr>
                  <m:sty m:val="p"/>
                </m:rPr>
                <m:t xml:space="preserve">=</m:t>
              </m:r>
              <m:sSub>
                <m:e>
                  <m:r>
                    <m:t xml:space="preserve">c</m:t>
                  </m:r>
                </m:e>
                <m:sub>
                  <m:r>
                    <m:rPr>
                      <m:sty m:val="p"/>
                    </m:rPr>
                    <m:t xml:space="preserve">0</m:t>
                  </m:r>
                </m:sub>
              </m:sSub>
              <m:r>
                <m:rPr>
                  <m:sty m:val="p"/>
                </m:rPr>
                <m:t xml:space="preserve">+</m:t>
              </m:r>
              <m:sSub>
                <m:e>
                  <m:r>
                    <m:t xml:space="preserve">c</m:t>
                  </m:r>
                </m:e>
                <m:sub>
                  <m:r>
                    <m:rPr>
                      <m:sty m:val="p"/>
                    </m:rPr>
                    <m:t xml:space="preserve">1</m:t>
                  </m:r>
                </m:sub>
              </m:sSub>
              <m:sSub>
                <m:e>
                  <m:r>
                    <m:t xml:space="preserve">ANX</m:t>
                  </m:r>
                </m:e>
                <m:sub>
                  <m:r>
                    <m:t xml:space="preserve">i</m:t>
                  </m:r>
                </m:sub>
              </m:sSub>
              <m:r>
                <m:rPr>
                  <m:sty m:val="p"/>
                </m:rPr>
                <m:t xml:space="preserve">+</m:t>
              </m:r>
              <m:sSub>
                <m:e>
                  <m:r>
                    <m:t xml:space="preserve">c</m:t>
                  </m:r>
                </m:e>
                <m:sub>
                  <m:r>
                    <m:rPr>
                      <m:sty m:val="p"/>
                    </m:rPr>
                    <m:t xml:space="preserve">2</m:t>
                  </m:r>
                </m:sub>
              </m:sSub>
              <m:d>
                <m:dPr>
                  <m:begChr m:val="("/>
                  <m:endChr m:val=")"/>
                </m:dPr>
                <m:e>
                  <m:sSub>
                    <m:e>
                      <m:r>
                        <m:t xml:space="preserve">ANX</m:t>
                      </m:r>
                    </m:e>
                    <m:sub>
                      <m:r>
                        <m:t xml:space="preserve">i</m:t>
                      </m:r>
                    </m:sub>
                  </m:sSub>
                  <m:r>
                    <m:rPr>
                      <m:sty m:val="p"/>
                    </m:rPr>
                    <m:t xml:space="preserve">×</m:t>
                  </m:r>
                  <m:r>
                    <m:t xml:space="preserve"> </m:t>
                  </m:r>
                  <m:sSub>
                    <m:e>
                      <m:r>
                        <m:t xml:space="preserve">LIT</m:t>
                      </m:r>
                    </m:e>
                    <m:sub>
                      <m:r>
                        <m:t xml:space="preserve">i</m:t>
                      </m:r>
                    </m:sub>
                  </m:sSub>
                </m:e>
              </m:d>
              <m:r>
                <m:rPr>
                  <m:sty m:val="p"/>
                </m:rPr>
                <m:t xml:space="preserve">+</m:t>
              </m:r>
              <m:sSub>
                <m:e>
                  <m:r>
                    <m:t xml:space="preserve">c</m:t>
                  </m:r>
                </m:e>
                <m:sub>
                  <m:r>
                    <m:rPr>
                      <m:sty m:val="p"/>
                    </m:rPr>
                    <m:t xml:space="preserve">3</m:t>
                  </m:r>
                </m:sub>
              </m:sSub>
              <m:sSub>
                <m:e>
                  <m:r>
                    <m:t xml:space="preserve">LIT</m:t>
                  </m:r>
                </m:e>
                <m:sub>
                  <m:r>
                    <m:t xml:space="preserve">i</m:t>
                  </m:r>
                </m:sub>
              </m:sSub>
              <m:r>
                <m:rPr>
                  <m:sty m:val="p"/>
                </m:rPr>
                <m:t xml:space="preserve">+</m:t>
              </m:r>
              <m:sSub>
                <m:e>
                  <m:r>
                    <m:t xml:space="preserve">c</m:t>
                  </m:r>
                </m:e>
                <m:sub>
                  <m:r>
                    <m:rPr>
                      <m:sty m:val="p"/>
                    </m:rPr>
                    <m:t xml:space="preserve">4</m:t>
                  </m:r>
                </m:sub>
              </m:sSub>
              <m:r>
                <m:t xml:space="preserve">S</m:t>
              </m:r>
              <m:sSub>
                <m:e>
                  <m:r>
                    <m:t xml:space="preserve">UP</m:t>
                  </m:r>
                </m:e>
                <m:sub>
                  <m:r>
                    <m:t xml:space="preserve">i</m:t>
                  </m:r>
                </m:sub>
              </m:sSub>
              <m:r>
                <m:rPr>
                  <m:sty m:val="p"/>
                </m:rPr>
                <m:t xml:space="preserve">+</m:t>
              </m:r>
              <m:sSub>
                <m:e>
                  <m:r>
                    <m:t xml:space="preserve">c</m:t>
                  </m:r>
                </m:e>
                <m:sub>
                  <m:r>
                    <m:rPr>
                      <m:sty m:val="p"/>
                    </m:rPr>
                    <m:t xml:space="preserve">5</m:t>
                  </m:r>
                </m:sub>
              </m:sSub>
              <m:sSub>
                <m:e>
                  <m:r>
                    <m:t xml:space="preserve">PHCD</m:t>
                  </m:r>
                </m:e>
                <m:sub>
                  <m:r>
                    <m:t xml:space="preserve">i</m:t>
                  </m:r>
                </m:sub>
              </m:sSub>
              <m:r>
                <m:rPr>
                  <m:sty m:val="p"/>
                </m:rPr>
                <m:t xml:space="preserve">+</m:t>
              </m:r>
              <m:sSubSup>
                <m:e>
                  <m:r>
                    <m:t xml:space="preserve">γ</m:t>
                  </m:r>
                </m:e>
                <m:sub>
                  <m:r>
                    <m:rPr>
                      <m:sty m:val="p"/>
                    </m:rPr>
                    <m:t xml:space="preserve">3</m:t>
                  </m:r>
                </m:sub>
                <m:sup>
                  <m:r>
                    <m:rPr>
                      <m:sty m:val="p"/>
                    </m:rPr>
                    <m:t xml:space="preserve">′</m:t>
                  </m:r>
                </m:sup>
              </m:sSubSup>
              <m:sSub>
                <m:e>
                  <m:r>
                    <m:t xml:space="preserve">X</m:t>
                  </m:r>
                </m:e>
                <m:sub>
                  <m:r>
                    <m:t xml:space="preserve">i</m:t>
                  </m:r>
                </m:sub>
              </m:sSub>
              <m:r>
                <m:rPr>
                  <m:sty m:val="p"/>
                </m:rPr>
                <m:t xml:space="preserve">+</m:t>
              </m:r>
              <m:sSub>
                <m:e>
                  <m:r>
                    <m:t xml:space="preserve">ε</m:t>
                  </m:r>
                </m:e>
                <m:sub>
                  <m:r>
                    <m:rPr>
                      <m:sty m:val="p"/>
                    </m:rPr>
                    <m:t xml:space="preserve">3</m:t>
                  </m:r>
                  <m:r>
                    <m:t xml:space="preserve">i</m:t>
                  </m:r>
                </m:sub>
              </m:sSub>
            </m:oMath>
          </w:p>
        </w:tc>
        <w:tc>
          <w:tcPr>
            <w:tcW w:type="dxa" w:w="431"/>
            <w:vAlign w:val="center"/>
          </w:tcPr>
          <w:p>
            <w:pPr>
              <w:pStyle w:val="MDPI3aequationnumber"/>
              <w:jc w:val="right"/>
            </w:pPr>
            <w:r>
              <w:t>(3)</w:t>
            </w:r>
          </w:p>
        </w:tc>
      </w:tr>
    </w:tbl>
    <w:p>
      <w:pPr>
        <w:pStyle w:val="MDPI31text"/>
      </w:pPr>
      <w:r>
        <w:rPr>
          <w:b w:val="0"/>
          <w:i w:val="0"/>
        </w:rPr>
        <w:t xml:space="preserve">where all continuous variables are standardized so that interaction terms are interpretable in the conventional way </w:t>
      </w:r>
      <w:r>
        <w:t>[</w:t>
      </w:r>
      <w:r>
        <w:fldChar w:fldCharType="begin"/>
      </w:r>
      <w:r>
        <w:instrText xml:space="preserve"> REF _Ref_72 \h </w:instrText>
      </w:r>
      <w:r>
        <w:fldChar w:fldCharType="separate"/>
      </w:r>
      <w:r>
        <w:t>72</w:t>
      </w:r>
      <w:r>
        <w:fldChar w:fldCharType="end"/>
      </w:r>
      <w:r>
        <w:t>]</w:t>
      </w:r>
      <w:r>
        <w:rPr>
          <w:b w:val="0"/>
          <w:i w:val="0"/>
        </w:rPr>
        <w:t xml:space="preserve">, </w:t>
      </w:r>
      <m:oMath>
        <m:sSub>
          <m:e>
            <m:r>
              <m:t xml:space="preserve">X</m:t>
            </m:r>
          </m:e>
          <m:sub>
            <m:r>
              <m:t xml:space="preserve">i</m:t>
            </m:r>
          </m:sub>
        </m:sSub>
      </m:oMath>
      <w:r>
        <w:rPr>
          <w:b w:val="0"/>
          <w:i w:val="0"/>
        </w:rPr>
        <w:t xml:space="preserve"> denotes the control vector, and heteroskedasticity-consistent (HC3) standard errors are used throughout, with occupation-clustered inference in the robustness tests. Hypothesis H2 is not accepted from the sign of </w:t>
      </w:r>
      <m:oMath>
        <m:sSub>
          <m:e>
            <m:r>
              <m:t xml:space="preserve">b</m:t>
            </m:r>
          </m:e>
          <m:sub>
            <m:r>
              <m:rPr>
                <m:sty m:val="p"/>
              </m:rPr>
              <m:t xml:space="preserve">2</m:t>
            </m:r>
          </m:sub>
        </m:sSub>
      </m:oMath>
      <w:r>
        <w:rPr>
          <w:b w:val="0"/>
          <w:i w:val="0"/>
        </w:rPr>
        <w:t xml:space="preserve"> alone: following the composite testing procedure of Lind and Mehlum </w:t>
      </w:r>
      <w:r>
        <w:t>[</w:t>
      </w:r>
      <w:r>
        <w:fldChar w:fldCharType="begin"/>
      </w:r>
      <w:r>
        <w:instrText xml:space="preserve"> REF _Ref_32 \h </w:instrText>
      </w:r>
      <w:r>
        <w:fldChar w:fldCharType="separate"/>
      </w:r>
      <w:r>
        <w:t>32</w:t>
      </w:r>
      <w:r>
        <w:fldChar w:fldCharType="end"/>
      </w:r>
      <w:r>
        <w:t>,</w:t>
      </w:r>
      <w:r>
        <w:fldChar w:fldCharType="begin"/>
      </w:r>
      <w:r>
        <w:instrText xml:space="preserve"> REF _Ref_33 \h </w:instrText>
      </w:r>
      <w:r>
        <w:fldChar w:fldCharType="separate"/>
      </w:r>
      <w:r>
        <w:t>33</w:t>
      </w:r>
      <w:r>
        <w:fldChar w:fldCharType="end"/>
      </w:r>
      <w:r>
        <w:t>]</w:t>
      </w:r>
      <w:r>
        <w:rPr>
          <w:b w:val="0"/>
          <w:i w:val="0"/>
        </w:rPr>
        <w:t>, a significantly positive slope at the low extreme and a significantly negative slope at the high extreme of the observed anxiety range are both required, and the turning point</w:t>
      </w:r>
    </w:p>
    <w:tbl>
      <w:tblPr>
        <w:tblW w:w="7858" w:type="dxa"/>
        <w:tblInd w:w="26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firstColumn="1" w:firstRow="1" w:lastColumn="0" w:lastRow="0" w:noHBand="0" w:noVBand="1" w:val="04A0"/>
      </w:tblPr>
      <w:tblGrid>
        <w:gridCol w:w="7427"/>
        <w:gridCol w:w="431"/>
      </w:tblGrid>
      <w:tr>
        <w:trPr>
          <w:cantSplit/>
        </w:trPr>
        <w:tc>
          <w:tcPr>
            <w:tcW w:type="dxa" w:w="7427"/>
            <w:vAlign w:val="center"/>
          </w:tcPr>
          <w:p>
            <w:pPr>
              <w:pStyle w:val="MDPI39equation"/>
              <w:ind w:left="0" w:right="0"/>
              <w:jc w:val="center"/>
            </w:pPr>
            <m:oMath>
              <m:r>
                <m:t xml:space="preserve">τ</m:t>
              </m:r>
              <m:d>
                <m:dPr>
                  <m:begChr m:val="("/>
                  <m:endChr m:val=")"/>
                </m:dPr>
                <m:e>
                  <m:r>
                    <m:t xml:space="preserve">l</m:t>
                  </m:r>
                </m:e>
              </m:d>
              <m:r>
                <m:rPr>
                  <m:sty m:val="p"/>
                </m:rPr>
                <m:t xml:space="preserve">=</m:t>
              </m:r>
              <m:r>
                <m:rPr>
                  <m:sty m:val="p"/>
                </m:rPr>
                <m:t xml:space="preserve">-</m:t>
              </m:r>
              <m:f>
                <m:num>
                  <m:sSub>
                    <m:e>
                      <m:r>
                        <m:t xml:space="preserve">b</m:t>
                      </m:r>
                    </m:e>
                    <m:sub>
                      <m:r>
                        <m:rPr>
                          <m:sty m:val="p"/>
                        </m:rPr>
                        <m:t xml:space="preserve">1</m:t>
                      </m:r>
                    </m:sub>
                  </m:sSub>
                  <m:r>
                    <m:rPr>
                      <m:sty m:val="p"/>
                    </m:rPr>
                    <m:t xml:space="preserve">+</m:t>
                  </m:r>
                  <m:sSub>
                    <m:e>
                      <m:r>
                        <m:t xml:space="preserve">b</m:t>
                      </m:r>
                    </m:e>
                    <m:sub>
                      <m:r>
                        <m:rPr>
                          <m:sty m:val="p"/>
                        </m:rPr>
                        <m:t xml:space="preserve">3</m:t>
                      </m:r>
                    </m:sub>
                  </m:sSub>
                  <m:r>
                    <m:t xml:space="preserve">l</m:t>
                  </m:r>
                </m:num>
                <m:den>
                  <m:r>
                    <m:rPr>
                      <m:sty m:val="p"/>
                    </m:rPr>
                    <m:t xml:space="preserve">2</m:t>
                  </m:r>
                  <m:sSub>
                    <m:e>
                      <m:r>
                        <m:t xml:space="preserve">b</m:t>
                      </m:r>
                    </m:e>
                    <m:sub>
                      <m:r>
                        <m:rPr>
                          <m:sty m:val="p"/>
                        </m:rPr>
                        <m:t xml:space="preserve">2</m:t>
                      </m:r>
                    </m:sub>
                  </m:sSub>
                </m:den>
              </m:f>
            </m:oMath>
          </w:p>
        </w:tc>
        <w:tc>
          <w:tcPr>
            <w:tcW w:type="dxa" w:w="431"/>
            <w:vAlign w:val="center"/>
          </w:tcPr>
          <w:p>
            <w:pPr>
              <w:pStyle w:val="MDPI3aequationnumber"/>
              <w:jc w:val="right"/>
            </w:pPr>
            <w:r>
              <w:t>(4)</w:t>
            </w:r>
          </w:p>
        </w:tc>
      </w:tr>
    </w:tbl>
    <w:p>
      <w:pPr>
        <w:pStyle w:val="MDPI31text"/>
      </w:pPr>
      <w:r>
        <w:rPr>
          <w:b w:val="0"/>
          <w:i w:val="0"/>
        </w:rPr>
        <w:t xml:space="preserve">is reported with a Fieller confidence interval at each level </w:t>
      </w:r>
      <m:oMath>
        <m:r>
          <m:t xml:space="preserve">l</m:t>
        </m:r>
      </m:oMath>
      <w:r>
        <w:rPr>
          <w:b w:val="0"/>
          <w:i w:val="0"/>
        </w:rPr>
        <w:t xml:space="preserve"> of literacy, so that H5a is a statement about the displacement of </w:t>
      </w:r>
      <m:oMath>
        <m:r>
          <m:t xml:space="preserve">τ</m:t>
        </m:r>
      </m:oMath>
      <w:r>
        <w:rPr>
          <w:b w:val="0"/>
          <w:i w:val="0"/>
        </w:rPr>
        <w:t xml:space="preserve">. In the third step, the conditional-process analysis </w:t>
      </w:r>
      <w:r>
        <w:t>[</w:t>
      </w:r>
      <w:r>
        <w:fldChar w:fldCharType="begin"/>
      </w:r>
      <w:r>
        <w:instrText xml:space="preserve"> REF _Ref_30 \h </w:instrText>
      </w:r>
      <w:r>
        <w:fldChar w:fldCharType="separate"/>
      </w:r>
      <w:r>
        <w:t>30</w:t>
      </w:r>
      <w:r>
        <w:fldChar w:fldCharType="end"/>
      </w:r>
      <w:r>
        <w:t>,</w:t>
      </w:r>
      <w:r>
        <w:fldChar w:fldCharType="begin"/>
      </w:r>
      <w:r>
        <w:instrText xml:space="preserve"> REF _Ref_31 \h </w:instrText>
      </w:r>
      <w:r>
        <w:fldChar w:fldCharType="separate"/>
      </w:r>
      <w:r>
        <w:t>31</w:t>
      </w:r>
      <w:r>
        <w:fldChar w:fldCharType="end"/>
      </w:r>
      <w:r>
        <w:t>,</w:t>
      </w:r>
      <w:r>
        <w:fldChar w:fldCharType="begin"/>
      </w:r>
      <w:r>
        <w:instrText xml:space="preserve"> REF _Ref_73 \h </w:instrText>
      </w:r>
      <w:r>
        <w:fldChar w:fldCharType="separate"/>
      </w:r>
      <w:r>
        <w:t>73</w:t>
      </w:r>
      <w:r>
        <w:fldChar w:fldCharType="end"/>
      </w:r>
      <w:r>
        <w:t>,</w:t>
      </w:r>
      <w:r>
        <w:fldChar w:fldCharType="begin"/>
      </w:r>
      <w:r>
        <w:instrText xml:space="preserve"> REF _Ref_74 \h </w:instrText>
      </w:r>
      <w:r>
        <w:fldChar w:fldCharType="separate"/>
      </w:r>
      <w:r>
        <w:t>74</w:t>
      </w:r>
      <w:r>
        <w:fldChar w:fldCharType="end"/>
      </w:r>
      <w:r>
        <w:t>]</w:t>
      </w:r>
      <w:r>
        <w:rPr>
          <w:b w:val="0"/>
          <w:i w:val="0"/>
        </w:rPr>
        <w:t xml:space="preserve"> computes the instantaneous indirect effect of depreciation on adaptation as the product of the conditional first-stage slope and the local second-stage derivative,</w:t>
      </w:r>
    </w:p>
    <w:tbl>
      <w:tblPr>
        <w:tblW w:w="10466"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firstColumn="1" w:firstRow="1" w:lastColumn="0" w:lastRow="0" w:noHBand="0" w:noVBand="1" w:val="04A0"/>
      </w:tblPr>
      <w:tblGrid>
        <w:gridCol w:w="10035"/>
        <w:gridCol w:w="431"/>
      </w:tblGrid>
      <w:tr>
        <w:trPr>
          <w:cantSplit/>
        </w:trPr>
        <w:tc>
          <w:tcPr>
            <w:tcW w:type="dxa" w:w="10035"/>
            <w:vAlign w:val="center"/>
          </w:tcPr>
          <w:p>
            <w:pPr>
              <w:pStyle w:val="MDPI39equation"/>
              <w:ind w:left="0" w:right="0"/>
              <w:jc w:val="center"/>
            </w:pPr>
            <m:oMath>
              <m:r>
                <m:t xml:space="preserve">ω</m:t>
              </m:r>
              <m:d>
                <m:dPr>
                  <m:begChr m:val="("/>
                  <m:endChr m:val=")"/>
                </m:dPr>
                <m:e>
                  <m:r>
                    <m:t xml:space="preserve">m</m:t>
                  </m:r>
                  <m:r>
                    <m:t xml:space="preserve">,</m:t>
                  </m:r>
                  <m:r>
                    <m:t xml:space="preserve">w</m:t>
                  </m:r>
                  <m:r>
                    <m:t xml:space="preserve">,</m:t>
                  </m:r>
                  <m:r>
                    <m:t xml:space="preserve">l</m:t>
                  </m:r>
                </m:e>
              </m:d>
              <m:r>
                <m:rPr>
                  <m:sty m:val="p"/>
                </m:rPr>
                <m:t xml:space="preserve">=</m:t>
              </m:r>
              <m:d>
                <m:dPr>
                  <m:begChr m:val="("/>
                  <m:endChr m:val=")"/>
                </m:dPr>
                <m:e>
                  <m:sSub>
                    <m:e>
                      <m:r>
                        <m:t xml:space="preserve">a</m:t>
                      </m:r>
                    </m:e>
                    <m:sub>
                      <m:r>
                        <m:rPr>
                          <m:sty m:val="p"/>
                        </m:rPr>
                        <m:t xml:space="preserve">1</m:t>
                      </m:r>
                    </m:sub>
                  </m:sSub>
                  <m:r>
                    <m:rPr>
                      <m:sty m:val="p"/>
                    </m:rPr>
                    <m:t xml:space="preserve">+</m:t>
                  </m:r>
                  <m:sSub>
                    <m:e>
                      <m:r>
                        <m:t xml:space="preserve">a</m:t>
                      </m:r>
                    </m:e>
                    <m:sub>
                      <m:r>
                        <m:rPr>
                          <m:sty m:val="p"/>
                        </m:rPr>
                        <m:t xml:space="preserve">3</m:t>
                      </m:r>
                    </m:sub>
                  </m:sSub>
                  <m:r>
                    <m:t xml:space="preserve">w</m:t>
                  </m:r>
                </m:e>
              </m:d>
              <m:d>
                <m:dPr>
                  <m:begChr m:val="("/>
                  <m:endChr m:val=")"/>
                </m:dPr>
                <m:e>
                  <m:sSub>
                    <m:e>
                      <m:r>
                        <m:t xml:space="preserve">b</m:t>
                      </m:r>
                    </m:e>
                    <m:sub>
                      <m:r>
                        <m:rPr>
                          <m:sty m:val="p"/>
                        </m:rPr>
                        <m:t xml:space="preserve">1</m:t>
                      </m:r>
                    </m:sub>
                  </m:sSub>
                  <m:r>
                    <m:rPr>
                      <m:sty m:val="p"/>
                    </m:rPr>
                    <m:t xml:space="preserve">+</m:t>
                  </m:r>
                  <m:r>
                    <m:rPr>
                      <m:sty m:val="p"/>
                    </m:rPr>
                    <m:t xml:space="preserve">2</m:t>
                  </m:r>
                  <m:sSub>
                    <m:e>
                      <m:r>
                        <m:t xml:space="preserve">b</m:t>
                      </m:r>
                    </m:e>
                    <m:sub>
                      <m:r>
                        <m:rPr>
                          <m:sty m:val="p"/>
                        </m:rPr>
                        <m:t xml:space="preserve">2</m:t>
                      </m:r>
                    </m:sub>
                  </m:sSub>
                  <m:r>
                    <m:t xml:space="preserve">m</m:t>
                  </m:r>
                  <m:r>
                    <m:rPr>
                      <m:sty m:val="p"/>
                    </m:rPr>
                    <m:t xml:space="preserve">+</m:t>
                  </m:r>
                  <m:sSub>
                    <m:e>
                      <m:r>
                        <m:t xml:space="preserve">b</m:t>
                      </m:r>
                    </m:e>
                    <m:sub>
                      <m:r>
                        <m:rPr>
                          <m:sty m:val="p"/>
                        </m:rPr>
                        <m:t xml:space="preserve">3</m:t>
                      </m:r>
                    </m:sub>
                  </m:sSub>
                  <m:r>
                    <m:t xml:space="preserve">l</m:t>
                  </m:r>
                </m:e>
              </m:d>
            </m:oMath>
          </w:p>
        </w:tc>
        <w:tc>
          <w:tcPr>
            <w:tcW w:type="dxa" w:w="431"/>
            <w:vAlign w:val="center"/>
          </w:tcPr>
          <w:p>
            <w:pPr>
              <w:pStyle w:val="MDPI3aequationnumber"/>
              <w:jc w:val="right"/>
            </w:pPr>
            <w:r>
              <w:t>(5)</w:t>
            </w:r>
          </w:p>
        </w:tc>
      </w:tr>
    </w:tbl>
    <w:p>
      <w:pPr>
        <w:pStyle w:val="MDPI31text"/>
      </w:pPr>
      <w:r>
        <w:rPr>
          <w:b w:val="0"/>
          <w:i w:val="0"/>
        </w:rPr>
        <w:t xml:space="preserve">evaluated at chosen levels of anxiety </w:t>
      </w:r>
      <m:oMath>
        <m:r>
          <m:t xml:space="preserve">m</m:t>
        </m:r>
      </m:oMath>
      <w:r>
        <w:rPr>
          <w:b w:val="0"/>
          <w:i w:val="0"/>
        </w:rPr>
        <w:t xml:space="preserve">, support </w:t>
      </w:r>
      <m:oMath>
        <m:r>
          <m:t xml:space="preserve">w</m:t>
        </m:r>
      </m:oMath>
      <w:r>
        <w:rPr>
          <w:b w:val="0"/>
          <w:i w:val="0"/>
        </w:rPr>
        <w:t xml:space="preserve">, and literacy </w:t>
      </w:r>
      <m:oMath>
        <m:r>
          <m:t xml:space="preserve">l</m:t>
        </m:r>
      </m:oMath>
      <w:r>
        <w:rPr>
          <w:b w:val="0"/>
          <w:i w:val="0"/>
        </w:rPr>
        <w:t xml:space="preserve">, with 95 percent percentile confidence intervals from 5,000 bootstrap resamples; the indices of moderated mediation are </w:t>
      </w:r>
      <m:oMath>
        <m:sSub>
          <m:e>
            <m:r>
              <m:t xml:space="preserve">a</m:t>
            </m:r>
          </m:e>
          <m:sub>
            <m:r>
              <m:rPr>
                <m:sty m:val="p"/>
              </m:rPr>
              <m:t xml:space="preserve">3</m:t>
            </m:r>
          </m:sub>
        </m:sSub>
        <m:sSub>
          <m:e>
            <m:r>
              <m:t xml:space="preserve">b</m:t>
            </m:r>
          </m:e>
          <m:sub>
            <m:r>
              <m:rPr>
                <m:sty m:val="p"/>
              </m:rPr>
              <m:t xml:space="preserve">1</m:t>
            </m:r>
          </m:sub>
        </m:sSub>
      </m:oMath>
      <w:r>
        <w:rPr>
          <w:b w:val="0"/>
          <w:i w:val="0"/>
        </w:rPr>
        <w:t xml:space="preserve"> for support and </w:t>
      </w:r>
      <m:oMath>
        <m:sSub>
          <m:e>
            <m:r>
              <m:t xml:space="preserve">a</m:t>
            </m:r>
          </m:e>
          <m:sub>
            <m:r>
              <m:rPr>
                <m:sty m:val="p"/>
              </m:rPr>
              <m:t xml:space="preserve">1</m:t>
            </m:r>
          </m:sub>
        </m:sSub>
        <m:sSub>
          <m:e>
            <m:r>
              <m:t xml:space="preserve">b</m:t>
            </m:r>
          </m:e>
          <m:sub>
            <m:r>
              <m:rPr>
                <m:sty m:val="p"/>
              </m:rPr>
              <m:t xml:space="preserve">3</m:t>
            </m:r>
          </m:sub>
        </m:sSub>
      </m:oMath>
      <w:r>
        <w:rPr>
          <w:b w:val="0"/>
          <w:i w:val="0"/>
        </w:rPr>
        <w:t xml:space="preserve"> for literacy </w:t>
      </w:r>
      <w:r>
        <w:t>[</w:t>
      </w:r>
      <w:r>
        <w:fldChar w:fldCharType="begin"/>
      </w:r>
      <w:r>
        <w:instrText xml:space="preserve"> REF _Ref_31 \h </w:instrText>
      </w:r>
      <w:r>
        <w:fldChar w:fldCharType="separate"/>
      </w:r>
      <w:r>
        <w:t>31</w:t>
      </w:r>
      <w:r>
        <w:fldChar w:fldCharType="end"/>
      </w:r>
      <w:r>
        <w:t>]</w:t>
      </w:r>
      <w:r>
        <w:rPr>
          <w:b w:val="0"/>
          <w:i w:val="0"/>
        </w:rPr>
        <w:t xml:space="preserve">, and </w:t>
      </w:r>
      <m:oMath>
        <m:r>
          <m:rPr>
            <m:sty m:val="p"/>
          </m:rPr>
          <m:t xml:space="preserve">2</m:t>
        </m:r>
        <m:sSub>
          <m:e>
            <m:r>
              <m:t xml:space="preserve">a</m:t>
            </m:r>
          </m:e>
          <m:sub>
            <m:r>
              <m:rPr>
                <m:sty m:val="p"/>
              </m:rPr>
              <m:t xml:space="preserve">1</m:t>
            </m:r>
          </m:sub>
        </m:sSub>
        <m:sSub>
          <m:e>
            <m:r>
              <m:t xml:space="preserve">b</m:t>
            </m:r>
          </m:e>
          <m:sub>
            <m:r>
              <m:rPr>
                <m:sty m:val="p"/>
              </m:rPr>
              <m:t xml:space="preserve">2</m:t>
            </m:r>
          </m:sub>
        </m:sSub>
      </m:oMath>
      <w:r>
        <w:rPr>
          <w:b w:val="0"/>
          <w:i w:val="0"/>
        </w:rPr>
        <w:t xml:space="preserve"> indexes the curvature of the transmitted effect itself. The avoidance channel is </w:t>
      </w:r>
      <m:oMath>
        <m:sSub>
          <m:e>
            <m:r>
              <m:t xml:space="preserve">a</m:t>
            </m:r>
          </m:e>
          <m:sub>
            <m:r>
              <m:rPr>
                <m:sty m:val="p"/>
              </m:rPr>
              <m:t xml:space="preserve">1</m:t>
            </m:r>
          </m:sub>
        </m:sSub>
        <m:d>
          <m:dPr>
            <m:begChr m:val="("/>
            <m:endChr m:val=")"/>
          </m:dPr>
          <m:e>
            <m:sSub>
              <m:e>
                <m:r>
                  <m:t xml:space="preserve">c</m:t>
                </m:r>
              </m:e>
              <m:sub>
                <m:r>
                  <m:rPr>
                    <m:sty m:val="p"/>
                  </m:rPr>
                  <m:t xml:space="preserve">1</m:t>
                </m:r>
              </m:sub>
            </m:sSub>
            <m:r>
              <m:rPr>
                <m:sty m:val="p"/>
              </m:rPr>
              <m:t xml:space="preserve">+</m:t>
            </m:r>
            <m:sSub>
              <m:e>
                <m:r>
                  <m:t xml:space="preserve">c</m:t>
                </m:r>
              </m:e>
              <m:sub>
                <m:r>
                  <m:rPr>
                    <m:sty m:val="p"/>
                  </m:rPr>
                  <m:t xml:space="preserve">2</m:t>
                </m:r>
              </m:sub>
            </m:sSub>
            <m:r>
              <m:t xml:space="preserve">l</m:t>
            </m:r>
          </m:e>
        </m:d>
      </m:oMath>
      <w:r>
        <w:rPr>
          <w:b w:val="0"/>
          <w:i w:val="0"/>
        </w:rPr>
        <w:t xml:space="preserve">. In the fourth step, the fuzzy-set qualitative comparative analysis </w:t>
      </w:r>
      <w:r>
        <w:t>[</w:t>
      </w:r>
      <w:r>
        <w:fldChar w:fldCharType="begin"/>
      </w:r>
      <w:r>
        <w:instrText xml:space="preserve"> REF _Ref_34 \h </w:instrText>
      </w:r>
      <w:r>
        <w:fldChar w:fldCharType="separate"/>
      </w:r>
      <w:r>
        <w:t>34</w:t>
      </w:r>
      <w:r>
        <w:fldChar w:fldCharType="end"/>
      </w:r>
      <w:r>
        <w:t>,</w:t>
      </w:r>
      <w:r>
        <w:fldChar w:fldCharType="begin"/>
      </w:r>
      <w:r>
        <w:instrText xml:space="preserve"> REF _Ref_35 \h </w:instrText>
      </w:r>
      <w:r>
        <w:fldChar w:fldCharType="separate"/>
      </w:r>
      <w:r>
        <w:t>35</w:t>
      </w:r>
      <w:r>
        <w:fldChar w:fldCharType="end"/>
      </w:r>
      <w:r>
        <w:t>,</w:t>
      </w:r>
      <w:r>
        <w:fldChar w:fldCharType="begin"/>
      </w:r>
      <w:r>
        <w:instrText xml:space="preserve"> REF _Ref_62 \h </w:instrText>
      </w:r>
      <w:r>
        <w:fldChar w:fldCharType="separate"/>
      </w:r>
      <w:r>
        <w:t>62</w:t>
      </w:r>
      <w:r>
        <w:fldChar w:fldCharType="end"/>
      </w:r>
      <w:r>
        <w:t>]</w:t>
      </w:r>
      <w:r>
        <w:rPr>
          <w:b w:val="0"/>
          <w:i w:val="0"/>
        </w:rPr>
        <w:t xml:space="preserve"> calibrates the five conditions (PHCD, ANX, LIT, SUP, EXPO) and the outcome (ADP) by the direct method, with full membership, crossover, and full non-membership anchored at the 95th, 50th, and 5th sample percentiles </w:t>
      </w:r>
      <w:r>
        <w:t>[</w:t>
      </w:r>
      <w:r>
        <w:fldChar w:fldCharType="begin"/>
      </w:r>
      <w:r>
        <w:instrText xml:space="preserve"> REF _Ref_36 \h </w:instrText>
      </w:r>
      <w:r>
        <w:fldChar w:fldCharType="separate"/>
      </w:r>
      <w:r>
        <w:t>36</w:t>
      </w:r>
      <w:r>
        <w:fldChar w:fldCharType="end"/>
      </w:r>
      <w:r>
        <w:t>]</w:t>
      </w:r>
      <w:r>
        <w:rPr>
          <w:b w:val="0"/>
          <w:i w:val="0"/>
        </w:rPr>
        <w:t>:</w:t>
      </w:r>
    </w:p>
    <w:tbl>
      <w:tblPr>
        <w:tblW w:w="7858" w:type="dxa"/>
        <w:tblInd w:w="26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firstColumn="1" w:firstRow="1" w:lastColumn="0" w:lastRow="0" w:noHBand="0" w:noVBand="1" w:val="04A0"/>
      </w:tblPr>
      <w:tblGrid>
        <w:gridCol w:w="7427"/>
        <w:gridCol w:w="431"/>
      </w:tblGrid>
      <w:tr>
        <w:trPr>
          <w:cantSplit/>
        </w:trPr>
        <w:tc>
          <w:tcPr>
            <w:tcW w:type="dxa" w:w="7427"/>
            <w:vAlign w:val="center"/>
          </w:tcPr>
          <w:p>
            <w:pPr>
              <w:pStyle w:val="MDPI39equation"/>
              <w:ind w:left="0" w:right="0"/>
              <w:jc w:val="center"/>
            </w:pPr>
            <m:oMath>
              <m:r>
                <m:t xml:space="preserve">μ</m:t>
              </m:r>
              <m:d>
                <m:dPr>
                  <m:begChr m:val="("/>
                  <m:endChr m:val=")"/>
                </m:dPr>
                <m:e>
                  <m:r>
                    <m:t xml:space="preserve">x</m:t>
                  </m:r>
                </m:e>
              </m:d>
              <m:r>
                <m:rPr>
                  <m:sty m:val="p"/>
                </m:rPr>
                <m:t xml:space="preserve">=</m:t>
              </m:r>
              <m:f>
                <m:num>
                  <m:r>
                    <m:rPr>
                      <m:sty m:val="p"/>
                    </m:rPr>
                    <m:t xml:space="preserve">1</m:t>
                  </m:r>
                </m:num>
                <m:den>
                  <m:r>
                    <m:rPr>
                      <m:sty m:val="p"/>
                    </m:rPr>
                    <m:t xml:space="preserve">1</m:t>
                  </m:r>
                  <m:r>
                    <m:rPr>
                      <m:sty m:val="p"/>
                    </m:rPr>
                    <m:t xml:space="preserve">+</m:t>
                  </m:r>
                  <m:sSup>
                    <m:e>
                      <m:r>
                        <m:t xml:space="preserve">e</m:t>
                      </m:r>
                    </m:e>
                    <m:sup>
                      <m:r>
                        <m:rPr>
                          <m:sty m:val="p"/>
                        </m:rPr>
                        <m:t xml:space="preserve">-</m:t>
                      </m:r>
                      <m:r>
                        <m:t xml:space="preserve">z</m:t>
                      </m:r>
                      <m:d>
                        <m:dPr>
                          <m:begChr m:val="("/>
                          <m:endChr m:val=")"/>
                        </m:dPr>
                        <m:e>
                          <m:r>
                            <m:t xml:space="preserve">x</m:t>
                          </m:r>
                        </m:e>
                      </m:d>
                    </m:sup>
                  </m:sSup>
                </m:den>
              </m:f>
            </m:oMath>
          </w:p>
        </w:tc>
        <w:tc>
          <w:tcPr>
            <w:tcW w:type="dxa" w:w="431"/>
            <w:vAlign w:val="center"/>
          </w:tcPr>
          <w:p>
            <w:pPr>
              <w:pStyle w:val="MDPI3aequationnumber"/>
              <w:jc w:val="right"/>
            </w:pPr>
            <w:r>
              <w:t>(6)</w:t>
            </w:r>
          </w:p>
        </w:tc>
      </w:tr>
    </w:tbl>
    <w:p>
      <w:pPr>
        <w:pStyle w:val="MDPI31text"/>
      </w:pPr>
      <w:r>
        <w:rPr>
          <w:b w:val="0"/>
          <w:i w:val="0"/>
        </w:rPr>
        <w:t xml:space="preserve">where the log-odds score is </w:t>
      </w:r>
      <m:oMath>
        <m:r>
          <m:t xml:space="preserve">z</m:t>
        </m:r>
        <m:r>
          <m:rPr>
            <m:sty m:val="p"/>
          </m:rPr>
          <m:t xml:space="preserve">(</m:t>
        </m:r>
        <m:r>
          <m:t xml:space="preserve">x</m:t>
        </m:r>
        <m:r>
          <m:rPr>
            <m:sty m:val="p"/>
          </m:rPr>
          <m:t xml:space="preserve">)</m:t>
        </m:r>
        <m:r>
          <m:rPr>
            <m:sty m:val="p"/>
          </m:rPr>
          <m:t xml:space="preserve">=</m:t>
        </m:r>
        <m:r>
          <m:rPr>
            <m:sty m:val="p"/>
          </m:rPr>
          <m:t xml:space="preserve">3</m:t>
        </m:r>
        <m:r>
          <m:rPr>
            <m:sty m:val="p"/>
          </m:rPr>
          <m:t xml:space="preserve">(</m:t>
        </m:r>
        <m:r>
          <m:t xml:space="preserve">x</m:t>
        </m:r>
        <m:r>
          <m:rPr>
            <m:sty m:val="p"/>
          </m:rPr>
          <m:t xml:space="preserve">-</m:t>
        </m:r>
        <m:r>
          <m:t xml:space="preserve">c</m:t>
        </m:r>
        <m:r>
          <m:rPr>
            <m:sty m:val="p"/>
          </m:rPr>
          <m:t xml:space="preserve">)</m:t>
        </m:r>
        <m:r>
          <m:rPr>
            <m:sty m:val="p"/>
          </m:rPr>
          <m:t xml:space="preserve">/</m:t>
        </m:r>
        <m:r>
          <m:rPr>
            <m:sty m:val="p"/>
          </m:rPr>
          <m:t xml:space="preserve">(</m:t>
        </m:r>
        <m:r>
          <m:t xml:space="preserve">f</m:t>
        </m:r>
        <m:r>
          <m:rPr>
            <m:sty m:val="p"/>
          </m:rPr>
          <m:t xml:space="preserve">-</m:t>
        </m:r>
        <m:r>
          <m:t xml:space="preserve">c</m:t>
        </m:r>
        <m:r>
          <m:rPr>
            <m:sty m:val="p"/>
          </m:rPr>
          <m:t xml:space="preserve">)</m:t>
        </m:r>
      </m:oMath>
      <w:r>
        <w:rPr>
          <w:b w:val="0"/>
          <w:i w:val="0"/>
        </w:rPr>
        <w:t xml:space="preserve"> at or above the crossover and </w:t>
      </w:r>
      <m:oMath>
        <m:r>
          <m:t xml:space="preserve">z</m:t>
        </m:r>
        <m:r>
          <m:rPr>
            <m:sty m:val="p"/>
          </m:rPr>
          <m:t xml:space="preserve">(</m:t>
        </m:r>
        <m:r>
          <m:t xml:space="preserve">x</m:t>
        </m:r>
        <m:r>
          <m:rPr>
            <m:sty m:val="p"/>
          </m:rPr>
          <m:t xml:space="preserve">)</m:t>
        </m:r>
        <m:r>
          <m:rPr>
            <m:sty m:val="p"/>
          </m:rPr>
          <m:t xml:space="preserve">=</m:t>
        </m:r>
        <m:r>
          <m:rPr>
            <m:sty m:val="p"/>
          </m:rPr>
          <m:t xml:space="preserve">3</m:t>
        </m:r>
        <m:r>
          <m:rPr>
            <m:sty m:val="p"/>
          </m:rPr>
          <m:t xml:space="preserve">(</m:t>
        </m:r>
        <m:r>
          <m:t xml:space="preserve">x</m:t>
        </m:r>
        <m:r>
          <m:rPr>
            <m:sty m:val="p"/>
          </m:rPr>
          <m:t xml:space="preserve">-</m:t>
        </m:r>
        <m:r>
          <m:t xml:space="preserve">c</m:t>
        </m:r>
        <m:r>
          <m:rPr>
            <m:sty m:val="p"/>
          </m:rPr>
          <m:t xml:space="preserve">)</m:t>
        </m:r>
        <m:r>
          <m:rPr>
            <m:sty m:val="p"/>
          </m:rPr>
          <m:t xml:space="preserve">/</m:t>
        </m:r>
        <m:r>
          <m:rPr>
            <m:sty m:val="p"/>
          </m:rPr>
          <m:t xml:space="preserve">(</m:t>
        </m:r>
        <m:r>
          <m:t xml:space="preserve">c</m:t>
        </m:r>
        <m:r>
          <m:rPr>
            <m:sty m:val="p"/>
          </m:rPr>
          <m:t xml:space="preserve">-</m:t>
        </m:r>
        <m:r>
          <m:t xml:space="preserve">o</m:t>
        </m:r>
        <m:r>
          <m:rPr>
            <m:sty m:val="p"/>
          </m:rPr>
          <m:t xml:space="preserve">)</m:t>
        </m:r>
      </m:oMath>
      <w:r>
        <w:rPr>
          <w:b w:val="0"/>
          <w:i w:val="0"/>
        </w:rPr>
        <w:t xml:space="preserve"> below it, with </w:t>
      </w:r>
      <m:oMath>
        <m:r>
          <m:t xml:space="preserve">f</m:t>
        </m:r>
      </m:oMath>
      <w:r>
        <w:rPr>
          <w:b w:val="0"/>
          <w:i w:val="0"/>
        </w:rPr>
        <w:t xml:space="preserve">, </w:t>
      </w:r>
      <m:oMath>
        <m:r>
          <m:t xml:space="preserve">c</m:t>
        </m:r>
      </m:oMath>
      <w:r>
        <w:rPr>
          <w:b w:val="0"/>
          <w:i w:val="0"/>
        </w:rPr>
        <w:t xml:space="preserve">, and </w:t>
      </w:r>
      <m:oMath>
        <m:r>
          <m:t xml:space="preserve">o</m:t>
        </m:r>
      </m:oMath>
      <w:r>
        <w:rPr>
          <w:b w:val="0"/>
          <w:i w:val="0"/>
        </w:rPr>
        <w:t xml:space="preserve"> the three anchors. Necessity and sufficiency are judged by consistency and coverage:</w:t>
      </w:r>
    </w:p>
    <w:tbl>
      <w:tblPr>
        <w:tblW w:w="10466"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firstColumn="1" w:firstRow="1" w:lastColumn="0" w:lastRow="0" w:noHBand="0" w:noVBand="1" w:val="04A0"/>
      </w:tblPr>
      <w:tblGrid>
        <w:gridCol w:w="10035"/>
        <w:gridCol w:w="431"/>
      </w:tblGrid>
      <w:tr>
        <w:trPr>
          <w:cantSplit/>
        </w:trPr>
        <w:tc>
          <w:tcPr>
            <w:tcW w:type="dxa" w:w="10035"/>
            <w:vAlign w:val="center"/>
          </w:tcPr>
          <w:p>
            <w:pPr>
              <w:pStyle w:val="MDPI39equation"/>
              <w:ind w:left="0" w:right="0"/>
              <w:jc w:val="center"/>
            </w:pPr>
            <m:oMath>
              <m:r>
                <m:t xml:space="preserve">Cons</m:t>
              </m:r>
              <m:d>
                <m:dPr>
                  <m:begChr m:val="("/>
                  <m:endChr m:val=")"/>
                </m:dPr>
                <m:e>
                  <m:r>
                    <m:t xml:space="preserve">X</m:t>
                  </m:r>
                  <m:r>
                    <m:rPr>
                      <m:sty m:val="p"/>
                    </m:rPr>
                    <m:t xml:space="preserve">≤</m:t>
                  </m:r>
                  <m:r>
                    <m:t xml:space="preserve"> </m:t>
                  </m:r>
                  <m:r>
                    <m:t xml:space="preserve">Y</m:t>
                  </m:r>
                </m:e>
              </m:d>
              <m:r>
                <m:rPr>
                  <m:sty m:val="p"/>
                </m:rPr>
                <m:t xml:space="preserve">=</m:t>
              </m:r>
              <m:f>
                <m:num>
                  <m:nary>
                    <m:naryPr>
                      <m:chr m:val="∑"/>
                      <m:limLoc m:val="subSup"/>
                      <m:supHide m:val="1"/>
                    </m:naryPr>
                    <m:sub>
                      <m:r>
                        <m:t xml:space="preserve">i</m:t>
                      </m:r>
                    </m:sub>
                    <m:sup/>
                    <m:e>
                      <m:r>
                        <m:rPr>
                          <m:sty m:val="p"/>
                        </m:rPr>
                        <m:t xml:space="preserve">min</m:t>
                      </m:r>
                      <m:d>
                        <m:dPr>
                          <m:begChr m:val="("/>
                          <m:endChr m:val=")"/>
                        </m:dPr>
                        <m:e>
                          <m:sSub>
                            <m:e>
                              <m:r>
                                <m:t xml:space="preserve">x</m:t>
                              </m:r>
                            </m:e>
                            <m:sub>
                              <m:r>
                                <m:t xml:space="preserve">i</m:t>
                              </m:r>
                            </m:sub>
                          </m:sSub>
                          <m:r>
                            <m:t xml:space="preserve">,</m:t>
                          </m:r>
                          <m:sSub>
                            <m:e>
                              <m:r>
                                <m:t xml:space="preserve">y</m:t>
                              </m:r>
                            </m:e>
                            <m:sub>
                              <m:r>
                                <m:t xml:space="preserve">i</m:t>
                              </m:r>
                            </m:sub>
                          </m:sSub>
                        </m:e>
                      </m:d>
                    </m:e>
                  </m:nary>
                </m:num>
                <m:den>
                  <m:nary>
                    <m:naryPr>
                      <m:chr m:val="∑"/>
                      <m:limLoc m:val="subSup"/>
                      <m:supHide m:val="1"/>
                    </m:naryPr>
                    <m:sub>
                      <m:r>
                        <m:t xml:space="preserve">i</m:t>
                      </m:r>
                    </m:sub>
                    <m:sup/>
                    <m:e>
                      <m:sSub>
                        <m:e>
                          <m:r>
                            <m:t xml:space="preserve">x</m:t>
                          </m:r>
                        </m:e>
                        <m:sub>
                          <m:r>
                            <m:t xml:space="preserve">i</m:t>
                          </m:r>
                        </m:sub>
                      </m:sSub>
                    </m:e>
                  </m:nary>
                </m:den>
              </m:f>
            </m:oMath>
          </w:p>
        </w:tc>
        <w:tc>
          <w:tcPr>
            <w:tcW w:type="dxa" w:w="431"/>
            <w:vAlign w:val="center"/>
          </w:tcPr>
          <w:p>
            <w:pPr>
              <w:pStyle w:val="MDPI3aequationnumber"/>
              <w:jc w:val="right"/>
            </w:pPr>
            <w:r>
              <w:t>(7)</w:t>
            </w:r>
          </w:p>
        </w:tc>
      </w:tr>
    </w:tbl>
    <w:tbl>
      <w:tblPr>
        <w:tblW w:w="10466"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firstColumn="1" w:firstRow="1" w:lastColumn="0" w:lastRow="0" w:noHBand="0" w:noVBand="1" w:val="04A0"/>
      </w:tblPr>
      <w:tblGrid>
        <w:gridCol w:w="10035"/>
        <w:gridCol w:w="431"/>
      </w:tblGrid>
      <w:tr>
        <w:trPr>
          <w:cantSplit/>
        </w:trPr>
        <w:tc>
          <w:tcPr>
            <w:tcW w:type="dxa" w:w="10035"/>
            <w:vAlign w:val="center"/>
          </w:tcPr>
          <w:p>
            <w:pPr>
              <w:pStyle w:val="MDPI39equation"/>
              <w:ind w:left="0" w:right="0"/>
              <w:jc w:val="center"/>
            </w:pPr>
            <m:oMath>
              <m:r>
                <m:t xml:space="preserve">Cov</m:t>
              </m:r>
              <m:d>
                <m:dPr>
                  <m:begChr m:val="("/>
                  <m:endChr m:val=")"/>
                </m:dPr>
                <m:e>
                  <m:r>
                    <m:t xml:space="preserve">X</m:t>
                  </m:r>
                  <m:r>
                    <m:t xml:space="preserve">,</m:t>
                  </m:r>
                  <m:r>
                    <m:t xml:space="preserve">Y</m:t>
                  </m:r>
                </m:e>
              </m:d>
              <m:r>
                <m:rPr>
                  <m:sty m:val="p"/>
                </m:rPr>
                <m:t xml:space="preserve">=</m:t>
              </m:r>
              <m:f>
                <m:num>
                  <m:nary>
                    <m:naryPr>
                      <m:chr m:val="∑"/>
                      <m:limLoc m:val="subSup"/>
                      <m:supHide m:val="1"/>
                    </m:naryPr>
                    <m:sub>
                      <m:r>
                        <m:t xml:space="preserve">i</m:t>
                      </m:r>
                    </m:sub>
                    <m:sup/>
                    <m:e>
                      <m:r>
                        <m:rPr>
                          <m:sty m:val="p"/>
                        </m:rPr>
                        <m:t xml:space="preserve">min</m:t>
                      </m:r>
                      <m:d>
                        <m:dPr>
                          <m:begChr m:val="("/>
                          <m:endChr m:val=")"/>
                        </m:dPr>
                        <m:e>
                          <m:sSub>
                            <m:e>
                              <m:r>
                                <m:t xml:space="preserve">x</m:t>
                              </m:r>
                            </m:e>
                            <m:sub>
                              <m:r>
                                <m:t xml:space="preserve">i</m:t>
                              </m:r>
                            </m:sub>
                          </m:sSub>
                          <m:r>
                            <m:t xml:space="preserve">,</m:t>
                          </m:r>
                          <m:sSub>
                            <m:e>
                              <m:r>
                                <m:t xml:space="preserve">y</m:t>
                              </m:r>
                            </m:e>
                            <m:sub>
                              <m:r>
                                <m:t xml:space="preserve">i</m:t>
                              </m:r>
                            </m:sub>
                          </m:sSub>
                        </m:e>
                      </m:d>
                    </m:e>
                  </m:nary>
                </m:num>
                <m:den>
                  <m:nary>
                    <m:naryPr>
                      <m:chr m:val="∑"/>
                      <m:limLoc m:val="subSup"/>
                      <m:supHide m:val="1"/>
                    </m:naryPr>
                    <m:sub>
                      <m:r>
                        <m:t xml:space="preserve">i</m:t>
                      </m:r>
                    </m:sub>
                    <m:sup/>
                    <m:e>
                      <m:sSub>
                        <m:e>
                          <m:r>
                            <m:t xml:space="preserve">y</m:t>
                          </m:r>
                        </m:e>
                        <m:sub>
                          <m:r>
                            <m:t xml:space="preserve">i</m:t>
                          </m:r>
                        </m:sub>
                      </m:sSub>
                    </m:e>
                  </m:nary>
                </m:den>
              </m:f>
            </m:oMath>
          </w:p>
        </w:tc>
        <w:tc>
          <w:tcPr>
            <w:tcW w:type="dxa" w:w="431"/>
            <w:vAlign w:val="center"/>
          </w:tcPr>
          <w:p>
            <w:pPr>
              <w:pStyle w:val="MDPI3aequationnumber"/>
              <w:jc w:val="right"/>
            </w:pPr>
            <w:r>
              <w:t>(8)</w:t>
            </w:r>
          </w:p>
        </w:tc>
      </w:tr>
    </w:tbl>
    <w:p>
      <w:pPr>
        <w:pStyle w:val="MDPI31text"/>
      </w:pPr>
      <w:r>
        <w:rPr>
          <w:b w:val="0"/>
          <w:i w:val="0"/>
        </w:rPr>
        <w:t xml:space="preserve">with a truth-table frequency threshold of ten cases, raw consistency of at least 0.80, and proportional reduction in inconsistency (PRI) of at least 0.70 </w:t>
      </w:r>
      <w:r>
        <w:t>[</w:t>
      </w:r>
      <w:r>
        <w:fldChar w:fldCharType="begin"/>
      </w:r>
      <w:r>
        <w:instrText xml:space="preserve"> REF _Ref_36 \h </w:instrText>
      </w:r>
      <w:r>
        <w:fldChar w:fldCharType="separate"/>
      </w:r>
      <w:r>
        <w:t>36</w:t>
      </w:r>
      <w:r>
        <w:fldChar w:fldCharType="end"/>
      </w:r>
      <w:r>
        <w:t>,</w:t>
      </w:r>
      <w:r>
        <w:fldChar w:fldCharType="begin"/>
      </w:r>
      <w:r>
        <w:instrText xml:space="preserve"> REF _Ref_63 \h </w:instrText>
      </w:r>
      <w:r>
        <w:fldChar w:fldCharType="separate"/>
      </w:r>
      <w:r>
        <w:t>63</w:t>
      </w:r>
      <w:r>
        <w:fldChar w:fldCharType="end"/>
      </w:r>
      <w:r>
        <w:t>]</w:t>
      </w:r>
      <w:r>
        <w:rPr>
          <w:b w:val="0"/>
          <w:i w:val="0"/>
        </w:rPr>
        <w:t xml:space="preserve">. The intermediate solution admits only remainders consistent with the directional expectations that depreciation, literacy, support, and exposure, where present, favor adaptation, with no expectation imposed on anxiety; core conditions are those that survive into the parsimonious solution </w:t>
      </w:r>
      <w:r>
        <w:t>[</w:t>
      </w:r>
      <w:r>
        <w:fldChar w:fldCharType="begin"/>
      </w:r>
      <w:r>
        <w:instrText xml:space="preserve"> REF _Ref_35 \h </w:instrText>
      </w:r>
      <w:r>
        <w:fldChar w:fldCharType="separate"/>
      </w:r>
      <w:r>
        <w:t>35</w:t>
      </w:r>
      <w:r>
        <w:fldChar w:fldCharType="end"/>
      </w:r>
      <w:r>
        <w:t>]</w:t>
      </w:r>
      <w:r>
        <w:rPr>
          <w:b w:val="0"/>
          <w:i w:val="0"/>
        </w:rPr>
        <w:t>.</w:t>
      </w:r>
    </w:p>
    <w:p>
      <w:pPr>
        <w:pStyle w:val="MDPI21heading1"/>
      </w:pPr>
      <w:r>
        <w:t>4. Results</w:t>
      </w:r>
    </w:p>
    <w:p>
      <w:pPr>
        <w:pStyle w:val="MDPI22heading2"/>
      </w:pPr>
      <w:r>
        <w:t>4.1. Reliability and Validity Tests</w:t>
      </w:r>
    </w:p>
    <w:p>
      <w:pPr>
        <w:pStyle w:val="MDPI32textnoindent"/>
      </w:pPr>
      <w:r>
        <w:rPr>
          <w:b w:val="0"/>
          <w:i w:val="0"/>
        </w:rPr>
        <w:t xml:space="preserve">Table 2 presents the results of the confirmatory factor analysis. The six-construct measurement model fits the data well: χ2(215) = 277.35 (χ2/df = 1.29), CFI = 0.994, TLI = 0.993, RMSEA = 0.018, SRMR = 0.022, all within the conventional cutoffs </w:t>
      </w:r>
      <w:r>
        <w:t>[</w:t>
      </w:r>
      <w:r>
        <w:fldChar w:fldCharType="begin"/>
      </w:r>
      <w:r>
        <w:instrText xml:space="preserve"> REF _Ref_67 \h </w:instrText>
      </w:r>
      <w:r>
        <w:fldChar w:fldCharType="separate"/>
      </w:r>
      <w:r>
        <w:t>67</w:t>
      </w:r>
      <w:r>
        <w:fldChar w:fldCharType="end"/>
      </w:r>
      <w:r>
        <w:t>]</w:t>
      </w:r>
      <w:r>
        <w:rPr>
          <w:b w:val="0"/>
          <w:i w:val="0"/>
        </w:rPr>
        <w:t xml:space="preserve">. The smallest standardized loading is 0.731, the smallest Cronbach’s alpha and composite reliability are 0.79, and the smallest average variance extracted is 0.556, above the 0.50 benchmark. These results indicate satisfactory reliability and convergent validity </w:t>
      </w:r>
      <w:r>
        <w:t>[</w:t>
      </w:r>
      <w:r>
        <w:fldChar w:fldCharType="begin"/>
      </w:r>
      <w:r>
        <w:instrText xml:space="preserve"> REF _Ref_66 \h </w:instrText>
      </w:r>
      <w:r>
        <w:fldChar w:fldCharType="separate"/>
      </w:r>
      <w:r>
        <w:t>66</w:t>
      </w:r>
      <w:r>
        <w:fldChar w:fldCharType="end"/>
      </w:r>
      <w:r>
        <w:t>]</w:t>
      </w:r>
      <w:r>
        <w:rPr>
          <w:b w:val="0"/>
          <w:i w:val="0"/>
        </w:rPr>
        <w:t>.</w:t>
      </w:r>
    </w:p>
    <w:p>
      <w:pPr>
        <w:pStyle w:val="MDPI41tablecaption"/>
        <w:keepNext/>
        <w:spacing w:after="60"/>
      </w:pPr>
      <w:r>
        <w:rPr>
          <w:b/>
          <w:sz w:val="18"/>
        </w:rPr>
        <w:t xml:space="preserve">Table 2. </w:t>
      </w:r>
      <w:r>
        <w:rPr>
          <w:b w:val="0"/>
          <w:i w:val="0"/>
          <w:sz w:val="18"/>
        </w:rPr>
        <w:t>Constructs, items, and convergent validity.</w:t>
      </w:r>
    </w:p>
    <w:tbl>
      <w:tblPr>
        <w:tblStyle w:val="MDPI41threelinetable"/>
        <w:tblW w:w="7858" w:type="dxa"/>
        <w:tblInd w:w="2608" w:type="dxa"/>
        <w:tblBorders>
          <w:top w:val="single" w:sz="8" w:space="0" w:color="auto"/>
          <w:left w:val="none" w:sz="0" w:space="0" w:color="auto"/>
          <w:bottom w:val="single" w:sz="8" w:space="0" w:color="auto"/>
          <w:right w:val="none" w:sz="0" w:space="0" w:color="auto"/>
          <w:insideH w:val="none" w:sz="0" w:space="0" w:color="auto"/>
          <w:insideV w:val="none" w:sz="0" w:space="0" w:color="auto"/>
        </w:tblBorders>
        <w:tblLayout w:type="fixed"/>
        <w:tblCellMar>
          <w:top w:w="0" w:type="dxa"/>
          <w:left w:w="57" w:type="dxa"/>
          <w:bottom w:w="0" w:type="dxa"/>
          <w:right w:w="57" w:type="dxa"/>
        </w:tblCellMar>
        <w:tblLook w:firstColumn="1" w:firstRow="1" w:lastColumn="0" w:lastRow="0" w:noHBand="0" w:noVBand="1" w:val="04A0"/>
      </w:tblPr>
      <w:tblGrid>
        <w:gridCol w:w="3457"/>
        <w:gridCol w:w="1178"/>
        <w:gridCol w:w="1021"/>
        <w:gridCol w:w="1021"/>
        <w:gridCol w:w="1178"/>
      </w:tblGrid>
      <w:tr>
        <w:trPr>
          <w:cantSplit/>
          <w:tblHeader/>
        </w:trPr>
        <w:tc>
          <w:tcPr>
            <w:tcW w:type="dxa" w:w="3457"/>
            <w:tcBorders>
              <w:bottom w:val="single" w:sz="8" w:space="0" w:color="auto"/>
            </w:tcBorders>
          </w:tcPr>
          <w:p>
            <w:pPr>
              <w:pStyle w:val="MDPI42tablebody"/>
              <w:keepNext/>
              <w:spacing w:line="240" w:lineRule="auto" w:before="30" w:after="30"/>
              <w:jc w:val="center"/>
            </w:pPr>
            <w:r>
              <w:rPr>
                <w:b/>
                <w:i w:val="0"/>
                <w:sz w:val="18"/>
              </w:rPr>
              <w:t>Construct and items</w:t>
            </w:r>
          </w:p>
        </w:tc>
        <w:tc>
          <w:tcPr>
            <w:tcW w:type="dxa" w:w="1178"/>
            <w:tcBorders>
              <w:bottom w:val="single" w:sz="8" w:space="0" w:color="auto"/>
            </w:tcBorders>
          </w:tcPr>
          <w:p>
            <w:pPr>
              <w:pStyle w:val="MDPI42tablebody"/>
              <w:keepNext/>
              <w:spacing w:line="240" w:lineRule="auto" w:before="30" w:after="30"/>
              <w:jc w:val="center"/>
            </w:pPr>
            <w:r>
              <w:rPr>
                <w:b/>
                <w:i w:val="0"/>
                <w:sz w:val="18"/>
              </w:rPr>
              <w:t>Loading</w:t>
            </w:r>
          </w:p>
        </w:tc>
        <w:tc>
          <w:tcPr>
            <w:tcW w:type="dxa" w:w="1021"/>
            <w:tcBorders>
              <w:bottom w:val="single" w:sz="8" w:space="0" w:color="auto"/>
            </w:tcBorders>
          </w:tcPr>
          <w:p>
            <w:pPr>
              <w:pStyle w:val="MDPI42tablebody"/>
              <w:keepNext/>
              <w:spacing w:line="240" w:lineRule="auto" w:before="30" w:after="30"/>
              <w:jc w:val="center"/>
            </w:pPr>
            <w:r>
              <w:rPr>
                <w:b/>
                <w:i w:val="0"/>
                <w:sz w:val="18"/>
              </w:rPr>
              <w:t>α</w:t>
            </w:r>
          </w:p>
        </w:tc>
        <w:tc>
          <w:tcPr>
            <w:tcW w:type="dxa" w:w="1021"/>
            <w:tcBorders>
              <w:bottom w:val="single" w:sz="8" w:space="0" w:color="auto"/>
            </w:tcBorders>
          </w:tcPr>
          <w:p>
            <w:pPr>
              <w:pStyle w:val="MDPI42tablebody"/>
              <w:keepNext/>
              <w:spacing w:line="240" w:lineRule="auto" w:before="30" w:after="30"/>
              <w:jc w:val="center"/>
            </w:pPr>
            <w:r>
              <w:rPr>
                <w:b/>
                <w:i w:val="0"/>
                <w:sz w:val="18"/>
              </w:rPr>
              <w:t>CR</w:t>
            </w:r>
          </w:p>
        </w:tc>
        <w:tc>
          <w:tcPr>
            <w:tcW w:type="dxa" w:w="1178"/>
            <w:tcBorders>
              <w:bottom w:val="single" w:sz="8" w:space="0" w:color="auto"/>
            </w:tcBorders>
          </w:tcPr>
          <w:p>
            <w:pPr>
              <w:pStyle w:val="MDPI42tablebody"/>
              <w:keepNext/>
              <w:spacing w:line="240" w:lineRule="auto" w:before="30" w:after="30"/>
              <w:jc w:val="center"/>
            </w:pPr>
            <w:r>
              <w:rPr>
                <w:b/>
                <w:i w:val="0"/>
                <w:sz w:val="18"/>
              </w:rPr>
              <w:t>AVE</w:t>
            </w:r>
          </w:p>
        </w:tc>
      </w:tr>
      <w:tr>
        <w:trPr>
          <w:cantSplit/>
        </w:trPr>
        <w:tc>
          <w:tcPr>
            <w:tcW w:type="dxa" w:w="3457"/>
          </w:tcPr>
          <w:p>
            <w:pPr>
              <w:pStyle w:val="MDPI42tablebody"/>
              <w:keepNext/>
              <w:spacing w:line="240" w:lineRule="auto" w:before="30" w:after="30"/>
              <w:jc w:val="left"/>
            </w:pPr>
            <w:r>
              <w:rPr>
                <w:b w:val="0"/>
                <w:i w:val="0"/>
                <w:sz w:val="18"/>
              </w:rPr>
              <w:t>Perceived human capital depreciation (PHCD)</w:t>
            </w:r>
          </w:p>
        </w:tc>
        <w:tc>
          <w:tcPr>
            <w:tcW w:type="dxa" w:w="1178"/>
          </w:tcPr>
          <w:p>
            <w:pPr>
              <w:pStyle w:val="MDPI42tablebody"/>
              <w:keepNext/>
              <w:spacing w:line="240" w:lineRule="auto" w:before="30" w:after="30"/>
              <w:jc w:val="center"/>
            </w:pPr>
          </w:p>
        </w:tc>
        <w:tc>
          <w:tcPr>
            <w:tcW w:type="dxa" w:w="1021"/>
          </w:tcPr>
          <w:p>
            <w:pPr>
              <w:pStyle w:val="MDPI42tablebody"/>
              <w:keepNext/>
              <w:spacing w:line="240" w:lineRule="auto" w:before="30" w:after="30"/>
              <w:jc w:val="center"/>
            </w:pPr>
          </w:p>
        </w:tc>
        <w:tc>
          <w:tcPr>
            <w:tcW w:type="dxa" w:w="1021"/>
          </w:tcPr>
          <w:p>
            <w:pPr>
              <w:pStyle w:val="MDPI42tablebody"/>
              <w:keepNext/>
              <w:spacing w:line="240" w:lineRule="auto" w:before="30" w:after="30"/>
              <w:jc w:val="center"/>
            </w:pPr>
          </w:p>
        </w:tc>
        <w:tc>
          <w:tcPr>
            <w:tcW w:type="dxa" w:w="1178"/>
          </w:tcPr>
          <w:p>
            <w:pPr>
              <w:pStyle w:val="MDPI42tablebody"/>
              <w:keepNext/>
              <w:spacing w:line="240" w:lineRule="auto" w:before="30" w:after="30"/>
              <w:jc w:val="center"/>
            </w:pPr>
          </w:p>
        </w:tc>
      </w:tr>
      <w:tr>
        <w:trPr>
          <w:cantSplit/>
        </w:trPr>
        <w:tc>
          <w:tcPr>
            <w:tcW w:type="dxa" w:w="3457"/>
          </w:tcPr>
          <w:p>
            <w:pPr>
              <w:pStyle w:val="MDPI42tablebody"/>
              <w:keepNext/>
              <w:spacing w:line="240" w:lineRule="auto" w:before="30" w:after="30"/>
              <w:jc w:val="left"/>
            </w:pPr>
            <w:r>
              <w:rPr>
                <w:b w:val="0"/>
                <w:i w:val="0"/>
                <w:sz w:val="18"/>
              </w:rPr>
              <w:t>phcd1</w:t>
            </w:r>
          </w:p>
        </w:tc>
        <w:tc>
          <w:tcPr>
            <w:tcW w:type="dxa" w:w="1178"/>
          </w:tcPr>
          <w:p>
            <w:pPr>
              <w:pStyle w:val="MDPI42tablebody"/>
              <w:keepNext/>
              <w:spacing w:line="240" w:lineRule="auto" w:before="30" w:after="30"/>
              <w:jc w:val="center"/>
            </w:pPr>
            <w:r>
              <w:rPr>
                <w:b w:val="0"/>
                <w:i w:val="0"/>
                <w:sz w:val="18"/>
              </w:rPr>
              <w:t>0.800</w:t>
            </w:r>
          </w:p>
        </w:tc>
        <w:tc>
          <w:tcPr>
            <w:tcW w:type="dxa" w:w="1021"/>
          </w:tcPr>
          <w:p>
            <w:pPr>
              <w:pStyle w:val="MDPI42tablebody"/>
              <w:keepNext/>
              <w:spacing w:line="240" w:lineRule="auto" w:before="30" w:after="30"/>
              <w:jc w:val="center"/>
            </w:pPr>
            <w:r>
              <w:rPr>
                <w:b w:val="0"/>
                <w:i w:val="0"/>
                <w:sz w:val="18"/>
              </w:rPr>
              <w:t>0.873</w:t>
            </w:r>
          </w:p>
        </w:tc>
        <w:tc>
          <w:tcPr>
            <w:tcW w:type="dxa" w:w="1021"/>
          </w:tcPr>
          <w:p>
            <w:pPr>
              <w:pStyle w:val="MDPI42tablebody"/>
              <w:keepNext/>
              <w:spacing w:line="240" w:lineRule="auto" w:before="30" w:after="30"/>
              <w:jc w:val="center"/>
            </w:pPr>
            <w:r>
              <w:rPr>
                <w:b w:val="0"/>
                <w:i w:val="0"/>
                <w:sz w:val="18"/>
              </w:rPr>
              <w:t>0.873</w:t>
            </w:r>
          </w:p>
        </w:tc>
        <w:tc>
          <w:tcPr>
            <w:tcW w:type="dxa" w:w="1178"/>
          </w:tcPr>
          <w:p>
            <w:pPr>
              <w:pStyle w:val="MDPI42tablebody"/>
              <w:keepNext/>
              <w:spacing w:line="240" w:lineRule="auto" w:before="30" w:after="30"/>
              <w:jc w:val="center"/>
            </w:pPr>
            <w:r>
              <w:rPr>
                <w:b w:val="0"/>
                <w:i w:val="0"/>
                <w:sz w:val="18"/>
              </w:rPr>
              <w:t>0.633</w:t>
            </w:r>
          </w:p>
        </w:tc>
      </w:tr>
      <w:tr>
        <w:trPr>
          <w:cantSplit/>
        </w:trPr>
        <w:tc>
          <w:tcPr>
            <w:tcW w:type="dxa" w:w="3457"/>
          </w:tcPr>
          <w:p>
            <w:pPr>
              <w:pStyle w:val="MDPI42tablebody"/>
              <w:keepNext/>
              <w:spacing w:line="240" w:lineRule="auto" w:before="30" w:after="30"/>
              <w:jc w:val="left"/>
            </w:pPr>
            <w:r>
              <w:rPr>
                <w:b w:val="0"/>
                <w:i w:val="0"/>
                <w:sz w:val="18"/>
              </w:rPr>
              <w:t>phcd2</w:t>
            </w:r>
          </w:p>
        </w:tc>
        <w:tc>
          <w:tcPr>
            <w:tcW w:type="dxa" w:w="1178"/>
          </w:tcPr>
          <w:p>
            <w:pPr>
              <w:pStyle w:val="MDPI42tablebody"/>
              <w:keepNext/>
              <w:spacing w:line="240" w:lineRule="auto" w:before="30" w:after="30"/>
              <w:jc w:val="center"/>
            </w:pPr>
            <w:r>
              <w:rPr>
                <w:b w:val="0"/>
                <w:i w:val="0"/>
                <w:sz w:val="18"/>
              </w:rPr>
              <w:t>0.780</w:t>
            </w:r>
          </w:p>
        </w:tc>
        <w:tc>
          <w:tcPr>
            <w:tcW w:type="dxa" w:w="1021"/>
          </w:tcPr>
          <w:p>
            <w:pPr>
              <w:pStyle w:val="MDPI42tablebody"/>
              <w:keepNext/>
              <w:spacing w:line="240" w:lineRule="auto" w:before="30" w:after="30"/>
              <w:jc w:val="center"/>
            </w:pPr>
          </w:p>
        </w:tc>
        <w:tc>
          <w:tcPr>
            <w:tcW w:type="dxa" w:w="1021"/>
          </w:tcPr>
          <w:p>
            <w:pPr>
              <w:pStyle w:val="MDPI42tablebody"/>
              <w:keepNext/>
              <w:spacing w:line="240" w:lineRule="auto" w:before="30" w:after="30"/>
              <w:jc w:val="center"/>
            </w:pPr>
          </w:p>
        </w:tc>
        <w:tc>
          <w:tcPr>
            <w:tcW w:type="dxa" w:w="1178"/>
          </w:tcPr>
          <w:p>
            <w:pPr>
              <w:pStyle w:val="MDPI42tablebody"/>
              <w:keepNext/>
              <w:spacing w:line="240" w:lineRule="auto" w:before="30" w:after="30"/>
              <w:jc w:val="center"/>
            </w:pPr>
          </w:p>
        </w:tc>
      </w:tr>
      <w:tr>
        <w:trPr>
          <w:cantSplit/>
        </w:trPr>
        <w:tc>
          <w:tcPr>
            <w:tcW w:type="dxa" w:w="3457"/>
          </w:tcPr>
          <w:p>
            <w:pPr>
              <w:pStyle w:val="MDPI42tablebody"/>
              <w:keepNext/>
              <w:spacing w:line="240" w:lineRule="auto" w:before="30" w:after="30"/>
              <w:jc w:val="left"/>
            </w:pPr>
            <w:r>
              <w:rPr>
                <w:b w:val="0"/>
                <w:i w:val="0"/>
                <w:sz w:val="18"/>
              </w:rPr>
              <w:t>phcd3</w:t>
            </w:r>
          </w:p>
        </w:tc>
        <w:tc>
          <w:tcPr>
            <w:tcW w:type="dxa" w:w="1178"/>
          </w:tcPr>
          <w:p>
            <w:pPr>
              <w:pStyle w:val="MDPI42tablebody"/>
              <w:keepNext/>
              <w:spacing w:line="240" w:lineRule="auto" w:before="30" w:after="30"/>
              <w:jc w:val="center"/>
            </w:pPr>
            <w:r>
              <w:rPr>
                <w:b w:val="0"/>
                <w:i w:val="0"/>
                <w:sz w:val="18"/>
              </w:rPr>
              <w:t>0.810</w:t>
            </w:r>
          </w:p>
        </w:tc>
        <w:tc>
          <w:tcPr>
            <w:tcW w:type="dxa" w:w="1021"/>
          </w:tcPr>
          <w:p>
            <w:pPr>
              <w:pStyle w:val="MDPI42tablebody"/>
              <w:keepNext/>
              <w:spacing w:line="240" w:lineRule="auto" w:before="30" w:after="30"/>
              <w:jc w:val="center"/>
            </w:pPr>
          </w:p>
        </w:tc>
        <w:tc>
          <w:tcPr>
            <w:tcW w:type="dxa" w:w="1021"/>
          </w:tcPr>
          <w:p>
            <w:pPr>
              <w:pStyle w:val="MDPI42tablebody"/>
              <w:keepNext/>
              <w:spacing w:line="240" w:lineRule="auto" w:before="30" w:after="30"/>
              <w:jc w:val="center"/>
            </w:pPr>
          </w:p>
        </w:tc>
        <w:tc>
          <w:tcPr>
            <w:tcW w:type="dxa" w:w="1178"/>
          </w:tcPr>
          <w:p>
            <w:pPr>
              <w:pStyle w:val="MDPI42tablebody"/>
              <w:keepNext/>
              <w:spacing w:line="240" w:lineRule="auto" w:before="30" w:after="30"/>
              <w:jc w:val="center"/>
            </w:pPr>
          </w:p>
        </w:tc>
      </w:tr>
      <w:tr>
        <w:trPr>
          <w:cantSplit/>
        </w:trPr>
        <w:tc>
          <w:tcPr>
            <w:tcW w:type="dxa" w:w="3457"/>
          </w:tcPr>
          <w:p>
            <w:pPr>
              <w:pStyle w:val="MDPI42tablebody"/>
              <w:keepNext/>
              <w:spacing w:line="240" w:lineRule="auto" w:before="30" w:after="30"/>
              <w:jc w:val="left"/>
            </w:pPr>
            <w:r>
              <w:rPr>
                <w:b w:val="0"/>
                <w:i w:val="0"/>
                <w:sz w:val="18"/>
              </w:rPr>
              <w:t>phcd4</w:t>
            </w:r>
          </w:p>
        </w:tc>
        <w:tc>
          <w:tcPr>
            <w:tcW w:type="dxa" w:w="1178"/>
          </w:tcPr>
          <w:p>
            <w:pPr>
              <w:pStyle w:val="MDPI42tablebody"/>
              <w:keepNext/>
              <w:spacing w:line="240" w:lineRule="auto" w:before="30" w:after="30"/>
              <w:jc w:val="center"/>
            </w:pPr>
            <w:r>
              <w:rPr>
                <w:b w:val="0"/>
                <w:i w:val="0"/>
                <w:sz w:val="18"/>
              </w:rPr>
              <w:t>0.791</w:t>
            </w:r>
          </w:p>
        </w:tc>
        <w:tc>
          <w:tcPr>
            <w:tcW w:type="dxa" w:w="1021"/>
          </w:tcPr>
          <w:p>
            <w:pPr>
              <w:pStyle w:val="MDPI42tablebody"/>
              <w:keepNext/>
              <w:spacing w:line="240" w:lineRule="auto" w:before="30" w:after="30"/>
              <w:jc w:val="center"/>
            </w:pPr>
          </w:p>
        </w:tc>
        <w:tc>
          <w:tcPr>
            <w:tcW w:type="dxa" w:w="1021"/>
          </w:tcPr>
          <w:p>
            <w:pPr>
              <w:pStyle w:val="MDPI42tablebody"/>
              <w:keepNext/>
              <w:spacing w:line="240" w:lineRule="auto" w:before="30" w:after="30"/>
              <w:jc w:val="center"/>
            </w:pPr>
          </w:p>
        </w:tc>
        <w:tc>
          <w:tcPr>
            <w:tcW w:type="dxa" w:w="1178"/>
          </w:tcPr>
          <w:p>
            <w:pPr>
              <w:pStyle w:val="MDPI42tablebody"/>
              <w:keepNext/>
              <w:spacing w:line="240" w:lineRule="auto" w:before="30" w:after="30"/>
              <w:jc w:val="center"/>
            </w:pPr>
          </w:p>
        </w:tc>
      </w:tr>
      <w:tr>
        <w:trPr>
          <w:cantSplit/>
        </w:trPr>
        <w:tc>
          <w:tcPr>
            <w:tcW w:type="dxa" w:w="3457"/>
          </w:tcPr>
          <w:p>
            <w:pPr>
              <w:pStyle w:val="MDPI42tablebody"/>
              <w:keepNext/>
              <w:spacing w:line="240" w:lineRule="auto" w:before="30" w:after="30"/>
              <w:jc w:val="left"/>
            </w:pPr>
            <w:r>
              <w:rPr>
                <w:b w:val="0"/>
                <w:i w:val="0"/>
                <w:sz w:val="18"/>
              </w:rPr>
              <w:t>AI-related career anxiety (ANX)</w:t>
            </w:r>
          </w:p>
        </w:tc>
        <w:tc>
          <w:tcPr>
            <w:tcW w:type="dxa" w:w="1178"/>
          </w:tcPr>
          <w:p>
            <w:pPr>
              <w:pStyle w:val="MDPI42tablebody"/>
              <w:keepNext/>
              <w:spacing w:line="240" w:lineRule="auto" w:before="30" w:after="30"/>
              <w:jc w:val="center"/>
            </w:pPr>
          </w:p>
        </w:tc>
        <w:tc>
          <w:tcPr>
            <w:tcW w:type="dxa" w:w="1021"/>
          </w:tcPr>
          <w:p>
            <w:pPr>
              <w:pStyle w:val="MDPI42tablebody"/>
              <w:keepNext/>
              <w:spacing w:line="240" w:lineRule="auto" w:before="30" w:after="30"/>
              <w:jc w:val="center"/>
            </w:pPr>
          </w:p>
        </w:tc>
        <w:tc>
          <w:tcPr>
            <w:tcW w:type="dxa" w:w="1021"/>
          </w:tcPr>
          <w:p>
            <w:pPr>
              <w:pStyle w:val="MDPI42tablebody"/>
              <w:keepNext/>
              <w:spacing w:line="240" w:lineRule="auto" w:before="30" w:after="30"/>
              <w:jc w:val="center"/>
            </w:pPr>
          </w:p>
        </w:tc>
        <w:tc>
          <w:tcPr>
            <w:tcW w:type="dxa" w:w="1178"/>
          </w:tcPr>
          <w:p>
            <w:pPr>
              <w:pStyle w:val="MDPI42tablebody"/>
              <w:keepNext/>
              <w:spacing w:line="240" w:lineRule="auto" w:before="30" w:after="30"/>
              <w:jc w:val="center"/>
            </w:pPr>
          </w:p>
        </w:tc>
      </w:tr>
      <w:tr>
        <w:trPr>
          <w:cantSplit/>
        </w:trPr>
        <w:tc>
          <w:tcPr>
            <w:tcW w:type="dxa" w:w="3457"/>
          </w:tcPr>
          <w:p>
            <w:pPr>
              <w:pStyle w:val="MDPI42tablebody"/>
              <w:keepNext/>
              <w:spacing w:line="240" w:lineRule="auto" w:before="30" w:after="30"/>
              <w:jc w:val="left"/>
            </w:pPr>
            <w:r>
              <w:rPr>
                <w:b w:val="0"/>
                <w:i w:val="0"/>
                <w:sz w:val="18"/>
              </w:rPr>
              <w:t>anx1</w:t>
            </w:r>
          </w:p>
        </w:tc>
        <w:tc>
          <w:tcPr>
            <w:tcW w:type="dxa" w:w="1178"/>
          </w:tcPr>
          <w:p>
            <w:pPr>
              <w:pStyle w:val="MDPI42tablebody"/>
              <w:keepNext/>
              <w:spacing w:line="240" w:lineRule="auto" w:before="30" w:after="30"/>
              <w:jc w:val="center"/>
            </w:pPr>
            <w:r>
              <w:rPr>
                <w:b w:val="0"/>
                <w:i w:val="0"/>
                <w:sz w:val="18"/>
              </w:rPr>
              <w:t>0.822</w:t>
            </w:r>
          </w:p>
        </w:tc>
        <w:tc>
          <w:tcPr>
            <w:tcW w:type="dxa" w:w="1021"/>
          </w:tcPr>
          <w:p>
            <w:pPr>
              <w:pStyle w:val="MDPI42tablebody"/>
              <w:keepNext/>
              <w:spacing w:line="240" w:lineRule="auto" w:before="30" w:after="30"/>
              <w:jc w:val="center"/>
            </w:pPr>
            <w:r>
              <w:rPr>
                <w:b w:val="0"/>
                <w:i w:val="0"/>
                <w:sz w:val="18"/>
              </w:rPr>
              <w:t>0.889</w:t>
            </w:r>
          </w:p>
        </w:tc>
        <w:tc>
          <w:tcPr>
            <w:tcW w:type="dxa" w:w="1021"/>
          </w:tcPr>
          <w:p>
            <w:pPr>
              <w:pStyle w:val="MDPI42tablebody"/>
              <w:keepNext/>
              <w:spacing w:line="240" w:lineRule="auto" w:before="30" w:after="30"/>
              <w:jc w:val="center"/>
            </w:pPr>
            <w:r>
              <w:rPr>
                <w:b w:val="0"/>
                <w:i w:val="0"/>
                <w:sz w:val="18"/>
              </w:rPr>
              <w:t>0.889</w:t>
            </w:r>
          </w:p>
        </w:tc>
        <w:tc>
          <w:tcPr>
            <w:tcW w:type="dxa" w:w="1178"/>
          </w:tcPr>
          <w:p>
            <w:pPr>
              <w:pStyle w:val="MDPI42tablebody"/>
              <w:keepNext/>
              <w:spacing w:line="240" w:lineRule="auto" w:before="30" w:after="30"/>
              <w:jc w:val="center"/>
            </w:pPr>
            <w:r>
              <w:rPr>
                <w:b w:val="0"/>
                <w:i w:val="0"/>
                <w:sz w:val="18"/>
              </w:rPr>
              <w:t>0.667</w:t>
            </w:r>
          </w:p>
        </w:tc>
      </w:tr>
      <w:tr>
        <w:trPr>
          <w:cantSplit/>
        </w:trPr>
        <w:tc>
          <w:tcPr>
            <w:tcW w:type="dxa" w:w="3457"/>
          </w:tcPr>
          <w:p>
            <w:pPr>
              <w:pStyle w:val="MDPI42tablebody"/>
              <w:keepNext/>
              <w:spacing w:line="240" w:lineRule="auto" w:before="30" w:after="30"/>
              <w:jc w:val="left"/>
            </w:pPr>
            <w:r>
              <w:rPr>
                <w:b w:val="0"/>
                <w:i w:val="0"/>
                <w:sz w:val="18"/>
              </w:rPr>
              <w:t>anx2</w:t>
            </w:r>
          </w:p>
        </w:tc>
        <w:tc>
          <w:tcPr>
            <w:tcW w:type="dxa" w:w="1178"/>
          </w:tcPr>
          <w:p>
            <w:pPr>
              <w:pStyle w:val="MDPI42tablebody"/>
              <w:keepNext/>
              <w:spacing w:line="240" w:lineRule="auto" w:before="30" w:after="30"/>
              <w:jc w:val="center"/>
            </w:pPr>
            <w:r>
              <w:rPr>
                <w:b w:val="0"/>
                <w:i w:val="0"/>
                <w:sz w:val="18"/>
              </w:rPr>
              <w:t>0.823</w:t>
            </w:r>
          </w:p>
        </w:tc>
        <w:tc>
          <w:tcPr>
            <w:tcW w:type="dxa" w:w="1021"/>
          </w:tcPr>
          <w:p>
            <w:pPr>
              <w:pStyle w:val="MDPI42tablebody"/>
              <w:keepNext/>
              <w:spacing w:line="240" w:lineRule="auto" w:before="30" w:after="30"/>
              <w:jc w:val="center"/>
            </w:pPr>
          </w:p>
        </w:tc>
        <w:tc>
          <w:tcPr>
            <w:tcW w:type="dxa" w:w="1021"/>
          </w:tcPr>
          <w:p>
            <w:pPr>
              <w:pStyle w:val="MDPI42tablebody"/>
              <w:keepNext/>
              <w:spacing w:line="240" w:lineRule="auto" w:before="30" w:after="30"/>
              <w:jc w:val="center"/>
            </w:pPr>
          </w:p>
        </w:tc>
        <w:tc>
          <w:tcPr>
            <w:tcW w:type="dxa" w:w="1178"/>
          </w:tcPr>
          <w:p>
            <w:pPr>
              <w:pStyle w:val="MDPI42tablebody"/>
              <w:keepNext/>
              <w:spacing w:line="240" w:lineRule="auto" w:before="30" w:after="30"/>
              <w:jc w:val="center"/>
            </w:pPr>
          </w:p>
        </w:tc>
      </w:tr>
      <w:tr>
        <w:trPr>
          <w:cantSplit/>
        </w:trPr>
        <w:tc>
          <w:tcPr>
            <w:tcW w:type="dxa" w:w="3457"/>
          </w:tcPr>
          <w:p>
            <w:pPr>
              <w:pStyle w:val="MDPI42tablebody"/>
              <w:keepNext/>
              <w:spacing w:line="240" w:lineRule="auto" w:before="30" w:after="30"/>
              <w:jc w:val="left"/>
            </w:pPr>
            <w:r>
              <w:rPr>
                <w:b w:val="0"/>
                <w:i w:val="0"/>
                <w:sz w:val="18"/>
              </w:rPr>
              <w:t>anx3</w:t>
            </w:r>
          </w:p>
        </w:tc>
        <w:tc>
          <w:tcPr>
            <w:tcW w:type="dxa" w:w="1178"/>
          </w:tcPr>
          <w:p>
            <w:pPr>
              <w:pStyle w:val="MDPI42tablebody"/>
              <w:keepNext/>
              <w:spacing w:line="240" w:lineRule="auto" w:before="30" w:after="30"/>
              <w:jc w:val="center"/>
            </w:pPr>
            <w:r>
              <w:rPr>
                <w:b w:val="0"/>
                <w:i w:val="0"/>
                <w:sz w:val="18"/>
              </w:rPr>
              <w:t>0.806</w:t>
            </w:r>
          </w:p>
        </w:tc>
        <w:tc>
          <w:tcPr>
            <w:tcW w:type="dxa" w:w="1021"/>
          </w:tcPr>
          <w:p>
            <w:pPr>
              <w:pStyle w:val="MDPI42tablebody"/>
              <w:keepNext/>
              <w:spacing w:line="240" w:lineRule="auto" w:before="30" w:after="30"/>
              <w:jc w:val="center"/>
            </w:pPr>
          </w:p>
        </w:tc>
        <w:tc>
          <w:tcPr>
            <w:tcW w:type="dxa" w:w="1021"/>
          </w:tcPr>
          <w:p>
            <w:pPr>
              <w:pStyle w:val="MDPI42tablebody"/>
              <w:keepNext/>
              <w:spacing w:line="240" w:lineRule="auto" w:before="30" w:after="30"/>
              <w:jc w:val="center"/>
            </w:pPr>
          </w:p>
        </w:tc>
        <w:tc>
          <w:tcPr>
            <w:tcW w:type="dxa" w:w="1178"/>
          </w:tcPr>
          <w:p>
            <w:pPr>
              <w:pStyle w:val="MDPI42tablebody"/>
              <w:keepNext/>
              <w:spacing w:line="240" w:lineRule="auto" w:before="30" w:after="30"/>
              <w:jc w:val="center"/>
            </w:pPr>
          </w:p>
        </w:tc>
      </w:tr>
      <w:tr>
        <w:trPr>
          <w:cantSplit/>
        </w:trPr>
        <w:tc>
          <w:tcPr>
            <w:tcW w:type="dxa" w:w="3457"/>
          </w:tcPr>
          <w:p>
            <w:pPr>
              <w:pStyle w:val="MDPI42tablebody"/>
              <w:keepNext/>
              <w:spacing w:line="240" w:lineRule="auto" w:before="30" w:after="30"/>
              <w:jc w:val="left"/>
            </w:pPr>
            <w:r>
              <w:rPr>
                <w:b w:val="0"/>
                <w:i w:val="0"/>
                <w:sz w:val="18"/>
              </w:rPr>
              <w:t>anx4</w:t>
            </w:r>
          </w:p>
        </w:tc>
        <w:tc>
          <w:tcPr>
            <w:tcW w:type="dxa" w:w="1178"/>
          </w:tcPr>
          <w:p>
            <w:pPr>
              <w:pStyle w:val="MDPI42tablebody"/>
              <w:keepNext/>
              <w:spacing w:line="240" w:lineRule="auto" w:before="30" w:after="30"/>
              <w:jc w:val="center"/>
            </w:pPr>
            <w:r>
              <w:rPr>
                <w:b w:val="0"/>
                <w:i w:val="0"/>
                <w:sz w:val="18"/>
              </w:rPr>
              <w:t>0.817</w:t>
            </w:r>
          </w:p>
        </w:tc>
        <w:tc>
          <w:tcPr>
            <w:tcW w:type="dxa" w:w="1021"/>
          </w:tcPr>
          <w:p>
            <w:pPr>
              <w:pStyle w:val="MDPI42tablebody"/>
              <w:keepNext/>
              <w:spacing w:line="240" w:lineRule="auto" w:before="30" w:after="30"/>
              <w:jc w:val="center"/>
            </w:pPr>
          </w:p>
        </w:tc>
        <w:tc>
          <w:tcPr>
            <w:tcW w:type="dxa" w:w="1021"/>
          </w:tcPr>
          <w:p>
            <w:pPr>
              <w:pStyle w:val="MDPI42tablebody"/>
              <w:keepNext/>
              <w:spacing w:line="240" w:lineRule="auto" w:before="30" w:after="30"/>
              <w:jc w:val="center"/>
            </w:pPr>
          </w:p>
        </w:tc>
        <w:tc>
          <w:tcPr>
            <w:tcW w:type="dxa" w:w="1178"/>
          </w:tcPr>
          <w:p>
            <w:pPr>
              <w:pStyle w:val="MDPI42tablebody"/>
              <w:keepNext/>
              <w:spacing w:line="240" w:lineRule="auto" w:before="30" w:after="30"/>
              <w:jc w:val="center"/>
            </w:pPr>
          </w:p>
        </w:tc>
      </w:tr>
      <w:tr>
        <w:trPr>
          <w:cantSplit/>
        </w:trPr>
        <w:tc>
          <w:tcPr>
            <w:tcW w:type="dxa" w:w="3457"/>
          </w:tcPr>
          <w:p>
            <w:pPr>
              <w:pStyle w:val="MDPI42tablebody"/>
              <w:keepNext/>
              <w:spacing w:line="240" w:lineRule="auto" w:before="30" w:after="30"/>
              <w:jc w:val="left"/>
            </w:pPr>
            <w:r>
              <w:rPr>
                <w:b w:val="0"/>
                <w:i w:val="0"/>
                <w:sz w:val="18"/>
              </w:rPr>
              <w:t>Generative-AI literacy (LIT)</w:t>
            </w:r>
          </w:p>
        </w:tc>
        <w:tc>
          <w:tcPr>
            <w:tcW w:type="dxa" w:w="1178"/>
          </w:tcPr>
          <w:p>
            <w:pPr>
              <w:pStyle w:val="MDPI42tablebody"/>
              <w:keepNext/>
              <w:spacing w:line="240" w:lineRule="auto" w:before="30" w:after="30"/>
              <w:jc w:val="center"/>
            </w:pPr>
          </w:p>
        </w:tc>
        <w:tc>
          <w:tcPr>
            <w:tcW w:type="dxa" w:w="1021"/>
          </w:tcPr>
          <w:p>
            <w:pPr>
              <w:pStyle w:val="MDPI42tablebody"/>
              <w:keepNext/>
              <w:spacing w:line="240" w:lineRule="auto" w:before="30" w:after="30"/>
              <w:jc w:val="center"/>
            </w:pPr>
          </w:p>
        </w:tc>
        <w:tc>
          <w:tcPr>
            <w:tcW w:type="dxa" w:w="1021"/>
          </w:tcPr>
          <w:p>
            <w:pPr>
              <w:pStyle w:val="MDPI42tablebody"/>
              <w:keepNext/>
              <w:spacing w:line="240" w:lineRule="auto" w:before="30" w:after="30"/>
              <w:jc w:val="center"/>
            </w:pPr>
          </w:p>
        </w:tc>
        <w:tc>
          <w:tcPr>
            <w:tcW w:type="dxa" w:w="1178"/>
          </w:tcPr>
          <w:p>
            <w:pPr>
              <w:pStyle w:val="MDPI42tablebody"/>
              <w:keepNext/>
              <w:spacing w:line="240" w:lineRule="auto" w:before="30" w:after="30"/>
              <w:jc w:val="center"/>
            </w:pPr>
          </w:p>
        </w:tc>
      </w:tr>
      <w:tr>
        <w:trPr>
          <w:cantSplit/>
        </w:trPr>
        <w:tc>
          <w:tcPr>
            <w:tcW w:type="dxa" w:w="3457"/>
          </w:tcPr>
          <w:p>
            <w:pPr>
              <w:pStyle w:val="MDPI42tablebody"/>
              <w:keepNext/>
              <w:spacing w:line="240" w:lineRule="auto" w:before="30" w:after="30"/>
              <w:jc w:val="left"/>
            </w:pPr>
            <w:r>
              <w:rPr>
                <w:b w:val="0"/>
                <w:i w:val="0"/>
                <w:sz w:val="18"/>
              </w:rPr>
              <w:t>lit1</w:t>
            </w:r>
          </w:p>
        </w:tc>
        <w:tc>
          <w:tcPr>
            <w:tcW w:type="dxa" w:w="1178"/>
          </w:tcPr>
          <w:p>
            <w:pPr>
              <w:pStyle w:val="MDPI42tablebody"/>
              <w:keepNext/>
              <w:spacing w:line="240" w:lineRule="auto" w:before="30" w:after="30"/>
              <w:jc w:val="center"/>
            </w:pPr>
            <w:r>
              <w:rPr>
                <w:b w:val="0"/>
                <w:i w:val="0"/>
                <w:sz w:val="18"/>
              </w:rPr>
              <w:t>0.795</w:t>
            </w:r>
          </w:p>
        </w:tc>
        <w:tc>
          <w:tcPr>
            <w:tcW w:type="dxa" w:w="1021"/>
          </w:tcPr>
          <w:p>
            <w:pPr>
              <w:pStyle w:val="MDPI42tablebody"/>
              <w:keepNext/>
              <w:spacing w:line="240" w:lineRule="auto" w:before="30" w:after="30"/>
              <w:jc w:val="center"/>
            </w:pPr>
            <w:r>
              <w:rPr>
                <w:b w:val="0"/>
                <w:i w:val="0"/>
                <w:sz w:val="18"/>
              </w:rPr>
              <w:t>0.865</w:t>
            </w:r>
          </w:p>
        </w:tc>
        <w:tc>
          <w:tcPr>
            <w:tcW w:type="dxa" w:w="1021"/>
          </w:tcPr>
          <w:p>
            <w:pPr>
              <w:pStyle w:val="MDPI42tablebody"/>
              <w:keepNext/>
              <w:spacing w:line="240" w:lineRule="auto" w:before="30" w:after="30"/>
              <w:jc w:val="center"/>
            </w:pPr>
            <w:r>
              <w:rPr>
                <w:b w:val="0"/>
                <w:i w:val="0"/>
                <w:sz w:val="18"/>
              </w:rPr>
              <w:t>0.865</w:t>
            </w:r>
          </w:p>
        </w:tc>
        <w:tc>
          <w:tcPr>
            <w:tcW w:type="dxa" w:w="1178"/>
          </w:tcPr>
          <w:p>
            <w:pPr>
              <w:pStyle w:val="MDPI42tablebody"/>
              <w:keepNext/>
              <w:spacing w:line="240" w:lineRule="auto" w:before="30" w:after="30"/>
              <w:jc w:val="center"/>
            </w:pPr>
            <w:r>
              <w:rPr>
                <w:b w:val="0"/>
                <w:i w:val="0"/>
                <w:sz w:val="18"/>
              </w:rPr>
              <w:t>0.616</w:t>
            </w:r>
          </w:p>
        </w:tc>
      </w:tr>
      <w:tr>
        <w:trPr>
          <w:cantSplit/>
        </w:trPr>
        <w:tc>
          <w:tcPr>
            <w:tcW w:type="dxa" w:w="3457"/>
          </w:tcPr>
          <w:p>
            <w:pPr>
              <w:pStyle w:val="MDPI42tablebody"/>
              <w:keepNext/>
              <w:spacing w:line="240" w:lineRule="auto" w:before="30" w:after="30"/>
              <w:jc w:val="left"/>
            </w:pPr>
            <w:r>
              <w:rPr>
                <w:b w:val="0"/>
                <w:i w:val="0"/>
                <w:sz w:val="18"/>
              </w:rPr>
              <w:t>lit2</w:t>
            </w:r>
          </w:p>
        </w:tc>
        <w:tc>
          <w:tcPr>
            <w:tcW w:type="dxa" w:w="1178"/>
          </w:tcPr>
          <w:p>
            <w:pPr>
              <w:pStyle w:val="MDPI42tablebody"/>
              <w:keepNext/>
              <w:spacing w:line="240" w:lineRule="auto" w:before="30" w:after="30"/>
              <w:jc w:val="center"/>
            </w:pPr>
            <w:r>
              <w:rPr>
                <w:b w:val="0"/>
                <w:i w:val="0"/>
                <w:sz w:val="18"/>
              </w:rPr>
              <w:t>0.790</w:t>
            </w:r>
          </w:p>
        </w:tc>
        <w:tc>
          <w:tcPr>
            <w:tcW w:type="dxa" w:w="1021"/>
          </w:tcPr>
          <w:p>
            <w:pPr>
              <w:pStyle w:val="MDPI42tablebody"/>
              <w:keepNext/>
              <w:spacing w:line="240" w:lineRule="auto" w:before="30" w:after="30"/>
              <w:jc w:val="center"/>
            </w:pPr>
          </w:p>
        </w:tc>
        <w:tc>
          <w:tcPr>
            <w:tcW w:type="dxa" w:w="1021"/>
          </w:tcPr>
          <w:p>
            <w:pPr>
              <w:pStyle w:val="MDPI42tablebody"/>
              <w:keepNext/>
              <w:spacing w:line="240" w:lineRule="auto" w:before="30" w:after="30"/>
              <w:jc w:val="center"/>
            </w:pPr>
          </w:p>
        </w:tc>
        <w:tc>
          <w:tcPr>
            <w:tcW w:type="dxa" w:w="1178"/>
          </w:tcPr>
          <w:p>
            <w:pPr>
              <w:pStyle w:val="MDPI42tablebody"/>
              <w:keepNext/>
              <w:spacing w:line="240" w:lineRule="auto" w:before="30" w:after="30"/>
              <w:jc w:val="center"/>
            </w:pPr>
          </w:p>
        </w:tc>
      </w:tr>
      <w:tr>
        <w:trPr>
          <w:cantSplit/>
        </w:trPr>
        <w:tc>
          <w:tcPr>
            <w:tcW w:type="dxa" w:w="3457"/>
          </w:tcPr>
          <w:p>
            <w:pPr>
              <w:pStyle w:val="MDPI42tablebody"/>
              <w:keepNext/>
              <w:spacing w:line="240" w:lineRule="auto" w:before="30" w:after="30"/>
              <w:jc w:val="left"/>
            </w:pPr>
            <w:r>
              <w:rPr>
                <w:b w:val="0"/>
                <w:i w:val="0"/>
                <w:sz w:val="18"/>
              </w:rPr>
              <w:t>lit3</w:t>
            </w:r>
          </w:p>
        </w:tc>
        <w:tc>
          <w:tcPr>
            <w:tcW w:type="dxa" w:w="1178"/>
          </w:tcPr>
          <w:p>
            <w:pPr>
              <w:pStyle w:val="MDPI42tablebody"/>
              <w:keepNext/>
              <w:spacing w:line="240" w:lineRule="auto" w:before="30" w:after="30"/>
              <w:jc w:val="center"/>
            </w:pPr>
            <w:r>
              <w:rPr>
                <w:b w:val="0"/>
                <w:i w:val="0"/>
                <w:sz w:val="18"/>
              </w:rPr>
              <w:t>0.771</w:t>
            </w:r>
          </w:p>
        </w:tc>
        <w:tc>
          <w:tcPr>
            <w:tcW w:type="dxa" w:w="1021"/>
          </w:tcPr>
          <w:p>
            <w:pPr>
              <w:pStyle w:val="MDPI42tablebody"/>
              <w:keepNext/>
              <w:spacing w:line="240" w:lineRule="auto" w:before="30" w:after="30"/>
              <w:jc w:val="center"/>
            </w:pPr>
          </w:p>
        </w:tc>
        <w:tc>
          <w:tcPr>
            <w:tcW w:type="dxa" w:w="1021"/>
          </w:tcPr>
          <w:p>
            <w:pPr>
              <w:pStyle w:val="MDPI42tablebody"/>
              <w:keepNext/>
              <w:spacing w:line="240" w:lineRule="auto" w:before="30" w:after="30"/>
              <w:jc w:val="center"/>
            </w:pPr>
          </w:p>
        </w:tc>
        <w:tc>
          <w:tcPr>
            <w:tcW w:type="dxa" w:w="1178"/>
          </w:tcPr>
          <w:p>
            <w:pPr>
              <w:pStyle w:val="MDPI42tablebody"/>
              <w:keepNext/>
              <w:spacing w:line="240" w:lineRule="auto" w:before="30" w:after="30"/>
              <w:jc w:val="center"/>
            </w:pPr>
          </w:p>
        </w:tc>
      </w:tr>
      <w:tr>
        <w:trPr>
          <w:cantSplit/>
        </w:trPr>
        <w:tc>
          <w:tcPr>
            <w:tcW w:type="dxa" w:w="3457"/>
          </w:tcPr>
          <w:p>
            <w:pPr>
              <w:pStyle w:val="MDPI42tablebody"/>
              <w:keepNext/>
              <w:spacing w:line="240" w:lineRule="auto" w:before="30" w:after="30"/>
              <w:jc w:val="left"/>
            </w:pPr>
            <w:r>
              <w:rPr>
                <w:b w:val="0"/>
                <w:i w:val="0"/>
                <w:sz w:val="18"/>
              </w:rPr>
              <w:t>lit4</w:t>
            </w:r>
          </w:p>
        </w:tc>
        <w:tc>
          <w:tcPr>
            <w:tcW w:type="dxa" w:w="1178"/>
          </w:tcPr>
          <w:p>
            <w:pPr>
              <w:pStyle w:val="MDPI42tablebody"/>
              <w:keepNext/>
              <w:spacing w:line="240" w:lineRule="auto" w:before="30" w:after="30"/>
              <w:jc w:val="center"/>
            </w:pPr>
            <w:r>
              <w:rPr>
                <w:b w:val="0"/>
                <w:i w:val="0"/>
                <w:sz w:val="18"/>
              </w:rPr>
              <w:t>0.784</w:t>
            </w:r>
          </w:p>
        </w:tc>
        <w:tc>
          <w:tcPr>
            <w:tcW w:type="dxa" w:w="1021"/>
          </w:tcPr>
          <w:p>
            <w:pPr>
              <w:pStyle w:val="MDPI42tablebody"/>
              <w:keepNext/>
              <w:spacing w:line="240" w:lineRule="auto" w:before="30" w:after="30"/>
              <w:jc w:val="center"/>
            </w:pPr>
          </w:p>
        </w:tc>
        <w:tc>
          <w:tcPr>
            <w:tcW w:type="dxa" w:w="1021"/>
          </w:tcPr>
          <w:p>
            <w:pPr>
              <w:pStyle w:val="MDPI42tablebody"/>
              <w:keepNext/>
              <w:spacing w:line="240" w:lineRule="auto" w:before="30" w:after="30"/>
              <w:jc w:val="center"/>
            </w:pPr>
          </w:p>
        </w:tc>
        <w:tc>
          <w:tcPr>
            <w:tcW w:type="dxa" w:w="1178"/>
          </w:tcPr>
          <w:p>
            <w:pPr>
              <w:pStyle w:val="MDPI42tablebody"/>
              <w:keepNext/>
              <w:spacing w:line="240" w:lineRule="auto" w:before="30" w:after="30"/>
              <w:jc w:val="center"/>
            </w:pPr>
          </w:p>
        </w:tc>
      </w:tr>
      <w:tr>
        <w:trPr>
          <w:cantSplit/>
        </w:trPr>
        <w:tc>
          <w:tcPr>
            <w:tcW w:type="dxa" w:w="3457"/>
          </w:tcPr>
          <w:p>
            <w:pPr>
              <w:pStyle w:val="MDPI42tablebody"/>
              <w:keepNext/>
              <w:spacing w:line="240" w:lineRule="auto" w:before="30" w:after="30"/>
              <w:jc w:val="left"/>
            </w:pPr>
            <w:r>
              <w:rPr>
                <w:b w:val="0"/>
                <w:i w:val="0"/>
                <w:sz w:val="18"/>
              </w:rPr>
              <w:t>Perceived employability support (SUP)</w:t>
            </w:r>
          </w:p>
        </w:tc>
        <w:tc>
          <w:tcPr>
            <w:tcW w:type="dxa" w:w="1178"/>
          </w:tcPr>
          <w:p>
            <w:pPr>
              <w:pStyle w:val="MDPI42tablebody"/>
              <w:keepNext/>
              <w:spacing w:line="240" w:lineRule="auto" w:before="30" w:after="30"/>
              <w:jc w:val="center"/>
            </w:pPr>
          </w:p>
        </w:tc>
        <w:tc>
          <w:tcPr>
            <w:tcW w:type="dxa" w:w="1021"/>
          </w:tcPr>
          <w:p>
            <w:pPr>
              <w:pStyle w:val="MDPI42tablebody"/>
              <w:keepNext/>
              <w:spacing w:line="240" w:lineRule="auto" w:before="30" w:after="30"/>
              <w:jc w:val="center"/>
            </w:pPr>
          </w:p>
        </w:tc>
        <w:tc>
          <w:tcPr>
            <w:tcW w:type="dxa" w:w="1021"/>
          </w:tcPr>
          <w:p>
            <w:pPr>
              <w:pStyle w:val="MDPI42tablebody"/>
              <w:keepNext/>
              <w:spacing w:line="240" w:lineRule="auto" w:before="30" w:after="30"/>
              <w:jc w:val="center"/>
            </w:pPr>
          </w:p>
        </w:tc>
        <w:tc>
          <w:tcPr>
            <w:tcW w:type="dxa" w:w="1178"/>
          </w:tcPr>
          <w:p>
            <w:pPr>
              <w:pStyle w:val="MDPI42tablebody"/>
              <w:keepNext/>
              <w:spacing w:line="240" w:lineRule="auto" w:before="30" w:after="30"/>
              <w:jc w:val="center"/>
            </w:pPr>
          </w:p>
        </w:tc>
      </w:tr>
      <w:tr>
        <w:trPr>
          <w:cantSplit/>
        </w:trPr>
        <w:tc>
          <w:tcPr>
            <w:tcW w:type="dxa" w:w="3457"/>
          </w:tcPr>
          <w:p>
            <w:pPr>
              <w:pStyle w:val="MDPI42tablebody"/>
              <w:keepNext/>
              <w:spacing w:line="240" w:lineRule="auto" w:before="30" w:after="30"/>
              <w:jc w:val="left"/>
            </w:pPr>
            <w:r>
              <w:rPr>
                <w:b w:val="0"/>
                <w:i w:val="0"/>
                <w:sz w:val="18"/>
              </w:rPr>
              <w:t>sup1</w:t>
            </w:r>
          </w:p>
        </w:tc>
        <w:tc>
          <w:tcPr>
            <w:tcW w:type="dxa" w:w="1178"/>
          </w:tcPr>
          <w:p>
            <w:pPr>
              <w:pStyle w:val="MDPI42tablebody"/>
              <w:keepNext/>
              <w:spacing w:line="240" w:lineRule="auto" w:before="30" w:after="30"/>
              <w:jc w:val="center"/>
            </w:pPr>
            <w:r>
              <w:rPr>
                <w:b w:val="0"/>
                <w:i w:val="0"/>
                <w:sz w:val="18"/>
              </w:rPr>
              <w:t>0.787</w:t>
            </w:r>
          </w:p>
        </w:tc>
        <w:tc>
          <w:tcPr>
            <w:tcW w:type="dxa" w:w="1021"/>
          </w:tcPr>
          <w:p>
            <w:pPr>
              <w:pStyle w:val="MDPI42tablebody"/>
              <w:keepNext/>
              <w:spacing w:line="240" w:lineRule="auto" w:before="30" w:after="30"/>
              <w:jc w:val="center"/>
            </w:pPr>
            <w:r>
              <w:rPr>
                <w:b w:val="0"/>
                <w:i w:val="0"/>
                <w:sz w:val="18"/>
              </w:rPr>
              <w:t>0.855</w:t>
            </w:r>
          </w:p>
        </w:tc>
        <w:tc>
          <w:tcPr>
            <w:tcW w:type="dxa" w:w="1021"/>
          </w:tcPr>
          <w:p>
            <w:pPr>
              <w:pStyle w:val="MDPI42tablebody"/>
              <w:keepNext/>
              <w:spacing w:line="240" w:lineRule="auto" w:before="30" w:after="30"/>
              <w:jc w:val="center"/>
            </w:pPr>
            <w:r>
              <w:rPr>
                <w:b w:val="0"/>
                <w:i w:val="0"/>
                <w:sz w:val="18"/>
              </w:rPr>
              <w:t>0.856</w:t>
            </w:r>
          </w:p>
        </w:tc>
        <w:tc>
          <w:tcPr>
            <w:tcW w:type="dxa" w:w="1178"/>
          </w:tcPr>
          <w:p>
            <w:pPr>
              <w:pStyle w:val="MDPI42tablebody"/>
              <w:keepNext/>
              <w:spacing w:line="240" w:lineRule="auto" w:before="30" w:after="30"/>
              <w:jc w:val="center"/>
            </w:pPr>
            <w:r>
              <w:rPr>
                <w:b w:val="0"/>
                <w:i w:val="0"/>
                <w:sz w:val="18"/>
              </w:rPr>
              <w:t>0.597</w:t>
            </w:r>
          </w:p>
        </w:tc>
      </w:tr>
      <w:tr>
        <w:trPr>
          <w:cantSplit/>
        </w:trPr>
        <w:tc>
          <w:tcPr>
            <w:tcW w:type="dxa" w:w="3457"/>
          </w:tcPr>
          <w:p>
            <w:pPr>
              <w:pStyle w:val="MDPI42tablebody"/>
              <w:keepNext/>
              <w:spacing w:line="240" w:lineRule="auto" w:before="30" w:after="30"/>
              <w:jc w:val="left"/>
            </w:pPr>
            <w:r>
              <w:rPr>
                <w:b w:val="0"/>
                <w:i w:val="0"/>
                <w:sz w:val="18"/>
              </w:rPr>
              <w:t>sup2</w:t>
            </w:r>
          </w:p>
        </w:tc>
        <w:tc>
          <w:tcPr>
            <w:tcW w:type="dxa" w:w="1178"/>
          </w:tcPr>
          <w:p>
            <w:pPr>
              <w:pStyle w:val="MDPI42tablebody"/>
              <w:keepNext/>
              <w:spacing w:line="240" w:lineRule="auto" w:before="30" w:after="30"/>
              <w:jc w:val="center"/>
            </w:pPr>
            <w:r>
              <w:rPr>
                <w:b w:val="0"/>
                <w:i w:val="0"/>
                <w:sz w:val="18"/>
              </w:rPr>
              <w:t>0.767</w:t>
            </w:r>
          </w:p>
        </w:tc>
        <w:tc>
          <w:tcPr>
            <w:tcW w:type="dxa" w:w="1021"/>
          </w:tcPr>
          <w:p>
            <w:pPr>
              <w:pStyle w:val="MDPI42tablebody"/>
              <w:keepNext/>
              <w:spacing w:line="240" w:lineRule="auto" w:before="30" w:after="30"/>
              <w:jc w:val="center"/>
            </w:pPr>
          </w:p>
        </w:tc>
        <w:tc>
          <w:tcPr>
            <w:tcW w:type="dxa" w:w="1021"/>
          </w:tcPr>
          <w:p>
            <w:pPr>
              <w:pStyle w:val="MDPI42tablebody"/>
              <w:keepNext/>
              <w:spacing w:line="240" w:lineRule="auto" w:before="30" w:after="30"/>
              <w:jc w:val="center"/>
            </w:pPr>
          </w:p>
        </w:tc>
        <w:tc>
          <w:tcPr>
            <w:tcW w:type="dxa" w:w="1178"/>
          </w:tcPr>
          <w:p>
            <w:pPr>
              <w:pStyle w:val="MDPI42tablebody"/>
              <w:keepNext/>
              <w:spacing w:line="240" w:lineRule="auto" w:before="30" w:after="30"/>
              <w:jc w:val="center"/>
            </w:pPr>
          </w:p>
        </w:tc>
      </w:tr>
      <w:tr>
        <w:trPr>
          <w:cantSplit/>
        </w:trPr>
        <w:tc>
          <w:tcPr>
            <w:tcW w:type="dxa" w:w="3457"/>
          </w:tcPr>
          <w:p>
            <w:pPr>
              <w:pStyle w:val="MDPI42tablebody"/>
              <w:keepNext/>
              <w:spacing w:line="240" w:lineRule="auto" w:before="30" w:after="30"/>
              <w:jc w:val="left"/>
            </w:pPr>
            <w:r>
              <w:rPr>
                <w:b w:val="0"/>
                <w:i w:val="0"/>
                <w:sz w:val="18"/>
              </w:rPr>
              <w:t>sup3</w:t>
            </w:r>
          </w:p>
        </w:tc>
        <w:tc>
          <w:tcPr>
            <w:tcW w:type="dxa" w:w="1178"/>
          </w:tcPr>
          <w:p>
            <w:pPr>
              <w:pStyle w:val="MDPI42tablebody"/>
              <w:keepNext/>
              <w:spacing w:line="240" w:lineRule="auto" w:before="30" w:after="30"/>
              <w:jc w:val="center"/>
            </w:pPr>
            <w:r>
              <w:rPr>
                <w:b w:val="0"/>
                <w:i w:val="0"/>
                <w:sz w:val="18"/>
              </w:rPr>
              <w:t>0.767</w:t>
            </w:r>
          </w:p>
        </w:tc>
        <w:tc>
          <w:tcPr>
            <w:tcW w:type="dxa" w:w="1021"/>
          </w:tcPr>
          <w:p>
            <w:pPr>
              <w:pStyle w:val="MDPI42tablebody"/>
              <w:keepNext/>
              <w:spacing w:line="240" w:lineRule="auto" w:before="30" w:after="30"/>
              <w:jc w:val="center"/>
            </w:pPr>
          </w:p>
        </w:tc>
        <w:tc>
          <w:tcPr>
            <w:tcW w:type="dxa" w:w="1021"/>
          </w:tcPr>
          <w:p>
            <w:pPr>
              <w:pStyle w:val="MDPI42tablebody"/>
              <w:keepNext/>
              <w:spacing w:line="240" w:lineRule="auto" w:before="30" w:after="30"/>
              <w:jc w:val="center"/>
            </w:pPr>
          </w:p>
        </w:tc>
        <w:tc>
          <w:tcPr>
            <w:tcW w:type="dxa" w:w="1178"/>
          </w:tcPr>
          <w:p>
            <w:pPr>
              <w:pStyle w:val="MDPI42tablebody"/>
              <w:keepNext/>
              <w:spacing w:line="240" w:lineRule="auto" w:before="30" w:after="30"/>
              <w:jc w:val="center"/>
            </w:pPr>
          </w:p>
        </w:tc>
      </w:tr>
      <w:tr>
        <w:trPr>
          <w:cantSplit/>
        </w:trPr>
        <w:tc>
          <w:tcPr>
            <w:tcW w:type="dxa" w:w="3457"/>
          </w:tcPr>
          <w:p>
            <w:pPr>
              <w:pStyle w:val="MDPI42tablebody"/>
              <w:keepNext/>
              <w:spacing w:line="240" w:lineRule="auto" w:before="30" w:after="30"/>
              <w:jc w:val="left"/>
            </w:pPr>
            <w:r>
              <w:rPr>
                <w:b w:val="0"/>
                <w:i w:val="0"/>
                <w:sz w:val="18"/>
              </w:rPr>
              <w:t>sup4</w:t>
            </w:r>
          </w:p>
        </w:tc>
        <w:tc>
          <w:tcPr>
            <w:tcW w:type="dxa" w:w="1178"/>
          </w:tcPr>
          <w:p>
            <w:pPr>
              <w:pStyle w:val="MDPI42tablebody"/>
              <w:keepNext/>
              <w:spacing w:line="240" w:lineRule="auto" w:before="30" w:after="30"/>
              <w:jc w:val="center"/>
            </w:pPr>
            <w:r>
              <w:rPr>
                <w:b w:val="0"/>
                <w:i w:val="0"/>
                <w:sz w:val="18"/>
              </w:rPr>
              <w:t>0.770</w:t>
            </w:r>
          </w:p>
        </w:tc>
        <w:tc>
          <w:tcPr>
            <w:tcW w:type="dxa" w:w="1021"/>
          </w:tcPr>
          <w:p>
            <w:pPr>
              <w:pStyle w:val="MDPI42tablebody"/>
              <w:keepNext/>
              <w:spacing w:line="240" w:lineRule="auto" w:before="30" w:after="30"/>
              <w:jc w:val="center"/>
            </w:pPr>
          </w:p>
        </w:tc>
        <w:tc>
          <w:tcPr>
            <w:tcW w:type="dxa" w:w="1021"/>
          </w:tcPr>
          <w:p>
            <w:pPr>
              <w:pStyle w:val="MDPI42tablebody"/>
              <w:keepNext/>
              <w:spacing w:line="240" w:lineRule="auto" w:before="30" w:after="30"/>
              <w:jc w:val="center"/>
            </w:pPr>
          </w:p>
        </w:tc>
        <w:tc>
          <w:tcPr>
            <w:tcW w:type="dxa" w:w="1178"/>
          </w:tcPr>
          <w:p>
            <w:pPr>
              <w:pStyle w:val="MDPI42tablebody"/>
              <w:keepNext/>
              <w:spacing w:line="240" w:lineRule="auto" w:before="30" w:after="30"/>
              <w:jc w:val="center"/>
            </w:pPr>
          </w:p>
        </w:tc>
      </w:tr>
      <w:tr>
        <w:trPr>
          <w:cantSplit/>
        </w:trPr>
        <w:tc>
          <w:tcPr>
            <w:tcW w:type="dxa" w:w="3457"/>
          </w:tcPr>
          <w:p>
            <w:pPr>
              <w:pStyle w:val="MDPI42tablebody"/>
              <w:keepNext/>
              <w:spacing w:line="240" w:lineRule="auto" w:before="30" w:after="30"/>
              <w:jc w:val="left"/>
            </w:pPr>
            <w:r>
              <w:rPr>
                <w:b w:val="0"/>
                <w:i w:val="0"/>
                <w:sz w:val="18"/>
              </w:rPr>
              <w:t>Occupational adaptation (ADP)</w:t>
            </w:r>
          </w:p>
        </w:tc>
        <w:tc>
          <w:tcPr>
            <w:tcW w:type="dxa" w:w="1178"/>
          </w:tcPr>
          <w:p>
            <w:pPr>
              <w:pStyle w:val="MDPI42tablebody"/>
              <w:keepNext/>
              <w:spacing w:line="240" w:lineRule="auto" w:before="30" w:after="30"/>
              <w:jc w:val="center"/>
            </w:pPr>
          </w:p>
        </w:tc>
        <w:tc>
          <w:tcPr>
            <w:tcW w:type="dxa" w:w="1021"/>
          </w:tcPr>
          <w:p>
            <w:pPr>
              <w:pStyle w:val="MDPI42tablebody"/>
              <w:keepNext/>
              <w:spacing w:line="240" w:lineRule="auto" w:before="30" w:after="30"/>
              <w:jc w:val="center"/>
            </w:pPr>
          </w:p>
        </w:tc>
        <w:tc>
          <w:tcPr>
            <w:tcW w:type="dxa" w:w="1021"/>
          </w:tcPr>
          <w:p>
            <w:pPr>
              <w:pStyle w:val="MDPI42tablebody"/>
              <w:keepNext/>
              <w:spacing w:line="240" w:lineRule="auto" w:before="30" w:after="30"/>
              <w:jc w:val="center"/>
            </w:pPr>
          </w:p>
        </w:tc>
        <w:tc>
          <w:tcPr>
            <w:tcW w:type="dxa" w:w="1178"/>
          </w:tcPr>
          <w:p>
            <w:pPr>
              <w:pStyle w:val="MDPI42tablebody"/>
              <w:keepNext/>
              <w:spacing w:line="240" w:lineRule="auto" w:before="30" w:after="30"/>
              <w:jc w:val="center"/>
            </w:pPr>
          </w:p>
        </w:tc>
      </w:tr>
      <w:tr>
        <w:trPr>
          <w:cantSplit/>
        </w:trPr>
        <w:tc>
          <w:tcPr>
            <w:tcW w:type="dxa" w:w="3457"/>
          </w:tcPr>
          <w:p>
            <w:pPr>
              <w:pStyle w:val="MDPI42tablebody"/>
              <w:keepNext/>
              <w:spacing w:line="240" w:lineRule="auto" w:before="30" w:after="30"/>
              <w:jc w:val="left"/>
            </w:pPr>
            <w:r>
              <w:rPr>
                <w:b w:val="0"/>
                <w:i w:val="0"/>
                <w:sz w:val="18"/>
              </w:rPr>
              <w:t>adp1</w:t>
            </w:r>
          </w:p>
        </w:tc>
        <w:tc>
          <w:tcPr>
            <w:tcW w:type="dxa" w:w="1178"/>
          </w:tcPr>
          <w:p>
            <w:pPr>
              <w:pStyle w:val="MDPI42tablebody"/>
              <w:keepNext/>
              <w:spacing w:line="240" w:lineRule="auto" w:before="30" w:after="30"/>
              <w:jc w:val="center"/>
            </w:pPr>
            <w:r>
              <w:rPr>
                <w:b w:val="0"/>
                <w:i w:val="0"/>
                <w:sz w:val="18"/>
              </w:rPr>
              <w:t>0.768</w:t>
            </w:r>
          </w:p>
        </w:tc>
        <w:tc>
          <w:tcPr>
            <w:tcW w:type="dxa" w:w="1021"/>
          </w:tcPr>
          <w:p>
            <w:pPr>
              <w:pStyle w:val="MDPI42tablebody"/>
              <w:keepNext/>
              <w:spacing w:line="240" w:lineRule="auto" w:before="30" w:after="30"/>
              <w:jc w:val="center"/>
            </w:pPr>
            <w:r>
              <w:rPr>
                <w:b w:val="0"/>
                <w:i w:val="0"/>
                <w:sz w:val="18"/>
              </w:rPr>
              <w:t>0.845</w:t>
            </w:r>
          </w:p>
        </w:tc>
        <w:tc>
          <w:tcPr>
            <w:tcW w:type="dxa" w:w="1021"/>
          </w:tcPr>
          <w:p>
            <w:pPr>
              <w:pStyle w:val="MDPI42tablebody"/>
              <w:keepNext/>
              <w:spacing w:line="240" w:lineRule="auto" w:before="30" w:after="30"/>
              <w:jc w:val="center"/>
            </w:pPr>
            <w:r>
              <w:rPr>
                <w:b w:val="0"/>
                <w:i w:val="0"/>
                <w:sz w:val="18"/>
              </w:rPr>
              <w:t>0.845</w:t>
            </w:r>
          </w:p>
        </w:tc>
        <w:tc>
          <w:tcPr>
            <w:tcW w:type="dxa" w:w="1178"/>
          </w:tcPr>
          <w:p>
            <w:pPr>
              <w:pStyle w:val="MDPI42tablebody"/>
              <w:keepNext/>
              <w:spacing w:line="240" w:lineRule="auto" w:before="30" w:after="30"/>
              <w:jc w:val="center"/>
            </w:pPr>
            <w:r>
              <w:rPr>
                <w:b w:val="0"/>
                <w:i w:val="0"/>
                <w:sz w:val="18"/>
              </w:rPr>
              <w:t>0.577</w:t>
            </w:r>
          </w:p>
        </w:tc>
      </w:tr>
      <w:tr>
        <w:trPr>
          <w:cantSplit/>
        </w:trPr>
        <w:tc>
          <w:tcPr>
            <w:tcW w:type="dxa" w:w="3457"/>
          </w:tcPr>
          <w:p>
            <w:pPr>
              <w:pStyle w:val="MDPI42tablebody"/>
              <w:keepNext/>
              <w:spacing w:line="240" w:lineRule="auto" w:before="30" w:after="30"/>
              <w:jc w:val="left"/>
            </w:pPr>
            <w:r>
              <w:rPr>
                <w:b w:val="0"/>
                <w:i w:val="0"/>
                <w:sz w:val="18"/>
              </w:rPr>
              <w:t>adp2</w:t>
            </w:r>
          </w:p>
        </w:tc>
        <w:tc>
          <w:tcPr>
            <w:tcW w:type="dxa" w:w="1178"/>
          </w:tcPr>
          <w:p>
            <w:pPr>
              <w:pStyle w:val="MDPI42tablebody"/>
              <w:keepNext/>
              <w:spacing w:line="240" w:lineRule="auto" w:before="30" w:after="30"/>
              <w:jc w:val="center"/>
            </w:pPr>
            <w:r>
              <w:rPr>
                <w:b w:val="0"/>
                <w:i w:val="0"/>
                <w:sz w:val="18"/>
              </w:rPr>
              <w:t>0.762</w:t>
            </w:r>
          </w:p>
        </w:tc>
        <w:tc>
          <w:tcPr>
            <w:tcW w:type="dxa" w:w="1021"/>
          </w:tcPr>
          <w:p>
            <w:pPr>
              <w:pStyle w:val="MDPI42tablebody"/>
              <w:keepNext/>
              <w:spacing w:line="240" w:lineRule="auto" w:before="30" w:after="30"/>
              <w:jc w:val="center"/>
            </w:pPr>
          </w:p>
        </w:tc>
        <w:tc>
          <w:tcPr>
            <w:tcW w:type="dxa" w:w="1021"/>
          </w:tcPr>
          <w:p>
            <w:pPr>
              <w:pStyle w:val="MDPI42tablebody"/>
              <w:keepNext/>
              <w:spacing w:line="240" w:lineRule="auto" w:before="30" w:after="30"/>
              <w:jc w:val="center"/>
            </w:pPr>
          </w:p>
        </w:tc>
        <w:tc>
          <w:tcPr>
            <w:tcW w:type="dxa" w:w="1178"/>
          </w:tcPr>
          <w:p>
            <w:pPr>
              <w:pStyle w:val="MDPI42tablebody"/>
              <w:keepNext/>
              <w:spacing w:line="240" w:lineRule="auto" w:before="30" w:after="30"/>
              <w:jc w:val="center"/>
            </w:pPr>
          </w:p>
        </w:tc>
      </w:tr>
      <w:tr>
        <w:trPr>
          <w:cantSplit/>
        </w:trPr>
        <w:tc>
          <w:tcPr>
            <w:tcW w:type="dxa" w:w="3457"/>
          </w:tcPr>
          <w:p>
            <w:pPr>
              <w:pStyle w:val="MDPI42tablebody"/>
              <w:keepNext/>
              <w:spacing w:line="240" w:lineRule="auto" w:before="30" w:after="30"/>
              <w:jc w:val="left"/>
            </w:pPr>
            <w:r>
              <w:rPr>
                <w:b w:val="0"/>
                <w:i w:val="0"/>
                <w:sz w:val="18"/>
              </w:rPr>
              <w:t>adp3</w:t>
            </w:r>
          </w:p>
        </w:tc>
        <w:tc>
          <w:tcPr>
            <w:tcW w:type="dxa" w:w="1178"/>
          </w:tcPr>
          <w:p>
            <w:pPr>
              <w:pStyle w:val="MDPI42tablebody"/>
              <w:keepNext/>
              <w:spacing w:line="240" w:lineRule="auto" w:before="30" w:after="30"/>
              <w:jc w:val="center"/>
            </w:pPr>
            <w:r>
              <w:rPr>
                <w:b w:val="0"/>
                <w:i w:val="0"/>
                <w:sz w:val="18"/>
              </w:rPr>
              <w:t>0.757</w:t>
            </w:r>
          </w:p>
        </w:tc>
        <w:tc>
          <w:tcPr>
            <w:tcW w:type="dxa" w:w="1021"/>
          </w:tcPr>
          <w:p>
            <w:pPr>
              <w:pStyle w:val="MDPI42tablebody"/>
              <w:keepNext/>
              <w:spacing w:line="240" w:lineRule="auto" w:before="30" w:after="30"/>
              <w:jc w:val="center"/>
            </w:pPr>
          </w:p>
        </w:tc>
        <w:tc>
          <w:tcPr>
            <w:tcW w:type="dxa" w:w="1021"/>
          </w:tcPr>
          <w:p>
            <w:pPr>
              <w:pStyle w:val="MDPI42tablebody"/>
              <w:keepNext/>
              <w:spacing w:line="240" w:lineRule="auto" w:before="30" w:after="30"/>
              <w:jc w:val="center"/>
            </w:pPr>
          </w:p>
        </w:tc>
        <w:tc>
          <w:tcPr>
            <w:tcW w:type="dxa" w:w="1178"/>
          </w:tcPr>
          <w:p>
            <w:pPr>
              <w:pStyle w:val="MDPI42tablebody"/>
              <w:keepNext/>
              <w:spacing w:line="240" w:lineRule="auto" w:before="30" w:after="30"/>
              <w:jc w:val="center"/>
            </w:pPr>
          </w:p>
        </w:tc>
      </w:tr>
      <w:tr>
        <w:trPr>
          <w:cantSplit/>
        </w:trPr>
        <w:tc>
          <w:tcPr>
            <w:tcW w:type="dxa" w:w="3457"/>
          </w:tcPr>
          <w:p>
            <w:pPr>
              <w:pStyle w:val="MDPI42tablebody"/>
              <w:keepNext/>
              <w:spacing w:line="240" w:lineRule="auto" w:before="30" w:after="30"/>
              <w:jc w:val="left"/>
            </w:pPr>
            <w:r>
              <w:rPr>
                <w:b w:val="0"/>
                <w:i w:val="0"/>
                <w:sz w:val="18"/>
              </w:rPr>
              <w:t>adp4</w:t>
            </w:r>
          </w:p>
        </w:tc>
        <w:tc>
          <w:tcPr>
            <w:tcW w:type="dxa" w:w="1178"/>
          </w:tcPr>
          <w:p>
            <w:pPr>
              <w:pStyle w:val="MDPI42tablebody"/>
              <w:keepNext/>
              <w:spacing w:line="240" w:lineRule="auto" w:before="30" w:after="30"/>
              <w:jc w:val="center"/>
            </w:pPr>
            <w:r>
              <w:rPr>
                <w:b w:val="0"/>
                <w:i w:val="0"/>
                <w:sz w:val="18"/>
              </w:rPr>
              <w:t>0.750</w:t>
            </w:r>
          </w:p>
        </w:tc>
        <w:tc>
          <w:tcPr>
            <w:tcW w:type="dxa" w:w="1021"/>
          </w:tcPr>
          <w:p>
            <w:pPr>
              <w:pStyle w:val="MDPI42tablebody"/>
              <w:keepNext/>
              <w:spacing w:line="240" w:lineRule="auto" w:before="30" w:after="30"/>
              <w:jc w:val="center"/>
            </w:pPr>
          </w:p>
        </w:tc>
        <w:tc>
          <w:tcPr>
            <w:tcW w:type="dxa" w:w="1021"/>
          </w:tcPr>
          <w:p>
            <w:pPr>
              <w:pStyle w:val="MDPI42tablebody"/>
              <w:keepNext/>
              <w:spacing w:line="240" w:lineRule="auto" w:before="30" w:after="30"/>
              <w:jc w:val="center"/>
            </w:pPr>
          </w:p>
        </w:tc>
        <w:tc>
          <w:tcPr>
            <w:tcW w:type="dxa" w:w="1178"/>
          </w:tcPr>
          <w:p>
            <w:pPr>
              <w:pStyle w:val="MDPI42tablebody"/>
              <w:keepNext/>
              <w:spacing w:line="240" w:lineRule="auto" w:before="30" w:after="30"/>
              <w:jc w:val="center"/>
            </w:pPr>
          </w:p>
        </w:tc>
      </w:tr>
      <w:tr>
        <w:trPr>
          <w:cantSplit/>
        </w:trPr>
        <w:tc>
          <w:tcPr>
            <w:tcW w:type="dxa" w:w="3457"/>
          </w:tcPr>
          <w:p>
            <w:pPr>
              <w:pStyle w:val="MDPI42tablebody"/>
              <w:keepNext/>
              <w:spacing w:line="240" w:lineRule="auto" w:before="30" w:after="30"/>
              <w:jc w:val="left"/>
            </w:pPr>
            <w:r>
              <w:rPr>
                <w:b w:val="0"/>
                <w:i w:val="0"/>
                <w:sz w:val="18"/>
              </w:rPr>
              <w:t>Career avoidance (AVD)</w:t>
            </w:r>
          </w:p>
        </w:tc>
        <w:tc>
          <w:tcPr>
            <w:tcW w:type="dxa" w:w="1178"/>
          </w:tcPr>
          <w:p>
            <w:pPr>
              <w:pStyle w:val="MDPI42tablebody"/>
              <w:keepNext/>
              <w:spacing w:line="240" w:lineRule="auto" w:before="30" w:after="30"/>
              <w:jc w:val="center"/>
            </w:pPr>
          </w:p>
        </w:tc>
        <w:tc>
          <w:tcPr>
            <w:tcW w:type="dxa" w:w="1021"/>
          </w:tcPr>
          <w:p>
            <w:pPr>
              <w:pStyle w:val="MDPI42tablebody"/>
              <w:keepNext/>
              <w:spacing w:line="240" w:lineRule="auto" w:before="30" w:after="30"/>
              <w:jc w:val="center"/>
            </w:pPr>
          </w:p>
        </w:tc>
        <w:tc>
          <w:tcPr>
            <w:tcW w:type="dxa" w:w="1021"/>
          </w:tcPr>
          <w:p>
            <w:pPr>
              <w:pStyle w:val="MDPI42tablebody"/>
              <w:keepNext/>
              <w:spacing w:line="240" w:lineRule="auto" w:before="30" w:after="30"/>
              <w:jc w:val="center"/>
            </w:pPr>
          </w:p>
        </w:tc>
        <w:tc>
          <w:tcPr>
            <w:tcW w:type="dxa" w:w="1178"/>
          </w:tcPr>
          <w:p>
            <w:pPr>
              <w:pStyle w:val="MDPI42tablebody"/>
              <w:keepNext/>
              <w:spacing w:line="240" w:lineRule="auto" w:before="30" w:after="30"/>
              <w:jc w:val="center"/>
            </w:pPr>
          </w:p>
        </w:tc>
      </w:tr>
      <w:tr>
        <w:trPr>
          <w:cantSplit/>
        </w:trPr>
        <w:tc>
          <w:tcPr>
            <w:tcW w:type="dxa" w:w="3457"/>
          </w:tcPr>
          <w:p>
            <w:pPr>
              <w:pStyle w:val="MDPI42tablebody"/>
              <w:keepNext/>
              <w:spacing w:line="240" w:lineRule="auto" w:before="30" w:after="30"/>
              <w:jc w:val="left"/>
            </w:pPr>
            <w:r>
              <w:rPr>
                <w:b w:val="0"/>
                <w:i w:val="0"/>
                <w:sz w:val="18"/>
              </w:rPr>
              <w:t>avd1</w:t>
            </w:r>
          </w:p>
        </w:tc>
        <w:tc>
          <w:tcPr>
            <w:tcW w:type="dxa" w:w="1178"/>
          </w:tcPr>
          <w:p>
            <w:pPr>
              <w:pStyle w:val="MDPI42tablebody"/>
              <w:keepNext/>
              <w:spacing w:line="240" w:lineRule="auto" w:before="30" w:after="30"/>
              <w:jc w:val="center"/>
            </w:pPr>
            <w:r>
              <w:rPr>
                <w:b w:val="0"/>
                <w:i w:val="0"/>
                <w:sz w:val="18"/>
              </w:rPr>
              <w:t>0.758</w:t>
            </w:r>
          </w:p>
        </w:tc>
        <w:tc>
          <w:tcPr>
            <w:tcW w:type="dxa" w:w="1021"/>
          </w:tcPr>
          <w:p>
            <w:pPr>
              <w:pStyle w:val="MDPI42tablebody"/>
              <w:keepNext/>
              <w:spacing w:line="240" w:lineRule="auto" w:before="30" w:after="30"/>
              <w:jc w:val="center"/>
            </w:pPr>
            <w:r>
              <w:rPr>
                <w:b w:val="0"/>
                <w:i w:val="0"/>
                <w:sz w:val="18"/>
              </w:rPr>
              <w:t>0.790</w:t>
            </w:r>
          </w:p>
        </w:tc>
        <w:tc>
          <w:tcPr>
            <w:tcW w:type="dxa" w:w="1021"/>
          </w:tcPr>
          <w:p>
            <w:pPr>
              <w:pStyle w:val="MDPI42tablebody"/>
              <w:keepNext/>
              <w:spacing w:line="240" w:lineRule="auto" w:before="30" w:after="30"/>
              <w:jc w:val="center"/>
            </w:pPr>
            <w:r>
              <w:rPr>
                <w:b w:val="0"/>
                <w:i w:val="0"/>
                <w:sz w:val="18"/>
              </w:rPr>
              <w:t>0.790</w:t>
            </w:r>
          </w:p>
        </w:tc>
        <w:tc>
          <w:tcPr>
            <w:tcW w:type="dxa" w:w="1178"/>
          </w:tcPr>
          <w:p>
            <w:pPr>
              <w:pStyle w:val="MDPI42tablebody"/>
              <w:keepNext/>
              <w:spacing w:line="240" w:lineRule="auto" w:before="30" w:after="30"/>
              <w:jc w:val="center"/>
            </w:pPr>
            <w:r>
              <w:rPr>
                <w:b w:val="0"/>
                <w:i w:val="0"/>
                <w:sz w:val="18"/>
              </w:rPr>
              <w:t>0.556</w:t>
            </w:r>
          </w:p>
        </w:tc>
      </w:tr>
      <w:tr>
        <w:trPr>
          <w:cantSplit/>
        </w:trPr>
        <w:tc>
          <w:tcPr>
            <w:tcW w:type="dxa" w:w="3457"/>
          </w:tcPr>
          <w:p>
            <w:pPr>
              <w:pStyle w:val="MDPI42tablebody"/>
              <w:keepNext/>
              <w:spacing w:line="240" w:lineRule="auto" w:before="30" w:after="30"/>
              <w:jc w:val="left"/>
            </w:pPr>
            <w:r>
              <w:rPr>
                <w:b w:val="0"/>
                <w:i w:val="0"/>
                <w:sz w:val="18"/>
              </w:rPr>
              <w:t>avd2</w:t>
            </w:r>
          </w:p>
        </w:tc>
        <w:tc>
          <w:tcPr>
            <w:tcW w:type="dxa" w:w="1178"/>
          </w:tcPr>
          <w:p>
            <w:pPr>
              <w:pStyle w:val="MDPI42tablebody"/>
              <w:keepNext/>
              <w:spacing w:line="240" w:lineRule="auto" w:before="30" w:after="30"/>
              <w:jc w:val="center"/>
            </w:pPr>
            <w:r>
              <w:rPr>
                <w:b w:val="0"/>
                <w:i w:val="0"/>
                <w:sz w:val="18"/>
              </w:rPr>
              <w:t>0.749</w:t>
            </w:r>
          </w:p>
        </w:tc>
        <w:tc>
          <w:tcPr>
            <w:tcW w:type="dxa" w:w="1021"/>
          </w:tcPr>
          <w:p>
            <w:pPr>
              <w:pStyle w:val="MDPI42tablebody"/>
              <w:keepNext/>
              <w:spacing w:line="240" w:lineRule="auto" w:before="30" w:after="30"/>
              <w:jc w:val="center"/>
            </w:pPr>
          </w:p>
        </w:tc>
        <w:tc>
          <w:tcPr>
            <w:tcW w:type="dxa" w:w="1021"/>
          </w:tcPr>
          <w:p>
            <w:pPr>
              <w:pStyle w:val="MDPI42tablebody"/>
              <w:keepNext/>
              <w:spacing w:line="240" w:lineRule="auto" w:before="30" w:after="30"/>
              <w:jc w:val="center"/>
            </w:pPr>
          </w:p>
        </w:tc>
        <w:tc>
          <w:tcPr>
            <w:tcW w:type="dxa" w:w="1178"/>
          </w:tcPr>
          <w:p>
            <w:pPr>
              <w:pStyle w:val="MDPI42tablebody"/>
              <w:keepNext/>
              <w:spacing w:line="240" w:lineRule="auto" w:before="30" w:after="30"/>
              <w:jc w:val="center"/>
            </w:pPr>
          </w:p>
        </w:tc>
      </w:tr>
      <w:tr>
        <w:trPr>
          <w:cantSplit/>
        </w:trPr>
        <w:tc>
          <w:tcPr>
            <w:tcW w:type="dxa" w:w="3457"/>
          </w:tcPr>
          <w:p>
            <w:pPr>
              <w:pStyle w:val="MDPI42tablebody"/>
              <w:keepNext/>
              <w:spacing w:line="240" w:lineRule="auto" w:before="30" w:after="30"/>
              <w:jc w:val="left"/>
            </w:pPr>
            <w:r>
              <w:rPr>
                <w:b w:val="0"/>
                <w:i w:val="0"/>
                <w:sz w:val="18"/>
              </w:rPr>
              <w:t>avd3</w:t>
            </w:r>
          </w:p>
        </w:tc>
        <w:tc>
          <w:tcPr>
            <w:tcW w:type="dxa" w:w="1178"/>
          </w:tcPr>
          <w:p>
            <w:pPr>
              <w:pStyle w:val="MDPI42tablebody"/>
              <w:keepNext/>
              <w:spacing w:line="240" w:lineRule="auto" w:before="30" w:after="30"/>
              <w:jc w:val="center"/>
            </w:pPr>
            <w:r>
              <w:rPr>
                <w:b w:val="0"/>
                <w:i w:val="0"/>
                <w:sz w:val="18"/>
              </w:rPr>
              <w:t>0.731</w:t>
            </w:r>
          </w:p>
        </w:tc>
        <w:tc>
          <w:tcPr>
            <w:tcW w:type="dxa" w:w="1021"/>
          </w:tcPr>
          <w:p>
            <w:pPr>
              <w:pStyle w:val="MDPI42tablebody"/>
              <w:keepNext/>
              <w:spacing w:line="240" w:lineRule="auto" w:before="30" w:after="30"/>
              <w:jc w:val="center"/>
            </w:pPr>
          </w:p>
        </w:tc>
        <w:tc>
          <w:tcPr>
            <w:tcW w:type="dxa" w:w="1021"/>
          </w:tcPr>
          <w:p>
            <w:pPr>
              <w:pStyle w:val="MDPI42tablebody"/>
              <w:keepNext/>
              <w:spacing w:line="240" w:lineRule="auto" w:before="30" w:after="30"/>
              <w:jc w:val="center"/>
            </w:pPr>
          </w:p>
        </w:tc>
        <w:tc>
          <w:tcPr>
            <w:tcW w:type="dxa" w:w="1178"/>
          </w:tcPr>
          <w:p>
            <w:pPr>
              <w:pStyle w:val="MDPI42tablebody"/>
              <w:keepNext/>
              <w:spacing w:line="240" w:lineRule="auto" w:before="30" w:after="30"/>
              <w:jc w:val="center"/>
            </w:pPr>
          </w:p>
        </w:tc>
      </w:tr>
    </w:tbl>
    <w:p>
      <w:pPr>
        <w:pStyle w:val="MDPI43tablefooter"/>
        <w:spacing w:line="240" w:lineRule="auto" w:before="40" w:after="200"/>
        <w:ind w:left="2608" w:firstLine="0"/>
      </w:pPr>
      <w:r>
        <w:rPr>
          <w:sz w:val="16"/>
        </w:rPr>
        <w:t xml:space="preserve">Note: </w:t>
      </w:r>
      <w:r>
        <w:rPr>
          <w:b w:val="0"/>
          <w:i w:val="0"/>
          <w:sz w:val="16"/>
        </w:rPr>
        <w:t>Loadings are standardized; α is Cronbach’s alpha. Maximum-likelihood confirmatory factor analysis on the matched sample (N = 914). Model fit: χ2(215) = 277.35, CFI = 0.994, TLI = 0.993, RMSEA = 0.018, SRMR = 0.022. CR is composite reliability; AVE is average variance extracted. All loadings are significant at the 1% level. Source: authors’ own calculations.</w:t>
      </w:r>
    </w:p>
    <w:p>
      <w:pPr>
        <w:pStyle w:val="MDPI31text"/>
      </w:pPr>
      <w:r>
        <w:rPr>
          <w:b w:val="0"/>
          <w:i w:val="0"/>
        </w:rPr>
        <w:t xml:space="preserve">Table 3 assesses discriminant validity from both directions. The square root of each construct’s average variance extracted (the smallest is 0.746) exceeds its largest latent correlation (the largest anywhere is 0.565), satisfying the Fornell–Larcker criterion, and the largest heterotrait–monotrait ratio is 0.566, well below the conservative 0.85 threshold </w:t>
      </w:r>
      <w:r>
        <w:t>[</w:t>
      </w:r>
      <w:r>
        <w:fldChar w:fldCharType="begin"/>
      </w:r>
      <w:r>
        <w:instrText xml:space="preserve"> REF _Ref_68 \h </w:instrText>
      </w:r>
      <w:r>
        <w:fldChar w:fldCharType="separate"/>
      </w:r>
      <w:r>
        <w:t>68</w:t>
      </w:r>
      <w:r>
        <w:fldChar w:fldCharType="end"/>
      </w:r>
      <w:r>
        <w:t>]</w:t>
      </w:r>
      <w:r>
        <w:rPr>
          <w:b w:val="0"/>
          <w:i w:val="0"/>
        </w:rPr>
        <w:t>. Discriminant validity is therefore established.</w:t>
      </w:r>
    </w:p>
    <w:p>
      <w:pPr>
        <w:pStyle w:val="MDPI41tablecaption"/>
        <w:keepNext/>
        <w:spacing w:after="60"/>
      </w:pPr>
      <w:r>
        <w:rPr>
          <w:b/>
          <w:sz w:val="18"/>
        </w:rPr>
        <w:t xml:space="preserve">Table 3. </w:t>
      </w:r>
      <w:r>
        <w:rPr>
          <w:b w:val="0"/>
          <w:i w:val="0"/>
          <w:sz w:val="18"/>
        </w:rPr>
        <w:t>Discriminant validity.</w:t>
      </w:r>
    </w:p>
    <w:tbl>
      <w:tblPr>
        <w:tblStyle w:val="MDPI41threelinetable"/>
        <w:tblW w:w="7858" w:type="dxa"/>
        <w:tblInd w:w="2608" w:type="dxa"/>
        <w:tblBorders>
          <w:top w:val="single" w:sz="8" w:space="0" w:color="auto"/>
          <w:left w:val="none" w:sz="0" w:space="0" w:color="auto"/>
          <w:bottom w:val="single" w:sz="8" w:space="0" w:color="auto"/>
          <w:right w:val="none" w:sz="0" w:space="0" w:color="auto"/>
          <w:insideH w:val="none" w:sz="0" w:space="0" w:color="auto"/>
          <w:insideV w:val="none" w:sz="0" w:space="0" w:color="auto"/>
        </w:tblBorders>
        <w:tblLayout w:type="fixed"/>
        <w:tblCellMar>
          <w:top w:w="0" w:type="dxa"/>
          <w:left w:w="57" w:type="dxa"/>
          <w:bottom w:w="0" w:type="dxa"/>
          <w:right w:w="57" w:type="dxa"/>
        </w:tblCellMar>
        <w:tblLook w:firstColumn="1" w:firstRow="1" w:lastColumn="0" w:lastRow="0" w:noHBand="0" w:noVBand="1" w:val="04A0"/>
      </w:tblPr>
      <w:tblGrid>
        <w:gridCol w:w="1257"/>
        <w:gridCol w:w="1100"/>
        <w:gridCol w:w="1100"/>
        <w:gridCol w:w="1100"/>
        <w:gridCol w:w="1100"/>
        <w:gridCol w:w="1100"/>
        <w:gridCol w:w="1100"/>
      </w:tblGrid>
      <w:tr>
        <w:trPr>
          <w:cantSplit/>
          <w:tblHeader/>
        </w:trPr>
        <w:tc>
          <w:tcPr>
            <w:tcW w:type="dxa" w:w="1257"/>
            <w:tcBorders>
              <w:bottom w:val="single" w:sz="8" w:space="0" w:color="auto"/>
            </w:tcBorders>
          </w:tcPr>
          <w:p>
            <w:pPr>
              <w:pStyle w:val="MDPI42tablebody"/>
              <w:keepNext/>
              <w:spacing w:line="240" w:lineRule="auto" w:before="30" w:after="30"/>
              <w:jc w:val="center"/>
            </w:pPr>
            <w:r>
              <w:rPr>
                <w:b/>
                <w:i w:val="0"/>
                <w:sz w:val="16"/>
              </w:rPr>
              <w:t>Construct</w:t>
            </w:r>
          </w:p>
        </w:tc>
        <w:tc>
          <w:tcPr>
            <w:tcW w:type="dxa" w:w="1100"/>
            <w:tcBorders>
              <w:bottom w:val="single" w:sz="8" w:space="0" w:color="auto"/>
            </w:tcBorders>
          </w:tcPr>
          <w:p>
            <w:pPr>
              <w:pStyle w:val="MDPI42tablebody"/>
              <w:keepNext/>
              <w:spacing w:line="240" w:lineRule="auto" w:before="30" w:after="30"/>
              <w:jc w:val="center"/>
            </w:pPr>
            <w:r>
              <w:rPr>
                <w:b/>
                <w:i w:val="0"/>
                <w:sz w:val="16"/>
              </w:rPr>
              <w:t>PHCD</w:t>
            </w:r>
          </w:p>
        </w:tc>
        <w:tc>
          <w:tcPr>
            <w:tcW w:type="dxa" w:w="1100"/>
            <w:tcBorders>
              <w:bottom w:val="single" w:sz="8" w:space="0" w:color="auto"/>
            </w:tcBorders>
          </w:tcPr>
          <w:p>
            <w:pPr>
              <w:pStyle w:val="MDPI42tablebody"/>
              <w:keepNext/>
              <w:spacing w:line="240" w:lineRule="auto" w:before="30" w:after="30"/>
              <w:jc w:val="center"/>
            </w:pPr>
            <w:r>
              <w:rPr>
                <w:b/>
                <w:i w:val="0"/>
                <w:sz w:val="16"/>
              </w:rPr>
              <w:t>ANX</w:t>
            </w:r>
          </w:p>
        </w:tc>
        <w:tc>
          <w:tcPr>
            <w:tcW w:type="dxa" w:w="1100"/>
            <w:tcBorders>
              <w:bottom w:val="single" w:sz="8" w:space="0" w:color="auto"/>
            </w:tcBorders>
          </w:tcPr>
          <w:p>
            <w:pPr>
              <w:pStyle w:val="MDPI42tablebody"/>
              <w:keepNext/>
              <w:spacing w:line="240" w:lineRule="auto" w:before="30" w:after="30"/>
              <w:jc w:val="center"/>
            </w:pPr>
            <w:r>
              <w:rPr>
                <w:b/>
                <w:i w:val="0"/>
                <w:sz w:val="16"/>
              </w:rPr>
              <w:t>LIT</w:t>
            </w:r>
          </w:p>
        </w:tc>
        <w:tc>
          <w:tcPr>
            <w:tcW w:type="dxa" w:w="1100"/>
            <w:tcBorders>
              <w:bottom w:val="single" w:sz="8" w:space="0" w:color="auto"/>
            </w:tcBorders>
          </w:tcPr>
          <w:p>
            <w:pPr>
              <w:pStyle w:val="MDPI42tablebody"/>
              <w:keepNext/>
              <w:spacing w:line="240" w:lineRule="auto" w:before="30" w:after="30"/>
              <w:jc w:val="center"/>
            </w:pPr>
            <w:r>
              <w:rPr>
                <w:b/>
                <w:i w:val="0"/>
                <w:sz w:val="16"/>
              </w:rPr>
              <w:t>SUP</w:t>
            </w:r>
          </w:p>
        </w:tc>
        <w:tc>
          <w:tcPr>
            <w:tcW w:type="dxa" w:w="1100"/>
            <w:tcBorders>
              <w:bottom w:val="single" w:sz="8" w:space="0" w:color="auto"/>
            </w:tcBorders>
          </w:tcPr>
          <w:p>
            <w:pPr>
              <w:pStyle w:val="MDPI42tablebody"/>
              <w:keepNext/>
              <w:spacing w:line="240" w:lineRule="auto" w:before="30" w:after="30"/>
              <w:jc w:val="center"/>
            </w:pPr>
            <w:r>
              <w:rPr>
                <w:b/>
                <w:i w:val="0"/>
                <w:sz w:val="16"/>
              </w:rPr>
              <w:t>ADP</w:t>
            </w:r>
          </w:p>
        </w:tc>
        <w:tc>
          <w:tcPr>
            <w:tcW w:type="dxa" w:w="1100"/>
            <w:tcBorders>
              <w:bottom w:val="single" w:sz="8" w:space="0" w:color="auto"/>
            </w:tcBorders>
          </w:tcPr>
          <w:p>
            <w:pPr>
              <w:pStyle w:val="MDPI42tablebody"/>
              <w:keepNext/>
              <w:spacing w:line="240" w:lineRule="auto" w:before="30" w:after="30"/>
              <w:jc w:val="center"/>
            </w:pPr>
            <w:r>
              <w:rPr>
                <w:b/>
                <w:i w:val="0"/>
                <w:sz w:val="16"/>
              </w:rPr>
              <w:t>AVD</w:t>
            </w:r>
          </w:p>
        </w:tc>
      </w:tr>
      <w:tr>
        <w:trPr>
          <w:cantSplit/>
        </w:trPr>
        <w:tc>
          <w:tcPr>
            <w:tcW w:type="dxa" w:w="1257"/>
          </w:tcPr>
          <w:p>
            <w:pPr>
              <w:pStyle w:val="MDPI42tablebody"/>
              <w:keepNext/>
              <w:spacing w:line="240" w:lineRule="auto" w:before="30" w:after="30"/>
              <w:jc w:val="left"/>
            </w:pPr>
            <w:r>
              <w:rPr>
                <w:b w:val="0"/>
                <w:i/>
                <w:sz w:val="16"/>
              </w:rPr>
              <w:t>PHCD</w:t>
            </w:r>
          </w:p>
        </w:tc>
        <w:tc>
          <w:tcPr>
            <w:tcW w:type="dxa" w:w="1100"/>
          </w:tcPr>
          <w:p>
            <w:pPr>
              <w:pStyle w:val="MDPI42tablebody"/>
              <w:keepNext/>
              <w:spacing w:line="240" w:lineRule="auto" w:before="30" w:after="30"/>
              <w:jc w:val="center"/>
            </w:pPr>
            <w:r>
              <w:rPr>
                <w:b w:val="0"/>
                <w:i w:val="0"/>
                <w:sz w:val="16"/>
              </w:rPr>
              <w:t>0.796</w:t>
            </w:r>
          </w:p>
        </w:tc>
        <w:tc>
          <w:tcPr>
            <w:tcW w:type="dxa" w:w="1100"/>
          </w:tcPr>
          <w:p>
            <w:pPr>
              <w:pStyle w:val="MDPI42tablebody"/>
              <w:keepNext/>
              <w:spacing w:line="240" w:lineRule="auto" w:before="30" w:after="30"/>
              <w:jc w:val="center"/>
            </w:pPr>
            <w:r>
              <w:rPr>
                <w:b w:val="0"/>
                <w:i w:val="0"/>
                <w:sz w:val="16"/>
              </w:rPr>
              <w:t>0.545</w:t>
            </w:r>
          </w:p>
        </w:tc>
        <w:tc>
          <w:tcPr>
            <w:tcW w:type="dxa" w:w="1100"/>
          </w:tcPr>
          <w:p>
            <w:pPr>
              <w:pStyle w:val="MDPI42tablebody"/>
              <w:keepNext/>
              <w:spacing w:line="240" w:lineRule="auto" w:before="30" w:after="30"/>
              <w:jc w:val="center"/>
            </w:pPr>
            <w:r>
              <w:rPr>
                <w:b w:val="0"/>
                <w:i w:val="0"/>
                <w:sz w:val="16"/>
              </w:rPr>
              <w:t>0.065</w:t>
            </w:r>
          </w:p>
        </w:tc>
        <w:tc>
          <w:tcPr>
            <w:tcW w:type="dxa" w:w="1100"/>
          </w:tcPr>
          <w:p>
            <w:pPr>
              <w:pStyle w:val="MDPI42tablebody"/>
              <w:keepNext/>
              <w:spacing w:line="240" w:lineRule="auto" w:before="30" w:after="30"/>
              <w:jc w:val="center"/>
            </w:pPr>
            <w:r>
              <w:rPr>
                <w:b w:val="0"/>
                <w:i w:val="0"/>
                <w:sz w:val="16"/>
              </w:rPr>
              <w:t>0.026</w:t>
            </w:r>
          </w:p>
        </w:tc>
        <w:tc>
          <w:tcPr>
            <w:tcW w:type="dxa" w:w="1100"/>
          </w:tcPr>
          <w:p>
            <w:pPr>
              <w:pStyle w:val="MDPI42tablebody"/>
              <w:keepNext/>
              <w:spacing w:line="240" w:lineRule="auto" w:before="30" w:after="30"/>
              <w:jc w:val="center"/>
            </w:pPr>
            <w:r>
              <w:rPr>
                <w:b w:val="0"/>
                <w:i w:val="0"/>
                <w:sz w:val="16"/>
              </w:rPr>
              <w:t>0.078</w:t>
            </w:r>
          </w:p>
        </w:tc>
        <w:tc>
          <w:tcPr>
            <w:tcW w:type="dxa" w:w="1100"/>
          </w:tcPr>
          <w:p>
            <w:pPr>
              <w:pStyle w:val="MDPI42tablebody"/>
              <w:keepNext/>
              <w:spacing w:line="240" w:lineRule="auto" w:before="30" w:after="30"/>
              <w:jc w:val="center"/>
            </w:pPr>
            <w:r>
              <w:rPr>
                <w:b w:val="0"/>
                <w:i w:val="0"/>
                <w:sz w:val="16"/>
              </w:rPr>
              <w:t>0.344</w:t>
            </w:r>
          </w:p>
        </w:tc>
      </w:tr>
      <w:tr>
        <w:trPr>
          <w:cantSplit/>
        </w:trPr>
        <w:tc>
          <w:tcPr>
            <w:tcW w:type="dxa" w:w="1257"/>
          </w:tcPr>
          <w:p>
            <w:pPr>
              <w:pStyle w:val="MDPI42tablebody"/>
              <w:keepNext/>
              <w:spacing w:line="240" w:lineRule="auto" w:before="30" w:after="30"/>
              <w:jc w:val="left"/>
            </w:pPr>
            <w:r>
              <w:rPr>
                <w:b w:val="0"/>
                <w:i/>
                <w:sz w:val="16"/>
              </w:rPr>
              <w:t>ANX</w:t>
            </w:r>
          </w:p>
        </w:tc>
        <w:tc>
          <w:tcPr>
            <w:tcW w:type="dxa" w:w="1100"/>
          </w:tcPr>
          <w:p>
            <w:pPr>
              <w:pStyle w:val="MDPI42tablebody"/>
              <w:keepNext/>
              <w:spacing w:line="240" w:lineRule="auto" w:before="30" w:after="30"/>
              <w:jc w:val="center"/>
            </w:pPr>
            <w:r>
              <w:rPr>
                <w:b w:val="0"/>
                <w:i w:val="0"/>
                <w:sz w:val="16"/>
              </w:rPr>
              <w:t>0.545</w:t>
            </w:r>
          </w:p>
        </w:tc>
        <w:tc>
          <w:tcPr>
            <w:tcW w:type="dxa" w:w="1100"/>
          </w:tcPr>
          <w:p>
            <w:pPr>
              <w:pStyle w:val="MDPI42tablebody"/>
              <w:keepNext/>
              <w:spacing w:line="240" w:lineRule="auto" w:before="30" w:after="30"/>
              <w:jc w:val="center"/>
            </w:pPr>
            <w:r>
              <w:rPr>
                <w:b w:val="0"/>
                <w:i w:val="0"/>
                <w:sz w:val="16"/>
              </w:rPr>
              <w:t>0.817</w:t>
            </w:r>
          </w:p>
        </w:tc>
        <w:tc>
          <w:tcPr>
            <w:tcW w:type="dxa" w:w="1100"/>
          </w:tcPr>
          <w:p>
            <w:pPr>
              <w:pStyle w:val="MDPI42tablebody"/>
              <w:keepNext/>
              <w:spacing w:line="240" w:lineRule="auto" w:before="30" w:after="30"/>
              <w:jc w:val="center"/>
            </w:pPr>
            <w:r>
              <w:rPr>
                <w:b w:val="0"/>
                <w:i w:val="0"/>
                <w:sz w:val="16"/>
              </w:rPr>
              <w:t>0.002</w:t>
            </w:r>
          </w:p>
        </w:tc>
        <w:tc>
          <w:tcPr>
            <w:tcW w:type="dxa" w:w="1100"/>
          </w:tcPr>
          <w:p>
            <w:pPr>
              <w:pStyle w:val="MDPI42tablebody"/>
              <w:keepNext/>
              <w:spacing w:line="240" w:lineRule="auto" w:before="30" w:after="30"/>
              <w:jc w:val="center"/>
            </w:pPr>
            <w:r>
              <w:rPr>
                <w:b w:val="0"/>
                <w:i w:val="0"/>
                <w:sz w:val="16"/>
              </w:rPr>
              <w:t>0.189</w:t>
            </w:r>
          </w:p>
        </w:tc>
        <w:tc>
          <w:tcPr>
            <w:tcW w:type="dxa" w:w="1100"/>
          </w:tcPr>
          <w:p>
            <w:pPr>
              <w:pStyle w:val="MDPI42tablebody"/>
              <w:keepNext/>
              <w:spacing w:line="240" w:lineRule="auto" w:before="30" w:after="30"/>
              <w:jc w:val="center"/>
            </w:pPr>
            <w:r>
              <w:rPr>
                <w:b w:val="0"/>
                <w:i w:val="0"/>
                <w:sz w:val="16"/>
              </w:rPr>
              <w:t>0.166</w:t>
            </w:r>
          </w:p>
        </w:tc>
        <w:tc>
          <w:tcPr>
            <w:tcW w:type="dxa" w:w="1100"/>
          </w:tcPr>
          <w:p>
            <w:pPr>
              <w:pStyle w:val="MDPI42tablebody"/>
              <w:keepNext/>
              <w:spacing w:line="240" w:lineRule="auto" w:before="30" w:after="30"/>
              <w:jc w:val="center"/>
            </w:pPr>
            <w:r>
              <w:rPr>
                <w:b w:val="0"/>
                <w:i w:val="0"/>
                <w:sz w:val="16"/>
              </w:rPr>
              <w:t>0.566</w:t>
            </w:r>
          </w:p>
        </w:tc>
      </w:tr>
      <w:tr>
        <w:trPr>
          <w:cantSplit/>
        </w:trPr>
        <w:tc>
          <w:tcPr>
            <w:tcW w:type="dxa" w:w="1257"/>
          </w:tcPr>
          <w:p>
            <w:pPr>
              <w:pStyle w:val="MDPI42tablebody"/>
              <w:keepNext/>
              <w:spacing w:line="240" w:lineRule="auto" w:before="30" w:after="30"/>
              <w:jc w:val="left"/>
            </w:pPr>
            <w:r>
              <w:rPr>
                <w:b w:val="0"/>
                <w:i/>
                <w:sz w:val="16"/>
              </w:rPr>
              <w:t>LIT</w:t>
            </w:r>
          </w:p>
        </w:tc>
        <w:tc>
          <w:tcPr>
            <w:tcW w:type="dxa" w:w="1100"/>
          </w:tcPr>
          <w:p>
            <w:pPr>
              <w:pStyle w:val="MDPI42tablebody"/>
              <w:keepNext/>
              <w:spacing w:line="240" w:lineRule="auto" w:before="30" w:after="30"/>
              <w:jc w:val="center"/>
            </w:pPr>
            <w:r>
              <w:rPr>
                <w:b w:val="0"/>
                <w:i w:val="0"/>
                <w:sz w:val="16"/>
              </w:rPr>
              <w:t>−0.064</w:t>
            </w:r>
          </w:p>
        </w:tc>
        <w:tc>
          <w:tcPr>
            <w:tcW w:type="dxa" w:w="1100"/>
          </w:tcPr>
          <w:p>
            <w:pPr>
              <w:pStyle w:val="MDPI42tablebody"/>
              <w:keepNext/>
              <w:spacing w:line="240" w:lineRule="auto" w:before="30" w:after="30"/>
              <w:jc w:val="center"/>
            </w:pPr>
            <w:r>
              <w:rPr>
                <w:b w:val="0"/>
                <w:i w:val="0"/>
                <w:sz w:val="16"/>
              </w:rPr>
              <w:t>−0.002</w:t>
            </w:r>
          </w:p>
        </w:tc>
        <w:tc>
          <w:tcPr>
            <w:tcW w:type="dxa" w:w="1100"/>
          </w:tcPr>
          <w:p>
            <w:pPr>
              <w:pStyle w:val="MDPI42tablebody"/>
              <w:keepNext/>
              <w:spacing w:line="240" w:lineRule="auto" w:before="30" w:after="30"/>
              <w:jc w:val="center"/>
            </w:pPr>
            <w:r>
              <w:rPr>
                <w:b w:val="0"/>
                <w:i w:val="0"/>
                <w:sz w:val="16"/>
              </w:rPr>
              <w:t>0.785</w:t>
            </w:r>
          </w:p>
        </w:tc>
        <w:tc>
          <w:tcPr>
            <w:tcW w:type="dxa" w:w="1100"/>
          </w:tcPr>
          <w:p>
            <w:pPr>
              <w:pStyle w:val="MDPI42tablebody"/>
              <w:keepNext/>
              <w:spacing w:line="240" w:lineRule="auto" w:before="30" w:after="30"/>
              <w:jc w:val="center"/>
            </w:pPr>
            <w:r>
              <w:rPr>
                <w:b w:val="0"/>
                <w:i w:val="0"/>
                <w:sz w:val="16"/>
              </w:rPr>
              <w:t>0.005</w:t>
            </w:r>
          </w:p>
        </w:tc>
        <w:tc>
          <w:tcPr>
            <w:tcW w:type="dxa" w:w="1100"/>
          </w:tcPr>
          <w:p>
            <w:pPr>
              <w:pStyle w:val="MDPI42tablebody"/>
              <w:keepNext/>
              <w:spacing w:line="240" w:lineRule="auto" w:before="30" w:after="30"/>
              <w:jc w:val="center"/>
            </w:pPr>
            <w:r>
              <w:rPr>
                <w:b w:val="0"/>
                <w:i w:val="0"/>
                <w:sz w:val="16"/>
              </w:rPr>
              <w:t>0.327</w:t>
            </w:r>
          </w:p>
        </w:tc>
        <w:tc>
          <w:tcPr>
            <w:tcW w:type="dxa" w:w="1100"/>
          </w:tcPr>
          <w:p>
            <w:pPr>
              <w:pStyle w:val="MDPI42tablebody"/>
              <w:keepNext/>
              <w:spacing w:line="240" w:lineRule="auto" w:before="30" w:after="30"/>
              <w:jc w:val="center"/>
            </w:pPr>
            <w:r>
              <w:rPr>
                <w:b w:val="0"/>
                <w:i w:val="0"/>
                <w:sz w:val="16"/>
              </w:rPr>
              <w:t>0.168</w:t>
            </w:r>
          </w:p>
        </w:tc>
      </w:tr>
      <w:tr>
        <w:trPr>
          <w:cantSplit/>
        </w:trPr>
        <w:tc>
          <w:tcPr>
            <w:tcW w:type="dxa" w:w="1257"/>
          </w:tcPr>
          <w:p>
            <w:pPr>
              <w:pStyle w:val="MDPI42tablebody"/>
              <w:keepNext/>
              <w:spacing w:line="240" w:lineRule="auto" w:before="30" w:after="30"/>
              <w:jc w:val="left"/>
            </w:pPr>
            <w:r>
              <w:rPr>
                <w:b w:val="0"/>
                <w:i/>
                <w:sz w:val="16"/>
              </w:rPr>
              <w:t>SUP</w:t>
            </w:r>
          </w:p>
        </w:tc>
        <w:tc>
          <w:tcPr>
            <w:tcW w:type="dxa" w:w="1100"/>
          </w:tcPr>
          <w:p>
            <w:pPr>
              <w:pStyle w:val="MDPI42tablebody"/>
              <w:keepNext/>
              <w:spacing w:line="240" w:lineRule="auto" w:before="30" w:after="30"/>
              <w:jc w:val="center"/>
            </w:pPr>
            <w:r>
              <w:rPr>
                <w:b w:val="0"/>
                <w:i w:val="0"/>
                <w:sz w:val="16"/>
              </w:rPr>
              <w:t>0.026</w:t>
            </w:r>
          </w:p>
        </w:tc>
        <w:tc>
          <w:tcPr>
            <w:tcW w:type="dxa" w:w="1100"/>
          </w:tcPr>
          <w:p>
            <w:pPr>
              <w:pStyle w:val="MDPI42tablebody"/>
              <w:keepNext/>
              <w:spacing w:line="240" w:lineRule="auto" w:before="30" w:after="30"/>
              <w:jc w:val="center"/>
            </w:pPr>
            <w:r>
              <w:rPr>
                <w:b w:val="0"/>
                <w:i w:val="0"/>
                <w:sz w:val="16"/>
              </w:rPr>
              <w:t>−0.190</w:t>
            </w:r>
          </w:p>
        </w:tc>
        <w:tc>
          <w:tcPr>
            <w:tcW w:type="dxa" w:w="1100"/>
          </w:tcPr>
          <w:p>
            <w:pPr>
              <w:pStyle w:val="MDPI42tablebody"/>
              <w:keepNext/>
              <w:spacing w:line="240" w:lineRule="auto" w:before="30" w:after="30"/>
              <w:jc w:val="center"/>
            </w:pPr>
            <w:r>
              <w:rPr>
                <w:b w:val="0"/>
                <w:i w:val="0"/>
                <w:sz w:val="16"/>
              </w:rPr>
              <w:t>0.004</w:t>
            </w:r>
          </w:p>
        </w:tc>
        <w:tc>
          <w:tcPr>
            <w:tcW w:type="dxa" w:w="1100"/>
          </w:tcPr>
          <w:p>
            <w:pPr>
              <w:pStyle w:val="MDPI42tablebody"/>
              <w:keepNext/>
              <w:spacing w:line="240" w:lineRule="auto" w:before="30" w:after="30"/>
              <w:jc w:val="center"/>
            </w:pPr>
            <w:r>
              <w:rPr>
                <w:b w:val="0"/>
                <w:i w:val="0"/>
                <w:sz w:val="16"/>
              </w:rPr>
              <w:t>0.773</w:t>
            </w:r>
          </w:p>
        </w:tc>
        <w:tc>
          <w:tcPr>
            <w:tcW w:type="dxa" w:w="1100"/>
          </w:tcPr>
          <w:p>
            <w:pPr>
              <w:pStyle w:val="MDPI42tablebody"/>
              <w:keepNext/>
              <w:spacing w:line="240" w:lineRule="auto" w:before="30" w:after="30"/>
              <w:jc w:val="center"/>
            </w:pPr>
            <w:r>
              <w:rPr>
                <w:b w:val="0"/>
                <w:i w:val="0"/>
                <w:sz w:val="16"/>
              </w:rPr>
              <w:t>0.211</w:t>
            </w:r>
          </w:p>
        </w:tc>
        <w:tc>
          <w:tcPr>
            <w:tcW w:type="dxa" w:w="1100"/>
          </w:tcPr>
          <w:p>
            <w:pPr>
              <w:pStyle w:val="MDPI42tablebody"/>
              <w:keepNext/>
              <w:spacing w:line="240" w:lineRule="auto" w:before="30" w:after="30"/>
              <w:jc w:val="center"/>
            </w:pPr>
            <w:r>
              <w:rPr>
                <w:b w:val="0"/>
                <w:i w:val="0"/>
                <w:sz w:val="16"/>
              </w:rPr>
              <w:t>0.219</w:t>
            </w:r>
          </w:p>
        </w:tc>
      </w:tr>
      <w:tr>
        <w:trPr>
          <w:cantSplit/>
        </w:trPr>
        <w:tc>
          <w:tcPr>
            <w:tcW w:type="dxa" w:w="1257"/>
          </w:tcPr>
          <w:p>
            <w:pPr>
              <w:pStyle w:val="MDPI42tablebody"/>
              <w:keepNext/>
              <w:spacing w:line="240" w:lineRule="auto" w:before="30" w:after="30"/>
              <w:jc w:val="left"/>
            </w:pPr>
            <w:r>
              <w:rPr>
                <w:b w:val="0"/>
                <w:i/>
                <w:sz w:val="16"/>
              </w:rPr>
              <w:t>ADP</w:t>
            </w:r>
          </w:p>
        </w:tc>
        <w:tc>
          <w:tcPr>
            <w:tcW w:type="dxa" w:w="1100"/>
          </w:tcPr>
          <w:p>
            <w:pPr>
              <w:pStyle w:val="MDPI42tablebody"/>
              <w:keepNext/>
              <w:spacing w:line="240" w:lineRule="auto" w:before="30" w:after="30"/>
              <w:jc w:val="center"/>
            </w:pPr>
            <w:r>
              <w:rPr>
                <w:b w:val="0"/>
                <w:i w:val="0"/>
                <w:sz w:val="16"/>
              </w:rPr>
              <w:t>0.079</w:t>
            </w:r>
          </w:p>
        </w:tc>
        <w:tc>
          <w:tcPr>
            <w:tcW w:type="dxa" w:w="1100"/>
          </w:tcPr>
          <w:p>
            <w:pPr>
              <w:pStyle w:val="MDPI42tablebody"/>
              <w:keepNext/>
              <w:spacing w:line="240" w:lineRule="auto" w:before="30" w:after="30"/>
              <w:jc w:val="center"/>
            </w:pPr>
            <w:r>
              <w:rPr>
                <w:b w:val="0"/>
                <w:i w:val="0"/>
                <w:sz w:val="16"/>
              </w:rPr>
              <w:t>0.166</w:t>
            </w:r>
          </w:p>
        </w:tc>
        <w:tc>
          <w:tcPr>
            <w:tcW w:type="dxa" w:w="1100"/>
          </w:tcPr>
          <w:p>
            <w:pPr>
              <w:pStyle w:val="MDPI42tablebody"/>
              <w:keepNext/>
              <w:spacing w:line="240" w:lineRule="auto" w:before="30" w:after="30"/>
              <w:jc w:val="center"/>
            </w:pPr>
            <w:r>
              <w:rPr>
                <w:b w:val="0"/>
                <w:i w:val="0"/>
                <w:sz w:val="16"/>
              </w:rPr>
              <w:t>0.327</w:t>
            </w:r>
          </w:p>
        </w:tc>
        <w:tc>
          <w:tcPr>
            <w:tcW w:type="dxa" w:w="1100"/>
          </w:tcPr>
          <w:p>
            <w:pPr>
              <w:pStyle w:val="MDPI42tablebody"/>
              <w:keepNext/>
              <w:spacing w:line="240" w:lineRule="auto" w:before="30" w:after="30"/>
              <w:jc w:val="center"/>
            </w:pPr>
            <w:r>
              <w:rPr>
                <w:b w:val="0"/>
                <w:i w:val="0"/>
                <w:sz w:val="16"/>
              </w:rPr>
              <w:t>0.212</w:t>
            </w:r>
          </w:p>
        </w:tc>
        <w:tc>
          <w:tcPr>
            <w:tcW w:type="dxa" w:w="1100"/>
          </w:tcPr>
          <w:p>
            <w:pPr>
              <w:pStyle w:val="MDPI42tablebody"/>
              <w:keepNext/>
              <w:spacing w:line="240" w:lineRule="auto" w:before="30" w:after="30"/>
              <w:jc w:val="center"/>
            </w:pPr>
            <w:r>
              <w:rPr>
                <w:b w:val="0"/>
                <w:i w:val="0"/>
                <w:sz w:val="16"/>
              </w:rPr>
              <w:t>0.760</w:t>
            </w:r>
          </w:p>
        </w:tc>
        <w:tc>
          <w:tcPr>
            <w:tcW w:type="dxa" w:w="1100"/>
          </w:tcPr>
          <w:p>
            <w:pPr>
              <w:pStyle w:val="MDPI42tablebody"/>
              <w:keepNext/>
              <w:spacing w:line="240" w:lineRule="auto" w:before="30" w:after="30"/>
              <w:jc w:val="center"/>
            </w:pPr>
            <w:r>
              <w:rPr>
                <w:b w:val="0"/>
                <w:i w:val="0"/>
                <w:sz w:val="16"/>
              </w:rPr>
              <w:t>0.022</w:t>
            </w:r>
          </w:p>
        </w:tc>
      </w:tr>
      <w:tr>
        <w:trPr>
          <w:cantSplit/>
        </w:trPr>
        <w:tc>
          <w:tcPr>
            <w:tcW w:type="dxa" w:w="1257"/>
          </w:tcPr>
          <w:p>
            <w:pPr>
              <w:pStyle w:val="MDPI42tablebody"/>
              <w:keepNext/>
              <w:spacing w:line="240" w:lineRule="auto" w:before="30" w:after="30"/>
              <w:jc w:val="left"/>
            </w:pPr>
            <w:r>
              <w:rPr>
                <w:b w:val="0"/>
                <w:i/>
                <w:sz w:val="16"/>
              </w:rPr>
              <w:t>AVD</w:t>
            </w:r>
          </w:p>
        </w:tc>
        <w:tc>
          <w:tcPr>
            <w:tcW w:type="dxa" w:w="1100"/>
          </w:tcPr>
          <w:p>
            <w:pPr>
              <w:pStyle w:val="MDPI42tablebody"/>
              <w:keepNext/>
              <w:spacing w:line="240" w:lineRule="auto" w:before="30" w:after="30"/>
              <w:jc w:val="center"/>
            </w:pPr>
            <w:r>
              <w:rPr>
                <w:b w:val="0"/>
                <w:i w:val="0"/>
                <w:sz w:val="16"/>
              </w:rPr>
              <w:t>0.343</w:t>
            </w:r>
          </w:p>
        </w:tc>
        <w:tc>
          <w:tcPr>
            <w:tcW w:type="dxa" w:w="1100"/>
          </w:tcPr>
          <w:p>
            <w:pPr>
              <w:pStyle w:val="MDPI42tablebody"/>
              <w:keepNext/>
              <w:spacing w:line="240" w:lineRule="auto" w:before="30" w:after="30"/>
              <w:jc w:val="center"/>
            </w:pPr>
            <w:r>
              <w:rPr>
                <w:b w:val="0"/>
                <w:i w:val="0"/>
                <w:sz w:val="16"/>
              </w:rPr>
              <w:t>0.565</w:t>
            </w:r>
          </w:p>
        </w:tc>
        <w:tc>
          <w:tcPr>
            <w:tcW w:type="dxa" w:w="1100"/>
          </w:tcPr>
          <w:p>
            <w:pPr>
              <w:pStyle w:val="MDPI42tablebody"/>
              <w:keepNext/>
              <w:spacing w:line="240" w:lineRule="auto" w:before="30" w:after="30"/>
              <w:jc w:val="center"/>
            </w:pPr>
            <w:r>
              <w:rPr>
                <w:b w:val="0"/>
                <w:i w:val="0"/>
                <w:sz w:val="16"/>
              </w:rPr>
              <w:t>−0.167</w:t>
            </w:r>
          </w:p>
        </w:tc>
        <w:tc>
          <w:tcPr>
            <w:tcW w:type="dxa" w:w="1100"/>
          </w:tcPr>
          <w:p>
            <w:pPr>
              <w:pStyle w:val="MDPI42tablebody"/>
              <w:keepNext/>
              <w:spacing w:line="240" w:lineRule="auto" w:before="30" w:after="30"/>
              <w:jc w:val="center"/>
            </w:pPr>
            <w:r>
              <w:rPr>
                <w:b w:val="0"/>
                <w:i w:val="0"/>
                <w:sz w:val="16"/>
              </w:rPr>
              <w:t>−0.219</w:t>
            </w:r>
          </w:p>
        </w:tc>
        <w:tc>
          <w:tcPr>
            <w:tcW w:type="dxa" w:w="1100"/>
          </w:tcPr>
          <w:p>
            <w:pPr>
              <w:pStyle w:val="MDPI42tablebody"/>
              <w:keepNext/>
              <w:spacing w:line="240" w:lineRule="auto" w:before="30" w:after="30"/>
              <w:jc w:val="center"/>
            </w:pPr>
            <w:r>
              <w:rPr>
                <w:b w:val="0"/>
                <w:i w:val="0"/>
                <w:sz w:val="16"/>
              </w:rPr>
              <w:t>−0.023</w:t>
            </w:r>
          </w:p>
        </w:tc>
        <w:tc>
          <w:tcPr>
            <w:tcW w:type="dxa" w:w="1100"/>
          </w:tcPr>
          <w:p>
            <w:pPr>
              <w:pStyle w:val="MDPI42tablebody"/>
              <w:keepNext/>
              <w:spacing w:line="240" w:lineRule="auto" w:before="30" w:after="30"/>
              <w:jc w:val="center"/>
            </w:pPr>
            <w:r>
              <w:rPr>
                <w:b w:val="0"/>
                <w:i w:val="0"/>
                <w:sz w:val="16"/>
              </w:rPr>
              <w:t>0.746</w:t>
            </w:r>
          </w:p>
        </w:tc>
      </w:tr>
    </w:tbl>
    <w:p>
      <w:pPr>
        <w:pStyle w:val="MDPI43tablefooter"/>
        <w:spacing w:line="240" w:lineRule="auto" w:before="40" w:after="200"/>
        <w:ind w:left="2608" w:firstLine="0"/>
      </w:pPr>
      <w:r>
        <w:rPr>
          <w:sz w:val="16"/>
        </w:rPr>
        <w:t xml:space="preserve">Note: </w:t>
      </w:r>
      <w:r>
        <w:rPr>
          <w:b w:val="0"/>
          <w:i w:val="0"/>
          <w:sz w:val="16"/>
        </w:rPr>
        <w:t>Diagonal: square root of the average variance extracted. Below the diagonal: latent correlations from the confirmatory model. Above the diagonal: heterotrait–monotrait ratios. The Fornell–Larcker criterion and the HTMT &lt; 0.85 criterion are both satisfied for every pair. Source: authors’ own calculations.</w:t>
      </w:r>
    </w:p>
    <w:p>
      <w:pPr>
        <w:pStyle w:val="MDPI22heading2"/>
      </w:pPr>
      <w:r>
        <w:t>4.2. Measurement Invariance and Common Method Variance Tests</w:t>
      </w:r>
    </w:p>
    <w:p>
      <w:pPr>
        <w:pStyle w:val="MDPI32textnoindent"/>
      </w:pPr>
      <w:r>
        <w:rPr>
          <w:b w:val="0"/>
          <w:i w:val="0"/>
        </w:rPr>
        <w:t xml:space="preserve">Table 4 reports the invariance and method-bias diagnostics. Metric invariance holds across gender and across STEM and non-STEM majors: constraining loadings to equality changes the comparative fit index by less than 0.001 in both cases (chi-square difference p = 0.543 and 0.545), so the group comparisons of Section 4.7 rest on equivalent measurement. Common method variance is bounded from three directions. By design, the outcomes were measured six months after their antecedents </w:t>
      </w:r>
      <w:r>
        <w:t>[</w:t>
      </w:r>
      <w:r>
        <w:fldChar w:fldCharType="begin"/>
      </w:r>
      <w:r>
        <w:instrText xml:space="preserve"> REF _Ref_69 \h </w:instrText>
      </w:r>
      <w:r>
        <w:fldChar w:fldCharType="separate"/>
      </w:r>
      <w:r>
        <w:t>69</w:t>
      </w:r>
      <w:r>
        <w:fldChar w:fldCharType="end"/>
      </w:r>
      <w:r>
        <w:t>]</w:t>
      </w:r>
      <w:r>
        <w:rPr>
          <w:b w:val="0"/>
          <w:i w:val="0"/>
        </w:rPr>
        <w:t xml:space="preserve">. Statistically, the first factor of the item pool carries 22.4 percent of the variance, far below the forty-percent alarm level; an equal-loading unmeasured method factor absorbs 13.1 percent of item variance, within the range regarded as unproblematic </w:t>
      </w:r>
      <w:r>
        <w:t>[</w:t>
      </w:r>
      <w:r>
        <w:fldChar w:fldCharType="begin"/>
      </w:r>
      <w:r>
        <w:instrText xml:space="preserve"> REF _Ref_70 \h </w:instrText>
      </w:r>
      <w:r>
        <w:fldChar w:fldCharType="separate"/>
      </w:r>
      <w:r>
        <w:t>70</w:t>
      </w:r>
      <w:r>
        <w:fldChar w:fldCharType="end"/>
      </w:r>
      <w:r>
        <w:t>]</w:t>
      </w:r>
      <w:r>
        <w:rPr>
          <w:b w:val="0"/>
          <w:i w:val="0"/>
        </w:rPr>
        <w:t xml:space="preserve">; and the largest correlation between the marker construct and any substantive score is 0.039 </w:t>
      </w:r>
      <w:r>
        <w:t>[</w:t>
      </w:r>
      <w:r>
        <w:fldChar w:fldCharType="begin"/>
      </w:r>
      <w:r>
        <w:instrText xml:space="preserve"> REF _Ref_65 \h </w:instrText>
      </w:r>
      <w:r>
        <w:fldChar w:fldCharType="separate"/>
      </w:r>
      <w:r>
        <w:t>65</w:t>
      </w:r>
      <w:r>
        <w:fldChar w:fldCharType="end"/>
      </w:r>
      <w:r>
        <w:t>]</w:t>
      </w:r>
      <w:r>
        <w:rPr>
          <w:b w:val="0"/>
          <w:i w:val="0"/>
        </w:rPr>
        <w:t>. Method variance exists, as it always does in self-report data, but it is small, and Section 4.8 shows that partialling it out changes nothing.</w:t>
      </w:r>
    </w:p>
    <w:p>
      <w:pPr>
        <w:pStyle w:val="MDPI41tablecaption"/>
        <w:keepNext/>
        <w:spacing w:after="60"/>
      </w:pPr>
      <w:r>
        <w:rPr>
          <w:b/>
          <w:sz w:val="18"/>
        </w:rPr>
        <w:t xml:space="preserve">Table 4. </w:t>
      </w:r>
      <w:r>
        <w:rPr>
          <w:b w:val="0"/>
          <w:i w:val="0"/>
          <w:sz w:val="18"/>
        </w:rPr>
        <w:t>Measurement invariance and common-method diagnostics.</w:t>
      </w:r>
    </w:p>
    <w:tbl>
      <w:tblPr>
        <w:tblStyle w:val="MDPI41threelinetable"/>
        <w:tblW w:w="7858" w:type="dxa"/>
        <w:tblInd w:w="2608" w:type="dxa"/>
        <w:tblBorders>
          <w:top w:val="single" w:sz="8" w:space="0" w:color="auto"/>
          <w:left w:val="none" w:sz="0" w:space="0" w:color="auto"/>
          <w:bottom w:val="single" w:sz="8" w:space="0" w:color="auto"/>
          <w:right w:val="none" w:sz="0" w:space="0" w:color="auto"/>
          <w:insideH w:val="none" w:sz="0" w:space="0" w:color="auto"/>
          <w:insideV w:val="none" w:sz="0" w:space="0" w:color="auto"/>
        </w:tblBorders>
        <w:tblLayout w:type="fixed"/>
        <w:tblCellMar>
          <w:top w:w="0" w:type="dxa"/>
          <w:left w:w="57" w:type="dxa"/>
          <w:bottom w:w="0" w:type="dxa"/>
          <w:right w:w="57" w:type="dxa"/>
        </w:tblCellMar>
        <w:tblLook w:firstColumn="1" w:firstRow="1" w:lastColumn="0" w:lastRow="0" w:noHBand="0" w:noVBand="1" w:val="04A0"/>
      </w:tblPr>
      <w:tblGrid>
        <w:gridCol w:w="3143"/>
        <w:gridCol w:w="1100"/>
        <w:gridCol w:w="628"/>
        <w:gridCol w:w="942"/>
        <w:gridCol w:w="1178"/>
        <w:gridCol w:w="864"/>
      </w:tblGrid>
      <w:tr>
        <w:trPr>
          <w:cantSplit/>
          <w:tblHeader/>
        </w:trPr>
        <w:tc>
          <w:tcPr>
            <w:tcW w:type="dxa" w:w="3143"/>
            <w:tcBorders>
              <w:bottom w:val="single" w:sz="8" w:space="0" w:color="auto"/>
            </w:tcBorders>
          </w:tcPr>
          <w:p>
            <w:pPr>
              <w:pStyle w:val="MDPI42tablebody"/>
              <w:keepNext/>
              <w:spacing w:line="240" w:lineRule="auto" w:before="30" w:after="30"/>
              <w:jc w:val="center"/>
            </w:pPr>
            <w:r>
              <w:rPr>
                <w:b/>
                <w:i w:val="0"/>
                <w:sz w:val="18"/>
              </w:rPr>
              <w:t>Model</w:t>
            </w:r>
          </w:p>
        </w:tc>
        <w:tc>
          <w:tcPr>
            <w:tcW w:type="dxa" w:w="1100"/>
            <w:tcBorders>
              <w:bottom w:val="single" w:sz="8" w:space="0" w:color="auto"/>
            </w:tcBorders>
          </w:tcPr>
          <w:p>
            <w:pPr>
              <w:pStyle w:val="MDPI42tablebody"/>
              <w:keepNext/>
              <w:spacing w:line="240" w:lineRule="auto" w:before="30" w:after="30"/>
              <w:jc w:val="center"/>
            </w:pPr>
            <w:r>
              <w:rPr>
                <w:b/>
                <w:i w:val="0"/>
                <w:sz w:val="18"/>
              </w:rPr>
              <w:t>χ2</w:t>
            </w:r>
          </w:p>
        </w:tc>
        <w:tc>
          <w:tcPr>
            <w:tcW w:type="dxa" w:w="628"/>
            <w:tcBorders>
              <w:bottom w:val="single" w:sz="8" w:space="0" w:color="auto"/>
            </w:tcBorders>
          </w:tcPr>
          <w:p>
            <w:pPr>
              <w:pStyle w:val="MDPI42tablebody"/>
              <w:keepNext/>
              <w:spacing w:line="240" w:lineRule="auto" w:before="30" w:after="30"/>
              <w:jc w:val="center"/>
            </w:pPr>
            <w:r>
              <w:rPr>
                <w:b/>
                <w:i w:val="0"/>
                <w:sz w:val="18"/>
              </w:rPr>
              <w:t>df</w:t>
            </w:r>
          </w:p>
        </w:tc>
        <w:tc>
          <w:tcPr>
            <w:tcW w:type="dxa" w:w="942"/>
            <w:tcBorders>
              <w:bottom w:val="single" w:sz="8" w:space="0" w:color="auto"/>
            </w:tcBorders>
          </w:tcPr>
          <w:p>
            <w:pPr>
              <w:pStyle w:val="MDPI42tablebody"/>
              <w:keepNext/>
              <w:spacing w:line="240" w:lineRule="auto" w:before="30" w:after="30"/>
              <w:jc w:val="center"/>
            </w:pPr>
            <w:r>
              <w:rPr>
                <w:b/>
                <w:i w:val="0"/>
                <w:sz w:val="18"/>
              </w:rPr>
              <w:t>CFI</w:t>
            </w:r>
          </w:p>
        </w:tc>
        <w:tc>
          <w:tcPr>
            <w:tcW w:type="dxa" w:w="1178"/>
            <w:tcBorders>
              <w:bottom w:val="single" w:sz="8" w:space="0" w:color="auto"/>
            </w:tcBorders>
          </w:tcPr>
          <w:p>
            <w:pPr>
              <w:pStyle w:val="MDPI42tablebody"/>
              <w:keepNext/>
              <w:spacing w:line="240" w:lineRule="auto" w:before="30" w:after="30"/>
              <w:jc w:val="center"/>
            </w:pPr>
            <w:r>
              <w:rPr>
                <w:b/>
                <w:i w:val="0"/>
                <w:sz w:val="18"/>
              </w:rPr>
              <w:t>Δχ2 (Δdf)</w:t>
            </w:r>
          </w:p>
        </w:tc>
        <w:tc>
          <w:tcPr>
            <w:tcW w:type="dxa" w:w="864"/>
            <w:tcBorders>
              <w:bottom w:val="single" w:sz="8" w:space="0" w:color="auto"/>
            </w:tcBorders>
          </w:tcPr>
          <w:p>
            <w:pPr>
              <w:pStyle w:val="MDPI42tablebody"/>
              <w:keepNext/>
              <w:spacing w:line="240" w:lineRule="auto" w:before="30" w:after="30"/>
              <w:jc w:val="center"/>
            </w:pPr>
            <w:r>
              <w:rPr>
                <w:b/>
                <w:i w:val="0"/>
                <w:sz w:val="18"/>
              </w:rPr>
              <w:t>p</w:t>
            </w:r>
          </w:p>
        </w:tc>
      </w:tr>
      <w:tr>
        <w:trPr>
          <w:cantSplit/>
        </w:trPr>
        <w:tc>
          <w:tcPr>
            <w:tcW w:type="dxa" w:w="3143"/>
          </w:tcPr>
          <w:p>
            <w:pPr>
              <w:pStyle w:val="MDPI42tablebody"/>
              <w:keepNext/>
              <w:spacing w:line="240" w:lineRule="auto" w:before="30" w:after="30"/>
              <w:jc w:val="left"/>
            </w:pPr>
            <w:r>
              <w:rPr>
                <w:b w:val="0"/>
                <w:i w:val="0"/>
                <w:sz w:val="18"/>
              </w:rPr>
              <w:t>Gender: configural</w:t>
            </w:r>
          </w:p>
        </w:tc>
        <w:tc>
          <w:tcPr>
            <w:tcW w:type="dxa" w:w="1100"/>
          </w:tcPr>
          <w:p>
            <w:pPr>
              <w:pStyle w:val="MDPI42tablebody"/>
              <w:keepNext/>
              <w:spacing w:line="240" w:lineRule="auto" w:before="30" w:after="30"/>
              <w:jc w:val="center"/>
            </w:pPr>
            <w:r>
              <w:rPr>
                <w:b w:val="0"/>
                <w:i w:val="0"/>
                <w:sz w:val="18"/>
              </w:rPr>
              <w:t>519.8</w:t>
            </w:r>
          </w:p>
        </w:tc>
        <w:tc>
          <w:tcPr>
            <w:tcW w:type="dxa" w:w="628"/>
          </w:tcPr>
          <w:p>
            <w:pPr>
              <w:pStyle w:val="MDPI42tablebody"/>
              <w:keepNext/>
              <w:spacing w:line="240" w:lineRule="auto" w:before="30" w:after="30"/>
              <w:jc w:val="center"/>
            </w:pPr>
            <w:r>
              <w:rPr>
                <w:b w:val="0"/>
                <w:i w:val="0"/>
                <w:sz w:val="18"/>
              </w:rPr>
              <w:t>430</w:t>
            </w:r>
          </w:p>
        </w:tc>
        <w:tc>
          <w:tcPr>
            <w:tcW w:type="dxa" w:w="942"/>
          </w:tcPr>
          <w:p>
            <w:pPr>
              <w:pStyle w:val="MDPI42tablebody"/>
              <w:keepNext/>
              <w:spacing w:line="240" w:lineRule="auto" w:before="30" w:after="30"/>
              <w:jc w:val="center"/>
            </w:pPr>
            <w:r>
              <w:rPr>
                <w:b w:val="0"/>
                <w:i w:val="0"/>
                <w:sz w:val="18"/>
              </w:rPr>
              <w:t>0.991</w:t>
            </w:r>
          </w:p>
        </w:tc>
        <w:tc>
          <w:tcPr>
            <w:tcW w:type="dxa" w:w="1178"/>
          </w:tcPr>
          <w:p>
            <w:pPr>
              <w:pStyle w:val="MDPI42tablebody"/>
              <w:keepNext/>
              <w:spacing w:line="240" w:lineRule="auto" w:before="30" w:after="30"/>
              <w:jc w:val="center"/>
            </w:pPr>
          </w:p>
        </w:tc>
        <w:tc>
          <w:tcPr>
            <w:tcW w:type="dxa" w:w="864"/>
          </w:tcPr>
          <w:p>
            <w:pPr>
              <w:pStyle w:val="MDPI42tablebody"/>
              <w:keepNext/>
              <w:spacing w:line="240" w:lineRule="auto" w:before="30" w:after="30"/>
              <w:jc w:val="center"/>
            </w:pPr>
          </w:p>
        </w:tc>
      </w:tr>
      <w:tr>
        <w:trPr>
          <w:cantSplit/>
        </w:trPr>
        <w:tc>
          <w:tcPr>
            <w:tcW w:type="dxa" w:w="3143"/>
          </w:tcPr>
          <w:p>
            <w:pPr>
              <w:pStyle w:val="MDPI42tablebody"/>
              <w:keepNext/>
              <w:spacing w:line="240" w:lineRule="auto" w:before="30" w:after="30"/>
              <w:jc w:val="left"/>
            </w:pPr>
            <w:r>
              <w:rPr>
                <w:b w:val="0"/>
                <w:i w:val="0"/>
                <w:sz w:val="18"/>
              </w:rPr>
              <w:t>Gender: metric</w:t>
            </w:r>
          </w:p>
        </w:tc>
        <w:tc>
          <w:tcPr>
            <w:tcW w:type="dxa" w:w="1100"/>
          </w:tcPr>
          <w:p>
            <w:pPr>
              <w:pStyle w:val="MDPI42tablebody"/>
              <w:keepNext/>
              <w:spacing w:line="240" w:lineRule="auto" w:before="30" w:after="30"/>
              <w:jc w:val="center"/>
            </w:pPr>
            <w:r>
              <w:rPr>
                <w:b w:val="0"/>
                <w:i w:val="0"/>
                <w:sz w:val="18"/>
              </w:rPr>
              <w:t>541.4</w:t>
            </w:r>
          </w:p>
        </w:tc>
        <w:tc>
          <w:tcPr>
            <w:tcW w:type="dxa" w:w="628"/>
          </w:tcPr>
          <w:p>
            <w:pPr>
              <w:pStyle w:val="MDPI42tablebody"/>
              <w:keepNext/>
              <w:spacing w:line="240" w:lineRule="auto" w:before="30" w:after="30"/>
              <w:jc w:val="center"/>
            </w:pPr>
            <w:r>
              <w:rPr>
                <w:b w:val="0"/>
                <w:i w:val="0"/>
                <w:sz w:val="18"/>
              </w:rPr>
              <w:t>453</w:t>
            </w:r>
          </w:p>
        </w:tc>
        <w:tc>
          <w:tcPr>
            <w:tcW w:type="dxa" w:w="942"/>
          </w:tcPr>
          <w:p>
            <w:pPr>
              <w:pStyle w:val="MDPI42tablebody"/>
              <w:keepNext/>
              <w:spacing w:line="240" w:lineRule="auto" w:before="30" w:after="30"/>
              <w:jc w:val="center"/>
            </w:pPr>
            <w:r>
              <w:rPr>
                <w:b w:val="0"/>
                <w:i w:val="0"/>
                <w:sz w:val="18"/>
              </w:rPr>
              <w:t>0.991</w:t>
            </w:r>
          </w:p>
        </w:tc>
        <w:tc>
          <w:tcPr>
            <w:tcW w:type="dxa" w:w="1178"/>
          </w:tcPr>
          <w:p>
            <w:pPr>
              <w:pStyle w:val="MDPI42tablebody"/>
              <w:keepNext/>
              <w:spacing w:line="240" w:lineRule="auto" w:before="30" w:after="30"/>
              <w:jc w:val="center"/>
            </w:pPr>
            <w:r>
              <w:rPr>
                <w:b w:val="0"/>
                <w:i w:val="0"/>
                <w:sz w:val="18"/>
              </w:rPr>
              <w:t>21.6 (23)</w:t>
            </w:r>
          </w:p>
        </w:tc>
        <w:tc>
          <w:tcPr>
            <w:tcW w:type="dxa" w:w="864"/>
          </w:tcPr>
          <w:p>
            <w:pPr>
              <w:pStyle w:val="MDPI42tablebody"/>
              <w:keepNext/>
              <w:spacing w:line="240" w:lineRule="auto" w:before="30" w:after="30"/>
              <w:jc w:val="center"/>
            </w:pPr>
            <w:r>
              <w:rPr>
                <w:b w:val="0"/>
                <w:i w:val="0"/>
                <w:sz w:val="18"/>
              </w:rPr>
              <w:t>0.543</w:t>
            </w:r>
          </w:p>
        </w:tc>
      </w:tr>
      <w:tr>
        <w:trPr>
          <w:cantSplit/>
        </w:trPr>
        <w:tc>
          <w:tcPr>
            <w:tcW w:type="dxa" w:w="3143"/>
          </w:tcPr>
          <w:p>
            <w:pPr>
              <w:pStyle w:val="MDPI42tablebody"/>
              <w:keepNext/>
              <w:spacing w:line="240" w:lineRule="auto" w:before="30" w:after="30"/>
              <w:jc w:val="left"/>
            </w:pPr>
            <w:r>
              <w:rPr>
                <w:b w:val="0"/>
                <w:i w:val="0"/>
                <w:sz w:val="18"/>
              </w:rPr>
              <w:t>Major: configural</w:t>
            </w:r>
          </w:p>
        </w:tc>
        <w:tc>
          <w:tcPr>
            <w:tcW w:type="dxa" w:w="1100"/>
          </w:tcPr>
          <w:p>
            <w:pPr>
              <w:pStyle w:val="MDPI42tablebody"/>
              <w:keepNext/>
              <w:spacing w:line="240" w:lineRule="auto" w:before="30" w:after="30"/>
              <w:jc w:val="center"/>
            </w:pPr>
            <w:r>
              <w:rPr>
                <w:b w:val="0"/>
                <w:i w:val="0"/>
                <w:sz w:val="18"/>
              </w:rPr>
              <w:t>508.4</w:t>
            </w:r>
          </w:p>
        </w:tc>
        <w:tc>
          <w:tcPr>
            <w:tcW w:type="dxa" w:w="628"/>
          </w:tcPr>
          <w:p>
            <w:pPr>
              <w:pStyle w:val="MDPI42tablebody"/>
              <w:keepNext/>
              <w:spacing w:line="240" w:lineRule="auto" w:before="30" w:after="30"/>
              <w:jc w:val="center"/>
            </w:pPr>
            <w:r>
              <w:rPr>
                <w:b w:val="0"/>
                <w:i w:val="0"/>
                <w:sz w:val="18"/>
              </w:rPr>
              <w:t>430</w:t>
            </w:r>
          </w:p>
        </w:tc>
        <w:tc>
          <w:tcPr>
            <w:tcW w:type="dxa" w:w="942"/>
          </w:tcPr>
          <w:p>
            <w:pPr>
              <w:pStyle w:val="MDPI42tablebody"/>
              <w:keepNext/>
              <w:spacing w:line="240" w:lineRule="auto" w:before="30" w:after="30"/>
              <w:jc w:val="center"/>
            </w:pPr>
            <w:r>
              <w:rPr>
                <w:b w:val="0"/>
                <w:i w:val="0"/>
                <w:sz w:val="18"/>
              </w:rPr>
              <w:t>0.992</w:t>
            </w:r>
          </w:p>
        </w:tc>
        <w:tc>
          <w:tcPr>
            <w:tcW w:type="dxa" w:w="1178"/>
          </w:tcPr>
          <w:p>
            <w:pPr>
              <w:pStyle w:val="MDPI42tablebody"/>
              <w:keepNext/>
              <w:spacing w:line="240" w:lineRule="auto" w:before="30" w:after="30"/>
              <w:jc w:val="center"/>
            </w:pPr>
          </w:p>
        </w:tc>
        <w:tc>
          <w:tcPr>
            <w:tcW w:type="dxa" w:w="864"/>
          </w:tcPr>
          <w:p>
            <w:pPr>
              <w:pStyle w:val="MDPI42tablebody"/>
              <w:keepNext/>
              <w:spacing w:line="240" w:lineRule="auto" w:before="30" w:after="30"/>
              <w:jc w:val="center"/>
            </w:pPr>
          </w:p>
        </w:tc>
      </w:tr>
      <w:tr>
        <w:trPr>
          <w:cantSplit/>
        </w:trPr>
        <w:tc>
          <w:tcPr>
            <w:tcW w:type="dxa" w:w="3143"/>
          </w:tcPr>
          <w:p>
            <w:pPr>
              <w:pStyle w:val="MDPI42tablebody"/>
              <w:keepNext/>
              <w:spacing w:line="240" w:lineRule="auto" w:before="30" w:after="30"/>
              <w:jc w:val="left"/>
            </w:pPr>
            <w:r>
              <w:rPr>
                <w:b w:val="0"/>
                <w:i w:val="0"/>
                <w:sz w:val="18"/>
              </w:rPr>
              <w:t>Major: metric</w:t>
            </w:r>
          </w:p>
        </w:tc>
        <w:tc>
          <w:tcPr>
            <w:tcW w:type="dxa" w:w="1100"/>
          </w:tcPr>
          <w:p>
            <w:pPr>
              <w:pStyle w:val="MDPI42tablebody"/>
              <w:keepNext/>
              <w:spacing w:line="240" w:lineRule="auto" w:before="30" w:after="30"/>
              <w:jc w:val="center"/>
            </w:pPr>
            <w:r>
              <w:rPr>
                <w:b w:val="0"/>
                <w:i w:val="0"/>
                <w:sz w:val="18"/>
              </w:rPr>
              <w:t>530.0</w:t>
            </w:r>
          </w:p>
        </w:tc>
        <w:tc>
          <w:tcPr>
            <w:tcW w:type="dxa" w:w="628"/>
          </w:tcPr>
          <w:p>
            <w:pPr>
              <w:pStyle w:val="MDPI42tablebody"/>
              <w:keepNext/>
              <w:spacing w:line="240" w:lineRule="auto" w:before="30" w:after="30"/>
              <w:jc w:val="center"/>
            </w:pPr>
            <w:r>
              <w:rPr>
                <w:b w:val="0"/>
                <w:i w:val="0"/>
                <w:sz w:val="18"/>
              </w:rPr>
              <w:t>453</w:t>
            </w:r>
          </w:p>
        </w:tc>
        <w:tc>
          <w:tcPr>
            <w:tcW w:type="dxa" w:w="942"/>
          </w:tcPr>
          <w:p>
            <w:pPr>
              <w:pStyle w:val="MDPI42tablebody"/>
              <w:keepNext/>
              <w:spacing w:line="240" w:lineRule="auto" w:before="30" w:after="30"/>
              <w:jc w:val="center"/>
            </w:pPr>
            <w:r>
              <w:rPr>
                <w:b w:val="0"/>
                <w:i w:val="0"/>
                <w:sz w:val="18"/>
              </w:rPr>
              <w:t>0.992</w:t>
            </w:r>
          </w:p>
        </w:tc>
        <w:tc>
          <w:tcPr>
            <w:tcW w:type="dxa" w:w="1178"/>
          </w:tcPr>
          <w:p>
            <w:pPr>
              <w:pStyle w:val="MDPI42tablebody"/>
              <w:keepNext/>
              <w:spacing w:line="240" w:lineRule="auto" w:before="30" w:after="30"/>
              <w:jc w:val="center"/>
            </w:pPr>
            <w:r>
              <w:rPr>
                <w:b w:val="0"/>
                <w:i w:val="0"/>
                <w:sz w:val="18"/>
              </w:rPr>
              <w:t>21.6 (23)</w:t>
            </w:r>
          </w:p>
        </w:tc>
        <w:tc>
          <w:tcPr>
            <w:tcW w:type="dxa" w:w="864"/>
          </w:tcPr>
          <w:p>
            <w:pPr>
              <w:pStyle w:val="MDPI42tablebody"/>
              <w:keepNext/>
              <w:spacing w:line="240" w:lineRule="auto" w:before="30" w:after="30"/>
              <w:jc w:val="center"/>
            </w:pPr>
            <w:r>
              <w:rPr>
                <w:b w:val="0"/>
                <w:i w:val="0"/>
                <w:sz w:val="18"/>
              </w:rPr>
              <w:t>0.545</w:t>
            </w:r>
          </w:p>
        </w:tc>
      </w:tr>
      <w:tr>
        <w:trPr>
          <w:cantSplit/>
        </w:trPr>
        <w:tc>
          <w:tcPr>
            <w:tcW w:type="dxa" w:w="3143"/>
          </w:tcPr>
          <w:p>
            <w:pPr>
              <w:pStyle w:val="MDPI42tablebody"/>
              <w:keepNext/>
              <w:spacing w:line="240" w:lineRule="auto" w:before="30" w:after="30"/>
              <w:jc w:val="left"/>
            </w:pPr>
            <w:r>
              <w:rPr>
                <w:b w:val="0"/>
                <w:i w:val="0"/>
                <w:sz w:val="18"/>
              </w:rPr>
              <w:t>Harman single factor: first-factor share (%)</w:t>
            </w:r>
          </w:p>
        </w:tc>
        <w:tc>
          <w:tcPr>
            <w:tcW w:type="dxa" w:w="1100"/>
          </w:tcPr>
          <w:p>
            <w:pPr>
              <w:pStyle w:val="MDPI42tablebody"/>
              <w:keepNext/>
              <w:spacing w:line="240" w:lineRule="auto" w:before="30" w:after="30"/>
              <w:jc w:val="center"/>
            </w:pPr>
            <w:r>
              <w:rPr>
                <w:b w:val="0"/>
                <w:i w:val="0"/>
                <w:sz w:val="18"/>
              </w:rPr>
              <w:t>22.4</w:t>
            </w:r>
          </w:p>
        </w:tc>
        <w:tc>
          <w:tcPr>
            <w:tcW w:type="dxa" w:w="628"/>
          </w:tcPr>
          <w:p>
            <w:pPr>
              <w:pStyle w:val="MDPI42tablebody"/>
              <w:keepNext/>
              <w:spacing w:line="240" w:lineRule="auto" w:before="30" w:after="30"/>
              <w:jc w:val="center"/>
            </w:pPr>
          </w:p>
        </w:tc>
        <w:tc>
          <w:tcPr>
            <w:tcW w:type="dxa" w:w="942"/>
          </w:tcPr>
          <w:p>
            <w:pPr>
              <w:pStyle w:val="MDPI42tablebody"/>
              <w:keepNext/>
              <w:spacing w:line="240" w:lineRule="auto" w:before="30" w:after="30"/>
              <w:jc w:val="center"/>
            </w:pPr>
          </w:p>
        </w:tc>
        <w:tc>
          <w:tcPr>
            <w:tcW w:type="dxa" w:w="1178"/>
          </w:tcPr>
          <w:p>
            <w:pPr>
              <w:pStyle w:val="MDPI42tablebody"/>
              <w:keepNext/>
              <w:spacing w:line="240" w:lineRule="auto" w:before="30" w:after="30"/>
              <w:jc w:val="center"/>
            </w:pPr>
          </w:p>
        </w:tc>
        <w:tc>
          <w:tcPr>
            <w:tcW w:type="dxa" w:w="864"/>
          </w:tcPr>
          <w:p>
            <w:pPr>
              <w:pStyle w:val="MDPI42tablebody"/>
              <w:keepNext/>
              <w:spacing w:line="240" w:lineRule="auto" w:before="30" w:after="30"/>
              <w:jc w:val="center"/>
            </w:pPr>
          </w:p>
        </w:tc>
      </w:tr>
      <w:tr>
        <w:trPr>
          <w:cantSplit/>
        </w:trPr>
        <w:tc>
          <w:tcPr>
            <w:tcW w:type="dxa" w:w="3143"/>
          </w:tcPr>
          <w:p>
            <w:pPr>
              <w:pStyle w:val="MDPI42tablebody"/>
              <w:keepNext/>
              <w:spacing w:line="240" w:lineRule="auto" w:before="30" w:after="30"/>
              <w:jc w:val="left"/>
            </w:pPr>
            <w:r>
              <w:rPr>
                <w:b w:val="0"/>
                <w:i w:val="0"/>
                <w:sz w:val="18"/>
              </w:rPr>
              <w:t>Method factor: variance share (%)</w:t>
            </w:r>
          </w:p>
        </w:tc>
        <w:tc>
          <w:tcPr>
            <w:tcW w:type="dxa" w:w="1100"/>
          </w:tcPr>
          <w:p>
            <w:pPr>
              <w:pStyle w:val="MDPI42tablebody"/>
              <w:keepNext/>
              <w:spacing w:line="240" w:lineRule="auto" w:before="30" w:after="30"/>
              <w:jc w:val="center"/>
            </w:pPr>
            <w:r>
              <w:rPr>
                <w:b w:val="0"/>
                <w:i w:val="0"/>
                <w:sz w:val="18"/>
              </w:rPr>
              <w:t>13.1</w:t>
            </w:r>
          </w:p>
        </w:tc>
        <w:tc>
          <w:tcPr>
            <w:tcW w:type="dxa" w:w="628"/>
          </w:tcPr>
          <w:p>
            <w:pPr>
              <w:pStyle w:val="MDPI42tablebody"/>
              <w:keepNext/>
              <w:spacing w:line="240" w:lineRule="auto" w:before="30" w:after="30"/>
              <w:jc w:val="center"/>
            </w:pPr>
          </w:p>
        </w:tc>
        <w:tc>
          <w:tcPr>
            <w:tcW w:type="dxa" w:w="942"/>
          </w:tcPr>
          <w:p>
            <w:pPr>
              <w:pStyle w:val="MDPI42tablebody"/>
              <w:keepNext/>
              <w:spacing w:line="240" w:lineRule="auto" w:before="30" w:after="30"/>
              <w:jc w:val="center"/>
            </w:pPr>
          </w:p>
        </w:tc>
        <w:tc>
          <w:tcPr>
            <w:tcW w:type="dxa" w:w="1178"/>
          </w:tcPr>
          <w:p>
            <w:pPr>
              <w:pStyle w:val="MDPI42tablebody"/>
              <w:keepNext/>
              <w:spacing w:line="240" w:lineRule="auto" w:before="30" w:after="30"/>
              <w:jc w:val="center"/>
            </w:pPr>
          </w:p>
        </w:tc>
        <w:tc>
          <w:tcPr>
            <w:tcW w:type="dxa" w:w="864"/>
          </w:tcPr>
          <w:p>
            <w:pPr>
              <w:pStyle w:val="MDPI42tablebody"/>
              <w:keepNext/>
              <w:spacing w:line="240" w:lineRule="auto" w:before="30" w:after="30"/>
              <w:jc w:val="center"/>
            </w:pPr>
          </w:p>
        </w:tc>
      </w:tr>
    </w:tbl>
    <w:p>
      <w:pPr>
        <w:pStyle w:val="MDPI43tablefooter"/>
        <w:spacing w:line="240" w:lineRule="auto" w:before="40" w:after="200"/>
        <w:ind w:left="2608" w:firstLine="0"/>
      </w:pPr>
      <w:r>
        <w:rPr>
          <w:sz w:val="16"/>
        </w:rPr>
        <w:t xml:space="preserve">Note: </w:t>
      </w:r>
      <w:r>
        <w:rPr>
          <w:b w:val="0"/>
          <w:i w:val="0"/>
          <w:sz w:val="16"/>
        </w:rPr>
        <w:t>Configural and metric two-group models estimated by maximum likelihood; the metric model constrains loadings to equality across groups. The Harman row reports the share of item variance carried by the first principal component; the method-factor row reports the variance share of an equal-loading unmeasured method factor added to the measurement model. Source: authors’ own calculations.</w:t>
      </w:r>
    </w:p>
    <w:p>
      <w:pPr>
        <w:pStyle w:val="MDPI22heading2"/>
      </w:pPr>
      <w:r>
        <w:t>4.3. Descriptive Statistics and Correlation Analysis</w:t>
      </w:r>
    </w:p>
    <w:p>
      <w:pPr>
        <w:pStyle w:val="MDPI32textnoindent"/>
      </w:pPr>
      <w:r>
        <w:rPr>
          <w:b w:val="0"/>
          <w:i w:val="0"/>
        </w:rPr>
        <w:t>Table 5 reports the means, standard deviations, and correlations of the factor scores and the exposure measure. The raw correlations already outline the argument: perceived depreciation correlates with anxiety at 0.480, occupational exposure with depreciation at 0.492, and anxiety with adaptation at only 0.144 — the small linear correlation that an inverted U leaves behind when its two arms cancel. No pairwise correlation approaches the level at which collinearity would threaten the structural estimates.</w:t>
      </w:r>
    </w:p>
    <w:p>
      <w:pPr>
        <w:pStyle w:val="MDPI41tablecaption"/>
        <w:keepNext/>
        <w:spacing w:after="60"/>
      </w:pPr>
      <w:r>
        <w:rPr>
          <w:b/>
          <w:sz w:val="18"/>
        </w:rPr>
        <w:t xml:space="preserve">Table 5. </w:t>
      </w:r>
      <w:r>
        <w:rPr>
          <w:b w:val="0"/>
          <w:i w:val="0"/>
          <w:sz w:val="18"/>
        </w:rPr>
        <w:t>Descriptive statistics and correlations of the factor scores.</w:t>
      </w:r>
    </w:p>
    <w:tbl>
      <w:tblPr>
        <w:tblStyle w:val="MDPI41threelinetable"/>
        <w:tblW w:w="7858" w:type="dxa"/>
        <w:tblInd w:w="2608" w:type="dxa"/>
        <w:tblBorders>
          <w:top w:val="single" w:sz="8" w:space="0" w:color="auto"/>
          <w:left w:val="none" w:sz="0" w:space="0" w:color="auto"/>
          <w:bottom w:val="single" w:sz="8" w:space="0" w:color="auto"/>
          <w:right w:val="none" w:sz="0" w:space="0" w:color="auto"/>
          <w:insideH w:val="none" w:sz="0" w:space="0" w:color="auto"/>
          <w:insideV w:val="none" w:sz="0" w:space="0" w:color="auto"/>
        </w:tblBorders>
        <w:tblLayout w:type="fixed"/>
        <w:tblCellMar>
          <w:top w:w="0" w:type="dxa"/>
          <w:left w:w="57" w:type="dxa"/>
          <w:bottom w:w="0" w:type="dxa"/>
          <w:right w:w="57" w:type="dxa"/>
        </w:tblCellMar>
        <w:tblLook w:firstColumn="1" w:firstRow="1" w:lastColumn="0" w:lastRow="0" w:noHBand="0" w:noVBand="1" w:val="04A0"/>
      </w:tblPr>
      <w:tblGrid>
        <w:gridCol w:w="1025"/>
        <w:gridCol w:w="788"/>
        <w:gridCol w:w="631"/>
        <w:gridCol w:w="773"/>
        <w:gridCol w:w="773"/>
        <w:gridCol w:w="773"/>
        <w:gridCol w:w="773"/>
        <w:gridCol w:w="773"/>
        <w:gridCol w:w="773"/>
        <w:gridCol w:w="773"/>
      </w:tblGrid>
      <w:tr>
        <w:trPr>
          <w:cantSplit/>
          <w:tblHeader/>
        </w:trPr>
        <w:tc>
          <w:tcPr>
            <w:tcW w:type="dxa" w:w="1025"/>
            <w:tcBorders>
              <w:bottom w:val="single" w:sz="8" w:space="0" w:color="auto"/>
            </w:tcBorders>
          </w:tcPr>
          <w:p>
            <w:pPr>
              <w:pStyle w:val="MDPI42tablebody"/>
              <w:keepNext/>
              <w:spacing w:line="240" w:lineRule="auto" w:before="30" w:after="30"/>
              <w:jc w:val="center"/>
            </w:pPr>
            <w:r>
              <w:rPr>
                <w:b/>
                <w:i w:val="0"/>
                <w:sz w:val="15"/>
              </w:rPr>
              <w:t>Variable</w:t>
            </w:r>
          </w:p>
        </w:tc>
        <w:tc>
          <w:tcPr>
            <w:tcW w:type="dxa" w:w="788"/>
            <w:tcBorders>
              <w:bottom w:val="single" w:sz="8" w:space="0" w:color="auto"/>
            </w:tcBorders>
          </w:tcPr>
          <w:p>
            <w:pPr>
              <w:pStyle w:val="MDPI42tablebody"/>
              <w:keepNext/>
              <w:spacing w:line="240" w:lineRule="auto" w:before="30" w:after="30"/>
              <w:jc w:val="center"/>
            </w:pPr>
            <w:r>
              <w:rPr>
                <w:b/>
                <w:i w:val="0"/>
                <w:sz w:val="15"/>
              </w:rPr>
              <w:t>Mean</w:t>
            </w:r>
          </w:p>
        </w:tc>
        <w:tc>
          <w:tcPr>
            <w:tcW w:type="dxa" w:w="631"/>
            <w:tcBorders>
              <w:bottom w:val="single" w:sz="8" w:space="0" w:color="auto"/>
            </w:tcBorders>
          </w:tcPr>
          <w:p>
            <w:pPr>
              <w:pStyle w:val="MDPI42tablebody"/>
              <w:keepNext/>
              <w:spacing w:line="240" w:lineRule="auto" w:before="30" w:after="30"/>
              <w:jc w:val="center"/>
            </w:pPr>
            <w:r>
              <w:rPr>
                <w:b/>
                <w:i w:val="0"/>
                <w:sz w:val="15"/>
              </w:rPr>
              <w:t>SD</w:t>
            </w:r>
          </w:p>
        </w:tc>
        <w:tc>
          <w:tcPr>
            <w:tcW w:type="dxa" w:w="773"/>
            <w:tcBorders>
              <w:bottom w:val="single" w:sz="8" w:space="0" w:color="auto"/>
            </w:tcBorders>
          </w:tcPr>
          <w:p>
            <w:pPr>
              <w:pStyle w:val="MDPI42tablebody"/>
              <w:keepNext/>
              <w:spacing w:line="240" w:lineRule="auto" w:before="30" w:after="30"/>
              <w:jc w:val="center"/>
            </w:pPr>
            <w:r>
              <w:rPr>
                <w:b/>
                <w:i w:val="0"/>
                <w:sz w:val="15"/>
              </w:rPr>
              <w:t>PHCD</w:t>
            </w:r>
          </w:p>
        </w:tc>
        <w:tc>
          <w:tcPr>
            <w:tcW w:type="dxa" w:w="773"/>
            <w:tcBorders>
              <w:bottom w:val="single" w:sz="8" w:space="0" w:color="auto"/>
            </w:tcBorders>
          </w:tcPr>
          <w:p>
            <w:pPr>
              <w:pStyle w:val="MDPI42tablebody"/>
              <w:keepNext/>
              <w:spacing w:line="240" w:lineRule="auto" w:before="30" w:after="30"/>
              <w:jc w:val="center"/>
            </w:pPr>
            <w:r>
              <w:rPr>
                <w:b/>
                <w:i w:val="0"/>
                <w:sz w:val="15"/>
              </w:rPr>
              <w:t>ANX</w:t>
            </w:r>
          </w:p>
        </w:tc>
        <w:tc>
          <w:tcPr>
            <w:tcW w:type="dxa" w:w="773"/>
            <w:tcBorders>
              <w:bottom w:val="single" w:sz="8" w:space="0" w:color="auto"/>
            </w:tcBorders>
          </w:tcPr>
          <w:p>
            <w:pPr>
              <w:pStyle w:val="MDPI42tablebody"/>
              <w:keepNext/>
              <w:spacing w:line="240" w:lineRule="auto" w:before="30" w:after="30"/>
              <w:jc w:val="center"/>
            </w:pPr>
            <w:r>
              <w:rPr>
                <w:b/>
                <w:i w:val="0"/>
                <w:sz w:val="15"/>
              </w:rPr>
              <w:t>LIT</w:t>
            </w:r>
          </w:p>
        </w:tc>
        <w:tc>
          <w:tcPr>
            <w:tcW w:type="dxa" w:w="773"/>
            <w:tcBorders>
              <w:bottom w:val="single" w:sz="8" w:space="0" w:color="auto"/>
            </w:tcBorders>
          </w:tcPr>
          <w:p>
            <w:pPr>
              <w:pStyle w:val="MDPI42tablebody"/>
              <w:keepNext/>
              <w:spacing w:line="240" w:lineRule="auto" w:before="30" w:after="30"/>
              <w:jc w:val="center"/>
            </w:pPr>
            <w:r>
              <w:rPr>
                <w:b/>
                <w:i w:val="0"/>
                <w:sz w:val="15"/>
              </w:rPr>
              <w:t>SUP</w:t>
            </w:r>
          </w:p>
        </w:tc>
        <w:tc>
          <w:tcPr>
            <w:tcW w:type="dxa" w:w="773"/>
            <w:tcBorders>
              <w:bottom w:val="single" w:sz="8" w:space="0" w:color="auto"/>
            </w:tcBorders>
          </w:tcPr>
          <w:p>
            <w:pPr>
              <w:pStyle w:val="MDPI42tablebody"/>
              <w:keepNext/>
              <w:spacing w:line="240" w:lineRule="auto" w:before="30" w:after="30"/>
              <w:jc w:val="center"/>
            </w:pPr>
            <w:r>
              <w:rPr>
                <w:b/>
                <w:i w:val="0"/>
                <w:sz w:val="15"/>
              </w:rPr>
              <w:t>ADP</w:t>
            </w:r>
          </w:p>
        </w:tc>
        <w:tc>
          <w:tcPr>
            <w:tcW w:type="dxa" w:w="773"/>
            <w:tcBorders>
              <w:bottom w:val="single" w:sz="8" w:space="0" w:color="auto"/>
            </w:tcBorders>
          </w:tcPr>
          <w:p>
            <w:pPr>
              <w:pStyle w:val="MDPI42tablebody"/>
              <w:keepNext/>
              <w:spacing w:line="240" w:lineRule="auto" w:before="30" w:after="30"/>
              <w:jc w:val="center"/>
            </w:pPr>
            <w:r>
              <w:rPr>
                <w:b/>
                <w:i w:val="0"/>
                <w:sz w:val="15"/>
              </w:rPr>
              <w:t>AVD</w:t>
            </w:r>
          </w:p>
        </w:tc>
        <w:tc>
          <w:tcPr>
            <w:tcW w:type="dxa" w:w="773"/>
            <w:tcBorders>
              <w:bottom w:val="single" w:sz="8" w:space="0" w:color="auto"/>
            </w:tcBorders>
          </w:tcPr>
          <w:p>
            <w:pPr>
              <w:pStyle w:val="MDPI42tablebody"/>
              <w:keepNext/>
              <w:spacing w:line="240" w:lineRule="auto" w:before="30" w:after="30"/>
              <w:jc w:val="center"/>
            </w:pPr>
            <w:r>
              <w:rPr>
                <w:b/>
                <w:i w:val="0"/>
                <w:sz w:val="15"/>
              </w:rPr>
              <w:t>EXPO</w:t>
            </w:r>
          </w:p>
        </w:tc>
      </w:tr>
      <w:tr>
        <w:trPr>
          <w:cantSplit/>
        </w:trPr>
        <w:tc>
          <w:tcPr>
            <w:tcW w:type="dxa" w:w="1025"/>
          </w:tcPr>
          <w:p>
            <w:pPr>
              <w:pStyle w:val="MDPI42tablebody"/>
              <w:keepNext/>
              <w:spacing w:line="240" w:lineRule="auto" w:before="30" w:after="30"/>
              <w:jc w:val="left"/>
            </w:pPr>
            <w:r>
              <w:rPr>
                <w:b w:val="0"/>
                <w:i/>
                <w:sz w:val="15"/>
              </w:rPr>
              <w:t>PHCD</w:t>
            </w:r>
          </w:p>
        </w:tc>
        <w:tc>
          <w:tcPr>
            <w:tcW w:type="dxa" w:w="788"/>
          </w:tcPr>
          <w:p>
            <w:pPr>
              <w:pStyle w:val="MDPI42tablebody"/>
              <w:keepNext/>
              <w:spacing w:line="240" w:lineRule="auto" w:before="30" w:after="30"/>
              <w:jc w:val="center"/>
            </w:pPr>
            <w:r>
              <w:rPr>
                <w:b w:val="0"/>
                <w:i w:val="0"/>
                <w:sz w:val="15"/>
              </w:rPr>
              <w:t>0.000</w:t>
            </w:r>
          </w:p>
        </w:tc>
        <w:tc>
          <w:tcPr>
            <w:tcW w:type="dxa" w:w="631"/>
          </w:tcPr>
          <w:p>
            <w:pPr>
              <w:pStyle w:val="MDPI42tablebody"/>
              <w:keepNext/>
              <w:spacing w:line="240" w:lineRule="auto" w:before="30" w:after="30"/>
              <w:jc w:val="center"/>
            </w:pPr>
            <w:r>
              <w:rPr>
                <w:b w:val="0"/>
                <w:i w:val="0"/>
                <w:sz w:val="15"/>
              </w:rPr>
              <w:t>1.000</w:t>
            </w:r>
          </w:p>
        </w:tc>
        <w:tc>
          <w:tcPr>
            <w:tcW w:type="dxa" w:w="773"/>
          </w:tcPr>
          <w:p>
            <w:pPr>
              <w:pStyle w:val="MDPI42tablebody"/>
              <w:keepNext/>
              <w:spacing w:line="240" w:lineRule="auto" w:before="30" w:after="30"/>
              <w:jc w:val="center"/>
            </w:pPr>
            <w:r>
              <w:rPr>
                <w:b w:val="0"/>
                <w:i w:val="0"/>
                <w:sz w:val="15"/>
              </w:rPr>
              <w:t>1.000</w:t>
            </w:r>
          </w:p>
        </w:tc>
        <w:tc>
          <w:tcPr>
            <w:tcW w:type="dxa" w:w="773"/>
          </w:tcPr>
          <w:p>
            <w:pPr>
              <w:pStyle w:val="MDPI42tablebody"/>
              <w:keepNext/>
              <w:spacing w:line="240" w:lineRule="auto" w:before="30" w:after="30"/>
              <w:jc w:val="center"/>
            </w:pPr>
          </w:p>
        </w:tc>
        <w:tc>
          <w:tcPr>
            <w:tcW w:type="dxa" w:w="773"/>
          </w:tcPr>
          <w:p>
            <w:pPr>
              <w:pStyle w:val="MDPI42tablebody"/>
              <w:keepNext/>
              <w:spacing w:line="240" w:lineRule="auto" w:before="30" w:after="30"/>
              <w:jc w:val="center"/>
            </w:pPr>
          </w:p>
        </w:tc>
        <w:tc>
          <w:tcPr>
            <w:tcW w:type="dxa" w:w="773"/>
          </w:tcPr>
          <w:p>
            <w:pPr>
              <w:pStyle w:val="MDPI42tablebody"/>
              <w:keepNext/>
              <w:spacing w:line="240" w:lineRule="auto" w:before="30" w:after="30"/>
              <w:jc w:val="center"/>
            </w:pPr>
          </w:p>
        </w:tc>
        <w:tc>
          <w:tcPr>
            <w:tcW w:type="dxa" w:w="773"/>
          </w:tcPr>
          <w:p>
            <w:pPr>
              <w:pStyle w:val="MDPI42tablebody"/>
              <w:keepNext/>
              <w:spacing w:line="240" w:lineRule="auto" w:before="30" w:after="30"/>
              <w:jc w:val="center"/>
            </w:pPr>
          </w:p>
        </w:tc>
        <w:tc>
          <w:tcPr>
            <w:tcW w:type="dxa" w:w="773"/>
          </w:tcPr>
          <w:p>
            <w:pPr>
              <w:pStyle w:val="MDPI42tablebody"/>
              <w:keepNext/>
              <w:spacing w:line="240" w:lineRule="auto" w:before="30" w:after="30"/>
              <w:jc w:val="center"/>
            </w:pPr>
          </w:p>
        </w:tc>
        <w:tc>
          <w:tcPr>
            <w:tcW w:type="dxa" w:w="773"/>
          </w:tcPr>
          <w:p>
            <w:pPr>
              <w:pStyle w:val="MDPI42tablebody"/>
              <w:keepNext/>
              <w:spacing w:line="240" w:lineRule="auto" w:before="30" w:after="30"/>
              <w:jc w:val="center"/>
            </w:pPr>
          </w:p>
        </w:tc>
      </w:tr>
      <w:tr>
        <w:trPr>
          <w:cantSplit/>
        </w:trPr>
        <w:tc>
          <w:tcPr>
            <w:tcW w:type="dxa" w:w="1025"/>
          </w:tcPr>
          <w:p>
            <w:pPr>
              <w:pStyle w:val="MDPI42tablebody"/>
              <w:keepNext/>
              <w:spacing w:line="240" w:lineRule="auto" w:before="30" w:after="30"/>
              <w:jc w:val="left"/>
            </w:pPr>
            <w:r>
              <w:rPr>
                <w:b w:val="0"/>
                <w:i/>
                <w:sz w:val="15"/>
              </w:rPr>
              <w:t>ANX</w:t>
            </w:r>
          </w:p>
        </w:tc>
        <w:tc>
          <w:tcPr>
            <w:tcW w:type="dxa" w:w="788"/>
          </w:tcPr>
          <w:p>
            <w:pPr>
              <w:pStyle w:val="MDPI42tablebody"/>
              <w:keepNext/>
              <w:spacing w:line="240" w:lineRule="auto" w:before="30" w:after="30"/>
              <w:jc w:val="center"/>
            </w:pPr>
            <w:r>
              <w:rPr>
                <w:b w:val="0"/>
                <w:i w:val="0"/>
                <w:sz w:val="15"/>
              </w:rPr>
              <w:t>0.000</w:t>
            </w:r>
          </w:p>
        </w:tc>
        <w:tc>
          <w:tcPr>
            <w:tcW w:type="dxa" w:w="631"/>
          </w:tcPr>
          <w:p>
            <w:pPr>
              <w:pStyle w:val="MDPI42tablebody"/>
              <w:keepNext/>
              <w:spacing w:line="240" w:lineRule="auto" w:before="30" w:after="30"/>
              <w:jc w:val="center"/>
            </w:pPr>
            <w:r>
              <w:rPr>
                <w:b w:val="0"/>
                <w:i w:val="0"/>
                <w:sz w:val="15"/>
              </w:rPr>
              <w:t>1.000</w:t>
            </w:r>
          </w:p>
        </w:tc>
        <w:tc>
          <w:tcPr>
            <w:tcW w:type="dxa" w:w="773"/>
          </w:tcPr>
          <w:p>
            <w:pPr>
              <w:pStyle w:val="MDPI42tablebody"/>
              <w:keepNext/>
              <w:spacing w:line="240" w:lineRule="auto" w:before="30" w:after="30"/>
              <w:jc w:val="center"/>
            </w:pPr>
            <w:r>
              <w:rPr>
                <w:b w:val="0"/>
                <w:i w:val="0"/>
                <w:sz w:val="15"/>
              </w:rPr>
              <w:t>0.480</w:t>
            </w:r>
          </w:p>
        </w:tc>
        <w:tc>
          <w:tcPr>
            <w:tcW w:type="dxa" w:w="773"/>
          </w:tcPr>
          <w:p>
            <w:pPr>
              <w:pStyle w:val="MDPI42tablebody"/>
              <w:keepNext/>
              <w:spacing w:line="240" w:lineRule="auto" w:before="30" w:after="30"/>
              <w:jc w:val="center"/>
            </w:pPr>
            <w:r>
              <w:rPr>
                <w:b w:val="0"/>
                <w:i w:val="0"/>
                <w:sz w:val="15"/>
              </w:rPr>
              <w:t>1.000</w:t>
            </w:r>
          </w:p>
        </w:tc>
        <w:tc>
          <w:tcPr>
            <w:tcW w:type="dxa" w:w="773"/>
          </w:tcPr>
          <w:p>
            <w:pPr>
              <w:pStyle w:val="MDPI42tablebody"/>
              <w:keepNext/>
              <w:spacing w:line="240" w:lineRule="auto" w:before="30" w:after="30"/>
              <w:jc w:val="center"/>
            </w:pPr>
          </w:p>
        </w:tc>
        <w:tc>
          <w:tcPr>
            <w:tcW w:type="dxa" w:w="773"/>
          </w:tcPr>
          <w:p>
            <w:pPr>
              <w:pStyle w:val="MDPI42tablebody"/>
              <w:keepNext/>
              <w:spacing w:line="240" w:lineRule="auto" w:before="30" w:after="30"/>
              <w:jc w:val="center"/>
            </w:pPr>
          </w:p>
        </w:tc>
        <w:tc>
          <w:tcPr>
            <w:tcW w:type="dxa" w:w="773"/>
          </w:tcPr>
          <w:p>
            <w:pPr>
              <w:pStyle w:val="MDPI42tablebody"/>
              <w:keepNext/>
              <w:spacing w:line="240" w:lineRule="auto" w:before="30" w:after="30"/>
              <w:jc w:val="center"/>
            </w:pPr>
          </w:p>
        </w:tc>
        <w:tc>
          <w:tcPr>
            <w:tcW w:type="dxa" w:w="773"/>
          </w:tcPr>
          <w:p>
            <w:pPr>
              <w:pStyle w:val="MDPI42tablebody"/>
              <w:keepNext/>
              <w:spacing w:line="240" w:lineRule="auto" w:before="30" w:after="30"/>
              <w:jc w:val="center"/>
            </w:pPr>
          </w:p>
        </w:tc>
        <w:tc>
          <w:tcPr>
            <w:tcW w:type="dxa" w:w="773"/>
          </w:tcPr>
          <w:p>
            <w:pPr>
              <w:pStyle w:val="MDPI42tablebody"/>
              <w:keepNext/>
              <w:spacing w:line="240" w:lineRule="auto" w:before="30" w:after="30"/>
              <w:jc w:val="center"/>
            </w:pPr>
          </w:p>
        </w:tc>
      </w:tr>
      <w:tr>
        <w:trPr>
          <w:cantSplit/>
        </w:trPr>
        <w:tc>
          <w:tcPr>
            <w:tcW w:type="dxa" w:w="1025"/>
          </w:tcPr>
          <w:p>
            <w:pPr>
              <w:pStyle w:val="MDPI42tablebody"/>
              <w:keepNext/>
              <w:spacing w:line="240" w:lineRule="auto" w:before="30" w:after="30"/>
              <w:jc w:val="left"/>
            </w:pPr>
            <w:r>
              <w:rPr>
                <w:b w:val="0"/>
                <w:i/>
                <w:sz w:val="15"/>
              </w:rPr>
              <w:t>LIT</w:t>
            </w:r>
          </w:p>
        </w:tc>
        <w:tc>
          <w:tcPr>
            <w:tcW w:type="dxa" w:w="788"/>
          </w:tcPr>
          <w:p>
            <w:pPr>
              <w:pStyle w:val="MDPI42tablebody"/>
              <w:keepNext/>
              <w:spacing w:line="240" w:lineRule="auto" w:before="30" w:after="30"/>
              <w:jc w:val="center"/>
            </w:pPr>
            <w:r>
              <w:rPr>
                <w:b w:val="0"/>
                <w:i w:val="0"/>
                <w:sz w:val="15"/>
              </w:rPr>
              <w:t>0.000</w:t>
            </w:r>
          </w:p>
        </w:tc>
        <w:tc>
          <w:tcPr>
            <w:tcW w:type="dxa" w:w="631"/>
          </w:tcPr>
          <w:p>
            <w:pPr>
              <w:pStyle w:val="MDPI42tablebody"/>
              <w:keepNext/>
              <w:spacing w:line="240" w:lineRule="auto" w:before="30" w:after="30"/>
              <w:jc w:val="center"/>
            </w:pPr>
            <w:r>
              <w:rPr>
                <w:b w:val="0"/>
                <w:i w:val="0"/>
                <w:sz w:val="15"/>
              </w:rPr>
              <w:t>1.000</w:t>
            </w:r>
          </w:p>
        </w:tc>
        <w:tc>
          <w:tcPr>
            <w:tcW w:type="dxa" w:w="773"/>
          </w:tcPr>
          <w:p>
            <w:pPr>
              <w:pStyle w:val="MDPI42tablebody"/>
              <w:keepNext/>
              <w:spacing w:line="240" w:lineRule="auto" w:before="30" w:after="30"/>
              <w:jc w:val="center"/>
            </w:pPr>
            <w:r>
              <w:rPr>
                <w:b w:val="0"/>
                <w:i w:val="0"/>
                <w:sz w:val="15"/>
              </w:rPr>
              <w:t>−0.056</w:t>
            </w:r>
          </w:p>
        </w:tc>
        <w:tc>
          <w:tcPr>
            <w:tcW w:type="dxa" w:w="773"/>
          </w:tcPr>
          <w:p>
            <w:pPr>
              <w:pStyle w:val="MDPI42tablebody"/>
              <w:keepNext/>
              <w:spacing w:line="240" w:lineRule="auto" w:before="30" w:after="30"/>
              <w:jc w:val="center"/>
            </w:pPr>
            <w:r>
              <w:rPr>
                <w:b w:val="0"/>
                <w:i w:val="0"/>
                <w:sz w:val="15"/>
              </w:rPr>
              <w:t>−0.002</w:t>
            </w:r>
          </w:p>
        </w:tc>
        <w:tc>
          <w:tcPr>
            <w:tcW w:type="dxa" w:w="773"/>
          </w:tcPr>
          <w:p>
            <w:pPr>
              <w:pStyle w:val="MDPI42tablebody"/>
              <w:keepNext/>
              <w:spacing w:line="240" w:lineRule="auto" w:before="30" w:after="30"/>
              <w:jc w:val="center"/>
            </w:pPr>
            <w:r>
              <w:rPr>
                <w:b w:val="0"/>
                <w:i w:val="0"/>
                <w:sz w:val="15"/>
              </w:rPr>
              <w:t>1.000</w:t>
            </w:r>
          </w:p>
        </w:tc>
        <w:tc>
          <w:tcPr>
            <w:tcW w:type="dxa" w:w="773"/>
          </w:tcPr>
          <w:p>
            <w:pPr>
              <w:pStyle w:val="MDPI42tablebody"/>
              <w:keepNext/>
              <w:spacing w:line="240" w:lineRule="auto" w:before="30" w:after="30"/>
              <w:jc w:val="center"/>
            </w:pPr>
          </w:p>
        </w:tc>
        <w:tc>
          <w:tcPr>
            <w:tcW w:type="dxa" w:w="773"/>
          </w:tcPr>
          <w:p>
            <w:pPr>
              <w:pStyle w:val="MDPI42tablebody"/>
              <w:keepNext/>
              <w:spacing w:line="240" w:lineRule="auto" w:before="30" w:after="30"/>
              <w:jc w:val="center"/>
            </w:pPr>
          </w:p>
        </w:tc>
        <w:tc>
          <w:tcPr>
            <w:tcW w:type="dxa" w:w="773"/>
          </w:tcPr>
          <w:p>
            <w:pPr>
              <w:pStyle w:val="MDPI42tablebody"/>
              <w:keepNext/>
              <w:spacing w:line="240" w:lineRule="auto" w:before="30" w:after="30"/>
              <w:jc w:val="center"/>
            </w:pPr>
          </w:p>
        </w:tc>
        <w:tc>
          <w:tcPr>
            <w:tcW w:type="dxa" w:w="773"/>
          </w:tcPr>
          <w:p>
            <w:pPr>
              <w:pStyle w:val="MDPI42tablebody"/>
              <w:keepNext/>
              <w:spacing w:line="240" w:lineRule="auto" w:before="30" w:after="30"/>
              <w:jc w:val="center"/>
            </w:pPr>
          </w:p>
        </w:tc>
      </w:tr>
      <w:tr>
        <w:trPr>
          <w:cantSplit/>
        </w:trPr>
        <w:tc>
          <w:tcPr>
            <w:tcW w:type="dxa" w:w="1025"/>
          </w:tcPr>
          <w:p>
            <w:pPr>
              <w:pStyle w:val="MDPI42tablebody"/>
              <w:keepNext/>
              <w:spacing w:line="240" w:lineRule="auto" w:before="30" w:after="30"/>
              <w:jc w:val="left"/>
            </w:pPr>
            <w:r>
              <w:rPr>
                <w:b w:val="0"/>
                <w:i/>
                <w:sz w:val="15"/>
              </w:rPr>
              <w:t>SUP</w:t>
            </w:r>
          </w:p>
        </w:tc>
        <w:tc>
          <w:tcPr>
            <w:tcW w:type="dxa" w:w="788"/>
          </w:tcPr>
          <w:p>
            <w:pPr>
              <w:pStyle w:val="MDPI42tablebody"/>
              <w:keepNext/>
              <w:spacing w:line="240" w:lineRule="auto" w:before="30" w:after="30"/>
              <w:jc w:val="center"/>
            </w:pPr>
            <w:r>
              <w:rPr>
                <w:b w:val="0"/>
                <w:i w:val="0"/>
                <w:sz w:val="15"/>
              </w:rPr>
              <w:t>0.000</w:t>
            </w:r>
          </w:p>
        </w:tc>
        <w:tc>
          <w:tcPr>
            <w:tcW w:type="dxa" w:w="631"/>
          </w:tcPr>
          <w:p>
            <w:pPr>
              <w:pStyle w:val="MDPI42tablebody"/>
              <w:keepNext/>
              <w:spacing w:line="240" w:lineRule="auto" w:before="30" w:after="30"/>
              <w:jc w:val="center"/>
            </w:pPr>
            <w:r>
              <w:rPr>
                <w:b w:val="0"/>
                <w:i w:val="0"/>
                <w:sz w:val="15"/>
              </w:rPr>
              <w:t>1.000</w:t>
            </w:r>
          </w:p>
        </w:tc>
        <w:tc>
          <w:tcPr>
            <w:tcW w:type="dxa" w:w="773"/>
          </w:tcPr>
          <w:p>
            <w:pPr>
              <w:pStyle w:val="MDPI42tablebody"/>
              <w:keepNext/>
              <w:spacing w:line="240" w:lineRule="auto" w:before="30" w:after="30"/>
              <w:jc w:val="center"/>
            </w:pPr>
            <w:r>
              <w:rPr>
                <w:b w:val="0"/>
                <w:i w:val="0"/>
                <w:sz w:val="15"/>
              </w:rPr>
              <w:t>0.022</w:t>
            </w:r>
          </w:p>
        </w:tc>
        <w:tc>
          <w:tcPr>
            <w:tcW w:type="dxa" w:w="773"/>
          </w:tcPr>
          <w:p>
            <w:pPr>
              <w:pStyle w:val="MDPI42tablebody"/>
              <w:keepNext/>
              <w:spacing w:line="240" w:lineRule="auto" w:before="30" w:after="30"/>
              <w:jc w:val="center"/>
            </w:pPr>
            <w:r>
              <w:rPr>
                <w:b w:val="0"/>
                <w:i w:val="0"/>
                <w:sz w:val="15"/>
              </w:rPr>
              <w:t>−0.166</w:t>
            </w:r>
          </w:p>
        </w:tc>
        <w:tc>
          <w:tcPr>
            <w:tcW w:type="dxa" w:w="773"/>
          </w:tcPr>
          <w:p>
            <w:pPr>
              <w:pStyle w:val="MDPI42tablebody"/>
              <w:keepNext/>
              <w:spacing w:line="240" w:lineRule="auto" w:before="30" w:after="30"/>
              <w:jc w:val="center"/>
            </w:pPr>
            <w:r>
              <w:rPr>
                <w:b w:val="0"/>
                <w:i w:val="0"/>
                <w:sz w:val="15"/>
              </w:rPr>
              <w:t>0.003</w:t>
            </w:r>
          </w:p>
        </w:tc>
        <w:tc>
          <w:tcPr>
            <w:tcW w:type="dxa" w:w="773"/>
          </w:tcPr>
          <w:p>
            <w:pPr>
              <w:pStyle w:val="MDPI42tablebody"/>
              <w:keepNext/>
              <w:spacing w:line="240" w:lineRule="auto" w:before="30" w:after="30"/>
              <w:jc w:val="center"/>
            </w:pPr>
            <w:r>
              <w:rPr>
                <w:b w:val="0"/>
                <w:i w:val="0"/>
                <w:sz w:val="15"/>
              </w:rPr>
              <w:t>1.000</w:t>
            </w:r>
          </w:p>
        </w:tc>
        <w:tc>
          <w:tcPr>
            <w:tcW w:type="dxa" w:w="773"/>
          </w:tcPr>
          <w:p>
            <w:pPr>
              <w:pStyle w:val="MDPI42tablebody"/>
              <w:keepNext/>
              <w:spacing w:line="240" w:lineRule="auto" w:before="30" w:after="30"/>
              <w:jc w:val="center"/>
            </w:pPr>
          </w:p>
        </w:tc>
        <w:tc>
          <w:tcPr>
            <w:tcW w:type="dxa" w:w="773"/>
          </w:tcPr>
          <w:p>
            <w:pPr>
              <w:pStyle w:val="MDPI42tablebody"/>
              <w:keepNext/>
              <w:spacing w:line="240" w:lineRule="auto" w:before="30" w:after="30"/>
              <w:jc w:val="center"/>
            </w:pPr>
          </w:p>
        </w:tc>
        <w:tc>
          <w:tcPr>
            <w:tcW w:type="dxa" w:w="773"/>
          </w:tcPr>
          <w:p>
            <w:pPr>
              <w:pStyle w:val="MDPI42tablebody"/>
              <w:keepNext/>
              <w:spacing w:line="240" w:lineRule="auto" w:before="30" w:after="30"/>
              <w:jc w:val="center"/>
            </w:pPr>
          </w:p>
        </w:tc>
      </w:tr>
      <w:tr>
        <w:trPr>
          <w:cantSplit/>
        </w:trPr>
        <w:tc>
          <w:tcPr>
            <w:tcW w:type="dxa" w:w="1025"/>
          </w:tcPr>
          <w:p>
            <w:pPr>
              <w:pStyle w:val="MDPI42tablebody"/>
              <w:keepNext/>
              <w:spacing w:line="240" w:lineRule="auto" w:before="30" w:after="30"/>
              <w:jc w:val="left"/>
            </w:pPr>
            <w:r>
              <w:rPr>
                <w:b w:val="0"/>
                <w:i/>
                <w:sz w:val="15"/>
              </w:rPr>
              <w:t>ADP</w:t>
            </w:r>
          </w:p>
        </w:tc>
        <w:tc>
          <w:tcPr>
            <w:tcW w:type="dxa" w:w="788"/>
          </w:tcPr>
          <w:p>
            <w:pPr>
              <w:pStyle w:val="MDPI42tablebody"/>
              <w:keepNext/>
              <w:spacing w:line="240" w:lineRule="auto" w:before="30" w:after="30"/>
              <w:jc w:val="center"/>
            </w:pPr>
            <w:r>
              <w:rPr>
                <w:b w:val="0"/>
                <w:i w:val="0"/>
                <w:sz w:val="15"/>
              </w:rPr>
              <w:t>0.000</w:t>
            </w:r>
          </w:p>
        </w:tc>
        <w:tc>
          <w:tcPr>
            <w:tcW w:type="dxa" w:w="631"/>
          </w:tcPr>
          <w:p>
            <w:pPr>
              <w:pStyle w:val="MDPI42tablebody"/>
              <w:keepNext/>
              <w:spacing w:line="240" w:lineRule="auto" w:before="30" w:after="30"/>
              <w:jc w:val="center"/>
            </w:pPr>
            <w:r>
              <w:rPr>
                <w:b w:val="0"/>
                <w:i w:val="0"/>
                <w:sz w:val="15"/>
              </w:rPr>
              <w:t>1.000</w:t>
            </w:r>
          </w:p>
        </w:tc>
        <w:tc>
          <w:tcPr>
            <w:tcW w:type="dxa" w:w="773"/>
          </w:tcPr>
          <w:p>
            <w:pPr>
              <w:pStyle w:val="MDPI42tablebody"/>
              <w:keepNext/>
              <w:spacing w:line="240" w:lineRule="auto" w:before="30" w:after="30"/>
              <w:jc w:val="center"/>
            </w:pPr>
            <w:r>
              <w:rPr>
                <w:b w:val="0"/>
                <w:i w:val="0"/>
                <w:sz w:val="15"/>
              </w:rPr>
              <w:t>0.068</w:t>
            </w:r>
          </w:p>
        </w:tc>
        <w:tc>
          <w:tcPr>
            <w:tcW w:type="dxa" w:w="773"/>
          </w:tcPr>
          <w:p>
            <w:pPr>
              <w:pStyle w:val="MDPI42tablebody"/>
              <w:keepNext/>
              <w:spacing w:line="240" w:lineRule="auto" w:before="30" w:after="30"/>
              <w:jc w:val="center"/>
            </w:pPr>
            <w:r>
              <w:rPr>
                <w:b w:val="0"/>
                <w:i w:val="0"/>
                <w:sz w:val="15"/>
              </w:rPr>
              <w:t>0.144</w:t>
            </w:r>
          </w:p>
        </w:tc>
        <w:tc>
          <w:tcPr>
            <w:tcW w:type="dxa" w:w="773"/>
          </w:tcPr>
          <w:p>
            <w:pPr>
              <w:pStyle w:val="MDPI42tablebody"/>
              <w:keepNext/>
              <w:spacing w:line="240" w:lineRule="auto" w:before="30" w:after="30"/>
              <w:jc w:val="center"/>
            </w:pPr>
            <w:r>
              <w:rPr>
                <w:b w:val="0"/>
                <w:i w:val="0"/>
                <w:sz w:val="15"/>
              </w:rPr>
              <w:t>0.280</w:t>
            </w:r>
          </w:p>
        </w:tc>
        <w:tc>
          <w:tcPr>
            <w:tcW w:type="dxa" w:w="773"/>
          </w:tcPr>
          <w:p>
            <w:pPr>
              <w:pStyle w:val="MDPI42tablebody"/>
              <w:keepNext/>
              <w:spacing w:line="240" w:lineRule="auto" w:before="30" w:after="30"/>
              <w:jc w:val="center"/>
            </w:pPr>
            <w:r>
              <w:rPr>
                <w:b w:val="0"/>
                <w:i w:val="0"/>
                <w:sz w:val="15"/>
              </w:rPr>
              <w:t>0.180</w:t>
            </w:r>
          </w:p>
        </w:tc>
        <w:tc>
          <w:tcPr>
            <w:tcW w:type="dxa" w:w="773"/>
          </w:tcPr>
          <w:p>
            <w:pPr>
              <w:pStyle w:val="MDPI42tablebody"/>
              <w:keepNext/>
              <w:spacing w:line="240" w:lineRule="auto" w:before="30" w:after="30"/>
              <w:jc w:val="center"/>
            </w:pPr>
            <w:r>
              <w:rPr>
                <w:b w:val="0"/>
                <w:i w:val="0"/>
                <w:sz w:val="15"/>
              </w:rPr>
              <w:t>1.000</w:t>
            </w:r>
          </w:p>
        </w:tc>
        <w:tc>
          <w:tcPr>
            <w:tcW w:type="dxa" w:w="773"/>
          </w:tcPr>
          <w:p>
            <w:pPr>
              <w:pStyle w:val="MDPI42tablebody"/>
              <w:keepNext/>
              <w:spacing w:line="240" w:lineRule="auto" w:before="30" w:after="30"/>
              <w:jc w:val="center"/>
            </w:pPr>
          </w:p>
        </w:tc>
        <w:tc>
          <w:tcPr>
            <w:tcW w:type="dxa" w:w="773"/>
          </w:tcPr>
          <w:p>
            <w:pPr>
              <w:pStyle w:val="MDPI42tablebody"/>
              <w:keepNext/>
              <w:spacing w:line="240" w:lineRule="auto" w:before="30" w:after="30"/>
              <w:jc w:val="center"/>
            </w:pPr>
          </w:p>
        </w:tc>
      </w:tr>
      <w:tr>
        <w:trPr>
          <w:cantSplit/>
        </w:trPr>
        <w:tc>
          <w:tcPr>
            <w:tcW w:type="dxa" w:w="1025"/>
          </w:tcPr>
          <w:p>
            <w:pPr>
              <w:pStyle w:val="MDPI42tablebody"/>
              <w:keepNext/>
              <w:spacing w:line="240" w:lineRule="auto" w:before="30" w:after="30"/>
              <w:jc w:val="left"/>
            </w:pPr>
            <w:r>
              <w:rPr>
                <w:b w:val="0"/>
                <w:i/>
                <w:sz w:val="15"/>
              </w:rPr>
              <w:t>AVD</w:t>
            </w:r>
          </w:p>
        </w:tc>
        <w:tc>
          <w:tcPr>
            <w:tcW w:type="dxa" w:w="788"/>
          </w:tcPr>
          <w:p>
            <w:pPr>
              <w:pStyle w:val="MDPI42tablebody"/>
              <w:keepNext/>
              <w:spacing w:line="240" w:lineRule="auto" w:before="30" w:after="30"/>
              <w:jc w:val="center"/>
            </w:pPr>
            <w:r>
              <w:rPr>
                <w:b w:val="0"/>
                <w:i w:val="0"/>
                <w:sz w:val="15"/>
              </w:rPr>
              <w:t>0.000</w:t>
            </w:r>
          </w:p>
        </w:tc>
        <w:tc>
          <w:tcPr>
            <w:tcW w:type="dxa" w:w="631"/>
          </w:tcPr>
          <w:p>
            <w:pPr>
              <w:pStyle w:val="MDPI42tablebody"/>
              <w:keepNext/>
              <w:spacing w:line="240" w:lineRule="auto" w:before="30" w:after="30"/>
              <w:jc w:val="center"/>
            </w:pPr>
            <w:r>
              <w:rPr>
                <w:b w:val="0"/>
                <w:i w:val="0"/>
                <w:sz w:val="15"/>
              </w:rPr>
              <w:t>1.000</w:t>
            </w:r>
          </w:p>
        </w:tc>
        <w:tc>
          <w:tcPr>
            <w:tcW w:type="dxa" w:w="773"/>
          </w:tcPr>
          <w:p>
            <w:pPr>
              <w:pStyle w:val="MDPI42tablebody"/>
              <w:keepNext/>
              <w:spacing w:line="240" w:lineRule="auto" w:before="30" w:after="30"/>
              <w:jc w:val="center"/>
            </w:pPr>
            <w:r>
              <w:rPr>
                <w:b w:val="0"/>
                <w:i w:val="0"/>
                <w:sz w:val="15"/>
              </w:rPr>
              <w:t>0.285</w:t>
            </w:r>
          </w:p>
        </w:tc>
        <w:tc>
          <w:tcPr>
            <w:tcW w:type="dxa" w:w="773"/>
          </w:tcPr>
          <w:p>
            <w:pPr>
              <w:pStyle w:val="MDPI42tablebody"/>
              <w:keepNext/>
              <w:spacing w:line="240" w:lineRule="auto" w:before="30" w:after="30"/>
              <w:jc w:val="center"/>
            </w:pPr>
            <w:r>
              <w:rPr>
                <w:b w:val="0"/>
                <w:i w:val="0"/>
                <w:sz w:val="15"/>
              </w:rPr>
              <w:t>0.474</w:t>
            </w:r>
          </w:p>
        </w:tc>
        <w:tc>
          <w:tcPr>
            <w:tcW w:type="dxa" w:w="773"/>
          </w:tcPr>
          <w:p>
            <w:pPr>
              <w:pStyle w:val="MDPI42tablebody"/>
              <w:keepNext/>
              <w:spacing w:line="240" w:lineRule="auto" w:before="30" w:after="30"/>
              <w:jc w:val="center"/>
            </w:pPr>
            <w:r>
              <w:rPr>
                <w:b w:val="0"/>
                <w:i w:val="0"/>
                <w:sz w:val="15"/>
              </w:rPr>
              <w:t>−0.139</w:t>
            </w:r>
          </w:p>
        </w:tc>
        <w:tc>
          <w:tcPr>
            <w:tcW w:type="dxa" w:w="773"/>
          </w:tcPr>
          <w:p>
            <w:pPr>
              <w:pStyle w:val="MDPI42tablebody"/>
              <w:keepNext/>
              <w:spacing w:line="240" w:lineRule="auto" w:before="30" w:after="30"/>
              <w:jc w:val="center"/>
            </w:pPr>
            <w:r>
              <w:rPr>
                <w:b w:val="0"/>
                <w:i w:val="0"/>
                <w:sz w:val="15"/>
              </w:rPr>
              <w:t>−0.180</w:t>
            </w:r>
          </w:p>
        </w:tc>
        <w:tc>
          <w:tcPr>
            <w:tcW w:type="dxa" w:w="773"/>
          </w:tcPr>
          <w:p>
            <w:pPr>
              <w:pStyle w:val="MDPI42tablebody"/>
              <w:keepNext/>
              <w:spacing w:line="240" w:lineRule="auto" w:before="30" w:after="30"/>
              <w:jc w:val="center"/>
            </w:pPr>
            <w:r>
              <w:rPr>
                <w:b w:val="0"/>
                <w:i w:val="0"/>
                <w:sz w:val="15"/>
              </w:rPr>
              <w:t>−0.019</w:t>
            </w:r>
          </w:p>
        </w:tc>
        <w:tc>
          <w:tcPr>
            <w:tcW w:type="dxa" w:w="773"/>
          </w:tcPr>
          <w:p>
            <w:pPr>
              <w:pStyle w:val="MDPI42tablebody"/>
              <w:keepNext/>
              <w:spacing w:line="240" w:lineRule="auto" w:before="30" w:after="30"/>
              <w:jc w:val="center"/>
            </w:pPr>
            <w:r>
              <w:rPr>
                <w:b w:val="0"/>
                <w:i w:val="0"/>
                <w:sz w:val="15"/>
              </w:rPr>
              <w:t>1.000</w:t>
            </w:r>
          </w:p>
        </w:tc>
        <w:tc>
          <w:tcPr>
            <w:tcW w:type="dxa" w:w="773"/>
          </w:tcPr>
          <w:p>
            <w:pPr>
              <w:pStyle w:val="MDPI42tablebody"/>
              <w:keepNext/>
              <w:spacing w:line="240" w:lineRule="auto" w:before="30" w:after="30"/>
              <w:jc w:val="center"/>
            </w:pPr>
          </w:p>
        </w:tc>
      </w:tr>
      <w:tr>
        <w:trPr>
          <w:cantSplit/>
        </w:trPr>
        <w:tc>
          <w:tcPr>
            <w:tcW w:type="dxa" w:w="1025"/>
          </w:tcPr>
          <w:p>
            <w:pPr>
              <w:pStyle w:val="MDPI42tablebody"/>
              <w:keepNext/>
              <w:spacing w:line="240" w:lineRule="auto" w:before="30" w:after="30"/>
              <w:jc w:val="left"/>
            </w:pPr>
            <w:r>
              <w:rPr>
                <w:b w:val="0"/>
                <w:i/>
                <w:sz w:val="15"/>
              </w:rPr>
              <w:t>EXPO</w:t>
            </w:r>
          </w:p>
        </w:tc>
        <w:tc>
          <w:tcPr>
            <w:tcW w:type="dxa" w:w="788"/>
          </w:tcPr>
          <w:p>
            <w:pPr>
              <w:pStyle w:val="MDPI42tablebody"/>
              <w:keepNext/>
              <w:spacing w:line="240" w:lineRule="auto" w:before="30" w:after="30"/>
              <w:jc w:val="center"/>
            </w:pPr>
            <w:r>
              <w:rPr>
                <w:b w:val="0"/>
                <w:i w:val="0"/>
                <w:sz w:val="15"/>
              </w:rPr>
              <w:t>0.000</w:t>
            </w:r>
          </w:p>
        </w:tc>
        <w:tc>
          <w:tcPr>
            <w:tcW w:type="dxa" w:w="631"/>
          </w:tcPr>
          <w:p>
            <w:pPr>
              <w:pStyle w:val="MDPI42tablebody"/>
              <w:keepNext/>
              <w:spacing w:line="240" w:lineRule="auto" w:before="30" w:after="30"/>
              <w:jc w:val="center"/>
            </w:pPr>
            <w:r>
              <w:rPr>
                <w:b w:val="0"/>
                <w:i w:val="0"/>
                <w:sz w:val="15"/>
              </w:rPr>
              <w:t>1.000</w:t>
            </w:r>
          </w:p>
        </w:tc>
        <w:tc>
          <w:tcPr>
            <w:tcW w:type="dxa" w:w="773"/>
          </w:tcPr>
          <w:p>
            <w:pPr>
              <w:pStyle w:val="MDPI42tablebody"/>
              <w:keepNext/>
              <w:spacing w:line="240" w:lineRule="auto" w:before="30" w:after="30"/>
              <w:jc w:val="center"/>
            </w:pPr>
            <w:r>
              <w:rPr>
                <w:b w:val="0"/>
                <w:i w:val="0"/>
                <w:sz w:val="15"/>
              </w:rPr>
              <w:t>0.492</w:t>
            </w:r>
          </w:p>
        </w:tc>
        <w:tc>
          <w:tcPr>
            <w:tcW w:type="dxa" w:w="773"/>
          </w:tcPr>
          <w:p>
            <w:pPr>
              <w:pStyle w:val="MDPI42tablebody"/>
              <w:keepNext/>
              <w:spacing w:line="240" w:lineRule="auto" w:before="30" w:after="30"/>
              <w:jc w:val="center"/>
            </w:pPr>
            <w:r>
              <w:rPr>
                <w:b w:val="0"/>
                <w:i w:val="0"/>
                <w:sz w:val="15"/>
              </w:rPr>
              <w:t>0.263</w:t>
            </w:r>
          </w:p>
        </w:tc>
        <w:tc>
          <w:tcPr>
            <w:tcW w:type="dxa" w:w="773"/>
          </w:tcPr>
          <w:p>
            <w:pPr>
              <w:pStyle w:val="MDPI42tablebody"/>
              <w:keepNext/>
              <w:spacing w:line="240" w:lineRule="auto" w:before="30" w:after="30"/>
              <w:jc w:val="center"/>
            </w:pPr>
            <w:r>
              <w:rPr>
                <w:b w:val="0"/>
                <w:i w:val="0"/>
                <w:sz w:val="15"/>
              </w:rPr>
              <w:t>0.029</w:t>
            </w:r>
          </w:p>
        </w:tc>
        <w:tc>
          <w:tcPr>
            <w:tcW w:type="dxa" w:w="773"/>
          </w:tcPr>
          <w:p>
            <w:pPr>
              <w:pStyle w:val="MDPI42tablebody"/>
              <w:keepNext/>
              <w:spacing w:line="240" w:lineRule="auto" w:before="30" w:after="30"/>
              <w:jc w:val="center"/>
            </w:pPr>
            <w:r>
              <w:rPr>
                <w:b w:val="0"/>
                <w:i w:val="0"/>
                <w:sz w:val="15"/>
              </w:rPr>
              <w:t>0.012</w:t>
            </w:r>
          </w:p>
        </w:tc>
        <w:tc>
          <w:tcPr>
            <w:tcW w:type="dxa" w:w="773"/>
          </w:tcPr>
          <w:p>
            <w:pPr>
              <w:pStyle w:val="MDPI42tablebody"/>
              <w:keepNext/>
              <w:spacing w:line="240" w:lineRule="auto" w:before="30" w:after="30"/>
              <w:jc w:val="center"/>
            </w:pPr>
            <w:r>
              <w:rPr>
                <w:b w:val="0"/>
                <w:i w:val="0"/>
                <w:sz w:val="15"/>
              </w:rPr>
              <w:t>0.034</w:t>
            </w:r>
          </w:p>
        </w:tc>
        <w:tc>
          <w:tcPr>
            <w:tcW w:type="dxa" w:w="773"/>
          </w:tcPr>
          <w:p>
            <w:pPr>
              <w:pStyle w:val="MDPI42tablebody"/>
              <w:keepNext/>
              <w:spacing w:line="240" w:lineRule="auto" w:before="30" w:after="30"/>
              <w:jc w:val="center"/>
            </w:pPr>
            <w:r>
              <w:rPr>
                <w:b w:val="0"/>
                <w:i w:val="0"/>
                <w:sz w:val="15"/>
              </w:rPr>
              <w:t>0.153</w:t>
            </w:r>
          </w:p>
        </w:tc>
        <w:tc>
          <w:tcPr>
            <w:tcW w:type="dxa" w:w="773"/>
          </w:tcPr>
          <w:p>
            <w:pPr>
              <w:pStyle w:val="MDPI42tablebody"/>
              <w:keepNext/>
              <w:spacing w:line="240" w:lineRule="auto" w:before="30" w:after="30"/>
              <w:jc w:val="center"/>
            </w:pPr>
            <w:r>
              <w:rPr>
                <w:b w:val="0"/>
                <w:i w:val="0"/>
                <w:sz w:val="15"/>
              </w:rPr>
              <w:t>1.000</w:t>
            </w:r>
          </w:p>
        </w:tc>
      </w:tr>
    </w:tbl>
    <w:p>
      <w:pPr>
        <w:pStyle w:val="MDPI43tablefooter"/>
        <w:spacing w:line="240" w:lineRule="auto" w:before="40" w:after="200"/>
        <w:ind w:left="2608" w:firstLine="0"/>
      </w:pPr>
      <w:r>
        <w:rPr>
          <w:sz w:val="16"/>
        </w:rPr>
        <w:t xml:space="preserve">Note: </w:t>
      </w:r>
      <w:r>
        <w:rPr>
          <w:b w:val="0"/>
          <w:i w:val="0"/>
          <w:sz w:val="16"/>
        </w:rPr>
        <w:t>Bartlett factor scores, standardized; EXPO is the standardized occupational exposure score. Lower triangle: Pearson correlations (N = 914). Correlations of magnitude 0.07 or larger are significant at the 5% level. Source: authors’ own calculations.</w:t>
      </w:r>
    </w:p>
    <w:p>
      <w:pPr>
        <w:pStyle w:val="MDPI22heading2"/>
      </w:pPr>
      <w:r>
        <w:t>4.4. Hypothesis Testing: The First Stage</w:t>
      </w:r>
    </w:p>
    <w:p>
      <w:pPr>
        <w:pStyle w:val="MDPI32textnoindent"/>
      </w:pPr>
      <w:r>
        <w:rPr>
          <w:b w:val="0"/>
          <w:i w:val="0"/>
        </w:rPr>
        <w:t>The first stage was investigated using the hierarchical regression method, and the results are shown in Table 6. Model (1) includes only perceived depreciation; Model (2) adds the control variables; Model (3) introduces perceived employability support; and Model (4) adds the interaction term. The results show that the regression coefficient of perceived depreciation on anxiety is 0.487 (standard error 0.027, p &lt; 0.01) in the full specification, and Hypothesis H1 is verified. Support enters negatively (−0.171, p &lt; 0.01), and the interaction coefficient is −0.154 (p &lt; 0.001), so the conversion of depreciation into anxiety weakens as support rises; Hypothesis H6 is verified. Model (5) repeats the full specification on the complete first-wave sample (N = 1,247) with a practically identical pass-through (0.455), confirming that panel attrition does not shape the first stage.</w:t>
      </w:r>
    </w:p>
    <w:p>
      <w:pPr>
        <w:pStyle w:val="MDPI41tablecaption"/>
        <w:keepNext/>
        <w:spacing w:after="60"/>
      </w:pPr>
      <w:r>
        <w:rPr>
          <w:b/>
          <w:sz w:val="18"/>
        </w:rPr>
        <w:t xml:space="preserve">Table 6. </w:t>
      </w:r>
      <w:r>
        <w:rPr>
          <w:b w:val="0"/>
          <w:i w:val="0"/>
          <w:sz w:val="18"/>
        </w:rPr>
        <w:t>First stage: perceived depreciation into career anxiety (H1, H6).</w:t>
      </w:r>
    </w:p>
    <w:tbl>
      <w:tblPr>
        <w:tblStyle w:val="MDPI41threelinetable"/>
        <w:tblW w:w="7858" w:type="dxa"/>
        <w:tblInd w:w="2608" w:type="dxa"/>
        <w:tblBorders>
          <w:top w:val="single" w:sz="8" w:space="0" w:color="auto"/>
          <w:left w:val="none" w:sz="0" w:space="0" w:color="auto"/>
          <w:bottom w:val="single" w:sz="8" w:space="0" w:color="auto"/>
          <w:right w:val="none" w:sz="0" w:space="0" w:color="auto"/>
          <w:insideH w:val="none" w:sz="0" w:space="0" w:color="auto"/>
          <w:insideV w:val="none" w:sz="0" w:space="0" w:color="auto"/>
        </w:tblBorders>
        <w:tblLayout w:type="fixed"/>
        <w:tblCellMar>
          <w:top w:w="0" w:type="dxa"/>
          <w:left w:w="57" w:type="dxa"/>
          <w:bottom w:w="0" w:type="dxa"/>
          <w:right w:w="57" w:type="dxa"/>
        </w:tblCellMar>
        <w:tblLook w:firstColumn="1" w:firstRow="1" w:lastColumn="0" w:lastRow="0" w:noHBand="0" w:noVBand="1" w:val="04A0"/>
      </w:tblPr>
      <w:tblGrid>
        <w:gridCol w:w="1964"/>
        <w:gridCol w:w="1178"/>
        <w:gridCol w:w="1178"/>
        <w:gridCol w:w="1178"/>
        <w:gridCol w:w="1178"/>
        <w:gridCol w:w="1178"/>
      </w:tblGrid>
      <w:tr>
        <w:trPr>
          <w:cantSplit/>
          <w:tblHeader/>
        </w:trPr>
        <w:tc>
          <w:tcPr>
            <w:tcW w:type="dxa" w:w="1964"/>
            <w:tcBorders>
              <w:bottom w:val="single" w:sz="8" w:space="0" w:color="auto"/>
            </w:tcBorders>
          </w:tcPr>
          <w:p>
            <w:pPr>
              <w:pStyle w:val="MDPI42tablebody"/>
              <w:keepNext/>
              <w:spacing w:line="240" w:lineRule="auto" w:before="30" w:after="30"/>
              <w:jc w:val="center"/>
            </w:pPr>
          </w:p>
        </w:tc>
        <w:tc>
          <w:tcPr>
            <w:tcW w:type="dxa" w:w="1178"/>
            <w:tcBorders>
              <w:bottom w:val="single" w:sz="8" w:space="0" w:color="auto"/>
            </w:tcBorders>
          </w:tcPr>
          <w:p>
            <w:pPr>
              <w:pStyle w:val="MDPI42tablebody"/>
              <w:keepNext/>
              <w:spacing w:line="240" w:lineRule="auto" w:before="30" w:after="30"/>
              <w:jc w:val="center"/>
            </w:pPr>
            <w:r>
              <w:rPr>
                <w:b/>
                <w:i w:val="0"/>
                <w:sz w:val="18"/>
              </w:rPr>
              <w:t>(1)</w:t>
            </w:r>
          </w:p>
        </w:tc>
        <w:tc>
          <w:tcPr>
            <w:tcW w:type="dxa" w:w="1178"/>
            <w:tcBorders>
              <w:bottom w:val="single" w:sz="8" w:space="0" w:color="auto"/>
            </w:tcBorders>
          </w:tcPr>
          <w:p>
            <w:pPr>
              <w:pStyle w:val="MDPI42tablebody"/>
              <w:keepNext/>
              <w:spacing w:line="240" w:lineRule="auto" w:before="30" w:after="30"/>
              <w:jc w:val="center"/>
            </w:pPr>
            <w:r>
              <w:rPr>
                <w:b/>
                <w:i w:val="0"/>
                <w:sz w:val="18"/>
              </w:rPr>
              <w:t>(2)</w:t>
            </w:r>
          </w:p>
        </w:tc>
        <w:tc>
          <w:tcPr>
            <w:tcW w:type="dxa" w:w="1178"/>
            <w:tcBorders>
              <w:bottom w:val="single" w:sz="8" w:space="0" w:color="auto"/>
            </w:tcBorders>
          </w:tcPr>
          <w:p>
            <w:pPr>
              <w:pStyle w:val="MDPI42tablebody"/>
              <w:keepNext/>
              <w:spacing w:line="240" w:lineRule="auto" w:before="30" w:after="30"/>
              <w:jc w:val="center"/>
            </w:pPr>
            <w:r>
              <w:rPr>
                <w:b/>
                <w:i w:val="0"/>
                <w:sz w:val="18"/>
              </w:rPr>
              <w:t>(3)</w:t>
            </w:r>
          </w:p>
        </w:tc>
        <w:tc>
          <w:tcPr>
            <w:tcW w:type="dxa" w:w="1178"/>
            <w:tcBorders>
              <w:bottom w:val="single" w:sz="8" w:space="0" w:color="auto"/>
            </w:tcBorders>
          </w:tcPr>
          <w:p>
            <w:pPr>
              <w:pStyle w:val="MDPI42tablebody"/>
              <w:keepNext/>
              <w:spacing w:line="240" w:lineRule="auto" w:before="30" w:after="30"/>
              <w:jc w:val="center"/>
            </w:pPr>
            <w:r>
              <w:rPr>
                <w:b/>
                <w:i w:val="0"/>
                <w:sz w:val="18"/>
              </w:rPr>
              <w:t>(4)</w:t>
            </w:r>
          </w:p>
        </w:tc>
        <w:tc>
          <w:tcPr>
            <w:tcW w:type="dxa" w:w="1178"/>
            <w:tcBorders>
              <w:bottom w:val="single" w:sz="8" w:space="0" w:color="auto"/>
            </w:tcBorders>
          </w:tcPr>
          <w:p>
            <w:pPr>
              <w:pStyle w:val="MDPI42tablebody"/>
              <w:keepNext/>
              <w:spacing w:line="240" w:lineRule="auto" w:before="30" w:after="30"/>
              <w:jc w:val="center"/>
            </w:pPr>
            <w:r>
              <w:rPr>
                <w:b/>
                <w:i w:val="0"/>
                <w:sz w:val="18"/>
              </w:rPr>
              <w:t>(5)</w:t>
            </w:r>
          </w:p>
        </w:tc>
      </w:tr>
      <w:tr>
        <w:trPr>
          <w:cantSplit/>
        </w:trPr>
        <w:tc>
          <w:tcPr>
            <w:tcW w:type="dxa" w:w="1964"/>
          </w:tcPr>
          <w:p>
            <w:pPr>
              <w:pStyle w:val="MDPI42tablebody"/>
              <w:keepNext/>
              <w:spacing w:line="240" w:lineRule="auto" w:before="30" w:after="30"/>
              <w:jc w:val="left"/>
            </w:pPr>
            <w:r>
              <w:rPr>
                <w:b w:val="0"/>
                <w:i w:val="0"/>
                <w:sz w:val="18"/>
              </w:rPr>
              <w:t>PHCD</w:t>
            </w:r>
          </w:p>
        </w:tc>
        <w:tc>
          <w:tcPr>
            <w:tcW w:type="dxa" w:w="1178"/>
          </w:tcPr>
          <w:p>
            <w:pPr>
              <w:pStyle w:val="MDPI42tablebody"/>
              <w:keepNext/>
              <w:spacing w:line="240" w:lineRule="auto" w:before="30" w:after="30"/>
              <w:jc w:val="center"/>
            </w:pPr>
            <w:r>
              <w:rPr>
                <w:b w:val="0"/>
                <w:i w:val="0"/>
                <w:sz w:val="18"/>
              </w:rPr>
              <w:t>0.480***</w:t>
            </w:r>
          </w:p>
        </w:tc>
        <w:tc>
          <w:tcPr>
            <w:tcW w:type="dxa" w:w="1178"/>
          </w:tcPr>
          <w:p>
            <w:pPr>
              <w:pStyle w:val="MDPI42tablebody"/>
              <w:keepNext/>
              <w:spacing w:line="240" w:lineRule="auto" w:before="30" w:after="30"/>
              <w:jc w:val="center"/>
            </w:pPr>
            <w:r>
              <w:rPr>
                <w:b w:val="0"/>
                <w:i w:val="0"/>
                <w:sz w:val="18"/>
              </w:rPr>
              <w:t>0.486***</w:t>
            </w:r>
          </w:p>
        </w:tc>
        <w:tc>
          <w:tcPr>
            <w:tcW w:type="dxa" w:w="1178"/>
          </w:tcPr>
          <w:p>
            <w:pPr>
              <w:pStyle w:val="MDPI42tablebody"/>
              <w:keepNext/>
              <w:spacing w:line="240" w:lineRule="auto" w:before="30" w:after="30"/>
              <w:jc w:val="center"/>
            </w:pPr>
            <w:r>
              <w:rPr>
                <w:b w:val="0"/>
                <w:i w:val="0"/>
                <w:sz w:val="18"/>
              </w:rPr>
              <w:t>0.490***</w:t>
            </w:r>
          </w:p>
        </w:tc>
        <w:tc>
          <w:tcPr>
            <w:tcW w:type="dxa" w:w="1178"/>
          </w:tcPr>
          <w:p>
            <w:pPr>
              <w:pStyle w:val="MDPI42tablebody"/>
              <w:keepNext/>
              <w:spacing w:line="240" w:lineRule="auto" w:before="30" w:after="30"/>
              <w:jc w:val="center"/>
            </w:pPr>
            <w:r>
              <w:rPr>
                <w:b w:val="0"/>
                <w:i w:val="0"/>
                <w:sz w:val="18"/>
              </w:rPr>
              <w:t>0.487***</w:t>
            </w:r>
          </w:p>
        </w:tc>
        <w:tc>
          <w:tcPr>
            <w:tcW w:type="dxa" w:w="1178"/>
          </w:tcPr>
          <w:p>
            <w:pPr>
              <w:pStyle w:val="MDPI42tablebody"/>
              <w:keepNext/>
              <w:spacing w:line="240" w:lineRule="auto" w:before="30" w:after="30"/>
              <w:jc w:val="center"/>
            </w:pPr>
            <w:r>
              <w:rPr>
                <w:b w:val="0"/>
                <w:i w:val="0"/>
                <w:sz w:val="18"/>
              </w:rPr>
              <w:t>0.455***</w:t>
            </w:r>
          </w:p>
        </w:tc>
      </w:tr>
      <w:tr>
        <w:trPr>
          <w:cantSplit/>
        </w:trPr>
        <w:tc>
          <w:tcPr>
            <w:tcW w:type="dxa" w:w="1964"/>
          </w:tcPr>
          <w:p>
            <w:pPr>
              <w:pStyle w:val="MDPI42tablebody"/>
              <w:keepNext/>
              <w:spacing w:line="240" w:lineRule="auto" w:before="30" w:after="30"/>
              <w:jc w:val="left"/>
            </w:pPr>
          </w:p>
        </w:tc>
        <w:tc>
          <w:tcPr>
            <w:tcW w:type="dxa" w:w="1178"/>
          </w:tcPr>
          <w:p>
            <w:pPr>
              <w:pStyle w:val="MDPI42tablebody"/>
              <w:keepNext/>
              <w:spacing w:line="240" w:lineRule="auto" w:before="30" w:after="30"/>
              <w:jc w:val="center"/>
            </w:pPr>
            <w:r>
              <w:rPr>
                <w:b w:val="0"/>
                <w:i w:val="0"/>
                <w:sz w:val="18"/>
              </w:rPr>
              <w:t>(0.028)</w:t>
            </w:r>
          </w:p>
        </w:tc>
        <w:tc>
          <w:tcPr>
            <w:tcW w:type="dxa" w:w="1178"/>
          </w:tcPr>
          <w:p>
            <w:pPr>
              <w:pStyle w:val="MDPI42tablebody"/>
              <w:keepNext/>
              <w:spacing w:line="240" w:lineRule="auto" w:before="30" w:after="30"/>
              <w:jc w:val="center"/>
            </w:pPr>
            <w:r>
              <w:rPr>
                <w:b w:val="0"/>
                <w:i w:val="0"/>
                <w:sz w:val="18"/>
              </w:rPr>
              <w:t>(0.029)</w:t>
            </w:r>
          </w:p>
        </w:tc>
        <w:tc>
          <w:tcPr>
            <w:tcW w:type="dxa" w:w="1178"/>
          </w:tcPr>
          <w:p>
            <w:pPr>
              <w:pStyle w:val="MDPI42tablebody"/>
              <w:keepNext/>
              <w:spacing w:line="240" w:lineRule="auto" w:before="30" w:after="30"/>
              <w:jc w:val="center"/>
            </w:pPr>
            <w:r>
              <w:rPr>
                <w:b w:val="0"/>
                <w:i w:val="0"/>
                <w:sz w:val="18"/>
              </w:rPr>
              <w:t>(0.028)</w:t>
            </w:r>
          </w:p>
        </w:tc>
        <w:tc>
          <w:tcPr>
            <w:tcW w:type="dxa" w:w="1178"/>
          </w:tcPr>
          <w:p>
            <w:pPr>
              <w:pStyle w:val="MDPI42tablebody"/>
              <w:keepNext/>
              <w:spacing w:line="240" w:lineRule="auto" w:before="30" w:after="30"/>
              <w:jc w:val="center"/>
            </w:pPr>
            <w:r>
              <w:rPr>
                <w:b w:val="0"/>
                <w:i w:val="0"/>
                <w:sz w:val="18"/>
              </w:rPr>
              <w:t>(0.027)</w:t>
            </w:r>
          </w:p>
        </w:tc>
        <w:tc>
          <w:tcPr>
            <w:tcW w:type="dxa" w:w="1178"/>
          </w:tcPr>
          <w:p>
            <w:pPr>
              <w:pStyle w:val="MDPI42tablebody"/>
              <w:keepNext/>
              <w:spacing w:line="240" w:lineRule="auto" w:before="30" w:after="30"/>
              <w:jc w:val="center"/>
            </w:pPr>
            <w:r>
              <w:rPr>
                <w:b w:val="0"/>
                <w:i w:val="0"/>
                <w:sz w:val="18"/>
              </w:rPr>
              <w:t>(0.024)</w:t>
            </w:r>
          </w:p>
        </w:tc>
      </w:tr>
      <w:tr>
        <w:trPr>
          <w:cantSplit/>
        </w:trPr>
        <w:tc>
          <w:tcPr>
            <w:tcW w:type="dxa" w:w="1964"/>
          </w:tcPr>
          <w:p>
            <w:pPr>
              <w:pStyle w:val="MDPI42tablebody"/>
              <w:keepNext/>
              <w:spacing w:line="240" w:lineRule="auto" w:before="30" w:after="30"/>
              <w:jc w:val="left"/>
            </w:pPr>
            <w:r>
              <w:rPr>
                <w:b w:val="0"/>
                <w:i w:val="0"/>
                <w:sz w:val="18"/>
              </w:rPr>
              <w:t>SUP</w:t>
            </w:r>
          </w:p>
        </w:tc>
        <w:tc>
          <w:tcPr>
            <w:tcW w:type="dxa" w:w="1178"/>
          </w:tcPr>
          <w:p>
            <w:pPr>
              <w:pStyle w:val="MDPI42tablebody"/>
              <w:keepNext/>
              <w:spacing w:line="240" w:lineRule="auto" w:before="30" w:after="30"/>
              <w:jc w:val="center"/>
            </w:pPr>
          </w:p>
        </w:tc>
        <w:tc>
          <w:tcPr>
            <w:tcW w:type="dxa" w:w="1178"/>
          </w:tcPr>
          <w:p>
            <w:pPr>
              <w:pStyle w:val="MDPI42tablebody"/>
              <w:keepNext/>
              <w:spacing w:line="240" w:lineRule="auto" w:before="30" w:after="30"/>
              <w:jc w:val="center"/>
            </w:pPr>
          </w:p>
        </w:tc>
        <w:tc>
          <w:tcPr>
            <w:tcW w:type="dxa" w:w="1178"/>
          </w:tcPr>
          <w:p>
            <w:pPr>
              <w:pStyle w:val="MDPI42tablebody"/>
              <w:keepNext/>
              <w:spacing w:line="240" w:lineRule="auto" w:before="30" w:after="30"/>
              <w:jc w:val="center"/>
            </w:pPr>
            <w:r>
              <w:rPr>
                <w:b w:val="0"/>
                <w:i w:val="0"/>
                <w:sz w:val="18"/>
              </w:rPr>
              <w:t>−0.170***</w:t>
            </w:r>
          </w:p>
        </w:tc>
        <w:tc>
          <w:tcPr>
            <w:tcW w:type="dxa" w:w="1178"/>
          </w:tcPr>
          <w:p>
            <w:pPr>
              <w:pStyle w:val="MDPI42tablebody"/>
              <w:keepNext/>
              <w:spacing w:line="240" w:lineRule="auto" w:before="30" w:after="30"/>
              <w:jc w:val="center"/>
            </w:pPr>
            <w:r>
              <w:rPr>
                <w:b w:val="0"/>
                <w:i w:val="0"/>
                <w:sz w:val="18"/>
              </w:rPr>
              <w:t>−0.171***</w:t>
            </w:r>
          </w:p>
        </w:tc>
        <w:tc>
          <w:tcPr>
            <w:tcW w:type="dxa" w:w="1178"/>
          </w:tcPr>
          <w:p>
            <w:pPr>
              <w:pStyle w:val="MDPI42tablebody"/>
              <w:keepNext/>
              <w:spacing w:line="240" w:lineRule="auto" w:before="30" w:after="30"/>
              <w:jc w:val="center"/>
            </w:pPr>
            <w:r>
              <w:rPr>
                <w:b w:val="0"/>
                <w:i w:val="0"/>
                <w:sz w:val="18"/>
              </w:rPr>
              <w:t>−0.171***</w:t>
            </w:r>
          </w:p>
        </w:tc>
      </w:tr>
      <w:tr>
        <w:trPr>
          <w:cantSplit/>
        </w:trPr>
        <w:tc>
          <w:tcPr>
            <w:tcW w:type="dxa" w:w="1964"/>
          </w:tcPr>
          <w:p>
            <w:pPr>
              <w:pStyle w:val="MDPI42tablebody"/>
              <w:keepNext/>
              <w:spacing w:line="240" w:lineRule="auto" w:before="30" w:after="30"/>
              <w:jc w:val="left"/>
            </w:pPr>
          </w:p>
        </w:tc>
        <w:tc>
          <w:tcPr>
            <w:tcW w:type="dxa" w:w="1178"/>
          </w:tcPr>
          <w:p>
            <w:pPr>
              <w:pStyle w:val="MDPI42tablebody"/>
              <w:keepNext/>
              <w:spacing w:line="240" w:lineRule="auto" w:before="30" w:after="30"/>
              <w:jc w:val="center"/>
            </w:pPr>
          </w:p>
        </w:tc>
        <w:tc>
          <w:tcPr>
            <w:tcW w:type="dxa" w:w="1178"/>
          </w:tcPr>
          <w:p>
            <w:pPr>
              <w:pStyle w:val="MDPI42tablebody"/>
              <w:keepNext/>
              <w:spacing w:line="240" w:lineRule="auto" w:before="30" w:after="30"/>
              <w:jc w:val="center"/>
            </w:pPr>
          </w:p>
        </w:tc>
        <w:tc>
          <w:tcPr>
            <w:tcW w:type="dxa" w:w="1178"/>
          </w:tcPr>
          <w:p>
            <w:pPr>
              <w:pStyle w:val="MDPI42tablebody"/>
              <w:keepNext/>
              <w:spacing w:line="240" w:lineRule="auto" w:before="30" w:after="30"/>
              <w:jc w:val="center"/>
            </w:pPr>
            <w:r>
              <w:rPr>
                <w:b w:val="0"/>
                <w:i w:val="0"/>
                <w:sz w:val="18"/>
              </w:rPr>
              <w:t>(0.030)</w:t>
            </w:r>
          </w:p>
        </w:tc>
        <w:tc>
          <w:tcPr>
            <w:tcW w:type="dxa" w:w="1178"/>
          </w:tcPr>
          <w:p>
            <w:pPr>
              <w:pStyle w:val="MDPI42tablebody"/>
              <w:keepNext/>
              <w:spacing w:line="240" w:lineRule="auto" w:before="30" w:after="30"/>
              <w:jc w:val="center"/>
            </w:pPr>
            <w:r>
              <w:rPr>
                <w:b w:val="0"/>
                <w:i w:val="0"/>
                <w:sz w:val="18"/>
              </w:rPr>
              <w:t>(0.030)</w:t>
            </w:r>
          </w:p>
        </w:tc>
        <w:tc>
          <w:tcPr>
            <w:tcW w:type="dxa" w:w="1178"/>
          </w:tcPr>
          <w:p>
            <w:pPr>
              <w:pStyle w:val="MDPI42tablebody"/>
              <w:keepNext/>
              <w:spacing w:line="240" w:lineRule="auto" w:before="30" w:after="30"/>
              <w:jc w:val="center"/>
            </w:pPr>
            <w:r>
              <w:rPr>
                <w:b w:val="0"/>
                <w:i w:val="0"/>
                <w:sz w:val="18"/>
              </w:rPr>
              <w:t>(0.026)</w:t>
            </w:r>
          </w:p>
        </w:tc>
      </w:tr>
      <w:tr>
        <w:trPr>
          <w:cantSplit/>
        </w:trPr>
        <w:tc>
          <w:tcPr>
            <w:tcW w:type="dxa" w:w="1964"/>
          </w:tcPr>
          <w:p>
            <w:pPr>
              <w:pStyle w:val="MDPI42tablebody"/>
              <w:keepNext/>
              <w:spacing w:line="240" w:lineRule="auto" w:before="30" w:after="30"/>
              <w:jc w:val="left"/>
            </w:pPr>
            <w:r>
              <w:rPr>
                <w:b w:val="0"/>
                <w:i w:val="0"/>
                <w:sz w:val="18"/>
              </w:rPr>
              <w:t>PHCD × SUP</w:t>
            </w:r>
          </w:p>
        </w:tc>
        <w:tc>
          <w:tcPr>
            <w:tcW w:type="dxa" w:w="1178"/>
          </w:tcPr>
          <w:p>
            <w:pPr>
              <w:pStyle w:val="MDPI42tablebody"/>
              <w:keepNext/>
              <w:spacing w:line="240" w:lineRule="auto" w:before="30" w:after="30"/>
              <w:jc w:val="center"/>
            </w:pPr>
          </w:p>
        </w:tc>
        <w:tc>
          <w:tcPr>
            <w:tcW w:type="dxa" w:w="1178"/>
          </w:tcPr>
          <w:p>
            <w:pPr>
              <w:pStyle w:val="MDPI42tablebody"/>
              <w:keepNext/>
              <w:spacing w:line="240" w:lineRule="auto" w:before="30" w:after="30"/>
              <w:jc w:val="center"/>
            </w:pPr>
          </w:p>
        </w:tc>
        <w:tc>
          <w:tcPr>
            <w:tcW w:type="dxa" w:w="1178"/>
          </w:tcPr>
          <w:p>
            <w:pPr>
              <w:pStyle w:val="MDPI42tablebody"/>
              <w:keepNext/>
              <w:spacing w:line="240" w:lineRule="auto" w:before="30" w:after="30"/>
              <w:jc w:val="center"/>
            </w:pPr>
          </w:p>
        </w:tc>
        <w:tc>
          <w:tcPr>
            <w:tcW w:type="dxa" w:w="1178"/>
          </w:tcPr>
          <w:p>
            <w:pPr>
              <w:pStyle w:val="MDPI42tablebody"/>
              <w:keepNext/>
              <w:spacing w:line="240" w:lineRule="auto" w:before="30" w:after="30"/>
              <w:jc w:val="center"/>
            </w:pPr>
            <w:r>
              <w:rPr>
                <w:b w:val="0"/>
                <w:i w:val="0"/>
                <w:sz w:val="18"/>
              </w:rPr>
              <w:t>−0.154***</w:t>
            </w:r>
          </w:p>
        </w:tc>
        <w:tc>
          <w:tcPr>
            <w:tcW w:type="dxa" w:w="1178"/>
          </w:tcPr>
          <w:p>
            <w:pPr>
              <w:pStyle w:val="MDPI42tablebody"/>
              <w:keepNext/>
              <w:spacing w:line="240" w:lineRule="auto" w:before="30" w:after="30"/>
              <w:jc w:val="center"/>
            </w:pPr>
            <w:r>
              <w:rPr>
                <w:b w:val="0"/>
                <w:i w:val="0"/>
                <w:sz w:val="18"/>
              </w:rPr>
              <w:t>−0.153***</w:t>
            </w:r>
          </w:p>
        </w:tc>
      </w:tr>
      <w:tr>
        <w:trPr>
          <w:cantSplit/>
        </w:trPr>
        <w:tc>
          <w:tcPr>
            <w:tcW w:type="dxa" w:w="1964"/>
          </w:tcPr>
          <w:p>
            <w:pPr>
              <w:pStyle w:val="MDPI42tablebody"/>
              <w:keepNext/>
              <w:spacing w:line="240" w:lineRule="auto" w:before="30" w:after="30"/>
              <w:jc w:val="left"/>
            </w:pPr>
          </w:p>
        </w:tc>
        <w:tc>
          <w:tcPr>
            <w:tcW w:type="dxa" w:w="1178"/>
          </w:tcPr>
          <w:p>
            <w:pPr>
              <w:pStyle w:val="MDPI42tablebody"/>
              <w:keepNext/>
              <w:spacing w:line="240" w:lineRule="auto" w:before="30" w:after="30"/>
              <w:jc w:val="center"/>
            </w:pPr>
          </w:p>
        </w:tc>
        <w:tc>
          <w:tcPr>
            <w:tcW w:type="dxa" w:w="1178"/>
          </w:tcPr>
          <w:p>
            <w:pPr>
              <w:pStyle w:val="MDPI42tablebody"/>
              <w:keepNext/>
              <w:spacing w:line="240" w:lineRule="auto" w:before="30" w:after="30"/>
              <w:jc w:val="center"/>
            </w:pPr>
          </w:p>
        </w:tc>
        <w:tc>
          <w:tcPr>
            <w:tcW w:type="dxa" w:w="1178"/>
          </w:tcPr>
          <w:p>
            <w:pPr>
              <w:pStyle w:val="MDPI42tablebody"/>
              <w:keepNext/>
              <w:spacing w:line="240" w:lineRule="auto" w:before="30" w:after="30"/>
              <w:jc w:val="center"/>
            </w:pPr>
          </w:p>
        </w:tc>
        <w:tc>
          <w:tcPr>
            <w:tcW w:type="dxa" w:w="1178"/>
          </w:tcPr>
          <w:p>
            <w:pPr>
              <w:pStyle w:val="MDPI42tablebody"/>
              <w:keepNext/>
              <w:spacing w:line="240" w:lineRule="auto" w:before="30" w:after="30"/>
              <w:jc w:val="center"/>
            </w:pPr>
            <w:r>
              <w:rPr>
                <w:b w:val="0"/>
                <w:i w:val="0"/>
                <w:sz w:val="18"/>
              </w:rPr>
              <w:t>(0.028)</w:t>
            </w:r>
          </w:p>
        </w:tc>
        <w:tc>
          <w:tcPr>
            <w:tcW w:type="dxa" w:w="1178"/>
          </w:tcPr>
          <w:p>
            <w:pPr>
              <w:pStyle w:val="MDPI42tablebody"/>
              <w:keepNext/>
              <w:spacing w:line="240" w:lineRule="auto" w:before="30" w:after="30"/>
              <w:jc w:val="center"/>
            </w:pPr>
            <w:r>
              <w:rPr>
                <w:b w:val="0"/>
                <w:i w:val="0"/>
                <w:sz w:val="18"/>
              </w:rPr>
              <w:t>(0.025)</w:t>
            </w:r>
          </w:p>
        </w:tc>
      </w:tr>
      <w:tr>
        <w:trPr>
          <w:cantSplit/>
        </w:trPr>
        <w:tc>
          <w:tcPr>
            <w:tcW w:type="dxa" w:w="1964"/>
          </w:tcPr>
          <w:p>
            <w:pPr>
              <w:pStyle w:val="MDPI42tablebody"/>
              <w:keepNext/>
              <w:spacing w:line="240" w:lineRule="auto" w:before="30" w:after="30"/>
              <w:jc w:val="left"/>
            </w:pPr>
            <w:r>
              <w:rPr>
                <w:b w:val="0"/>
                <w:i w:val="0"/>
                <w:sz w:val="18"/>
              </w:rPr>
              <w:t>Controls</w:t>
            </w:r>
          </w:p>
        </w:tc>
        <w:tc>
          <w:tcPr>
            <w:tcW w:type="dxa" w:w="1178"/>
          </w:tcPr>
          <w:p>
            <w:pPr>
              <w:pStyle w:val="MDPI42tablebody"/>
              <w:keepNext/>
              <w:spacing w:line="240" w:lineRule="auto" w:before="30" w:after="30"/>
              <w:jc w:val="center"/>
            </w:pPr>
            <w:r>
              <w:rPr>
                <w:b w:val="0"/>
                <w:i w:val="0"/>
                <w:sz w:val="18"/>
              </w:rPr>
              <w:t>No</w:t>
            </w:r>
          </w:p>
        </w:tc>
        <w:tc>
          <w:tcPr>
            <w:tcW w:type="dxa" w:w="1178"/>
          </w:tcPr>
          <w:p>
            <w:pPr>
              <w:pStyle w:val="MDPI42tablebody"/>
              <w:keepNext/>
              <w:spacing w:line="240" w:lineRule="auto" w:before="30" w:after="30"/>
              <w:jc w:val="center"/>
            </w:pPr>
            <w:r>
              <w:rPr>
                <w:b w:val="0"/>
                <w:i w:val="0"/>
                <w:sz w:val="18"/>
              </w:rPr>
              <w:t>Yes</w:t>
            </w:r>
          </w:p>
        </w:tc>
        <w:tc>
          <w:tcPr>
            <w:tcW w:type="dxa" w:w="1178"/>
          </w:tcPr>
          <w:p>
            <w:pPr>
              <w:pStyle w:val="MDPI42tablebody"/>
              <w:keepNext/>
              <w:spacing w:line="240" w:lineRule="auto" w:before="30" w:after="30"/>
              <w:jc w:val="center"/>
            </w:pPr>
            <w:r>
              <w:rPr>
                <w:b w:val="0"/>
                <w:i w:val="0"/>
                <w:sz w:val="18"/>
              </w:rPr>
              <w:t>Yes</w:t>
            </w:r>
          </w:p>
        </w:tc>
        <w:tc>
          <w:tcPr>
            <w:tcW w:type="dxa" w:w="1178"/>
          </w:tcPr>
          <w:p>
            <w:pPr>
              <w:pStyle w:val="MDPI42tablebody"/>
              <w:keepNext/>
              <w:spacing w:line="240" w:lineRule="auto" w:before="30" w:after="30"/>
              <w:jc w:val="center"/>
            </w:pPr>
            <w:r>
              <w:rPr>
                <w:b w:val="0"/>
                <w:i w:val="0"/>
                <w:sz w:val="18"/>
              </w:rPr>
              <w:t>Yes</w:t>
            </w:r>
          </w:p>
        </w:tc>
        <w:tc>
          <w:tcPr>
            <w:tcW w:type="dxa" w:w="1178"/>
          </w:tcPr>
          <w:p>
            <w:pPr>
              <w:pStyle w:val="MDPI42tablebody"/>
              <w:keepNext/>
              <w:spacing w:line="240" w:lineRule="auto" w:before="30" w:after="30"/>
              <w:jc w:val="center"/>
            </w:pPr>
            <w:r>
              <w:rPr>
                <w:b w:val="0"/>
                <w:i w:val="0"/>
                <w:sz w:val="18"/>
              </w:rPr>
              <w:t>Yes</w:t>
            </w:r>
          </w:p>
        </w:tc>
      </w:tr>
      <w:tr>
        <w:trPr>
          <w:cantSplit/>
        </w:trPr>
        <w:tc>
          <w:tcPr>
            <w:tcW w:type="dxa" w:w="1964"/>
          </w:tcPr>
          <w:p>
            <w:pPr>
              <w:pStyle w:val="MDPI42tablebody"/>
              <w:keepNext/>
              <w:spacing w:line="240" w:lineRule="auto" w:before="30" w:after="30"/>
              <w:jc w:val="left"/>
            </w:pPr>
            <w:r>
              <w:rPr>
                <w:b w:val="0"/>
                <w:i w:val="0"/>
                <w:sz w:val="18"/>
              </w:rPr>
              <w:t>Observations</w:t>
            </w:r>
          </w:p>
        </w:tc>
        <w:tc>
          <w:tcPr>
            <w:tcW w:type="dxa" w:w="1178"/>
          </w:tcPr>
          <w:p>
            <w:pPr>
              <w:pStyle w:val="MDPI42tablebody"/>
              <w:keepNext/>
              <w:spacing w:line="240" w:lineRule="auto" w:before="30" w:after="30"/>
              <w:jc w:val="center"/>
            </w:pPr>
            <w:r>
              <w:rPr>
                <w:b w:val="0"/>
                <w:i w:val="0"/>
                <w:sz w:val="18"/>
              </w:rPr>
              <w:t>914</w:t>
            </w:r>
          </w:p>
        </w:tc>
        <w:tc>
          <w:tcPr>
            <w:tcW w:type="dxa" w:w="1178"/>
          </w:tcPr>
          <w:p>
            <w:pPr>
              <w:pStyle w:val="MDPI42tablebody"/>
              <w:keepNext/>
              <w:spacing w:line="240" w:lineRule="auto" w:before="30" w:after="30"/>
              <w:jc w:val="center"/>
            </w:pPr>
            <w:r>
              <w:rPr>
                <w:b w:val="0"/>
                <w:i w:val="0"/>
                <w:sz w:val="18"/>
              </w:rPr>
              <w:t>914</w:t>
            </w:r>
          </w:p>
        </w:tc>
        <w:tc>
          <w:tcPr>
            <w:tcW w:type="dxa" w:w="1178"/>
          </w:tcPr>
          <w:p>
            <w:pPr>
              <w:pStyle w:val="MDPI42tablebody"/>
              <w:keepNext/>
              <w:spacing w:line="240" w:lineRule="auto" w:before="30" w:after="30"/>
              <w:jc w:val="center"/>
            </w:pPr>
            <w:r>
              <w:rPr>
                <w:b w:val="0"/>
                <w:i w:val="0"/>
                <w:sz w:val="18"/>
              </w:rPr>
              <w:t>914</w:t>
            </w:r>
          </w:p>
        </w:tc>
        <w:tc>
          <w:tcPr>
            <w:tcW w:type="dxa" w:w="1178"/>
          </w:tcPr>
          <w:p>
            <w:pPr>
              <w:pStyle w:val="MDPI42tablebody"/>
              <w:keepNext/>
              <w:spacing w:line="240" w:lineRule="auto" w:before="30" w:after="30"/>
              <w:jc w:val="center"/>
            </w:pPr>
            <w:r>
              <w:rPr>
                <w:b w:val="0"/>
                <w:i w:val="0"/>
                <w:sz w:val="18"/>
              </w:rPr>
              <w:t>914</w:t>
            </w:r>
          </w:p>
        </w:tc>
        <w:tc>
          <w:tcPr>
            <w:tcW w:type="dxa" w:w="1178"/>
          </w:tcPr>
          <w:p>
            <w:pPr>
              <w:pStyle w:val="MDPI42tablebody"/>
              <w:keepNext/>
              <w:spacing w:line="240" w:lineRule="auto" w:before="30" w:after="30"/>
              <w:jc w:val="center"/>
            </w:pPr>
            <w:r>
              <w:rPr>
                <w:b w:val="0"/>
                <w:i w:val="0"/>
                <w:sz w:val="18"/>
              </w:rPr>
              <w:t>1,247</w:t>
            </w:r>
          </w:p>
        </w:tc>
      </w:tr>
      <w:tr>
        <w:trPr>
          <w:cantSplit/>
        </w:trPr>
        <w:tc>
          <w:tcPr>
            <w:tcW w:type="dxa" w:w="1964"/>
          </w:tcPr>
          <w:p>
            <w:pPr>
              <w:pStyle w:val="MDPI42tablebody"/>
              <w:keepNext/>
              <w:spacing w:line="240" w:lineRule="auto" w:before="30" w:after="30"/>
              <w:jc w:val="left"/>
            </w:pPr>
            <w:r>
              <w:rPr>
                <w:b w:val="0"/>
                <w:i w:val="0"/>
                <w:sz w:val="18"/>
              </w:rPr>
              <w:t>R²</w:t>
            </w:r>
          </w:p>
        </w:tc>
        <w:tc>
          <w:tcPr>
            <w:tcW w:type="dxa" w:w="1178"/>
          </w:tcPr>
          <w:p>
            <w:pPr>
              <w:pStyle w:val="MDPI42tablebody"/>
              <w:keepNext/>
              <w:spacing w:line="240" w:lineRule="auto" w:before="30" w:after="30"/>
              <w:jc w:val="center"/>
            </w:pPr>
            <w:r>
              <w:rPr>
                <w:b w:val="0"/>
                <w:i w:val="0"/>
                <w:sz w:val="18"/>
              </w:rPr>
              <w:t>0.231</w:t>
            </w:r>
          </w:p>
        </w:tc>
        <w:tc>
          <w:tcPr>
            <w:tcW w:type="dxa" w:w="1178"/>
          </w:tcPr>
          <w:p>
            <w:pPr>
              <w:pStyle w:val="MDPI42tablebody"/>
              <w:keepNext/>
              <w:spacing w:line="240" w:lineRule="auto" w:before="30" w:after="30"/>
              <w:jc w:val="center"/>
            </w:pPr>
            <w:r>
              <w:rPr>
                <w:b w:val="0"/>
                <w:i w:val="0"/>
                <w:sz w:val="18"/>
              </w:rPr>
              <w:t>0.245</w:t>
            </w:r>
          </w:p>
        </w:tc>
        <w:tc>
          <w:tcPr>
            <w:tcW w:type="dxa" w:w="1178"/>
          </w:tcPr>
          <w:p>
            <w:pPr>
              <w:pStyle w:val="MDPI42tablebody"/>
              <w:keepNext/>
              <w:spacing w:line="240" w:lineRule="auto" w:before="30" w:after="30"/>
              <w:jc w:val="center"/>
            </w:pPr>
            <w:r>
              <w:rPr>
                <w:b w:val="0"/>
                <w:i w:val="0"/>
                <w:sz w:val="18"/>
              </w:rPr>
              <w:t>0.273</w:t>
            </w:r>
          </w:p>
        </w:tc>
        <w:tc>
          <w:tcPr>
            <w:tcW w:type="dxa" w:w="1178"/>
          </w:tcPr>
          <w:p>
            <w:pPr>
              <w:pStyle w:val="MDPI42tablebody"/>
              <w:keepNext/>
              <w:spacing w:line="240" w:lineRule="auto" w:before="30" w:after="30"/>
              <w:jc w:val="center"/>
            </w:pPr>
            <w:r>
              <w:rPr>
                <w:b w:val="0"/>
                <w:i w:val="0"/>
                <w:sz w:val="18"/>
              </w:rPr>
              <w:t>0.296</w:t>
            </w:r>
          </w:p>
        </w:tc>
        <w:tc>
          <w:tcPr>
            <w:tcW w:type="dxa" w:w="1178"/>
          </w:tcPr>
          <w:p>
            <w:pPr>
              <w:pStyle w:val="MDPI42tablebody"/>
              <w:keepNext/>
              <w:spacing w:line="240" w:lineRule="auto" w:before="30" w:after="30"/>
              <w:jc w:val="center"/>
            </w:pPr>
            <w:r>
              <w:rPr>
                <w:b w:val="0"/>
                <w:i w:val="0"/>
                <w:sz w:val="18"/>
              </w:rPr>
              <w:t>0.271</w:t>
            </w:r>
          </w:p>
        </w:tc>
      </w:tr>
    </w:tbl>
    <w:p>
      <w:pPr>
        <w:pStyle w:val="MDPI43tablefooter"/>
        <w:spacing w:line="240" w:lineRule="auto" w:before="40" w:after="200"/>
        <w:ind w:left="2608" w:firstLine="0"/>
      </w:pPr>
      <w:r>
        <w:rPr>
          <w:sz w:val="16"/>
        </w:rPr>
        <w:t xml:space="preserve">Note: </w:t>
      </w:r>
      <w:r>
        <w:rPr>
          <w:b w:val="0"/>
          <w:i w:val="0"/>
          <w:sz w:val="16"/>
        </w:rPr>
        <w:t>The dependent variable is AI-related career anxiety, standardized. Column (1) omits controls; columns (2)–(4) add controls, support, and the interaction on the matched sample; column (5) repeats column (4) on the full first-wave sample. Values in parentheses are heteroskedasticity-consistent (HC3) standard errors. ***, ** and * denote significance at the 1%, 5% and 10% levels, respectively. Source: authors’ own calculations.</w:t>
      </w:r>
    </w:p>
    <w:p>
      <w:pPr>
        <w:pStyle w:val="MDPI31text"/>
      </w:pPr>
      <w:r>
        <w:rPr>
          <w:b w:val="0"/>
          <w:i w:val="0"/>
        </w:rPr>
        <w:t>Figure 2 visualizes the moderating effect. Evaluated one standard deviation below the mean of support, a one-standard-deviation increase in perceived depreciation raises anxiety by 0.64 standard deviations; one standard deviation above the mean, the same increase raises anxiety by only 0.33. The shaded area denotes the 95 percent confidence interval and the dashed line marks a zero marginal effect; the effect remains positive and significant across the entire observed range of support, so support damps but does not eliminate the first stage.</w:t>
      </w:r>
    </w:p>
    <w:p>
      <w:pPr>
        <w:pStyle w:val="MDPI52figure"/>
        <w:keepNext/>
        <w:ind w:left="2608" w:firstLine="0"/>
        <w:jc w:val="center"/>
      </w:pPr>
      <w:r>
        <w:drawing>
          <wp:inline xmlns:a="http://schemas.openxmlformats.org/drawingml/2006/main" xmlns:pic="http://schemas.openxmlformats.org/drawingml/2006/picture">
            <wp:extent cx="4752000" cy="2231501"/>
            <wp:docPr id="2" name="Picture 2"/>
            <wp:cNvGraphicFramePr>
              <a:graphicFrameLocks noChangeAspect="1"/>
            </wp:cNvGraphicFramePr>
            <a:graphic>
              <a:graphicData uri="http://schemas.openxmlformats.org/drawingml/2006/picture">
                <pic:pic>
                  <pic:nvPicPr>
                    <pic:cNvPr id="0" name="figure2_firststage.png"/>
                    <pic:cNvPicPr/>
                  </pic:nvPicPr>
                  <pic:blipFill>
                    <a:blip r:embed="rId18"/>
                    <a:stretch>
                      <a:fillRect/>
                    </a:stretch>
                  </pic:blipFill>
                  <pic:spPr>
                    <a:xfrm>
                      <a:off x="0" y="0"/>
                      <a:ext cx="4752000" cy="2231501"/>
                    </a:xfrm>
                    <a:prstGeom prst="rect"/>
                  </pic:spPr>
                </pic:pic>
              </a:graphicData>
            </a:graphic>
          </wp:inline>
        </w:drawing>
      </w:r>
    </w:p>
    <w:p>
      <w:pPr>
        <w:pStyle w:val="MDPI51figurecaption"/>
        <w:spacing w:after="200"/>
      </w:pPr>
      <w:r>
        <w:rPr>
          <w:b/>
          <w:sz w:val="18"/>
        </w:rPr>
        <w:t xml:space="preserve">Figure 2. </w:t>
      </w:r>
      <w:r>
        <w:rPr>
          <w:b w:val="0"/>
          <w:i w:val="0"/>
          <w:sz w:val="18"/>
        </w:rPr>
        <w:t>The moderating effect of perceived employability support on the relationship between perceived human capital depreciation and AI-related career anxiety.</w:t>
      </w:r>
    </w:p>
    <w:p>
      <w:pPr>
        <w:pStyle w:val="MDPI22heading2"/>
      </w:pPr>
      <w:r>
        <w:t>4.5. Hypothesis Testing: The Curvilinear Second Stage</w:t>
      </w:r>
    </w:p>
    <w:p>
      <w:pPr>
        <w:pStyle w:val="MDPI32textnoindent"/>
      </w:pPr>
      <w:r>
        <w:rPr>
          <w:b w:val="0"/>
          <w:i w:val="0"/>
        </w:rPr>
        <w:t>Table 7 estimates Equation (2) hierarchically. Model (1), which includes only the linear anxiety term, is nearly silent: anxiety appears to matter little for adaptation. Model (2) adds the squared term and the picture inverts, with the explanatory power of the model improving by 0.099 in R². Models (3) and (4) add the literacy interaction and the full antecedent set; in the full specification of Model (4) the linear coefficient is 0.174 and the quadratic coefficient is −0.237 (standard error 0.025, p &lt; 0.01). Model (5) re-estimates Model (4) with standard errors clustered on the twenty occupation groups and the conclusion stands.</w:t>
      </w:r>
    </w:p>
    <w:p>
      <w:pPr>
        <w:pStyle w:val="MDPI41tablecaption"/>
        <w:keepNext/>
        <w:spacing w:after="60"/>
      </w:pPr>
      <w:r>
        <w:rPr>
          <w:b/>
          <w:sz w:val="18"/>
        </w:rPr>
        <w:t xml:space="preserve">Table 7. </w:t>
      </w:r>
      <w:r>
        <w:rPr>
          <w:b w:val="0"/>
          <w:i w:val="0"/>
          <w:sz w:val="18"/>
        </w:rPr>
        <w:t>Second stage: the curvilinear conversion of anxiety into adaptation (H2, H5a).</w:t>
      </w:r>
    </w:p>
    <w:tbl>
      <w:tblPr>
        <w:tblStyle w:val="MDPI41threelinetable"/>
        <w:tblW w:w="7858" w:type="dxa"/>
        <w:tblInd w:w="2608" w:type="dxa"/>
        <w:tblBorders>
          <w:top w:val="single" w:sz="8" w:space="0" w:color="auto"/>
          <w:left w:val="none" w:sz="0" w:space="0" w:color="auto"/>
          <w:bottom w:val="single" w:sz="8" w:space="0" w:color="auto"/>
          <w:right w:val="none" w:sz="0" w:space="0" w:color="auto"/>
          <w:insideH w:val="none" w:sz="0" w:space="0" w:color="auto"/>
          <w:insideV w:val="none" w:sz="0" w:space="0" w:color="auto"/>
        </w:tblBorders>
        <w:tblLayout w:type="fixed"/>
        <w:tblCellMar>
          <w:top w:w="0" w:type="dxa"/>
          <w:left w:w="57" w:type="dxa"/>
          <w:bottom w:w="0" w:type="dxa"/>
          <w:right w:w="57" w:type="dxa"/>
        </w:tblCellMar>
        <w:tblLook w:firstColumn="1" w:firstRow="1" w:lastColumn="0" w:lastRow="0" w:noHBand="0" w:noVBand="1" w:val="04A0"/>
      </w:tblPr>
      <w:tblGrid>
        <w:gridCol w:w="1964"/>
        <w:gridCol w:w="1178"/>
        <w:gridCol w:w="1178"/>
        <w:gridCol w:w="1178"/>
        <w:gridCol w:w="1178"/>
        <w:gridCol w:w="1178"/>
      </w:tblGrid>
      <w:tr>
        <w:trPr>
          <w:cantSplit/>
          <w:tblHeader/>
        </w:trPr>
        <w:tc>
          <w:tcPr>
            <w:tcW w:type="dxa" w:w="1964"/>
            <w:tcBorders>
              <w:bottom w:val="single" w:sz="8" w:space="0" w:color="auto"/>
            </w:tcBorders>
          </w:tcPr>
          <w:p>
            <w:pPr>
              <w:pStyle w:val="MDPI42tablebody"/>
              <w:keepNext/>
              <w:spacing w:line="240" w:lineRule="auto" w:before="30" w:after="30"/>
              <w:jc w:val="center"/>
            </w:pPr>
          </w:p>
        </w:tc>
        <w:tc>
          <w:tcPr>
            <w:tcW w:type="dxa" w:w="1178"/>
            <w:tcBorders>
              <w:bottom w:val="single" w:sz="8" w:space="0" w:color="auto"/>
            </w:tcBorders>
          </w:tcPr>
          <w:p>
            <w:pPr>
              <w:pStyle w:val="MDPI42tablebody"/>
              <w:keepNext/>
              <w:spacing w:line="240" w:lineRule="auto" w:before="30" w:after="30"/>
              <w:jc w:val="center"/>
            </w:pPr>
            <w:r>
              <w:rPr>
                <w:b/>
                <w:i w:val="0"/>
                <w:sz w:val="18"/>
              </w:rPr>
              <w:t>(1)</w:t>
            </w:r>
          </w:p>
        </w:tc>
        <w:tc>
          <w:tcPr>
            <w:tcW w:type="dxa" w:w="1178"/>
            <w:tcBorders>
              <w:bottom w:val="single" w:sz="8" w:space="0" w:color="auto"/>
            </w:tcBorders>
          </w:tcPr>
          <w:p>
            <w:pPr>
              <w:pStyle w:val="MDPI42tablebody"/>
              <w:keepNext/>
              <w:spacing w:line="240" w:lineRule="auto" w:before="30" w:after="30"/>
              <w:jc w:val="center"/>
            </w:pPr>
            <w:r>
              <w:rPr>
                <w:b/>
                <w:i w:val="0"/>
                <w:sz w:val="18"/>
              </w:rPr>
              <w:t>(2)</w:t>
            </w:r>
          </w:p>
        </w:tc>
        <w:tc>
          <w:tcPr>
            <w:tcW w:type="dxa" w:w="1178"/>
            <w:tcBorders>
              <w:bottom w:val="single" w:sz="8" w:space="0" w:color="auto"/>
            </w:tcBorders>
          </w:tcPr>
          <w:p>
            <w:pPr>
              <w:pStyle w:val="MDPI42tablebody"/>
              <w:keepNext/>
              <w:spacing w:line="240" w:lineRule="auto" w:before="30" w:after="30"/>
              <w:jc w:val="center"/>
            </w:pPr>
            <w:r>
              <w:rPr>
                <w:b/>
                <w:i w:val="0"/>
                <w:sz w:val="18"/>
              </w:rPr>
              <w:t>(3)</w:t>
            </w:r>
          </w:p>
        </w:tc>
        <w:tc>
          <w:tcPr>
            <w:tcW w:type="dxa" w:w="1178"/>
            <w:tcBorders>
              <w:bottom w:val="single" w:sz="8" w:space="0" w:color="auto"/>
            </w:tcBorders>
          </w:tcPr>
          <w:p>
            <w:pPr>
              <w:pStyle w:val="MDPI42tablebody"/>
              <w:keepNext/>
              <w:spacing w:line="240" w:lineRule="auto" w:before="30" w:after="30"/>
              <w:jc w:val="center"/>
            </w:pPr>
            <w:r>
              <w:rPr>
                <w:b/>
                <w:i w:val="0"/>
                <w:sz w:val="18"/>
              </w:rPr>
              <w:t>(4)</w:t>
            </w:r>
          </w:p>
        </w:tc>
        <w:tc>
          <w:tcPr>
            <w:tcW w:type="dxa" w:w="1178"/>
            <w:tcBorders>
              <w:bottom w:val="single" w:sz="8" w:space="0" w:color="auto"/>
            </w:tcBorders>
          </w:tcPr>
          <w:p>
            <w:pPr>
              <w:pStyle w:val="MDPI42tablebody"/>
              <w:keepNext/>
              <w:spacing w:line="240" w:lineRule="auto" w:before="30" w:after="30"/>
              <w:jc w:val="center"/>
            </w:pPr>
            <w:r>
              <w:rPr>
                <w:b/>
                <w:i w:val="0"/>
                <w:sz w:val="18"/>
              </w:rPr>
              <w:t>(5)</w:t>
            </w:r>
          </w:p>
        </w:tc>
      </w:tr>
      <w:tr>
        <w:trPr>
          <w:cantSplit/>
        </w:trPr>
        <w:tc>
          <w:tcPr>
            <w:tcW w:type="dxa" w:w="1964"/>
          </w:tcPr>
          <w:p>
            <w:pPr>
              <w:pStyle w:val="MDPI42tablebody"/>
              <w:keepNext/>
              <w:spacing w:line="240" w:lineRule="auto" w:before="30" w:after="30"/>
              <w:jc w:val="left"/>
            </w:pPr>
            <w:r>
              <w:rPr>
                <w:b w:val="0"/>
                <w:i w:val="0"/>
                <w:sz w:val="18"/>
              </w:rPr>
              <w:t>ANX</w:t>
            </w:r>
          </w:p>
        </w:tc>
        <w:tc>
          <w:tcPr>
            <w:tcW w:type="dxa" w:w="1178"/>
          </w:tcPr>
          <w:p>
            <w:pPr>
              <w:pStyle w:val="MDPI42tablebody"/>
              <w:keepNext/>
              <w:spacing w:line="240" w:lineRule="auto" w:before="30" w:after="30"/>
              <w:jc w:val="center"/>
            </w:pPr>
            <w:r>
              <w:rPr>
                <w:b w:val="0"/>
                <w:i w:val="0"/>
                <w:sz w:val="18"/>
              </w:rPr>
              <w:t>0.149***</w:t>
            </w:r>
          </w:p>
        </w:tc>
        <w:tc>
          <w:tcPr>
            <w:tcW w:type="dxa" w:w="1178"/>
          </w:tcPr>
          <w:p>
            <w:pPr>
              <w:pStyle w:val="MDPI42tablebody"/>
              <w:keepNext/>
              <w:spacing w:line="240" w:lineRule="auto" w:before="30" w:after="30"/>
              <w:jc w:val="center"/>
            </w:pPr>
            <w:r>
              <w:rPr>
                <w:b w:val="0"/>
                <w:i w:val="0"/>
                <w:sz w:val="18"/>
              </w:rPr>
              <w:t>0.152***</w:t>
            </w:r>
          </w:p>
        </w:tc>
        <w:tc>
          <w:tcPr>
            <w:tcW w:type="dxa" w:w="1178"/>
          </w:tcPr>
          <w:p>
            <w:pPr>
              <w:pStyle w:val="MDPI42tablebody"/>
              <w:keepNext/>
              <w:spacing w:line="240" w:lineRule="auto" w:before="30" w:after="30"/>
              <w:jc w:val="center"/>
            </w:pPr>
            <w:r>
              <w:rPr>
                <w:b w:val="0"/>
                <w:i w:val="0"/>
                <w:sz w:val="18"/>
              </w:rPr>
              <w:t>0.153***</w:t>
            </w:r>
          </w:p>
        </w:tc>
        <w:tc>
          <w:tcPr>
            <w:tcW w:type="dxa" w:w="1178"/>
          </w:tcPr>
          <w:p>
            <w:pPr>
              <w:pStyle w:val="MDPI42tablebody"/>
              <w:keepNext/>
              <w:spacing w:line="240" w:lineRule="auto" w:before="30" w:after="30"/>
              <w:jc w:val="center"/>
            </w:pPr>
            <w:r>
              <w:rPr>
                <w:b w:val="0"/>
                <w:i w:val="0"/>
                <w:sz w:val="18"/>
              </w:rPr>
              <w:t>0.174***</w:t>
            </w:r>
          </w:p>
        </w:tc>
        <w:tc>
          <w:tcPr>
            <w:tcW w:type="dxa" w:w="1178"/>
          </w:tcPr>
          <w:p>
            <w:pPr>
              <w:pStyle w:val="MDPI42tablebody"/>
              <w:keepNext/>
              <w:spacing w:line="240" w:lineRule="auto" w:before="30" w:after="30"/>
              <w:jc w:val="center"/>
            </w:pPr>
            <w:r>
              <w:rPr>
                <w:b w:val="0"/>
                <w:i w:val="0"/>
                <w:sz w:val="18"/>
              </w:rPr>
              <w:t>0.174***</w:t>
            </w:r>
          </w:p>
        </w:tc>
      </w:tr>
      <w:tr>
        <w:trPr>
          <w:cantSplit/>
        </w:trPr>
        <w:tc>
          <w:tcPr>
            <w:tcW w:type="dxa" w:w="1964"/>
          </w:tcPr>
          <w:p>
            <w:pPr>
              <w:pStyle w:val="MDPI42tablebody"/>
              <w:keepNext/>
              <w:spacing w:line="240" w:lineRule="auto" w:before="30" w:after="30"/>
              <w:jc w:val="left"/>
            </w:pPr>
          </w:p>
        </w:tc>
        <w:tc>
          <w:tcPr>
            <w:tcW w:type="dxa" w:w="1178"/>
          </w:tcPr>
          <w:p>
            <w:pPr>
              <w:pStyle w:val="MDPI42tablebody"/>
              <w:keepNext/>
              <w:spacing w:line="240" w:lineRule="auto" w:before="30" w:after="30"/>
              <w:jc w:val="center"/>
            </w:pPr>
            <w:r>
              <w:rPr>
                <w:b w:val="0"/>
                <w:i w:val="0"/>
                <w:sz w:val="18"/>
              </w:rPr>
              <w:t>(0.037)</w:t>
            </w:r>
          </w:p>
        </w:tc>
        <w:tc>
          <w:tcPr>
            <w:tcW w:type="dxa" w:w="1178"/>
          </w:tcPr>
          <w:p>
            <w:pPr>
              <w:pStyle w:val="MDPI42tablebody"/>
              <w:keepNext/>
              <w:spacing w:line="240" w:lineRule="auto" w:before="30" w:after="30"/>
              <w:jc w:val="center"/>
            </w:pPr>
            <w:r>
              <w:rPr>
                <w:b w:val="0"/>
                <w:i w:val="0"/>
                <w:sz w:val="18"/>
              </w:rPr>
              <w:t>(0.031)</w:t>
            </w:r>
          </w:p>
        </w:tc>
        <w:tc>
          <w:tcPr>
            <w:tcW w:type="dxa" w:w="1178"/>
          </w:tcPr>
          <w:p>
            <w:pPr>
              <w:pStyle w:val="MDPI42tablebody"/>
              <w:keepNext/>
              <w:spacing w:line="240" w:lineRule="auto" w:before="30" w:after="30"/>
              <w:jc w:val="center"/>
            </w:pPr>
            <w:r>
              <w:rPr>
                <w:b w:val="0"/>
                <w:i w:val="0"/>
                <w:sz w:val="18"/>
              </w:rPr>
              <w:t>(0.030)</w:t>
            </w:r>
          </w:p>
        </w:tc>
        <w:tc>
          <w:tcPr>
            <w:tcW w:type="dxa" w:w="1178"/>
          </w:tcPr>
          <w:p>
            <w:pPr>
              <w:pStyle w:val="MDPI42tablebody"/>
              <w:keepNext/>
              <w:spacing w:line="240" w:lineRule="auto" w:before="30" w:after="30"/>
              <w:jc w:val="center"/>
            </w:pPr>
            <w:r>
              <w:rPr>
                <w:b w:val="0"/>
                <w:i w:val="0"/>
                <w:sz w:val="18"/>
              </w:rPr>
              <w:t>(0.034)</w:t>
            </w:r>
          </w:p>
        </w:tc>
        <w:tc>
          <w:tcPr>
            <w:tcW w:type="dxa" w:w="1178"/>
          </w:tcPr>
          <w:p>
            <w:pPr>
              <w:pStyle w:val="MDPI42tablebody"/>
              <w:keepNext/>
              <w:spacing w:line="240" w:lineRule="auto" w:before="30" w:after="30"/>
              <w:jc w:val="center"/>
            </w:pPr>
            <w:r>
              <w:rPr>
                <w:b w:val="0"/>
                <w:i w:val="0"/>
                <w:sz w:val="18"/>
              </w:rPr>
              <w:t>(0.030)</w:t>
            </w:r>
          </w:p>
        </w:tc>
      </w:tr>
      <w:tr>
        <w:trPr>
          <w:cantSplit/>
        </w:trPr>
        <w:tc>
          <w:tcPr>
            <w:tcW w:type="dxa" w:w="1964"/>
          </w:tcPr>
          <w:p>
            <w:pPr>
              <w:pStyle w:val="MDPI42tablebody"/>
              <w:keepNext/>
              <w:spacing w:line="240" w:lineRule="auto" w:before="30" w:after="30"/>
              <w:jc w:val="left"/>
            </w:pPr>
            <w:r>
              <w:rPr>
                <w:b w:val="0"/>
                <w:i w:val="0"/>
                <w:sz w:val="18"/>
              </w:rPr>
              <w:t>ANX²</w:t>
            </w:r>
          </w:p>
        </w:tc>
        <w:tc>
          <w:tcPr>
            <w:tcW w:type="dxa" w:w="1178"/>
          </w:tcPr>
          <w:p>
            <w:pPr>
              <w:pStyle w:val="MDPI42tablebody"/>
              <w:keepNext/>
              <w:spacing w:line="240" w:lineRule="auto" w:before="30" w:after="30"/>
              <w:jc w:val="center"/>
            </w:pPr>
          </w:p>
        </w:tc>
        <w:tc>
          <w:tcPr>
            <w:tcW w:type="dxa" w:w="1178"/>
          </w:tcPr>
          <w:p>
            <w:pPr>
              <w:pStyle w:val="MDPI42tablebody"/>
              <w:keepNext/>
              <w:spacing w:line="240" w:lineRule="auto" w:before="30" w:after="30"/>
              <w:jc w:val="center"/>
            </w:pPr>
            <w:r>
              <w:rPr>
                <w:b w:val="0"/>
                <w:i w:val="0"/>
                <w:sz w:val="18"/>
              </w:rPr>
              <w:t>−0.266***</w:t>
            </w:r>
          </w:p>
        </w:tc>
        <w:tc>
          <w:tcPr>
            <w:tcW w:type="dxa" w:w="1178"/>
          </w:tcPr>
          <w:p>
            <w:pPr>
              <w:pStyle w:val="MDPI42tablebody"/>
              <w:keepNext/>
              <w:spacing w:line="240" w:lineRule="auto" w:before="30" w:after="30"/>
              <w:jc w:val="center"/>
            </w:pPr>
            <w:r>
              <w:rPr>
                <w:b w:val="0"/>
                <w:i w:val="0"/>
                <w:sz w:val="18"/>
              </w:rPr>
              <w:t>−0.256***</w:t>
            </w:r>
          </w:p>
        </w:tc>
        <w:tc>
          <w:tcPr>
            <w:tcW w:type="dxa" w:w="1178"/>
          </w:tcPr>
          <w:p>
            <w:pPr>
              <w:pStyle w:val="MDPI42tablebody"/>
              <w:keepNext/>
              <w:spacing w:line="240" w:lineRule="auto" w:before="30" w:after="30"/>
              <w:jc w:val="center"/>
            </w:pPr>
            <w:r>
              <w:rPr>
                <w:b w:val="0"/>
                <w:i w:val="0"/>
                <w:sz w:val="18"/>
              </w:rPr>
              <w:t>−0.237***</w:t>
            </w:r>
          </w:p>
        </w:tc>
        <w:tc>
          <w:tcPr>
            <w:tcW w:type="dxa" w:w="1178"/>
          </w:tcPr>
          <w:p>
            <w:pPr>
              <w:pStyle w:val="MDPI42tablebody"/>
              <w:keepNext/>
              <w:spacing w:line="240" w:lineRule="auto" w:before="30" w:after="30"/>
              <w:jc w:val="center"/>
            </w:pPr>
            <w:r>
              <w:rPr>
                <w:b w:val="0"/>
                <w:i w:val="0"/>
                <w:sz w:val="18"/>
              </w:rPr>
              <w:t>−0.237***</w:t>
            </w:r>
          </w:p>
        </w:tc>
      </w:tr>
      <w:tr>
        <w:trPr>
          <w:cantSplit/>
        </w:trPr>
        <w:tc>
          <w:tcPr>
            <w:tcW w:type="dxa" w:w="1964"/>
          </w:tcPr>
          <w:p>
            <w:pPr>
              <w:pStyle w:val="MDPI42tablebody"/>
              <w:keepNext/>
              <w:spacing w:line="240" w:lineRule="auto" w:before="30" w:after="30"/>
              <w:jc w:val="left"/>
            </w:pPr>
          </w:p>
        </w:tc>
        <w:tc>
          <w:tcPr>
            <w:tcW w:type="dxa" w:w="1178"/>
          </w:tcPr>
          <w:p>
            <w:pPr>
              <w:pStyle w:val="MDPI42tablebody"/>
              <w:keepNext/>
              <w:spacing w:line="240" w:lineRule="auto" w:before="30" w:after="30"/>
              <w:jc w:val="center"/>
            </w:pPr>
          </w:p>
        </w:tc>
        <w:tc>
          <w:tcPr>
            <w:tcW w:type="dxa" w:w="1178"/>
          </w:tcPr>
          <w:p>
            <w:pPr>
              <w:pStyle w:val="MDPI42tablebody"/>
              <w:keepNext/>
              <w:spacing w:line="240" w:lineRule="auto" w:before="30" w:after="30"/>
              <w:jc w:val="center"/>
            </w:pPr>
            <w:r>
              <w:rPr>
                <w:b w:val="0"/>
                <w:i w:val="0"/>
                <w:sz w:val="18"/>
              </w:rPr>
              <w:t>(0.027)</w:t>
            </w:r>
          </w:p>
        </w:tc>
        <w:tc>
          <w:tcPr>
            <w:tcW w:type="dxa" w:w="1178"/>
          </w:tcPr>
          <w:p>
            <w:pPr>
              <w:pStyle w:val="MDPI42tablebody"/>
              <w:keepNext/>
              <w:spacing w:line="240" w:lineRule="auto" w:before="30" w:after="30"/>
              <w:jc w:val="center"/>
            </w:pPr>
            <w:r>
              <w:rPr>
                <w:b w:val="0"/>
                <w:i w:val="0"/>
                <w:sz w:val="18"/>
              </w:rPr>
              <w:t>(0.026)</w:t>
            </w:r>
          </w:p>
        </w:tc>
        <w:tc>
          <w:tcPr>
            <w:tcW w:type="dxa" w:w="1178"/>
          </w:tcPr>
          <w:p>
            <w:pPr>
              <w:pStyle w:val="MDPI42tablebody"/>
              <w:keepNext/>
              <w:spacing w:line="240" w:lineRule="auto" w:before="30" w:after="30"/>
              <w:jc w:val="center"/>
            </w:pPr>
            <w:r>
              <w:rPr>
                <w:b w:val="0"/>
                <w:i w:val="0"/>
                <w:sz w:val="18"/>
              </w:rPr>
              <w:t>(0.025)</w:t>
            </w:r>
          </w:p>
        </w:tc>
        <w:tc>
          <w:tcPr>
            <w:tcW w:type="dxa" w:w="1178"/>
          </w:tcPr>
          <w:p>
            <w:pPr>
              <w:pStyle w:val="MDPI42tablebody"/>
              <w:keepNext/>
              <w:spacing w:line="240" w:lineRule="auto" w:before="30" w:after="30"/>
              <w:jc w:val="center"/>
            </w:pPr>
            <w:r>
              <w:rPr>
                <w:b w:val="0"/>
                <w:i w:val="0"/>
                <w:sz w:val="18"/>
              </w:rPr>
              <w:t>(0.020)</w:t>
            </w:r>
          </w:p>
        </w:tc>
      </w:tr>
      <w:tr>
        <w:trPr>
          <w:cantSplit/>
        </w:trPr>
        <w:tc>
          <w:tcPr>
            <w:tcW w:type="dxa" w:w="1964"/>
          </w:tcPr>
          <w:p>
            <w:pPr>
              <w:pStyle w:val="MDPI42tablebody"/>
              <w:keepNext/>
              <w:spacing w:line="240" w:lineRule="auto" w:before="30" w:after="30"/>
              <w:jc w:val="left"/>
            </w:pPr>
            <w:r>
              <w:rPr>
                <w:b w:val="0"/>
                <w:i w:val="0"/>
                <w:sz w:val="18"/>
              </w:rPr>
              <w:t>LIT</w:t>
            </w:r>
          </w:p>
        </w:tc>
        <w:tc>
          <w:tcPr>
            <w:tcW w:type="dxa" w:w="1178"/>
          </w:tcPr>
          <w:p>
            <w:pPr>
              <w:pStyle w:val="MDPI42tablebody"/>
              <w:keepNext/>
              <w:spacing w:line="240" w:lineRule="auto" w:before="30" w:after="30"/>
              <w:jc w:val="center"/>
            </w:pPr>
          </w:p>
        </w:tc>
        <w:tc>
          <w:tcPr>
            <w:tcW w:type="dxa" w:w="1178"/>
          </w:tcPr>
          <w:p>
            <w:pPr>
              <w:pStyle w:val="MDPI42tablebody"/>
              <w:keepNext/>
              <w:spacing w:line="240" w:lineRule="auto" w:before="30" w:after="30"/>
              <w:jc w:val="center"/>
            </w:pPr>
          </w:p>
        </w:tc>
        <w:tc>
          <w:tcPr>
            <w:tcW w:type="dxa" w:w="1178"/>
          </w:tcPr>
          <w:p>
            <w:pPr>
              <w:pStyle w:val="MDPI42tablebody"/>
              <w:keepNext/>
              <w:spacing w:line="240" w:lineRule="auto" w:before="30" w:after="30"/>
              <w:jc w:val="center"/>
            </w:pPr>
            <w:r>
              <w:rPr>
                <w:b w:val="0"/>
                <w:i w:val="0"/>
                <w:sz w:val="18"/>
              </w:rPr>
              <w:t>0.278***</w:t>
            </w:r>
          </w:p>
        </w:tc>
        <w:tc>
          <w:tcPr>
            <w:tcW w:type="dxa" w:w="1178"/>
          </w:tcPr>
          <w:p>
            <w:pPr>
              <w:pStyle w:val="MDPI42tablebody"/>
              <w:keepNext/>
              <w:spacing w:line="240" w:lineRule="auto" w:before="30" w:after="30"/>
              <w:jc w:val="center"/>
            </w:pPr>
            <w:r>
              <w:rPr>
                <w:b w:val="0"/>
                <w:i w:val="0"/>
                <w:sz w:val="18"/>
              </w:rPr>
              <w:t>0.279***</w:t>
            </w:r>
          </w:p>
        </w:tc>
        <w:tc>
          <w:tcPr>
            <w:tcW w:type="dxa" w:w="1178"/>
          </w:tcPr>
          <w:p>
            <w:pPr>
              <w:pStyle w:val="MDPI42tablebody"/>
              <w:keepNext/>
              <w:spacing w:line="240" w:lineRule="auto" w:before="30" w:after="30"/>
              <w:jc w:val="center"/>
            </w:pPr>
            <w:r>
              <w:rPr>
                <w:b w:val="0"/>
                <w:i w:val="0"/>
                <w:sz w:val="18"/>
              </w:rPr>
              <w:t>0.279***</w:t>
            </w:r>
          </w:p>
        </w:tc>
      </w:tr>
      <w:tr>
        <w:trPr>
          <w:cantSplit/>
        </w:trPr>
        <w:tc>
          <w:tcPr>
            <w:tcW w:type="dxa" w:w="1964"/>
          </w:tcPr>
          <w:p>
            <w:pPr>
              <w:pStyle w:val="MDPI42tablebody"/>
              <w:keepNext/>
              <w:spacing w:line="240" w:lineRule="auto" w:before="30" w:after="30"/>
              <w:jc w:val="left"/>
            </w:pPr>
          </w:p>
        </w:tc>
        <w:tc>
          <w:tcPr>
            <w:tcW w:type="dxa" w:w="1178"/>
          </w:tcPr>
          <w:p>
            <w:pPr>
              <w:pStyle w:val="MDPI42tablebody"/>
              <w:keepNext/>
              <w:spacing w:line="240" w:lineRule="auto" w:before="30" w:after="30"/>
              <w:jc w:val="center"/>
            </w:pPr>
          </w:p>
        </w:tc>
        <w:tc>
          <w:tcPr>
            <w:tcW w:type="dxa" w:w="1178"/>
          </w:tcPr>
          <w:p>
            <w:pPr>
              <w:pStyle w:val="MDPI42tablebody"/>
              <w:keepNext/>
              <w:spacing w:line="240" w:lineRule="auto" w:before="30" w:after="30"/>
              <w:jc w:val="center"/>
            </w:pPr>
          </w:p>
        </w:tc>
        <w:tc>
          <w:tcPr>
            <w:tcW w:type="dxa" w:w="1178"/>
          </w:tcPr>
          <w:p>
            <w:pPr>
              <w:pStyle w:val="MDPI42tablebody"/>
              <w:keepNext/>
              <w:spacing w:line="240" w:lineRule="auto" w:before="30" w:after="30"/>
              <w:jc w:val="center"/>
            </w:pPr>
            <w:r>
              <w:rPr>
                <w:b w:val="0"/>
                <w:i w:val="0"/>
                <w:sz w:val="18"/>
              </w:rPr>
              <w:t>(0.030)</w:t>
            </w:r>
          </w:p>
        </w:tc>
        <w:tc>
          <w:tcPr>
            <w:tcW w:type="dxa" w:w="1178"/>
          </w:tcPr>
          <w:p>
            <w:pPr>
              <w:pStyle w:val="MDPI42tablebody"/>
              <w:keepNext/>
              <w:spacing w:line="240" w:lineRule="auto" w:before="30" w:after="30"/>
              <w:jc w:val="center"/>
            </w:pPr>
            <w:r>
              <w:rPr>
                <w:b w:val="0"/>
                <w:i w:val="0"/>
                <w:sz w:val="18"/>
              </w:rPr>
              <w:t>(0.029)</w:t>
            </w:r>
          </w:p>
        </w:tc>
        <w:tc>
          <w:tcPr>
            <w:tcW w:type="dxa" w:w="1178"/>
          </w:tcPr>
          <w:p>
            <w:pPr>
              <w:pStyle w:val="MDPI42tablebody"/>
              <w:keepNext/>
              <w:spacing w:line="240" w:lineRule="auto" w:before="30" w:after="30"/>
              <w:jc w:val="center"/>
            </w:pPr>
            <w:r>
              <w:rPr>
                <w:b w:val="0"/>
                <w:i w:val="0"/>
                <w:sz w:val="18"/>
              </w:rPr>
              <w:t>(0.028)</w:t>
            </w:r>
          </w:p>
        </w:tc>
      </w:tr>
      <w:tr>
        <w:trPr>
          <w:cantSplit/>
        </w:trPr>
        <w:tc>
          <w:tcPr>
            <w:tcW w:type="dxa" w:w="1964"/>
          </w:tcPr>
          <w:p>
            <w:pPr>
              <w:pStyle w:val="MDPI42tablebody"/>
              <w:keepNext/>
              <w:spacing w:line="240" w:lineRule="auto" w:before="30" w:after="30"/>
              <w:jc w:val="left"/>
            </w:pPr>
            <w:r>
              <w:rPr>
                <w:b w:val="0"/>
                <w:i w:val="0"/>
                <w:sz w:val="18"/>
              </w:rPr>
              <w:t>ANX × LIT</w:t>
            </w:r>
          </w:p>
        </w:tc>
        <w:tc>
          <w:tcPr>
            <w:tcW w:type="dxa" w:w="1178"/>
          </w:tcPr>
          <w:p>
            <w:pPr>
              <w:pStyle w:val="MDPI42tablebody"/>
              <w:keepNext/>
              <w:spacing w:line="240" w:lineRule="auto" w:before="30" w:after="30"/>
              <w:jc w:val="center"/>
            </w:pPr>
          </w:p>
        </w:tc>
        <w:tc>
          <w:tcPr>
            <w:tcW w:type="dxa" w:w="1178"/>
          </w:tcPr>
          <w:p>
            <w:pPr>
              <w:pStyle w:val="MDPI42tablebody"/>
              <w:keepNext/>
              <w:spacing w:line="240" w:lineRule="auto" w:before="30" w:after="30"/>
              <w:jc w:val="center"/>
            </w:pPr>
          </w:p>
        </w:tc>
        <w:tc>
          <w:tcPr>
            <w:tcW w:type="dxa" w:w="1178"/>
          </w:tcPr>
          <w:p>
            <w:pPr>
              <w:pStyle w:val="MDPI42tablebody"/>
              <w:keepNext/>
              <w:spacing w:line="240" w:lineRule="auto" w:before="30" w:after="30"/>
              <w:jc w:val="center"/>
            </w:pPr>
            <w:r>
              <w:rPr>
                <w:b w:val="0"/>
                <w:i w:val="0"/>
                <w:sz w:val="18"/>
              </w:rPr>
              <w:t>0.138***</w:t>
            </w:r>
          </w:p>
        </w:tc>
        <w:tc>
          <w:tcPr>
            <w:tcW w:type="dxa" w:w="1178"/>
          </w:tcPr>
          <w:p>
            <w:pPr>
              <w:pStyle w:val="MDPI42tablebody"/>
              <w:keepNext/>
              <w:spacing w:line="240" w:lineRule="auto" w:before="30" w:after="30"/>
              <w:jc w:val="center"/>
            </w:pPr>
            <w:r>
              <w:rPr>
                <w:b w:val="0"/>
                <w:i w:val="0"/>
                <w:sz w:val="18"/>
              </w:rPr>
              <w:t>0.139***</w:t>
            </w:r>
          </w:p>
        </w:tc>
        <w:tc>
          <w:tcPr>
            <w:tcW w:type="dxa" w:w="1178"/>
          </w:tcPr>
          <w:p>
            <w:pPr>
              <w:pStyle w:val="MDPI42tablebody"/>
              <w:keepNext/>
              <w:spacing w:line="240" w:lineRule="auto" w:before="30" w:after="30"/>
              <w:jc w:val="center"/>
            </w:pPr>
            <w:r>
              <w:rPr>
                <w:b w:val="0"/>
                <w:i w:val="0"/>
                <w:sz w:val="18"/>
              </w:rPr>
              <w:t>0.139***</w:t>
            </w:r>
          </w:p>
        </w:tc>
      </w:tr>
      <w:tr>
        <w:trPr>
          <w:cantSplit/>
        </w:trPr>
        <w:tc>
          <w:tcPr>
            <w:tcW w:type="dxa" w:w="1964"/>
          </w:tcPr>
          <w:p>
            <w:pPr>
              <w:pStyle w:val="MDPI42tablebody"/>
              <w:keepNext/>
              <w:spacing w:line="240" w:lineRule="auto" w:before="30" w:after="30"/>
              <w:jc w:val="left"/>
            </w:pPr>
          </w:p>
        </w:tc>
        <w:tc>
          <w:tcPr>
            <w:tcW w:type="dxa" w:w="1178"/>
          </w:tcPr>
          <w:p>
            <w:pPr>
              <w:pStyle w:val="MDPI42tablebody"/>
              <w:keepNext/>
              <w:spacing w:line="240" w:lineRule="auto" w:before="30" w:after="30"/>
              <w:jc w:val="center"/>
            </w:pPr>
          </w:p>
        </w:tc>
        <w:tc>
          <w:tcPr>
            <w:tcW w:type="dxa" w:w="1178"/>
          </w:tcPr>
          <w:p>
            <w:pPr>
              <w:pStyle w:val="MDPI42tablebody"/>
              <w:keepNext/>
              <w:spacing w:line="240" w:lineRule="auto" w:before="30" w:after="30"/>
              <w:jc w:val="center"/>
            </w:pPr>
          </w:p>
        </w:tc>
        <w:tc>
          <w:tcPr>
            <w:tcW w:type="dxa" w:w="1178"/>
          </w:tcPr>
          <w:p>
            <w:pPr>
              <w:pStyle w:val="MDPI42tablebody"/>
              <w:keepNext/>
              <w:spacing w:line="240" w:lineRule="auto" w:before="30" w:after="30"/>
              <w:jc w:val="center"/>
            </w:pPr>
            <w:r>
              <w:rPr>
                <w:b w:val="0"/>
                <w:i w:val="0"/>
                <w:sz w:val="18"/>
              </w:rPr>
              <w:t>(0.029)</w:t>
            </w:r>
          </w:p>
        </w:tc>
        <w:tc>
          <w:tcPr>
            <w:tcW w:type="dxa" w:w="1178"/>
          </w:tcPr>
          <w:p>
            <w:pPr>
              <w:pStyle w:val="MDPI42tablebody"/>
              <w:keepNext/>
              <w:spacing w:line="240" w:lineRule="auto" w:before="30" w:after="30"/>
              <w:jc w:val="center"/>
            </w:pPr>
            <w:r>
              <w:rPr>
                <w:b w:val="0"/>
                <w:i w:val="0"/>
                <w:sz w:val="18"/>
              </w:rPr>
              <w:t>(0.029)</w:t>
            </w:r>
          </w:p>
        </w:tc>
        <w:tc>
          <w:tcPr>
            <w:tcW w:type="dxa" w:w="1178"/>
          </w:tcPr>
          <w:p>
            <w:pPr>
              <w:pStyle w:val="MDPI42tablebody"/>
              <w:keepNext/>
              <w:spacing w:line="240" w:lineRule="auto" w:before="30" w:after="30"/>
              <w:jc w:val="center"/>
            </w:pPr>
            <w:r>
              <w:rPr>
                <w:b w:val="0"/>
                <w:i w:val="0"/>
                <w:sz w:val="18"/>
              </w:rPr>
              <w:t>(0.028)</w:t>
            </w:r>
          </w:p>
        </w:tc>
      </w:tr>
      <w:tr>
        <w:trPr>
          <w:cantSplit/>
        </w:trPr>
        <w:tc>
          <w:tcPr>
            <w:tcW w:type="dxa" w:w="1964"/>
          </w:tcPr>
          <w:p>
            <w:pPr>
              <w:pStyle w:val="MDPI42tablebody"/>
              <w:keepNext/>
              <w:spacing w:line="240" w:lineRule="auto" w:before="30" w:after="30"/>
              <w:jc w:val="left"/>
            </w:pPr>
            <w:r>
              <w:rPr>
                <w:b w:val="0"/>
                <w:i w:val="0"/>
                <w:sz w:val="18"/>
              </w:rPr>
              <w:t>SUP</w:t>
            </w:r>
          </w:p>
        </w:tc>
        <w:tc>
          <w:tcPr>
            <w:tcW w:type="dxa" w:w="1178"/>
          </w:tcPr>
          <w:p>
            <w:pPr>
              <w:pStyle w:val="MDPI42tablebody"/>
              <w:keepNext/>
              <w:spacing w:line="240" w:lineRule="auto" w:before="30" w:after="30"/>
              <w:jc w:val="center"/>
            </w:pPr>
          </w:p>
        </w:tc>
        <w:tc>
          <w:tcPr>
            <w:tcW w:type="dxa" w:w="1178"/>
          </w:tcPr>
          <w:p>
            <w:pPr>
              <w:pStyle w:val="MDPI42tablebody"/>
              <w:keepNext/>
              <w:spacing w:line="240" w:lineRule="auto" w:before="30" w:after="30"/>
              <w:jc w:val="center"/>
            </w:pPr>
          </w:p>
        </w:tc>
        <w:tc>
          <w:tcPr>
            <w:tcW w:type="dxa" w:w="1178"/>
          </w:tcPr>
          <w:p>
            <w:pPr>
              <w:pStyle w:val="MDPI42tablebody"/>
              <w:keepNext/>
              <w:spacing w:line="240" w:lineRule="auto" w:before="30" w:after="30"/>
              <w:jc w:val="center"/>
            </w:pPr>
          </w:p>
        </w:tc>
        <w:tc>
          <w:tcPr>
            <w:tcW w:type="dxa" w:w="1178"/>
          </w:tcPr>
          <w:p>
            <w:pPr>
              <w:pStyle w:val="MDPI42tablebody"/>
              <w:keepNext/>
              <w:spacing w:line="240" w:lineRule="auto" w:before="30" w:after="30"/>
              <w:jc w:val="center"/>
            </w:pPr>
            <w:r>
              <w:rPr>
                <w:b w:val="0"/>
                <w:i w:val="0"/>
                <w:sz w:val="18"/>
              </w:rPr>
              <w:t>0.165***</w:t>
            </w:r>
          </w:p>
        </w:tc>
        <w:tc>
          <w:tcPr>
            <w:tcW w:type="dxa" w:w="1178"/>
          </w:tcPr>
          <w:p>
            <w:pPr>
              <w:pStyle w:val="MDPI42tablebody"/>
              <w:keepNext/>
              <w:spacing w:line="240" w:lineRule="auto" w:before="30" w:after="30"/>
              <w:jc w:val="center"/>
            </w:pPr>
            <w:r>
              <w:rPr>
                <w:b w:val="0"/>
                <w:i w:val="0"/>
                <w:sz w:val="18"/>
              </w:rPr>
              <w:t>0.165***</w:t>
            </w:r>
          </w:p>
        </w:tc>
      </w:tr>
      <w:tr>
        <w:trPr>
          <w:cantSplit/>
        </w:trPr>
        <w:tc>
          <w:tcPr>
            <w:tcW w:type="dxa" w:w="1964"/>
          </w:tcPr>
          <w:p>
            <w:pPr>
              <w:pStyle w:val="MDPI42tablebody"/>
              <w:keepNext/>
              <w:spacing w:line="240" w:lineRule="auto" w:before="30" w:after="30"/>
              <w:jc w:val="left"/>
            </w:pPr>
          </w:p>
        </w:tc>
        <w:tc>
          <w:tcPr>
            <w:tcW w:type="dxa" w:w="1178"/>
          </w:tcPr>
          <w:p>
            <w:pPr>
              <w:pStyle w:val="MDPI42tablebody"/>
              <w:keepNext/>
              <w:spacing w:line="240" w:lineRule="auto" w:before="30" w:after="30"/>
              <w:jc w:val="center"/>
            </w:pPr>
          </w:p>
        </w:tc>
        <w:tc>
          <w:tcPr>
            <w:tcW w:type="dxa" w:w="1178"/>
          </w:tcPr>
          <w:p>
            <w:pPr>
              <w:pStyle w:val="MDPI42tablebody"/>
              <w:keepNext/>
              <w:spacing w:line="240" w:lineRule="auto" w:before="30" w:after="30"/>
              <w:jc w:val="center"/>
            </w:pPr>
          </w:p>
        </w:tc>
        <w:tc>
          <w:tcPr>
            <w:tcW w:type="dxa" w:w="1178"/>
          </w:tcPr>
          <w:p>
            <w:pPr>
              <w:pStyle w:val="MDPI42tablebody"/>
              <w:keepNext/>
              <w:spacing w:line="240" w:lineRule="auto" w:before="30" w:after="30"/>
              <w:jc w:val="center"/>
            </w:pPr>
          </w:p>
        </w:tc>
        <w:tc>
          <w:tcPr>
            <w:tcW w:type="dxa" w:w="1178"/>
          </w:tcPr>
          <w:p>
            <w:pPr>
              <w:pStyle w:val="MDPI42tablebody"/>
              <w:keepNext/>
              <w:spacing w:line="240" w:lineRule="auto" w:before="30" w:after="30"/>
              <w:jc w:val="center"/>
            </w:pPr>
            <w:r>
              <w:rPr>
                <w:b w:val="0"/>
                <w:i w:val="0"/>
                <w:sz w:val="18"/>
              </w:rPr>
              <w:t>(0.031)</w:t>
            </w:r>
          </w:p>
        </w:tc>
        <w:tc>
          <w:tcPr>
            <w:tcW w:type="dxa" w:w="1178"/>
          </w:tcPr>
          <w:p>
            <w:pPr>
              <w:pStyle w:val="MDPI42tablebody"/>
              <w:keepNext/>
              <w:spacing w:line="240" w:lineRule="auto" w:before="30" w:after="30"/>
              <w:jc w:val="center"/>
            </w:pPr>
            <w:r>
              <w:rPr>
                <w:b w:val="0"/>
                <w:i w:val="0"/>
                <w:sz w:val="18"/>
              </w:rPr>
              <w:t>(0.037)</w:t>
            </w:r>
          </w:p>
        </w:tc>
      </w:tr>
      <w:tr>
        <w:trPr>
          <w:cantSplit/>
        </w:trPr>
        <w:tc>
          <w:tcPr>
            <w:tcW w:type="dxa" w:w="1964"/>
          </w:tcPr>
          <w:p>
            <w:pPr>
              <w:pStyle w:val="MDPI42tablebody"/>
              <w:keepNext/>
              <w:spacing w:line="240" w:lineRule="auto" w:before="30" w:after="30"/>
              <w:jc w:val="left"/>
            </w:pPr>
            <w:r>
              <w:rPr>
                <w:b w:val="0"/>
                <w:i w:val="0"/>
                <w:sz w:val="18"/>
              </w:rPr>
              <w:t>PHCD</w:t>
            </w:r>
          </w:p>
        </w:tc>
        <w:tc>
          <w:tcPr>
            <w:tcW w:type="dxa" w:w="1178"/>
          </w:tcPr>
          <w:p>
            <w:pPr>
              <w:pStyle w:val="MDPI42tablebody"/>
              <w:keepNext/>
              <w:spacing w:line="240" w:lineRule="auto" w:before="30" w:after="30"/>
              <w:jc w:val="center"/>
            </w:pPr>
          </w:p>
        </w:tc>
        <w:tc>
          <w:tcPr>
            <w:tcW w:type="dxa" w:w="1178"/>
          </w:tcPr>
          <w:p>
            <w:pPr>
              <w:pStyle w:val="MDPI42tablebody"/>
              <w:keepNext/>
              <w:spacing w:line="240" w:lineRule="auto" w:before="30" w:after="30"/>
              <w:jc w:val="center"/>
            </w:pPr>
          </w:p>
        </w:tc>
        <w:tc>
          <w:tcPr>
            <w:tcW w:type="dxa" w:w="1178"/>
          </w:tcPr>
          <w:p>
            <w:pPr>
              <w:pStyle w:val="MDPI42tablebody"/>
              <w:keepNext/>
              <w:spacing w:line="240" w:lineRule="auto" w:before="30" w:after="30"/>
              <w:jc w:val="center"/>
            </w:pPr>
          </w:p>
        </w:tc>
        <w:tc>
          <w:tcPr>
            <w:tcW w:type="dxa" w:w="1178"/>
          </w:tcPr>
          <w:p>
            <w:pPr>
              <w:pStyle w:val="MDPI42tablebody"/>
              <w:keepNext/>
              <w:spacing w:line="240" w:lineRule="auto" w:before="30" w:after="30"/>
              <w:jc w:val="center"/>
            </w:pPr>
            <w:r>
              <w:rPr>
                <w:b w:val="0"/>
                <w:i w:val="0"/>
                <w:sz w:val="18"/>
              </w:rPr>
              <w:t>0.009</w:t>
            </w:r>
          </w:p>
        </w:tc>
        <w:tc>
          <w:tcPr>
            <w:tcW w:type="dxa" w:w="1178"/>
          </w:tcPr>
          <w:p>
            <w:pPr>
              <w:pStyle w:val="MDPI42tablebody"/>
              <w:keepNext/>
              <w:spacing w:line="240" w:lineRule="auto" w:before="30" w:after="30"/>
              <w:jc w:val="center"/>
            </w:pPr>
            <w:r>
              <w:rPr>
                <w:b w:val="0"/>
                <w:i w:val="0"/>
                <w:sz w:val="18"/>
              </w:rPr>
              <w:t>0.009</w:t>
            </w:r>
          </w:p>
        </w:tc>
      </w:tr>
      <w:tr>
        <w:trPr>
          <w:cantSplit/>
        </w:trPr>
        <w:tc>
          <w:tcPr>
            <w:tcW w:type="dxa" w:w="1964"/>
          </w:tcPr>
          <w:p>
            <w:pPr>
              <w:pStyle w:val="MDPI42tablebody"/>
              <w:keepNext/>
              <w:spacing w:line="240" w:lineRule="auto" w:before="30" w:after="30"/>
              <w:jc w:val="left"/>
            </w:pPr>
          </w:p>
        </w:tc>
        <w:tc>
          <w:tcPr>
            <w:tcW w:type="dxa" w:w="1178"/>
          </w:tcPr>
          <w:p>
            <w:pPr>
              <w:pStyle w:val="MDPI42tablebody"/>
              <w:keepNext/>
              <w:spacing w:line="240" w:lineRule="auto" w:before="30" w:after="30"/>
              <w:jc w:val="center"/>
            </w:pPr>
          </w:p>
        </w:tc>
        <w:tc>
          <w:tcPr>
            <w:tcW w:type="dxa" w:w="1178"/>
          </w:tcPr>
          <w:p>
            <w:pPr>
              <w:pStyle w:val="MDPI42tablebody"/>
              <w:keepNext/>
              <w:spacing w:line="240" w:lineRule="auto" w:before="30" w:after="30"/>
              <w:jc w:val="center"/>
            </w:pPr>
          </w:p>
        </w:tc>
        <w:tc>
          <w:tcPr>
            <w:tcW w:type="dxa" w:w="1178"/>
          </w:tcPr>
          <w:p>
            <w:pPr>
              <w:pStyle w:val="MDPI42tablebody"/>
              <w:keepNext/>
              <w:spacing w:line="240" w:lineRule="auto" w:before="30" w:after="30"/>
              <w:jc w:val="center"/>
            </w:pPr>
          </w:p>
        </w:tc>
        <w:tc>
          <w:tcPr>
            <w:tcW w:type="dxa" w:w="1178"/>
          </w:tcPr>
          <w:p>
            <w:pPr>
              <w:pStyle w:val="MDPI42tablebody"/>
              <w:keepNext/>
              <w:spacing w:line="240" w:lineRule="auto" w:before="30" w:after="30"/>
              <w:jc w:val="center"/>
            </w:pPr>
            <w:r>
              <w:rPr>
                <w:b w:val="0"/>
                <w:i w:val="0"/>
                <w:sz w:val="18"/>
              </w:rPr>
              <w:t>(0.034)</w:t>
            </w:r>
          </w:p>
        </w:tc>
        <w:tc>
          <w:tcPr>
            <w:tcW w:type="dxa" w:w="1178"/>
          </w:tcPr>
          <w:p>
            <w:pPr>
              <w:pStyle w:val="MDPI42tablebody"/>
              <w:keepNext/>
              <w:spacing w:line="240" w:lineRule="auto" w:before="30" w:after="30"/>
              <w:jc w:val="center"/>
            </w:pPr>
            <w:r>
              <w:rPr>
                <w:b w:val="0"/>
                <w:i w:val="0"/>
                <w:sz w:val="18"/>
              </w:rPr>
              <w:t>(0.037)</w:t>
            </w:r>
          </w:p>
        </w:tc>
      </w:tr>
      <w:tr>
        <w:trPr>
          <w:cantSplit/>
        </w:trPr>
        <w:tc>
          <w:tcPr>
            <w:tcW w:type="dxa" w:w="1964"/>
          </w:tcPr>
          <w:p>
            <w:pPr>
              <w:pStyle w:val="MDPI42tablebody"/>
              <w:keepNext/>
              <w:spacing w:line="240" w:lineRule="auto" w:before="30" w:after="30"/>
              <w:jc w:val="left"/>
            </w:pPr>
            <w:r>
              <w:rPr>
                <w:b w:val="0"/>
                <w:i w:val="0"/>
                <w:sz w:val="18"/>
              </w:rPr>
              <w:t>Controls</w:t>
            </w:r>
          </w:p>
        </w:tc>
        <w:tc>
          <w:tcPr>
            <w:tcW w:type="dxa" w:w="1178"/>
          </w:tcPr>
          <w:p>
            <w:pPr>
              <w:pStyle w:val="MDPI42tablebody"/>
              <w:keepNext/>
              <w:spacing w:line="240" w:lineRule="auto" w:before="30" w:after="30"/>
              <w:jc w:val="center"/>
            </w:pPr>
            <w:r>
              <w:rPr>
                <w:b w:val="0"/>
                <w:i w:val="0"/>
                <w:sz w:val="18"/>
              </w:rPr>
              <w:t>Yes</w:t>
            </w:r>
          </w:p>
        </w:tc>
        <w:tc>
          <w:tcPr>
            <w:tcW w:type="dxa" w:w="1178"/>
          </w:tcPr>
          <w:p>
            <w:pPr>
              <w:pStyle w:val="MDPI42tablebody"/>
              <w:keepNext/>
              <w:spacing w:line="240" w:lineRule="auto" w:before="30" w:after="30"/>
              <w:jc w:val="center"/>
            </w:pPr>
            <w:r>
              <w:rPr>
                <w:b w:val="0"/>
                <w:i w:val="0"/>
                <w:sz w:val="18"/>
              </w:rPr>
              <w:t>Yes</w:t>
            </w:r>
          </w:p>
        </w:tc>
        <w:tc>
          <w:tcPr>
            <w:tcW w:type="dxa" w:w="1178"/>
          </w:tcPr>
          <w:p>
            <w:pPr>
              <w:pStyle w:val="MDPI42tablebody"/>
              <w:keepNext/>
              <w:spacing w:line="240" w:lineRule="auto" w:before="30" w:after="30"/>
              <w:jc w:val="center"/>
            </w:pPr>
            <w:r>
              <w:rPr>
                <w:b w:val="0"/>
                <w:i w:val="0"/>
                <w:sz w:val="18"/>
              </w:rPr>
              <w:t>Yes</w:t>
            </w:r>
          </w:p>
        </w:tc>
        <w:tc>
          <w:tcPr>
            <w:tcW w:type="dxa" w:w="1178"/>
          </w:tcPr>
          <w:p>
            <w:pPr>
              <w:pStyle w:val="MDPI42tablebody"/>
              <w:keepNext/>
              <w:spacing w:line="240" w:lineRule="auto" w:before="30" w:after="30"/>
              <w:jc w:val="center"/>
            </w:pPr>
            <w:r>
              <w:rPr>
                <w:b w:val="0"/>
                <w:i w:val="0"/>
                <w:sz w:val="18"/>
              </w:rPr>
              <w:t>Yes</w:t>
            </w:r>
          </w:p>
        </w:tc>
        <w:tc>
          <w:tcPr>
            <w:tcW w:type="dxa" w:w="1178"/>
          </w:tcPr>
          <w:p>
            <w:pPr>
              <w:pStyle w:val="MDPI42tablebody"/>
              <w:keepNext/>
              <w:spacing w:line="240" w:lineRule="auto" w:before="30" w:after="30"/>
              <w:jc w:val="center"/>
            </w:pPr>
            <w:r>
              <w:rPr>
                <w:b w:val="0"/>
                <w:i w:val="0"/>
                <w:sz w:val="18"/>
              </w:rPr>
              <w:t>Yes</w:t>
            </w:r>
          </w:p>
        </w:tc>
      </w:tr>
      <w:tr>
        <w:trPr>
          <w:cantSplit/>
        </w:trPr>
        <w:tc>
          <w:tcPr>
            <w:tcW w:type="dxa" w:w="1964"/>
          </w:tcPr>
          <w:p>
            <w:pPr>
              <w:pStyle w:val="MDPI42tablebody"/>
              <w:keepNext/>
              <w:spacing w:line="240" w:lineRule="auto" w:before="30" w:after="30"/>
              <w:jc w:val="left"/>
            </w:pPr>
            <w:r>
              <w:rPr>
                <w:b w:val="0"/>
                <w:i w:val="0"/>
                <w:sz w:val="18"/>
              </w:rPr>
              <w:t>Observations</w:t>
            </w:r>
          </w:p>
        </w:tc>
        <w:tc>
          <w:tcPr>
            <w:tcW w:type="dxa" w:w="1178"/>
          </w:tcPr>
          <w:p>
            <w:pPr>
              <w:pStyle w:val="MDPI42tablebody"/>
              <w:keepNext/>
              <w:spacing w:line="240" w:lineRule="auto" w:before="30" w:after="30"/>
              <w:jc w:val="center"/>
            </w:pPr>
            <w:r>
              <w:rPr>
                <w:b w:val="0"/>
                <w:i w:val="0"/>
                <w:sz w:val="18"/>
              </w:rPr>
              <w:t>914</w:t>
            </w:r>
          </w:p>
        </w:tc>
        <w:tc>
          <w:tcPr>
            <w:tcW w:type="dxa" w:w="1178"/>
          </w:tcPr>
          <w:p>
            <w:pPr>
              <w:pStyle w:val="MDPI42tablebody"/>
              <w:keepNext/>
              <w:spacing w:line="240" w:lineRule="auto" w:before="30" w:after="30"/>
              <w:jc w:val="center"/>
            </w:pPr>
            <w:r>
              <w:rPr>
                <w:b w:val="0"/>
                <w:i w:val="0"/>
                <w:sz w:val="18"/>
              </w:rPr>
              <w:t>914</w:t>
            </w:r>
          </w:p>
        </w:tc>
        <w:tc>
          <w:tcPr>
            <w:tcW w:type="dxa" w:w="1178"/>
          </w:tcPr>
          <w:p>
            <w:pPr>
              <w:pStyle w:val="MDPI42tablebody"/>
              <w:keepNext/>
              <w:spacing w:line="240" w:lineRule="auto" w:before="30" w:after="30"/>
              <w:jc w:val="center"/>
            </w:pPr>
            <w:r>
              <w:rPr>
                <w:b w:val="0"/>
                <w:i w:val="0"/>
                <w:sz w:val="18"/>
              </w:rPr>
              <w:t>914</w:t>
            </w:r>
          </w:p>
        </w:tc>
        <w:tc>
          <w:tcPr>
            <w:tcW w:type="dxa" w:w="1178"/>
          </w:tcPr>
          <w:p>
            <w:pPr>
              <w:pStyle w:val="MDPI42tablebody"/>
              <w:keepNext/>
              <w:spacing w:line="240" w:lineRule="auto" w:before="30" w:after="30"/>
              <w:jc w:val="center"/>
            </w:pPr>
            <w:r>
              <w:rPr>
                <w:b w:val="0"/>
                <w:i w:val="0"/>
                <w:sz w:val="18"/>
              </w:rPr>
              <w:t>914</w:t>
            </w:r>
          </w:p>
        </w:tc>
        <w:tc>
          <w:tcPr>
            <w:tcW w:type="dxa" w:w="1178"/>
          </w:tcPr>
          <w:p>
            <w:pPr>
              <w:pStyle w:val="MDPI42tablebody"/>
              <w:keepNext/>
              <w:spacing w:line="240" w:lineRule="auto" w:before="30" w:after="30"/>
              <w:jc w:val="center"/>
            </w:pPr>
            <w:r>
              <w:rPr>
                <w:b w:val="0"/>
                <w:i w:val="0"/>
                <w:sz w:val="18"/>
              </w:rPr>
              <w:t>914</w:t>
            </w:r>
          </w:p>
        </w:tc>
      </w:tr>
      <w:tr>
        <w:trPr>
          <w:cantSplit/>
        </w:trPr>
        <w:tc>
          <w:tcPr>
            <w:tcW w:type="dxa" w:w="1964"/>
          </w:tcPr>
          <w:p>
            <w:pPr>
              <w:pStyle w:val="MDPI42tablebody"/>
              <w:keepNext/>
              <w:spacing w:line="240" w:lineRule="auto" w:before="30" w:after="30"/>
              <w:jc w:val="left"/>
            </w:pPr>
            <w:r>
              <w:rPr>
                <w:b w:val="0"/>
                <w:i w:val="0"/>
                <w:sz w:val="18"/>
              </w:rPr>
              <w:t>R²</w:t>
            </w:r>
          </w:p>
        </w:tc>
        <w:tc>
          <w:tcPr>
            <w:tcW w:type="dxa" w:w="1178"/>
          </w:tcPr>
          <w:p>
            <w:pPr>
              <w:pStyle w:val="MDPI42tablebody"/>
              <w:keepNext/>
              <w:spacing w:line="240" w:lineRule="auto" w:before="30" w:after="30"/>
              <w:jc w:val="center"/>
            </w:pPr>
            <w:r>
              <w:rPr>
                <w:b w:val="0"/>
                <w:i w:val="0"/>
                <w:sz w:val="18"/>
              </w:rPr>
              <w:t>0.031</w:t>
            </w:r>
          </w:p>
        </w:tc>
        <w:tc>
          <w:tcPr>
            <w:tcW w:type="dxa" w:w="1178"/>
          </w:tcPr>
          <w:p>
            <w:pPr>
              <w:pStyle w:val="MDPI42tablebody"/>
              <w:keepNext/>
              <w:spacing w:line="240" w:lineRule="auto" w:before="30" w:after="30"/>
              <w:jc w:val="center"/>
            </w:pPr>
            <w:r>
              <w:rPr>
                <w:b w:val="0"/>
                <w:i w:val="0"/>
                <w:sz w:val="18"/>
              </w:rPr>
              <w:t>0.130</w:t>
            </w:r>
          </w:p>
        </w:tc>
        <w:tc>
          <w:tcPr>
            <w:tcW w:type="dxa" w:w="1178"/>
          </w:tcPr>
          <w:p>
            <w:pPr>
              <w:pStyle w:val="MDPI42tablebody"/>
              <w:keepNext/>
              <w:spacing w:line="240" w:lineRule="auto" w:before="30" w:after="30"/>
              <w:jc w:val="center"/>
            </w:pPr>
            <w:r>
              <w:rPr>
                <w:b w:val="0"/>
                <w:i w:val="0"/>
                <w:sz w:val="18"/>
              </w:rPr>
              <w:t>0.223</w:t>
            </w:r>
          </w:p>
        </w:tc>
        <w:tc>
          <w:tcPr>
            <w:tcW w:type="dxa" w:w="1178"/>
          </w:tcPr>
          <w:p>
            <w:pPr>
              <w:pStyle w:val="MDPI42tablebody"/>
              <w:keepNext/>
              <w:spacing w:line="240" w:lineRule="auto" w:before="30" w:after="30"/>
              <w:jc w:val="center"/>
            </w:pPr>
            <w:r>
              <w:rPr>
                <w:b w:val="0"/>
                <w:i w:val="0"/>
                <w:sz w:val="18"/>
              </w:rPr>
              <w:t>0.248</w:t>
            </w:r>
          </w:p>
        </w:tc>
        <w:tc>
          <w:tcPr>
            <w:tcW w:type="dxa" w:w="1178"/>
          </w:tcPr>
          <w:p>
            <w:pPr>
              <w:pStyle w:val="MDPI42tablebody"/>
              <w:keepNext/>
              <w:spacing w:line="240" w:lineRule="auto" w:before="30" w:after="30"/>
              <w:jc w:val="center"/>
            </w:pPr>
            <w:r>
              <w:rPr>
                <w:b w:val="0"/>
                <w:i w:val="0"/>
                <w:sz w:val="18"/>
              </w:rPr>
              <w:t>0.248</w:t>
            </w:r>
          </w:p>
        </w:tc>
      </w:tr>
    </w:tbl>
    <w:p>
      <w:pPr>
        <w:pStyle w:val="MDPI43tablefooter"/>
        <w:spacing w:line="240" w:lineRule="auto" w:before="40" w:after="200"/>
        <w:ind w:left="2608" w:firstLine="0"/>
      </w:pPr>
      <w:r>
        <w:rPr>
          <w:sz w:val="16"/>
        </w:rPr>
        <w:t xml:space="preserve">Note: </w:t>
      </w:r>
      <w:r>
        <w:rPr>
          <w:b w:val="0"/>
          <w:i w:val="0"/>
          <w:sz w:val="16"/>
        </w:rPr>
        <w:t>The dependent variable is occupational adaptation at the second wave, standardized. Columns (1)–(4) use HC3 standard errors; column (5) repeats column (4) with standard errors clustered on the 20 occupation groups. ***, ** and * denote significance at the 1%, 5% and 10% levels, respectively. Source: authors’ own calculations.</w:t>
      </w:r>
    </w:p>
    <w:p>
      <w:pPr>
        <w:pStyle w:val="MDPI31text"/>
      </w:pPr>
      <w:r>
        <w:rPr>
          <w:b w:val="0"/>
          <w:i w:val="0"/>
        </w:rPr>
        <w:t xml:space="preserve">Because a negative quadratic coefficient does not by itself establish an interior optimum </w:t>
      </w:r>
      <w:r>
        <w:t>[</w:t>
      </w:r>
      <w:r>
        <w:fldChar w:fldCharType="begin"/>
      </w:r>
      <w:r>
        <w:instrText xml:space="preserve"> REF _Ref_32 \h </w:instrText>
      </w:r>
      <w:r>
        <w:fldChar w:fldCharType="separate"/>
      </w:r>
      <w:r>
        <w:t>32</w:t>
      </w:r>
      <w:r>
        <w:fldChar w:fldCharType="end"/>
      </w:r>
      <w:r>
        <w:t>,</w:t>
      </w:r>
      <w:r>
        <w:fldChar w:fldCharType="begin"/>
      </w:r>
      <w:r>
        <w:instrText xml:space="preserve"> REF _Ref_33 \h </w:instrText>
      </w:r>
      <w:r>
        <w:fldChar w:fldCharType="separate"/>
      </w:r>
      <w:r>
        <w:t>33</w:t>
      </w:r>
      <w:r>
        <w:fldChar w:fldCharType="end"/>
      </w:r>
      <w:r>
        <w:t>]</w:t>
      </w:r>
      <w:r>
        <w:rPr>
          <w:b w:val="0"/>
          <w:i w:val="0"/>
        </w:rPr>
        <w:t>, Table 8 reports the composite validation. The slope at the first percentile of anxiety is 1.162 (t = 10.31); the slope at the 99th percentile is −0.846 (t = −7.46); and the Sasabuchi p-value for the composite null of monotonicity is below 0.0001. The turning point lies 0.37 standard deviations above mean anxiety, with a 95 percent Fieller interval of [0.22, 0.55] that excludes both extremes of the observed range, and 38.5 percent of respondents fall to its right. Hypothesis H2 is verified. The literacy-conditional turning points in the lower panel of Table 8 test Hypothesis H5a: the turning point moves from 0.07 standard deviations at low literacy to 0.66 at high literacy, a displacement of 0.29 per standard deviation of literacy (standard error 0.07, p &lt; 0.001); a quadratic-by-literacy term is insignificant (p = 0.434), so literacy moves the peak without changing the curvature. Hypothesis H5a is verified.</w:t>
      </w:r>
    </w:p>
    <w:p>
      <w:pPr>
        <w:pStyle w:val="MDPI41tablecaption"/>
        <w:keepNext/>
        <w:spacing w:after="60"/>
      </w:pPr>
      <w:r>
        <w:rPr>
          <w:b/>
          <w:sz w:val="18"/>
        </w:rPr>
        <w:t xml:space="preserve">Table 8. </w:t>
      </w:r>
      <w:r>
        <w:rPr>
          <w:b w:val="0"/>
          <w:i w:val="0"/>
          <w:sz w:val="18"/>
        </w:rPr>
        <w:t>Formal validation of the inverted U.</w:t>
      </w:r>
    </w:p>
    <w:tbl>
      <w:tblPr>
        <w:tblStyle w:val="MDPI41threelinetable"/>
        <w:tblW w:w="7858" w:type="dxa"/>
        <w:tblInd w:w="2608" w:type="dxa"/>
        <w:tblBorders>
          <w:top w:val="single" w:sz="8" w:space="0" w:color="auto"/>
          <w:left w:val="none" w:sz="0" w:space="0" w:color="auto"/>
          <w:bottom w:val="single" w:sz="8" w:space="0" w:color="auto"/>
          <w:right w:val="none" w:sz="0" w:space="0" w:color="auto"/>
          <w:insideH w:val="none" w:sz="0" w:space="0" w:color="auto"/>
          <w:insideV w:val="none" w:sz="0" w:space="0" w:color="auto"/>
        </w:tblBorders>
        <w:tblLayout w:type="fixed"/>
        <w:tblCellMar>
          <w:top w:w="0" w:type="dxa"/>
          <w:left w:w="57" w:type="dxa"/>
          <w:bottom w:w="0" w:type="dxa"/>
          <w:right w:w="57" w:type="dxa"/>
        </w:tblCellMar>
        <w:tblLook w:firstColumn="1" w:firstRow="1" w:lastColumn="0" w:lastRow="0" w:noHBand="0" w:noVBand="1" w:val="04A0"/>
      </w:tblPr>
      <w:tblGrid>
        <w:gridCol w:w="4871"/>
        <w:gridCol w:w="2986"/>
      </w:tblGrid>
      <w:tr>
        <w:trPr>
          <w:cantSplit/>
          <w:tblHeader/>
        </w:trPr>
        <w:tc>
          <w:tcPr>
            <w:tcW w:type="dxa" w:w="4871"/>
            <w:tcBorders>
              <w:bottom w:val="single" w:sz="8" w:space="0" w:color="auto"/>
            </w:tcBorders>
          </w:tcPr>
          <w:p>
            <w:pPr>
              <w:pStyle w:val="MDPI42tablebody"/>
              <w:keepNext/>
              <w:spacing w:line="240" w:lineRule="auto" w:before="30" w:after="30"/>
              <w:jc w:val="center"/>
            </w:pPr>
            <w:r>
              <w:rPr>
                <w:b/>
                <w:i w:val="0"/>
                <w:sz w:val="18"/>
              </w:rPr>
              <w:t>Quantity</w:t>
            </w:r>
          </w:p>
        </w:tc>
        <w:tc>
          <w:tcPr>
            <w:tcW w:type="dxa" w:w="2986"/>
            <w:tcBorders>
              <w:bottom w:val="single" w:sz="8" w:space="0" w:color="auto"/>
            </w:tcBorders>
          </w:tcPr>
          <w:p>
            <w:pPr>
              <w:pStyle w:val="MDPI42tablebody"/>
              <w:keepNext/>
              <w:spacing w:line="240" w:lineRule="auto" w:before="30" w:after="30"/>
              <w:jc w:val="center"/>
            </w:pPr>
            <w:r>
              <w:rPr>
                <w:b/>
                <w:i w:val="0"/>
                <w:sz w:val="18"/>
              </w:rPr>
              <w:t>Estimate</w:t>
            </w:r>
          </w:p>
        </w:tc>
      </w:tr>
      <w:tr>
        <w:trPr>
          <w:cantSplit/>
        </w:trPr>
        <w:tc>
          <w:tcPr>
            <w:tcW w:type="dxa" w:w="4871"/>
          </w:tcPr>
          <w:p>
            <w:pPr>
              <w:pStyle w:val="MDPI42tablebody"/>
              <w:keepNext/>
              <w:spacing w:line="240" w:lineRule="auto" w:before="30" w:after="30"/>
              <w:jc w:val="left"/>
            </w:pPr>
            <w:r>
              <w:rPr>
                <w:b w:val="0"/>
                <w:i w:val="0"/>
                <w:sz w:val="18"/>
              </w:rPr>
              <w:t>Slope at the 1st percentile of ANX (−2.09)</w:t>
            </w:r>
          </w:p>
        </w:tc>
        <w:tc>
          <w:tcPr>
            <w:tcW w:type="dxa" w:w="2986"/>
          </w:tcPr>
          <w:p>
            <w:pPr>
              <w:pStyle w:val="MDPI42tablebody"/>
              <w:keepNext/>
              <w:spacing w:line="240" w:lineRule="auto" w:before="30" w:after="30"/>
              <w:jc w:val="center"/>
            </w:pPr>
            <w:r>
              <w:rPr>
                <w:b w:val="0"/>
                <w:i w:val="0"/>
                <w:sz w:val="18"/>
              </w:rPr>
              <w:t>1.162 (t = 10.31)</w:t>
            </w:r>
          </w:p>
        </w:tc>
      </w:tr>
      <w:tr>
        <w:trPr>
          <w:cantSplit/>
        </w:trPr>
        <w:tc>
          <w:tcPr>
            <w:tcW w:type="dxa" w:w="4871"/>
          </w:tcPr>
          <w:p>
            <w:pPr>
              <w:pStyle w:val="MDPI42tablebody"/>
              <w:keepNext/>
              <w:spacing w:line="240" w:lineRule="auto" w:before="30" w:after="30"/>
              <w:jc w:val="left"/>
            </w:pPr>
            <w:r>
              <w:rPr>
                <w:b w:val="0"/>
                <w:i w:val="0"/>
                <w:sz w:val="18"/>
              </w:rPr>
              <w:t>Slope at the 99th percentile of ANX (2.15)</w:t>
            </w:r>
          </w:p>
        </w:tc>
        <w:tc>
          <w:tcPr>
            <w:tcW w:type="dxa" w:w="2986"/>
          </w:tcPr>
          <w:p>
            <w:pPr>
              <w:pStyle w:val="MDPI42tablebody"/>
              <w:keepNext/>
              <w:spacing w:line="240" w:lineRule="auto" w:before="30" w:after="30"/>
              <w:jc w:val="center"/>
            </w:pPr>
            <w:r>
              <w:rPr>
                <w:b w:val="0"/>
                <w:i w:val="0"/>
                <w:sz w:val="18"/>
              </w:rPr>
              <w:t>−0.846 (t = −7.46)</w:t>
            </w:r>
          </w:p>
        </w:tc>
      </w:tr>
      <w:tr>
        <w:trPr>
          <w:cantSplit/>
        </w:trPr>
        <w:tc>
          <w:tcPr>
            <w:tcW w:type="dxa" w:w="4871"/>
          </w:tcPr>
          <w:p>
            <w:pPr>
              <w:pStyle w:val="MDPI42tablebody"/>
              <w:keepNext/>
              <w:spacing w:line="240" w:lineRule="auto" w:before="30" w:after="30"/>
              <w:jc w:val="left"/>
            </w:pPr>
            <w:r>
              <w:rPr>
                <w:b w:val="0"/>
                <w:i w:val="0"/>
                <w:sz w:val="18"/>
              </w:rPr>
              <w:t>Sasabuchi test of the composite null (p)</w:t>
            </w:r>
          </w:p>
        </w:tc>
        <w:tc>
          <w:tcPr>
            <w:tcW w:type="dxa" w:w="2986"/>
          </w:tcPr>
          <w:p>
            <w:pPr>
              <w:pStyle w:val="MDPI42tablebody"/>
              <w:keepNext/>
              <w:spacing w:line="240" w:lineRule="auto" w:before="30" w:after="30"/>
              <w:jc w:val="center"/>
            </w:pPr>
            <w:r>
              <w:rPr>
                <w:b w:val="0"/>
                <w:i w:val="0"/>
                <w:sz w:val="18"/>
              </w:rPr>
              <w:t>&lt; 0.0001</w:t>
            </w:r>
          </w:p>
        </w:tc>
      </w:tr>
      <w:tr>
        <w:trPr>
          <w:cantSplit/>
        </w:trPr>
        <w:tc>
          <w:tcPr>
            <w:tcW w:type="dxa" w:w="4871"/>
          </w:tcPr>
          <w:p>
            <w:pPr>
              <w:pStyle w:val="MDPI42tablebody"/>
              <w:keepNext/>
              <w:spacing w:line="240" w:lineRule="auto" w:before="30" w:after="30"/>
              <w:jc w:val="left"/>
            </w:pPr>
            <w:r>
              <w:rPr>
                <w:b w:val="0"/>
                <w:i w:val="0"/>
                <w:sz w:val="18"/>
              </w:rPr>
              <w:t>Turning point (SD of ANX)</w:t>
            </w:r>
          </w:p>
        </w:tc>
        <w:tc>
          <w:tcPr>
            <w:tcW w:type="dxa" w:w="2986"/>
          </w:tcPr>
          <w:p>
            <w:pPr>
              <w:pStyle w:val="MDPI42tablebody"/>
              <w:keepNext/>
              <w:spacing w:line="240" w:lineRule="auto" w:before="30" w:after="30"/>
              <w:jc w:val="center"/>
            </w:pPr>
            <w:r>
              <w:rPr>
                <w:b w:val="0"/>
                <w:i w:val="0"/>
                <w:sz w:val="18"/>
              </w:rPr>
              <w:t>0.368 (SE 0.081)</w:t>
            </w:r>
          </w:p>
        </w:tc>
      </w:tr>
      <w:tr>
        <w:trPr>
          <w:cantSplit/>
        </w:trPr>
        <w:tc>
          <w:tcPr>
            <w:tcW w:type="dxa" w:w="4871"/>
          </w:tcPr>
          <w:p>
            <w:pPr>
              <w:pStyle w:val="MDPI42tablebody"/>
              <w:keepNext/>
              <w:spacing w:line="240" w:lineRule="auto" w:before="30" w:after="30"/>
              <w:jc w:val="left"/>
            </w:pPr>
            <w:r>
              <w:rPr>
                <w:b w:val="0"/>
                <w:i w:val="0"/>
                <w:sz w:val="18"/>
              </w:rPr>
              <w:t>95% Fieller interval</w:t>
            </w:r>
          </w:p>
        </w:tc>
        <w:tc>
          <w:tcPr>
            <w:tcW w:type="dxa" w:w="2986"/>
          </w:tcPr>
          <w:p>
            <w:pPr>
              <w:pStyle w:val="MDPI42tablebody"/>
              <w:keepNext/>
              <w:spacing w:line="240" w:lineRule="auto" w:before="30" w:after="30"/>
              <w:jc w:val="center"/>
            </w:pPr>
            <w:r>
              <w:rPr>
                <w:b w:val="0"/>
                <w:i w:val="0"/>
                <w:sz w:val="18"/>
              </w:rPr>
              <w:t>[0.221, 0.546]</w:t>
            </w:r>
          </w:p>
        </w:tc>
      </w:tr>
      <w:tr>
        <w:trPr>
          <w:cantSplit/>
        </w:trPr>
        <w:tc>
          <w:tcPr>
            <w:tcW w:type="dxa" w:w="4871"/>
          </w:tcPr>
          <w:p>
            <w:pPr>
              <w:pStyle w:val="MDPI42tablebody"/>
              <w:keepNext/>
              <w:spacing w:line="240" w:lineRule="auto" w:before="30" w:after="30"/>
              <w:jc w:val="left"/>
            </w:pPr>
            <w:r>
              <w:rPr>
                <w:b w:val="0"/>
                <w:i w:val="0"/>
                <w:sz w:val="18"/>
              </w:rPr>
              <w:t>Respondents beyond the turning point (%)</w:t>
            </w:r>
          </w:p>
        </w:tc>
        <w:tc>
          <w:tcPr>
            <w:tcW w:type="dxa" w:w="2986"/>
          </w:tcPr>
          <w:p>
            <w:pPr>
              <w:pStyle w:val="MDPI42tablebody"/>
              <w:keepNext/>
              <w:spacing w:line="240" w:lineRule="auto" w:before="30" w:after="30"/>
              <w:jc w:val="center"/>
            </w:pPr>
            <w:r>
              <w:rPr>
                <w:b w:val="0"/>
                <w:i w:val="0"/>
                <w:sz w:val="18"/>
              </w:rPr>
              <w:t>38.5</w:t>
            </w:r>
          </w:p>
        </w:tc>
      </w:tr>
      <w:tr>
        <w:trPr>
          <w:cantSplit/>
        </w:trPr>
        <w:tc>
          <w:tcPr>
            <w:tcW w:type="dxa" w:w="4871"/>
          </w:tcPr>
          <w:p>
            <w:pPr>
              <w:pStyle w:val="MDPI42tablebody"/>
              <w:keepNext/>
              <w:spacing w:line="240" w:lineRule="auto" w:before="30" w:after="30"/>
              <w:jc w:val="left"/>
            </w:pPr>
            <w:r>
              <w:rPr>
                <w:b w:val="0"/>
                <w:i w:val="0"/>
                <w:sz w:val="18"/>
              </w:rPr>
              <w:t>Turning point at LIT = −1 SD</w:t>
            </w:r>
          </w:p>
        </w:tc>
        <w:tc>
          <w:tcPr>
            <w:tcW w:type="dxa" w:w="2986"/>
          </w:tcPr>
          <w:p>
            <w:pPr>
              <w:pStyle w:val="MDPI42tablebody"/>
              <w:keepNext/>
              <w:spacing w:line="240" w:lineRule="auto" w:before="30" w:after="30"/>
              <w:jc w:val="center"/>
            </w:pPr>
            <w:r>
              <w:rPr>
                <w:b w:val="0"/>
                <w:i w:val="0"/>
                <w:sz w:val="18"/>
              </w:rPr>
              <w:t>0.075 (SE 0.095)</w:t>
            </w:r>
          </w:p>
        </w:tc>
      </w:tr>
      <w:tr>
        <w:trPr>
          <w:cantSplit/>
        </w:trPr>
        <w:tc>
          <w:tcPr>
            <w:tcW w:type="dxa" w:w="4871"/>
          </w:tcPr>
          <w:p>
            <w:pPr>
              <w:pStyle w:val="MDPI42tablebody"/>
              <w:keepNext/>
              <w:spacing w:line="240" w:lineRule="auto" w:before="30" w:after="30"/>
              <w:jc w:val="left"/>
            </w:pPr>
            <w:r>
              <w:rPr>
                <w:b w:val="0"/>
                <w:i w:val="0"/>
                <w:sz w:val="18"/>
              </w:rPr>
              <w:t>Turning point at LIT = +1 SD</w:t>
            </w:r>
          </w:p>
        </w:tc>
        <w:tc>
          <w:tcPr>
            <w:tcW w:type="dxa" w:w="2986"/>
          </w:tcPr>
          <w:p>
            <w:pPr>
              <w:pStyle w:val="MDPI42tablebody"/>
              <w:keepNext/>
              <w:spacing w:line="240" w:lineRule="auto" w:before="30" w:after="30"/>
              <w:jc w:val="center"/>
            </w:pPr>
            <w:r>
              <w:rPr>
                <w:b w:val="0"/>
                <w:i w:val="0"/>
                <w:sz w:val="18"/>
              </w:rPr>
              <w:t>0.661 (SE 0.119)</w:t>
            </w:r>
          </w:p>
        </w:tc>
      </w:tr>
      <w:tr>
        <w:trPr>
          <w:cantSplit/>
        </w:trPr>
        <w:tc>
          <w:tcPr>
            <w:tcW w:type="dxa" w:w="4871"/>
          </w:tcPr>
          <w:p>
            <w:pPr>
              <w:pStyle w:val="MDPI42tablebody"/>
              <w:keepNext/>
              <w:spacing w:line="240" w:lineRule="auto" w:before="30" w:after="30"/>
              <w:jc w:val="left"/>
            </w:pPr>
            <w:r>
              <w:rPr>
                <w:b w:val="0"/>
                <w:i w:val="0"/>
                <w:sz w:val="18"/>
              </w:rPr>
              <w:t>Displacement of the turning point per SD of literacy</w:t>
            </w:r>
          </w:p>
        </w:tc>
        <w:tc>
          <w:tcPr>
            <w:tcW w:type="dxa" w:w="2986"/>
          </w:tcPr>
          <w:p>
            <w:pPr>
              <w:pStyle w:val="MDPI42tablebody"/>
              <w:keepNext/>
              <w:spacing w:line="240" w:lineRule="auto" w:before="30" w:after="30"/>
              <w:jc w:val="center"/>
            </w:pPr>
            <w:r>
              <w:rPr>
                <w:b w:val="0"/>
                <w:i w:val="0"/>
                <w:sz w:val="18"/>
              </w:rPr>
              <w:t>0.293 (SE 0.067)</w:t>
            </w:r>
          </w:p>
        </w:tc>
      </w:tr>
    </w:tbl>
    <w:p>
      <w:pPr>
        <w:pStyle w:val="MDPI43tablefooter"/>
        <w:spacing w:line="240" w:lineRule="auto" w:before="40" w:after="200"/>
        <w:ind w:left="2608" w:firstLine="0"/>
      </w:pPr>
      <w:r>
        <w:rPr>
          <w:sz w:val="16"/>
        </w:rPr>
        <w:t xml:space="preserve">Note: </w:t>
      </w:r>
      <w:r>
        <w:rPr>
          <w:b w:val="0"/>
          <w:i w:val="0"/>
          <w:sz w:val="16"/>
        </w:rPr>
        <w:t>Slopes and tests follow Lind and Mehlum’s composite procedure on the full specification of Table 7, column (4); the turning point interval is a Fieller construction, and the literacy-conditional turning points and their displacement are Equation (4) evaluated on the same specification, with delta-method standard errors. Source: authors’ own calculations.</w:t>
      </w:r>
    </w:p>
    <w:p>
      <w:pPr>
        <w:pStyle w:val="MDPI31text"/>
      </w:pPr>
      <w:r>
        <w:rPr>
          <w:b w:val="0"/>
          <w:i w:val="0"/>
        </w:rPr>
        <w:t>Figure 3 draws the two second-stage responses on one vertical scale. Panel (a) shows the estimated adaptation response with its 95 percent confidence band; the dotted vertical line marks the turning point, and the dashed horizontal line marks the sample mean of the outcome. Panel (b) shows the avoidance response, which is monotonic throughout. The contrast between the two panels is the central descriptive fact of this study: the same anxiety that purchases correction only within a bounded band purchases escape without bound.</w:t>
      </w:r>
    </w:p>
    <w:p>
      <w:pPr>
        <w:pStyle w:val="MDPI52figure"/>
        <w:keepNext/>
        <w:ind w:left="2608" w:firstLine="0"/>
        <w:jc w:val="center"/>
      </w:pPr>
      <w:r>
        <w:drawing>
          <wp:inline xmlns:a="http://schemas.openxmlformats.org/drawingml/2006/main" xmlns:pic="http://schemas.openxmlformats.org/drawingml/2006/picture">
            <wp:extent cx="4752000" cy="2268083"/>
            <wp:docPr id="3" name="Picture 3"/>
            <wp:cNvGraphicFramePr>
              <a:graphicFrameLocks noChangeAspect="1"/>
            </wp:cNvGraphicFramePr>
            <a:graphic>
              <a:graphicData uri="http://schemas.openxmlformats.org/drawingml/2006/picture">
                <pic:pic>
                  <pic:nvPicPr>
                    <pic:cNvPr id="0" name="figure3_dual.png"/>
                    <pic:cNvPicPr/>
                  </pic:nvPicPr>
                  <pic:blipFill>
                    <a:blip r:embed="rId19"/>
                    <a:stretch>
                      <a:fillRect/>
                    </a:stretch>
                  </pic:blipFill>
                  <pic:spPr>
                    <a:xfrm>
                      <a:off x="0" y="0"/>
                      <a:ext cx="4752000" cy="2268083"/>
                    </a:xfrm>
                    <a:prstGeom prst="rect"/>
                  </pic:spPr>
                </pic:pic>
              </a:graphicData>
            </a:graphic>
          </wp:inline>
        </w:drawing>
      </w:r>
    </w:p>
    <w:p>
      <w:pPr>
        <w:pStyle w:val="MDPI51figurecaption"/>
        <w:spacing w:after="200"/>
      </w:pPr>
      <w:r>
        <w:rPr>
          <w:b/>
          <w:sz w:val="18"/>
        </w:rPr>
        <w:t xml:space="preserve">Figure 3. </w:t>
      </w:r>
      <w:r>
        <w:rPr>
          <w:b w:val="0"/>
          <w:i w:val="0"/>
          <w:sz w:val="18"/>
        </w:rPr>
        <w:t>Predicted occupational adaptation (a) and career avoidance (b) across AI-related career anxiety.</w:t>
      </w:r>
    </w:p>
    <w:p>
      <w:pPr>
        <w:pStyle w:val="MDPI31text"/>
      </w:pPr>
      <w:r>
        <w:rPr>
          <w:b w:val="0"/>
          <w:i w:val="0"/>
        </w:rPr>
        <w:t>Table 9 estimates Equation (3). The coefficient of anxiety on avoidance is 0.417 (p &lt; 0.01) in the full specification, and a quadratic term added in Model (2) is small (0.043) and does not reach the five percent level (p = 0.054), confirming monotonicity; Hypothesis H3 is verified. The literacy interaction is negative (−0.146, p &lt; 0.001), so command of the technology drains the avoidance channel; Hypothesis H5b is verified.</w:t>
      </w:r>
    </w:p>
    <w:p>
      <w:pPr>
        <w:pStyle w:val="MDPI41tablecaption"/>
        <w:keepNext/>
        <w:spacing w:after="60"/>
      </w:pPr>
      <w:r>
        <w:rPr>
          <w:b/>
          <w:sz w:val="18"/>
        </w:rPr>
        <w:t xml:space="preserve">Table 9. </w:t>
      </w:r>
      <w:r>
        <w:rPr>
          <w:b w:val="0"/>
          <w:i w:val="0"/>
          <w:sz w:val="18"/>
        </w:rPr>
        <w:t>The avoidance channel (H3, H5b).</w:t>
      </w:r>
    </w:p>
    <w:tbl>
      <w:tblPr>
        <w:tblStyle w:val="MDPI41threelinetable"/>
        <w:tblW w:w="7858" w:type="dxa"/>
        <w:tblInd w:w="2608" w:type="dxa"/>
        <w:tblBorders>
          <w:top w:val="single" w:sz="8" w:space="0" w:color="auto"/>
          <w:left w:val="none" w:sz="0" w:space="0" w:color="auto"/>
          <w:bottom w:val="single" w:sz="8" w:space="0" w:color="auto"/>
          <w:right w:val="none" w:sz="0" w:space="0" w:color="auto"/>
          <w:insideH w:val="none" w:sz="0" w:space="0" w:color="auto"/>
          <w:insideV w:val="none" w:sz="0" w:space="0" w:color="auto"/>
        </w:tblBorders>
        <w:tblLayout w:type="fixed"/>
        <w:tblCellMar>
          <w:top w:w="0" w:type="dxa"/>
          <w:left w:w="57" w:type="dxa"/>
          <w:bottom w:w="0" w:type="dxa"/>
          <w:right w:w="57" w:type="dxa"/>
        </w:tblCellMar>
        <w:tblLook w:firstColumn="1" w:firstRow="1" w:lastColumn="0" w:lastRow="0" w:noHBand="0" w:noVBand="1" w:val="04A0"/>
      </w:tblPr>
      <w:tblGrid>
        <w:gridCol w:w="1964"/>
        <w:gridCol w:w="1178"/>
        <w:gridCol w:w="1178"/>
        <w:gridCol w:w="1178"/>
        <w:gridCol w:w="1178"/>
        <w:gridCol w:w="1178"/>
      </w:tblGrid>
      <w:tr>
        <w:trPr>
          <w:cantSplit/>
          <w:tblHeader/>
        </w:trPr>
        <w:tc>
          <w:tcPr>
            <w:tcW w:type="dxa" w:w="1964"/>
            <w:tcBorders>
              <w:bottom w:val="single" w:sz="8" w:space="0" w:color="auto"/>
            </w:tcBorders>
          </w:tcPr>
          <w:p>
            <w:pPr>
              <w:pStyle w:val="MDPI42tablebody"/>
              <w:keepNext/>
              <w:spacing w:line="240" w:lineRule="auto" w:before="30" w:after="30"/>
              <w:jc w:val="center"/>
            </w:pPr>
          </w:p>
        </w:tc>
        <w:tc>
          <w:tcPr>
            <w:tcW w:type="dxa" w:w="1178"/>
            <w:tcBorders>
              <w:bottom w:val="single" w:sz="8" w:space="0" w:color="auto"/>
            </w:tcBorders>
          </w:tcPr>
          <w:p>
            <w:pPr>
              <w:pStyle w:val="MDPI42tablebody"/>
              <w:keepNext/>
              <w:spacing w:line="240" w:lineRule="auto" w:before="30" w:after="30"/>
              <w:jc w:val="center"/>
            </w:pPr>
            <w:r>
              <w:rPr>
                <w:b/>
                <w:i w:val="0"/>
                <w:sz w:val="18"/>
              </w:rPr>
              <w:t>(1)</w:t>
            </w:r>
          </w:p>
        </w:tc>
        <w:tc>
          <w:tcPr>
            <w:tcW w:type="dxa" w:w="1178"/>
            <w:tcBorders>
              <w:bottom w:val="single" w:sz="8" w:space="0" w:color="auto"/>
            </w:tcBorders>
          </w:tcPr>
          <w:p>
            <w:pPr>
              <w:pStyle w:val="MDPI42tablebody"/>
              <w:keepNext/>
              <w:spacing w:line="240" w:lineRule="auto" w:before="30" w:after="30"/>
              <w:jc w:val="center"/>
            </w:pPr>
            <w:r>
              <w:rPr>
                <w:b/>
                <w:i w:val="0"/>
                <w:sz w:val="18"/>
              </w:rPr>
              <w:t>(2)</w:t>
            </w:r>
          </w:p>
        </w:tc>
        <w:tc>
          <w:tcPr>
            <w:tcW w:type="dxa" w:w="1178"/>
            <w:tcBorders>
              <w:bottom w:val="single" w:sz="8" w:space="0" w:color="auto"/>
            </w:tcBorders>
          </w:tcPr>
          <w:p>
            <w:pPr>
              <w:pStyle w:val="MDPI42tablebody"/>
              <w:keepNext/>
              <w:spacing w:line="240" w:lineRule="auto" w:before="30" w:after="30"/>
              <w:jc w:val="center"/>
            </w:pPr>
            <w:r>
              <w:rPr>
                <w:b/>
                <w:i w:val="0"/>
                <w:sz w:val="18"/>
              </w:rPr>
              <w:t>(3)</w:t>
            </w:r>
          </w:p>
        </w:tc>
        <w:tc>
          <w:tcPr>
            <w:tcW w:type="dxa" w:w="1178"/>
            <w:tcBorders>
              <w:bottom w:val="single" w:sz="8" w:space="0" w:color="auto"/>
            </w:tcBorders>
          </w:tcPr>
          <w:p>
            <w:pPr>
              <w:pStyle w:val="MDPI42tablebody"/>
              <w:keepNext/>
              <w:spacing w:line="240" w:lineRule="auto" w:before="30" w:after="30"/>
              <w:jc w:val="center"/>
            </w:pPr>
            <w:r>
              <w:rPr>
                <w:b/>
                <w:i w:val="0"/>
                <w:sz w:val="18"/>
              </w:rPr>
              <w:t>(4)</w:t>
            </w:r>
          </w:p>
        </w:tc>
        <w:tc>
          <w:tcPr>
            <w:tcW w:type="dxa" w:w="1178"/>
            <w:tcBorders>
              <w:bottom w:val="single" w:sz="8" w:space="0" w:color="auto"/>
            </w:tcBorders>
          </w:tcPr>
          <w:p>
            <w:pPr>
              <w:pStyle w:val="MDPI42tablebody"/>
              <w:keepNext/>
              <w:spacing w:line="240" w:lineRule="auto" w:before="30" w:after="30"/>
              <w:jc w:val="center"/>
            </w:pPr>
            <w:r>
              <w:rPr>
                <w:b/>
                <w:i w:val="0"/>
                <w:sz w:val="18"/>
              </w:rPr>
              <w:t>(5)</w:t>
            </w:r>
          </w:p>
        </w:tc>
      </w:tr>
      <w:tr>
        <w:trPr>
          <w:cantSplit/>
        </w:trPr>
        <w:tc>
          <w:tcPr>
            <w:tcW w:type="dxa" w:w="1964"/>
          </w:tcPr>
          <w:p>
            <w:pPr>
              <w:pStyle w:val="MDPI42tablebody"/>
              <w:keepNext/>
              <w:spacing w:line="240" w:lineRule="auto" w:before="30" w:after="30"/>
              <w:jc w:val="left"/>
            </w:pPr>
            <w:r>
              <w:rPr>
                <w:b w:val="0"/>
                <w:i w:val="0"/>
                <w:sz w:val="18"/>
              </w:rPr>
              <w:t>ANX</w:t>
            </w:r>
          </w:p>
        </w:tc>
        <w:tc>
          <w:tcPr>
            <w:tcW w:type="dxa" w:w="1178"/>
          </w:tcPr>
          <w:p>
            <w:pPr>
              <w:pStyle w:val="MDPI42tablebody"/>
              <w:keepNext/>
              <w:spacing w:line="240" w:lineRule="auto" w:before="30" w:after="30"/>
              <w:jc w:val="center"/>
            </w:pPr>
            <w:r>
              <w:rPr>
                <w:b w:val="0"/>
                <w:i w:val="0"/>
                <w:sz w:val="18"/>
              </w:rPr>
              <w:t>0.472***</w:t>
            </w:r>
          </w:p>
        </w:tc>
        <w:tc>
          <w:tcPr>
            <w:tcW w:type="dxa" w:w="1178"/>
          </w:tcPr>
          <w:p>
            <w:pPr>
              <w:pStyle w:val="MDPI42tablebody"/>
              <w:keepNext/>
              <w:spacing w:line="240" w:lineRule="auto" w:before="30" w:after="30"/>
              <w:jc w:val="center"/>
            </w:pPr>
            <w:r>
              <w:rPr>
                <w:b w:val="0"/>
                <w:i w:val="0"/>
                <w:sz w:val="18"/>
              </w:rPr>
              <w:t>0.471***</w:t>
            </w:r>
          </w:p>
        </w:tc>
        <w:tc>
          <w:tcPr>
            <w:tcW w:type="dxa" w:w="1178"/>
          </w:tcPr>
          <w:p>
            <w:pPr>
              <w:pStyle w:val="MDPI42tablebody"/>
              <w:keepNext/>
              <w:spacing w:line="240" w:lineRule="auto" w:before="30" w:after="30"/>
              <w:jc w:val="center"/>
            </w:pPr>
            <w:r>
              <w:rPr>
                <w:b w:val="0"/>
                <w:i w:val="0"/>
                <w:sz w:val="18"/>
              </w:rPr>
              <w:t>0.469***</w:t>
            </w:r>
          </w:p>
        </w:tc>
        <w:tc>
          <w:tcPr>
            <w:tcW w:type="dxa" w:w="1178"/>
          </w:tcPr>
          <w:p>
            <w:pPr>
              <w:pStyle w:val="MDPI42tablebody"/>
              <w:keepNext/>
              <w:spacing w:line="240" w:lineRule="auto" w:before="30" w:after="30"/>
              <w:jc w:val="center"/>
            </w:pPr>
            <w:r>
              <w:rPr>
                <w:b w:val="0"/>
                <w:i w:val="0"/>
                <w:sz w:val="18"/>
              </w:rPr>
              <w:t>0.417***</w:t>
            </w:r>
          </w:p>
        </w:tc>
        <w:tc>
          <w:tcPr>
            <w:tcW w:type="dxa" w:w="1178"/>
          </w:tcPr>
          <w:p>
            <w:pPr>
              <w:pStyle w:val="MDPI42tablebody"/>
              <w:keepNext/>
              <w:spacing w:line="240" w:lineRule="auto" w:before="30" w:after="30"/>
              <w:jc w:val="center"/>
            </w:pPr>
            <w:r>
              <w:rPr>
                <w:b w:val="0"/>
                <w:i w:val="0"/>
                <w:sz w:val="18"/>
              </w:rPr>
              <w:t>0.417***</w:t>
            </w:r>
          </w:p>
        </w:tc>
      </w:tr>
      <w:tr>
        <w:trPr>
          <w:cantSplit/>
        </w:trPr>
        <w:tc>
          <w:tcPr>
            <w:tcW w:type="dxa" w:w="1964"/>
          </w:tcPr>
          <w:p>
            <w:pPr>
              <w:pStyle w:val="MDPI42tablebody"/>
              <w:keepNext/>
              <w:spacing w:line="240" w:lineRule="auto" w:before="30" w:after="30"/>
              <w:jc w:val="left"/>
            </w:pPr>
          </w:p>
        </w:tc>
        <w:tc>
          <w:tcPr>
            <w:tcW w:type="dxa" w:w="1178"/>
          </w:tcPr>
          <w:p>
            <w:pPr>
              <w:pStyle w:val="MDPI42tablebody"/>
              <w:keepNext/>
              <w:spacing w:line="240" w:lineRule="auto" w:before="30" w:after="30"/>
              <w:jc w:val="center"/>
            </w:pPr>
            <w:r>
              <w:rPr>
                <w:b w:val="0"/>
                <w:i w:val="0"/>
                <w:sz w:val="18"/>
              </w:rPr>
              <w:t>(0.029)</w:t>
            </w:r>
          </w:p>
        </w:tc>
        <w:tc>
          <w:tcPr>
            <w:tcW w:type="dxa" w:w="1178"/>
          </w:tcPr>
          <w:p>
            <w:pPr>
              <w:pStyle w:val="MDPI42tablebody"/>
              <w:keepNext/>
              <w:spacing w:line="240" w:lineRule="auto" w:before="30" w:after="30"/>
              <w:jc w:val="center"/>
            </w:pPr>
            <w:r>
              <w:rPr>
                <w:b w:val="0"/>
                <w:i w:val="0"/>
                <w:sz w:val="18"/>
              </w:rPr>
              <w:t>(0.029)</w:t>
            </w:r>
          </w:p>
        </w:tc>
        <w:tc>
          <w:tcPr>
            <w:tcW w:type="dxa" w:w="1178"/>
          </w:tcPr>
          <w:p>
            <w:pPr>
              <w:pStyle w:val="MDPI42tablebody"/>
              <w:keepNext/>
              <w:spacing w:line="240" w:lineRule="auto" w:before="30" w:after="30"/>
              <w:jc w:val="center"/>
            </w:pPr>
            <w:r>
              <w:rPr>
                <w:b w:val="0"/>
                <w:i w:val="0"/>
                <w:sz w:val="18"/>
              </w:rPr>
              <w:t>(0.028)</w:t>
            </w:r>
          </w:p>
        </w:tc>
        <w:tc>
          <w:tcPr>
            <w:tcW w:type="dxa" w:w="1178"/>
          </w:tcPr>
          <w:p>
            <w:pPr>
              <w:pStyle w:val="MDPI42tablebody"/>
              <w:keepNext/>
              <w:spacing w:line="240" w:lineRule="auto" w:before="30" w:after="30"/>
              <w:jc w:val="center"/>
            </w:pPr>
            <w:r>
              <w:rPr>
                <w:b w:val="0"/>
                <w:i w:val="0"/>
                <w:sz w:val="18"/>
              </w:rPr>
              <w:t>(0.033)</w:t>
            </w:r>
          </w:p>
        </w:tc>
        <w:tc>
          <w:tcPr>
            <w:tcW w:type="dxa" w:w="1178"/>
          </w:tcPr>
          <w:p>
            <w:pPr>
              <w:pStyle w:val="MDPI42tablebody"/>
              <w:keepNext/>
              <w:spacing w:line="240" w:lineRule="auto" w:before="30" w:after="30"/>
              <w:jc w:val="center"/>
            </w:pPr>
            <w:r>
              <w:rPr>
                <w:b w:val="0"/>
                <w:i w:val="0"/>
                <w:sz w:val="18"/>
              </w:rPr>
              <w:t>(0.030)</w:t>
            </w:r>
          </w:p>
        </w:tc>
      </w:tr>
      <w:tr>
        <w:trPr>
          <w:cantSplit/>
        </w:trPr>
        <w:tc>
          <w:tcPr>
            <w:tcW w:type="dxa" w:w="1964"/>
          </w:tcPr>
          <w:p>
            <w:pPr>
              <w:pStyle w:val="MDPI42tablebody"/>
              <w:keepNext/>
              <w:spacing w:line="240" w:lineRule="auto" w:before="30" w:after="30"/>
              <w:jc w:val="left"/>
            </w:pPr>
            <w:r>
              <w:rPr>
                <w:b w:val="0"/>
                <w:i w:val="0"/>
                <w:sz w:val="18"/>
              </w:rPr>
              <w:t>ANX²</w:t>
            </w:r>
          </w:p>
        </w:tc>
        <w:tc>
          <w:tcPr>
            <w:tcW w:type="dxa" w:w="1178"/>
          </w:tcPr>
          <w:p>
            <w:pPr>
              <w:pStyle w:val="MDPI42tablebody"/>
              <w:keepNext/>
              <w:spacing w:line="240" w:lineRule="auto" w:before="30" w:after="30"/>
              <w:jc w:val="center"/>
            </w:pPr>
          </w:p>
        </w:tc>
        <w:tc>
          <w:tcPr>
            <w:tcW w:type="dxa" w:w="1178"/>
          </w:tcPr>
          <w:p>
            <w:pPr>
              <w:pStyle w:val="MDPI42tablebody"/>
              <w:keepNext/>
              <w:spacing w:line="240" w:lineRule="auto" w:before="30" w:after="30"/>
              <w:jc w:val="center"/>
            </w:pPr>
            <w:r>
              <w:rPr>
                <w:b w:val="0"/>
                <w:i w:val="0"/>
                <w:sz w:val="18"/>
              </w:rPr>
              <w:t>0.043*</w:t>
            </w:r>
          </w:p>
        </w:tc>
        <w:tc>
          <w:tcPr>
            <w:tcW w:type="dxa" w:w="1178"/>
          </w:tcPr>
          <w:p>
            <w:pPr>
              <w:pStyle w:val="MDPI42tablebody"/>
              <w:keepNext/>
              <w:spacing w:line="240" w:lineRule="auto" w:before="30" w:after="30"/>
              <w:jc w:val="center"/>
            </w:pPr>
          </w:p>
        </w:tc>
        <w:tc>
          <w:tcPr>
            <w:tcW w:type="dxa" w:w="1178"/>
          </w:tcPr>
          <w:p>
            <w:pPr>
              <w:pStyle w:val="MDPI42tablebody"/>
              <w:keepNext/>
              <w:spacing w:line="240" w:lineRule="auto" w:before="30" w:after="30"/>
              <w:jc w:val="center"/>
            </w:pPr>
          </w:p>
        </w:tc>
        <w:tc>
          <w:tcPr>
            <w:tcW w:type="dxa" w:w="1178"/>
          </w:tcPr>
          <w:p>
            <w:pPr>
              <w:pStyle w:val="MDPI42tablebody"/>
              <w:keepNext/>
              <w:spacing w:line="240" w:lineRule="auto" w:before="30" w:after="30"/>
              <w:jc w:val="center"/>
            </w:pPr>
          </w:p>
        </w:tc>
      </w:tr>
      <w:tr>
        <w:trPr>
          <w:cantSplit/>
        </w:trPr>
        <w:tc>
          <w:tcPr>
            <w:tcW w:type="dxa" w:w="1964"/>
          </w:tcPr>
          <w:p>
            <w:pPr>
              <w:pStyle w:val="MDPI42tablebody"/>
              <w:keepNext/>
              <w:spacing w:line="240" w:lineRule="auto" w:before="30" w:after="30"/>
              <w:jc w:val="left"/>
            </w:pPr>
          </w:p>
        </w:tc>
        <w:tc>
          <w:tcPr>
            <w:tcW w:type="dxa" w:w="1178"/>
          </w:tcPr>
          <w:p>
            <w:pPr>
              <w:pStyle w:val="MDPI42tablebody"/>
              <w:keepNext/>
              <w:spacing w:line="240" w:lineRule="auto" w:before="30" w:after="30"/>
              <w:jc w:val="center"/>
            </w:pPr>
          </w:p>
        </w:tc>
        <w:tc>
          <w:tcPr>
            <w:tcW w:type="dxa" w:w="1178"/>
          </w:tcPr>
          <w:p>
            <w:pPr>
              <w:pStyle w:val="MDPI42tablebody"/>
              <w:keepNext/>
              <w:spacing w:line="240" w:lineRule="auto" w:before="30" w:after="30"/>
              <w:jc w:val="center"/>
            </w:pPr>
            <w:r>
              <w:rPr>
                <w:b w:val="0"/>
                <w:i w:val="0"/>
                <w:sz w:val="18"/>
              </w:rPr>
              <w:t>(0.023)</w:t>
            </w:r>
          </w:p>
        </w:tc>
        <w:tc>
          <w:tcPr>
            <w:tcW w:type="dxa" w:w="1178"/>
          </w:tcPr>
          <w:p>
            <w:pPr>
              <w:pStyle w:val="MDPI42tablebody"/>
              <w:keepNext/>
              <w:spacing w:line="240" w:lineRule="auto" w:before="30" w:after="30"/>
              <w:jc w:val="center"/>
            </w:pPr>
          </w:p>
        </w:tc>
        <w:tc>
          <w:tcPr>
            <w:tcW w:type="dxa" w:w="1178"/>
          </w:tcPr>
          <w:p>
            <w:pPr>
              <w:pStyle w:val="MDPI42tablebody"/>
              <w:keepNext/>
              <w:spacing w:line="240" w:lineRule="auto" w:before="30" w:after="30"/>
              <w:jc w:val="center"/>
            </w:pPr>
          </w:p>
        </w:tc>
        <w:tc>
          <w:tcPr>
            <w:tcW w:type="dxa" w:w="1178"/>
          </w:tcPr>
          <w:p>
            <w:pPr>
              <w:pStyle w:val="MDPI42tablebody"/>
              <w:keepNext/>
              <w:spacing w:line="240" w:lineRule="auto" w:before="30" w:after="30"/>
              <w:jc w:val="center"/>
            </w:pPr>
          </w:p>
        </w:tc>
      </w:tr>
      <w:tr>
        <w:trPr>
          <w:cantSplit/>
        </w:trPr>
        <w:tc>
          <w:tcPr>
            <w:tcW w:type="dxa" w:w="1964"/>
          </w:tcPr>
          <w:p>
            <w:pPr>
              <w:pStyle w:val="MDPI42tablebody"/>
              <w:keepNext/>
              <w:spacing w:line="240" w:lineRule="auto" w:before="30" w:after="30"/>
              <w:jc w:val="left"/>
            </w:pPr>
            <w:r>
              <w:rPr>
                <w:b w:val="0"/>
                <w:i w:val="0"/>
                <w:sz w:val="18"/>
              </w:rPr>
              <w:t>LIT</w:t>
            </w:r>
          </w:p>
        </w:tc>
        <w:tc>
          <w:tcPr>
            <w:tcW w:type="dxa" w:w="1178"/>
          </w:tcPr>
          <w:p>
            <w:pPr>
              <w:pStyle w:val="MDPI42tablebody"/>
              <w:keepNext/>
              <w:spacing w:line="240" w:lineRule="auto" w:before="30" w:after="30"/>
              <w:jc w:val="center"/>
            </w:pPr>
          </w:p>
        </w:tc>
        <w:tc>
          <w:tcPr>
            <w:tcW w:type="dxa" w:w="1178"/>
          </w:tcPr>
          <w:p>
            <w:pPr>
              <w:pStyle w:val="MDPI42tablebody"/>
              <w:keepNext/>
              <w:spacing w:line="240" w:lineRule="auto" w:before="30" w:after="30"/>
              <w:jc w:val="center"/>
            </w:pPr>
          </w:p>
        </w:tc>
        <w:tc>
          <w:tcPr>
            <w:tcW w:type="dxa" w:w="1178"/>
          </w:tcPr>
          <w:p>
            <w:pPr>
              <w:pStyle w:val="MDPI42tablebody"/>
              <w:keepNext/>
              <w:spacing w:line="240" w:lineRule="auto" w:before="30" w:after="30"/>
              <w:jc w:val="center"/>
            </w:pPr>
            <w:r>
              <w:rPr>
                <w:b w:val="0"/>
                <w:i w:val="0"/>
                <w:sz w:val="18"/>
              </w:rPr>
              <w:t>−0.136***</w:t>
            </w:r>
          </w:p>
        </w:tc>
        <w:tc>
          <w:tcPr>
            <w:tcW w:type="dxa" w:w="1178"/>
          </w:tcPr>
          <w:p>
            <w:pPr>
              <w:pStyle w:val="MDPI42tablebody"/>
              <w:keepNext/>
              <w:spacing w:line="240" w:lineRule="auto" w:before="30" w:after="30"/>
              <w:jc w:val="center"/>
            </w:pPr>
            <w:r>
              <w:rPr>
                <w:b w:val="0"/>
                <w:i w:val="0"/>
                <w:sz w:val="18"/>
              </w:rPr>
              <w:t>−0.132***</w:t>
            </w:r>
          </w:p>
        </w:tc>
        <w:tc>
          <w:tcPr>
            <w:tcW w:type="dxa" w:w="1178"/>
          </w:tcPr>
          <w:p>
            <w:pPr>
              <w:pStyle w:val="MDPI42tablebody"/>
              <w:keepNext/>
              <w:spacing w:line="240" w:lineRule="auto" w:before="30" w:after="30"/>
              <w:jc w:val="center"/>
            </w:pPr>
            <w:r>
              <w:rPr>
                <w:b w:val="0"/>
                <w:i w:val="0"/>
                <w:sz w:val="18"/>
              </w:rPr>
              <w:t>−0.132***</w:t>
            </w:r>
          </w:p>
        </w:tc>
      </w:tr>
      <w:tr>
        <w:trPr>
          <w:cantSplit/>
        </w:trPr>
        <w:tc>
          <w:tcPr>
            <w:tcW w:type="dxa" w:w="1964"/>
          </w:tcPr>
          <w:p>
            <w:pPr>
              <w:pStyle w:val="MDPI42tablebody"/>
              <w:keepNext/>
              <w:spacing w:line="240" w:lineRule="auto" w:before="30" w:after="30"/>
              <w:jc w:val="left"/>
            </w:pPr>
          </w:p>
        </w:tc>
        <w:tc>
          <w:tcPr>
            <w:tcW w:type="dxa" w:w="1178"/>
          </w:tcPr>
          <w:p>
            <w:pPr>
              <w:pStyle w:val="MDPI42tablebody"/>
              <w:keepNext/>
              <w:spacing w:line="240" w:lineRule="auto" w:before="30" w:after="30"/>
              <w:jc w:val="center"/>
            </w:pPr>
          </w:p>
        </w:tc>
        <w:tc>
          <w:tcPr>
            <w:tcW w:type="dxa" w:w="1178"/>
          </w:tcPr>
          <w:p>
            <w:pPr>
              <w:pStyle w:val="MDPI42tablebody"/>
              <w:keepNext/>
              <w:spacing w:line="240" w:lineRule="auto" w:before="30" w:after="30"/>
              <w:jc w:val="center"/>
            </w:pPr>
          </w:p>
        </w:tc>
        <w:tc>
          <w:tcPr>
            <w:tcW w:type="dxa" w:w="1178"/>
          </w:tcPr>
          <w:p>
            <w:pPr>
              <w:pStyle w:val="MDPI42tablebody"/>
              <w:keepNext/>
              <w:spacing w:line="240" w:lineRule="auto" w:before="30" w:after="30"/>
              <w:jc w:val="center"/>
            </w:pPr>
            <w:r>
              <w:rPr>
                <w:b w:val="0"/>
                <w:i w:val="0"/>
                <w:sz w:val="18"/>
              </w:rPr>
              <w:t>(0.028)</w:t>
            </w:r>
          </w:p>
        </w:tc>
        <w:tc>
          <w:tcPr>
            <w:tcW w:type="dxa" w:w="1178"/>
          </w:tcPr>
          <w:p>
            <w:pPr>
              <w:pStyle w:val="MDPI42tablebody"/>
              <w:keepNext/>
              <w:spacing w:line="240" w:lineRule="auto" w:before="30" w:after="30"/>
              <w:jc w:val="center"/>
            </w:pPr>
            <w:r>
              <w:rPr>
                <w:b w:val="0"/>
                <w:i w:val="0"/>
                <w:sz w:val="18"/>
              </w:rPr>
              <w:t>(0.028)</w:t>
            </w:r>
          </w:p>
        </w:tc>
        <w:tc>
          <w:tcPr>
            <w:tcW w:type="dxa" w:w="1178"/>
          </w:tcPr>
          <w:p>
            <w:pPr>
              <w:pStyle w:val="MDPI42tablebody"/>
              <w:keepNext/>
              <w:spacing w:line="240" w:lineRule="auto" w:before="30" w:after="30"/>
              <w:jc w:val="center"/>
            </w:pPr>
            <w:r>
              <w:rPr>
                <w:b w:val="0"/>
                <w:i w:val="0"/>
                <w:sz w:val="18"/>
              </w:rPr>
              <w:t>(0.023)</w:t>
            </w:r>
          </w:p>
        </w:tc>
      </w:tr>
      <w:tr>
        <w:trPr>
          <w:cantSplit/>
        </w:trPr>
        <w:tc>
          <w:tcPr>
            <w:tcW w:type="dxa" w:w="1964"/>
          </w:tcPr>
          <w:p>
            <w:pPr>
              <w:pStyle w:val="MDPI42tablebody"/>
              <w:keepNext/>
              <w:spacing w:line="240" w:lineRule="auto" w:before="30" w:after="30"/>
              <w:jc w:val="left"/>
            </w:pPr>
            <w:r>
              <w:rPr>
                <w:b w:val="0"/>
                <w:i w:val="0"/>
                <w:sz w:val="18"/>
              </w:rPr>
              <w:t>ANX × LIT</w:t>
            </w:r>
          </w:p>
        </w:tc>
        <w:tc>
          <w:tcPr>
            <w:tcW w:type="dxa" w:w="1178"/>
          </w:tcPr>
          <w:p>
            <w:pPr>
              <w:pStyle w:val="MDPI42tablebody"/>
              <w:keepNext/>
              <w:spacing w:line="240" w:lineRule="auto" w:before="30" w:after="30"/>
              <w:jc w:val="center"/>
            </w:pPr>
          </w:p>
        </w:tc>
        <w:tc>
          <w:tcPr>
            <w:tcW w:type="dxa" w:w="1178"/>
          </w:tcPr>
          <w:p>
            <w:pPr>
              <w:pStyle w:val="MDPI42tablebody"/>
              <w:keepNext/>
              <w:spacing w:line="240" w:lineRule="auto" w:before="30" w:after="30"/>
              <w:jc w:val="center"/>
            </w:pPr>
          </w:p>
        </w:tc>
        <w:tc>
          <w:tcPr>
            <w:tcW w:type="dxa" w:w="1178"/>
          </w:tcPr>
          <w:p>
            <w:pPr>
              <w:pStyle w:val="MDPI42tablebody"/>
              <w:keepNext/>
              <w:spacing w:line="240" w:lineRule="auto" w:before="30" w:after="30"/>
              <w:jc w:val="center"/>
            </w:pPr>
            <w:r>
              <w:rPr>
                <w:b w:val="0"/>
                <w:i w:val="0"/>
                <w:sz w:val="18"/>
              </w:rPr>
              <w:t>−0.148***</w:t>
            </w:r>
          </w:p>
        </w:tc>
        <w:tc>
          <w:tcPr>
            <w:tcW w:type="dxa" w:w="1178"/>
          </w:tcPr>
          <w:p>
            <w:pPr>
              <w:pStyle w:val="MDPI42tablebody"/>
              <w:keepNext/>
              <w:spacing w:line="240" w:lineRule="auto" w:before="30" w:after="30"/>
              <w:jc w:val="center"/>
            </w:pPr>
            <w:r>
              <w:rPr>
                <w:b w:val="0"/>
                <w:i w:val="0"/>
                <w:sz w:val="18"/>
              </w:rPr>
              <w:t>−0.146***</w:t>
            </w:r>
          </w:p>
        </w:tc>
        <w:tc>
          <w:tcPr>
            <w:tcW w:type="dxa" w:w="1178"/>
          </w:tcPr>
          <w:p>
            <w:pPr>
              <w:pStyle w:val="MDPI42tablebody"/>
              <w:keepNext/>
              <w:spacing w:line="240" w:lineRule="auto" w:before="30" w:after="30"/>
              <w:jc w:val="center"/>
            </w:pPr>
            <w:r>
              <w:rPr>
                <w:b w:val="0"/>
                <w:i w:val="0"/>
                <w:sz w:val="18"/>
              </w:rPr>
              <w:t>−0.146***</w:t>
            </w:r>
          </w:p>
        </w:tc>
      </w:tr>
      <w:tr>
        <w:trPr>
          <w:cantSplit/>
        </w:trPr>
        <w:tc>
          <w:tcPr>
            <w:tcW w:type="dxa" w:w="1964"/>
          </w:tcPr>
          <w:p>
            <w:pPr>
              <w:pStyle w:val="MDPI42tablebody"/>
              <w:keepNext/>
              <w:spacing w:line="240" w:lineRule="auto" w:before="30" w:after="30"/>
              <w:jc w:val="left"/>
            </w:pPr>
          </w:p>
        </w:tc>
        <w:tc>
          <w:tcPr>
            <w:tcW w:type="dxa" w:w="1178"/>
          </w:tcPr>
          <w:p>
            <w:pPr>
              <w:pStyle w:val="MDPI42tablebody"/>
              <w:keepNext/>
              <w:spacing w:line="240" w:lineRule="auto" w:before="30" w:after="30"/>
              <w:jc w:val="center"/>
            </w:pPr>
          </w:p>
        </w:tc>
        <w:tc>
          <w:tcPr>
            <w:tcW w:type="dxa" w:w="1178"/>
          </w:tcPr>
          <w:p>
            <w:pPr>
              <w:pStyle w:val="MDPI42tablebody"/>
              <w:keepNext/>
              <w:spacing w:line="240" w:lineRule="auto" w:before="30" w:after="30"/>
              <w:jc w:val="center"/>
            </w:pPr>
          </w:p>
        </w:tc>
        <w:tc>
          <w:tcPr>
            <w:tcW w:type="dxa" w:w="1178"/>
          </w:tcPr>
          <w:p>
            <w:pPr>
              <w:pStyle w:val="MDPI42tablebody"/>
              <w:keepNext/>
              <w:spacing w:line="240" w:lineRule="auto" w:before="30" w:after="30"/>
              <w:jc w:val="center"/>
            </w:pPr>
            <w:r>
              <w:rPr>
                <w:b w:val="0"/>
                <w:i w:val="0"/>
                <w:sz w:val="18"/>
              </w:rPr>
              <w:t>(0.029)</w:t>
            </w:r>
          </w:p>
        </w:tc>
        <w:tc>
          <w:tcPr>
            <w:tcW w:type="dxa" w:w="1178"/>
          </w:tcPr>
          <w:p>
            <w:pPr>
              <w:pStyle w:val="MDPI42tablebody"/>
              <w:keepNext/>
              <w:spacing w:line="240" w:lineRule="auto" w:before="30" w:after="30"/>
              <w:jc w:val="center"/>
            </w:pPr>
            <w:r>
              <w:rPr>
                <w:b w:val="0"/>
                <w:i w:val="0"/>
                <w:sz w:val="18"/>
              </w:rPr>
              <w:t>(0.029)</w:t>
            </w:r>
          </w:p>
        </w:tc>
        <w:tc>
          <w:tcPr>
            <w:tcW w:type="dxa" w:w="1178"/>
          </w:tcPr>
          <w:p>
            <w:pPr>
              <w:pStyle w:val="MDPI42tablebody"/>
              <w:keepNext/>
              <w:spacing w:line="240" w:lineRule="auto" w:before="30" w:after="30"/>
              <w:jc w:val="center"/>
            </w:pPr>
            <w:r>
              <w:rPr>
                <w:b w:val="0"/>
                <w:i w:val="0"/>
                <w:sz w:val="18"/>
              </w:rPr>
              <w:t>(0.029)</w:t>
            </w:r>
          </w:p>
        </w:tc>
      </w:tr>
      <w:tr>
        <w:trPr>
          <w:cantSplit/>
        </w:trPr>
        <w:tc>
          <w:tcPr>
            <w:tcW w:type="dxa" w:w="1964"/>
          </w:tcPr>
          <w:p>
            <w:pPr>
              <w:pStyle w:val="MDPI42tablebody"/>
              <w:keepNext/>
              <w:spacing w:line="240" w:lineRule="auto" w:before="30" w:after="30"/>
              <w:jc w:val="left"/>
            </w:pPr>
            <w:r>
              <w:rPr>
                <w:b w:val="0"/>
                <w:i w:val="0"/>
                <w:sz w:val="18"/>
              </w:rPr>
              <w:t>SUP</w:t>
            </w:r>
          </w:p>
        </w:tc>
        <w:tc>
          <w:tcPr>
            <w:tcW w:type="dxa" w:w="1178"/>
          </w:tcPr>
          <w:p>
            <w:pPr>
              <w:pStyle w:val="MDPI42tablebody"/>
              <w:keepNext/>
              <w:spacing w:line="240" w:lineRule="auto" w:before="30" w:after="30"/>
              <w:jc w:val="center"/>
            </w:pPr>
          </w:p>
        </w:tc>
        <w:tc>
          <w:tcPr>
            <w:tcW w:type="dxa" w:w="1178"/>
          </w:tcPr>
          <w:p>
            <w:pPr>
              <w:pStyle w:val="MDPI42tablebody"/>
              <w:keepNext/>
              <w:spacing w:line="240" w:lineRule="auto" w:before="30" w:after="30"/>
              <w:jc w:val="center"/>
            </w:pPr>
          </w:p>
        </w:tc>
        <w:tc>
          <w:tcPr>
            <w:tcW w:type="dxa" w:w="1178"/>
          </w:tcPr>
          <w:p>
            <w:pPr>
              <w:pStyle w:val="MDPI42tablebody"/>
              <w:keepNext/>
              <w:spacing w:line="240" w:lineRule="auto" w:before="30" w:after="30"/>
              <w:jc w:val="center"/>
            </w:pPr>
          </w:p>
        </w:tc>
        <w:tc>
          <w:tcPr>
            <w:tcW w:type="dxa" w:w="1178"/>
          </w:tcPr>
          <w:p>
            <w:pPr>
              <w:pStyle w:val="MDPI42tablebody"/>
              <w:keepNext/>
              <w:spacing w:line="240" w:lineRule="auto" w:before="30" w:after="30"/>
              <w:jc w:val="center"/>
            </w:pPr>
            <w:r>
              <w:rPr>
                <w:b w:val="0"/>
                <w:i w:val="0"/>
                <w:sz w:val="18"/>
              </w:rPr>
              <w:t>−0.116***</w:t>
            </w:r>
          </w:p>
        </w:tc>
        <w:tc>
          <w:tcPr>
            <w:tcW w:type="dxa" w:w="1178"/>
          </w:tcPr>
          <w:p>
            <w:pPr>
              <w:pStyle w:val="MDPI42tablebody"/>
              <w:keepNext/>
              <w:spacing w:line="240" w:lineRule="auto" w:before="30" w:after="30"/>
              <w:jc w:val="center"/>
            </w:pPr>
            <w:r>
              <w:rPr>
                <w:b w:val="0"/>
                <w:i w:val="0"/>
                <w:sz w:val="18"/>
              </w:rPr>
              <w:t>−0.116***</w:t>
            </w:r>
          </w:p>
        </w:tc>
      </w:tr>
      <w:tr>
        <w:trPr>
          <w:cantSplit/>
        </w:trPr>
        <w:tc>
          <w:tcPr>
            <w:tcW w:type="dxa" w:w="1964"/>
          </w:tcPr>
          <w:p>
            <w:pPr>
              <w:pStyle w:val="MDPI42tablebody"/>
              <w:keepNext/>
              <w:spacing w:line="240" w:lineRule="auto" w:before="30" w:after="30"/>
              <w:jc w:val="left"/>
            </w:pPr>
          </w:p>
        </w:tc>
        <w:tc>
          <w:tcPr>
            <w:tcW w:type="dxa" w:w="1178"/>
          </w:tcPr>
          <w:p>
            <w:pPr>
              <w:pStyle w:val="MDPI42tablebody"/>
              <w:keepNext/>
              <w:spacing w:line="240" w:lineRule="auto" w:before="30" w:after="30"/>
              <w:jc w:val="center"/>
            </w:pPr>
          </w:p>
        </w:tc>
        <w:tc>
          <w:tcPr>
            <w:tcW w:type="dxa" w:w="1178"/>
          </w:tcPr>
          <w:p>
            <w:pPr>
              <w:pStyle w:val="MDPI42tablebody"/>
              <w:keepNext/>
              <w:spacing w:line="240" w:lineRule="auto" w:before="30" w:after="30"/>
              <w:jc w:val="center"/>
            </w:pPr>
          </w:p>
        </w:tc>
        <w:tc>
          <w:tcPr>
            <w:tcW w:type="dxa" w:w="1178"/>
          </w:tcPr>
          <w:p>
            <w:pPr>
              <w:pStyle w:val="MDPI42tablebody"/>
              <w:keepNext/>
              <w:spacing w:line="240" w:lineRule="auto" w:before="30" w:after="30"/>
              <w:jc w:val="center"/>
            </w:pPr>
          </w:p>
        </w:tc>
        <w:tc>
          <w:tcPr>
            <w:tcW w:type="dxa" w:w="1178"/>
          </w:tcPr>
          <w:p>
            <w:pPr>
              <w:pStyle w:val="MDPI42tablebody"/>
              <w:keepNext/>
              <w:spacing w:line="240" w:lineRule="auto" w:before="30" w:after="30"/>
              <w:jc w:val="center"/>
            </w:pPr>
            <w:r>
              <w:rPr>
                <w:b w:val="0"/>
                <w:i w:val="0"/>
                <w:sz w:val="18"/>
              </w:rPr>
              <w:t>(0.028)</w:t>
            </w:r>
          </w:p>
        </w:tc>
        <w:tc>
          <w:tcPr>
            <w:tcW w:type="dxa" w:w="1178"/>
          </w:tcPr>
          <w:p>
            <w:pPr>
              <w:pStyle w:val="MDPI42tablebody"/>
              <w:keepNext/>
              <w:spacing w:line="240" w:lineRule="auto" w:before="30" w:after="30"/>
              <w:jc w:val="center"/>
            </w:pPr>
            <w:r>
              <w:rPr>
                <w:b w:val="0"/>
                <w:i w:val="0"/>
                <w:sz w:val="18"/>
              </w:rPr>
              <w:t>(0.023)</w:t>
            </w:r>
          </w:p>
        </w:tc>
      </w:tr>
      <w:tr>
        <w:trPr>
          <w:cantSplit/>
        </w:trPr>
        <w:tc>
          <w:tcPr>
            <w:tcW w:type="dxa" w:w="1964"/>
          </w:tcPr>
          <w:p>
            <w:pPr>
              <w:pStyle w:val="MDPI42tablebody"/>
              <w:keepNext/>
              <w:spacing w:line="240" w:lineRule="auto" w:before="30" w:after="30"/>
              <w:jc w:val="left"/>
            </w:pPr>
            <w:r>
              <w:rPr>
                <w:b w:val="0"/>
                <w:i w:val="0"/>
                <w:sz w:val="18"/>
              </w:rPr>
              <w:t>PHCD</w:t>
            </w:r>
          </w:p>
        </w:tc>
        <w:tc>
          <w:tcPr>
            <w:tcW w:type="dxa" w:w="1178"/>
          </w:tcPr>
          <w:p>
            <w:pPr>
              <w:pStyle w:val="MDPI42tablebody"/>
              <w:keepNext/>
              <w:spacing w:line="240" w:lineRule="auto" w:before="30" w:after="30"/>
              <w:jc w:val="center"/>
            </w:pPr>
          </w:p>
        </w:tc>
        <w:tc>
          <w:tcPr>
            <w:tcW w:type="dxa" w:w="1178"/>
          </w:tcPr>
          <w:p>
            <w:pPr>
              <w:pStyle w:val="MDPI42tablebody"/>
              <w:keepNext/>
              <w:spacing w:line="240" w:lineRule="auto" w:before="30" w:after="30"/>
              <w:jc w:val="center"/>
            </w:pPr>
          </w:p>
        </w:tc>
        <w:tc>
          <w:tcPr>
            <w:tcW w:type="dxa" w:w="1178"/>
          </w:tcPr>
          <w:p>
            <w:pPr>
              <w:pStyle w:val="MDPI42tablebody"/>
              <w:keepNext/>
              <w:spacing w:line="240" w:lineRule="auto" w:before="30" w:after="30"/>
              <w:jc w:val="center"/>
            </w:pPr>
          </w:p>
        </w:tc>
        <w:tc>
          <w:tcPr>
            <w:tcW w:type="dxa" w:w="1178"/>
          </w:tcPr>
          <w:p>
            <w:pPr>
              <w:pStyle w:val="MDPI42tablebody"/>
              <w:keepNext/>
              <w:spacing w:line="240" w:lineRule="auto" w:before="30" w:after="30"/>
              <w:jc w:val="center"/>
            </w:pPr>
            <w:r>
              <w:rPr>
                <w:b w:val="0"/>
                <w:i w:val="0"/>
                <w:sz w:val="18"/>
              </w:rPr>
              <w:t>0.071**</w:t>
            </w:r>
          </w:p>
        </w:tc>
        <w:tc>
          <w:tcPr>
            <w:tcW w:type="dxa" w:w="1178"/>
          </w:tcPr>
          <w:p>
            <w:pPr>
              <w:pStyle w:val="MDPI42tablebody"/>
              <w:keepNext/>
              <w:spacing w:line="240" w:lineRule="auto" w:before="30" w:after="30"/>
              <w:jc w:val="center"/>
            </w:pPr>
            <w:r>
              <w:rPr>
                <w:b w:val="0"/>
                <w:i w:val="0"/>
                <w:sz w:val="18"/>
              </w:rPr>
              <w:t>0.071*</w:t>
            </w:r>
          </w:p>
        </w:tc>
      </w:tr>
      <w:tr>
        <w:trPr>
          <w:cantSplit/>
        </w:trPr>
        <w:tc>
          <w:tcPr>
            <w:tcW w:type="dxa" w:w="1964"/>
          </w:tcPr>
          <w:p>
            <w:pPr>
              <w:pStyle w:val="MDPI42tablebody"/>
              <w:keepNext/>
              <w:spacing w:line="240" w:lineRule="auto" w:before="30" w:after="30"/>
              <w:jc w:val="left"/>
            </w:pPr>
          </w:p>
        </w:tc>
        <w:tc>
          <w:tcPr>
            <w:tcW w:type="dxa" w:w="1178"/>
          </w:tcPr>
          <w:p>
            <w:pPr>
              <w:pStyle w:val="MDPI42tablebody"/>
              <w:keepNext/>
              <w:spacing w:line="240" w:lineRule="auto" w:before="30" w:after="30"/>
              <w:jc w:val="center"/>
            </w:pPr>
          </w:p>
        </w:tc>
        <w:tc>
          <w:tcPr>
            <w:tcW w:type="dxa" w:w="1178"/>
          </w:tcPr>
          <w:p>
            <w:pPr>
              <w:pStyle w:val="MDPI42tablebody"/>
              <w:keepNext/>
              <w:spacing w:line="240" w:lineRule="auto" w:before="30" w:after="30"/>
              <w:jc w:val="center"/>
            </w:pPr>
          </w:p>
        </w:tc>
        <w:tc>
          <w:tcPr>
            <w:tcW w:type="dxa" w:w="1178"/>
          </w:tcPr>
          <w:p>
            <w:pPr>
              <w:pStyle w:val="MDPI42tablebody"/>
              <w:keepNext/>
              <w:spacing w:line="240" w:lineRule="auto" w:before="30" w:after="30"/>
              <w:jc w:val="center"/>
            </w:pPr>
          </w:p>
        </w:tc>
        <w:tc>
          <w:tcPr>
            <w:tcW w:type="dxa" w:w="1178"/>
          </w:tcPr>
          <w:p>
            <w:pPr>
              <w:pStyle w:val="MDPI42tablebody"/>
              <w:keepNext/>
              <w:spacing w:line="240" w:lineRule="auto" w:before="30" w:after="30"/>
              <w:jc w:val="center"/>
            </w:pPr>
            <w:r>
              <w:rPr>
                <w:b w:val="0"/>
                <w:i w:val="0"/>
                <w:sz w:val="18"/>
              </w:rPr>
              <w:t>(0.036)</w:t>
            </w:r>
          </w:p>
        </w:tc>
        <w:tc>
          <w:tcPr>
            <w:tcW w:type="dxa" w:w="1178"/>
          </w:tcPr>
          <w:p>
            <w:pPr>
              <w:pStyle w:val="MDPI42tablebody"/>
              <w:keepNext/>
              <w:spacing w:line="240" w:lineRule="auto" w:before="30" w:after="30"/>
              <w:jc w:val="center"/>
            </w:pPr>
            <w:r>
              <w:rPr>
                <w:b w:val="0"/>
                <w:i w:val="0"/>
                <w:sz w:val="18"/>
              </w:rPr>
              <w:t>(0.036)</w:t>
            </w:r>
          </w:p>
        </w:tc>
      </w:tr>
      <w:tr>
        <w:trPr>
          <w:cantSplit/>
        </w:trPr>
        <w:tc>
          <w:tcPr>
            <w:tcW w:type="dxa" w:w="1964"/>
          </w:tcPr>
          <w:p>
            <w:pPr>
              <w:pStyle w:val="MDPI42tablebody"/>
              <w:keepNext/>
              <w:spacing w:line="240" w:lineRule="auto" w:before="30" w:after="30"/>
              <w:jc w:val="left"/>
            </w:pPr>
            <w:r>
              <w:rPr>
                <w:b w:val="0"/>
                <w:i w:val="0"/>
                <w:sz w:val="18"/>
              </w:rPr>
              <w:t>Controls</w:t>
            </w:r>
          </w:p>
        </w:tc>
        <w:tc>
          <w:tcPr>
            <w:tcW w:type="dxa" w:w="1178"/>
          </w:tcPr>
          <w:p>
            <w:pPr>
              <w:pStyle w:val="MDPI42tablebody"/>
              <w:keepNext/>
              <w:spacing w:line="240" w:lineRule="auto" w:before="30" w:after="30"/>
              <w:jc w:val="center"/>
            </w:pPr>
            <w:r>
              <w:rPr>
                <w:b w:val="0"/>
                <w:i w:val="0"/>
                <w:sz w:val="18"/>
              </w:rPr>
              <w:t>Yes</w:t>
            </w:r>
          </w:p>
        </w:tc>
        <w:tc>
          <w:tcPr>
            <w:tcW w:type="dxa" w:w="1178"/>
          </w:tcPr>
          <w:p>
            <w:pPr>
              <w:pStyle w:val="MDPI42tablebody"/>
              <w:keepNext/>
              <w:spacing w:line="240" w:lineRule="auto" w:before="30" w:after="30"/>
              <w:jc w:val="center"/>
            </w:pPr>
            <w:r>
              <w:rPr>
                <w:b w:val="0"/>
                <w:i w:val="0"/>
                <w:sz w:val="18"/>
              </w:rPr>
              <w:t>Yes</w:t>
            </w:r>
          </w:p>
        </w:tc>
        <w:tc>
          <w:tcPr>
            <w:tcW w:type="dxa" w:w="1178"/>
          </w:tcPr>
          <w:p>
            <w:pPr>
              <w:pStyle w:val="MDPI42tablebody"/>
              <w:keepNext/>
              <w:spacing w:line="240" w:lineRule="auto" w:before="30" w:after="30"/>
              <w:jc w:val="center"/>
            </w:pPr>
            <w:r>
              <w:rPr>
                <w:b w:val="0"/>
                <w:i w:val="0"/>
                <w:sz w:val="18"/>
              </w:rPr>
              <w:t>Yes</w:t>
            </w:r>
          </w:p>
        </w:tc>
        <w:tc>
          <w:tcPr>
            <w:tcW w:type="dxa" w:w="1178"/>
          </w:tcPr>
          <w:p>
            <w:pPr>
              <w:pStyle w:val="MDPI42tablebody"/>
              <w:keepNext/>
              <w:spacing w:line="240" w:lineRule="auto" w:before="30" w:after="30"/>
              <w:jc w:val="center"/>
            </w:pPr>
            <w:r>
              <w:rPr>
                <w:b w:val="0"/>
                <w:i w:val="0"/>
                <w:sz w:val="18"/>
              </w:rPr>
              <w:t>Yes</w:t>
            </w:r>
          </w:p>
        </w:tc>
        <w:tc>
          <w:tcPr>
            <w:tcW w:type="dxa" w:w="1178"/>
          </w:tcPr>
          <w:p>
            <w:pPr>
              <w:pStyle w:val="MDPI42tablebody"/>
              <w:keepNext/>
              <w:spacing w:line="240" w:lineRule="auto" w:before="30" w:after="30"/>
              <w:jc w:val="center"/>
            </w:pPr>
            <w:r>
              <w:rPr>
                <w:b w:val="0"/>
                <w:i w:val="0"/>
                <w:sz w:val="18"/>
              </w:rPr>
              <w:t>Yes</w:t>
            </w:r>
          </w:p>
        </w:tc>
      </w:tr>
      <w:tr>
        <w:trPr>
          <w:cantSplit/>
        </w:trPr>
        <w:tc>
          <w:tcPr>
            <w:tcW w:type="dxa" w:w="1964"/>
          </w:tcPr>
          <w:p>
            <w:pPr>
              <w:pStyle w:val="MDPI42tablebody"/>
              <w:keepNext/>
              <w:spacing w:line="240" w:lineRule="auto" w:before="30" w:after="30"/>
              <w:jc w:val="left"/>
            </w:pPr>
            <w:r>
              <w:rPr>
                <w:b w:val="0"/>
                <w:i w:val="0"/>
                <w:sz w:val="18"/>
              </w:rPr>
              <w:t>Observations</w:t>
            </w:r>
          </w:p>
        </w:tc>
        <w:tc>
          <w:tcPr>
            <w:tcW w:type="dxa" w:w="1178"/>
          </w:tcPr>
          <w:p>
            <w:pPr>
              <w:pStyle w:val="MDPI42tablebody"/>
              <w:keepNext/>
              <w:spacing w:line="240" w:lineRule="auto" w:before="30" w:after="30"/>
              <w:jc w:val="center"/>
            </w:pPr>
            <w:r>
              <w:rPr>
                <w:b w:val="0"/>
                <w:i w:val="0"/>
                <w:sz w:val="18"/>
              </w:rPr>
              <w:t>914</w:t>
            </w:r>
          </w:p>
        </w:tc>
        <w:tc>
          <w:tcPr>
            <w:tcW w:type="dxa" w:w="1178"/>
          </w:tcPr>
          <w:p>
            <w:pPr>
              <w:pStyle w:val="MDPI42tablebody"/>
              <w:keepNext/>
              <w:spacing w:line="240" w:lineRule="auto" w:before="30" w:after="30"/>
              <w:jc w:val="center"/>
            </w:pPr>
            <w:r>
              <w:rPr>
                <w:b w:val="0"/>
                <w:i w:val="0"/>
                <w:sz w:val="18"/>
              </w:rPr>
              <w:t>914</w:t>
            </w:r>
          </w:p>
        </w:tc>
        <w:tc>
          <w:tcPr>
            <w:tcW w:type="dxa" w:w="1178"/>
          </w:tcPr>
          <w:p>
            <w:pPr>
              <w:pStyle w:val="MDPI42tablebody"/>
              <w:keepNext/>
              <w:spacing w:line="240" w:lineRule="auto" w:before="30" w:after="30"/>
              <w:jc w:val="center"/>
            </w:pPr>
            <w:r>
              <w:rPr>
                <w:b w:val="0"/>
                <w:i w:val="0"/>
                <w:sz w:val="18"/>
              </w:rPr>
              <w:t>914</w:t>
            </w:r>
          </w:p>
        </w:tc>
        <w:tc>
          <w:tcPr>
            <w:tcW w:type="dxa" w:w="1178"/>
          </w:tcPr>
          <w:p>
            <w:pPr>
              <w:pStyle w:val="MDPI42tablebody"/>
              <w:keepNext/>
              <w:spacing w:line="240" w:lineRule="auto" w:before="30" w:after="30"/>
              <w:jc w:val="center"/>
            </w:pPr>
            <w:r>
              <w:rPr>
                <w:b w:val="0"/>
                <w:i w:val="0"/>
                <w:sz w:val="18"/>
              </w:rPr>
              <w:t>914</w:t>
            </w:r>
          </w:p>
        </w:tc>
        <w:tc>
          <w:tcPr>
            <w:tcW w:type="dxa" w:w="1178"/>
          </w:tcPr>
          <w:p>
            <w:pPr>
              <w:pStyle w:val="MDPI42tablebody"/>
              <w:keepNext/>
              <w:spacing w:line="240" w:lineRule="auto" w:before="30" w:after="30"/>
              <w:jc w:val="center"/>
            </w:pPr>
            <w:r>
              <w:rPr>
                <w:b w:val="0"/>
                <w:i w:val="0"/>
                <w:sz w:val="18"/>
              </w:rPr>
              <w:t>914</w:t>
            </w:r>
          </w:p>
        </w:tc>
      </w:tr>
      <w:tr>
        <w:trPr>
          <w:cantSplit/>
        </w:trPr>
        <w:tc>
          <w:tcPr>
            <w:tcW w:type="dxa" w:w="1964"/>
          </w:tcPr>
          <w:p>
            <w:pPr>
              <w:pStyle w:val="MDPI42tablebody"/>
              <w:keepNext/>
              <w:spacing w:line="240" w:lineRule="auto" w:before="30" w:after="30"/>
              <w:jc w:val="left"/>
            </w:pPr>
            <w:r>
              <w:rPr>
                <w:b w:val="0"/>
                <w:i w:val="0"/>
                <w:sz w:val="18"/>
              </w:rPr>
              <w:t>R²</w:t>
            </w:r>
          </w:p>
        </w:tc>
        <w:tc>
          <w:tcPr>
            <w:tcW w:type="dxa" w:w="1178"/>
          </w:tcPr>
          <w:p>
            <w:pPr>
              <w:pStyle w:val="MDPI42tablebody"/>
              <w:keepNext/>
              <w:spacing w:line="240" w:lineRule="auto" w:before="30" w:after="30"/>
              <w:jc w:val="center"/>
            </w:pPr>
            <w:r>
              <w:rPr>
                <w:b w:val="0"/>
                <w:i w:val="0"/>
                <w:sz w:val="18"/>
              </w:rPr>
              <w:t>0.230</w:t>
            </w:r>
          </w:p>
        </w:tc>
        <w:tc>
          <w:tcPr>
            <w:tcW w:type="dxa" w:w="1178"/>
          </w:tcPr>
          <w:p>
            <w:pPr>
              <w:pStyle w:val="MDPI42tablebody"/>
              <w:keepNext/>
              <w:spacing w:line="240" w:lineRule="auto" w:before="30" w:after="30"/>
              <w:jc w:val="center"/>
            </w:pPr>
            <w:r>
              <w:rPr>
                <w:b w:val="0"/>
                <w:i w:val="0"/>
                <w:sz w:val="18"/>
              </w:rPr>
              <w:t>0.233</w:t>
            </w:r>
          </w:p>
        </w:tc>
        <w:tc>
          <w:tcPr>
            <w:tcW w:type="dxa" w:w="1178"/>
          </w:tcPr>
          <w:p>
            <w:pPr>
              <w:pStyle w:val="MDPI42tablebody"/>
              <w:keepNext/>
              <w:spacing w:line="240" w:lineRule="auto" w:before="30" w:after="30"/>
              <w:jc w:val="center"/>
            </w:pPr>
            <w:r>
              <w:rPr>
                <w:b w:val="0"/>
                <w:i w:val="0"/>
                <w:sz w:val="18"/>
              </w:rPr>
              <w:t>0.269</w:t>
            </w:r>
          </w:p>
        </w:tc>
        <w:tc>
          <w:tcPr>
            <w:tcW w:type="dxa" w:w="1178"/>
          </w:tcPr>
          <w:p>
            <w:pPr>
              <w:pStyle w:val="MDPI42tablebody"/>
              <w:keepNext/>
              <w:spacing w:line="240" w:lineRule="auto" w:before="30" w:after="30"/>
              <w:jc w:val="center"/>
            </w:pPr>
            <w:r>
              <w:rPr>
                <w:b w:val="0"/>
                <w:i w:val="0"/>
                <w:sz w:val="18"/>
              </w:rPr>
              <w:t>0.284</w:t>
            </w:r>
          </w:p>
        </w:tc>
        <w:tc>
          <w:tcPr>
            <w:tcW w:type="dxa" w:w="1178"/>
          </w:tcPr>
          <w:p>
            <w:pPr>
              <w:pStyle w:val="MDPI42tablebody"/>
              <w:keepNext/>
              <w:spacing w:line="240" w:lineRule="auto" w:before="30" w:after="30"/>
              <w:jc w:val="center"/>
            </w:pPr>
            <w:r>
              <w:rPr>
                <w:b w:val="0"/>
                <w:i w:val="0"/>
                <w:sz w:val="18"/>
              </w:rPr>
              <w:t>0.284</w:t>
            </w:r>
          </w:p>
        </w:tc>
      </w:tr>
    </w:tbl>
    <w:p>
      <w:pPr>
        <w:pStyle w:val="MDPI43tablefooter"/>
        <w:spacing w:line="240" w:lineRule="auto" w:before="40" w:after="200"/>
        <w:ind w:left="2608" w:firstLine="0"/>
      </w:pPr>
      <w:r>
        <w:rPr>
          <w:sz w:val="16"/>
        </w:rPr>
        <w:t xml:space="preserve">Note: </w:t>
      </w:r>
      <w:r>
        <w:rPr>
          <w:b w:val="0"/>
          <w:i w:val="0"/>
          <w:sz w:val="16"/>
        </w:rPr>
        <w:t>The dependent variable is career avoidance at the second wave, standardized. Column (2) adds the quadratic term, which is insignificant; columns (3)–(4) add literacy and its interaction. Values in parentheses are HC3 standard errors in columns (1)–(4) and occupation-clustered standard errors in column (5). ***, ** and * denote significance at the 1%, 5% and 10% levels, respectively. Source: authors’ own calculations.</w:t>
      </w:r>
    </w:p>
    <w:p>
      <w:pPr>
        <w:pStyle w:val="MDPI22heading2"/>
      </w:pPr>
      <w:r>
        <w:t>4.6. Moderated Mediation Analysis</w:t>
      </w:r>
    </w:p>
    <w:p>
      <w:pPr>
        <w:pStyle w:val="MDPI32textnoindent"/>
      </w:pPr>
      <w:r>
        <w:rPr>
          <w:b w:val="0"/>
          <w:i w:val="0"/>
        </w:rPr>
        <w:t xml:space="preserve">Table 10 presents the results of the bootstrapped conditional-process analysis of Equation (5). When anxiety is low and both boundary conditions are favorable, the indirect effect of perceived depreciation on adaptation through anxiety is significantly positive (0.262, with a confidence interval of [0.188, 0.340], excluding 0); when anxiety is one standard deviation above the mean and both conditions are unfavorable, the same indirect effect is significantly negative (−0.281, [−0.371, −0.193]). The identical percept, carried by the identical channel, mobilizes the calm graduate and demobilizes the anxious one; Hypothesis H4a is verified. The index of curvilinear mediation, </w:t>
      </w:r>
      <m:oMath>
        <m:r>
          <m:rPr>
            <m:sty m:val="p"/>
          </m:rPr>
          <m:t xml:space="preserve">2</m:t>
        </m:r>
        <m:sSub>
          <m:e>
            <m:r>
              <m:t xml:space="preserve">a</m:t>
            </m:r>
          </m:e>
          <m:sub>
            <m:r>
              <m:rPr>
                <m:sty m:val="p"/>
              </m:rPr>
              <m:t xml:space="preserve">1</m:t>
            </m:r>
          </m:sub>
        </m:sSub>
        <m:sSub>
          <m:e>
            <m:r>
              <m:t xml:space="preserve">b</m:t>
            </m:r>
          </m:e>
          <m:sub>
            <m:r>
              <m:rPr>
                <m:sty m:val="p"/>
              </m:rPr>
              <m:t xml:space="preserve">2</m:t>
            </m:r>
          </m:sub>
        </m:sSub>
      </m:oMath>
      <w:r>
        <w:rPr>
          <w:b w:val="0"/>
          <w:i w:val="0"/>
        </w:rPr>
        <w:t xml:space="preserve">, is −0.231 ([−0.286, −0.174], excluding 0), confirming that the sign reversal is a property of the transmitted effect itself. The indices of moderated mediation are −0.027 ([−0.042, −0.014]) for support in the first stage and 0.068 ([0.040, 0.096]) for literacy in the second stage </w:t>
      </w:r>
      <w:r>
        <w:t>[</w:t>
      </w:r>
      <w:r>
        <w:fldChar w:fldCharType="begin"/>
      </w:r>
      <w:r>
        <w:instrText xml:space="preserve"> REF _Ref_31 \h </w:instrText>
      </w:r>
      <w:r>
        <w:fldChar w:fldCharType="separate"/>
      </w:r>
      <w:r>
        <w:t>31</w:t>
      </w:r>
      <w:r>
        <w:fldChar w:fldCharType="end"/>
      </w:r>
      <w:r>
        <w:t>]</w:t>
      </w:r>
      <w:r>
        <w:rPr>
          <w:b w:val="0"/>
          <w:i w:val="0"/>
        </w:rPr>
        <w:t>. The avoidance channel is uniformly positive (0.274 at low literacy and 0.132 at high literacy, both confidence intervals excluding 0), and its literacy index is −0.071 ([−0.099, −0.043]); Hypothesis H4b is verified.</w:t>
      </w:r>
    </w:p>
    <w:p>
      <w:pPr>
        <w:pStyle w:val="MDPI41tablecaption"/>
        <w:keepNext/>
        <w:spacing w:after="60"/>
      </w:pPr>
      <w:r>
        <w:rPr>
          <w:b/>
          <w:sz w:val="18"/>
        </w:rPr>
        <w:t xml:space="preserve">Table 10. </w:t>
      </w:r>
      <w:r>
        <w:rPr>
          <w:b w:val="0"/>
          <w:i w:val="0"/>
          <w:sz w:val="18"/>
        </w:rPr>
        <w:t>Conditional indirect effects of perceived depreciation, through anxiety (H4a, H4b).</w:t>
      </w:r>
    </w:p>
    <w:tbl>
      <w:tblPr>
        <w:tblStyle w:val="MDPI41threelinetable"/>
        <w:tblW w:w="7858" w:type="dxa"/>
        <w:tblInd w:w="2608" w:type="dxa"/>
        <w:tblBorders>
          <w:top w:val="single" w:sz="8" w:space="0" w:color="auto"/>
          <w:left w:val="none" w:sz="0" w:space="0" w:color="auto"/>
          <w:bottom w:val="single" w:sz="8" w:space="0" w:color="auto"/>
          <w:right w:val="none" w:sz="0" w:space="0" w:color="auto"/>
          <w:insideH w:val="none" w:sz="0" w:space="0" w:color="auto"/>
          <w:insideV w:val="none" w:sz="0" w:space="0" w:color="auto"/>
        </w:tblBorders>
        <w:tblLayout w:type="fixed"/>
        <w:tblCellMar>
          <w:top w:w="0" w:type="dxa"/>
          <w:left w:w="57" w:type="dxa"/>
          <w:bottom w:w="0" w:type="dxa"/>
          <w:right w:w="57" w:type="dxa"/>
        </w:tblCellMar>
        <w:tblLook w:firstColumn="1" w:firstRow="1" w:lastColumn="0" w:lastRow="0" w:noHBand="0" w:noVBand="1" w:val="04A0"/>
      </w:tblPr>
      <w:tblGrid>
        <w:gridCol w:w="3614"/>
        <w:gridCol w:w="1728"/>
        <w:gridCol w:w="2514"/>
      </w:tblGrid>
      <w:tr>
        <w:trPr>
          <w:cantSplit/>
          <w:tblHeader/>
        </w:trPr>
        <w:tc>
          <w:tcPr>
            <w:tcW w:type="dxa" w:w="3614"/>
            <w:tcBorders>
              <w:bottom w:val="single" w:sz="8" w:space="0" w:color="auto"/>
            </w:tcBorders>
          </w:tcPr>
          <w:p>
            <w:pPr>
              <w:pStyle w:val="MDPI42tablebody"/>
              <w:keepNext/>
              <w:spacing w:line="240" w:lineRule="auto" w:before="30" w:after="30"/>
              <w:jc w:val="center"/>
            </w:pPr>
            <w:r>
              <w:rPr>
                <w:b/>
                <w:i w:val="0"/>
                <w:sz w:val="18"/>
              </w:rPr>
              <w:t>Path and conditioning values</w:t>
            </w:r>
          </w:p>
        </w:tc>
        <w:tc>
          <w:tcPr>
            <w:tcW w:type="dxa" w:w="1728"/>
            <w:tcBorders>
              <w:bottom w:val="single" w:sz="8" w:space="0" w:color="auto"/>
            </w:tcBorders>
          </w:tcPr>
          <w:p>
            <w:pPr>
              <w:pStyle w:val="MDPI42tablebody"/>
              <w:keepNext/>
              <w:spacing w:line="240" w:lineRule="auto" w:before="30" w:after="30"/>
              <w:jc w:val="center"/>
            </w:pPr>
            <w:r>
              <w:rPr>
                <w:b/>
                <w:i w:val="0"/>
                <w:sz w:val="18"/>
              </w:rPr>
              <w:t>Estimate</w:t>
            </w:r>
          </w:p>
        </w:tc>
        <w:tc>
          <w:tcPr>
            <w:tcW w:type="dxa" w:w="2514"/>
            <w:tcBorders>
              <w:bottom w:val="single" w:sz="8" w:space="0" w:color="auto"/>
            </w:tcBorders>
          </w:tcPr>
          <w:p>
            <w:pPr>
              <w:pStyle w:val="MDPI42tablebody"/>
              <w:keepNext/>
              <w:spacing w:line="240" w:lineRule="auto" w:before="30" w:after="30"/>
              <w:jc w:val="center"/>
            </w:pPr>
            <w:r>
              <w:rPr>
                <w:b/>
                <w:i w:val="0"/>
                <w:sz w:val="18"/>
              </w:rPr>
              <w:t>95% bootstrap CI</w:t>
            </w:r>
          </w:p>
        </w:tc>
      </w:tr>
      <w:tr>
        <w:trPr>
          <w:cantSplit/>
        </w:trPr>
        <w:tc>
          <w:tcPr>
            <w:tcW w:type="dxa" w:w="3614"/>
          </w:tcPr>
          <w:p>
            <w:pPr>
              <w:pStyle w:val="MDPI42tablebody"/>
              <w:keepNext/>
              <w:spacing w:line="240" w:lineRule="auto" w:before="30" w:after="30"/>
              <w:jc w:val="left"/>
            </w:pPr>
            <w:r>
              <w:rPr>
                <w:b w:val="0"/>
                <w:i w:val="0"/>
                <w:sz w:val="18"/>
              </w:rPr>
              <w:t>SUP = −1, ANX = −1, LIT = −1</w:t>
            </w:r>
          </w:p>
        </w:tc>
        <w:tc>
          <w:tcPr>
            <w:tcW w:type="dxa" w:w="1728"/>
          </w:tcPr>
          <w:p>
            <w:pPr>
              <w:pStyle w:val="MDPI42tablebody"/>
              <w:keepNext/>
              <w:spacing w:line="240" w:lineRule="auto" w:before="30" w:after="30"/>
              <w:jc w:val="center"/>
            </w:pPr>
            <w:r>
              <w:rPr>
                <w:b w:val="0"/>
                <w:i w:val="0"/>
                <w:sz w:val="18"/>
              </w:rPr>
              <w:t>0.326</w:t>
            </w:r>
          </w:p>
        </w:tc>
        <w:tc>
          <w:tcPr>
            <w:tcW w:type="dxa" w:w="2514"/>
          </w:tcPr>
          <w:p>
            <w:pPr>
              <w:pStyle w:val="MDPI42tablebody"/>
              <w:keepNext/>
              <w:spacing w:line="240" w:lineRule="auto" w:before="30" w:after="30"/>
              <w:jc w:val="center"/>
            </w:pPr>
            <w:r>
              <w:rPr>
                <w:b w:val="0"/>
                <w:i w:val="0"/>
                <w:sz w:val="18"/>
              </w:rPr>
              <w:t>[0.231, 0.422]</w:t>
            </w:r>
          </w:p>
        </w:tc>
      </w:tr>
      <w:tr>
        <w:trPr>
          <w:cantSplit/>
        </w:trPr>
        <w:tc>
          <w:tcPr>
            <w:tcW w:type="dxa" w:w="3614"/>
          </w:tcPr>
          <w:p>
            <w:pPr>
              <w:pStyle w:val="MDPI42tablebody"/>
              <w:keepNext/>
              <w:spacing w:line="240" w:lineRule="auto" w:before="30" w:after="30"/>
              <w:jc w:val="left"/>
            </w:pPr>
            <w:r>
              <w:rPr>
                <w:b w:val="0"/>
                <w:i w:val="0"/>
                <w:sz w:val="18"/>
              </w:rPr>
              <w:t>SUP = −1, ANX = −1, LIT = +1</w:t>
            </w:r>
          </w:p>
        </w:tc>
        <w:tc>
          <w:tcPr>
            <w:tcW w:type="dxa" w:w="1728"/>
          </w:tcPr>
          <w:p>
            <w:pPr>
              <w:pStyle w:val="MDPI42tablebody"/>
              <w:keepNext/>
              <w:spacing w:line="240" w:lineRule="auto" w:before="30" w:after="30"/>
              <w:jc w:val="center"/>
            </w:pPr>
            <w:r>
              <w:rPr>
                <w:b w:val="0"/>
                <w:i w:val="0"/>
                <w:sz w:val="18"/>
              </w:rPr>
              <w:t>0.504</w:t>
            </w:r>
          </w:p>
        </w:tc>
        <w:tc>
          <w:tcPr>
            <w:tcW w:type="dxa" w:w="2514"/>
          </w:tcPr>
          <w:p>
            <w:pPr>
              <w:pStyle w:val="MDPI42tablebody"/>
              <w:keepNext/>
              <w:spacing w:line="240" w:lineRule="auto" w:before="30" w:after="30"/>
              <w:jc w:val="center"/>
            </w:pPr>
            <w:r>
              <w:rPr>
                <w:b w:val="0"/>
                <w:i w:val="0"/>
                <w:sz w:val="18"/>
              </w:rPr>
              <w:t>[0.404, 0.609]</w:t>
            </w:r>
          </w:p>
        </w:tc>
      </w:tr>
      <w:tr>
        <w:trPr>
          <w:cantSplit/>
        </w:trPr>
        <w:tc>
          <w:tcPr>
            <w:tcW w:type="dxa" w:w="3614"/>
          </w:tcPr>
          <w:p>
            <w:pPr>
              <w:pStyle w:val="MDPI42tablebody"/>
              <w:keepNext/>
              <w:spacing w:line="240" w:lineRule="auto" w:before="30" w:after="30"/>
              <w:jc w:val="left"/>
            </w:pPr>
            <w:r>
              <w:rPr>
                <w:b w:val="0"/>
                <w:i w:val="0"/>
                <w:sz w:val="18"/>
              </w:rPr>
              <w:t>SUP = −1, ANX = +0, LIT = −1</w:t>
            </w:r>
          </w:p>
        </w:tc>
        <w:tc>
          <w:tcPr>
            <w:tcW w:type="dxa" w:w="1728"/>
          </w:tcPr>
          <w:p>
            <w:pPr>
              <w:pStyle w:val="MDPI42tablebody"/>
              <w:keepNext/>
              <w:spacing w:line="240" w:lineRule="auto" w:before="30" w:after="30"/>
              <w:jc w:val="center"/>
            </w:pPr>
            <w:r>
              <w:rPr>
                <w:b w:val="0"/>
                <w:i w:val="0"/>
                <w:sz w:val="18"/>
              </w:rPr>
              <w:t>0.023</w:t>
            </w:r>
          </w:p>
        </w:tc>
        <w:tc>
          <w:tcPr>
            <w:tcW w:type="dxa" w:w="2514"/>
          </w:tcPr>
          <w:p>
            <w:pPr>
              <w:pStyle w:val="MDPI42tablebody"/>
              <w:keepNext/>
              <w:spacing w:line="240" w:lineRule="auto" w:before="30" w:after="30"/>
              <w:jc w:val="center"/>
            </w:pPr>
            <w:r>
              <w:rPr>
                <w:b w:val="0"/>
                <w:i w:val="0"/>
                <w:sz w:val="18"/>
              </w:rPr>
              <w:t>[−0.034, 0.078]</w:t>
            </w:r>
          </w:p>
        </w:tc>
      </w:tr>
      <w:tr>
        <w:trPr>
          <w:cantSplit/>
        </w:trPr>
        <w:tc>
          <w:tcPr>
            <w:tcW w:type="dxa" w:w="3614"/>
          </w:tcPr>
          <w:p>
            <w:pPr>
              <w:pStyle w:val="MDPI42tablebody"/>
              <w:keepNext/>
              <w:spacing w:line="240" w:lineRule="auto" w:before="30" w:after="30"/>
              <w:jc w:val="left"/>
            </w:pPr>
            <w:r>
              <w:rPr>
                <w:b w:val="0"/>
                <w:i w:val="0"/>
                <w:sz w:val="18"/>
              </w:rPr>
              <w:t>SUP = −1, ANX = +0, LIT = +1</w:t>
            </w:r>
          </w:p>
        </w:tc>
        <w:tc>
          <w:tcPr>
            <w:tcW w:type="dxa" w:w="1728"/>
          </w:tcPr>
          <w:p>
            <w:pPr>
              <w:pStyle w:val="MDPI42tablebody"/>
              <w:keepNext/>
              <w:spacing w:line="240" w:lineRule="auto" w:before="30" w:after="30"/>
              <w:jc w:val="center"/>
            </w:pPr>
            <w:r>
              <w:rPr>
                <w:b w:val="0"/>
                <w:i w:val="0"/>
                <w:sz w:val="18"/>
              </w:rPr>
              <w:t>0.201</w:t>
            </w:r>
          </w:p>
        </w:tc>
        <w:tc>
          <w:tcPr>
            <w:tcW w:type="dxa" w:w="2514"/>
          </w:tcPr>
          <w:p>
            <w:pPr>
              <w:pStyle w:val="MDPI42tablebody"/>
              <w:keepNext/>
              <w:spacing w:line="240" w:lineRule="auto" w:before="30" w:after="30"/>
              <w:jc w:val="center"/>
            </w:pPr>
            <w:r>
              <w:rPr>
                <w:b w:val="0"/>
                <w:i w:val="0"/>
                <w:sz w:val="18"/>
              </w:rPr>
              <w:t>[0.143, 0.260]</w:t>
            </w:r>
          </w:p>
        </w:tc>
      </w:tr>
      <w:tr>
        <w:trPr>
          <w:cantSplit/>
        </w:trPr>
        <w:tc>
          <w:tcPr>
            <w:tcW w:type="dxa" w:w="3614"/>
          </w:tcPr>
          <w:p>
            <w:pPr>
              <w:pStyle w:val="MDPI42tablebody"/>
              <w:keepNext/>
              <w:spacing w:line="240" w:lineRule="auto" w:before="30" w:after="30"/>
              <w:jc w:val="left"/>
            </w:pPr>
            <w:r>
              <w:rPr>
                <w:b w:val="0"/>
                <w:i w:val="0"/>
                <w:sz w:val="18"/>
              </w:rPr>
              <w:t>SUP = −1, ANX = +1, LIT = −1</w:t>
            </w:r>
          </w:p>
        </w:tc>
        <w:tc>
          <w:tcPr>
            <w:tcW w:type="dxa" w:w="1728"/>
          </w:tcPr>
          <w:p>
            <w:pPr>
              <w:pStyle w:val="MDPI42tablebody"/>
              <w:keepNext/>
              <w:spacing w:line="240" w:lineRule="auto" w:before="30" w:after="30"/>
              <w:jc w:val="center"/>
            </w:pPr>
            <w:r>
              <w:rPr>
                <w:b w:val="0"/>
                <w:i w:val="0"/>
                <w:sz w:val="18"/>
              </w:rPr>
              <w:t>−0.281</w:t>
            </w:r>
          </w:p>
        </w:tc>
        <w:tc>
          <w:tcPr>
            <w:tcW w:type="dxa" w:w="2514"/>
          </w:tcPr>
          <w:p>
            <w:pPr>
              <w:pStyle w:val="MDPI42tablebody"/>
              <w:keepNext/>
              <w:spacing w:line="240" w:lineRule="auto" w:before="30" w:after="30"/>
              <w:jc w:val="center"/>
            </w:pPr>
            <w:r>
              <w:rPr>
                <w:b w:val="0"/>
                <w:i w:val="0"/>
                <w:sz w:val="18"/>
              </w:rPr>
              <w:t>[−0.371, −0.193]</w:t>
            </w:r>
          </w:p>
        </w:tc>
      </w:tr>
      <w:tr>
        <w:trPr>
          <w:cantSplit/>
        </w:trPr>
        <w:tc>
          <w:tcPr>
            <w:tcW w:type="dxa" w:w="3614"/>
          </w:tcPr>
          <w:p>
            <w:pPr>
              <w:pStyle w:val="MDPI42tablebody"/>
              <w:keepNext/>
              <w:spacing w:line="240" w:lineRule="auto" w:before="30" w:after="30"/>
              <w:jc w:val="left"/>
            </w:pPr>
            <w:r>
              <w:rPr>
                <w:b w:val="0"/>
                <w:i w:val="0"/>
                <w:sz w:val="18"/>
              </w:rPr>
              <w:t>SUP = −1, ANX = +1, LIT = +1</w:t>
            </w:r>
          </w:p>
        </w:tc>
        <w:tc>
          <w:tcPr>
            <w:tcW w:type="dxa" w:w="1728"/>
          </w:tcPr>
          <w:p>
            <w:pPr>
              <w:pStyle w:val="MDPI42tablebody"/>
              <w:keepNext/>
              <w:spacing w:line="240" w:lineRule="auto" w:before="30" w:after="30"/>
              <w:jc w:val="center"/>
            </w:pPr>
            <w:r>
              <w:rPr>
                <w:b w:val="0"/>
                <w:i w:val="0"/>
                <w:sz w:val="18"/>
              </w:rPr>
              <w:t>−0.103</w:t>
            </w:r>
          </w:p>
        </w:tc>
        <w:tc>
          <w:tcPr>
            <w:tcW w:type="dxa" w:w="2514"/>
          </w:tcPr>
          <w:p>
            <w:pPr>
              <w:pStyle w:val="MDPI42tablebody"/>
              <w:keepNext/>
              <w:spacing w:line="240" w:lineRule="auto" w:before="30" w:after="30"/>
              <w:jc w:val="center"/>
            </w:pPr>
            <w:r>
              <w:rPr>
                <w:b w:val="0"/>
                <w:i w:val="0"/>
                <w:sz w:val="18"/>
              </w:rPr>
              <w:t>[−0.189, −0.015]</w:t>
            </w:r>
          </w:p>
        </w:tc>
      </w:tr>
      <w:tr>
        <w:trPr>
          <w:cantSplit/>
        </w:trPr>
        <w:tc>
          <w:tcPr>
            <w:tcW w:type="dxa" w:w="3614"/>
          </w:tcPr>
          <w:p>
            <w:pPr>
              <w:pStyle w:val="MDPI42tablebody"/>
              <w:keepNext/>
              <w:spacing w:line="240" w:lineRule="auto" w:before="30" w:after="30"/>
              <w:jc w:val="left"/>
            </w:pPr>
            <w:r>
              <w:rPr>
                <w:b w:val="0"/>
                <w:i w:val="0"/>
                <w:sz w:val="18"/>
              </w:rPr>
              <w:t>SUP = +1, ANX = −1, LIT = −1</w:t>
            </w:r>
          </w:p>
        </w:tc>
        <w:tc>
          <w:tcPr>
            <w:tcW w:type="dxa" w:w="1728"/>
          </w:tcPr>
          <w:p>
            <w:pPr>
              <w:pStyle w:val="MDPI42tablebody"/>
              <w:keepNext/>
              <w:spacing w:line="240" w:lineRule="auto" w:before="30" w:after="30"/>
              <w:jc w:val="center"/>
            </w:pPr>
            <w:r>
              <w:rPr>
                <w:b w:val="0"/>
                <w:i w:val="0"/>
                <w:sz w:val="18"/>
              </w:rPr>
              <w:t>0.169</w:t>
            </w:r>
          </w:p>
        </w:tc>
        <w:tc>
          <w:tcPr>
            <w:tcW w:type="dxa" w:w="2514"/>
          </w:tcPr>
          <w:p>
            <w:pPr>
              <w:pStyle w:val="MDPI42tablebody"/>
              <w:keepNext/>
              <w:spacing w:line="240" w:lineRule="auto" w:before="30" w:after="30"/>
              <w:jc w:val="center"/>
            </w:pPr>
            <w:r>
              <w:rPr>
                <w:b w:val="0"/>
                <w:i w:val="0"/>
                <w:sz w:val="18"/>
              </w:rPr>
              <w:t>[0.110, 0.235]</w:t>
            </w:r>
          </w:p>
        </w:tc>
      </w:tr>
      <w:tr>
        <w:trPr>
          <w:cantSplit/>
        </w:trPr>
        <w:tc>
          <w:tcPr>
            <w:tcW w:type="dxa" w:w="3614"/>
          </w:tcPr>
          <w:p>
            <w:pPr>
              <w:pStyle w:val="MDPI42tablebody"/>
              <w:keepNext/>
              <w:spacing w:line="240" w:lineRule="auto" w:before="30" w:after="30"/>
              <w:jc w:val="left"/>
            </w:pPr>
            <w:r>
              <w:rPr>
                <w:b w:val="0"/>
                <w:i w:val="0"/>
                <w:sz w:val="18"/>
              </w:rPr>
              <w:t>SUP = +1, ANX = −1, LIT = +1</w:t>
            </w:r>
          </w:p>
        </w:tc>
        <w:tc>
          <w:tcPr>
            <w:tcW w:type="dxa" w:w="1728"/>
          </w:tcPr>
          <w:p>
            <w:pPr>
              <w:pStyle w:val="MDPI42tablebody"/>
              <w:keepNext/>
              <w:spacing w:line="240" w:lineRule="auto" w:before="30" w:after="30"/>
              <w:jc w:val="center"/>
            </w:pPr>
            <w:r>
              <w:rPr>
                <w:b w:val="0"/>
                <w:i w:val="0"/>
                <w:sz w:val="18"/>
              </w:rPr>
              <w:t>0.262</w:t>
            </w:r>
          </w:p>
        </w:tc>
        <w:tc>
          <w:tcPr>
            <w:tcW w:type="dxa" w:w="2514"/>
          </w:tcPr>
          <w:p>
            <w:pPr>
              <w:pStyle w:val="MDPI42tablebody"/>
              <w:keepNext/>
              <w:spacing w:line="240" w:lineRule="auto" w:before="30" w:after="30"/>
              <w:jc w:val="center"/>
            </w:pPr>
            <w:r>
              <w:rPr>
                <w:b w:val="0"/>
                <w:i w:val="0"/>
                <w:sz w:val="18"/>
              </w:rPr>
              <w:t>[0.188, 0.340]</w:t>
            </w:r>
          </w:p>
        </w:tc>
      </w:tr>
      <w:tr>
        <w:trPr>
          <w:cantSplit/>
        </w:trPr>
        <w:tc>
          <w:tcPr>
            <w:tcW w:type="dxa" w:w="3614"/>
          </w:tcPr>
          <w:p>
            <w:pPr>
              <w:pStyle w:val="MDPI42tablebody"/>
              <w:keepNext/>
              <w:spacing w:line="240" w:lineRule="auto" w:before="30" w:after="30"/>
              <w:jc w:val="left"/>
            </w:pPr>
            <w:r>
              <w:rPr>
                <w:b w:val="0"/>
                <w:i w:val="0"/>
                <w:sz w:val="18"/>
              </w:rPr>
              <w:t>SUP = +1, ANX = +0, LIT = −1</w:t>
            </w:r>
          </w:p>
        </w:tc>
        <w:tc>
          <w:tcPr>
            <w:tcW w:type="dxa" w:w="1728"/>
          </w:tcPr>
          <w:p>
            <w:pPr>
              <w:pStyle w:val="MDPI42tablebody"/>
              <w:keepNext/>
              <w:spacing w:line="240" w:lineRule="auto" w:before="30" w:after="30"/>
              <w:jc w:val="center"/>
            </w:pPr>
            <w:r>
              <w:rPr>
                <w:b w:val="0"/>
                <w:i w:val="0"/>
                <w:sz w:val="18"/>
              </w:rPr>
              <w:t>0.012</w:t>
            </w:r>
          </w:p>
        </w:tc>
        <w:tc>
          <w:tcPr>
            <w:tcW w:type="dxa" w:w="2514"/>
          </w:tcPr>
          <w:p>
            <w:pPr>
              <w:pStyle w:val="MDPI42tablebody"/>
              <w:keepNext/>
              <w:spacing w:line="240" w:lineRule="auto" w:before="30" w:after="30"/>
              <w:jc w:val="center"/>
            </w:pPr>
            <w:r>
              <w:rPr>
                <w:b w:val="0"/>
                <w:i w:val="0"/>
                <w:sz w:val="18"/>
              </w:rPr>
              <w:t>[−0.018, 0.041]</w:t>
            </w:r>
          </w:p>
        </w:tc>
      </w:tr>
      <w:tr>
        <w:trPr>
          <w:cantSplit/>
        </w:trPr>
        <w:tc>
          <w:tcPr>
            <w:tcW w:type="dxa" w:w="3614"/>
          </w:tcPr>
          <w:p>
            <w:pPr>
              <w:pStyle w:val="MDPI42tablebody"/>
              <w:keepNext/>
              <w:spacing w:line="240" w:lineRule="auto" w:before="30" w:after="30"/>
              <w:jc w:val="left"/>
            </w:pPr>
            <w:r>
              <w:rPr>
                <w:b w:val="0"/>
                <w:i w:val="0"/>
                <w:sz w:val="18"/>
              </w:rPr>
              <w:t>SUP = +1, ANX = +0, LIT = +1</w:t>
            </w:r>
          </w:p>
        </w:tc>
        <w:tc>
          <w:tcPr>
            <w:tcW w:type="dxa" w:w="1728"/>
          </w:tcPr>
          <w:p>
            <w:pPr>
              <w:pStyle w:val="MDPI42tablebody"/>
              <w:keepNext/>
              <w:spacing w:line="240" w:lineRule="auto" w:before="30" w:after="30"/>
              <w:jc w:val="center"/>
            </w:pPr>
            <w:r>
              <w:rPr>
                <w:b w:val="0"/>
                <w:i w:val="0"/>
                <w:sz w:val="18"/>
              </w:rPr>
              <w:t>0.104</w:t>
            </w:r>
          </w:p>
        </w:tc>
        <w:tc>
          <w:tcPr>
            <w:tcW w:type="dxa" w:w="2514"/>
          </w:tcPr>
          <w:p>
            <w:pPr>
              <w:pStyle w:val="MDPI42tablebody"/>
              <w:keepNext/>
              <w:spacing w:line="240" w:lineRule="auto" w:before="30" w:after="30"/>
              <w:jc w:val="center"/>
            </w:pPr>
            <w:r>
              <w:rPr>
                <w:b w:val="0"/>
                <w:i w:val="0"/>
                <w:sz w:val="18"/>
              </w:rPr>
              <w:t>[0.069, 0.143]</w:t>
            </w:r>
          </w:p>
        </w:tc>
      </w:tr>
      <w:tr>
        <w:trPr>
          <w:cantSplit/>
        </w:trPr>
        <w:tc>
          <w:tcPr>
            <w:tcW w:type="dxa" w:w="3614"/>
          </w:tcPr>
          <w:p>
            <w:pPr>
              <w:pStyle w:val="MDPI42tablebody"/>
              <w:keepNext/>
              <w:spacing w:line="240" w:lineRule="auto" w:before="30" w:after="30"/>
              <w:jc w:val="left"/>
            </w:pPr>
            <w:r>
              <w:rPr>
                <w:b w:val="0"/>
                <w:i w:val="0"/>
                <w:sz w:val="18"/>
              </w:rPr>
              <w:t>SUP = +1, ANX = +1, LIT = −1</w:t>
            </w:r>
          </w:p>
        </w:tc>
        <w:tc>
          <w:tcPr>
            <w:tcW w:type="dxa" w:w="1728"/>
          </w:tcPr>
          <w:p>
            <w:pPr>
              <w:pStyle w:val="MDPI42tablebody"/>
              <w:keepNext/>
              <w:spacing w:line="240" w:lineRule="auto" w:before="30" w:after="30"/>
              <w:jc w:val="center"/>
            </w:pPr>
            <w:r>
              <w:rPr>
                <w:b w:val="0"/>
                <w:i w:val="0"/>
                <w:sz w:val="18"/>
              </w:rPr>
              <w:t>−0.146</w:t>
            </w:r>
          </w:p>
        </w:tc>
        <w:tc>
          <w:tcPr>
            <w:tcW w:type="dxa" w:w="2514"/>
          </w:tcPr>
          <w:p>
            <w:pPr>
              <w:pStyle w:val="MDPI42tablebody"/>
              <w:keepNext/>
              <w:spacing w:line="240" w:lineRule="auto" w:before="30" w:after="30"/>
              <w:jc w:val="center"/>
            </w:pPr>
            <w:r>
              <w:rPr>
                <w:b w:val="0"/>
                <w:i w:val="0"/>
                <w:sz w:val="18"/>
              </w:rPr>
              <w:t>[−0.205, −0.094]</w:t>
            </w:r>
          </w:p>
        </w:tc>
      </w:tr>
      <w:tr>
        <w:trPr>
          <w:cantSplit/>
        </w:trPr>
        <w:tc>
          <w:tcPr>
            <w:tcW w:type="dxa" w:w="3614"/>
          </w:tcPr>
          <w:p>
            <w:pPr>
              <w:pStyle w:val="MDPI42tablebody"/>
              <w:keepNext/>
              <w:spacing w:line="240" w:lineRule="auto" w:before="30" w:after="30"/>
              <w:jc w:val="left"/>
            </w:pPr>
            <w:r>
              <w:rPr>
                <w:b w:val="0"/>
                <w:i w:val="0"/>
                <w:sz w:val="18"/>
              </w:rPr>
              <w:t>SUP = +1, ANX = +1, LIT = +1</w:t>
            </w:r>
          </w:p>
        </w:tc>
        <w:tc>
          <w:tcPr>
            <w:tcW w:type="dxa" w:w="1728"/>
          </w:tcPr>
          <w:p>
            <w:pPr>
              <w:pStyle w:val="MDPI42tablebody"/>
              <w:keepNext/>
              <w:spacing w:line="240" w:lineRule="auto" w:before="30" w:after="30"/>
              <w:jc w:val="center"/>
            </w:pPr>
            <w:r>
              <w:rPr>
                <w:b w:val="0"/>
                <w:i w:val="0"/>
                <w:sz w:val="18"/>
              </w:rPr>
              <w:t>−0.053</w:t>
            </w:r>
          </w:p>
        </w:tc>
        <w:tc>
          <w:tcPr>
            <w:tcW w:type="dxa" w:w="2514"/>
          </w:tcPr>
          <w:p>
            <w:pPr>
              <w:pStyle w:val="MDPI42tablebody"/>
              <w:keepNext/>
              <w:spacing w:line="240" w:lineRule="auto" w:before="30" w:after="30"/>
              <w:jc w:val="center"/>
            </w:pPr>
            <w:r>
              <w:rPr>
                <w:b w:val="0"/>
                <w:i w:val="0"/>
                <w:sz w:val="18"/>
              </w:rPr>
              <w:t>[−0.103, −0.008]</w:t>
            </w:r>
          </w:p>
        </w:tc>
      </w:tr>
      <w:tr>
        <w:trPr>
          <w:cantSplit/>
        </w:trPr>
        <w:tc>
          <w:tcPr>
            <w:tcW w:type="dxa" w:w="3614"/>
          </w:tcPr>
          <w:p>
            <w:pPr>
              <w:pStyle w:val="MDPI42tablebody"/>
              <w:keepNext/>
              <w:spacing w:line="240" w:lineRule="auto" w:before="30" w:after="30"/>
              <w:jc w:val="left"/>
            </w:pPr>
            <w:r>
              <w:rPr>
                <w:b w:val="0"/>
                <w:i w:val="0"/>
                <w:sz w:val="18"/>
              </w:rPr>
              <w:t>Avoidance path, LIT = −1</w:t>
            </w:r>
          </w:p>
        </w:tc>
        <w:tc>
          <w:tcPr>
            <w:tcW w:type="dxa" w:w="1728"/>
          </w:tcPr>
          <w:p>
            <w:pPr>
              <w:pStyle w:val="MDPI42tablebody"/>
              <w:keepNext/>
              <w:spacing w:line="240" w:lineRule="auto" w:before="30" w:after="30"/>
              <w:jc w:val="center"/>
            </w:pPr>
            <w:r>
              <w:rPr>
                <w:b w:val="0"/>
                <w:i w:val="0"/>
                <w:sz w:val="18"/>
              </w:rPr>
              <w:t>0.274</w:t>
            </w:r>
          </w:p>
        </w:tc>
        <w:tc>
          <w:tcPr>
            <w:tcW w:type="dxa" w:w="2514"/>
          </w:tcPr>
          <w:p>
            <w:pPr>
              <w:pStyle w:val="MDPI42tablebody"/>
              <w:keepNext/>
              <w:spacing w:line="240" w:lineRule="auto" w:before="30" w:after="30"/>
              <w:jc w:val="center"/>
            </w:pPr>
            <w:r>
              <w:rPr>
                <w:b w:val="0"/>
                <w:i w:val="0"/>
                <w:sz w:val="18"/>
              </w:rPr>
              <w:t>[0.226, 0.325]</w:t>
            </w:r>
          </w:p>
        </w:tc>
      </w:tr>
      <w:tr>
        <w:trPr>
          <w:cantSplit/>
        </w:trPr>
        <w:tc>
          <w:tcPr>
            <w:tcW w:type="dxa" w:w="3614"/>
          </w:tcPr>
          <w:p>
            <w:pPr>
              <w:pStyle w:val="MDPI42tablebody"/>
              <w:keepNext/>
              <w:spacing w:line="240" w:lineRule="auto" w:before="30" w:after="30"/>
              <w:jc w:val="left"/>
            </w:pPr>
            <w:r>
              <w:rPr>
                <w:b w:val="0"/>
                <w:i w:val="0"/>
                <w:sz w:val="18"/>
              </w:rPr>
              <w:t>Avoidance path, LIT = +1</w:t>
            </w:r>
          </w:p>
        </w:tc>
        <w:tc>
          <w:tcPr>
            <w:tcW w:type="dxa" w:w="1728"/>
          </w:tcPr>
          <w:p>
            <w:pPr>
              <w:pStyle w:val="MDPI42tablebody"/>
              <w:keepNext/>
              <w:spacing w:line="240" w:lineRule="auto" w:before="30" w:after="30"/>
              <w:jc w:val="center"/>
            </w:pPr>
            <w:r>
              <w:rPr>
                <w:b w:val="0"/>
                <w:i w:val="0"/>
                <w:sz w:val="18"/>
              </w:rPr>
              <w:t>0.132</w:t>
            </w:r>
          </w:p>
        </w:tc>
        <w:tc>
          <w:tcPr>
            <w:tcW w:type="dxa" w:w="2514"/>
          </w:tcPr>
          <w:p>
            <w:pPr>
              <w:pStyle w:val="MDPI42tablebody"/>
              <w:keepNext/>
              <w:spacing w:line="240" w:lineRule="auto" w:before="30" w:after="30"/>
              <w:jc w:val="center"/>
            </w:pPr>
            <w:r>
              <w:rPr>
                <w:b w:val="0"/>
                <w:i w:val="0"/>
                <w:sz w:val="18"/>
              </w:rPr>
              <w:t>[0.090, 0.176]</w:t>
            </w:r>
          </w:p>
        </w:tc>
      </w:tr>
      <w:tr>
        <w:trPr>
          <w:cantSplit/>
        </w:trPr>
        <w:tc>
          <w:tcPr>
            <w:tcW w:type="dxa" w:w="3614"/>
          </w:tcPr>
          <w:p>
            <w:pPr>
              <w:pStyle w:val="MDPI42tablebody"/>
              <w:keepNext/>
              <w:spacing w:line="240" w:lineRule="auto" w:before="30" w:after="30"/>
              <w:jc w:val="left"/>
            </w:pPr>
            <w:r>
              <w:rPr>
                <w:b w:val="0"/>
                <w:i w:val="0"/>
                <w:sz w:val="18"/>
              </w:rPr>
              <w:t>IMM of SUP (first stage, adaptation)</w:t>
            </w:r>
          </w:p>
        </w:tc>
        <w:tc>
          <w:tcPr>
            <w:tcW w:type="dxa" w:w="1728"/>
          </w:tcPr>
          <w:p>
            <w:pPr>
              <w:pStyle w:val="MDPI42tablebody"/>
              <w:keepNext/>
              <w:spacing w:line="240" w:lineRule="auto" w:before="30" w:after="30"/>
              <w:jc w:val="center"/>
            </w:pPr>
            <w:r>
              <w:rPr>
                <w:b w:val="0"/>
                <w:i w:val="0"/>
                <w:sz w:val="18"/>
              </w:rPr>
              <w:t>−0.027</w:t>
            </w:r>
          </w:p>
        </w:tc>
        <w:tc>
          <w:tcPr>
            <w:tcW w:type="dxa" w:w="2514"/>
          </w:tcPr>
          <w:p>
            <w:pPr>
              <w:pStyle w:val="MDPI42tablebody"/>
              <w:keepNext/>
              <w:spacing w:line="240" w:lineRule="auto" w:before="30" w:after="30"/>
              <w:jc w:val="center"/>
            </w:pPr>
            <w:r>
              <w:rPr>
                <w:b w:val="0"/>
                <w:i w:val="0"/>
                <w:sz w:val="18"/>
              </w:rPr>
              <w:t>[−0.042, −0.014]</w:t>
            </w:r>
          </w:p>
        </w:tc>
      </w:tr>
      <w:tr>
        <w:trPr>
          <w:cantSplit/>
        </w:trPr>
        <w:tc>
          <w:tcPr>
            <w:tcW w:type="dxa" w:w="3614"/>
          </w:tcPr>
          <w:p>
            <w:pPr>
              <w:pStyle w:val="MDPI42tablebody"/>
              <w:keepNext/>
              <w:spacing w:line="240" w:lineRule="auto" w:before="30" w:after="30"/>
              <w:jc w:val="left"/>
            </w:pPr>
            <w:r>
              <w:rPr>
                <w:b w:val="0"/>
                <w:i w:val="0"/>
                <w:sz w:val="18"/>
              </w:rPr>
              <w:t>IMM of LIT (second stage, adaptation)</w:t>
            </w:r>
          </w:p>
        </w:tc>
        <w:tc>
          <w:tcPr>
            <w:tcW w:type="dxa" w:w="1728"/>
          </w:tcPr>
          <w:p>
            <w:pPr>
              <w:pStyle w:val="MDPI42tablebody"/>
              <w:keepNext/>
              <w:spacing w:line="240" w:lineRule="auto" w:before="30" w:after="30"/>
              <w:jc w:val="center"/>
            </w:pPr>
            <w:r>
              <w:rPr>
                <w:b w:val="0"/>
                <w:i w:val="0"/>
                <w:sz w:val="18"/>
              </w:rPr>
              <w:t>0.068</w:t>
            </w:r>
          </w:p>
        </w:tc>
        <w:tc>
          <w:tcPr>
            <w:tcW w:type="dxa" w:w="2514"/>
          </w:tcPr>
          <w:p>
            <w:pPr>
              <w:pStyle w:val="MDPI42tablebody"/>
              <w:keepNext/>
              <w:spacing w:line="240" w:lineRule="auto" w:before="30" w:after="30"/>
              <w:jc w:val="center"/>
            </w:pPr>
            <w:r>
              <w:rPr>
                <w:b w:val="0"/>
                <w:i w:val="0"/>
                <w:sz w:val="18"/>
              </w:rPr>
              <w:t>[0.040, 0.096]</w:t>
            </w:r>
          </w:p>
        </w:tc>
      </w:tr>
      <w:tr>
        <w:trPr>
          <w:cantSplit/>
        </w:trPr>
        <w:tc>
          <w:tcPr>
            <w:tcW w:type="dxa" w:w="3614"/>
          </w:tcPr>
          <w:p>
            <w:pPr>
              <w:pStyle w:val="MDPI42tablebody"/>
              <w:keepNext/>
              <w:spacing w:line="240" w:lineRule="auto" w:before="30" w:after="30"/>
              <w:jc w:val="left"/>
            </w:pPr>
            <w:r>
              <w:rPr>
                <w:b w:val="0"/>
                <w:i w:val="0"/>
                <w:sz w:val="18"/>
              </w:rPr>
              <w:t>Index of curvilinear mediation (2·a1·b2)</w:t>
            </w:r>
          </w:p>
        </w:tc>
        <w:tc>
          <w:tcPr>
            <w:tcW w:type="dxa" w:w="1728"/>
          </w:tcPr>
          <w:p>
            <w:pPr>
              <w:pStyle w:val="MDPI42tablebody"/>
              <w:keepNext/>
              <w:spacing w:line="240" w:lineRule="auto" w:before="30" w:after="30"/>
              <w:jc w:val="center"/>
            </w:pPr>
            <w:r>
              <w:rPr>
                <w:b w:val="0"/>
                <w:i w:val="0"/>
                <w:sz w:val="18"/>
              </w:rPr>
              <w:t>−0.231</w:t>
            </w:r>
          </w:p>
        </w:tc>
        <w:tc>
          <w:tcPr>
            <w:tcW w:type="dxa" w:w="2514"/>
          </w:tcPr>
          <w:p>
            <w:pPr>
              <w:pStyle w:val="MDPI42tablebody"/>
              <w:keepNext/>
              <w:spacing w:line="240" w:lineRule="auto" w:before="30" w:after="30"/>
              <w:jc w:val="center"/>
            </w:pPr>
            <w:r>
              <w:rPr>
                <w:b w:val="0"/>
                <w:i w:val="0"/>
                <w:sz w:val="18"/>
              </w:rPr>
              <w:t>[−0.286, −0.174]</w:t>
            </w:r>
          </w:p>
        </w:tc>
      </w:tr>
      <w:tr>
        <w:trPr>
          <w:cantSplit/>
        </w:trPr>
        <w:tc>
          <w:tcPr>
            <w:tcW w:type="dxa" w:w="3614"/>
          </w:tcPr>
          <w:p>
            <w:pPr>
              <w:pStyle w:val="MDPI42tablebody"/>
              <w:keepNext/>
              <w:spacing w:line="240" w:lineRule="auto" w:before="30" w:after="30"/>
              <w:jc w:val="left"/>
            </w:pPr>
            <w:r>
              <w:rPr>
                <w:b w:val="0"/>
                <w:i w:val="0"/>
                <w:sz w:val="18"/>
              </w:rPr>
              <w:t>IMM of LIT (second stage, avoidance)</w:t>
            </w:r>
          </w:p>
        </w:tc>
        <w:tc>
          <w:tcPr>
            <w:tcW w:type="dxa" w:w="1728"/>
          </w:tcPr>
          <w:p>
            <w:pPr>
              <w:pStyle w:val="MDPI42tablebody"/>
              <w:keepNext/>
              <w:spacing w:line="240" w:lineRule="auto" w:before="30" w:after="30"/>
              <w:jc w:val="center"/>
            </w:pPr>
            <w:r>
              <w:rPr>
                <w:b w:val="0"/>
                <w:i w:val="0"/>
                <w:sz w:val="18"/>
              </w:rPr>
              <w:t>−0.071</w:t>
            </w:r>
          </w:p>
        </w:tc>
        <w:tc>
          <w:tcPr>
            <w:tcW w:type="dxa" w:w="2514"/>
          </w:tcPr>
          <w:p>
            <w:pPr>
              <w:pStyle w:val="MDPI42tablebody"/>
              <w:keepNext/>
              <w:spacing w:line="240" w:lineRule="auto" w:before="30" w:after="30"/>
              <w:jc w:val="center"/>
            </w:pPr>
            <w:r>
              <w:rPr>
                <w:b w:val="0"/>
                <w:i w:val="0"/>
                <w:sz w:val="18"/>
              </w:rPr>
              <w:t>[−0.099, −0.043]</w:t>
            </w:r>
          </w:p>
        </w:tc>
      </w:tr>
    </w:tbl>
    <w:p>
      <w:pPr>
        <w:pStyle w:val="MDPI43tablefooter"/>
        <w:spacing w:line="240" w:lineRule="auto" w:before="40" w:after="200"/>
        <w:ind w:left="2608" w:firstLine="0"/>
      </w:pPr>
      <w:r>
        <w:rPr>
          <w:sz w:val="16"/>
        </w:rPr>
        <w:t xml:space="preserve">Note: </w:t>
      </w:r>
      <w:r>
        <w:rPr>
          <w:b w:val="0"/>
          <w:i w:val="0"/>
          <w:sz w:val="16"/>
        </w:rPr>
        <w:t>Instantaneous indirect effects ω(m, w, l) of Equation (5), with SUP, ANX and LIT set to the stated values in standard deviations. Confidence intervals are percentile intervals from 5,000 bootstrap resamples of individuals; the seed is fixed in the released code. IMM denotes an index of moderated mediation. Source: authors’ own calculations.</w:t>
      </w:r>
    </w:p>
    <w:p>
      <w:pPr>
        <w:pStyle w:val="MDPI22heading2"/>
      </w:pPr>
      <w:r>
        <w:t>4.7. Heterogeneity Analysis</w:t>
      </w:r>
    </w:p>
    <w:p>
      <w:pPr>
        <w:pStyle w:val="MDPI32textnoindent"/>
      </w:pPr>
      <w:r>
        <w:rPr>
          <w:b w:val="0"/>
          <w:i w:val="0"/>
        </w:rPr>
        <w:t>Table 11 re-estimates the full adaptation model within ten subsamples defined by gender, major, city tier, occupational exposure, and employment status. The quadratic coefficient is negative and significant in every subsample, and none of the five between-group differences in the marginal effect of anxiety approaches statistical significance (the smallest p-value is 0.492). The inverted U is therefore not carried by any single stratum of the cohort; it is a general property of the population studied, which is consistent with the interpretation of saturation as a structural feature of the control loop rather than an artifact of pooling heterogeneous linear responses.</w:t>
      </w:r>
    </w:p>
    <w:p>
      <w:pPr>
        <w:pStyle w:val="MDPI41tablecaption"/>
        <w:keepNext/>
        <w:spacing w:after="60"/>
      </w:pPr>
      <w:r>
        <w:rPr>
          <w:b/>
          <w:sz w:val="18"/>
        </w:rPr>
        <w:t xml:space="preserve">Table 11. </w:t>
      </w:r>
      <w:r>
        <w:rPr>
          <w:b w:val="0"/>
          <w:i w:val="0"/>
          <w:sz w:val="18"/>
        </w:rPr>
        <w:t>Subsample estimates: the mechanism across the cohort.</w:t>
      </w:r>
    </w:p>
    <w:tbl>
      <w:tblPr>
        <w:tblStyle w:val="MDPI41threelinetable"/>
        <w:tblW w:w="7858" w:type="dxa"/>
        <w:tblInd w:w="2608" w:type="dxa"/>
        <w:tblBorders>
          <w:top w:val="single" w:sz="8" w:space="0" w:color="auto"/>
          <w:left w:val="none" w:sz="0" w:space="0" w:color="auto"/>
          <w:bottom w:val="single" w:sz="8" w:space="0" w:color="auto"/>
          <w:right w:val="none" w:sz="0" w:space="0" w:color="auto"/>
          <w:insideH w:val="none" w:sz="0" w:space="0" w:color="auto"/>
          <w:insideV w:val="none" w:sz="0" w:space="0" w:color="auto"/>
        </w:tblBorders>
        <w:tblLayout w:type="fixed"/>
        <w:tblCellMar>
          <w:top w:w="0" w:type="dxa"/>
          <w:left w:w="57" w:type="dxa"/>
          <w:bottom w:w="0" w:type="dxa"/>
          <w:right w:w="57" w:type="dxa"/>
        </w:tblCellMar>
        <w:tblLook w:firstColumn="1" w:firstRow="1" w:lastColumn="0" w:lastRow="0" w:noHBand="0" w:noVBand="1" w:val="04A0"/>
      </w:tblPr>
      <w:tblGrid>
        <w:gridCol w:w="2200"/>
        <w:gridCol w:w="1100"/>
        <w:gridCol w:w="1728"/>
        <w:gridCol w:w="1100"/>
        <w:gridCol w:w="1728"/>
      </w:tblGrid>
      <w:tr>
        <w:trPr>
          <w:cantSplit/>
          <w:tblHeader/>
        </w:trPr>
        <w:tc>
          <w:tcPr>
            <w:tcW w:type="dxa" w:w="2200"/>
            <w:tcBorders>
              <w:bottom w:val="single" w:sz="8" w:space="0" w:color="auto"/>
            </w:tcBorders>
          </w:tcPr>
          <w:p>
            <w:pPr>
              <w:pStyle w:val="MDPI42tablebody"/>
              <w:keepNext/>
              <w:spacing w:line="240" w:lineRule="auto" w:before="30" w:after="30"/>
              <w:jc w:val="center"/>
            </w:pPr>
            <w:r>
              <w:rPr>
                <w:b/>
                <w:i w:val="0"/>
                <w:sz w:val="18"/>
              </w:rPr>
              <w:t>Subsample</w:t>
            </w:r>
          </w:p>
        </w:tc>
        <w:tc>
          <w:tcPr>
            <w:tcW w:type="dxa" w:w="1100"/>
            <w:tcBorders>
              <w:bottom w:val="single" w:sz="8" w:space="0" w:color="auto"/>
            </w:tcBorders>
          </w:tcPr>
          <w:p>
            <w:pPr>
              <w:pStyle w:val="MDPI42tablebody"/>
              <w:keepNext/>
              <w:spacing w:line="240" w:lineRule="auto" w:before="30" w:after="30"/>
              <w:jc w:val="center"/>
            </w:pPr>
            <w:r>
              <w:rPr>
                <w:b/>
                <w:i w:val="0"/>
                <w:sz w:val="18"/>
              </w:rPr>
              <w:t>N</w:t>
            </w:r>
          </w:p>
        </w:tc>
        <w:tc>
          <w:tcPr>
            <w:tcW w:type="dxa" w:w="1728"/>
            <w:tcBorders>
              <w:bottom w:val="single" w:sz="8" w:space="0" w:color="auto"/>
            </w:tcBorders>
          </w:tcPr>
          <w:p>
            <w:pPr>
              <w:pStyle w:val="MDPI42tablebody"/>
              <w:keepNext/>
              <w:spacing w:line="240" w:lineRule="auto" w:before="30" w:after="30"/>
              <w:jc w:val="center"/>
            </w:pPr>
            <w:r>
              <w:rPr>
                <w:b/>
                <w:i w:val="0"/>
                <w:sz w:val="18"/>
              </w:rPr>
              <w:t>dADP/dANX at mean</w:t>
            </w:r>
          </w:p>
        </w:tc>
        <w:tc>
          <w:tcPr>
            <w:tcW w:type="dxa" w:w="1100"/>
            <w:tcBorders>
              <w:bottom w:val="single" w:sz="8" w:space="0" w:color="auto"/>
            </w:tcBorders>
          </w:tcPr>
          <w:p>
            <w:pPr>
              <w:pStyle w:val="MDPI42tablebody"/>
              <w:keepNext/>
              <w:spacing w:line="240" w:lineRule="auto" w:before="30" w:after="30"/>
              <w:jc w:val="center"/>
            </w:pPr>
            <w:r>
              <w:rPr>
                <w:b/>
                <w:i w:val="0"/>
                <w:sz w:val="18"/>
              </w:rPr>
              <w:t>(SE)</w:t>
            </w:r>
          </w:p>
        </w:tc>
        <w:tc>
          <w:tcPr>
            <w:tcW w:type="dxa" w:w="1728"/>
            <w:tcBorders>
              <w:bottom w:val="single" w:sz="8" w:space="0" w:color="auto"/>
            </w:tcBorders>
          </w:tcPr>
          <w:p>
            <w:pPr>
              <w:pStyle w:val="MDPI42tablebody"/>
              <w:keepNext/>
              <w:spacing w:line="240" w:lineRule="auto" w:before="30" w:after="30"/>
              <w:jc w:val="center"/>
            </w:pPr>
            <w:r>
              <w:rPr>
                <w:b/>
                <w:i w:val="0"/>
                <w:sz w:val="18"/>
              </w:rPr>
              <w:t>ANX²</w:t>
            </w:r>
          </w:p>
        </w:tc>
      </w:tr>
      <w:tr>
        <w:trPr>
          <w:cantSplit/>
        </w:trPr>
        <w:tc>
          <w:tcPr>
            <w:tcW w:type="dxa" w:w="2200"/>
          </w:tcPr>
          <w:p>
            <w:pPr>
              <w:pStyle w:val="MDPI42tablebody"/>
              <w:keepNext/>
              <w:spacing w:line="240" w:lineRule="auto" w:before="30" w:after="30"/>
              <w:jc w:val="left"/>
            </w:pPr>
            <w:r>
              <w:rPr>
                <w:b w:val="0"/>
                <w:i w:val="0"/>
                <w:sz w:val="18"/>
              </w:rPr>
              <w:t>Female</w:t>
            </w:r>
          </w:p>
        </w:tc>
        <w:tc>
          <w:tcPr>
            <w:tcW w:type="dxa" w:w="1100"/>
          </w:tcPr>
          <w:p>
            <w:pPr>
              <w:pStyle w:val="MDPI42tablebody"/>
              <w:keepNext/>
              <w:spacing w:line="240" w:lineRule="auto" w:before="30" w:after="30"/>
              <w:jc w:val="center"/>
            </w:pPr>
            <w:r>
              <w:rPr>
                <w:b w:val="0"/>
                <w:i w:val="0"/>
                <w:sz w:val="18"/>
              </w:rPr>
              <w:t>483</w:t>
            </w:r>
          </w:p>
        </w:tc>
        <w:tc>
          <w:tcPr>
            <w:tcW w:type="dxa" w:w="1728"/>
          </w:tcPr>
          <w:p>
            <w:pPr>
              <w:pStyle w:val="MDPI42tablebody"/>
              <w:keepNext/>
              <w:spacing w:line="240" w:lineRule="auto" w:before="30" w:after="30"/>
              <w:jc w:val="center"/>
            </w:pPr>
            <w:r>
              <w:rPr>
                <w:b w:val="0"/>
                <w:i w:val="0"/>
                <w:sz w:val="18"/>
              </w:rPr>
              <w:t>0.187</w:t>
            </w:r>
          </w:p>
        </w:tc>
        <w:tc>
          <w:tcPr>
            <w:tcW w:type="dxa" w:w="1100"/>
          </w:tcPr>
          <w:p>
            <w:pPr>
              <w:pStyle w:val="MDPI42tablebody"/>
              <w:keepNext/>
              <w:spacing w:line="240" w:lineRule="auto" w:before="30" w:after="30"/>
              <w:jc w:val="center"/>
            </w:pPr>
            <w:r>
              <w:rPr>
                <w:b w:val="0"/>
                <w:i w:val="0"/>
                <w:sz w:val="18"/>
              </w:rPr>
              <w:t>(0.048)</w:t>
            </w:r>
          </w:p>
        </w:tc>
        <w:tc>
          <w:tcPr>
            <w:tcW w:type="dxa" w:w="1728"/>
          </w:tcPr>
          <w:p>
            <w:pPr>
              <w:pStyle w:val="MDPI42tablebody"/>
              <w:keepNext/>
              <w:spacing w:line="240" w:lineRule="auto" w:before="30" w:after="30"/>
              <w:jc w:val="center"/>
            </w:pPr>
            <w:r>
              <w:rPr>
                <w:b w:val="0"/>
                <w:i w:val="0"/>
                <w:sz w:val="18"/>
              </w:rPr>
              <w:t>−0.260***</w:t>
            </w:r>
          </w:p>
        </w:tc>
      </w:tr>
      <w:tr>
        <w:trPr>
          <w:cantSplit/>
        </w:trPr>
        <w:tc>
          <w:tcPr>
            <w:tcW w:type="dxa" w:w="2200"/>
          </w:tcPr>
          <w:p>
            <w:pPr>
              <w:pStyle w:val="MDPI42tablebody"/>
              <w:keepNext/>
              <w:spacing w:line="240" w:lineRule="auto" w:before="30" w:after="30"/>
              <w:jc w:val="left"/>
            </w:pPr>
            <w:r>
              <w:rPr>
                <w:b w:val="0"/>
                <w:i w:val="0"/>
                <w:sz w:val="18"/>
              </w:rPr>
              <w:t>Male</w:t>
            </w:r>
          </w:p>
        </w:tc>
        <w:tc>
          <w:tcPr>
            <w:tcW w:type="dxa" w:w="1100"/>
          </w:tcPr>
          <w:p>
            <w:pPr>
              <w:pStyle w:val="MDPI42tablebody"/>
              <w:keepNext/>
              <w:spacing w:line="240" w:lineRule="auto" w:before="30" w:after="30"/>
              <w:jc w:val="center"/>
            </w:pPr>
            <w:r>
              <w:rPr>
                <w:b w:val="0"/>
                <w:i w:val="0"/>
                <w:sz w:val="18"/>
              </w:rPr>
              <w:t>431</w:t>
            </w:r>
          </w:p>
        </w:tc>
        <w:tc>
          <w:tcPr>
            <w:tcW w:type="dxa" w:w="1728"/>
          </w:tcPr>
          <w:p>
            <w:pPr>
              <w:pStyle w:val="MDPI42tablebody"/>
              <w:keepNext/>
              <w:spacing w:line="240" w:lineRule="auto" w:before="30" w:after="30"/>
              <w:jc w:val="center"/>
            </w:pPr>
            <w:r>
              <w:rPr>
                <w:b w:val="0"/>
                <w:i w:val="0"/>
                <w:sz w:val="18"/>
              </w:rPr>
              <w:t>0.166</w:t>
            </w:r>
          </w:p>
        </w:tc>
        <w:tc>
          <w:tcPr>
            <w:tcW w:type="dxa" w:w="1100"/>
          </w:tcPr>
          <w:p>
            <w:pPr>
              <w:pStyle w:val="MDPI42tablebody"/>
              <w:keepNext/>
              <w:spacing w:line="240" w:lineRule="auto" w:before="30" w:after="30"/>
              <w:jc w:val="center"/>
            </w:pPr>
            <w:r>
              <w:rPr>
                <w:b w:val="0"/>
                <w:i w:val="0"/>
                <w:sz w:val="18"/>
              </w:rPr>
              <w:t>(0.052)</w:t>
            </w:r>
          </w:p>
        </w:tc>
        <w:tc>
          <w:tcPr>
            <w:tcW w:type="dxa" w:w="1728"/>
          </w:tcPr>
          <w:p>
            <w:pPr>
              <w:pStyle w:val="MDPI42tablebody"/>
              <w:keepNext/>
              <w:spacing w:line="240" w:lineRule="auto" w:before="30" w:after="30"/>
              <w:jc w:val="center"/>
            </w:pPr>
            <w:r>
              <w:rPr>
                <w:b w:val="0"/>
                <w:i w:val="0"/>
                <w:sz w:val="18"/>
              </w:rPr>
              <w:t>−0.205***</w:t>
            </w:r>
          </w:p>
        </w:tc>
      </w:tr>
      <w:tr>
        <w:trPr>
          <w:cantSplit/>
        </w:trPr>
        <w:tc>
          <w:tcPr>
            <w:tcW w:type="dxa" w:w="2200"/>
          </w:tcPr>
          <w:p>
            <w:pPr>
              <w:pStyle w:val="MDPI42tablebody"/>
              <w:keepNext/>
              <w:spacing w:line="240" w:lineRule="auto" w:before="30" w:after="30"/>
              <w:jc w:val="left"/>
            </w:pPr>
            <w:r>
              <w:rPr>
                <w:b w:val="0"/>
                <w:i w:val="0"/>
                <w:sz w:val="18"/>
              </w:rPr>
              <w:t>difference (z, p)</w:t>
            </w:r>
          </w:p>
        </w:tc>
        <w:tc>
          <w:tcPr>
            <w:tcW w:type="dxa" w:w="1100"/>
          </w:tcPr>
          <w:p>
            <w:pPr>
              <w:pStyle w:val="MDPI42tablebody"/>
              <w:keepNext/>
              <w:spacing w:line="240" w:lineRule="auto" w:before="30" w:after="30"/>
              <w:jc w:val="center"/>
            </w:pPr>
          </w:p>
        </w:tc>
        <w:tc>
          <w:tcPr>
            <w:tcW w:type="dxa" w:w="1728"/>
          </w:tcPr>
          <w:p>
            <w:pPr>
              <w:pStyle w:val="MDPI42tablebody"/>
              <w:keepNext/>
              <w:spacing w:line="240" w:lineRule="auto" w:before="30" w:after="30"/>
              <w:jc w:val="center"/>
            </w:pPr>
            <w:r>
              <w:rPr>
                <w:b w:val="0"/>
                <w:i w:val="0"/>
                <w:sz w:val="18"/>
              </w:rPr>
              <w:t>0.29</w:t>
            </w:r>
          </w:p>
        </w:tc>
        <w:tc>
          <w:tcPr>
            <w:tcW w:type="dxa" w:w="1100"/>
          </w:tcPr>
          <w:p>
            <w:pPr>
              <w:pStyle w:val="MDPI42tablebody"/>
              <w:keepNext/>
              <w:spacing w:line="240" w:lineRule="auto" w:before="30" w:after="30"/>
              <w:jc w:val="center"/>
            </w:pPr>
            <w:r>
              <w:rPr>
                <w:b w:val="0"/>
                <w:i w:val="0"/>
                <w:sz w:val="18"/>
              </w:rPr>
              <w:t>0.774</w:t>
            </w:r>
          </w:p>
        </w:tc>
        <w:tc>
          <w:tcPr>
            <w:tcW w:type="dxa" w:w="1728"/>
          </w:tcPr>
          <w:p>
            <w:pPr>
              <w:pStyle w:val="MDPI42tablebody"/>
              <w:keepNext/>
              <w:spacing w:line="240" w:lineRule="auto" w:before="30" w:after="30"/>
              <w:jc w:val="center"/>
            </w:pPr>
          </w:p>
        </w:tc>
      </w:tr>
      <w:tr>
        <w:trPr>
          <w:cantSplit/>
        </w:trPr>
        <w:tc>
          <w:tcPr>
            <w:tcW w:type="dxa" w:w="2200"/>
          </w:tcPr>
          <w:p>
            <w:pPr>
              <w:pStyle w:val="MDPI42tablebody"/>
              <w:keepNext/>
              <w:spacing w:line="240" w:lineRule="auto" w:before="30" w:after="30"/>
              <w:jc w:val="left"/>
            </w:pPr>
            <w:r>
              <w:rPr>
                <w:b w:val="0"/>
                <w:i w:val="0"/>
                <w:sz w:val="18"/>
              </w:rPr>
              <w:t>STEM</w:t>
            </w:r>
          </w:p>
        </w:tc>
        <w:tc>
          <w:tcPr>
            <w:tcW w:type="dxa" w:w="1100"/>
          </w:tcPr>
          <w:p>
            <w:pPr>
              <w:pStyle w:val="MDPI42tablebody"/>
              <w:keepNext/>
              <w:spacing w:line="240" w:lineRule="auto" w:before="30" w:after="30"/>
              <w:jc w:val="center"/>
            </w:pPr>
            <w:r>
              <w:rPr>
                <w:b w:val="0"/>
                <w:i w:val="0"/>
                <w:sz w:val="18"/>
              </w:rPr>
              <w:t>368</w:t>
            </w:r>
          </w:p>
        </w:tc>
        <w:tc>
          <w:tcPr>
            <w:tcW w:type="dxa" w:w="1728"/>
          </w:tcPr>
          <w:p>
            <w:pPr>
              <w:pStyle w:val="MDPI42tablebody"/>
              <w:keepNext/>
              <w:spacing w:line="240" w:lineRule="auto" w:before="30" w:after="30"/>
              <w:jc w:val="center"/>
            </w:pPr>
            <w:r>
              <w:rPr>
                <w:b w:val="0"/>
                <w:i w:val="0"/>
                <w:sz w:val="18"/>
              </w:rPr>
              <w:t>0.200</w:t>
            </w:r>
          </w:p>
        </w:tc>
        <w:tc>
          <w:tcPr>
            <w:tcW w:type="dxa" w:w="1100"/>
          </w:tcPr>
          <w:p>
            <w:pPr>
              <w:pStyle w:val="MDPI42tablebody"/>
              <w:keepNext/>
              <w:spacing w:line="240" w:lineRule="auto" w:before="30" w:after="30"/>
              <w:jc w:val="center"/>
            </w:pPr>
            <w:r>
              <w:rPr>
                <w:b w:val="0"/>
                <w:i w:val="0"/>
                <w:sz w:val="18"/>
              </w:rPr>
              <w:t>(0.055)</w:t>
            </w:r>
          </w:p>
        </w:tc>
        <w:tc>
          <w:tcPr>
            <w:tcW w:type="dxa" w:w="1728"/>
          </w:tcPr>
          <w:p>
            <w:pPr>
              <w:pStyle w:val="MDPI42tablebody"/>
              <w:keepNext/>
              <w:spacing w:line="240" w:lineRule="auto" w:before="30" w:after="30"/>
              <w:jc w:val="center"/>
            </w:pPr>
            <w:r>
              <w:rPr>
                <w:b w:val="0"/>
                <w:i w:val="0"/>
                <w:sz w:val="18"/>
              </w:rPr>
              <w:t>−0.228***</w:t>
            </w:r>
          </w:p>
        </w:tc>
      </w:tr>
      <w:tr>
        <w:trPr>
          <w:cantSplit/>
        </w:trPr>
        <w:tc>
          <w:tcPr>
            <w:tcW w:type="dxa" w:w="2200"/>
          </w:tcPr>
          <w:p>
            <w:pPr>
              <w:pStyle w:val="MDPI42tablebody"/>
              <w:keepNext/>
              <w:spacing w:line="240" w:lineRule="auto" w:before="30" w:after="30"/>
              <w:jc w:val="left"/>
            </w:pPr>
            <w:r>
              <w:rPr>
                <w:b w:val="0"/>
                <w:i w:val="0"/>
                <w:sz w:val="18"/>
              </w:rPr>
              <w:t>Non-STEM</w:t>
            </w:r>
          </w:p>
        </w:tc>
        <w:tc>
          <w:tcPr>
            <w:tcW w:type="dxa" w:w="1100"/>
          </w:tcPr>
          <w:p>
            <w:pPr>
              <w:pStyle w:val="MDPI42tablebody"/>
              <w:keepNext/>
              <w:spacing w:line="240" w:lineRule="auto" w:before="30" w:after="30"/>
              <w:jc w:val="center"/>
            </w:pPr>
            <w:r>
              <w:rPr>
                <w:b w:val="0"/>
                <w:i w:val="0"/>
                <w:sz w:val="18"/>
              </w:rPr>
              <w:t>546</w:t>
            </w:r>
          </w:p>
        </w:tc>
        <w:tc>
          <w:tcPr>
            <w:tcW w:type="dxa" w:w="1728"/>
          </w:tcPr>
          <w:p>
            <w:pPr>
              <w:pStyle w:val="MDPI42tablebody"/>
              <w:keepNext/>
              <w:spacing w:line="240" w:lineRule="auto" w:before="30" w:after="30"/>
              <w:jc w:val="center"/>
            </w:pPr>
            <w:r>
              <w:rPr>
                <w:b w:val="0"/>
                <w:i w:val="0"/>
                <w:sz w:val="18"/>
              </w:rPr>
              <w:t>0.161</w:t>
            </w:r>
          </w:p>
        </w:tc>
        <w:tc>
          <w:tcPr>
            <w:tcW w:type="dxa" w:w="1100"/>
          </w:tcPr>
          <w:p>
            <w:pPr>
              <w:pStyle w:val="MDPI42tablebody"/>
              <w:keepNext/>
              <w:spacing w:line="240" w:lineRule="auto" w:before="30" w:after="30"/>
              <w:jc w:val="center"/>
            </w:pPr>
            <w:r>
              <w:rPr>
                <w:b w:val="0"/>
                <w:i w:val="0"/>
                <w:sz w:val="18"/>
              </w:rPr>
              <w:t>(0.046)</w:t>
            </w:r>
          </w:p>
        </w:tc>
        <w:tc>
          <w:tcPr>
            <w:tcW w:type="dxa" w:w="1728"/>
          </w:tcPr>
          <w:p>
            <w:pPr>
              <w:pStyle w:val="MDPI42tablebody"/>
              <w:keepNext/>
              <w:spacing w:line="240" w:lineRule="auto" w:before="30" w:after="30"/>
              <w:jc w:val="center"/>
            </w:pPr>
            <w:r>
              <w:rPr>
                <w:b w:val="0"/>
                <w:i w:val="0"/>
                <w:sz w:val="18"/>
              </w:rPr>
              <w:t>−0.244***</w:t>
            </w:r>
          </w:p>
        </w:tc>
      </w:tr>
      <w:tr>
        <w:trPr>
          <w:cantSplit/>
        </w:trPr>
        <w:tc>
          <w:tcPr>
            <w:tcW w:type="dxa" w:w="2200"/>
          </w:tcPr>
          <w:p>
            <w:pPr>
              <w:pStyle w:val="MDPI42tablebody"/>
              <w:keepNext/>
              <w:spacing w:line="240" w:lineRule="auto" w:before="30" w:after="30"/>
              <w:jc w:val="left"/>
            </w:pPr>
            <w:r>
              <w:rPr>
                <w:b w:val="0"/>
                <w:i w:val="0"/>
                <w:sz w:val="18"/>
              </w:rPr>
              <w:t>difference (z, p)</w:t>
            </w:r>
          </w:p>
        </w:tc>
        <w:tc>
          <w:tcPr>
            <w:tcW w:type="dxa" w:w="1100"/>
          </w:tcPr>
          <w:p>
            <w:pPr>
              <w:pStyle w:val="MDPI42tablebody"/>
              <w:keepNext/>
              <w:spacing w:line="240" w:lineRule="auto" w:before="30" w:after="30"/>
              <w:jc w:val="center"/>
            </w:pPr>
          </w:p>
        </w:tc>
        <w:tc>
          <w:tcPr>
            <w:tcW w:type="dxa" w:w="1728"/>
          </w:tcPr>
          <w:p>
            <w:pPr>
              <w:pStyle w:val="MDPI42tablebody"/>
              <w:keepNext/>
              <w:spacing w:line="240" w:lineRule="auto" w:before="30" w:after="30"/>
              <w:jc w:val="center"/>
            </w:pPr>
            <w:r>
              <w:rPr>
                <w:b w:val="0"/>
                <w:i w:val="0"/>
                <w:sz w:val="18"/>
              </w:rPr>
              <w:t>0.55</w:t>
            </w:r>
          </w:p>
        </w:tc>
        <w:tc>
          <w:tcPr>
            <w:tcW w:type="dxa" w:w="1100"/>
          </w:tcPr>
          <w:p>
            <w:pPr>
              <w:pStyle w:val="MDPI42tablebody"/>
              <w:keepNext/>
              <w:spacing w:line="240" w:lineRule="auto" w:before="30" w:after="30"/>
              <w:jc w:val="center"/>
            </w:pPr>
            <w:r>
              <w:rPr>
                <w:b w:val="0"/>
                <w:i w:val="0"/>
                <w:sz w:val="18"/>
              </w:rPr>
              <w:t>0.586</w:t>
            </w:r>
          </w:p>
        </w:tc>
        <w:tc>
          <w:tcPr>
            <w:tcW w:type="dxa" w:w="1728"/>
          </w:tcPr>
          <w:p>
            <w:pPr>
              <w:pStyle w:val="MDPI42tablebody"/>
              <w:keepNext/>
              <w:spacing w:line="240" w:lineRule="auto" w:before="30" w:after="30"/>
              <w:jc w:val="center"/>
            </w:pPr>
          </w:p>
        </w:tc>
      </w:tr>
      <w:tr>
        <w:trPr>
          <w:cantSplit/>
        </w:trPr>
        <w:tc>
          <w:tcPr>
            <w:tcW w:type="dxa" w:w="2200"/>
          </w:tcPr>
          <w:p>
            <w:pPr>
              <w:pStyle w:val="MDPI42tablebody"/>
              <w:keepNext/>
              <w:spacing w:line="240" w:lineRule="auto" w:before="30" w:after="30"/>
              <w:jc w:val="left"/>
            </w:pPr>
            <w:r>
              <w:rPr>
                <w:b w:val="0"/>
                <w:i w:val="0"/>
                <w:sz w:val="18"/>
              </w:rPr>
              <w:t>Tier-1 city</w:t>
            </w:r>
          </w:p>
        </w:tc>
        <w:tc>
          <w:tcPr>
            <w:tcW w:type="dxa" w:w="1100"/>
          </w:tcPr>
          <w:p>
            <w:pPr>
              <w:pStyle w:val="MDPI42tablebody"/>
              <w:keepNext/>
              <w:spacing w:line="240" w:lineRule="auto" w:before="30" w:after="30"/>
              <w:jc w:val="center"/>
            </w:pPr>
            <w:r>
              <w:rPr>
                <w:b w:val="0"/>
                <w:i w:val="0"/>
                <w:sz w:val="18"/>
              </w:rPr>
              <w:t>298</w:t>
            </w:r>
          </w:p>
        </w:tc>
        <w:tc>
          <w:tcPr>
            <w:tcW w:type="dxa" w:w="1728"/>
          </w:tcPr>
          <w:p>
            <w:pPr>
              <w:pStyle w:val="MDPI42tablebody"/>
              <w:keepNext/>
              <w:spacing w:line="240" w:lineRule="auto" w:before="30" w:after="30"/>
              <w:jc w:val="center"/>
            </w:pPr>
            <w:r>
              <w:rPr>
                <w:b w:val="0"/>
                <w:i w:val="0"/>
                <w:sz w:val="18"/>
              </w:rPr>
              <w:t>0.209</w:t>
            </w:r>
          </w:p>
        </w:tc>
        <w:tc>
          <w:tcPr>
            <w:tcW w:type="dxa" w:w="1100"/>
          </w:tcPr>
          <w:p>
            <w:pPr>
              <w:pStyle w:val="MDPI42tablebody"/>
              <w:keepNext/>
              <w:spacing w:line="240" w:lineRule="auto" w:before="30" w:after="30"/>
              <w:jc w:val="center"/>
            </w:pPr>
            <w:r>
              <w:rPr>
                <w:b w:val="0"/>
                <w:i w:val="0"/>
                <w:sz w:val="18"/>
              </w:rPr>
              <w:t>(0.062)</w:t>
            </w:r>
          </w:p>
        </w:tc>
        <w:tc>
          <w:tcPr>
            <w:tcW w:type="dxa" w:w="1728"/>
          </w:tcPr>
          <w:p>
            <w:pPr>
              <w:pStyle w:val="MDPI42tablebody"/>
              <w:keepNext/>
              <w:spacing w:line="240" w:lineRule="auto" w:before="30" w:after="30"/>
              <w:jc w:val="center"/>
            </w:pPr>
            <w:r>
              <w:rPr>
                <w:b w:val="0"/>
                <w:i w:val="0"/>
                <w:sz w:val="18"/>
              </w:rPr>
              <w:t>−0.240***</w:t>
            </w:r>
          </w:p>
        </w:tc>
      </w:tr>
      <w:tr>
        <w:trPr>
          <w:cantSplit/>
        </w:trPr>
        <w:tc>
          <w:tcPr>
            <w:tcW w:type="dxa" w:w="2200"/>
          </w:tcPr>
          <w:p>
            <w:pPr>
              <w:pStyle w:val="MDPI42tablebody"/>
              <w:keepNext/>
              <w:spacing w:line="240" w:lineRule="auto" w:before="30" w:after="30"/>
              <w:jc w:val="left"/>
            </w:pPr>
            <w:r>
              <w:rPr>
                <w:b w:val="0"/>
                <w:i w:val="0"/>
                <w:sz w:val="18"/>
              </w:rPr>
              <w:t>Other cities</w:t>
            </w:r>
          </w:p>
        </w:tc>
        <w:tc>
          <w:tcPr>
            <w:tcW w:type="dxa" w:w="1100"/>
          </w:tcPr>
          <w:p>
            <w:pPr>
              <w:pStyle w:val="MDPI42tablebody"/>
              <w:keepNext/>
              <w:spacing w:line="240" w:lineRule="auto" w:before="30" w:after="30"/>
              <w:jc w:val="center"/>
            </w:pPr>
            <w:r>
              <w:rPr>
                <w:b w:val="0"/>
                <w:i w:val="0"/>
                <w:sz w:val="18"/>
              </w:rPr>
              <w:t>616</w:t>
            </w:r>
          </w:p>
        </w:tc>
        <w:tc>
          <w:tcPr>
            <w:tcW w:type="dxa" w:w="1728"/>
          </w:tcPr>
          <w:p>
            <w:pPr>
              <w:pStyle w:val="MDPI42tablebody"/>
              <w:keepNext/>
              <w:spacing w:line="240" w:lineRule="auto" w:before="30" w:after="30"/>
              <w:jc w:val="center"/>
            </w:pPr>
            <w:r>
              <w:rPr>
                <w:b w:val="0"/>
                <w:i w:val="0"/>
                <w:sz w:val="18"/>
              </w:rPr>
              <w:t>0.158</w:t>
            </w:r>
          </w:p>
        </w:tc>
        <w:tc>
          <w:tcPr>
            <w:tcW w:type="dxa" w:w="1100"/>
          </w:tcPr>
          <w:p>
            <w:pPr>
              <w:pStyle w:val="MDPI42tablebody"/>
              <w:keepNext/>
              <w:spacing w:line="240" w:lineRule="auto" w:before="30" w:after="30"/>
              <w:jc w:val="center"/>
            </w:pPr>
            <w:r>
              <w:rPr>
                <w:b w:val="0"/>
                <w:i w:val="0"/>
                <w:sz w:val="18"/>
              </w:rPr>
              <w:t>(0.042)</w:t>
            </w:r>
          </w:p>
        </w:tc>
        <w:tc>
          <w:tcPr>
            <w:tcW w:type="dxa" w:w="1728"/>
          </w:tcPr>
          <w:p>
            <w:pPr>
              <w:pStyle w:val="MDPI42tablebody"/>
              <w:keepNext/>
              <w:spacing w:line="240" w:lineRule="auto" w:before="30" w:after="30"/>
              <w:jc w:val="center"/>
            </w:pPr>
            <w:r>
              <w:rPr>
                <w:b w:val="0"/>
                <w:i w:val="0"/>
                <w:sz w:val="18"/>
              </w:rPr>
              <w:t>−0.231***</w:t>
            </w:r>
          </w:p>
        </w:tc>
      </w:tr>
      <w:tr>
        <w:trPr>
          <w:cantSplit/>
        </w:trPr>
        <w:tc>
          <w:tcPr>
            <w:tcW w:type="dxa" w:w="2200"/>
          </w:tcPr>
          <w:p>
            <w:pPr>
              <w:pStyle w:val="MDPI42tablebody"/>
              <w:keepNext/>
              <w:spacing w:line="240" w:lineRule="auto" w:before="30" w:after="30"/>
              <w:jc w:val="left"/>
            </w:pPr>
            <w:r>
              <w:rPr>
                <w:b w:val="0"/>
                <w:i w:val="0"/>
                <w:sz w:val="18"/>
              </w:rPr>
              <w:t>difference (z, p)</w:t>
            </w:r>
          </w:p>
        </w:tc>
        <w:tc>
          <w:tcPr>
            <w:tcW w:type="dxa" w:w="1100"/>
          </w:tcPr>
          <w:p>
            <w:pPr>
              <w:pStyle w:val="MDPI42tablebody"/>
              <w:keepNext/>
              <w:spacing w:line="240" w:lineRule="auto" w:before="30" w:after="30"/>
              <w:jc w:val="center"/>
            </w:pPr>
          </w:p>
        </w:tc>
        <w:tc>
          <w:tcPr>
            <w:tcW w:type="dxa" w:w="1728"/>
          </w:tcPr>
          <w:p>
            <w:pPr>
              <w:pStyle w:val="MDPI42tablebody"/>
              <w:keepNext/>
              <w:spacing w:line="240" w:lineRule="auto" w:before="30" w:after="30"/>
              <w:jc w:val="center"/>
            </w:pPr>
            <w:r>
              <w:rPr>
                <w:b w:val="0"/>
                <w:i w:val="0"/>
                <w:sz w:val="18"/>
              </w:rPr>
              <w:t>0.69</w:t>
            </w:r>
          </w:p>
        </w:tc>
        <w:tc>
          <w:tcPr>
            <w:tcW w:type="dxa" w:w="1100"/>
          </w:tcPr>
          <w:p>
            <w:pPr>
              <w:pStyle w:val="MDPI42tablebody"/>
              <w:keepNext/>
              <w:spacing w:line="240" w:lineRule="auto" w:before="30" w:after="30"/>
              <w:jc w:val="center"/>
            </w:pPr>
            <w:r>
              <w:rPr>
                <w:b w:val="0"/>
                <w:i w:val="0"/>
                <w:sz w:val="18"/>
              </w:rPr>
              <w:t>0.492</w:t>
            </w:r>
          </w:p>
        </w:tc>
        <w:tc>
          <w:tcPr>
            <w:tcW w:type="dxa" w:w="1728"/>
          </w:tcPr>
          <w:p>
            <w:pPr>
              <w:pStyle w:val="MDPI42tablebody"/>
              <w:keepNext/>
              <w:spacing w:line="240" w:lineRule="auto" w:before="30" w:after="30"/>
              <w:jc w:val="center"/>
            </w:pPr>
          </w:p>
        </w:tc>
      </w:tr>
      <w:tr>
        <w:trPr>
          <w:cantSplit/>
        </w:trPr>
        <w:tc>
          <w:tcPr>
            <w:tcW w:type="dxa" w:w="2200"/>
          </w:tcPr>
          <w:p>
            <w:pPr>
              <w:pStyle w:val="MDPI42tablebody"/>
              <w:keepNext/>
              <w:spacing w:line="240" w:lineRule="auto" w:before="30" w:after="30"/>
              <w:jc w:val="left"/>
            </w:pPr>
            <w:r>
              <w:rPr>
                <w:b w:val="0"/>
                <w:i w:val="0"/>
                <w:sz w:val="18"/>
              </w:rPr>
              <w:t>High exposure</w:t>
            </w:r>
          </w:p>
        </w:tc>
        <w:tc>
          <w:tcPr>
            <w:tcW w:type="dxa" w:w="1100"/>
          </w:tcPr>
          <w:p>
            <w:pPr>
              <w:pStyle w:val="MDPI42tablebody"/>
              <w:keepNext/>
              <w:spacing w:line="240" w:lineRule="auto" w:before="30" w:after="30"/>
              <w:jc w:val="center"/>
            </w:pPr>
            <w:r>
              <w:rPr>
                <w:b w:val="0"/>
                <w:i w:val="0"/>
                <w:sz w:val="18"/>
              </w:rPr>
              <w:t>477</w:t>
            </w:r>
          </w:p>
        </w:tc>
        <w:tc>
          <w:tcPr>
            <w:tcW w:type="dxa" w:w="1728"/>
          </w:tcPr>
          <w:p>
            <w:pPr>
              <w:pStyle w:val="MDPI42tablebody"/>
              <w:keepNext/>
              <w:spacing w:line="240" w:lineRule="auto" w:before="30" w:after="30"/>
              <w:jc w:val="center"/>
            </w:pPr>
            <w:r>
              <w:rPr>
                <w:b w:val="0"/>
                <w:i w:val="0"/>
                <w:sz w:val="18"/>
              </w:rPr>
              <w:t>0.180</w:t>
            </w:r>
          </w:p>
        </w:tc>
        <w:tc>
          <w:tcPr>
            <w:tcW w:type="dxa" w:w="1100"/>
          </w:tcPr>
          <w:p>
            <w:pPr>
              <w:pStyle w:val="MDPI42tablebody"/>
              <w:keepNext/>
              <w:spacing w:line="240" w:lineRule="auto" w:before="30" w:after="30"/>
              <w:jc w:val="center"/>
            </w:pPr>
            <w:r>
              <w:rPr>
                <w:b w:val="0"/>
                <w:i w:val="0"/>
                <w:sz w:val="18"/>
              </w:rPr>
              <w:t>(0.046)</w:t>
            </w:r>
          </w:p>
        </w:tc>
        <w:tc>
          <w:tcPr>
            <w:tcW w:type="dxa" w:w="1728"/>
          </w:tcPr>
          <w:p>
            <w:pPr>
              <w:pStyle w:val="MDPI42tablebody"/>
              <w:keepNext/>
              <w:spacing w:line="240" w:lineRule="auto" w:before="30" w:after="30"/>
              <w:jc w:val="center"/>
            </w:pPr>
            <w:r>
              <w:rPr>
                <w:b w:val="0"/>
                <w:i w:val="0"/>
                <w:sz w:val="18"/>
              </w:rPr>
              <w:t>−0.213***</w:t>
            </w:r>
          </w:p>
        </w:tc>
      </w:tr>
      <w:tr>
        <w:trPr>
          <w:cantSplit/>
        </w:trPr>
        <w:tc>
          <w:tcPr>
            <w:tcW w:type="dxa" w:w="2200"/>
          </w:tcPr>
          <w:p>
            <w:pPr>
              <w:pStyle w:val="MDPI42tablebody"/>
              <w:keepNext/>
              <w:spacing w:line="240" w:lineRule="auto" w:before="30" w:after="30"/>
              <w:jc w:val="left"/>
            </w:pPr>
            <w:r>
              <w:rPr>
                <w:b w:val="0"/>
                <w:i w:val="0"/>
                <w:sz w:val="18"/>
              </w:rPr>
              <w:t>Low exposure</w:t>
            </w:r>
          </w:p>
        </w:tc>
        <w:tc>
          <w:tcPr>
            <w:tcW w:type="dxa" w:w="1100"/>
          </w:tcPr>
          <w:p>
            <w:pPr>
              <w:pStyle w:val="MDPI42tablebody"/>
              <w:keepNext/>
              <w:spacing w:line="240" w:lineRule="auto" w:before="30" w:after="30"/>
              <w:jc w:val="center"/>
            </w:pPr>
            <w:r>
              <w:rPr>
                <w:b w:val="0"/>
                <w:i w:val="0"/>
                <w:sz w:val="18"/>
              </w:rPr>
              <w:t>437</w:t>
            </w:r>
          </w:p>
        </w:tc>
        <w:tc>
          <w:tcPr>
            <w:tcW w:type="dxa" w:w="1728"/>
          </w:tcPr>
          <w:p>
            <w:pPr>
              <w:pStyle w:val="MDPI42tablebody"/>
              <w:keepNext/>
              <w:spacing w:line="240" w:lineRule="auto" w:before="30" w:after="30"/>
              <w:jc w:val="center"/>
            </w:pPr>
            <w:r>
              <w:rPr>
                <w:b w:val="0"/>
                <w:i w:val="0"/>
                <w:sz w:val="18"/>
              </w:rPr>
              <w:t>0.164</w:t>
            </w:r>
          </w:p>
        </w:tc>
        <w:tc>
          <w:tcPr>
            <w:tcW w:type="dxa" w:w="1100"/>
          </w:tcPr>
          <w:p>
            <w:pPr>
              <w:pStyle w:val="MDPI42tablebody"/>
              <w:keepNext/>
              <w:spacing w:line="240" w:lineRule="auto" w:before="30" w:after="30"/>
              <w:jc w:val="center"/>
            </w:pPr>
            <w:r>
              <w:rPr>
                <w:b w:val="0"/>
                <w:i w:val="0"/>
                <w:sz w:val="18"/>
              </w:rPr>
              <w:t>(0.056)</w:t>
            </w:r>
          </w:p>
        </w:tc>
        <w:tc>
          <w:tcPr>
            <w:tcW w:type="dxa" w:w="1728"/>
          </w:tcPr>
          <w:p>
            <w:pPr>
              <w:pStyle w:val="MDPI42tablebody"/>
              <w:keepNext/>
              <w:spacing w:line="240" w:lineRule="auto" w:before="30" w:after="30"/>
              <w:jc w:val="center"/>
            </w:pPr>
            <w:r>
              <w:rPr>
                <w:b w:val="0"/>
                <w:i w:val="0"/>
                <w:sz w:val="18"/>
              </w:rPr>
              <w:t>−0.255***</w:t>
            </w:r>
          </w:p>
        </w:tc>
      </w:tr>
      <w:tr>
        <w:trPr>
          <w:cantSplit/>
        </w:trPr>
        <w:tc>
          <w:tcPr>
            <w:tcW w:type="dxa" w:w="2200"/>
          </w:tcPr>
          <w:p>
            <w:pPr>
              <w:pStyle w:val="MDPI42tablebody"/>
              <w:keepNext/>
              <w:spacing w:line="240" w:lineRule="auto" w:before="30" w:after="30"/>
              <w:jc w:val="left"/>
            </w:pPr>
            <w:r>
              <w:rPr>
                <w:b w:val="0"/>
                <w:i w:val="0"/>
                <w:sz w:val="18"/>
              </w:rPr>
              <w:t>difference (z, p)</w:t>
            </w:r>
          </w:p>
        </w:tc>
        <w:tc>
          <w:tcPr>
            <w:tcW w:type="dxa" w:w="1100"/>
          </w:tcPr>
          <w:p>
            <w:pPr>
              <w:pStyle w:val="MDPI42tablebody"/>
              <w:keepNext/>
              <w:spacing w:line="240" w:lineRule="auto" w:before="30" w:after="30"/>
              <w:jc w:val="center"/>
            </w:pPr>
          </w:p>
        </w:tc>
        <w:tc>
          <w:tcPr>
            <w:tcW w:type="dxa" w:w="1728"/>
          </w:tcPr>
          <w:p>
            <w:pPr>
              <w:pStyle w:val="MDPI42tablebody"/>
              <w:keepNext/>
              <w:spacing w:line="240" w:lineRule="auto" w:before="30" w:after="30"/>
              <w:jc w:val="center"/>
            </w:pPr>
            <w:r>
              <w:rPr>
                <w:b w:val="0"/>
                <w:i w:val="0"/>
                <w:sz w:val="18"/>
              </w:rPr>
              <w:t>0.21</w:t>
            </w:r>
          </w:p>
        </w:tc>
        <w:tc>
          <w:tcPr>
            <w:tcW w:type="dxa" w:w="1100"/>
          </w:tcPr>
          <w:p>
            <w:pPr>
              <w:pStyle w:val="MDPI42tablebody"/>
              <w:keepNext/>
              <w:spacing w:line="240" w:lineRule="auto" w:before="30" w:after="30"/>
              <w:jc w:val="center"/>
            </w:pPr>
            <w:r>
              <w:rPr>
                <w:b w:val="0"/>
                <w:i w:val="0"/>
                <w:sz w:val="18"/>
              </w:rPr>
              <w:t>0.831</w:t>
            </w:r>
          </w:p>
        </w:tc>
        <w:tc>
          <w:tcPr>
            <w:tcW w:type="dxa" w:w="1728"/>
          </w:tcPr>
          <w:p>
            <w:pPr>
              <w:pStyle w:val="MDPI42tablebody"/>
              <w:keepNext/>
              <w:spacing w:line="240" w:lineRule="auto" w:before="30" w:after="30"/>
              <w:jc w:val="center"/>
            </w:pPr>
          </w:p>
        </w:tc>
      </w:tr>
      <w:tr>
        <w:trPr>
          <w:cantSplit/>
        </w:trPr>
        <w:tc>
          <w:tcPr>
            <w:tcW w:type="dxa" w:w="2200"/>
          </w:tcPr>
          <w:p>
            <w:pPr>
              <w:pStyle w:val="MDPI42tablebody"/>
              <w:keepNext/>
              <w:spacing w:line="240" w:lineRule="auto" w:before="30" w:after="30"/>
              <w:jc w:val="left"/>
            </w:pPr>
            <w:r>
              <w:rPr>
                <w:b w:val="0"/>
                <w:i w:val="0"/>
                <w:sz w:val="18"/>
              </w:rPr>
              <w:t>Employed</w:t>
            </w:r>
          </w:p>
        </w:tc>
        <w:tc>
          <w:tcPr>
            <w:tcW w:type="dxa" w:w="1100"/>
          </w:tcPr>
          <w:p>
            <w:pPr>
              <w:pStyle w:val="MDPI42tablebody"/>
              <w:keepNext/>
              <w:spacing w:line="240" w:lineRule="auto" w:before="30" w:after="30"/>
              <w:jc w:val="center"/>
            </w:pPr>
            <w:r>
              <w:rPr>
                <w:b w:val="0"/>
                <w:i w:val="0"/>
                <w:sz w:val="18"/>
              </w:rPr>
              <w:t>676</w:t>
            </w:r>
          </w:p>
        </w:tc>
        <w:tc>
          <w:tcPr>
            <w:tcW w:type="dxa" w:w="1728"/>
          </w:tcPr>
          <w:p>
            <w:pPr>
              <w:pStyle w:val="MDPI42tablebody"/>
              <w:keepNext/>
              <w:spacing w:line="240" w:lineRule="auto" w:before="30" w:after="30"/>
              <w:jc w:val="center"/>
            </w:pPr>
            <w:r>
              <w:rPr>
                <w:b w:val="0"/>
                <w:i w:val="0"/>
                <w:sz w:val="18"/>
              </w:rPr>
              <w:t>0.181</w:t>
            </w:r>
          </w:p>
        </w:tc>
        <w:tc>
          <w:tcPr>
            <w:tcW w:type="dxa" w:w="1100"/>
          </w:tcPr>
          <w:p>
            <w:pPr>
              <w:pStyle w:val="MDPI42tablebody"/>
              <w:keepNext/>
              <w:spacing w:line="240" w:lineRule="auto" w:before="30" w:after="30"/>
              <w:jc w:val="center"/>
            </w:pPr>
            <w:r>
              <w:rPr>
                <w:b w:val="0"/>
                <w:i w:val="0"/>
                <w:sz w:val="18"/>
              </w:rPr>
              <w:t>(0.038)</w:t>
            </w:r>
          </w:p>
        </w:tc>
        <w:tc>
          <w:tcPr>
            <w:tcW w:type="dxa" w:w="1728"/>
          </w:tcPr>
          <w:p>
            <w:pPr>
              <w:pStyle w:val="MDPI42tablebody"/>
              <w:keepNext/>
              <w:spacing w:line="240" w:lineRule="auto" w:before="30" w:after="30"/>
              <w:jc w:val="center"/>
            </w:pPr>
            <w:r>
              <w:rPr>
                <w:b w:val="0"/>
                <w:i w:val="0"/>
                <w:sz w:val="18"/>
              </w:rPr>
              <w:t>−0.238***</w:t>
            </w:r>
          </w:p>
        </w:tc>
      </w:tr>
      <w:tr>
        <w:trPr>
          <w:cantSplit/>
        </w:trPr>
        <w:tc>
          <w:tcPr>
            <w:tcW w:type="dxa" w:w="2200"/>
          </w:tcPr>
          <w:p>
            <w:pPr>
              <w:pStyle w:val="MDPI42tablebody"/>
              <w:keepNext/>
              <w:spacing w:line="240" w:lineRule="auto" w:before="30" w:after="30"/>
              <w:jc w:val="left"/>
            </w:pPr>
            <w:r>
              <w:rPr>
                <w:b w:val="0"/>
                <w:i w:val="0"/>
                <w:sz w:val="18"/>
              </w:rPr>
              <w:t>Not employed</w:t>
            </w:r>
          </w:p>
        </w:tc>
        <w:tc>
          <w:tcPr>
            <w:tcW w:type="dxa" w:w="1100"/>
          </w:tcPr>
          <w:p>
            <w:pPr>
              <w:pStyle w:val="MDPI42tablebody"/>
              <w:keepNext/>
              <w:spacing w:line="240" w:lineRule="auto" w:before="30" w:after="30"/>
              <w:jc w:val="center"/>
            </w:pPr>
            <w:r>
              <w:rPr>
                <w:b w:val="0"/>
                <w:i w:val="0"/>
                <w:sz w:val="18"/>
              </w:rPr>
              <w:t>238</w:t>
            </w:r>
          </w:p>
        </w:tc>
        <w:tc>
          <w:tcPr>
            <w:tcW w:type="dxa" w:w="1728"/>
          </w:tcPr>
          <w:p>
            <w:pPr>
              <w:pStyle w:val="MDPI42tablebody"/>
              <w:keepNext/>
              <w:spacing w:line="240" w:lineRule="auto" w:before="30" w:after="30"/>
              <w:jc w:val="center"/>
            </w:pPr>
            <w:r>
              <w:rPr>
                <w:b w:val="0"/>
                <w:i w:val="0"/>
                <w:sz w:val="18"/>
              </w:rPr>
              <w:t>0.171</w:t>
            </w:r>
          </w:p>
        </w:tc>
        <w:tc>
          <w:tcPr>
            <w:tcW w:type="dxa" w:w="1100"/>
          </w:tcPr>
          <w:p>
            <w:pPr>
              <w:pStyle w:val="MDPI42tablebody"/>
              <w:keepNext/>
              <w:spacing w:line="240" w:lineRule="auto" w:before="30" w:after="30"/>
              <w:jc w:val="center"/>
            </w:pPr>
            <w:r>
              <w:rPr>
                <w:b w:val="0"/>
                <w:i w:val="0"/>
                <w:sz w:val="18"/>
              </w:rPr>
              <w:t>(0.083)</w:t>
            </w:r>
          </w:p>
        </w:tc>
        <w:tc>
          <w:tcPr>
            <w:tcW w:type="dxa" w:w="1728"/>
          </w:tcPr>
          <w:p>
            <w:pPr>
              <w:pStyle w:val="MDPI42tablebody"/>
              <w:keepNext/>
              <w:spacing w:line="240" w:lineRule="auto" w:before="30" w:after="30"/>
              <w:jc w:val="center"/>
            </w:pPr>
            <w:r>
              <w:rPr>
                <w:b w:val="0"/>
                <w:i w:val="0"/>
                <w:sz w:val="18"/>
              </w:rPr>
              <w:t>−0.224***</w:t>
            </w:r>
          </w:p>
        </w:tc>
      </w:tr>
      <w:tr>
        <w:trPr>
          <w:cantSplit/>
        </w:trPr>
        <w:tc>
          <w:tcPr>
            <w:tcW w:type="dxa" w:w="2200"/>
          </w:tcPr>
          <w:p>
            <w:pPr>
              <w:pStyle w:val="MDPI42tablebody"/>
              <w:keepNext/>
              <w:spacing w:line="240" w:lineRule="auto" w:before="30" w:after="30"/>
              <w:jc w:val="left"/>
            </w:pPr>
            <w:r>
              <w:rPr>
                <w:b w:val="0"/>
                <w:i w:val="0"/>
                <w:sz w:val="18"/>
              </w:rPr>
              <w:t>difference (z, p)</w:t>
            </w:r>
          </w:p>
        </w:tc>
        <w:tc>
          <w:tcPr>
            <w:tcW w:type="dxa" w:w="1100"/>
          </w:tcPr>
          <w:p>
            <w:pPr>
              <w:pStyle w:val="MDPI42tablebody"/>
              <w:keepNext/>
              <w:spacing w:line="240" w:lineRule="auto" w:before="30" w:after="30"/>
              <w:jc w:val="center"/>
            </w:pPr>
          </w:p>
        </w:tc>
        <w:tc>
          <w:tcPr>
            <w:tcW w:type="dxa" w:w="1728"/>
          </w:tcPr>
          <w:p>
            <w:pPr>
              <w:pStyle w:val="MDPI42tablebody"/>
              <w:keepNext/>
              <w:spacing w:line="240" w:lineRule="auto" w:before="30" w:after="30"/>
              <w:jc w:val="center"/>
            </w:pPr>
            <w:r>
              <w:rPr>
                <w:b w:val="0"/>
                <w:i w:val="0"/>
                <w:sz w:val="18"/>
              </w:rPr>
              <w:t>0.11</w:t>
            </w:r>
          </w:p>
        </w:tc>
        <w:tc>
          <w:tcPr>
            <w:tcW w:type="dxa" w:w="1100"/>
          </w:tcPr>
          <w:p>
            <w:pPr>
              <w:pStyle w:val="MDPI42tablebody"/>
              <w:keepNext/>
              <w:spacing w:line="240" w:lineRule="auto" w:before="30" w:after="30"/>
              <w:jc w:val="center"/>
            </w:pPr>
            <w:r>
              <w:rPr>
                <w:b w:val="0"/>
                <w:i w:val="0"/>
                <w:sz w:val="18"/>
              </w:rPr>
              <w:t>0.914</w:t>
            </w:r>
          </w:p>
        </w:tc>
        <w:tc>
          <w:tcPr>
            <w:tcW w:type="dxa" w:w="1728"/>
          </w:tcPr>
          <w:p>
            <w:pPr>
              <w:pStyle w:val="MDPI42tablebody"/>
              <w:keepNext/>
              <w:spacing w:line="240" w:lineRule="auto" w:before="30" w:after="30"/>
              <w:jc w:val="center"/>
            </w:pPr>
          </w:p>
        </w:tc>
      </w:tr>
    </w:tbl>
    <w:p>
      <w:pPr>
        <w:pStyle w:val="MDPI43tablefooter"/>
        <w:spacing w:line="240" w:lineRule="auto" w:before="40" w:after="200"/>
        <w:ind w:left="2608" w:firstLine="0"/>
      </w:pPr>
      <w:r>
        <w:rPr>
          <w:sz w:val="16"/>
        </w:rPr>
        <w:t xml:space="preserve">Note: </w:t>
      </w:r>
      <w:r>
        <w:rPr>
          <w:b w:val="0"/>
          <w:i w:val="0"/>
          <w:sz w:val="16"/>
        </w:rPr>
        <w:t>Each pair of rows re-estimates the full adaptation model within the stated subsample; the third column is the marginal effect of anxiety at the sample mean, the final column the subsample quadratic coefficient. Difference rows report a two-sample z-test of the marginal effects. ***, ** and * denote significance at the 1%, 5% and 10% levels, respectively. Source: authors’ own calculations.</w:t>
      </w:r>
    </w:p>
    <w:p>
      <w:pPr>
        <w:pStyle w:val="MDPI22heading2"/>
      </w:pPr>
      <w:r>
        <w:t>4.8. Robustness and Attrition Tests</w:t>
      </w:r>
    </w:p>
    <w:p>
      <w:pPr>
        <w:pStyle w:val="MDPI32textnoindent"/>
      </w:pPr>
      <w:r>
        <w:rPr>
          <w:b w:val="0"/>
          <w:i w:val="0"/>
        </w:rPr>
        <w:t xml:space="preserve">Table 12 subjects the curvilinear second stage to six replications. (1) Replacing the adaptation index with the log of reported reskilling hours, a behavioral count rather than a Likert judgment, returns a quadratic of −0.140 (p &lt; 0.01). (2) Weighting the retained sample by inverse retention probabilities estimated from all first-wave observables leaves the quadratic at −0.237. (3) Excluding the software and information-technology occupations gives −0.235. (4) Unit-weighted composites in place of factor scores give −0.237 </w:t>
      </w:r>
      <w:r>
        <w:t>[</w:t>
      </w:r>
      <w:r>
        <w:fldChar w:fldCharType="begin"/>
      </w:r>
      <w:r>
        <w:instrText xml:space="preserve"> REF _Ref_71 \h </w:instrText>
      </w:r>
      <w:r>
        <w:fldChar w:fldCharType="separate"/>
      </w:r>
      <w:r>
        <w:t>71</w:t>
      </w:r>
      <w:r>
        <w:fldChar w:fldCharType="end"/>
      </w:r>
      <w:r>
        <w:t>]</w:t>
      </w:r>
      <w:r>
        <w:rPr>
          <w:b w:val="0"/>
          <w:i w:val="0"/>
        </w:rPr>
        <w:t xml:space="preserve">. (5) Partialling the marker score out of every construct gives −0.240 </w:t>
      </w:r>
      <w:r>
        <w:t>[</w:t>
      </w:r>
      <w:r>
        <w:fldChar w:fldCharType="begin"/>
      </w:r>
      <w:r>
        <w:instrText xml:space="preserve"> REF _Ref_65 \h </w:instrText>
      </w:r>
      <w:r>
        <w:fldChar w:fldCharType="separate"/>
      </w:r>
      <w:r>
        <w:t>65</w:t>
      </w:r>
      <w:r>
        <w:fldChar w:fldCharType="end"/>
      </w:r>
      <w:r>
        <w:t>]</w:t>
      </w:r>
      <w:r>
        <w:rPr>
          <w:b w:val="0"/>
          <w:i w:val="0"/>
        </w:rPr>
        <w:t xml:space="preserve">. (6) The wild-cluster bootstrap over the twenty occupation groups, the appropriate small-sample inference </w:t>
      </w:r>
      <w:r>
        <w:t>[</w:t>
      </w:r>
      <w:r>
        <w:fldChar w:fldCharType="begin"/>
      </w:r>
      <w:r>
        <w:instrText xml:space="preserve"> REF _Ref_75 \h </w:instrText>
      </w:r>
      <w:r>
        <w:fldChar w:fldCharType="separate"/>
      </w:r>
      <w:r>
        <w:t>75</w:t>
      </w:r>
      <w:r>
        <w:fldChar w:fldCharType="end"/>
      </w:r>
      <w:r>
        <w:t>]</w:t>
      </w:r>
      <w:r>
        <w:rPr>
          <w:b w:val="0"/>
          <w:i w:val="0"/>
        </w:rPr>
        <w:t>, puts the p-value of the quadratic term at 0.001. The inverted U survives every change of measure, sample, weighting, and inference.</w:t>
      </w:r>
    </w:p>
    <w:p>
      <w:pPr>
        <w:pStyle w:val="MDPI41tablecaption"/>
        <w:keepNext/>
        <w:spacing w:after="60"/>
      </w:pPr>
      <w:r>
        <w:rPr>
          <w:b/>
          <w:sz w:val="18"/>
        </w:rPr>
        <w:t xml:space="preserve">Table 12. </w:t>
      </w:r>
      <w:r>
        <w:rPr>
          <w:b w:val="0"/>
          <w:i w:val="0"/>
          <w:sz w:val="18"/>
        </w:rPr>
        <w:t>Robustness of the curvilinear second stage.</w:t>
      </w:r>
    </w:p>
    <w:tbl>
      <w:tblPr>
        <w:tblStyle w:val="MDPI41threelinetable"/>
        <w:tblW w:w="7858" w:type="dxa"/>
        <w:tblInd w:w="2608" w:type="dxa"/>
        <w:tblBorders>
          <w:top w:val="single" w:sz="8" w:space="0" w:color="auto"/>
          <w:left w:val="none" w:sz="0" w:space="0" w:color="auto"/>
          <w:bottom w:val="single" w:sz="8" w:space="0" w:color="auto"/>
          <w:right w:val="none" w:sz="0" w:space="0" w:color="auto"/>
          <w:insideH w:val="none" w:sz="0" w:space="0" w:color="auto"/>
          <w:insideV w:val="none" w:sz="0" w:space="0" w:color="auto"/>
        </w:tblBorders>
        <w:tblLayout w:type="fixed"/>
        <w:tblCellMar>
          <w:top w:w="0" w:type="dxa"/>
          <w:left w:w="57" w:type="dxa"/>
          <w:bottom w:w="0" w:type="dxa"/>
          <w:right w:w="57" w:type="dxa"/>
        </w:tblCellMar>
        <w:tblLook w:firstColumn="1" w:firstRow="1" w:lastColumn="0" w:lastRow="0" w:noHBand="0" w:noVBand="1" w:val="04A0"/>
      </w:tblPr>
      <w:tblGrid>
        <w:gridCol w:w="2671"/>
        <w:gridCol w:w="1021"/>
        <w:gridCol w:w="942"/>
        <w:gridCol w:w="1335"/>
        <w:gridCol w:w="942"/>
        <w:gridCol w:w="942"/>
      </w:tblGrid>
      <w:tr>
        <w:trPr>
          <w:cantSplit/>
          <w:tblHeader/>
        </w:trPr>
        <w:tc>
          <w:tcPr>
            <w:tcW w:type="dxa" w:w="2671"/>
            <w:tcBorders>
              <w:bottom w:val="single" w:sz="8" w:space="0" w:color="auto"/>
            </w:tcBorders>
          </w:tcPr>
          <w:p>
            <w:pPr>
              <w:pStyle w:val="MDPI42tablebody"/>
              <w:keepNext/>
              <w:spacing w:line="240" w:lineRule="auto" w:before="30" w:after="30"/>
              <w:jc w:val="center"/>
            </w:pPr>
            <w:r>
              <w:rPr>
                <w:b/>
                <w:i w:val="0"/>
                <w:sz w:val="18"/>
              </w:rPr>
              <w:t>Specification</w:t>
            </w:r>
          </w:p>
        </w:tc>
        <w:tc>
          <w:tcPr>
            <w:tcW w:type="dxa" w:w="1021"/>
            <w:tcBorders>
              <w:bottom w:val="single" w:sz="8" w:space="0" w:color="auto"/>
            </w:tcBorders>
          </w:tcPr>
          <w:p>
            <w:pPr>
              <w:pStyle w:val="MDPI42tablebody"/>
              <w:keepNext/>
              <w:spacing w:line="240" w:lineRule="auto" w:before="30" w:after="30"/>
              <w:jc w:val="center"/>
            </w:pPr>
            <w:r>
              <w:rPr>
                <w:b/>
                <w:i w:val="0"/>
                <w:sz w:val="18"/>
              </w:rPr>
              <w:t>ANX</w:t>
            </w:r>
          </w:p>
        </w:tc>
        <w:tc>
          <w:tcPr>
            <w:tcW w:type="dxa" w:w="942"/>
            <w:tcBorders>
              <w:bottom w:val="single" w:sz="8" w:space="0" w:color="auto"/>
            </w:tcBorders>
          </w:tcPr>
          <w:p>
            <w:pPr>
              <w:pStyle w:val="MDPI42tablebody"/>
              <w:keepNext/>
              <w:spacing w:line="240" w:lineRule="auto" w:before="30" w:after="30"/>
              <w:jc w:val="center"/>
            </w:pPr>
            <w:r>
              <w:rPr>
                <w:b/>
                <w:i w:val="0"/>
                <w:sz w:val="18"/>
              </w:rPr>
              <w:t>(SE)</w:t>
            </w:r>
          </w:p>
        </w:tc>
        <w:tc>
          <w:tcPr>
            <w:tcW w:type="dxa" w:w="1335"/>
            <w:tcBorders>
              <w:bottom w:val="single" w:sz="8" w:space="0" w:color="auto"/>
            </w:tcBorders>
          </w:tcPr>
          <w:p>
            <w:pPr>
              <w:pStyle w:val="MDPI42tablebody"/>
              <w:keepNext/>
              <w:spacing w:line="240" w:lineRule="auto" w:before="30" w:after="30"/>
              <w:jc w:val="center"/>
            </w:pPr>
            <w:r>
              <w:rPr>
                <w:b/>
                <w:i w:val="0"/>
                <w:sz w:val="18"/>
              </w:rPr>
              <w:t>ANX²</w:t>
            </w:r>
          </w:p>
        </w:tc>
        <w:tc>
          <w:tcPr>
            <w:tcW w:type="dxa" w:w="942"/>
            <w:tcBorders>
              <w:bottom w:val="single" w:sz="8" w:space="0" w:color="auto"/>
            </w:tcBorders>
          </w:tcPr>
          <w:p>
            <w:pPr>
              <w:pStyle w:val="MDPI42tablebody"/>
              <w:keepNext/>
              <w:spacing w:line="240" w:lineRule="auto" w:before="30" w:after="30"/>
              <w:jc w:val="center"/>
            </w:pPr>
            <w:r>
              <w:rPr>
                <w:b/>
                <w:i w:val="0"/>
                <w:sz w:val="18"/>
              </w:rPr>
              <w:t>(SE)</w:t>
            </w:r>
          </w:p>
        </w:tc>
        <w:tc>
          <w:tcPr>
            <w:tcW w:type="dxa" w:w="942"/>
            <w:tcBorders>
              <w:bottom w:val="single" w:sz="8" w:space="0" w:color="auto"/>
            </w:tcBorders>
          </w:tcPr>
          <w:p>
            <w:pPr>
              <w:pStyle w:val="MDPI42tablebody"/>
              <w:keepNext/>
              <w:spacing w:line="240" w:lineRule="auto" w:before="30" w:after="30"/>
              <w:jc w:val="center"/>
            </w:pPr>
            <w:r>
              <w:rPr>
                <w:b/>
                <w:i w:val="0"/>
                <w:sz w:val="18"/>
              </w:rPr>
              <w:t>N</w:t>
            </w:r>
          </w:p>
        </w:tc>
      </w:tr>
      <w:tr>
        <w:trPr>
          <w:cantSplit/>
        </w:trPr>
        <w:tc>
          <w:tcPr>
            <w:tcW w:type="dxa" w:w="2671"/>
          </w:tcPr>
          <w:p>
            <w:pPr>
              <w:pStyle w:val="MDPI42tablebody"/>
              <w:keepNext/>
              <w:spacing w:line="240" w:lineRule="auto" w:before="30" w:after="30"/>
              <w:jc w:val="left"/>
            </w:pPr>
            <w:r>
              <w:rPr>
                <w:b w:val="0"/>
                <w:i w:val="0"/>
                <w:sz w:val="18"/>
              </w:rPr>
              <w:t>(1) log reskilling hours</w:t>
            </w:r>
          </w:p>
        </w:tc>
        <w:tc>
          <w:tcPr>
            <w:tcW w:type="dxa" w:w="1021"/>
          </w:tcPr>
          <w:p>
            <w:pPr>
              <w:pStyle w:val="MDPI42tablebody"/>
              <w:keepNext/>
              <w:spacing w:line="240" w:lineRule="auto" w:before="30" w:after="30"/>
              <w:jc w:val="center"/>
            </w:pPr>
            <w:r>
              <w:rPr>
                <w:b w:val="0"/>
                <w:i w:val="0"/>
                <w:sz w:val="18"/>
              </w:rPr>
              <w:t>0.090***</w:t>
            </w:r>
          </w:p>
        </w:tc>
        <w:tc>
          <w:tcPr>
            <w:tcW w:type="dxa" w:w="942"/>
          </w:tcPr>
          <w:p>
            <w:pPr>
              <w:pStyle w:val="MDPI42tablebody"/>
              <w:keepNext/>
              <w:spacing w:line="240" w:lineRule="auto" w:before="30" w:after="30"/>
              <w:jc w:val="center"/>
            </w:pPr>
            <w:r>
              <w:rPr>
                <w:b w:val="0"/>
                <w:i w:val="0"/>
                <w:sz w:val="18"/>
              </w:rPr>
              <w:t>(0.029)</w:t>
            </w:r>
          </w:p>
        </w:tc>
        <w:tc>
          <w:tcPr>
            <w:tcW w:type="dxa" w:w="1335"/>
          </w:tcPr>
          <w:p>
            <w:pPr>
              <w:pStyle w:val="MDPI42tablebody"/>
              <w:keepNext/>
              <w:spacing w:line="240" w:lineRule="auto" w:before="30" w:after="30"/>
              <w:jc w:val="center"/>
            </w:pPr>
            <w:r>
              <w:rPr>
                <w:b w:val="0"/>
                <w:i w:val="0"/>
                <w:sz w:val="18"/>
              </w:rPr>
              <w:t>−0.140***</w:t>
            </w:r>
          </w:p>
        </w:tc>
        <w:tc>
          <w:tcPr>
            <w:tcW w:type="dxa" w:w="942"/>
          </w:tcPr>
          <w:p>
            <w:pPr>
              <w:pStyle w:val="MDPI42tablebody"/>
              <w:keepNext/>
              <w:spacing w:line="240" w:lineRule="auto" w:before="30" w:after="30"/>
              <w:jc w:val="center"/>
            </w:pPr>
            <w:r>
              <w:rPr>
                <w:b w:val="0"/>
                <w:i w:val="0"/>
                <w:sz w:val="18"/>
              </w:rPr>
              <w:t>(0.022)</w:t>
            </w:r>
          </w:p>
        </w:tc>
        <w:tc>
          <w:tcPr>
            <w:tcW w:type="dxa" w:w="942"/>
          </w:tcPr>
          <w:p>
            <w:pPr>
              <w:pStyle w:val="MDPI42tablebody"/>
              <w:keepNext/>
              <w:spacing w:line="240" w:lineRule="auto" w:before="30" w:after="30"/>
              <w:jc w:val="center"/>
            </w:pPr>
            <w:r>
              <w:rPr>
                <w:b w:val="0"/>
                <w:i w:val="0"/>
                <w:sz w:val="18"/>
              </w:rPr>
              <w:t>914</w:t>
            </w:r>
          </w:p>
        </w:tc>
      </w:tr>
      <w:tr>
        <w:trPr>
          <w:cantSplit/>
        </w:trPr>
        <w:tc>
          <w:tcPr>
            <w:tcW w:type="dxa" w:w="2671"/>
          </w:tcPr>
          <w:p>
            <w:pPr>
              <w:pStyle w:val="MDPI42tablebody"/>
              <w:keepNext/>
              <w:spacing w:line="240" w:lineRule="auto" w:before="30" w:after="30"/>
              <w:jc w:val="left"/>
            </w:pPr>
            <w:r>
              <w:rPr>
                <w:b w:val="0"/>
                <w:i w:val="0"/>
                <w:sz w:val="18"/>
              </w:rPr>
              <w:t>(2) inverse-probability weighted</w:t>
            </w:r>
          </w:p>
        </w:tc>
        <w:tc>
          <w:tcPr>
            <w:tcW w:type="dxa" w:w="1021"/>
          </w:tcPr>
          <w:p>
            <w:pPr>
              <w:pStyle w:val="MDPI42tablebody"/>
              <w:keepNext/>
              <w:spacing w:line="240" w:lineRule="auto" w:before="30" w:after="30"/>
              <w:jc w:val="center"/>
            </w:pPr>
            <w:r>
              <w:rPr>
                <w:b w:val="0"/>
                <w:i w:val="0"/>
                <w:sz w:val="18"/>
              </w:rPr>
              <w:t>0.174***</w:t>
            </w:r>
          </w:p>
        </w:tc>
        <w:tc>
          <w:tcPr>
            <w:tcW w:type="dxa" w:w="942"/>
          </w:tcPr>
          <w:p>
            <w:pPr>
              <w:pStyle w:val="MDPI42tablebody"/>
              <w:keepNext/>
              <w:spacing w:line="240" w:lineRule="auto" w:before="30" w:after="30"/>
              <w:jc w:val="center"/>
            </w:pPr>
            <w:r>
              <w:rPr>
                <w:b w:val="0"/>
                <w:i w:val="0"/>
                <w:sz w:val="18"/>
              </w:rPr>
              <w:t>(0.029)</w:t>
            </w:r>
          </w:p>
        </w:tc>
        <w:tc>
          <w:tcPr>
            <w:tcW w:type="dxa" w:w="1335"/>
          </w:tcPr>
          <w:p>
            <w:pPr>
              <w:pStyle w:val="MDPI42tablebody"/>
              <w:keepNext/>
              <w:spacing w:line="240" w:lineRule="auto" w:before="30" w:after="30"/>
              <w:jc w:val="center"/>
            </w:pPr>
            <w:r>
              <w:rPr>
                <w:b w:val="0"/>
                <w:i w:val="0"/>
                <w:sz w:val="18"/>
              </w:rPr>
              <w:t>−0.237***</w:t>
            </w:r>
          </w:p>
        </w:tc>
        <w:tc>
          <w:tcPr>
            <w:tcW w:type="dxa" w:w="942"/>
          </w:tcPr>
          <w:p>
            <w:pPr>
              <w:pStyle w:val="MDPI42tablebody"/>
              <w:keepNext/>
              <w:spacing w:line="240" w:lineRule="auto" w:before="30" w:after="30"/>
              <w:jc w:val="center"/>
            </w:pPr>
            <w:r>
              <w:rPr>
                <w:b w:val="0"/>
                <w:i w:val="0"/>
                <w:sz w:val="18"/>
              </w:rPr>
              <w:t>(0.021)</w:t>
            </w:r>
          </w:p>
        </w:tc>
        <w:tc>
          <w:tcPr>
            <w:tcW w:type="dxa" w:w="942"/>
          </w:tcPr>
          <w:p>
            <w:pPr>
              <w:pStyle w:val="MDPI42tablebody"/>
              <w:keepNext/>
              <w:spacing w:line="240" w:lineRule="auto" w:before="30" w:after="30"/>
              <w:jc w:val="center"/>
            </w:pPr>
            <w:r>
              <w:rPr>
                <w:b w:val="0"/>
                <w:i w:val="0"/>
                <w:sz w:val="18"/>
              </w:rPr>
              <w:t>914</w:t>
            </w:r>
          </w:p>
        </w:tc>
      </w:tr>
      <w:tr>
        <w:trPr>
          <w:cantSplit/>
        </w:trPr>
        <w:tc>
          <w:tcPr>
            <w:tcW w:type="dxa" w:w="2671"/>
          </w:tcPr>
          <w:p>
            <w:pPr>
              <w:pStyle w:val="MDPI42tablebody"/>
              <w:keepNext/>
              <w:spacing w:line="240" w:lineRule="auto" w:before="30" w:after="30"/>
              <w:jc w:val="left"/>
            </w:pPr>
            <w:r>
              <w:rPr>
                <w:b w:val="0"/>
                <w:i w:val="0"/>
                <w:sz w:val="18"/>
              </w:rPr>
              <w:t>(3) excluding software and IT</w:t>
            </w:r>
          </w:p>
        </w:tc>
        <w:tc>
          <w:tcPr>
            <w:tcW w:type="dxa" w:w="1021"/>
          </w:tcPr>
          <w:p>
            <w:pPr>
              <w:pStyle w:val="MDPI42tablebody"/>
              <w:keepNext/>
              <w:spacing w:line="240" w:lineRule="auto" w:before="30" w:after="30"/>
              <w:jc w:val="center"/>
            </w:pPr>
            <w:r>
              <w:rPr>
                <w:b w:val="0"/>
                <w:i w:val="0"/>
                <w:sz w:val="18"/>
              </w:rPr>
              <w:t>0.170***</w:t>
            </w:r>
          </w:p>
        </w:tc>
        <w:tc>
          <w:tcPr>
            <w:tcW w:type="dxa" w:w="942"/>
          </w:tcPr>
          <w:p>
            <w:pPr>
              <w:pStyle w:val="MDPI42tablebody"/>
              <w:keepNext/>
              <w:spacing w:line="240" w:lineRule="auto" w:before="30" w:after="30"/>
              <w:jc w:val="center"/>
            </w:pPr>
            <w:r>
              <w:rPr>
                <w:b w:val="0"/>
                <w:i w:val="0"/>
                <w:sz w:val="18"/>
              </w:rPr>
              <w:t>(0.035)</w:t>
            </w:r>
          </w:p>
        </w:tc>
        <w:tc>
          <w:tcPr>
            <w:tcW w:type="dxa" w:w="1335"/>
          </w:tcPr>
          <w:p>
            <w:pPr>
              <w:pStyle w:val="MDPI42tablebody"/>
              <w:keepNext/>
              <w:spacing w:line="240" w:lineRule="auto" w:before="30" w:after="30"/>
              <w:jc w:val="center"/>
            </w:pPr>
            <w:r>
              <w:rPr>
                <w:b w:val="0"/>
                <w:i w:val="0"/>
                <w:sz w:val="18"/>
              </w:rPr>
              <w:t>−0.235***</w:t>
            </w:r>
          </w:p>
        </w:tc>
        <w:tc>
          <w:tcPr>
            <w:tcW w:type="dxa" w:w="942"/>
          </w:tcPr>
          <w:p>
            <w:pPr>
              <w:pStyle w:val="MDPI42tablebody"/>
              <w:keepNext/>
              <w:spacing w:line="240" w:lineRule="auto" w:before="30" w:after="30"/>
              <w:jc w:val="center"/>
            </w:pPr>
            <w:r>
              <w:rPr>
                <w:b w:val="0"/>
                <w:i w:val="0"/>
                <w:sz w:val="18"/>
              </w:rPr>
              <w:t>(0.027)</w:t>
            </w:r>
          </w:p>
        </w:tc>
        <w:tc>
          <w:tcPr>
            <w:tcW w:type="dxa" w:w="942"/>
          </w:tcPr>
          <w:p>
            <w:pPr>
              <w:pStyle w:val="MDPI42tablebody"/>
              <w:keepNext/>
              <w:spacing w:line="240" w:lineRule="auto" w:before="30" w:after="30"/>
              <w:jc w:val="center"/>
            </w:pPr>
            <w:r>
              <w:rPr>
                <w:b w:val="0"/>
                <w:i w:val="0"/>
                <w:sz w:val="18"/>
              </w:rPr>
              <w:t>838</w:t>
            </w:r>
          </w:p>
        </w:tc>
      </w:tr>
      <w:tr>
        <w:trPr>
          <w:cantSplit/>
        </w:trPr>
        <w:tc>
          <w:tcPr>
            <w:tcW w:type="dxa" w:w="2671"/>
          </w:tcPr>
          <w:p>
            <w:pPr>
              <w:pStyle w:val="MDPI42tablebody"/>
              <w:keepNext/>
              <w:spacing w:line="240" w:lineRule="auto" w:before="30" w:after="30"/>
              <w:jc w:val="left"/>
            </w:pPr>
            <w:r>
              <w:rPr>
                <w:b w:val="0"/>
                <w:i w:val="0"/>
                <w:sz w:val="18"/>
              </w:rPr>
              <w:t>(4) unit-weighted composites</w:t>
            </w:r>
          </w:p>
        </w:tc>
        <w:tc>
          <w:tcPr>
            <w:tcW w:type="dxa" w:w="1021"/>
          </w:tcPr>
          <w:p>
            <w:pPr>
              <w:pStyle w:val="MDPI42tablebody"/>
              <w:keepNext/>
              <w:spacing w:line="240" w:lineRule="auto" w:before="30" w:after="30"/>
              <w:jc w:val="center"/>
            </w:pPr>
            <w:r>
              <w:rPr>
                <w:b w:val="0"/>
                <w:i w:val="0"/>
                <w:sz w:val="18"/>
              </w:rPr>
              <w:t>0.174***</w:t>
            </w:r>
          </w:p>
        </w:tc>
        <w:tc>
          <w:tcPr>
            <w:tcW w:type="dxa" w:w="942"/>
          </w:tcPr>
          <w:p>
            <w:pPr>
              <w:pStyle w:val="MDPI42tablebody"/>
              <w:keepNext/>
              <w:spacing w:line="240" w:lineRule="auto" w:before="30" w:after="30"/>
              <w:jc w:val="center"/>
            </w:pPr>
            <w:r>
              <w:rPr>
                <w:b w:val="0"/>
                <w:i w:val="0"/>
                <w:sz w:val="18"/>
              </w:rPr>
              <w:t>(0.034)</w:t>
            </w:r>
          </w:p>
        </w:tc>
        <w:tc>
          <w:tcPr>
            <w:tcW w:type="dxa" w:w="1335"/>
          </w:tcPr>
          <w:p>
            <w:pPr>
              <w:pStyle w:val="MDPI42tablebody"/>
              <w:keepNext/>
              <w:spacing w:line="240" w:lineRule="auto" w:before="30" w:after="30"/>
              <w:jc w:val="center"/>
            </w:pPr>
            <w:r>
              <w:rPr>
                <w:b w:val="0"/>
                <w:i w:val="0"/>
                <w:sz w:val="18"/>
              </w:rPr>
              <w:t>−0.237***</w:t>
            </w:r>
          </w:p>
        </w:tc>
        <w:tc>
          <w:tcPr>
            <w:tcW w:type="dxa" w:w="942"/>
          </w:tcPr>
          <w:p>
            <w:pPr>
              <w:pStyle w:val="MDPI42tablebody"/>
              <w:keepNext/>
              <w:spacing w:line="240" w:lineRule="auto" w:before="30" w:after="30"/>
              <w:jc w:val="center"/>
            </w:pPr>
            <w:r>
              <w:rPr>
                <w:b w:val="0"/>
                <w:i w:val="0"/>
                <w:sz w:val="18"/>
              </w:rPr>
              <w:t>(0.025)</w:t>
            </w:r>
          </w:p>
        </w:tc>
        <w:tc>
          <w:tcPr>
            <w:tcW w:type="dxa" w:w="942"/>
          </w:tcPr>
          <w:p>
            <w:pPr>
              <w:pStyle w:val="MDPI42tablebody"/>
              <w:keepNext/>
              <w:spacing w:line="240" w:lineRule="auto" w:before="30" w:after="30"/>
              <w:jc w:val="center"/>
            </w:pPr>
            <w:r>
              <w:rPr>
                <w:b w:val="0"/>
                <w:i w:val="0"/>
                <w:sz w:val="18"/>
              </w:rPr>
              <w:t>914</w:t>
            </w:r>
          </w:p>
        </w:tc>
      </w:tr>
      <w:tr>
        <w:trPr>
          <w:cantSplit/>
        </w:trPr>
        <w:tc>
          <w:tcPr>
            <w:tcW w:type="dxa" w:w="2671"/>
          </w:tcPr>
          <w:p>
            <w:pPr>
              <w:pStyle w:val="MDPI42tablebody"/>
              <w:keepNext/>
              <w:spacing w:line="240" w:lineRule="auto" w:before="30" w:after="30"/>
              <w:jc w:val="left"/>
            </w:pPr>
            <w:r>
              <w:rPr>
                <w:b w:val="0"/>
                <w:i w:val="0"/>
                <w:sz w:val="18"/>
              </w:rPr>
              <w:t>(5) marker-partialled scores</w:t>
            </w:r>
          </w:p>
        </w:tc>
        <w:tc>
          <w:tcPr>
            <w:tcW w:type="dxa" w:w="1021"/>
          </w:tcPr>
          <w:p>
            <w:pPr>
              <w:pStyle w:val="MDPI42tablebody"/>
              <w:keepNext/>
              <w:spacing w:line="240" w:lineRule="auto" w:before="30" w:after="30"/>
              <w:jc w:val="center"/>
            </w:pPr>
            <w:r>
              <w:rPr>
                <w:b w:val="0"/>
                <w:i w:val="0"/>
                <w:sz w:val="18"/>
              </w:rPr>
              <w:t>0.178***</w:t>
            </w:r>
          </w:p>
        </w:tc>
        <w:tc>
          <w:tcPr>
            <w:tcW w:type="dxa" w:w="942"/>
          </w:tcPr>
          <w:p>
            <w:pPr>
              <w:pStyle w:val="MDPI42tablebody"/>
              <w:keepNext/>
              <w:spacing w:line="240" w:lineRule="auto" w:before="30" w:after="30"/>
              <w:jc w:val="center"/>
            </w:pPr>
            <w:r>
              <w:rPr>
                <w:b w:val="0"/>
                <w:i w:val="0"/>
                <w:sz w:val="18"/>
              </w:rPr>
              <w:t>(0.034)</w:t>
            </w:r>
          </w:p>
        </w:tc>
        <w:tc>
          <w:tcPr>
            <w:tcW w:type="dxa" w:w="1335"/>
          </w:tcPr>
          <w:p>
            <w:pPr>
              <w:pStyle w:val="MDPI42tablebody"/>
              <w:keepNext/>
              <w:spacing w:line="240" w:lineRule="auto" w:before="30" w:after="30"/>
              <w:jc w:val="center"/>
            </w:pPr>
            <w:r>
              <w:rPr>
                <w:b w:val="0"/>
                <w:i w:val="0"/>
                <w:sz w:val="18"/>
              </w:rPr>
              <w:t>−0.240***</w:t>
            </w:r>
          </w:p>
        </w:tc>
        <w:tc>
          <w:tcPr>
            <w:tcW w:type="dxa" w:w="942"/>
          </w:tcPr>
          <w:p>
            <w:pPr>
              <w:pStyle w:val="MDPI42tablebody"/>
              <w:keepNext/>
              <w:spacing w:line="240" w:lineRule="auto" w:before="30" w:after="30"/>
              <w:jc w:val="center"/>
            </w:pPr>
            <w:r>
              <w:rPr>
                <w:b w:val="0"/>
                <w:i w:val="0"/>
                <w:sz w:val="18"/>
              </w:rPr>
              <w:t>(0.025)</w:t>
            </w:r>
          </w:p>
        </w:tc>
        <w:tc>
          <w:tcPr>
            <w:tcW w:type="dxa" w:w="942"/>
          </w:tcPr>
          <w:p>
            <w:pPr>
              <w:pStyle w:val="MDPI42tablebody"/>
              <w:keepNext/>
              <w:spacing w:line="240" w:lineRule="auto" w:before="30" w:after="30"/>
              <w:jc w:val="center"/>
            </w:pPr>
            <w:r>
              <w:rPr>
                <w:b w:val="0"/>
                <w:i w:val="0"/>
                <w:sz w:val="18"/>
              </w:rPr>
              <w:t>914</w:t>
            </w:r>
          </w:p>
        </w:tc>
      </w:tr>
      <w:tr>
        <w:trPr>
          <w:cantSplit/>
        </w:trPr>
        <w:tc>
          <w:tcPr>
            <w:tcW w:type="dxa" w:w="2671"/>
          </w:tcPr>
          <w:p>
            <w:pPr>
              <w:pStyle w:val="MDPI42tablebody"/>
              <w:keepNext/>
              <w:spacing w:line="240" w:lineRule="auto" w:before="30" w:after="30"/>
              <w:jc w:val="left"/>
            </w:pPr>
            <w:r>
              <w:rPr>
                <w:b w:val="0"/>
                <w:i w:val="0"/>
                <w:sz w:val="18"/>
              </w:rPr>
              <w:t>(6) wild cluster bootstrap p for ANX² (20 occupation clusters)</w:t>
            </w:r>
          </w:p>
        </w:tc>
        <w:tc>
          <w:tcPr>
            <w:tcW w:type="dxa" w:w="1021"/>
          </w:tcPr>
          <w:p>
            <w:pPr>
              <w:pStyle w:val="MDPI42tablebody"/>
              <w:keepNext/>
              <w:spacing w:line="240" w:lineRule="auto" w:before="30" w:after="30"/>
              <w:jc w:val="center"/>
            </w:pPr>
          </w:p>
        </w:tc>
        <w:tc>
          <w:tcPr>
            <w:tcW w:type="dxa" w:w="942"/>
          </w:tcPr>
          <w:p>
            <w:pPr>
              <w:pStyle w:val="MDPI42tablebody"/>
              <w:keepNext/>
              <w:spacing w:line="240" w:lineRule="auto" w:before="30" w:after="30"/>
              <w:jc w:val="center"/>
            </w:pPr>
          </w:p>
        </w:tc>
        <w:tc>
          <w:tcPr>
            <w:tcW w:type="dxa" w:w="1335"/>
          </w:tcPr>
          <w:p>
            <w:pPr>
              <w:pStyle w:val="MDPI42tablebody"/>
              <w:keepNext/>
              <w:spacing w:line="240" w:lineRule="auto" w:before="30" w:after="30"/>
              <w:jc w:val="center"/>
            </w:pPr>
            <w:r>
              <w:rPr>
                <w:b w:val="0"/>
                <w:i w:val="0"/>
                <w:sz w:val="18"/>
              </w:rPr>
              <w:t>0.001</w:t>
            </w:r>
          </w:p>
        </w:tc>
        <w:tc>
          <w:tcPr>
            <w:tcW w:type="dxa" w:w="942"/>
          </w:tcPr>
          <w:p>
            <w:pPr>
              <w:pStyle w:val="MDPI42tablebody"/>
              <w:keepNext/>
              <w:spacing w:line="240" w:lineRule="auto" w:before="30" w:after="30"/>
              <w:jc w:val="center"/>
            </w:pPr>
          </w:p>
        </w:tc>
        <w:tc>
          <w:tcPr>
            <w:tcW w:type="dxa" w:w="942"/>
          </w:tcPr>
          <w:p>
            <w:pPr>
              <w:pStyle w:val="MDPI42tablebody"/>
              <w:keepNext/>
              <w:spacing w:line="240" w:lineRule="auto" w:before="30" w:after="30"/>
              <w:jc w:val="center"/>
            </w:pPr>
            <w:r>
              <w:rPr>
                <w:b w:val="0"/>
                <w:i w:val="0"/>
                <w:sz w:val="18"/>
              </w:rPr>
              <w:t>914</w:t>
            </w:r>
          </w:p>
        </w:tc>
      </w:tr>
    </w:tbl>
    <w:p>
      <w:pPr>
        <w:pStyle w:val="MDPI43tablefooter"/>
        <w:spacing w:line="240" w:lineRule="auto" w:before="40" w:after="200"/>
        <w:ind w:left="2608" w:firstLine="0"/>
      </w:pPr>
      <w:r>
        <w:rPr>
          <w:sz w:val="16"/>
        </w:rPr>
        <w:t xml:space="preserve">Note: </w:t>
      </w:r>
      <w:r>
        <w:rPr>
          <w:b w:val="0"/>
          <w:i w:val="0"/>
          <w:sz w:val="16"/>
        </w:rPr>
        <w:t>Each row replicates the full adaptation specification under the stated change. Row (2) weights by inverse retention probabilities from a first-wave linear probability model; row (6) reports the wild-cluster bootstrap p-value for the quadratic term with Rademacher weights and the null imposed, 999 replications. ***, ** and * denote significance at the 1%, 5% and 10% levels, respectively. Source: authors’ own calculations.</w:t>
      </w:r>
    </w:p>
    <w:p>
      <w:pPr>
        <w:pStyle w:val="MDPI22heading2"/>
      </w:pPr>
      <w:r>
        <w:t>4.9. Configurational Analysis</w:t>
      </w:r>
    </w:p>
    <w:p>
      <w:pPr>
        <w:pStyle w:val="MDPI32textnoindent"/>
      </w:pPr>
      <w:r>
        <w:rPr>
          <w:b w:val="0"/>
          <w:i w:val="0"/>
        </w:rPr>
        <w:t>Table 13 reports the calibration anchors and the necessity analysis. No condition, present or absent, reaches the 0.90 consistency conventionally required of a necessary condition; the maximum anywhere is 0.708. Hypothesis H7a is verified: there is no single gate through which every adapting graduate passes.</w:t>
      </w:r>
    </w:p>
    <w:p>
      <w:pPr>
        <w:pStyle w:val="MDPI41tablecaption"/>
        <w:keepNext/>
        <w:spacing w:after="60"/>
      </w:pPr>
      <w:r>
        <w:rPr>
          <w:b/>
          <w:sz w:val="18"/>
        </w:rPr>
        <w:t xml:space="preserve">Table 13. </w:t>
      </w:r>
      <w:r>
        <w:rPr>
          <w:b w:val="0"/>
          <w:i w:val="0"/>
          <w:sz w:val="18"/>
        </w:rPr>
        <w:t>Fuzzy-set calibration and necessity analysis.</w:t>
      </w:r>
    </w:p>
    <w:tbl>
      <w:tblPr>
        <w:tblStyle w:val="MDPI41threelinetable"/>
        <w:tblW w:w="7858" w:type="dxa"/>
        <w:tblInd w:w="2608" w:type="dxa"/>
        <w:tblBorders>
          <w:top w:val="single" w:sz="8" w:space="0" w:color="auto"/>
          <w:left w:val="none" w:sz="0" w:space="0" w:color="auto"/>
          <w:bottom w:val="single" w:sz="8" w:space="0" w:color="auto"/>
          <w:right w:val="none" w:sz="0" w:space="0" w:color="auto"/>
          <w:insideH w:val="none" w:sz="0" w:space="0" w:color="auto"/>
          <w:insideV w:val="none" w:sz="0" w:space="0" w:color="auto"/>
        </w:tblBorders>
        <w:tblLayout w:type="fixed"/>
        <w:tblCellMar>
          <w:top w:w="0" w:type="dxa"/>
          <w:left w:w="57" w:type="dxa"/>
          <w:bottom w:w="0" w:type="dxa"/>
          <w:right w:w="57" w:type="dxa"/>
        </w:tblCellMar>
        <w:tblLook w:firstColumn="1" w:firstRow="1" w:lastColumn="0" w:lastRow="0" w:noHBand="0" w:noVBand="1" w:val="04A0"/>
      </w:tblPr>
      <w:tblGrid>
        <w:gridCol w:w="2671"/>
        <w:gridCol w:w="1728"/>
        <w:gridCol w:w="1728"/>
        <w:gridCol w:w="1728"/>
      </w:tblGrid>
      <w:tr>
        <w:trPr>
          <w:cantSplit/>
          <w:tblHeader/>
        </w:trPr>
        <w:tc>
          <w:tcPr>
            <w:tcW w:type="dxa" w:w="2671"/>
            <w:tcBorders>
              <w:bottom w:val="single" w:sz="8" w:space="0" w:color="auto"/>
            </w:tcBorders>
          </w:tcPr>
          <w:p>
            <w:pPr>
              <w:pStyle w:val="MDPI42tablebody"/>
              <w:keepNext/>
              <w:spacing w:line="240" w:lineRule="auto" w:before="30" w:after="30"/>
              <w:jc w:val="center"/>
            </w:pPr>
            <w:r>
              <w:rPr>
                <w:b/>
                <w:i w:val="0"/>
                <w:sz w:val="18"/>
              </w:rPr>
              <w:t>Condition</w:t>
            </w:r>
          </w:p>
        </w:tc>
        <w:tc>
          <w:tcPr>
            <w:tcW w:type="dxa" w:w="1728"/>
            <w:tcBorders>
              <w:bottom w:val="single" w:sz="8" w:space="0" w:color="auto"/>
            </w:tcBorders>
          </w:tcPr>
          <w:p>
            <w:pPr>
              <w:pStyle w:val="MDPI42tablebody"/>
              <w:keepNext/>
              <w:spacing w:line="240" w:lineRule="auto" w:before="30" w:after="30"/>
              <w:jc w:val="center"/>
            </w:pPr>
            <w:r>
              <w:rPr>
                <w:b/>
                <w:i w:val="0"/>
                <w:sz w:val="18"/>
              </w:rPr>
              <w:t>Full (0.95)</w:t>
            </w:r>
          </w:p>
        </w:tc>
        <w:tc>
          <w:tcPr>
            <w:tcW w:type="dxa" w:w="1728"/>
            <w:tcBorders>
              <w:bottom w:val="single" w:sz="8" w:space="0" w:color="auto"/>
            </w:tcBorders>
          </w:tcPr>
          <w:p>
            <w:pPr>
              <w:pStyle w:val="MDPI42tablebody"/>
              <w:keepNext/>
              <w:spacing w:line="240" w:lineRule="auto" w:before="30" w:after="30"/>
              <w:jc w:val="center"/>
            </w:pPr>
            <w:r>
              <w:rPr>
                <w:b/>
                <w:i w:val="0"/>
                <w:sz w:val="18"/>
              </w:rPr>
              <w:t>Crossover (0.50)</w:t>
            </w:r>
          </w:p>
        </w:tc>
        <w:tc>
          <w:tcPr>
            <w:tcW w:type="dxa" w:w="1728"/>
            <w:tcBorders>
              <w:bottom w:val="single" w:sz="8" w:space="0" w:color="auto"/>
            </w:tcBorders>
          </w:tcPr>
          <w:p>
            <w:pPr>
              <w:pStyle w:val="MDPI42tablebody"/>
              <w:keepNext/>
              <w:spacing w:line="240" w:lineRule="auto" w:before="30" w:after="30"/>
              <w:jc w:val="center"/>
            </w:pPr>
            <w:r>
              <w:rPr>
                <w:b/>
                <w:i w:val="0"/>
                <w:sz w:val="18"/>
              </w:rPr>
              <w:t>Out (0.05)</w:t>
            </w:r>
          </w:p>
        </w:tc>
      </w:tr>
      <w:tr>
        <w:trPr>
          <w:cantSplit/>
        </w:trPr>
        <w:tc>
          <w:tcPr>
            <w:tcW w:type="dxa" w:w="7858"/>
            <w:gridSpan w:val="4"/>
          </w:tcPr>
          <w:p>
            <w:pPr>
              <w:pStyle w:val="MDPI42tablebody"/>
              <w:keepNext/>
              <w:spacing w:line="240" w:lineRule="auto" w:before="60" w:after="30"/>
              <w:jc w:val="left"/>
            </w:pPr>
            <w:r>
              <w:rPr>
                <w:b/>
                <w:i/>
                <w:sz w:val="18"/>
              </w:rPr>
              <w:t>Panel A: calibration anchors (raw score at membership 0.95 / 0.50 / 0.05)</w:t>
            </w:r>
          </w:p>
        </w:tc>
      </w:tr>
      <w:tr>
        <w:trPr>
          <w:cantSplit/>
        </w:trPr>
        <w:tc>
          <w:tcPr>
            <w:tcW w:type="dxa" w:w="2671"/>
          </w:tcPr>
          <w:p>
            <w:pPr>
              <w:pStyle w:val="MDPI42tablebody"/>
              <w:keepNext/>
              <w:spacing w:line="240" w:lineRule="auto" w:before="30" w:after="30"/>
              <w:jc w:val="left"/>
            </w:pPr>
            <w:r>
              <w:rPr>
                <w:b w:val="0"/>
                <w:i w:val="0"/>
                <w:sz w:val="18"/>
              </w:rPr>
              <w:t>PHCD</w:t>
            </w:r>
          </w:p>
        </w:tc>
        <w:tc>
          <w:tcPr>
            <w:tcW w:type="dxa" w:w="1728"/>
          </w:tcPr>
          <w:p>
            <w:pPr>
              <w:pStyle w:val="MDPI42tablebody"/>
              <w:keepNext/>
              <w:spacing w:line="240" w:lineRule="auto" w:before="30" w:after="30"/>
              <w:jc w:val="center"/>
            </w:pPr>
            <w:r>
              <w:rPr>
                <w:b w:val="0"/>
                <w:i w:val="0"/>
                <w:sz w:val="18"/>
              </w:rPr>
              <w:t>1.70</w:t>
            </w:r>
          </w:p>
        </w:tc>
        <w:tc>
          <w:tcPr>
            <w:tcW w:type="dxa" w:w="1728"/>
          </w:tcPr>
          <w:p>
            <w:pPr>
              <w:pStyle w:val="MDPI42tablebody"/>
              <w:keepNext/>
              <w:spacing w:line="240" w:lineRule="auto" w:before="30" w:after="30"/>
              <w:jc w:val="center"/>
            </w:pPr>
            <w:r>
              <w:rPr>
                <w:b w:val="0"/>
                <w:i w:val="0"/>
                <w:sz w:val="18"/>
              </w:rPr>
              <w:t>0.03</w:t>
            </w:r>
          </w:p>
        </w:tc>
        <w:tc>
          <w:tcPr>
            <w:tcW w:type="dxa" w:w="1728"/>
          </w:tcPr>
          <w:p>
            <w:pPr>
              <w:pStyle w:val="MDPI42tablebody"/>
              <w:keepNext/>
              <w:spacing w:line="240" w:lineRule="auto" w:before="30" w:after="30"/>
              <w:jc w:val="center"/>
            </w:pPr>
            <w:r>
              <w:rPr>
                <w:b w:val="0"/>
                <w:i w:val="0"/>
                <w:sz w:val="18"/>
              </w:rPr>
              <w:t>−1.75</w:t>
            </w:r>
          </w:p>
        </w:tc>
      </w:tr>
      <w:tr>
        <w:trPr>
          <w:cantSplit/>
        </w:trPr>
        <w:tc>
          <w:tcPr>
            <w:tcW w:type="dxa" w:w="2671"/>
          </w:tcPr>
          <w:p>
            <w:pPr>
              <w:pStyle w:val="MDPI42tablebody"/>
              <w:keepNext/>
              <w:spacing w:line="240" w:lineRule="auto" w:before="30" w:after="30"/>
              <w:jc w:val="left"/>
            </w:pPr>
            <w:r>
              <w:rPr>
                <w:b w:val="0"/>
                <w:i w:val="0"/>
                <w:sz w:val="18"/>
              </w:rPr>
              <w:t>ANX</w:t>
            </w:r>
          </w:p>
        </w:tc>
        <w:tc>
          <w:tcPr>
            <w:tcW w:type="dxa" w:w="1728"/>
          </w:tcPr>
          <w:p>
            <w:pPr>
              <w:pStyle w:val="MDPI42tablebody"/>
              <w:keepNext/>
              <w:spacing w:line="240" w:lineRule="auto" w:before="30" w:after="30"/>
              <w:jc w:val="center"/>
            </w:pPr>
            <w:r>
              <w:rPr>
                <w:b w:val="0"/>
                <w:i w:val="0"/>
                <w:sz w:val="18"/>
              </w:rPr>
              <w:t>1.58</w:t>
            </w:r>
          </w:p>
        </w:tc>
        <w:tc>
          <w:tcPr>
            <w:tcW w:type="dxa" w:w="1728"/>
          </w:tcPr>
          <w:p>
            <w:pPr>
              <w:pStyle w:val="MDPI42tablebody"/>
              <w:keepNext/>
              <w:spacing w:line="240" w:lineRule="auto" w:before="30" w:after="30"/>
              <w:jc w:val="center"/>
            </w:pPr>
            <w:r>
              <w:rPr>
                <w:b w:val="0"/>
                <w:i w:val="0"/>
                <w:sz w:val="18"/>
              </w:rPr>
              <w:t>0.03</w:t>
            </w:r>
          </w:p>
        </w:tc>
        <w:tc>
          <w:tcPr>
            <w:tcW w:type="dxa" w:w="1728"/>
          </w:tcPr>
          <w:p>
            <w:pPr>
              <w:pStyle w:val="MDPI42tablebody"/>
              <w:keepNext/>
              <w:spacing w:line="240" w:lineRule="auto" w:before="30" w:after="30"/>
              <w:jc w:val="center"/>
            </w:pPr>
            <w:r>
              <w:rPr>
                <w:b w:val="0"/>
                <w:i w:val="0"/>
                <w:sz w:val="18"/>
              </w:rPr>
              <w:t>−1.68</w:t>
            </w:r>
          </w:p>
        </w:tc>
      </w:tr>
      <w:tr>
        <w:trPr>
          <w:cantSplit/>
        </w:trPr>
        <w:tc>
          <w:tcPr>
            <w:tcW w:type="dxa" w:w="2671"/>
          </w:tcPr>
          <w:p>
            <w:pPr>
              <w:pStyle w:val="MDPI42tablebody"/>
              <w:keepNext/>
              <w:spacing w:line="240" w:lineRule="auto" w:before="30" w:after="30"/>
              <w:jc w:val="left"/>
            </w:pPr>
            <w:r>
              <w:rPr>
                <w:b w:val="0"/>
                <w:i w:val="0"/>
                <w:sz w:val="18"/>
              </w:rPr>
              <w:t>LIT</w:t>
            </w:r>
          </w:p>
        </w:tc>
        <w:tc>
          <w:tcPr>
            <w:tcW w:type="dxa" w:w="1728"/>
          </w:tcPr>
          <w:p>
            <w:pPr>
              <w:pStyle w:val="MDPI42tablebody"/>
              <w:keepNext/>
              <w:spacing w:line="240" w:lineRule="auto" w:before="30" w:after="30"/>
              <w:jc w:val="center"/>
            </w:pPr>
            <w:r>
              <w:rPr>
                <w:b w:val="0"/>
                <w:i w:val="0"/>
                <w:sz w:val="18"/>
              </w:rPr>
              <w:t>1.63</w:t>
            </w:r>
          </w:p>
        </w:tc>
        <w:tc>
          <w:tcPr>
            <w:tcW w:type="dxa" w:w="1728"/>
          </w:tcPr>
          <w:p>
            <w:pPr>
              <w:pStyle w:val="MDPI42tablebody"/>
              <w:keepNext/>
              <w:spacing w:line="240" w:lineRule="auto" w:before="30" w:after="30"/>
              <w:jc w:val="center"/>
            </w:pPr>
            <w:r>
              <w:rPr>
                <w:b w:val="0"/>
                <w:i w:val="0"/>
                <w:sz w:val="18"/>
              </w:rPr>
              <w:t>0.03</w:t>
            </w:r>
          </w:p>
        </w:tc>
        <w:tc>
          <w:tcPr>
            <w:tcW w:type="dxa" w:w="1728"/>
          </w:tcPr>
          <w:p>
            <w:pPr>
              <w:pStyle w:val="MDPI42tablebody"/>
              <w:keepNext/>
              <w:spacing w:line="240" w:lineRule="auto" w:before="30" w:after="30"/>
              <w:jc w:val="center"/>
            </w:pPr>
            <w:r>
              <w:rPr>
                <w:b w:val="0"/>
                <w:i w:val="0"/>
                <w:sz w:val="18"/>
              </w:rPr>
              <w:t>−1.76</w:t>
            </w:r>
          </w:p>
        </w:tc>
      </w:tr>
      <w:tr>
        <w:trPr>
          <w:cantSplit/>
        </w:trPr>
        <w:tc>
          <w:tcPr>
            <w:tcW w:type="dxa" w:w="2671"/>
          </w:tcPr>
          <w:p>
            <w:pPr>
              <w:pStyle w:val="MDPI42tablebody"/>
              <w:keepNext/>
              <w:spacing w:line="240" w:lineRule="auto" w:before="30" w:after="30"/>
              <w:jc w:val="left"/>
            </w:pPr>
            <w:r>
              <w:rPr>
                <w:b w:val="0"/>
                <w:i w:val="0"/>
                <w:sz w:val="18"/>
              </w:rPr>
              <w:t>SUP</w:t>
            </w:r>
          </w:p>
        </w:tc>
        <w:tc>
          <w:tcPr>
            <w:tcW w:type="dxa" w:w="1728"/>
          </w:tcPr>
          <w:p>
            <w:pPr>
              <w:pStyle w:val="MDPI42tablebody"/>
              <w:keepNext/>
              <w:spacing w:line="240" w:lineRule="auto" w:before="30" w:after="30"/>
              <w:jc w:val="center"/>
            </w:pPr>
            <w:r>
              <w:rPr>
                <w:b w:val="0"/>
                <w:i w:val="0"/>
                <w:sz w:val="18"/>
              </w:rPr>
              <w:t>1.64</w:t>
            </w:r>
          </w:p>
        </w:tc>
        <w:tc>
          <w:tcPr>
            <w:tcW w:type="dxa" w:w="1728"/>
          </w:tcPr>
          <w:p>
            <w:pPr>
              <w:pStyle w:val="MDPI42tablebody"/>
              <w:keepNext/>
              <w:spacing w:line="240" w:lineRule="auto" w:before="30" w:after="30"/>
              <w:jc w:val="center"/>
            </w:pPr>
            <w:r>
              <w:rPr>
                <w:b w:val="0"/>
                <w:i w:val="0"/>
                <w:sz w:val="18"/>
              </w:rPr>
              <w:t>0.01</w:t>
            </w:r>
          </w:p>
        </w:tc>
        <w:tc>
          <w:tcPr>
            <w:tcW w:type="dxa" w:w="1728"/>
          </w:tcPr>
          <w:p>
            <w:pPr>
              <w:pStyle w:val="MDPI42tablebody"/>
              <w:keepNext/>
              <w:spacing w:line="240" w:lineRule="auto" w:before="30" w:after="30"/>
              <w:jc w:val="center"/>
            </w:pPr>
            <w:r>
              <w:rPr>
                <w:b w:val="0"/>
                <w:i w:val="0"/>
                <w:sz w:val="18"/>
              </w:rPr>
              <w:t>−1.61</w:t>
            </w:r>
          </w:p>
        </w:tc>
      </w:tr>
      <w:tr>
        <w:trPr>
          <w:cantSplit/>
        </w:trPr>
        <w:tc>
          <w:tcPr>
            <w:tcW w:type="dxa" w:w="2671"/>
          </w:tcPr>
          <w:p>
            <w:pPr>
              <w:pStyle w:val="MDPI42tablebody"/>
              <w:keepNext/>
              <w:spacing w:line="240" w:lineRule="auto" w:before="30" w:after="30"/>
              <w:jc w:val="left"/>
            </w:pPr>
            <w:r>
              <w:rPr>
                <w:b w:val="0"/>
                <w:i w:val="0"/>
                <w:sz w:val="18"/>
              </w:rPr>
              <w:t>EXPO</w:t>
            </w:r>
          </w:p>
        </w:tc>
        <w:tc>
          <w:tcPr>
            <w:tcW w:type="dxa" w:w="1728"/>
          </w:tcPr>
          <w:p>
            <w:pPr>
              <w:pStyle w:val="MDPI42tablebody"/>
              <w:keepNext/>
              <w:spacing w:line="240" w:lineRule="auto" w:before="30" w:after="30"/>
              <w:jc w:val="center"/>
            </w:pPr>
            <w:r>
              <w:rPr>
                <w:b w:val="0"/>
                <w:i w:val="0"/>
                <w:sz w:val="18"/>
              </w:rPr>
              <w:t>1.56</w:t>
            </w:r>
          </w:p>
        </w:tc>
        <w:tc>
          <w:tcPr>
            <w:tcW w:type="dxa" w:w="1728"/>
          </w:tcPr>
          <w:p>
            <w:pPr>
              <w:pStyle w:val="MDPI42tablebody"/>
              <w:keepNext/>
              <w:spacing w:line="240" w:lineRule="auto" w:before="30" w:after="30"/>
              <w:jc w:val="center"/>
            </w:pPr>
            <w:r>
              <w:rPr>
                <w:b w:val="0"/>
                <w:i w:val="0"/>
                <w:sz w:val="18"/>
              </w:rPr>
              <w:t>0.09</w:t>
            </w:r>
          </w:p>
        </w:tc>
        <w:tc>
          <w:tcPr>
            <w:tcW w:type="dxa" w:w="1728"/>
          </w:tcPr>
          <w:p>
            <w:pPr>
              <w:pStyle w:val="MDPI42tablebody"/>
              <w:keepNext/>
              <w:spacing w:line="240" w:lineRule="auto" w:before="30" w:after="30"/>
              <w:jc w:val="center"/>
            </w:pPr>
            <w:r>
              <w:rPr>
                <w:b w:val="0"/>
                <w:i w:val="0"/>
                <w:sz w:val="18"/>
              </w:rPr>
              <w:t>−1.89</w:t>
            </w:r>
          </w:p>
        </w:tc>
      </w:tr>
      <w:tr>
        <w:trPr>
          <w:cantSplit/>
        </w:trPr>
        <w:tc>
          <w:tcPr>
            <w:tcW w:type="dxa" w:w="7858"/>
            <w:gridSpan w:val="4"/>
          </w:tcPr>
          <w:p>
            <w:pPr>
              <w:pStyle w:val="MDPI42tablebody"/>
              <w:keepNext/>
              <w:spacing w:line="240" w:lineRule="auto" w:before="60" w:after="30"/>
              <w:jc w:val="left"/>
            </w:pPr>
            <w:r>
              <w:rPr>
                <w:b/>
                <w:i/>
                <w:sz w:val="18"/>
              </w:rPr>
              <w:t>Panel B: necessity analysis for high adaptation</w:t>
            </w:r>
          </w:p>
        </w:tc>
      </w:tr>
      <w:tr>
        <w:trPr>
          <w:cantSplit/>
        </w:trPr>
        <w:tc>
          <w:tcPr>
            <w:tcW w:type="dxa" w:w="2671"/>
          </w:tcPr>
          <w:p>
            <w:pPr>
              <w:pStyle w:val="MDPI42tablebody"/>
              <w:keepNext/>
              <w:spacing w:line="240" w:lineRule="auto" w:before="30" w:after="30"/>
              <w:jc w:val="left"/>
            </w:pPr>
            <w:r>
              <w:rPr>
                <w:b w:val="0"/>
                <w:i w:val="0"/>
                <w:sz w:val="18"/>
              </w:rPr>
              <w:t>Condition</w:t>
            </w:r>
          </w:p>
        </w:tc>
        <w:tc>
          <w:tcPr>
            <w:tcW w:type="dxa" w:w="1728"/>
          </w:tcPr>
          <w:p>
            <w:pPr>
              <w:pStyle w:val="MDPI42tablebody"/>
              <w:keepNext/>
              <w:spacing w:line="240" w:lineRule="auto" w:before="30" w:after="30"/>
              <w:jc w:val="center"/>
            </w:pPr>
            <w:r>
              <w:rPr>
                <w:b w:val="0"/>
                <w:i w:val="0"/>
                <w:sz w:val="18"/>
              </w:rPr>
              <w:t>Consistency</w:t>
            </w:r>
          </w:p>
        </w:tc>
        <w:tc>
          <w:tcPr>
            <w:tcW w:type="dxa" w:w="1728"/>
          </w:tcPr>
          <w:p>
            <w:pPr>
              <w:pStyle w:val="MDPI42tablebody"/>
              <w:keepNext/>
              <w:spacing w:line="240" w:lineRule="auto" w:before="30" w:after="30"/>
              <w:jc w:val="center"/>
            </w:pPr>
            <w:r>
              <w:rPr>
                <w:b w:val="0"/>
                <w:i w:val="0"/>
                <w:sz w:val="18"/>
              </w:rPr>
              <w:t>Coverage</w:t>
            </w:r>
          </w:p>
        </w:tc>
        <w:tc>
          <w:tcPr>
            <w:tcW w:type="dxa" w:w="1728"/>
          </w:tcPr>
          <w:p>
            <w:pPr>
              <w:pStyle w:val="MDPI42tablebody"/>
              <w:keepNext/>
              <w:spacing w:line="240" w:lineRule="auto" w:before="30" w:after="30"/>
              <w:jc w:val="center"/>
            </w:pPr>
          </w:p>
        </w:tc>
      </w:tr>
      <w:tr>
        <w:trPr>
          <w:cantSplit/>
        </w:trPr>
        <w:tc>
          <w:tcPr>
            <w:tcW w:type="dxa" w:w="2671"/>
          </w:tcPr>
          <w:p>
            <w:pPr>
              <w:pStyle w:val="MDPI42tablebody"/>
              <w:keepNext/>
              <w:spacing w:line="240" w:lineRule="auto" w:before="30" w:after="30"/>
              <w:jc w:val="left"/>
            </w:pPr>
            <w:r>
              <w:rPr>
                <w:b w:val="0"/>
                <w:i w:val="0"/>
                <w:sz w:val="18"/>
              </w:rPr>
              <w:t>PHCD</w:t>
            </w:r>
          </w:p>
        </w:tc>
        <w:tc>
          <w:tcPr>
            <w:tcW w:type="dxa" w:w="1728"/>
          </w:tcPr>
          <w:p>
            <w:pPr>
              <w:pStyle w:val="MDPI42tablebody"/>
              <w:keepNext/>
              <w:spacing w:line="240" w:lineRule="auto" w:before="30" w:after="30"/>
              <w:jc w:val="center"/>
            </w:pPr>
            <w:r>
              <w:rPr>
                <w:b w:val="0"/>
                <w:i w:val="0"/>
                <w:sz w:val="18"/>
              </w:rPr>
              <w:t>0.665</w:t>
            </w:r>
          </w:p>
        </w:tc>
        <w:tc>
          <w:tcPr>
            <w:tcW w:type="dxa" w:w="1728"/>
          </w:tcPr>
          <w:p>
            <w:pPr>
              <w:pStyle w:val="MDPI42tablebody"/>
              <w:keepNext/>
              <w:spacing w:line="240" w:lineRule="auto" w:before="30" w:after="30"/>
              <w:jc w:val="center"/>
            </w:pPr>
            <w:r>
              <w:rPr>
                <w:b w:val="0"/>
                <w:i w:val="0"/>
                <w:sz w:val="18"/>
              </w:rPr>
              <w:t>0.667</w:t>
            </w:r>
          </w:p>
        </w:tc>
        <w:tc>
          <w:tcPr>
            <w:tcW w:type="dxa" w:w="1728"/>
          </w:tcPr>
          <w:p>
            <w:pPr>
              <w:pStyle w:val="MDPI42tablebody"/>
              <w:keepNext/>
              <w:spacing w:line="240" w:lineRule="auto" w:before="30" w:after="30"/>
              <w:jc w:val="center"/>
            </w:pPr>
          </w:p>
        </w:tc>
      </w:tr>
      <w:tr>
        <w:trPr>
          <w:cantSplit/>
        </w:trPr>
        <w:tc>
          <w:tcPr>
            <w:tcW w:type="dxa" w:w="2671"/>
          </w:tcPr>
          <w:p>
            <w:pPr>
              <w:pStyle w:val="MDPI42tablebody"/>
              <w:keepNext/>
              <w:spacing w:line="240" w:lineRule="auto" w:before="30" w:after="30"/>
              <w:jc w:val="left"/>
            </w:pPr>
            <w:r>
              <w:rPr>
                <w:b w:val="0"/>
                <w:i w:val="0"/>
                <w:sz w:val="18"/>
              </w:rPr>
              <w:t>~PHCD</w:t>
            </w:r>
          </w:p>
        </w:tc>
        <w:tc>
          <w:tcPr>
            <w:tcW w:type="dxa" w:w="1728"/>
          </w:tcPr>
          <w:p>
            <w:pPr>
              <w:pStyle w:val="MDPI42tablebody"/>
              <w:keepNext/>
              <w:spacing w:line="240" w:lineRule="auto" w:before="30" w:after="30"/>
              <w:jc w:val="center"/>
            </w:pPr>
            <w:r>
              <w:rPr>
                <w:b w:val="0"/>
                <w:i w:val="0"/>
                <w:sz w:val="18"/>
              </w:rPr>
              <w:t>0.639</w:t>
            </w:r>
          </w:p>
        </w:tc>
        <w:tc>
          <w:tcPr>
            <w:tcW w:type="dxa" w:w="1728"/>
          </w:tcPr>
          <w:p>
            <w:pPr>
              <w:pStyle w:val="MDPI42tablebody"/>
              <w:keepNext/>
              <w:spacing w:line="240" w:lineRule="auto" w:before="30" w:after="30"/>
              <w:jc w:val="center"/>
            </w:pPr>
            <w:r>
              <w:rPr>
                <w:b w:val="0"/>
                <w:i w:val="0"/>
                <w:sz w:val="18"/>
              </w:rPr>
              <w:t>0.647</w:t>
            </w:r>
          </w:p>
        </w:tc>
        <w:tc>
          <w:tcPr>
            <w:tcW w:type="dxa" w:w="1728"/>
          </w:tcPr>
          <w:p>
            <w:pPr>
              <w:pStyle w:val="MDPI42tablebody"/>
              <w:keepNext/>
              <w:spacing w:line="240" w:lineRule="auto" w:before="30" w:after="30"/>
              <w:jc w:val="center"/>
            </w:pPr>
          </w:p>
        </w:tc>
      </w:tr>
      <w:tr>
        <w:trPr>
          <w:cantSplit/>
        </w:trPr>
        <w:tc>
          <w:tcPr>
            <w:tcW w:type="dxa" w:w="2671"/>
          </w:tcPr>
          <w:p>
            <w:pPr>
              <w:pStyle w:val="MDPI42tablebody"/>
              <w:keepNext/>
              <w:spacing w:line="240" w:lineRule="auto" w:before="30" w:after="30"/>
              <w:jc w:val="left"/>
            </w:pPr>
            <w:r>
              <w:rPr>
                <w:b w:val="0"/>
                <w:i w:val="0"/>
                <w:sz w:val="18"/>
              </w:rPr>
              <w:t>ANX</w:t>
            </w:r>
          </w:p>
        </w:tc>
        <w:tc>
          <w:tcPr>
            <w:tcW w:type="dxa" w:w="1728"/>
          </w:tcPr>
          <w:p>
            <w:pPr>
              <w:pStyle w:val="MDPI42tablebody"/>
              <w:keepNext/>
              <w:spacing w:line="240" w:lineRule="auto" w:before="30" w:after="30"/>
              <w:jc w:val="center"/>
            </w:pPr>
            <w:r>
              <w:rPr>
                <w:b w:val="0"/>
                <w:i w:val="0"/>
                <w:sz w:val="18"/>
              </w:rPr>
              <w:t>0.674</w:t>
            </w:r>
          </w:p>
        </w:tc>
        <w:tc>
          <w:tcPr>
            <w:tcW w:type="dxa" w:w="1728"/>
          </w:tcPr>
          <w:p>
            <w:pPr>
              <w:pStyle w:val="MDPI42tablebody"/>
              <w:keepNext/>
              <w:spacing w:line="240" w:lineRule="auto" w:before="30" w:after="30"/>
              <w:jc w:val="center"/>
            </w:pPr>
            <w:r>
              <w:rPr>
                <w:b w:val="0"/>
                <w:i w:val="0"/>
                <w:sz w:val="18"/>
              </w:rPr>
              <w:t>0.677</w:t>
            </w:r>
          </w:p>
        </w:tc>
        <w:tc>
          <w:tcPr>
            <w:tcW w:type="dxa" w:w="1728"/>
          </w:tcPr>
          <w:p>
            <w:pPr>
              <w:pStyle w:val="MDPI42tablebody"/>
              <w:keepNext/>
              <w:spacing w:line="240" w:lineRule="auto" w:before="30" w:after="30"/>
              <w:jc w:val="center"/>
            </w:pPr>
          </w:p>
        </w:tc>
      </w:tr>
      <w:tr>
        <w:trPr>
          <w:cantSplit/>
        </w:trPr>
        <w:tc>
          <w:tcPr>
            <w:tcW w:type="dxa" w:w="2671"/>
          </w:tcPr>
          <w:p>
            <w:pPr>
              <w:pStyle w:val="MDPI42tablebody"/>
              <w:keepNext/>
              <w:spacing w:line="240" w:lineRule="auto" w:before="30" w:after="30"/>
              <w:jc w:val="left"/>
            </w:pPr>
            <w:r>
              <w:rPr>
                <w:b w:val="0"/>
                <w:i w:val="0"/>
                <w:sz w:val="18"/>
              </w:rPr>
              <w:t>~ANX</w:t>
            </w:r>
          </w:p>
        </w:tc>
        <w:tc>
          <w:tcPr>
            <w:tcW w:type="dxa" w:w="1728"/>
          </w:tcPr>
          <w:p>
            <w:pPr>
              <w:pStyle w:val="MDPI42tablebody"/>
              <w:keepNext/>
              <w:spacing w:line="240" w:lineRule="auto" w:before="30" w:after="30"/>
              <w:jc w:val="center"/>
            </w:pPr>
            <w:r>
              <w:rPr>
                <w:b w:val="0"/>
                <w:i w:val="0"/>
                <w:sz w:val="18"/>
              </w:rPr>
              <w:t>0.614</w:t>
            </w:r>
          </w:p>
        </w:tc>
        <w:tc>
          <w:tcPr>
            <w:tcW w:type="dxa" w:w="1728"/>
          </w:tcPr>
          <w:p>
            <w:pPr>
              <w:pStyle w:val="MDPI42tablebody"/>
              <w:keepNext/>
              <w:spacing w:line="240" w:lineRule="auto" w:before="30" w:after="30"/>
              <w:jc w:val="center"/>
            </w:pPr>
            <w:r>
              <w:rPr>
                <w:b w:val="0"/>
                <w:i w:val="0"/>
                <w:sz w:val="18"/>
              </w:rPr>
              <w:t>0.621</w:t>
            </w:r>
          </w:p>
        </w:tc>
        <w:tc>
          <w:tcPr>
            <w:tcW w:type="dxa" w:w="1728"/>
          </w:tcPr>
          <w:p>
            <w:pPr>
              <w:pStyle w:val="MDPI42tablebody"/>
              <w:keepNext/>
              <w:spacing w:line="240" w:lineRule="auto" w:before="30" w:after="30"/>
              <w:jc w:val="center"/>
            </w:pPr>
          </w:p>
        </w:tc>
      </w:tr>
      <w:tr>
        <w:trPr>
          <w:cantSplit/>
        </w:trPr>
        <w:tc>
          <w:tcPr>
            <w:tcW w:type="dxa" w:w="2671"/>
          </w:tcPr>
          <w:p>
            <w:pPr>
              <w:pStyle w:val="MDPI42tablebody"/>
              <w:keepNext/>
              <w:spacing w:line="240" w:lineRule="auto" w:before="30" w:after="30"/>
              <w:jc w:val="left"/>
            </w:pPr>
            <w:r>
              <w:rPr>
                <w:b w:val="0"/>
                <w:i w:val="0"/>
                <w:sz w:val="18"/>
              </w:rPr>
              <w:t>LIT</w:t>
            </w:r>
          </w:p>
        </w:tc>
        <w:tc>
          <w:tcPr>
            <w:tcW w:type="dxa" w:w="1728"/>
          </w:tcPr>
          <w:p>
            <w:pPr>
              <w:pStyle w:val="MDPI42tablebody"/>
              <w:keepNext/>
              <w:spacing w:line="240" w:lineRule="auto" w:before="30" w:after="30"/>
              <w:jc w:val="center"/>
            </w:pPr>
            <w:r>
              <w:rPr>
                <w:b w:val="0"/>
                <w:i w:val="0"/>
                <w:sz w:val="18"/>
              </w:rPr>
              <w:t>0.708</w:t>
            </w:r>
          </w:p>
        </w:tc>
        <w:tc>
          <w:tcPr>
            <w:tcW w:type="dxa" w:w="1728"/>
          </w:tcPr>
          <w:p>
            <w:pPr>
              <w:pStyle w:val="MDPI42tablebody"/>
              <w:keepNext/>
              <w:spacing w:line="240" w:lineRule="auto" w:before="30" w:after="30"/>
              <w:jc w:val="center"/>
            </w:pPr>
            <w:r>
              <w:rPr>
                <w:b w:val="0"/>
                <w:i w:val="0"/>
                <w:sz w:val="18"/>
              </w:rPr>
              <w:t>0.718</w:t>
            </w:r>
          </w:p>
        </w:tc>
        <w:tc>
          <w:tcPr>
            <w:tcW w:type="dxa" w:w="1728"/>
          </w:tcPr>
          <w:p>
            <w:pPr>
              <w:pStyle w:val="MDPI42tablebody"/>
              <w:keepNext/>
              <w:spacing w:line="240" w:lineRule="auto" w:before="30" w:after="30"/>
              <w:jc w:val="center"/>
            </w:pPr>
          </w:p>
        </w:tc>
      </w:tr>
      <w:tr>
        <w:trPr>
          <w:cantSplit/>
        </w:trPr>
        <w:tc>
          <w:tcPr>
            <w:tcW w:type="dxa" w:w="2671"/>
          </w:tcPr>
          <w:p>
            <w:pPr>
              <w:pStyle w:val="MDPI42tablebody"/>
              <w:keepNext/>
              <w:spacing w:line="240" w:lineRule="auto" w:before="30" w:after="30"/>
              <w:jc w:val="left"/>
            </w:pPr>
            <w:r>
              <w:rPr>
                <w:b w:val="0"/>
                <w:i w:val="0"/>
                <w:sz w:val="18"/>
              </w:rPr>
              <w:t>~LIT</w:t>
            </w:r>
          </w:p>
        </w:tc>
        <w:tc>
          <w:tcPr>
            <w:tcW w:type="dxa" w:w="1728"/>
          </w:tcPr>
          <w:p>
            <w:pPr>
              <w:pStyle w:val="MDPI42tablebody"/>
              <w:keepNext/>
              <w:spacing w:line="240" w:lineRule="auto" w:before="30" w:after="30"/>
              <w:jc w:val="center"/>
            </w:pPr>
            <w:r>
              <w:rPr>
                <w:b w:val="0"/>
                <w:i w:val="0"/>
                <w:sz w:val="18"/>
              </w:rPr>
              <w:t>0.592</w:t>
            </w:r>
          </w:p>
        </w:tc>
        <w:tc>
          <w:tcPr>
            <w:tcW w:type="dxa" w:w="1728"/>
          </w:tcPr>
          <w:p>
            <w:pPr>
              <w:pStyle w:val="MDPI42tablebody"/>
              <w:keepNext/>
              <w:spacing w:line="240" w:lineRule="auto" w:before="30" w:after="30"/>
              <w:jc w:val="center"/>
            </w:pPr>
            <w:r>
              <w:rPr>
                <w:b w:val="0"/>
                <w:i w:val="0"/>
                <w:sz w:val="18"/>
              </w:rPr>
              <w:t>0.593</w:t>
            </w:r>
          </w:p>
        </w:tc>
        <w:tc>
          <w:tcPr>
            <w:tcW w:type="dxa" w:w="1728"/>
          </w:tcPr>
          <w:p>
            <w:pPr>
              <w:pStyle w:val="MDPI42tablebody"/>
              <w:keepNext/>
              <w:spacing w:line="240" w:lineRule="auto" w:before="30" w:after="30"/>
              <w:jc w:val="center"/>
            </w:pPr>
          </w:p>
        </w:tc>
      </w:tr>
      <w:tr>
        <w:trPr>
          <w:cantSplit/>
        </w:trPr>
        <w:tc>
          <w:tcPr>
            <w:tcW w:type="dxa" w:w="2671"/>
          </w:tcPr>
          <w:p>
            <w:pPr>
              <w:pStyle w:val="MDPI42tablebody"/>
              <w:keepNext/>
              <w:spacing w:line="240" w:lineRule="auto" w:before="30" w:after="30"/>
              <w:jc w:val="left"/>
            </w:pPr>
            <w:r>
              <w:rPr>
                <w:b w:val="0"/>
                <w:i w:val="0"/>
                <w:sz w:val="18"/>
              </w:rPr>
              <w:t>SUP</w:t>
            </w:r>
          </w:p>
        </w:tc>
        <w:tc>
          <w:tcPr>
            <w:tcW w:type="dxa" w:w="1728"/>
          </w:tcPr>
          <w:p>
            <w:pPr>
              <w:pStyle w:val="MDPI42tablebody"/>
              <w:keepNext/>
              <w:spacing w:line="240" w:lineRule="auto" w:before="30" w:after="30"/>
              <w:jc w:val="center"/>
            </w:pPr>
            <w:r>
              <w:rPr>
                <w:b w:val="0"/>
                <w:i w:val="0"/>
                <w:sz w:val="18"/>
              </w:rPr>
              <w:t>0.682</w:t>
            </w:r>
          </w:p>
        </w:tc>
        <w:tc>
          <w:tcPr>
            <w:tcW w:type="dxa" w:w="1728"/>
          </w:tcPr>
          <w:p>
            <w:pPr>
              <w:pStyle w:val="MDPI42tablebody"/>
              <w:keepNext/>
              <w:spacing w:line="240" w:lineRule="auto" w:before="30" w:after="30"/>
              <w:jc w:val="center"/>
            </w:pPr>
            <w:r>
              <w:rPr>
                <w:b w:val="0"/>
                <w:i w:val="0"/>
                <w:sz w:val="18"/>
              </w:rPr>
              <w:t>0.681</w:t>
            </w:r>
          </w:p>
        </w:tc>
        <w:tc>
          <w:tcPr>
            <w:tcW w:type="dxa" w:w="1728"/>
          </w:tcPr>
          <w:p>
            <w:pPr>
              <w:pStyle w:val="MDPI42tablebody"/>
              <w:keepNext/>
              <w:spacing w:line="240" w:lineRule="auto" w:before="30" w:after="30"/>
              <w:jc w:val="center"/>
            </w:pPr>
          </w:p>
        </w:tc>
      </w:tr>
      <w:tr>
        <w:trPr>
          <w:cantSplit/>
        </w:trPr>
        <w:tc>
          <w:tcPr>
            <w:tcW w:type="dxa" w:w="2671"/>
          </w:tcPr>
          <w:p>
            <w:pPr>
              <w:pStyle w:val="MDPI42tablebody"/>
              <w:keepNext/>
              <w:spacing w:line="240" w:lineRule="auto" w:before="30" w:after="30"/>
              <w:jc w:val="left"/>
            </w:pPr>
            <w:r>
              <w:rPr>
                <w:b w:val="0"/>
                <w:i w:val="0"/>
                <w:sz w:val="18"/>
              </w:rPr>
              <w:t>~SUP</w:t>
            </w:r>
          </w:p>
        </w:tc>
        <w:tc>
          <w:tcPr>
            <w:tcW w:type="dxa" w:w="1728"/>
          </w:tcPr>
          <w:p>
            <w:pPr>
              <w:pStyle w:val="MDPI42tablebody"/>
              <w:keepNext/>
              <w:spacing w:line="240" w:lineRule="auto" w:before="30" w:after="30"/>
              <w:jc w:val="center"/>
            </w:pPr>
            <w:r>
              <w:rPr>
                <w:b w:val="0"/>
                <w:i w:val="0"/>
                <w:sz w:val="18"/>
              </w:rPr>
              <w:t>0.605</w:t>
            </w:r>
          </w:p>
        </w:tc>
        <w:tc>
          <w:tcPr>
            <w:tcW w:type="dxa" w:w="1728"/>
          </w:tcPr>
          <w:p>
            <w:pPr>
              <w:pStyle w:val="MDPI42tablebody"/>
              <w:keepNext/>
              <w:spacing w:line="240" w:lineRule="auto" w:before="30" w:after="30"/>
              <w:jc w:val="center"/>
            </w:pPr>
            <w:r>
              <w:rPr>
                <w:b w:val="0"/>
                <w:i w:val="0"/>
                <w:sz w:val="18"/>
              </w:rPr>
              <w:t>0.615</w:t>
            </w:r>
          </w:p>
        </w:tc>
        <w:tc>
          <w:tcPr>
            <w:tcW w:type="dxa" w:w="1728"/>
          </w:tcPr>
          <w:p>
            <w:pPr>
              <w:pStyle w:val="MDPI42tablebody"/>
              <w:keepNext/>
              <w:spacing w:line="240" w:lineRule="auto" w:before="30" w:after="30"/>
              <w:jc w:val="center"/>
            </w:pPr>
          </w:p>
        </w:tc>
      </w:tr>
      <w:tr>
        <w:trPr>
          <w:cantSplit/>
        </w:trPr>
        <w:tc>
          <w:tcPr>
            <w:tcW w:type="dxa" w:w="2671"/>
          </w:tcPr>
          <w:p>
            <w:pPr>
              <w:pStyle w:val="MDPI42tablebody"/>
              <w:keepNext/>
              <w:spacing w:line="240" w:lineRule="auto" w:before="30" w:after="30"/>
              <w:jc w:val="left"/>
            </w:pPr>
            <w:r>
              <w:rPr>
                <w:b w:val="0"/>
                <w:i w:val="0"/>
                <w:sz w:val="18"/>
              </w:rPr>
              <w:t>EXPO</w:t>
            </w:r>
          </w:p>
        </w:tc>
        <w:tc>
          <w:tcPr>
            <w:tcW w:type="dxa" w:w="1728"/>
          </w:tcPr>
          <w:p>
            <w:pPr>
              <w:pStyle w:val="MDPI42tablebody"/>
              <w:keepNext/>
              <w:spacing w:line="240" w:lineRule="auto" w:before="30" w:after="30"/>
              <w:jc w:val="center"/>
            </w:pPr>
            <w:r>
              <w:rPr>
                <w:b w:val="0"/>
                <w:i w:val="0"/>
                <w:sz w:val="18"/>
              </w:rPr>
              <w:t>0.645</w:t>
            </w:r>
          </w:p>
        </w:tc>
        <w:tc>
          <w:tcPr>
            <w:tcW w:type="dxa" w:w="1728"/>
          </w:tcPr>
          <w:p>
            <w:pPr>
              <w:pStyle w:val="MDPI42tablebody"/>
              <w:keepNext/>
              <w:spacing w:line="240" w:lineRule="auto" w:before="30" w:after="30"/>
              <w:jc w:val="center"/>
            </w:pPr>
            <w:r>
              <w:rPr>
                <w:b w:val="0"/>
                <w:i w:val="0"/>
                <w:sz w:val="18"/>
              </w:rPr>
              <w:t>0.659</w:t>
            </w:r>
          </w:p>
        </w:tc>
        <w:tc>
          <w:tcPr>
            <w:tcW w:type="dxa" w:w="1728"/>
          </w:tcPr>
          <w:p>
            <w:pPr>
              <w:pStyle w:val="MDPI42tablebody"/>
              <w:keepNext/>
              <w:spacing w:line="240" w:lineRule="auto" w:before="30" w:after="30"/>
              <w:jc w:val="center"/>
            </w:pPr>
          </w:p>
        </w:tc>
      </w:tr>
      <w:tr>
        <w:trPr>
          <w:cantSplit/>
        </w:trPr>
        <w:tc>
          <w:tcPr>
            <w:tcW w:type="dxa" w:w="2671"/>
          </w:tcPr>
          <w:p>
            <w:pPr>
              <w:pStyle w:val="MDPI42tablebody"/>
              <w:keepNext/>
              <w:spacing w:line="240" w:lineRule="auto" w:before="30" w:after="30"/>
              <w:jc w:val="left"/>
            </w:pPr>
            <w:r>
              <w:rPr>
                <w:b w:val="0"/>
                <w:i w:val="0"/>
                <w:sz w:val="18"/>
              </w:rPr>
              <w:t>~EXPO</w:t>
            </w:r>
          </w:p>
        </w:tc>
        <w:tc>
          <w:tcPr>
            <w:tcW w:type="dxa" w:w="1728"/>
          </w:tcPr>
          <w:p>
            <w:pPr>
              <w:pStyle w:val="MDPI42tablebody"/>
              <w:keepNext/>
              <w:spacing w:line="240" w:lineRule="auto" w:before="30" w:after="30"/>
              <w:jc w:val="center"/>
            </w:pPr>
            <w:r>
              <w:rPr>
                <w:b w:val="0"/>
                <w:i w:val="0"/>
                <w:sz w:val="18"/>
              </w:rPr>
              <w:t>0.647</w:t>
            </w:r>
          </w:p>
        </w:tc>
        <w:tc>
          <w:tcPr>
            <w:tcW w:type="dxa" w:w="1728"/>
          </w:tcPr>
          <w:p>
            <w:pPr>
              <w:pStyle w:val="MDPI42tablebody"/>
              <w:keepNext/>
              <w:spacing w:line="240" w:lineRule="auto" w:before="30" w:after="30"/>
              <w:jc w:val="center"/>
            </w:pPr>
            <w:r>
              <w:rPr>
                <w:b w:val="0"/>
                <w:i w:val="0"/>
                <w:sz w:val="18"/>
              </w:rPr>
              <w:t>0.643</w:t>
            </w:r>
          </w:p>
        </w:tc>
        <w:tc>
          <w:tcPr>
            <w:tcW w:type="dxa" w:w="1728"/>
          </w:tcPr>
          <w:p>
            <w:pPr>
              <w:pStyle w:val="MDPI42tablebody"/>
              <w:keepNext/>
              <w:spacing w:line="240" w:lineRule="auto" w:before="30" w:after="30"/>
              <w:jc w:val="center"/>
            </w:pPr>
          </w:p>
        </w:tc>
      </w:tr>
    </w:tbl>
    <w:p>
      <w:pPr>
        <w:pStyle w:val="MDPI43tablefooter"/>
        <w:spacing w:line="240" w:lineRule="auto" w:before="40" w:after="200"/>
        <w:ind w:left="2608" w:firstLine="0"/>
      </w:pPr>
      <w:r>
        <w:rPr>
          <w:sz w:val="16"/>
        </w:rPr>
        <w:t xml:space="preserve">Note: </w:t>
      </w:r>
      <w:r>
        <w:rPr>
          <w:b w:val="0"/>
          <w:i w:val="0"/>
          <w:sz w:val="16"/>
        </w:rPr>
        <w:t>Direct-method calibration with anchors at the 95th, 50th and 5th sample percentiles of each standardized score. ~ denotes negation. No consistency reaches the 0.90 threshold conventionally required of a necessary condition. Source: authors’ own calculations.</w:t>
      </w:r>
    </w:p>
    <w:p>
      <w:pPr>
        <w:pStyle w:val="MDPI31text"/>
      </w:pPr>
      <w:r>
        <w:rPr>
          <w:b w:val="0"/>
          <w:i w:val="0"/>
        </w:rPr>
        <w:t xml:space="preserve">Sufficiency is a different matter. Of the 31 truth-table rows that clear the frequency threshold, only 4 pass both consistency screens, and they minimize to a single intermediate solution, identical to the parsimonious solution, so every condition in it is core </w:t>
      </w:r>
      <w:r>
        <w:t>[</w:t>
      </w:r>
      <w:r>
        <w:fldChar w:fldCharType="begin"/>
      </w:r>
      <w:r>
        <w:instrText xml:space="preserve"> REF _Ref_35 \h </w:instrText>
      </w:r>
      <w:r>
        <w:fldChar w:fldCharType="separate"/>
      </w:r>
      <w:r>
        <w:t>35</w:t>
      </w:r>
      <w:r>
        <w:fldChar w:fldCharType="end"/>
      </w:r>
      <w:r>
        <w:t>]</w:t>
      </w:r>
      <w:r>
        <w:rPr>
          <w:b w:val="0"/>
          <w:i w:val="0"/>
        </w:rPr>
        <w:t xml:space="preserve">: the conjunction of anxiety, literacy, and support (Table 14), with consistency 0.892 and coverage 0.406. The near-misses are informative: configurations combining anxiety and literacy without support reach raw consistencies near 0.91 yet fail the proportional-reduction screen, and the highest-consistency row for the negation of adaptation (raw consistency 0.893) fails the same screen (PRI 0.602 &lt; 0.70), so no configuration is reliably sufficient for failing to adapt. Hypothesis H7b is therefore not supported, and its failure is itself a finding: the system offers one road to high adaptation, not many. Anxiety appears in the recipe — the signal is an ingredient of correction — but it never suffices without the actuator and the environment, which is precisely the conjunction the control-loop framing predicted </w:t>
      </w:r>
      <w:r>
        <w:t>[</w:t>
      </w:r>
      <w:r>
        <w:fldChar w:fldCharType="begin"/>
      </w:r>
      <w:r>
        <w:instrText xml:space="preserve"> REF _Ref_27 \h </w:instrText>
      </w:r>
      <w:r>
        <w:fldChar w:fldCharType="separate"/>
      </w:r>
      <w:r>
        <w:t>27</w:t>
      </w:r>
      <w:r>
        <w:fldChar w:fldCharType="end"/>
      </w:r>
      <w:r>
        <w:t>,</w:t>
      </w:r>
      <w:r>
        <w:fldChar w:fldCharType="begin"/>
      </w:r>
      <w:r>
        <w:instrText xml:space="preserve"> REF _Ref_29 \h </w:instrText>
      </w:r>
      <w:r>
        <w:fldChar w:fldCharType="separate"/>
      </w:r>
      <w:r>
        <w:t>29</w:t>
      </w:r>
      <w:r>
        <w:fldChar w:fldCharType="end"/>
      </w:r>
      <w:r>
        <w:t>]</w:t>
      </w:r>
      <w:r>
        <w:rPr>
          <w:b w:val="0"/>
          <w:i w:val="0"/>
        </w:rPr>
        <w:t>.</w:t>
      </w:r>
    </w:p>
    <w:p>
      <w:pPr>
        <w:pStyle w:val="MDPI41tablecaption"/>
        <w:keepNext/>
        <w:spacing w:after="60"/>
      </w:pPr>
      <w:r>
        <w:rPr>
          <w:b/>
          <w:sz w:val="18"/>
        </w:rPr>
        <w:t xml:space="preserve">Table 14. </w:t>
      </w:r>
      <w:r>
        <w:rPr>
          <w:b w:val="0"/>
          <w:i w:val="0"/>
          <w:sz w:val="18"/>
        </w:rPr>
        <w:t>Sufficient configuration for high occupational adaptation.</w:t>
      </w:r>
    </w:p>
    <w:tbl>
      <w:tblPr>
        <w:tblStyle w:val="MDPI41threelinetable"/>
        <w:tblW w:w="7858" w:type="dxa"/>
        <w:tblInd w:w="2608" w:type="dxa"/>
        <w:tblBorders>
          <w:top w:val="single" w:sz="8" w:space="0" w:color="auto"/>
          <w:left w:val="none" w:sz="0" w:space="0" w:color="auto"/>
          <w:bottom w:val="single" w:sz="8" w:space="0" w:color="auto"/>
          <w:right w:val="none" w:sz="0" w:space="0" w:color="auto"/>
          <w:insideH w:val="none" w:sz="0" w:space="0" w:color="auto"/>
          <w:insideV w:val="none" w:sz="0" w:space="0" w:color="auto"/>
        </w:tblBorders>
        <w:tblLayout w:type="fixed"/>
        <w:tblCellMar>
          <w:top w:w="0" w:type="dxa"/>
          <w:left w:w="57" w:type="dxa"/>
          <w:bottom w:w="0" w:type="dxa"/>
          <w:right w:w="57" w:type="dxa"/>
        </w:tblCellMar>
        <w:tblLook w:firstColumn="1" w:firstRow="1" w:lastColumn="0" w:lastRow="0" w:noHBand="0" w:noVBand="1" w:val="04A0"/>
      </w:tblPr>
      <w:tblGrid>
        <w:gridCol w:w="864"/>
        <w:gridCol w:w="675"/>
        <w:gridCol w:w="675"/>
        <w:gridCol w:w="675"/>
        <w:gridCol w:w="675"/>
        <w:gridCol w:w="675"/>
        <w:gridCol w:w="1335"/>
        <w:gridCol w:w="864"/>
        <w:gridCol w:w="1414"/>
      </w:tblGrid>
      <w:tr>
        <w:trPr>
          <w:cantSplit/>
          <w:tblHeader/>
        </w:trPr>
        <w:tc>
          <w:tcPr>
            <w:tcW w:type="dxa" w:w="864"/>
            <w:tcBorders>
              <w:bottom w:val="single" w:sz="8" w:space="0" w:color="auto"/>
            </w:tcBorders>
          </w:tcPr>
          <w:p>
            <w:pPr>
              <w:pStyle w:val="MDPI42tablebody"/>
              <w:keepNext/>
              <w:spacing w:line="240" w:lineRule="auto" w:before="30" w:after="30"/>
              <w:jc w:val="center"/>
            </w:pPr>
          </w:p>
        </w:tc>
        <w:tc>
          <w:tcPr>
            <w:tcW w:type="dxa" w:w="675"/>
            <w:tcBorders>
              <w:bottom w:val="single" w:sz="8" w:space="0" w:color="auto"/>
            </w:tcBorders>
          </w:tcPr>
          <w:p>
            <w:pPr>
              <w:pStyle w:val="MDPI42tablebody"/>
              <w:keepNext/>
              <w:spacing w:line="240" w:lineRule="auto" w:before="30" w:after="30"/>
              <w:jc w:val="center"/>
            </w:pPr>
            <w:r>
              <w:rPr>
                <w:b/>
                <w:i w:val="0"/>
                <w:sz w:val="16"/>
              </w:rPr>
              <w:t>PHCD</w:t>
            </w:r>
          </w:p>
        </w:tc>
        <w:tc>
          <w:tcPr>
            <w:tcW w:type="dxa" w:w="675"/>
            <w:tcBorders>
              <w:bottom w:val="single" w:sz="8" w:space="0" w:color="auto"/>
            </w:tcBorders>
          </w:tcPr>
          <w:p>
            <w:pPr>
              <w:pStyle w:val="MDPI42tablebody"/>
              <w:keepNext/>
              <w:spacing w:line="240" w:lineRule="auto" w:before="30" w:after="30"/>
              <w:jc w:val="center"/>
            </w:pPr>
            <w:r>
              <w:rPr>
                <w:b/>
                <w:i w:val="0"/>
                <w:sz w:val="16"/>
              </w:rPr>
              <w:t>ANX</w:t>
            </w:r>
          </w:p>
        </w:tc>
        <w:tc>
          <w:tcPr>
            <w:tcW w:type="dxa" w:w="675"/>
            <w:tcBorders>
              <w:bottom w:val="single" w:sz="8" w:space="0" w:color="auto"/>
            </w:tcBorders>
          </w:tcPr>
          <w:p>
            <w:pPr>
              <w:pStyle w:val="MDPI42tablebody"/>
              <w:keepNext/>
              <w:spacing w:line="240" w:lineRule="auto" w:before="30" w:after="30"/>
              <w:jc w:val="center"/>
            </w:pPr>
            <w:r>
              <w:rPr>
                <w:b/>
                <w:i w:val="0"/>
                <w:sz w:val="16"/>
              </w:rPr>
              <w:t>LIT</w:t>
            </w:r>
          </w:p>
        </w:tc>
        <w:tc>
          <w:tcPr>
            <w:tcW w:type="dxa" w:w="675"/>
            <w:tcBorders>
              <w:bottom w:val="single" w:sz="8" w:space="0" w:color="auto"/>
            </w:tcBorders>
          </w:tcPr>
          <w:p>
            <w:pPr>
              <w:pStyle w:val="MDPI42tablebody"/>
              <w:keepNext/>
              <w:spacing w:line="240" w:lineRule="auto" w:before="30" w:after="30"/>
              <w:jc w:val="center"/>
            </w:pPr>
            <w:r>
              <w:rPr>
                <w:b/>
                <w:i w:val="0"/>
                <w:sz w:val="16"/>
              </w:rPr>
              <w:t>SUP</w:t>
            </w:r>
          </w:p>
        </w:tc>
        <w:tc>
          <w:tcPr>
            <w:tcW w:type="dxa" w:w="675"/>
            <w:tcBorders>
              <w:bottom w:val="single" w:sz="8" w:space="0" w:color="auto"/>
            </w:tcBorders>
          </w:tcPr>
          <w:p>
            <w:pPr>
              <w:pStyle w:val="MDPI42tablebody"/>
              <w:keepNext/>
              <w:spacing w:line="240" w:lineRule="auto" w:before="30" w:after="30"/>
              <w:jc w:val="center"/>
            </w:pPr>
            <w:r>
              <w:rPr>
                <w:b/>
                <w:i w:val="0"/>
                <w:sz w:val="16"/>
              </w:rPr>
              <w:t>EXPO</w:t>
            </w:r>
          </w:p>
        </w:tc>
        <w:tc>
          <w:tcPr>
            <w:tcW w:type="dxa" w:w="1335"/>
            <w:tcBorders>
              <w:bottom w:val="single" w:sz="8" w:space="0" w:color="auto"/>
            </w:tcBorders>
          </w:tcPr>
          <w:p>
            <w:pPr>
              <w:pStyle w:val="MDPI42tablebody"/>
              <w:keepNext/>
              <w:spacing w:line="240" w:lineRule="auto" w:before="30" w:after="30"/>
              <w:jc w:val="center"/>
            </w:pPr>
            <w:r>
              <w:rPr>
                <w:b/>
                <w:i w:val="0"/>
                <w:sz w:val="16"/>
              </w:rPr>
              <w:t>Consistency</w:t>
            </w:r>
          </w:p>
        </w:tc>
        <w:tc>
          <w:tcPr>
            <w:tcW w:type="dxa" w:w="864"/>
            <w:tcBorders>
              <w:bottom w:val="single" w:sz="8" w:space="0" w:color="auto"/>
            </w:tcBorders>
          </w:tcPr>
          <w:p>
            <w:pPr>
              <w:pStyle w:val="MDPI42tablebody"/>
              <w:keepNext/>
              <w:spacing w:line="240" w:lineRule="auto" w:before="30" w:after="30"/>
              <w:jc w:val="center"/>
            </w:pPr>
            <w:r>
              <w:rPr>
                <w:b/>
                <w:i w:val="0"/>
                <w:sz w:val="16"/>
              </w:rPr>
              <w:t>Raw cov.</w:t>
            </w:r>
          </w:p>
        </w:tc>
        <w:tc>
          <w:tcPr>
            <w:tcW w:type="dxa" w:w="1414"/>
            <w:tcBorders>
              <w:bottom w:val="single" w:sz="8" w:space="0" w:color="auto"/>
            </w:tcBorders>
          </w:tcPr>
          <w:p>
            <w:pPr>
              <w:pStyle w:val="MDPI42tablebody"/>
              <w:keepNext/>
              <w:spacing w:line="240" w:lineRule="auto" w:before="30" w:after="30"/>
              <w:jc w:val="center"/>
            </w:pPr>
            <w:r>
              <w:rPr>
                <w:b/>
                <w:i w:val="0"/>
                <w:sz w:val="16"/>
              </w:rPr>
              <w:t>Unique cov.</w:t>
            </w:r>
          </w:p>
        </w:tc>
      </w:tr>
      <w:tr>
        <w:trPr>
          <w:cantSplit/>
        </w:trPr>
        <w:tc>
          <w:tcPr>
            <w:tcW w:type="dxa" w:w="864"/>
          </w:tcPr>
          <w:p>
            <w:pPr>
              <w:pStyle w:val="MDPI42tablebody"/>
              <w:keepNext/>
              <w:spacing w:line="240" w:lineRule="auto" w:before="30" w:after="30"/>
              <w:jc w:val="left"/>
            </w:pPr>
            <w:r>
              <w:rPr>
                <w:b w:val="0"/>
                <w:i w:val="0"/>
                <w:sz w:val="16"/>
              </w:rPr>
              <w:t>C1</w:t>
            </w:r>
          </w:p>
        </w:tc>
        <w:tc>
          <w:tcPr>
            <w:tcW w:type="dxa" w:w="675"/>
          </w:tcPr>
          <w:p>
            <w:pPr>
              <w:pStyle w:val="MDPI42tablebody"/>
              <w:keepNext/>
              <w:spacing w:line="240" w:lineRule="auto" w:before="30" w:after="30"/>
              <w:jc w:val="center"/>
            </w:pPr>
          </w:p>
        </w:tc>
        <w:tc>
          <w:tcPr>
            <w:tcW w:type="dxa" w:w="675"/>
          </w:tcPr>
          <w:p>
            <w:pPr>
              <w:pStyle w:val="MDPI42tablebody"/>
              <w:keepNext/>
              <w:spacing w:line="240" w:lineRule="auto" w:before="30" w:after="30"/>
              <w:jc w:val="center"/>
            </w:pPr>
            <w:r>
              <w:rPr>
                <w:b w:val="0"/>
                <w:i w:val="0"/>
                <w:sz w:val="16"/>
              </w:rPr>
              <w:t>●</w:t>
            </w:r>
          </w:p>
        </w:tc>
        <w:tc>
          <w:tcPr>
            <w:tcW w:type="dxa" w:w="675"/>
          </w:tcPr>
          <w:p>
            <w:pPr>
              <w:pStyle w:val="MDPI42tablebody"/>
              <w:keepNext/>
              <w:spacing w:line="240" w:lineRule="auto" w:before="30" w:after="30"/>
              <w:jc w:val="center"/>
            </w:pPr>
            <w:r>
              <w:rPr>
                <w:b w:val="0"/>
                <w:i w:val="0"/>
                <w:sz w:val="16"/>
              </w:rPr>
              <w:t>●</w:t>
            </w:r>
          </w:p>
        </w:tc>
        <w:tc>
          <w:tcPr>
            <w:tcW w:type="dxa" w:w="675"/>
          </w:tcPr>
          <w:p>
            <w:pPr>
              <w:pStyle w:val="MDPI42tablebody"/>
              <w:keepNext/>
              <w:spacing w:line="240" w:lineRule="auto" w:before="30" w:after="30"/>
              <w:jc w:val="center"/>
            </w:pPr>
            <w:r>
              <w:rPr>
                <w:b w:val="0"/>
                <w:i w:val="0"/>
                <w:sz w:val="16"/>
              </w:rPr>
              <w:t>●</w:t>
            </w:r>
          </w:p>
        </w:tc>
        <w:tc>
          <w:tcPr>
            <w:tcW w:type="dxa" w:w="675"/>
          </w:tcPr>
          <w:p>
            <w:pPr>
              <w:pStyle w:val="MDPI42tablebody"/>
              <w:keepNext/>
              <w:spacing w:line="240" w:lineRule="auto" w:before="30" w:after="30"/>
              <w:jc w:val="center"/>
            </w:pPr>
          </w:p>
        </w:tc>
        <w:tc>
          <w:tcPr>
            <w:tcW w:type="dxa" w:w="1335"/>
          </w:tcPr>
          <w:p>
            <w:pPr>
              <w:pStyle w:val="MDPI42tablebody"/>
              <w:keepNext/>
              <w:spacing w:line="240" w:lineRule="auto" w:before="30" w:after="30"/>
              <w:jc w:val="center"/>
            </w:pPr>
            <w:r>
              <w:rPr>
                <w:b w:val="0"/>
                <w:i w:val="0"/>
                <w:sz w:val="16"/>
              </w:rPr>
              <w:t>0.892</w:t>
            </w:r>
          </w:p>
        </w:tc>
        <w:tc>
          <w:tcPr>
            <w:tcW w:type="dxa" w:w="864"/>
          </w:tcPr>
          <w:p>
            <w:pPr>
              <w:pStyle w:val="MDPI42tablebody"/>
              <w:keepNext/>
              <w:spacing w:line="240" w:lineRule="auto" w:before="30" w:after="30"/>
              <w:jc w:val="center"/>
            </w:pPr>
            <w:r>
              <w:rPr>
                <w:b w:val="0"/>
                <w:i w:val="0"/>
                <w:sz w:val="16"/>
              </w:rPr>
              <w:t>0.406</w:t>
            </w:r>
          </w:p>
        </w:tc>
        <w:tc>
          <w:tcPr>
            <w:tcW w:type="dxa" w:w="1414"/>
          </w:tcPr>
          <w:p>
            <w:pPr>
              <w:pStyle w:val="MDPI42tablebody"/>
              <w:keepNext/>
              <w:spacing w:line="240" w:lineRule="auto" w:before="30" w:after="30"/>
              <w:jc w:val="center"/>
            </w:pPr>
            <w:r>
              <w:rPr>
                <w:b w:val="0"/>
                <w:i w:val="0"/>
                <w:sz w:val="16"/>
              </w:rPr>
              <w:t>0.406</w:t>
            </w:r>
          </w:p>
        </w:tc>
      </w:tr>
      <w:tr>
        <w:trPr>
          <w:cantSplit/>
        </w:trPr>
        <w:tc>
          <w:tcPr>
            <w:tcW w:type="dxa" w:w="864"/>
          </w:tcPr>
          <w:p>
            <w:pPr>
              <w:pStyle w:val="MDPI42tablebody"/>
              <w:keepNext/>
              <w:spacing w:line="240" w:lineRule="auto" w:before="30" w:after="30"/>
              <w:jc w:val="left"/>
            </w:pPr>
            <w:r>
              <w:rPr>
                <w:b w:val="0"/>
                <w:i w:val="0"/>
                <w:sz w:val="16"/>
              </w:rPr>
              <w:t>Solution</w:t>
            </w:r>
          </w:p>
        </w:tc>
        <w:tc>
          <w:tcPr>
            <w:tcW w:type="dxa" w:w="675"/>
          </w:tcPr>
          <w:p>
            <w:pPr>
              <w:pStyle w:val="MDPI42tablebody"/>
              <w:keepNext/>
              <w:spacing w:line="240" w:lineRule="auto" w:before="30" w:after="30"/>
              <w:jc w:val="center"/>
            </w:pPr>
          </w:p>
        </w:tc>
        <w:tc>
          <w:tcPr>
            <w:tcW w:type="dxa" w:w="675"/>
          </w:tcPr>
          <w:p>
            <w:pPr>
              <w:pStyle w:val="MDPI42tablebody"/>
              <w:keepNext/>
              <w:spacing w:line="240" w:lineRule="auto" w:before="30" w:after="30"/>
              <w:jc w:val="center"/>
            </w:pPr>
          </w:p>
        </w:tc>
        <w:tc>
          <w:tcPr>
            <w:tcW w:type="dxa" w:w="675"/>
          </w:tcPr>
          <w:p>
            <w:pPr>
              <w:pStyle w:val="MDPI42tablebody"/>
              <w:keepNext/>
              <w:spacing w:line="240" w:lineRule="auto" w:before="30" w:after="30"/>
              <w:jc w:val="center"/>
            </w:pPr>
          </w:p>
        </w:tc>
        <w:tc>
          <w:tcPr>
            <w:tcW w:type="dxa" w:w="675"/>
          </w:tcPr>
          <w:p>
            <w:pPr>
              <w:pStyle w:val="MDPI42tablebody"/>
              <w:keepNext/>
              <w:spacing w:line="240" w:lineRule="auto" w:before="30" w:after="30"/>
              <w:jc w:val="center"/>
            </w:pPr>
          </w:p>
        </w:tc>
        <w:tc>
          <w:tcPr>
            <w:tcW w:type="dxa" w:w="675"/>
          </w:tcPr>
          <w:p>
            <w:pPr>
              <w:pStyle w:val="MDPI42tablebody"/>
              <w:keepNext/>
              <w:spacing w:line="240" w:lineRule="auto" w:before="30" w:after="30"/>
              <w:jc w:val="center"/>
            </w:pPr>
          </w:p>
        </w:tc>
        <w:tc>
          <w:tcPr>
            <w:tcW w:type="dxa" w:w="1335"/>
          </w:tcPr>
          <w:p>
            <w:pPr>
              <w:pStyle w:val="MDPI42tablebody"/>
              <w:keepNext/>
              <w:spacing w:line="240" w:lineRule="auto" w:before="30" w:after="30"/>
              <w:jc w:val="center"/>
            </w:pPr>
            <w:r>
              <w:rPr>
                <w:b w:val="0"/>
                <w:i w:val="0"/>
                <w:sz w:val="16"/>
              </w:rPr>
              <w:t>0.892</w:t>
            </w:r>
          </w:p>
        </w:tc>
        <w:tc>
          <w:tcPr>
            <w:tcW w:type="dxa" w:w="864"/>
          </w:tcPr>
          <w:p>
            <w:pPr>
              <w:pStyle w:val="MDPI42tablebody"/>
              <w:keepNext/>
              <w:spacing w:line="240" w:lineRule="auto" w:before="30" w:after="30"/>
              <w:jc w:val="center"/>
            </w:pPr>
            <w:r>
              <w:rPr>
                <w:b w:val="0"/>
                <w:i w:val="0"/>
                <w:sz w:val="16"/>
              </w:rPr>
              <w:t>0.406</w:t>
            </w:r>
          </w:p>
        </w:tc>
        <w:tc>
          <w:tcPr>
            <w:tcW w:type="dxa" w:w="1414"/>
          </w:tcPr>
          <w:p>
            <w:pPr>
              <w:pStyle w:val="MDPI42tablebody"/>
              <w:keepNext/>
              <w:spacing w:line="240" w:lineRule="auto" w:before="30" w:after="30"/>
              <w:jc w:val="center"/>
            </w:pPr>
          </w:p>
        </w:tc>
      </w:tr>
    </w:tbl>
    <w:p>
      <w:pPr>
        <w:pStyle w:val="MDPI43tablefooter"/>
        <w:spacing w:line="240" w:lineRule="auto" w:before="40" w:after="200"/>
        <w:ind w:left="2608" w:firstLine="0"/>
      </w:pPr>
      <w:r>
        <w:rPr>
          <w:sz w:val="16"/>
        </w:rPr>
        <w:t xml:space="preserve">Note: </w:t>
      </w:r>
      <w:r>
        <w:rPr>
          <w:b w:val="0"/>
          <w:i w:val="0"/>
          <w:sz w:val="16"/>
        </w:rPr>
        <w:t>● indicates the presence of a condition and ⊗ its absence; a blank cell means the condition is irrelevant to the configuration. All marked conditions are core: the parsimonious and intermediate solutions coincide. Truth-table thresholds: frequency ≥ 10 cases, raw consistency ≥ 0.80, PRI ≥ 0.70. No configuration passes the same thresholds for the negation of adaptation. Source: authors’ own calculations.</w:t>
      </w:r>
    </w:p>
    <w:p>
      <w:pPr>
        <w:pStyle w:val="MDPI21heading1"/>
      </w:pPr>
      <w:r>
        <w:t>5. Conclusions</w:t>
      </w:r>
    </w:p>
    <w:p>
      <w:pPr>
        <w:pStyle w:val="MDPI22heading2"/>
      </w:pPr>
      <w:r>
        <w:t>5.1. Research Conclusions</w:t>
      </w:r>
    </w:p>
    <w:p>
      <w:pPr>
        <w:pStyle w:val="MDPI32textnoindent"/>
      </w:pPr>
      <w:r>
        <w:rPr>
          <w:b w:val="0"/>
          <w:i w:val="0"/>
        </w:rPr>
        <w:t>Based on socio-technical systems theory and a cybernetic control perspective, this study analyzes how perceived human capital depreciation shapes the early-career choices of fresh graduates in the era of generative artificial intelligence, using two-wave survey data from Chinese graduates within three years of graduation. The conclusions are as follows: (1) perceived human capital depreciation significantly raises AI-related career anxiety, and perceived employability support buffers this conversion, cutting the pass-through from 0.64 to 0.33; (2) career anxiety converts into occupational adaptation along an inverted U-shaped path with a turning point 0.37 standard deviations above mean anxiety — 38.5 percent of the cohort already stands beyond it — while career avoidance rises monotonically; (3) generative-AI literacy displaces the turning point outward from 0.07 to 0.66 standard deviations and weakens the avoidance channel, and the indirect effect of depreciation through anxiety reverses sign across the anxiety distribution; and (4) exactly one configuration — anxiety combined with literacy and support — is sufficient for high adaptation, no single condition is necessary, and no configuration is sufficient for the negation.</w:t>
      </w:r>
    </w:p>
    <w:p>
      <w:pPr>
        <w:pStyle w:val="MDPI22heading2"/>
      </w:pPr>
      <w:r>
        <w:t>5.2. Theoretical Contributions</w:t>
      </w:r>
    </w:p>
    <w:p>
      <w:pPr>
        <w:pStyle w:val="MDPI32textnoindent"/>
      </w:pPr>
      <w:r>
        <w:rPr>
          <w:b w:val="0"/>
          <w:i w:val="0"/>
        </w:rPr>
        <w:t xml:space="preserve">The main theoretical contributions of this paper are as follows: First, this paper extends the study of generative artificial intelligence and work from the demand side to the supply side of the entry labor market. The existing literature has measured how adoption reshapes tasks, hiring, and productivity </w:t>
      </w:r>
      <w:r>
        <w:t>[</w:t>
      </w:r>
      <w:r>
        <w:fldChar w:fldCharType="begin"/>
      </w:r>
      <w:r>
        <w:instrText xml:space="preserve"> REF _Ref_1 \h </w:instrText>
      </w:r>
      <w:r>
        <w:fldChar w:fldCharType="separate"/>
      </w:r>
      <w:r>
        <w:t>1</w:t>
      </w:r>
      <w:r>
        <w:fldChar w:fldCharType="end"/>
      </w:r>
      <w:r>
        <w:t>,</w:t>
      </w:r>
      <w:r>
        <w:fldChar w:fldCharType="begin"/>
      </w:r>
      <w:r>
        <w:instrText xml:space="preserve"> REF _Ref_4 \h </w:instrText>
      </w:r>
      <w:r>
        <w:fldChar w:fldCharType="separate"/>
      </w:r>
      <w:r>
        <w:t>4</w:t>
      </w:r>
      <w:r>
        <w:fldChar w:fldCharType="end"/>
      </w:r>
      <w:r>
        <w:t>,</w:t>
      </w:r>
      <w:r>
        <w:fldChar w:fldCharType="begin"/>
      </w:r>
      <w:r>
        <w:instrText xml:space="preserve"> REF _Ref_6 \h </w:instrText>
      </w:r>
      <w:r>
        <w:fldChar w:fldCharType="separate"/>
      </w:r>
      <w:r>
        <w:t>6</w:t>
      </w:r>
      <w:r>
        <w:fldChar w:fldCharType="end"/>
      </w:r>
      <w:r>
        <w:t>,</w:t>
      </w:r>
      <w:r>
        <w:fldChar w:fldCharType="begin"/>
      </w:r>
      <w:r>
        <w:instrText xml:space="preserve"> REF _Ref_76 \h </w:instrText>
      </w:r>
      <w:r>
        <w:fldChar w:fldCharType="separate"/>
      </w:r>
      <w:r>
        <w:t>76</w:t>
      </w:r>
      <w:r>
        <w:fldChar w:fldCharType="end"/>
      </w:r>
      <w:r>
        <w:t>]</w:t>
      </w:r>
      <w:r>
        <w:rPr>
          <w:b w:val="0"/>
          <w:i w:val="0"/>
        </w:rPr>
        <w:t xml:space="preserve">, while the perception-to-behavior chain inside the displaced margin has remained unexamined. By showing that the behavioral response of the entry cohort is nonmonotonic — mobilization up to a turning point that two-fifths of the cohort has already passed, demobilization beyond it — this study supplies a psychological microfoundation for early-career scarring </w:t>
      </w:r>
      <w:r>
        <w:t>[</w:t>
      </w:r>
      <w:r>
        <w:fldChar w:fldCharType="begin"/>
      </w:r>
      <w:r>
        <w:instrText xml:space="preserve"> REF _Ref_15 \h </w:instrText>
      </w:r>
      <w:r>
        <w:fldChar w:fldCharType="separate"/>
      </w:r>
      <w:r>
        <w:t>15</w:t>
      </w:r>
      <w:r>
        <w:fldChar w:fldCharType="end"/>
      </w:r>
      <w:r>
        <w:t>,</w:t>
      </w:r>
      <w:r>
        <w:fldChar w:fldCharType="begin"/>
      </w:r>
      <w:r>
        <w:instrText xml:space="preserve"> REF _Ref_18 \h </w:instrText>
      </w:r>
      <w:r>
        <w:fldChar w:fldCharType="separate"/>
      </w:r>
      <w:r>
        <w:t>18</w:t>
      </w:r>
      <w:r>
        <w:fldChar w:fldCharType="end"/>
      </w:r>
      <w:r>
        <w:t>]</w:t>
      </w:r>
      <w:r>
        <w:rPr>
          <w:b w:val="0"/>
          <w:i w:val="0"/>
        </w:rPr>
        <w:t xml:space="preserve"> and cautions against adjustment models that assume displacement pressure translates smoothly into retraining uptake </w:t>
      </w:r>
      <w:r>
        <w:t>[</w:t>
      </w:r>
      <w:r>
        <w:fldChar w:fldCharType="begin"/>
      </w:r>
      <w:r>
        <w:instrText xml:space="preserve"> REF _Ref_13 \h </w:instrText>
      </w:r>
      <w:r>
        <w:fldChar w:fldCharType="separate"/>
      </w:r>
      <w:r>
        <w:t>13</w:t>
      </w:r>
      <w:r>
        <w:fldChar w:fldCharType="end"/>
      </w:r>
      <w:r>
        <w:t>,</w:t>
      </w:r>
      <w:r>
        <w:fldChar w:fldCharType="begin"/>
      </w:r>
      <w:r>
        <w:instrText xml:space="preserve"> REF _Ref_14 \h </w:instrText>
      </w:r>
      <w:r>
        <w:fldChar w:fldCharType="separate"/>
      </w:r>
      <w:r>
        <w:t>14</w:t>
      </w:r>
      <w:r>
        <w:fldChar w:fldCharType="end"/>
      </w:r>
      <w:r>
        <w:t>]</w:t>
      </w:r>
      <w:r>
        <w:rPr>
          <w:b w:val="0"/>
          <w:i w:val="0"/>
        </w:rPr>
        <w:t>.</w:t>
      </w:r>
    </w:p>
    <w:p>
      <w:pPr>
        <w:pStyle w:val="MDPI31text"/>
      </w:pPr>
      <w:r>
        <w:rPr>
          <w:b w:val="0"/>
          <w:i w:val="0"/>
        </w:rPr>
        <w:t xml:space="preserve">Second, this paper contributes a systems treatment to the artificial-intelligence anxiety literature. Prior studies have treated anxiety mainly as an outcome to be predicted or a hazard to be reduced </w:t>
      </w:r>
      <w:r>
        <w:t>[</w:t>
      </w:r>
      <w:r>
        <w:fldChar w:fldCharType="begin"/>
      </w:r>
      <w:r>
        <w:instrText xml:space="preserve"> REF _Ref_19 \h </w:instrText>
      </w:r>
      <w:r>
        <w:fldChar w:fldCharType="separate"/>
      </w:r>
      <w:r>
        <w:t>19</w:t>
      </w:r>
      <w:r>
        <w:fldChar w:fldCharType="end"/>
      </w:r>
      <w:r>
        <w:t>,</w:t>
      </w:r>
      <w:r>
        <w:fldChar w:fldCharType="begin"/>
      </w:r>
      <w:r>
        <w:instrText xml:space="preserve"> REF _Ref_20 \h </w:instrText>
      </w:r>
      <w:r>
        <w:fldChar w:fldCharType="separate"/>
      </w:r>
      <w:r>
        <w:t>20</w:t>
      </w:r>
      <w:r>
        <w:fldChar w:fldCharType="end"/>
      </w:r>
      <w:r>
        <w:t>,</w:t>
      </w:r>
      <w:r>
        <w:fldChar w:fldCharType="begin"/>
      </w:r>
      <w:r>
        <w:instrText xml:space="preserve"> REF _Ref_22 \h </w:instrText>
      </w:r>
      <w:r>
        <w:fldChar w:fldCharType="separate"/>
      </w:r>
      <w:r>
        <w:t>22</w:t>
      </w:r>
      <w:r>
        <w:fldChar w:fldCharType="end"/>
      </w:r>
      <w:r>
        <w:t>]</w:t>
      </w:r>
      <w:r>
        <w:rPr>
          <w:b w:val="0"/>
          <w:i w:val="0"/>
        </w:rPr>
        <w:t xml:space="preserve">. Modeling anxiety instead as the error signal of a cybernetic feedback loop </w:t>
      </w:r>
      <w:r>
        <w:t>[</w:t>
      </w:r>
      <w:r>
        <w:fldChar w:fldCharType="begin"/>
      </w:r>
      <w:r>
        <w:instrText xml:space="preserve"> REF _Ref_27 \h </w:instrText>
      </w:r>
      <w:r>
        <w:fldChar w:fldCharType="separate"/>
      </w:r>
      <w:r>
        <w:t>27</w:t>
      </w:r>
      <w:r>
        <w:fldChar w:fldCharType="end"/>
      </w:r>
      <w:r>
        <w:t>–</w:t>
      </w:r>
      <w:r>
        <w:fldChar w:fldCharType="begin"/>
      </w:r>
      <w:r>
        <w:instrText xml:space="preserve"> REF _Ref_29 \h </w:instrText>
      </w:r>
      <w:r>
        <w:fldChar w:fldCharType="separate"/>
      </w:r>
      <w:r>
        <w:t>29</w:t>
      </w:r>
      <w:r>
        <w:fldChar w:fldCharType="end"/>
      </w:r>
      <w:r>
        <w:t>]</w:t>
      </w:r>
      <w:r>
        <w:rPr>
          <w:b w:val="0"/>
          <w:i w:val="0"/>
        </w:rPr>
        <w:t xml:space="preserve"> yields three predictions that a valence-only reading does not — an interior optimum, actuator-dependent displacement of that optimum, and conjunctural sufficiency — and all three survived their tests. The finding connects the psychology of technological threat to the organizational learning literature on absorption capacity </w:t>
      </w:r>
      <w:r>
        <w:t>[</w:t>
      </w:r>
      <w:r>
        <w:fldChar w:fldCharType="begin"/>
      </w:r>
      <w:r>
        <w:instrText xml:space="preserve"> REF _Ref_77 \h </w:instrText>
      </w:r>
      <w:r>
        <w:fldChar w:fldCharType="separate"/>
      </w:r>
      <w:r>
        <w:t>77</w:t>
      </w:r>
      <w:r>
        <w:fldChar w:fldCharType="end"/>
      </w:r>
      <w:r>
        <w:t>–</w:t>
      </w:r>
      <w:r>
        <w:fldChar w:fldCharType="begin"/>
      </w:r>
      <w:r>
        <w:instrText xml:space="preserve"> REF _Ref_79 \h </w:instrText>
      </w:r>
      <w:r>
        <w:fldChar w:fldCharType="separate"/>
      </w:r>
      <w:r>
        <w:t>79</w:t>
      </w:r>
      <w:r>
        <w:fldChar w:fldCharType="end"/>
      </w:r>
      <w:r>
        <w:t>]</w:t>
      </w:r>
      <w:r>
        <w:rPr>
          <w:b w:val="0"/>
          <w:i w:val="0"/>
        </w:rPr>
        <w:t>: signals without the capacity to act on them produce noise, not learning.</w:t>
      </w:r>
    </w:p>
    <w:p>
      <w:pPr>
        <w:pStyle w:val="MDPI31text"/>
      </w:pPr>
      <w:r>
        <w:rPr>
          <w:b w:val="0"/>
          <w:i w:val="0"/>
        </w:rPr>
        <w:t xml:space="preserve">Third, this paper demonstrates the value of combining conditional-process and configurational methods within one design. The regression apparatus locates the turning point and its displacement; the fuzzy-set analysis reveals that the conditions operate as a conjunction rather than as additive levers, and that equifinality — the default expectation of configurational research </w:t>
      </w:r>
      <w:r>
        <w:t>[</w:t>
      </w:r>
      <w:r>
        <w:fldChar w:fldCharType="begin"/>
      </w:r>
      <w:r>
        <w:instrText xml:space="preserve"> REF _Ref_35 \h </w:instrText>
      </w:r>
      <w:r>
        <w:fldChar w:fldCharType="separate"/>
      </w:r>
      <w:r>
        <w:t>35</w:t>
      </w:r>
      <w:r>
        <w:fldChar w:fldCharType="end"/>
      </w:r>
      <w:r>
        <w:t>,</w:t>
      </w:r>
      <w:r>
        <w:fldChar w:fldCharType="begin"/>
      </w:r>
      <w:r>
        <w:instrText xml:space="preserve"> REF _Ref_36 \h </w:instrText>
      </w:r>
      <w:r>
        <w:fldChar w:fldCharType="separate"/>
      </w:r>
      <w:r>
        <w:t>36</w:t>
      </w:r>
      <w:r>
        <w:fldChar w:fldCharType="end"/>
      </w:r>
      <w:r>
        <w:t>]</w:t>
      </w:r>
      <w:r>
        <w:rPr>
          <w:b w:val="0"/>
          <w:i w:val="0"/>
        </w:rPr>
        <w:t xml:space="preserve"> — fails here in a theoretically informative way. Reporting that failure as a finding, rather than forcing a multi-recipe reading, is the faithful use of the method </w:t>
      </w:r>
      <w:r>
        <w:t>[</w:t>
      </w:r>
      <w:r>
        <w:fldChar w:fldCharType="begin"/>
      </w:r>
      <w:r>
        <w:instrText xml:space="preserve"> REF _Ref_62 \h </w:instrText>
      </w:r>
      <w:r>
        <w:fldChar w:fldCharType="separate"/>
      </w:r>
      <w:r>
        <w:t>62</w:t>
      </w:r>
      <w:r>
        <w:fldChar w:fldCharType="end"/>
      </w:r>
      <w:r>
        <w:t>,</w:t>
      </w:r>
      <w:r>
        <w:fldChar w:fldCharType="begin"/>
      </w:r>
      <w:r>
        <w:instrText xml:space="preserve"> REF _Ref_63 \h </w:instrText>
      </w:r>
      <w:r>
        <w:fldChar w:fldCharType="separate"/>
      </w:r>
      <w:r>
        <w:t>63</w:t>
      </w:r>
      <w:r>
        <w:fldChar w:fldCharType="end"/>
      </w:r>
      <w:r>
        <w:t>]</w:t>
      </w:r>
      <w:r>
        <w:rPr>
          <w:b w:val="0"/>
          <w:i w:val="0"/>
        </w:rPr>
        <w:t xml:space="preserve"> and shows how a tight systems theory can predict, and data can deliver, a single path.</w:t>
      </w:r>
    </w:p>
    <w:p>
      <w:pPr>
        <w:pStyle w:val="MDPI22heading2"/>
      </w:pPr>
      <w:r>
        <w:t>5.3. Management Implications</w:t>
      </w:r>
    </w:p>
    <w:p>
      <w:pPr>
        <w:pStyle w:val="MDPI32textnoindent"/>
      </w:pPr>
      <w:r>
        <w:rPr>
          <w:b w:val="0"/>
          <w:i w:val="0"/>
        </w:rPr>
        <w:t xml:space="preserve">The empirical results generate actionable implications for the three actors who govern the graduate transition. For universities, the binding constraints are the actuator and the environment, not the volume of the alarm. Career services that concentrate on reassurance address the sensor; embedding supervised, verifiable generative-AI practice into every curriculum </w:t>
      </w:r>
      <w:r>
        <w:t>[</w:t>
      </w:r>
      <w:r>
        <w:fldChar w:fldCharType="begin"/>
      </w:r>
      <w:r>
        <w:instrText xml:space="preserve"> REF _Ref_7 \h </w:instrText>
      </w:r>
      <w:r>
        <w:fldChar w:fldCharType="separate"/>
      </w:r>
      <w:r>
        <w:t>7</w:t>
      </w:r>
      <w:r>
        <w:fldChar w:fldCharType="end"/>
      </w:r>
      <w:r>
        <w:t>,</w:t>
      </w:r>
      <w:r>
        <w:fldChar w:fldCharType="begin"/>
      </w:r>
      <w:r>
        <w:instrText xml:space="preserve"> REF _Ref_23 \h </w:instrText>
      </w:r>
      <w:r>
        <w:fldChar w:fldCharType="separate"/>
      </w:r>
      <w:r>
        <w:t>23</w:t>
      </w:r>
      <w:r>
        <w:fldChar w:fldCharType="end"/>
      </w:r>
      <w:r>
        <w:t>]</w:t>
      </w:r>
      <w:r>
        <w:rPr>
          <w:b w:val="0"/>
          <w:i w:val="0"/>
        </w:rPr>
        <w:t xml:space="preserve"> buys a double dividend, raising adaptation directly and extending the anxiety range over which graduates keep adapting rather than freezing, while visible, credible transition infrastructure — placement pathways, employer-linked reskilling, alumni networks that answer — lowers the anxiety produced by any given level of objective threat.</w:t>
      </w:r>
    </w:p>
    <w:p>
      <w:pPr>
        <w:pStyle w:val="MDPI31text"/>
      </w:pPr>
      <w:r>
        <w:rPr>
          <w:b w:val="0"/>
          <w:i w:val="0"/>
        </w:rPr>
        <w:t xml:space="preserve">For employers currently thinning their junior pipelines </w:t>
      </w:r>
      <w:r>
        <w:t>[</w:t>
      </w:r>
      <w:r>
        <w:fldChar w:fldCharType="begin"/>
      </w:r>
      <w:r>
        <w:instrText xml:space="preserve"> REF _Ref_4 \h </w:instrText>
      </w:r>
      <w:r>
        <w:fldChar w:fldCharType="separate"/>
      </w:r>
      <w:r>
        <w:t>4</w:t>
      </w:r>
      <w:r>
        <w:fldChar w:fldCharType="end"/>
      </w:r>
      <w:r>
        <w:t>,</w:t>
      </w:r>
      <w:r>
        <w:fldChar w:fldCharType="begin"/>
      </w:r>
      <w:r>
        <w:instrText xml:space="preserve"> REF _Ref_8 \h </w:instrText>
      </w:r>
      <w:r>
        <w:fldChar w:fldCharType="separate"/>
      </w:r>
      <w:r>
        <w:t>8</w:t>
      </w:r>
      <w:r>
        <w:fldChar w:fldCharType="end"/>
      </w:r>
      <w:r>
        <w:t>]</w:t>
      </w:r>
      <w:r>
        <w:rPr>
          <w:b w:val="0"/>
          <w:i w:val="0"/>
        </w:rPr>
        <w:t xml:space="preserve">, the configurational result supplies a one-line design rule: anxiety converts into adaptation only in the presence of literacy and support, so any communication of threat should arrive bundled with tool access, training time, and a visible internal pathway </w:t>
      </w:r>
      <w:r>
        <w:t>[</w:t>
      </w:r>
      <w:r>
        <w:fldChar w:fldCharType="begin"/>
      </w:r>
      <w:r>
        <w:instrText xml:space="preserve"> REF _Ref_80 \h </w:instrText>
      </w:r>
      <w:r>
        <w:fldChar w:fldCharType="separate"/>
      </w:r>
      <w:r>
        <w:t>80</w:t>
      </w:r>
      <w:r>
        <w:fldChar w:fldCharType="end"/>
      </w:r>
      <w:r>
        <w:t>,</w:t>
      </w:r>
      <w:r>
        <w:fldChar w:fldCharType="begin"/>
      </w:r>
      <w:r>
        <w:instrText xml:space="preserve"> REF _Ref_81 \h </w:instrText>
      </w:r>
      <w:r>
        <w:fldChar w:fldCharType="separate"/>
      </w:r>
      <w:r>
        <w:t>81</w:t>
      </w:r>
      <w:r>
        <w:fldChar w:fldCharType="end"/>
      </w:r>
      <w:r>
        <w:t>]</w:t>
      </w:r>
      <w:r>
        <w:rPr>
          <w:b w:val="0"/>
          <w:i w:val="0"/>
        </w:rPr>
        <w:t xml:space="preserve">. A firm that hires fewer entrants and tells the remainder to upskill or leave is raising the error signal while shrinking the actuator set — the exact combination the estimates identify as producing avoidance and exit. For policymakers confronting record graduate cohorts </w:t>
      </w:r>
      <w:r>
        <w:t>[</w:t>
      </w:r>
      <w:r>
        <w:fldChar w:fldCharType="begin"/>
      </w:r>
      <w:r>
        <w:instrText xml:space="preserve"> REF _Ref_10 \h </w:instrText>
      </w:r>
      <w:r>
        <w:fldChar w:fldCharType="separate"/>
      </w:r>
      <w:r>
        <w:t>10</w:t>
      </w:r>
      <w:r>
        <w:fldChar w:fldCharType="end"/>
      </w:r>
      <w:r>
        <w:t>,</w:t>
      </w:r>
      <w:r>
        <w:fldChar w:fldCharType="begin"/>
      </w:r>
      <w:r>
        <w:instrText xml:space="preserve"> REF _Ref_82 \h </w:instrText>
      </w:r>
      <w:r>
        <w:fldChar w:fldCharType="separate"/>
      </w:r>
      <w:r>
        <w:t>82</w:t>
      </w:r>
      <w:r>
        <w:fldChar w:fldCharType="end"/>
      </w:r>
      <w:r>
        <w:t>–</w:t>
      </w:r>
      <w:r>
        <w:fldChar w:fldCharType="begin"/>
      </w:r>
      <w:r>
        <w:instrText xml:space="preserve"> REF _Ref_84 \h </w:instrText>
      </w:r>
      <w:r>
        <w:fldChar w:fldCharType="separate"/>
      </w:r>
      <w:r>
        <w:t>84</w:t>
      </w:r>
      <w:r>
        <w:fldChar w:fldCharType="end"/>
      </w:r>
      <w:r>
        <w:t>]</w:t>
      </w:r>
      <w:r>
        <w:rPr>
          <w:b w:val="0"/>
          <w:i w:val="0"/>
        </w:rPr>
        <w:t>, the estimates argue for shifting marginal spending from awareness campaigns, which raise the signal, toward subsidized generative-AI credentialing and employer-linked placement, which complete the loop — and for targeting that spending on the high-anxiety segment, where the same expenditure buys the largest swing from demobilization back to adaptation.</w:t>
      </w:r>
    </w:p>
    <w:p>
      <w:pPr>
        <w:pStyle w:val="MDPI22heading2"/>
      </w:pPr>
      <w:r>
        <w:t>5.4. Limitations and Future Directions</w:t>
      </w:r>
    </w:p>
    <w:p>
      <w:pPr>
        <w:pStyle w:val="MDPI32textnoindent"/>
      </w:pPr>
      <w:r>
        <w:rPr>
          <w:b w:val="0"/>
          <w:i w:val="0"/>
        </w:rPr>
        <w:t xml:space="preserve">This study has several limitations that point to future research. First, although the outcomes are separated from their antecedents by six months and the attrition diagnostics are clean, the design remains observational; unmeasured traits such as dispositional neuroticism could raise both anxiety and behavioral reports, and only a design that manipulates the actuators — for instance, randomized literacy training layered on measured anxiety — can fully close that door. Second, all psychological constructs are self-reported; the behavioral hours measure and the method-bias diagnostics bound the resulting bias but do not eliminate it </w:t>
      </w:r>
      <w:r>
        <w:t>[</w:t>
      </w:r>
      <w:r>
        <w:fldChar w:fldCharType="begin"/>
      </w:r>
      <w:r>
        <w:instrText xml:space="preserve"> REF _Ref_70 \h </w:instrText>
      </w:r>
      <w:r>
        <w:fldChar w:fldCharType="separate"/>
      </w:r>
      <w:r>
        <w:t>70</w:t>
      </w:r>
      <w:r>
        <w:fldChar w:fldCharType="end"/>
      </w:r>
      <w:r>
        <w:t>]</w:t>
      </w:r>
      <w:r>
        <w:rPr>
          <w:b w:val="0"/>
          <w:i w:val="0"/>
        </w:rPr>
        <w:t xml:space="preserve">. Third, the sample consists of Chinese graduates observed at one moment of one technological transition; the location of the turning point is surely context-dependent, and comparative replication across institutional regimes with different transition infrastructures </w:t>
      </w:r>
      <w:r>
        <w:t>[</w:t>
      </w:r>
      <w:r>
        <w:fldChar w:fldCharType="begin"/>
      </w:r>
      <w:r>
        <w:instrText xml:space="preserve"> REF _Ref_82 \h </w:instrText>
      </w:r>
      <w:r>
        <w:fldChar w:fldCharType="separate"/>
      </w:r>
      <w:r>
        <w:t>82</w:t>
      </w:r>
      <w:r>
        <w:fldChar w:fldCharType="end"/>
      </w:r>
      <w:r>
        <w:t>,</w:t>
      </w:r>
      <w:r>
        <w:fldChar w:fldCharType="begin"/>
      </w:r>
      <w:r>
        <w:instrText xml:space="preserve"> REF _Ref_85 \h </w:instrText>
      </w:r>
      <w:r>
        <w:fldChar w:fldCharType="separate"/>
      </w:r>
      <w:r>
        <w:t>85</w:t>
      </w:r>
      <w:r>
        <w:fldChar w:fldCharType="end"/>
      </w:r>
      <w:r>
        <w:t>]</w:t>
      </w:r>
      <w:r>
        <w:rPr>
          <w:b w:val="0"/>
          <w:i w:val="0"/>
        </w:rPr>
        <w:t xml:space="preserve"> is a natural next step. Fourth, the occupational exposure score is an occupation-level construct assigned to individuals; task-level exposure measured within jobs would sharpen both the regression and the calibration. Fifth, the two-wave design identifies one traversal of the loop, not its dynamics; whether adaptation feeds back to lower depreciation perceptions, closing a balancing loop, or whether avoidance compounds into the reinforcing spiral that conservation of resources theory predicts </w:t>
      </w:r>
      <w:r>
        <w:t>[</w:t>
      </w:r>
      <w:r>
        <w:fldChar w:fldCharType="begin"/>
      </w:r>
      <w:r>
        <w:instrText xml:space="preserve"> REF _Ref_48 \h </w:instrText>
      </w:r>
      <w:r>
        <w:fldChar w:fldCharType="separate"/>
      </w:r>
      <w:r>
        <w:t>48</w:t>
      </w:r>
      <w:r>
        <w:fldChar w:fldCharType="end"/>
      </w:r>
      <w:r>
        <w:t>,</w:t>
      </w:r>
      <w:r>
        <w:fldChar w:fldCharType="begin"/>
      </w:r>
      <w:r>
        <w:instrText xml:space="preserve"> REF _Ref_86 \h </w:instrText>
      </w:r>
      <w:r>
        <w:fldChar w:fldCharType="separate"/>
      </w:r>
      <w:r>
        <w:t>86</w:t>
      </w:r>
      <w:r>
        <w:fldChar w:fldCharType="end"/>
      </w:r>
      <w:r>
        <w:t>–</w:t>
      </w:r>
      <w:r>
        <w:fldChar w:fldCharType="begin"/>
      </w:r>
      <w:r>
        <w:instrText xml:space="preserve"> REF _Ref_90 \h </w:instrText>
      </w:r>
      <w:r>
        <w:fldChar w:fldCharType="separate"/>
      </w:r>
      <w:r>
        <w:t>90</w:t>
      </w:r>
      <w:r>
        <w:fldChar w:fldCharType="end"/>
      </w:r>
      <w:r>
        <w:t>]</w:t>
      </w:r>
      <w:r>
        <w:rPr>
          <w:b w:val="0"/>
          <w:i w:val="0"/>
        </w:rPr>
        <w:t xml:space="preserve">, requires a multi-wave panel analyzed with the estimation machinery the system-dynamics tradition has built for such loops </w:t>
      </w:r>
      <w:r>
        <w:t>[</w:t>
      </w:r>
      <w:r>
        <w:fldChar w:fldCharType="begin"/>
      </w:r>
      <w:r>
        <w:instrText xml:space="preserve"> REF _Ref_91 \h </w:instrText>
      </w:r>
      <w:r>
        <w:fldChar w:fldCharType="separate"/>
      </w:r>
      <w:r>
        <w:t>91</w:t>
      </w:r>
      <w:r>
        <w:fldChar w:fldCharType="end"/>
      </w:r>
      <w:r>
        <w:t>]</w:t>
      </w:r>
      <w:r>
        <w:rPr>
          <w:b w:val="0"/>
          <w:i w:val="0"/>
        </w:rPr>
        <w:t xml:space="preserve">. Finally, richer systems lenses — soft systems inquiry into how graduates collectively make sense of the transition </w:t>
      </w:r>
      <w:r>
        <w:t>[</w:t>
      </w:r>
      <w:r>
        <w:fldChar w:fldCharType="begin"/>
      </w:r>
      <w:r>
        <w:instrText xml:space="preserve"> REF _Ref_92 \h </w:instrText>
      </w:r>
      <w:r>
        <w:fldChar w:fldCharType="separate"/>
      </w:r>
      <w:r>
        <w:t>92</w:t>
      </w:r>
      <w:r>
        <w:fldChar w:fldCharType="end"/>
      </w:r>
      <w:r>
        <w:t>,</w:t>
      </w:r>
      <w:r>
        <w:fldChar w:fldCharType="begin"/>
      </w:r>
      <w:r>
        <w:instrText xml:space="preserve"> REF _Ref_93 \h </w:instrText>
      </w:r>
      <w:r>
        <w:fldChar w:fldCharType="separate"/>
      </w:r>
      <w:r>
        <w:t>93</w:t>
      </w:r>
      <w:r>
        <w:fldChar w:fldCharType="end"/>
      </w:r>
      <w:r>
        <w:t>]</w:t>
      </w:r>
      <w:r>
        <w:rPr>
          <w:b w:val="0"/>
          <w:i w:val="0"/>
        </w:rPr>
        <w:t xml:space="preserve">, and comparisons with adjacent evidence on technology and employment in China </w:t>
      </w:r>
      <w:r>
        <w:t>[</w:t>
      </w:r>
      <w:r>
        <w:fldChar w:fldCharType="begin"/>
      </w:r>
      <w:r>
        <w:instrText xml:space="preserve"> REF _Ref_3 \h </w:instrText>
      </w:r>
      <w:r>
        <w:fldChar w:fldCharType="separate"/>
      </w:r>
      <w:r>
        <w:t>3</w:t>
      </w:r>
      <w:r>
        <w:fldChar w:fldCharType="end"/>
      </w:r>
      <w:r>
        <w:t>,</w:t>
      </w:r>
      <w:r>
        <w:fldChar w:fldCharType="begin"/>
      </w:r>
      <w:r>
        <w:instrText xml:space="preserve"> REF _Ref_5 \h </w:instrText>
      </w:r>
      <w:r>
        <w:fldChar w:fldCharType="separate"/>
      </w:r>
      <w:r>
        <w:t>5</w:t>
      </w:r>
      <w:r>
        <w:fldChar w:fldCharType="end"/>
      </w:r>
      <w:r>
        <w:t>,</w:t>
      </w:r>
      <w:r>
        <w:fldChar w:fldCharType="begin"/>
      </w:r>
      <w:r>
        <w:instrText xml:space="preserve"> REF _Ref_57 \h </w:instrText>
      </w:r>
      <w:r>
        <w:fldChar w:fldCharType="separate"/>
      </w:r>
      <w:r>
        <w:t>57</w:t>
      </w:r>
      <w:r>
        <w:fldChar w:fldCharType="end"/>
      </w:r>
      <w:r>
        <w:t>,</w:t>
      </w:r>
      <w:r>
        <w:fldChar w:fldCharType="begin"/>
      </w:r>
      <w:r>
        <w:instrText xml:space="preserve"> REF _Ref_94 \h </w:instrText>
      </w:r>
      <w:r>
        <w:fldChar w:fldCharType="separate"/>
      </w:r>
      <w:r>
        <w:t>94</w:t>
      </w:r>
      <w:r>
        <w:fldChar w:fldCharType="end"/>
      </w:r>
      <w:r>
        <w:t>–</w:t>
      </w:r>
      <w:r>
        <w:fldChar w:fldCharType="begin"/>
      </w:r>
      <w:r>
        <w:instrText xml:space="preserve"> REF _Ref_104 \h </w:instrText>
      </w:r>
      <w:r>
        <w:fldChar w:fldCharType="separate"/>
      </w:r>
      <w:r>
        <w:t>104</w:t>
      </w:r>
      <w:r>
        <w:fldChar w:fldCharType="end"/>
      </w:r>
      <w:r>
        <w:t>]</w:t>
      </w:r>
      <w:r>
        <w:rPr>
          <w:b w:val="0"/>
          <w:i w:val="0"/>
        </w:rPr>
        <w:t xml:space="preserve"> — would further test the generality of the loop identified here.</w:t>
      </w:r>
    </w:p>
    <w:p>
      <w:pPr>
        <w:pStyle w:val="MDPI62backmatter"/>
        <w:spacing w:before="120"/>
      </w:pPr>
      <w:r>
        <w:rPr>
          <w:b/>
          <w:sz w:val="18"/>
        </w:rPr>
        <w:t xml:space="preserve">Author Contributions: </w:t>
      </w:r>
      <w:r>
        <w:rPr>
          <w:b w:val="0"/>
          <w:i w:val="0"/>
          <w:sz w:val="18"/>
        </w:rPr>
        <w:t>Conceptualization, X.C. and T.M.; methodology, X.C.; software, X.C.; validation, T.M.; formal analysis, X.C.; investigation, T.M.; data curation, T.M.; writing—original draft preparation, X.C.; writing—review and editing, T.M.; visualization, X.C.; supervision, T.M.; project administration, T.M. All authors have read and agreed to the published version of the manuscript.</w:t>
      </w:r>
    </w:p>
    <w:p>
      <w:pPr>
        <w:pStyle w:val="MDPI62backmatter"/>
        <w:spacing w:before="120"/>
      </w:pPr>
      <w:r>
        <w:rPr>
          <w:b/>
          <w:sz w:val="18"/>
        </w:rPr>
        <w:t xml:space="preserve">Funding: </w:t>
      </w:r>
      <w:r>
        <w:rPr>
          <w:b w:val="0"/>
          <w:i w:val="0"/>
          <w:sz w:val="18"/>
        </w:rPr>
        <w:t>This research received no external funding.</w:t>
      </w:r>
    </w:p>
    <w:p>
      <w:pPr>
        <w:pStyle w:val="MDPI62backmatter"/>
        <w:spacing w:before="120"/>
      </w:pPr>
      <w:r>
        <w:rPr>
          <w:b/>
          <w:sz w:val="18"/>
        </w:rPr>
        <w:t xml:space="preserve">Institutional Review Board Statement: </w:t>
      </w:r>
      <w:r>
        <w:rPr>
          <w:b w:val="0"/>
          <w:i w:val="0"/>
          <w:sz w:val="18"/>
        </w:rPr>
        <w:t>The study was conducted in accordance with the Declaration of Helsinki and approved by the Institutional Review Board of the College of Business, Jiaxing University (protocol code JXU-BUS-2025-014, approved 22 August 2025).</w:t>
      </w:r>
    </w:p>
    <w:p>
      <w:pPr>
        <w:pStyle w:val="MDPI62backmatter"/>
        <w:spacing w:before="120"/>
      </w:pPr>
      <w:r>
        <w:rPr>
          <w:b/>
          <w:sz w:val="18"/>
        </w:rPr>
        <w:t xml:space="preserve">Informed Consent Statement: </w:t>
      </w:r>
      <w:r>
        <w:rPr>
          <w:b w:val="0"/>
          <w:i w:val="0"/>
          <w:sz w:val="18"/>
        </w:rPr>
        <w:t>Informed consent was obtained from all subjects involved in the study.</w:t>
      </w:r>
    </w:p>
    <w:p>
      <w:pPr>
        <w:pStyle w:val="MDPI62backmatter"/>
        <w:spacing w:before="120"/>
      </w:pPr>
      <w:r>
        <w:rPr>
          <w:b/>
          <w:sz w:val="18"/>
        </w:rPr>
        <w:t xml:space="preserve">Data Availability Statement: </w:t>
      </w:r>
      <w:r>
        <w:rPr>
          <w:b w:val="0"/>
          <w:i w:val="0"/>
          <w:sz w:val="18"/>
        </w:rPr>
        <w:t>The data presented in this study are available on reasonable request from the corresponding author. The data are not publicly available due to the privacy of individual survey respondents. The complete estimation code that produces every table and figure is available from the corresponding author.</w:t>
      </w:r>
    </w:p>
    <w:p>
      <w:pPr>
        <w:pStyle w:val="MDPI62backmatter"/>
        <w:spacing w:before="120"/>
      </w:pPr>
      <w:r>
        <w:rPr>
          <w:b/>
          <w:sz w:val="18"/>
        </w:rPr>
        <w:t xml:space="preserve">Conflicts of Interest: </w:t>
      </w:r>
      <w:r>
        <w:rPr>
          <w:b w:val="0"/>
          <w:i w:val="0"/>
          <w:sz w:val="18"/>
        </w:rPr>
        <w:t>The authors declare no conflicts of interest.</w:t>
      </w:r>
    </w:p>
    <w:p>
      <w:pPr>
        <w:pStyle w:val="MDPI21heading1"/>
        <w:ind w:left="0" w:firstLine="0"/>
      </w:pPr>
      <w:r>
        <w:t>References</w:t>
      </w:r>
    </w:p>
    <w:p>
      <w:pPr>
        <w:pStyle w:val="MDPI32textnoindent"/>
        <w:spacing w:line="240" w:lineRule="auto" w:before="0" w:after="40"/>
        <w:ind w:left="425" w:hanging="425"/>
        <w:tabs>
          <w:tab w:val="left" w:pos="425"/>
        </w:tabs>
      </w:pPr>
      <w:bookmarkStart w:id="1001" w:name="_Ref_1"/>
      <w:r>
        <w:rPr>
          <w:b w:val="0"/>
          <w:sz w:val="18"/>
        </w:rPr>
        <w:t>1</w:t>
      </w:r>
      <w:bookmarkEnd w:id="1001"/>
      <w:r>
        <w:rPr>
          <w:sz w:val="18"/>
        </w:rPr>
        <w:t>.</w:t>
        <w:tab/>
      </w:r>
      <w:r>
        <w:rPr>
          <w:b w:val="0"/>
          <w:i w:val="0"/>
          <w:sz w:val="18"/>
        </w:rPr>
        <w:t xml:space="preserve">Eloundou, T.; Manning, S.; Mishkin, P.; Rock, D. </w:t>
      </w:r>
      <w:r>
        <w:rPr>
          <w:b w:val="0"/>
          <w:i w:val="0"/>
          <w:sz w:val="18"/>
        </w:rPr>
        <w:t xml:space="preserve">GPTs Are GPTs: Labor Market Impact Potential of LLMs. </w:t>
      </w:r>
      <w:r>
        <w:rPr>
          <w:b w:val="0"/>
          <w:i/>
          <w:sz w:val="18"/>
        </w:rPr>
        <w:t xml:space="preserve">Science </w:t>
      </w:r>
      <w:r>
        <w:rPr>
          <w:b/>
          <w:i w:val="0"/>
          <w:sz w:val="18"/>
        </w:rPr>
        <w:t>2024</w:t>
      </w:r>
      <w:r>
        <w:rPr>
          <w:b w:val="0"/>
          <w:i w:val="0"/>
          <w:sz w:val="18"/>
        </w:rPr>
        <w:t xml:space="preserve">, </w:t>
      </w:r>
      <w:r>
        <w:rPr>
          <w:b w:val="0"/>
          <w:i/>
          <w:sz w:val="18"/>
        </w:rPr>
        <w:t>384</w:t>
      </w:r>
      <w:r>
        <w:rPr>
          <w:b w:val="0"/>
          <w:i w:val="0"/>
          <w:sz w:val="18"/>
        </w:rPr>
        <w:t>, 1306–1308.</w:t>
      </w:r>
      <w:r>
        <w:rPr>
          <w:b w:val="0"/>
          <w:i w:val="0"/>
          <w:sz w:val="18"/>
        </w:rPr>
        <w:t xml:space="preserve"> [CrossRef]</w:t>
      </w:r>
    </w:p>
    <w:p>
      <w:pPr>
        <w:pStyle w:val="MDPI32textnoindent"/>
        <w:spacing w:line="240" w:lineRule="auto" w:before="0" w:after="40"/>
        <w:ind w:left="425" w:hanging="425"/>
        <w:tabs>
          <w:tab w:val="left" w:pos="425"/>
        </w:tabs>
      </w:pPr>
      <w:bookmarkStart w:id="1002" w:name="_Ref_2"/>
      <w:r>
        <w:rPr>
          <w:b w:val="0"/>
          <w:sz w:val="18"/>
        </w:rPr>
        <w:t>2</w:t>
      </w:r>
      <w:bookmarkEnd w:id="1002"/>
      <w:r>
        <w:rPr>
          <w:sz w:val="18"/>
        </w:rPr>
        <w:t>.</w:t>
        <w:tab/>
      </w:r>
      <w:r>
        <w:rPr>
          <w:b w:val="0"/>
          <w:i w:val="0"/>
          <w:sz w:val="18"/>
        </w:rPr>
        <w:t xml:space="preserve">Felten, E.; Raj, M.; Seamans, R. </w:t>
      </w:r>
      <w:r>
        <w:rPr>
          <w:b w:val="0"/>
          <w:i w:val="0"/>
          <w:sz w:val="18"/>
        </w:rPr>
        <w:t xml:space="preserve">Occupational, Industry, and Geographic Exposure to Artificial Intelligence: A Novel Dataset and Its Potential Uses. </w:t>
      </w:r>
      <w:r>
        <w:rPr>
          <w:b w:val="0"/>
          <w:i/>
          <w:sz w:val="18"/>
        </w:rPr>
        <w:t xml:space="preserve">Strateg. Manag. J. </w:t>
      </w:r>
      <w:r>
        <w:rPr>
          <w:b/>
          <w:i w:val="0"/>
          <w:sz w:val="18"/>
        </w:rPr>
        <w:t>2021</w:t>
      </w:r>
      <w:r>
        <w:rPr>
          <w:b w:val="0"/>
          <w:i w:val="0"/>
          <w:sz w:val="18"/>
        </w:rPr>
        <w:t xml:space="preserve">, </w:t>
      </w:r>
      <w:r>
        <w:rPr>
          <w:b w:val="0"/>
          <w:i/>
          <w:sz w:val="18"/>
        </w:rPr>
        <w:t>42</w:t>
      </w:r>
      <w:r>
        <w:rPr>
          <w:b w:val="0"/>
          <w:i w:val="0"/>
          <w:sz w:val="18"/>
        </w:rPr>
        <w:t>, 2195–2217.</w:t>
      </w:r>
      <w:r>
        <w:rPr>
          <w:b w:val="0"/>
          <w:i w:val="0"/>
          <w:sz w:val="18"/>
        </w:rPr>
        <w:t xml:space="preserve"> [CrossRef]</w:t>
      </w:r>
    </w:p>
    <w:p>
      <w:pPr>
        <w:pStyle w:val="MDPI32textnoindent"/>
        <w:spacing w:line="240" w:lineRule="auto" w:before="0" w:after="40"/>
        <w:ind w:left="425" w:hanging="425"/>
        <w:tabs>
          <w:tab w:val="left" w:pos="425"/>
        </w:tabs>
      </w:pPr>
      <w:bookmarkStart w:id="1003" w:name="_Ref_3"/>
      <w:r>
        <w:rPr>
          <w:b w:val="0"/>
          <w:sz w:val="18"/>
        </w:rPr>
        <w:t>3</w:t>
      </w:r>
      <w:bookmarkEnd w:id="1003"/>
      <w:r>
        <w:rPr>
          <w:sz w:val="18"/>
        </w:rPr>
        <w:t>.</w:t>
        <w:tab/>
      </w:r>
      <w:r>
        <w:rPr>
          <w:b w:val="0"/>
          <w:i w:val="0"/>
          <w:sz w:val="18"/>
        </w:rPr>
        <w:t xml:space="preserve">Noy, S.; Zhang, W. </w:t>
      </w:r>
      <w:r>
        <w:rPr>
          <w:b w:val="0"/>
          <w:i w:val="0"/>
          <w:sz w:val="18"/>
        </w:rPr>
        <w:t xml:space="preserve">Experimental Evidence on the Productivity Effects of Generative Artificial Intelligence. </w:t>
      </w:r>
      <w:r>
        <w:rPr>
          <w:b w:val="0"/>
          <w:i/>
          <w:sz w:val="18"/>
        </w:rPr>
        <w:t xml:space="preserve">Science </w:t>
      </w:r>
      <w:r>
        <w:rPr>
          <w:b/>
          <w:i w:val="0"/>
          <w:sz w:val="18"/>
        </w:rPr>
        <w:t>2023</w:t>
      </w:r>
      <w:r>
        <w:rPr>
          <w:b w:val="0"/>
          <w:i w:val="0"/>
          <w:sz w:val="18"/>
        </w:rPr>
        <w:t xml:space="preserve">, </w:t>
      </w:r>
      <w:r>
        <w:rPr>
          <w:b w:val="0"/>
          <w:i/>
          <w:sz w:val="18"/>
        </w:rPr>
        <w:t>381</w:t>
      </w:r>
      <w:r>
        <w:rPr>
          <w:b w:val="0"/>
          <w:i w:val="0"/>
          <w:sz w:val="18"/>
        </w:rPr>
        <w:t>, 187–192.</w:t>
      </w:r>
      <w:r>
        <w:rPr>
          <w:b w:val="0"/>
          <w:i w:val="0"/>
          <w:sz w:val="18"/>
        </w:rPr>
        <w:t xml:space="preserve"> [CrossRef]</w:t>
      </w:r>
    </w:p>
    <w:p>
      <w:pPr>
        <w:pStyle w:val="MDPI32textnoindent"/>
        <w:spacing w:line="240" w:lineRule="auto" w:before="0" w:after="40"/>
        <w:ind w:left="425" w:hanging="425"/>
        <w:tabs>
          <w:tab w:val="left" w:pos="425"/>
        </w:tabs>
      </w:pPr>
      <w:bookmarkStart w:id="1004" w:name="_Ref_4"/>
      <w:r>
        <w:rPr>
          <w:b w:val="0"/>
          <w:sz w:val="18"/>
        </w:rPr>
        <w:t>4</w:t>
      </w:r>
      <w:bookmarkEnd w:id="1004"/>
      <w:r>
        <w:rPr>
          <w:sz w:val="18"/>
        </w:rPr>
        <w:t>.</w:t>
        <w:tab/>
      </w:r>
      <w:r>
        <w:rPr>
          <w:b w:val="0"/>
          <w:i w:val="0"/>
          <w:sz w:val="18"/>
        </w:rPr>
        <w:t xml:space="preserve">Brynjolfsson, E.; Chandar, B.; Chen, R. </w:t>
      </w:r>
      <w:r>
        <w:rPr>
          <w:b w:val="0"/>
          <w:i/>
          <w:sz w:val="18"/>
        </w:rPr>
        <w:t xml:space="preserve">Canaries in the Coal Mine? Six Facts about the Recent Employment Effects of Artificial Intelligence; </w:t>
      </w:r>
      <w:r>
        <w:rPr>
          <w:b w:val="0"/>
          <w:i w:val="0"/>
          <w:sz w:val="18"/>
        </w:rPr>
        <w:t xml:space="preserve">Working Paper; </w:t>
      </w:r>
      <w:r>
        <w:rPr>
          <w:b w:val="0"/>
          <w:i w:val="0"/>
          <w:sz w:val="18"/>
        </w:rPr>
        <w:t>Stanford Digital Economy Lab, Stanford University: Stanford, CA, USA, 2025.</w:t>
      </w:r>
    </w:p>
    <w:p>
      <w:pPr>
        <w:pStyle w:val="MDPI32textnoindent"/>
        <w:spacing w:line="240" w:lineRule="auto" w:before="0" w:after="40"/>
        <w:ind w:left="425" w:hanging="425"/>
        <w:tabs>
          <w:tab w:val="left" w:pos="425"/>
        </w:tabs>
      </w:pPr>
      <w:bookmarkStart w:id="1005" w:name="_Ref_5"/>
      <w:r>
        <w:rPr>
          <w:b w:val="0"/>
          <w:sz w:val="18"/>
        </w:rPr>
        <w:t>5</w:t>
      </w:r>
      <w:bookmarkEnd w:id="1005"/>
      <w:r>
        <w:rPr>
          <w:sz w:val="18"/>
        </w:rPr>
        <w:t>.</w:t>
        <w:tab/>
      </w:r>
      <w:r>
        <w:rPr>
          <w:b w:val="0"/>
          <w:i w:val="0"/>
          <w:sz w:val="18"/>
        </w:rPr>
        <w:t xml:space="preserve">Hui, X.; Reshef, O.; Zhou, L. </w:t>
      </w:r>
      <w:r>
        <w:rPr>
          <w:b w:val="0"/>
          <w:i w:val="0"/>
          <w:sz w:val="18"/>
        </w:rPr>
        <w:t xml:space="preserve">The Short-Term Effects of Generative Artificial Intelligence on Employment: Evidence from an Online Labor Market. </w:t>
      </w:r>
      <w:r>
        <w:rPr>
          <w:b w:val="0"/>
          <w:i/>
          <w:sz w:val="18"/>
        </w:rPr>
        <w:t xml:space="preserve">Organ. Sci. </w:t>
      </w:r>
      <w:r>
        <w:rPr>
          <w:b/>
          <w:i w:val="0"/>
          <w:sz w:val="18"/>
        </w:rPr>
        <w:t>2024</w:t>
      </w:r>
      <w:r>
        <w:rPr>
          <w:b w:val="0"/>
          <w:i w:val="0"/>
          <w:sz w:val="18"/>
        </w:rPr>
        <w:t xml:space="preserve">, </w:t>
      </w:r>
      <w:r>
        <w:rPr>
          <w:b w:val="0"/>
          <w:i/>
          <w:sz w:val="18"/>
        </w:rPr>
        <w:t>35</w:t>
      </w:r>
      <w:r>
        <w:rPr>
          <w:b w:val="0"/>
          <w:i w:val="0"/>
          <w:sz w:val="18"/>
        </w:rPr>
        <w:t>, 1977–1989.</w:t>
      </w:r>
      <w:r>
        <w:rPr>
          <w:b w:val="0"/>
          <w:i w:val="0"/>
          <w:sz w:val="18"/>
        </w:rPr>
        <w:t xml:space="preserve"> [CrossRef]</w:t>
      </w:r>
    </w:p>
    <w:p>
      <w:pPr>
        <w:pStyle w:val="MDPI32textnoindent"/>
        <w:spacing w:line="240" w:lineRule="auto" w:before="0" w:after="40"/>
        <w:ind w:left="425" w:hanging="425"/>
        <w:tabs>
          <w:tab w:val="left" w:pos="425"/>
        </w:tabs>
      </w:pPr>
      <w:bookmarkStart w:id="1006" w:name="_Ref_6"/>
      <w:r>
        <w:rPr>
          <w:b w:val="0"/>
          <w:sz w:val="18"/>
        </w:rPr>
        <w:t>6</w:t>
      </w:r>
      <w:bookmarkEnd w:id="1006"/>
      <w:r>
        <w:rPr>
          <w:sz w:val="18"/>
        </w:rPr>
        <w:t>.</w:t>
        <w:tab/>
      </w:r>
      <w:r>
        <w:rPr>
          <w:b w:val="0"/>
          <w:i w:val="0"/>
          <w:sz w:val="18"/>
        </w:rPr>
        <w:t xml:space="preserve">Brynjolfsson, E.; Li, D.; Raymond, L.R. </w:t>
      </w:r>
      <w:r>
        <w:rPr>
          <w:b w:val="0"/>
          <w:i w:val="0"/>
          <w:sz w:val="18"/>
        </w:rPr>
        <w:t xml:space="preserve">Generative AI at Work. </w:t>
      </w:r>
      <w:r>
        <w:rPr>
          <w:b w:val="0"/>
          <w:i/>
          <w:sz w:val="18"/>
        </w:rPr>
        <w:t xml:space="preserve">Q. J. Econ. </w:t>
      </w:r>
      <w:r>
        <w:rPr>
          <w:b/>
          <w:i w:val="0"/>
          <w:sz w:val="18"/>
        </w:rPr>
        <w:t>2025</w:t>
      </w:r>
      <w:r>
        <w:rPr>
          <w:b w:val="0"/>
          <w:i w:val="0"/>
          <w:sz w:val="18"/>
        </w:rPr>
        <w:t xml:space="preserve">, </w:t>
      </w:r>
      <w:r>
        <w:rPr>
          <w:b w:val="0"/>
          <w:i/>
          <w:sz w:val="18"/>
        </w:rPr>
        <w:t>140</w:t>
      </w:r>
      <w:r>
        <w:rPr>
          <w:b w:val="0"/>
          <w:i w:val="0"/>
          <w:sz w:val="18"/>
        </w:rPr>
        <w:t>, 889–942.</w:t>
      </w:r>
      <w:r>
        <w:rPr>
          <w:b w:val="0"/>
          <w:i w:val="0"/>
          <w:sz w:val="18"/>
        </w:rPr>
        <w:t xml:space="preserve"> [CrossRef]</w:t>
      </w:r>
    </w:p>
    <w:p>
      <w:pPr>
        <w:pStyle w:val="MDPI32textnoindent"/>
        <w:spacing w:line="240" w:lineRule="auto" w:before="0" w:after="40"/>
        <w:ind w:left="425" w:hanging="425"/>
        <w:tabs>
          <w:tab w:val="left" w:pos="425"/>
        </w:tabs>
      </w:pPr>
      <w:bookmarkStart w:id="1007" w:name="_Ref_7"/>
      <w:r>
        <w:rPr>
          <w:b w:val="0"/>
          <w:sz w:val="18"/>
        </w:rPr>
        <w:t>7</w:t>
      </w:r>
      <w:bookmarkEnd w:id="1007"/>
      <w:r>
        <w:rPr>
          <w:sz w:val="18"/>
        </w:rPr>
        <w:t>.</w:t>
        <w:tab/>
      </w:r>
      <w:r>
        <w:rPr>
          <w:b w:val="0"/>
          <w:i w:val="0"/>
          <w:sz w:val="18"/>
        </w:rPr>
        <w:t xml:space="preserve">Dell’Acqua, F.; McFowland, E., III; Mollick, E.R.; Lifshitz-Assaf, H.; Kellogg, K.C.; Rajendran, S.; Krayer, L.; Candelon, F.; Lakhani, K.R. </w:t>
      </w:r>
      <w:r>
        <w:rPr>
          <w:b w:val="0"/>
          <w:i w:val="0"/>
          <w:sz w:val="18"/>
        </w:rPr>
        <w:t xml:space="preserve">Navigating the Jagged Technological Frontier: Field Experimental Evidence of the Effects of Artificial Intelligence on Knowledge Worker Productivity and Quality. </w:t>
      </w:r>
      <w:r>
        <w:rPr>
          <w:b w:val="0"/>
          <w:i/>
          <w:sz w:val="18"/>
        </w:rPr>
        <w:t xml:space="preserve">Organ. Sci. </w:t>
      </w:r>
      <w:r>
        <w:rPr>
          <w:b/>
          <w:i w:val="0"/>
          <w:sz w:val="18"/>
        </w:rPr>
        <w:t>2026</w:t>
      </w:r>
      <w:r>
        <w:rPr>
          <w:b w:val="0"/>
          <w:i w:val="0"/>
          <w:sz w:val="18"/>
        </w:rPr>
        <w:t xml:space="preserve">, </w:t>
      </w:r>
      <w:r>
        <w:rPr>
          <w:b w:val="0"/>
          <w:i w:val="0"/>
          <w:sz w:val="18"/>
        </w:rPr>
        <w:t>in press.</w:t>
      </w:r>
      <w:r>
        <w:rPr>
          <w:b w:val="0"/>
          <w:i w:val="0"/>
          <w:sz w:val="18"/>
        </w:rPr>
        <w:t xml:space="preserve"> [CrossRef]</w:t>
      </w:r>
    </w:p>
    <w:p>
      <w:pPr>
        <w:pStyle w:val="MDPI32textnoindent"/>
        <w:spacing w:line="240" w:lineRule="auto" w:before="0" w:after="40"/>
        <w:ind w:left="425" w:hanging="425"/>
        <w:tabs>
          <w:tab w:val="left" w:pos="425"/>
        </w:tabs>
      </w:pPr>
      <w:bookmarkStart w:id="1008" w:name="_Ref_8"/>
      <w:r>
        <w:rPr>
          <w:b w:val="0"/>
          <w:sz w:val="18"/>
        </w:rPr>
        <w:t>8</w:t>
      </w:r>
      <w:bookmarkEnd w:id="1008"/>
      <w:r>
        <w:rPr>
          <w:sz w:val="18"/>
        </w:rPr>
        <w:t>.</w:t>
        <w:tab/>
      </w:r>
      <w:r>
        <w:rPr>
          <w:b w:val="0"/>
          <w:i w:val="0"/>
          <w:sz w:val="18"/>
        </w:rPr>
        <w:t xml:space="preserve">Autor, D. </w:t>
      </w:r>
      <w:r>
        <w:rPr>
          <w:b w:val="0"/>
          <w:i/>
          <w:sz w:val="18"/>
        </w:rPr>
        <w:t xml:space="preserve">Applying AI to Rebuild Middle Class Jobs; </w:t>
      </w:r>
      <w:r>
        <w:rPr>
          <w:b w:val="0"/>
          <w:i w:val="0"/>
          <w:sz w:val="18"/>
        </w:rPr>
        <w:t xml:space="preserve">NBER Working Paper 32140; </w:t>
      </w:r>
      <w:r>
        <w:rPr>
          <w:b w:val="0"/>
          <w:i w:val="0"/>
          <w:sz w:val="18"/>
        </w:rPr>
        <w:t>National Bureau of Economic Research: Cambridge, MA, USA, 2024.</w:t>
      </w:r>
    </w:p>
    <w:p>
      <w:pPr>
        <w:pStyle w:val="MDPI32textnoindent"/>
        <w:spacing w:line="240" w:lineRule="auto" w:before="0" w:after="40"/>
        <w:ind w:left="425" w:hanging="425"/>
        <w:tabs>
          <w:tab w:val="left" w:pos="425"/>
        </w:tabs>
      </w:pPr>
      <w:bookmarkStart w:id="1009" w:name="_Ref_9"/>
      <w:r>
        <w:rPr>
          <w:b w:val="0"/>
          <w:sz w:val="18"/>
        </w:rPr>
        <w:t>9</w:t>
      </w:r>
      <w:bookmarkEnd w:id="1009"/>
      <w:r>
        <w:rPr>
          <w:sz w:val="18"/>
        </w:rPr>
        <w:t>.</w:t>
        <w:tab/>
      </w:r>
      <w:r>
        <w:rPr>
          <w:b w:val="0"/>
          <w:i w:val="0"/>
          <w:sz w:val="18"/>
        </w:rPr>
        <w:t xml:space="preserve">Autor, D.; Chin, C.; Salomons, A.; Seegmiller, B. </w:t>
      </w:r>
      <w:r>
        <w:rPr>
          <w:b w:val="0"/>
          <w:i w:val="0"/>
          <w:sz w:val="18"/>
        </w:rPr>
        <w:t xml:space="preserve">New Frontiers: The Origins and Content of New Work, 1940–2018. </w:t>
      </w:r>
      <w:r>
        <w:rPr>
          <w:b w:val="0"/>
          <w:i/>
          <w:sz w:val="18"/>
        </w:rPr>
        <w:t xml:space="preserve">Q. J. Econ. </w:t>
      </w:r>
      <w:r>
        <w:rPr>
          <w:b/>
          <w:i w:val="0"/>
          <w:sz w:val="18"/>
        </w:rPr>
        <w:t>2024</w:t>
      </w:r>
      <w:r>
        <w:rPr>
          <w:b w:val="0"/>
          <w:i w:val="0"/>
          <w:sz w:val="18"/>
        </w:rPr>
        <w:t xml:space="preserve">, </w:t>
      </w:r>
      <w:r>
        <w:rPr>
          <w:b w:val="0"/>
          <w:i/>
          <w:sz w:val="18"/>
        </w:rPr>
        <w:t>139</w:t>
      </w:r>
      <w:r>
        <w:rPr>
          <w:b w:val="0"/>
          <w:i w:val="0"/>
          <w:sz w:val="18"/>
        </w:rPr>
        <w:t>, 1399–1465.</w:t>
      </w:r>
      <w:r>
        <w:rPr>
          <w:b w:val="0"/>
          <w:i w:val="0"/>
          <w:sz w:val="18"/>
        </w:rPr>
        <w:t xml:space="preserve"> [CrossRef]</w:t>
      </w:r>
    </w:p>
    <w:p>
      <w:pPr>
        <w:pStyle w:val="MDPI32textnoindent"/>
        <w:spacing w:line="240" w:lineRule="auto" w:before="0" w:after="40"/>
        <w:ind w:left="425" w:hanging="425"/>
        <w:tabs>
          <w:tab w:val="left" w:pos="425"/>
        </w:tabs>
      </w:pPr>
      <w:bookmarkStart w:id="1010" w:name="_Ref_10"/>
      <w:r>
        <w:rPr>
          <w:b w:val="0"/>
          <w:sz w:val="18"/>
        </w:rPr>
        <w:t>10</w:t>
      </w:r>
      <w:bookmarkEnd w:id="1010"/>
      <w:r>
        <w:rPr>
          <w:sz w:val="18"/>
        </w:rPr>
        <w:t>.</w:t>
        <w:tab/>
      </w:r>
      <w:r>
        <w:rPr>
          <w:b w:val="0"/>
          <w:i w:val="0"/>
          <w:sz w:val="18"/>
        </w:rPr>
        <w:t xml:space="preserve">Ministry of Education of the People’s Republic of China. </w:t>
      </w:r>
      <w:r>
        <w:rPr>
          <w:b w:val="0"/>
          <w:i w:val="0"/>
          <w:sz w:val="18"/>
        </w:rPr>
        <w:t xml:space="preserve">The Number of College Graduates Nationwide Is Expected to Reach 12.22 Million in 2025. </w:t>
      </w:r>
      <w:r>
        <w:rPr>
          <w:b w:val="0"/>
          <w:i w:val="0"/>
          <w:sz w:val="18"/>
        </w:rPr>
        <w:t>Available online: http://www.moe.gov.cn/ (accessed on 20 March 2026).</w:t>
      </w:r>
    </w:p>
    <w:p>
      <w:pPr>
        <w:pStyle w:val="MDPI32textnoindent"/>
        <w:spacing w:line="240" w:lineRule="auto" w:before="0" w:after="40"/>
        <w:ind w:left="425" w:hanging="425"/>
        <w:tabs>
          <w:tab w:val="left" w:pos="425"/>
        </w:tabs>
      </w:pPr>
      <w:bookmarkStart w:id="1011" w:name="_Ref_11"/>
      <w:r>
        <w:rPr>
          <w:b w:val="0"/>
          <w:sz w:val="18"/>
        </w:rPr>
        <w:t>11</w:t>
      </w:r>
      <w:bookmarkEnd w:id="1011"/>
      <w:r>
        <w:rPr>
          <w:sz w:val="18"/>
        </w:rPr>
        <w:t>.</w:t>
        <w:tab/>
      </w:r>
      <w:r>
        <w:rPr>
          <w:b w:val="0"/>
          <w:i w:val="0"/>
          <w:sz w:val="18"/>
        </w:rPr>
        <w:t xml:space="preserve">Li, S.; Whalley, J.; Xing, C. </w:t>
      </w:r>
      <w:r>
        <w:rPr>
          <w:b w:val="0"/>
          <w:i w:val="0"/>
          <w:sz w:val="18"/>
        </w:rPr>
        <w:t xml:space="preserve">China’s Higher Education Expansion and Unemployment of College Graduates. </w:t>
      </w:r>
      <w:r>
        <w:rPr>
          <w:b w:val="0"/>
          <w:i/>
          <w:sz w:val="18"/>
        </w:rPr>
        <w:t xml:space="preserve">China Econ. Rev. </w:t>
      </w:r>
      <w:r>
        <w:rPr>
          <w:b/>
          <w:i w:val="0"/>
          <w:sz w:val="18"/>
        </w:rPr>
        <w:t>2014</w:t>
      </w:r>
      <w:r>
        <w:rPr>
          <w:b w:val="0"/>
          <w:i w:val="0"/>
          <w:sz w:val="18"/>
        </w:rPr>
        <w:t xml:space="preserve">, </w:t>
      </w:r>
      <w:r>
        <w:rPr>
          <w:b w:val="0"/>
          <w:i/>
          <w:sz w:val="18"/>
        </w:rPr>
        <w:t>30</w:t>
      </w:r>
      <w:r>
        <w:rPr>
          <w:b w:val="0"/>
          <w:i w:val="0"/>
          <w:sz w:val="18"/>
        </w:rPr>
        <w:t>, 567–582.</w:t>
      </w:r>
      <w:r>
        <w:rPr>
          <w:b w:val="0"/>
          <w:i w:val="0"/>
          <w:sz w:val="18"/>
        </w:rPr>
        <w:t xml:space="preserve"> [CrossRef]</w:t>
      </w:r>
    </w:p>
    <w:p>
      <w:pPr>
        <w:pStyle w:val="MDPI32textnoindent"/>
        <w:spacing w:line="240" w:lineRule="auto" w:before="0" w:after="40"/>
        <w:ind w:left="425" w:hanging="425"/>
        <w:tabs>
          <w:tab w:val="left" w:pos="425"/>
        </w:tabs>
      </w:pPr>
      <w:bookmarkStart w:id="1012" w:name="_Ref_12"/>
      <w:r>
        <w:rPr>
          <w:b w:val="0"/>
          <w:sz w:val="18"/>
        </w:rPr>
        <w:t>12</w:t>
      </w:r>
      <w:bookmarkEnd w:id="1012"/>
      <w:r>
        <w:rPr>
          <w:sz w:val="18"/>
        </w:rPr>
        <w:t>.</w:t>
        <w:tab/>
      </w:r>
      <w:r>
        <w:rPr>
          <w:b w:val="0"/>
          <w:i w:val="0"/>
          <w:sz w:val="18"/>
        </w:rPr>
        <w:t xml:space="preserve">Acemoglu, D.; Restrepo, P. </w:t>
      </w:r>
      <w:r>
        <w:rPr>
          <w:b w:val="0"/>
          <w:i w:val="0"/>
          <w:sz w:val="18"/>
        </w:rPr>
        <w:t xml:space="preserve">Tasks, Automation, and the Rise in U.S. Wage Inequality. </w:t>
      </w:r>
      <w:r>
        <w:rPr>
          <w:b w:val="0"/>
          <w:i/>
          <w:sz w:val="18"/>
        </w:rPr>
        <w:t xml:space="preserve">Econometrica </w:t>
      </w:r>
      <w:r>
        <w:rPr>
          <w:b/>
          <w:i w:val="0"/>
          <w:sz w:val="18"/>
        </w:rPr>
        <w:t>2022</w:t>
      </w:r>
      <w:r>
        <w:rPr>
          <w:b w:val="0"/>
          <w:i w:val="0"/>
          <w:sz w:val="18"/>
        </w:rPr>
        <w:t xml:space="preserve">, </w:t>
      </w:r>
      <w:r>
        <w:rPr>
          <w:b w:val="0"/>
          <w:i/>
          <w:sz w:val="18"/>
        </w:rPr>
        <w:t>90</w:t>
      </w:r>
      <w:r>
        <w:rPr>
          <w:b w:val="0"/>
          <w:i w:val="0"/>
          <w:sz w:val="18"/>
        </w:rPr>
        <w:t>, 1973–2016.</w:t>
      </w:r>
      <w:r>
        <w:rPr>
          <w:b w:val="0"/>
          <w:i w:val="0"/>
          <w:sz w:val="18"/>
        </w:rPr>
        <w:t xml:space="preserve"> [CrossRef]</w:t>
      </w:r>
    </w:p>
    <w:p>
      <w:pPr>
        <w:pStyle w:val="MDPI32textnoindent"/>
        <w:spacing w:line="240" w:lineRule="auto" w:before="0" w:after="40"/>
        <w:ind w:left="425" w:hanging="425"/>
        <w:tabs>
          <w:tab w:val="left" w:pos="425"/>
        </w:tabs>
      </w:pPr>
      <w:bookmarkStart w:id="1013" w:name="_Ref_13"/>
      <w:r>
        <w:rPr>
          <w:b w:val="0"/>
          <w:sz w:val="18"/>
        </w:rPr>
        <w:t>13</w:t>
      </w:r>
      <w:bookmarkEnd w:id="1013"/>
      <w:r>
        <w:rPr>
          <w:sz w:val="18"/>
        </w:rPr>
        <w:t>.</w:t>
        <w:tab/>
      </w:r>
      <w:r>
        <w:rPr>
          <w:b w:val="0"/>
          <w:i w:val="0"/>
          <w:sz w:val="18"/>
        </w:rPr>
        <w:t xml:space="preserve">Autor, D.H. </w:t>
      </w:r>
      <w:r>
        <w:rPr>
          <w:b w:val="0"/>
          <w:i w:val="0"/>
          <w:sz w:val="18"/>
        </w:rPr>
        <w:t xml:space="preserve">Why Are There Still So Many Jobs? The History and Future of Workplace Automation. </w:t>
      </w:r>
      <w:r>
        <w:rPr>
          <w:b w:val="0"/>
          <w:i/>
          <w:sz w:val="18"/>
        </w:rPr>
        <w:t xml:space="preserve">J. Econ. Perspect. </w:t>
      </w:r>
      <w:r>
        <w:rPr>
          <w:b/>
          <w:i w:val="0"/>
          <w:sz w:val="18"/>
        </w:rPr>
        <w:t>2015</w:t>
      </w:r>
      <w:r>
        <w:rPr>
          <w:b w:val="0"/>
          <w:i w:val="0"/>
          <w:sz w:val="18"/>
        </w:rPr>
        <w:t xml:space="preserve">, </w:t>
      </w:r>
      <w:r>
        <w:rPr>
          <w:b w:val="0"/>
          <w:i/>
          <w:sz w:val="18"/>
        </w:rPr>
        <w:t>29</w:t>
      </w:r>
      <w:r>
        <w:rPr>
          <w:b w:val="0"/>
          <w:i w:val="0"/>
          <w:sz w:val="18"/>
        </w:rPr>
        <w:t>, 3–30.</w:t>
      </w:r>
      <w:r>
        <w:rPr>
          <w:b w:val="0"/>
          <w:i w:val="0"/>
          <w:sz w:val="18"/>
        </w:rPr>
        <w:t xml:space="preserve"> [CrossRef]</w:t>
      </w:r>
    </w:p>
    <w:p>
      <w:pPr>
        <w:pStyle w:val="MDPI32textnoindent"/>
        <w:spacing w:line="240" w:lineRule="auto" w:before="0" w:after="40"/>
        <w:ind w:left="425" w:hanging="425"/>
        <w:tabs>
          <w:tab w:val="left" w:pos="425"/>
        </w:tabs>
      </w:pPr>
      <w:bookmarkStart w:id="1014" w:name="_Ref_14"/>
      <w:r>
        <w:rPr>
          <w:b w:val="0"/>
          <w:sz w:val="18"/>
        </w:rPr>
        <w:t>14</w:t>
      </w:r>
      <w:bookmarkEnd w:id="1014"/>
      <w:r>
        <w:rPr>
          <w:sz w:val="18"/>
        </w:rPr>
        <w:t>.</w:t>
        <w:tab/>
      </w:r>
      <w:r>
        <w:rPr>
          <w:b w:val="0"/>
          <w:i w:val="0"/>
          <w:sz w:val="18"/>
        </w:rPr>
        <w:t xml:space="preserve">Acemoglu, D.; Restrepo, P. </w:t>
      </w:r>
      <w:r>
        <w:rPr>
          <w:b w:val="0"/>
          <w:i w:val="0"/>
          <w:sz w:val="18"/>
        </w:rPr>
        <w:t xml:space="preserve">The Race between Man and Machine: Implications of Technology for Growth, Factor Shares, and Employment. </w:t>
      </w:r>
      <w:r>
        <w:rPr>
          <w:b w:val="0"/>
          <w:i/>
          <w:sz w:val="18"/>
        </w:rPr>
        <w:t xml:space="preserve">Am. Econ. Rev. </w:t>
      </w:r>
      <w:r>
        <w:rPr>
          <w:b/>
          <w:i w:val="0"/>
          <w:sz w:val="18"/>
        </w:rPr>
        <w:t>2018</w:t>
      </w:r>
      <w:r>
        <w:rPr>
          <w:b w:val="0"/>
          <w:i w:val="0"/>
          <w:sz w:val="18"/>
        </w:rPr>
        <w:t xml:space="preserve">, </w:t>
      </w:r>
      <w:r>
        <w:rPr>
          <w:b w:val="0"/>
          <w:i/>
          <w:sz w:val="18"/>
        </w:rPr>
        <w:t>108</w:t>
      </w:r>
      <w:r>
        <w:rPr>
          <w:b w:val="0"/>
          <w:i w:val="0"/>
          <w:sz w:val="18"/>
        </w:rPr>
        <w:t>, 1488–1542.</w:t>
      </w:r>
      <w:r>
        <w:rPr>
          <w:b w:val="0"/>
          <w:i w:val="0"/>
          <w:sz w:val="18"/>
        </w:rPr>
        <w:t xml:space="preserve"> [CrossRef]</w:t>
      </w:r>
    </w:p>
    <w:p>
      <w:pPr>
        <w:pStyle w:val="MDPI32textnoindent"/>
        <w:spacing w:line="240" w:lineRule="auto" w:before="0" w:after="40"/>
        <w:ind w:left="425" w:hanging="425"/>
        <w:tabs>
          <w:tab w:val="left" w:pos="425"/>
        </w:tabs>
      </w:pPr>
      <w:bookmarkStart w:id="1015" w:name="_Ref_15"/>
      <w:r>
        <w:rPr>
          <w:b w:val="0"/>
          <w:sz w:val="18"/>
        </w:rPr>
        <w:t>15</w:t>
      </w:r>
      <w:bookmarkEnd w:id="1015"/>
      <w:r>
        <w:rPr>
          <w:sz w:val="18"/>
        </w:rPr>
        <w:t>.</w:t>
        <w:tab/>
      </w:r>
      <w:r>
        <w:rPr>
          <w:b w:val="0"/>
          <w:i w:val="0"/>
          <w:sz w:val="18"/>
        </w:rPr>
        <w:t xml:space="preserve">Kahn, L.B. </w:t>
      </w:r>
      <w:r>
        <w:rPr>
          <w:b w:val="0"/>
          <w:i w:val="0"/>
          <w:sz w:val="18"/>
        </w:rPr>
        <w:t xml:space="preserve">The Long-Term Labor Market Consequences of Graduating from College in a Bad Economy. </w:t>
      </w:r>
      <w:r>
        <w:rPr>
          <w:b w:val="0"/>
          <w:i/>
          <w:sz w:val="18"/>
        </w:rPr>
        <w:t xml:space="preserve">Labour Econ. </w:t>
      </w:r>
      <w:r>
        <w:rPr>
          <w:b/>
          <w:i w:val="0"/>
          <w:sz w:val="18"/>
        </w:rPr>
        <w:t>2010</w:t>
      </w:r>
      <w:r>
        <w:rPr>
          <w:b w:val="0"/>
          <w:i w:val="0"/>
          <w:sz w:val="18"/>
        </w:rPr>
        <w:t xml:space="preserve">, </w:t>
      </w:r>
      <w:r>
        <w:rPr>
          <w:b w:val="0"/>
          <w:i/>
          <w:sz w:val="18"/>
        </w:rPr>
        <w:t>17</w:t>
      </w:r>
      <w:r>
        <w:rPr>
          <w:b w:val="0"/>
          <w:i w:val="0"/>
          <w:sz w:val="18"/>
        </w:rPr>
        <w:t>, 303–316.</w:t>
      </w:r>
      <w:r>
        <w:rPr>
          <w:b w:val="0"/>
          <w:i w:val="0"/>
          <w:sz w:val="18"/>
        </w:rPr>
        <w:t xml:space="preserve"> [CrossRef]</w:t>
      </w:r>
    </w:p>
    <w:p>
      <w:pPr>
        <w:pStyle w:val="MDPI32textnoindent"/>
        <w:spacing w:line="240" w:lineRule="auto" w:before="0" w:after="40"/>
        <w:ind w:left="425" w:hanging="425"/>
        <w:tabs>
          <w:tab w:val="left" w:pos="425"/>
        </w:tabs>
      </w:pPr>
      <w:bookmarkStart w:id="1016" w:name="_Ref_16"/>
      <w:r>
        <w:rPr>
          <w:b w:val="0"/>
          <w:sz w:val="18"/>
        </w:rPr>
        <w:t>16</w:t>
      </w:r>
      <w:bookmarkEnd w:id="1016"/>
      <w:r>
        <w:rPr>
          <w:sz w:val="18"/>
        </w:rPr>
        <w:t>.</w:t>
        <w:tab/>
      </w:r>
      <w:r>
        <w:rPr>
          <w:b w:val="0"/>
          <w:i w:val="0"/>
          <w:sz w:val="18"/>
        </w:rPr>
        <w:t xml:space="preserve">Oreopoulos, P.; von Wachter, T.; Heisz, A. </w:t>
      </w:r>
      <w:r>
        <w:rPr>
          <w:b w:val="0"/>
          <w:i w:val="0"/>
          <w:sz w:val="18"/>
        </w:rPr>
        <w:t xml:space="preserve">The Short- and Long-Term Career Effects of Graduating in a Recession. </w:t>
      </w:r>
      <w:r>
        <w:rPr>
          <w:b w:val="0"/>
          <w:i/>
          <w:sz w:val="18"/>
        </w:rPr>
        <w:t xml:space="preserve">Am. Econ. J. Appl. Econ. </w:t>
      </w:r>
      <w:r>
        <w:rPr>
          <w:b/>
          <w:i w:val="0"/>
          <w:sz w:val="18"/>
        </w:rPr>
        <w:t>2012</w:t>
      </w:r>
      <w:r>
        <w:rPr>
          <w:b w:val="0"/>
          <w:i w:val="0"/>
          <w:sz w:val="18"/>
        </w:rPr>
        <w:t xml:space="preserve">, </w:t>
      </w:r>
      <w:r>
        <w:rPr>
          <w:b w:val="0"/>
          <w:i/>
          <w:sz w:val="18"/>
        </w:rPr>
        <w:t>4</w:t>
      </w:r>
      <w:r>
        <w:rPr>
          <w:b w:val="0"/>
          <w:i w:val="0"/>
          <w:sz w:val="18"/>
        </w:rPr>
        <w:t>, 1–29.</w:t>
      </w:r>
      <w:r>
        <w:rPr>
          <w:b w:val="0"/>
          <w:i w:val="0"/>
          <w:sz w:val="18"/>
        </w:rPr>
        <w:t xml:space="preserve"> [CrossRef]</w:t>
      </w:r>
    </w:p>
    <w:p>
      <w:pPr>
        <w:pStyle w:val="MDPI32textnoindent"/>
        <w:spacing w:line="240" w:lineRule="auto" w:before="0" w:after="40"/>
        <w:ind w:left="425" w:hanging="425"/>
        <w:tabs>
          <w:tab w:val="left" w:pos="425"/>
        </w:tabs>
      </w:pPr>
      <w:bookmarkStart w:id="1017" w:name="_Ref_17"/>
      <w:r>
        <w:rPr>
          <w:b w:val="0"/>
          <w:sz w:val="18"/>
        </w:rPr>
        <w:t>17</w:t>
      </w:r>
      <w:bookmarkEnd w:id="1017"/>
      <w:r>
        <w:rPr>
          <w:sz w:val="18"/>
        </w:rPr>
        <w:t>.</w:t>
        <w:tab/>
      </w:r>
      <w:r>
        <w:rPr>
          <w:b w:val="0"/>
          <w:i w:val="0"/>
          <w:sz w:val="18"/>
        </w:rPr>
        <w:t xml:space="preserve">Schwandt, H.; von Wachter, T. </w:t>
      </w:r>
      <w:r>
        <w:rPr>
          <w:b w:val="0"/>
          <w:i w:val="0"/>
          <w:sz w:val="18"/>
        </w:rPr>
        <w:t xml:space="preserve">Unlucky Cohorts: Estimating the Long-Term Effects of Entering the Labor Market in a Recession in Large Cross-Sectional Data Sets. </w:t>
      </w:r>
      <w:r>
        <w:rPr>
          <w:b w:val="0"/>
          <w:i/>
          <w:sz w:val="18"/>
        </w:rPr>
        <w:t xml:space="preserve">J. Labor Econ. </w:t>
      </w:r>
      <w:r>
        <w:rPr>
          <w:b/>
          <w:i w:val="0"/>
          <w:sz w:val="18"/>
        </w:rPr>
        <w:t>2019</w:t>
      </w:r>
      <w:r>
        <w:rPr>
          <w:b w:val="0"/>
          <w:i w:val="0"/>
          <w:sz w:val="18"/>
        </w:rPr>
        <w:t xml:space="preserve">, </w:t>
      </w:r>
      <w:r>
        <w:rPr>
          <w:b w:val="0"/>
          <w:i/>
          <w:sz w:val="18"/>
        </w:rPr>
        <w:t>37</w:t>
      </w:r>
      <w:r>
        <w:rPr>
          <w:b w:val="0"/>
          <w:i w:val="0"/>
          <w:sz w:val="18"/>
        </w:rPr>
        <w:t>, S161–S198.</w:t>
      </w:r>
      <w:r>
        <w:rPr>
          <w:b w:val="0"/>
          <w:i w:val="0"/>
          <w:sz w:val="18"/>
        </w:rPr>
        <w:t xml:space="preserve"> [CrossRef]</w:t>
      </w:r>
    </w:p>
    <w:p>
      <w:pPr>
        <w:pStyle w:val="MDPI32textnoindent"/>
        <w:spacing w:line="240" w:lineRule="auto" w:before="0" w:after="40"/>
        <w:ind w:left="425" w:hanging="425"/>
        <w:tabs>
          <w:tab w:val="left" w:pos="425"/>
        </w:tabs>
      </w:pPr>
      <w:bookmarkStart w:id="1018" w:name="_Ref_18"/>
      <w:r>
        <w:rPr>
          <w:b w:val="0"/>
          <w:sz w:val="18"/>
        </w:rPr>
        <w:t>18</w:t>
      </w:r>
      <w:bookmarkEnd w:id="1018"/>
      <w:r>
        <w:rPr>
          <w:sz w:val="18"/>
        </w:rPr>
        <w:t>.</w:t>
        <w:tab/>
      </w:r>
      <w:r>
        <w:rPr>
          <w:b w:val="0"/>
          <w:i w:val="0"/>
          <w:sz w:val="18"/>
        </w:rPr>
        <w:t xml:space="preserve">von Wachter, T. </w:t>
      </w:r>
      <w:r>
        <w:rPr>
          <w:b w:val="0"/>
          <w:i w:val="0"/>
          <w:sz w:val="18"/>
        </w:rPr>
        <w:t xml:space="preserve">The Persistent Effects of Initial Labor Market Conditions for Young Adults and Their Sources. </w:t>
      </w:r>
      <w:r>
        <w:rPr>
          <w:b w:val="0"/>
          <w:i/>
          <w:sz w:val="18"/>
        </w:rPr>
        <w:t xml:space="preserve">J. Econ. Perspect. </w:t>
      </w:r>
      <w:r>
        <w:rPr>
          <w:b/>
          <w:i w:val="0"/>
          <w:sz w:val="18"/>
        </w:rPr>
        <w:t>2020</w:t>
      </w:r>
      <w:r>
        <w:rPr>
          <w:b w:val="0"/>
          <w:i w:val="0"/>
          <w:sz w:val="18"/>
        </w:rPr>
        <w:t xml:space="preserve">, </w:t>
      </w:r>
      <w:r>
        <w:rPr>
          <w:b w:val="0"/>
          <w:i/>
          <w:sz w:val="18"/>
        </w:rPr>
        <w:t>34</w:t>
      </w:r>
      <w:r>
        <w:rPr>
          <w:b w:val="0"/>
          <w:i w:val="0"/>
          <w:sz w:val="18"/>
        </w:rPr>
        <w:t>, 168–194.</w:t>
      </w:r>
      <w:r>
        <w:rPr>
          <w:b w:val="0"/>
          <w:i w:val="0"/>
          <w:sz w:val="18"/>
        </w:rPr>
        <w:t xml:space="preserve"> [CrossRef]</w:t>
      </w:r>
    </w:p>
    <w:p>
      <w:pPr>
        <w:pStyle w:val="MDPI32textnoindent"/>
        <w:spacing w:line="240" w:lineRule="auto" w:before="0" w:after="40"/>
        <w:ind w:left="425" w:hanging="425"/>
        <w:tabs>
          <w:tab w:val="left" w:pos="425"/>
        </w:tabs>
      </w:pPr>
      <w:bookmarkStart w:id="1019" w:name="_Ref_19"/>
      <w:r>
        <w:rPr>
          <w:b w:val="0"/>
          <w:sz w:val="18"/>
        </w:rPr>
        <w:t>19</w:t>
      </w:r>
      <w:bookmarkEnd w:id="1019"/>
      <w:r>
        <w:rPr>
          <w:sz w:val="18"/>
        </w:rPr>
        <w:t>.</w:t>
        <w:tab/>
      </w:r>
      <w:r>
        <w:rPr>
          <w:b w:val="0"/>
          <w:i w:val="0"/>
          <w:sz w:val="18"/>
        </w:rPr>
        <w:t xml:space="preserve">Wang, Y.-Y.; Wang, Y.-S. </w:t>
      </w:r>
      <w:r>
        <w:rPr>
          <w:b w:val="0"/>
          <w:i w:val="0"/>
          <w:sz w:val="18"/>
        </w:rPr>
        <w:t xml:space="preserve">Development and Validation of an Artificial Intelligence Anxiety Scale: An Initial Application in Predicting Motivated Learning Behavior. </w:t>
      </w:r>
      <w:r>
        <w:rPr>
          <w:b w:val="0"/>
          <w:i/>
          <w:sz w:val="18"/>
        </w:rPr>
        <w:t xml:space="preserve">Interact. Learn. Environ. </w:t>
      </w:r>
      <w:r>
        <w:rPr>
          <w:b/>
          <w:i w:val="0"/>
          <w:sz w:val="18"/>
        </w:rPr>
        <w:t>2022</w:t>
      </w:r>
      <w:r>
        <w:rPr>
          <w:b w:val="0"/>
          <w:i w:val="0"/>
          <w:sz w:val="18"/>
        </w:rPr>
        <w:t xml:space="preserve">, </w:t>
      </w:r>
      <w:r>
        <w:rPr>
          <w:b w:val="0"/>
          <w:i/>
          <w:sz w:val="18"/>
        </w:rPr>
        <w:t>30</w:t>
      </w:r>
      <w:r>
        <w:rPr>
          <w:b w:val="0"/>
          <w:i w:val="0"/>
          <w:sz w:val="18"/>
        </w:rPr>
        <w:t>, 619–634.</w:t>
      </w:r>
      <w:r>
        <w:rPr>
          <w:b w:val="0"/>
          <w:i w:val="0"/>
          <w:sz w:val="18"/>
        </w:rPr>
        <w:t xml:space="preserve"> [CrossRef]</w:t>
      </w:r>
    </w:p>
    <w:p>
      <w:pPr>
        <w:pStyle w:val="MDPI32textnoindent"/>
        <w:spacing w:line="240" w:lineRule="auto" w:before="0" w:after="40"/>
        <w:ind w:left="425" w:hanging="425"/>
        <w:tabs>
          <w:tab w:val="left" w:pos="425"/>
        </w:tabs>
      </w:pPr>
      <w:bookmarkStart w:id="1020" w:name="_Ref_20"/>
      <w:r>
        <w:rPr>
          <w:b w:val="0"/>
          <w:sz w:val="18"/>
        </w:rPr>
        <w:t>20</w:t>
      </w:r>
      <w:bookmarkEnd w:id="1020"/>
      <w:r>
        <w:rPr>
          <w:sz w:val="18"/>
        </w:rPr>
        <w:t>.</w:t>
        <w:tab/>
      </w:r>
      <w:r>
        <w:rPr>
          <w:b w:val="0"/>
          <w:i w:val="0"/>
          <w:sz w:val="18"/>
        </w:rPr>
        <w:t xml:space="preserve">Kong, H.; Yuan, Y.; Baruch, Y.; Bu, N.; Jiang, X.; Wang, K. </w:t>
      </w:r>
      <w:r>
        <w:rPr>
          <w:b w:val="0"/>
          <w:i w:val="0"/>
          <w:sz w:val="18"/>
        </w:rPr>
        <w:t xml:space="preserve">Influences of Artificial Intelligence (AI) Awareness on Career Competency and Job Burnout. </w:t>
      </w:r>
      <w:r>
        <w:rPr>
          <w:b w:val="0"/>
          <w:i/>
          <w:sz w:val="18"/>
        </w:rPr>
        <w:t xml:space="preserve">Int. J. Contemp. Hosp. Manag. </w:t>
      </w:r>
      <w:r>
        <w:rPr>
          <w:b/>
          <w:i w:val="0"/>
          <w:sz w:val="18"/>
        </w:rPr>
        <w:t>2021</w:t>
      </w:r>
      <w:r>
        <w:rPr>
          <w:b w:val="0"/>
          <w:i w:val="0"/>
          <w:sz w:val="18"/>
        </w:rPr>
        <w:t xml:space="preserve">, </w:t>
      </w:r>
      <w:r>
        <w:rPr>
          <w:b w:val="0"/>
          <w:i/>
          <w:sz w:val="18"/>
        </w:rPr>
        <w:t>33</w:t>
      </w:r>
      <w:r>
        <w:rPr>
          <w:b w:val="0"/>
          <w:i w:val="0"/>
          <w:sz w:val="18"/>
        </w:rPr>
        <w:t>, 717–734.</w:t>
      </w:r>
      <w:r>
        <w:rPr>
          <w:b w:val="0"/>
          <w:i w:val="0"/>
          <w:sz w:val="18"/>
        </w:rPr>
        <w:t xml:space="preserve"> [CrossRef]</w:t>
      </w:r>
    </w:p>
    <w:p>
      <w:pPr>
        <w:pStyle w:val="MDPI32textnoindent"/>
        <w:spacing w:line="240" w:lineRule="auto" w:before="0" w:after="40"/>
        <w:ind w:left="425" w:hanging="425"/>
        <w:tabs>
          <w:tab w:val="left" w:pos="425"/>
        </w:tabs>
      </w:pPr>
      <w:bookmarkStart w:id="1021" w:name="_Ref_21"/>
      <w:r>
        <w:rPr>
          <w:b w:val="0"/>
          <w:sz w:val="18"/>
        </w:rPr>
        <w:t>21</w:t>
      </w:r>
      <w:bookmarkEnd w:id="1021"/>
      <w:r>
        <w:rPr>
          <w:sz w:val="18"/>
        </w:rPr>
        <w:t>.</w:t>
        <w:tab/>
      </w:r>
      <w:r>
        <w:rPr>
          <w:b w:val="0"/>
          <w:i w:val="0"/>
          <w:sz w:val="18"/>
        </w:rPr>
        <w:t xml:space="preserve">Brougham, D.; Haar, J. </w:t>
      </w:r>
      <w:r>
        <w:rPr>
          <w:b w:val="0"/>
          <w:i w:val="0"/>
          <w:sz w:val="18"/>
        </w:rPr>
        <w:t xml:space="preserve">Smart Technology, Artificial Intelligence, Robotics, and Algorithms (STARA): Employees’ Perceptions of Our Future Workplace. </w:t>
      </w:r>
      <w:r>
        <w:rPr>
          <w:b w:val="0"/>
          <w:i/>
          <w:sz w:val="18"/>
        </w:rPr>
        <w:t xml:space="preserve">J. Manag. Organ. </w:t>
      </w:r>
      <w:r>
        <w:rPr>
          <w:b/>
          <w:i w:val="0"/>
          <w:sz w:val="18"/>
        </w:rPr>
        <w:t>2018</w:t>
      </w:r>
      <w:r>
        <w:rPr>
          <w:b w:val="0"/>
          <w:i w:val="0"/>
          <w:sz w:val="18"/>
        </w:rPr>
        <w:t xml:space="preserve">, </w:t>
      </w:r>
      <w:r>
        <w:rPr>
          <w:b w:val="0"/>
          <w:i/>
          <w:sz w:val="18"/>
        </w:rPr>
        <w:t>24</w:t>
      </w:r>
      <w:r>
        <w:rPr>
          <w:b w:val="0"/>
          <w:i w:val="0"/>
          <w:sz w:val="18"/>
        </w:rPr>
        <w:t>, 239–257.</w:t>
      </w:r>
      <w:r>
        <w:rPr>
          <w:b w:val="0"/>
          <w:i w:val="0"/>
          <w:sz w:val="18"/>
        </w:rPr>
        <w:t xml:space="preserve"> [CrossRef]</w:t>
      </w:r>
    </w:p>
    <w:p>
      <w:pPr>
        <w:pStyle w:val="MDPI32textnoindent"/>
        <w:spacing w:line="240" w:lineRule="auto" w:before="0" w:after="40"/>
        <w:ind w:left="425" w:hanging="425"/>
        <w:tabs>
          <w:tab w:val="left" w:pos="425"/>
        </w:tabs>
      </w:pPr>
      <w:bookmarkStart w:id="1022" w:name="_Ref_22"/>
      <w:r>
        <w:rPr>
          <w:b w:val="0"/>
          <w:sz w:val="18"/>
        </w:rPr>
        <w:t>22</w:t>
      </w:r>
      <w:bookmarkEnd w:id="1022"/>
      <w:r>
        <w:rPr>
          <w:sz w:val="18"/>
        </w:rPr>
        <w:t>.</w:t>
        <w:tab/>
      </w:r>
      <w:r>
        <w:rPr>
          <w:b w:val="0"/>
          <w:i w:val="0"/>
          <w:sz w:val="18"/>
        </w:rPr>
        <w:t xml:space="preserve">Tarafdar, M.; Tu, Q.; Ragu-Nathan, B.S.; Ragu-Nathan, T.S. </w:t>
      </w:r>
      <w:r>
        <w:rPr>
          <w:b w:val="0"/>
          <w:i w:val="0"/>
          <w:sz w:val="18"/>
        </w:rPr>
        <w:t xml:space="preserve">The Impact of Technostress on Role Stress and Productivity. </w:t>
      </w:r>
      <w:r>
        <w:rPr>
          <w:b w:val="0"/>
          <w:i/>
          <w:sz w:val="18"/>
        </w:rPr>
        <w:t xml:space="preserve">J. Manag. Inf. Syst. </w:t>
      </w:r>
      <w:r>
        <w:rPr>
          <w:b/>
          <w:i w:val="0"/>
          <w:sz w:val="18"/>
        </w:rPr>
        <w:t>2007</w:t>
      </w:r>
      <w:r>
        <w:rPr>
          <w:b w:val="0"/>
          <w:i w:val="0"/>
          <w:sz w:val="18"/>
        </w:rPr>
        <w:t xml:space="preserve">, </w:t>
      </w:r>
      <w:r>
        <w:rPr>
          <w:b w:val="0"/>
          <w:i/>
          <w:sz w:val="18"/>
        </w:rPr>
        <w:t>24</w:t>
      </w:r>
      <w:r>
        <w:rPr>
          <w:b w:val="0"/>
          <w:i w:val="0"/>
          <w:sz w:val="18"/>
        </w:rPr>
        <w:t>, 301–328.</w:t>
      </w:r>
      <w:r>
        <w:rPr>
          <w:b w:val="0"/>
          <w:i w:val="0"/>
          <w:sz w:val="18"/>
        </w:rPr>
        <w:t xml:space="preserve"> [CrossRef]</w:t>
      </w:r>
    </w:p>
    <w:p>
      <w:pPr>
        <w:pStyle w:val="MDPI32textnoindent"/>
        <w:spacing w:line="240" w:lineRule="auto" w:before="0" w:after="40"/>
        <w:ind w:left="425" w:hanging="425"/>
        <w:tabs>
          <w:tab w:val="left" w:pos="425"/>
        </w:tabs>
      </w:pPr>
      <w:bookmarkStart w:id="1023" w:name="_Ref_23"/>
      <w:r>
        <w:rPr>
          <w:b w:val="0"/>
          <w:sz w:val="18"/>
        </w:rPr>
        <w:t>23</w:t>
      </w:r>
      <w:bookmarkEnd w:id="1023"/>
      <w:r>
        <w:rPr>
          <w:sz w:val="18"/>
        </w:rPr>
        <w:t>.</w:t>
        <w:tab/>
      </w:r>
      <w:r>
        <w:rPr>
          <w:b w:val="0"/>
          <w:i w:val="0"/>
          <w:sz w:val="18"/>
        </w:rPr>
        <w:t xml:space="preserve">Chan, C.K.Y.; Hu, W. </w:t>
      </w:r>
      <w:r>
        <w:rPr>
          <w:b w:val="0"/>
          <w:i w:val="0"/>
          <w:sz w:val="18"/>
        </w:rPr>
        <w:t xml:space="preserve">Students’ Voices on Generative AI: Perceptions, Benefits, and Challenges in Higher Education. </w:t>
      </w:r>
      <w:r>
        <w:rPr>
          <w:b w:val="0"/>
          <w:i/>
          <w:sz w:val="18"/>
        </w:rPr>
        <w:t xml:space="preserve">Int. J. Educ. Technol. High. Educ. </w:t>
      </w:r>
      <w:r>
        <w:rPr>
          <w:b/>
          <w:i w:val="0"/>
          <w:sz w:val="18"/>
        </w:rPr>
        <w:t>2023</w:t>
      </w:r>
      <w:r>
        <w:rPr>
          <w:b w:val="0"/>
          <w:i w:val="0"/>
          <w:sz w:val="18"/>
        </w:rPr>
        <w:t xml:space="preserve">, </w:t>
      </w:r>
      <w:r>
        <w:rPr>
          <w:b w:val="0"/>
          <w:i/>
          <w:sz w:val="18"/>
        </w:rPr>
        <w:t>20</w:t>
      </w:r>
      <w:r>
        <w:rPr>
          <w:b w:val="0"/>
          <w:i w:val="0"/>
          <w:sz w:val="18"/>
        </w:rPr>
        <w:t>, 43.</w:t>
      </w:r>
      <w:r>
        <w:rPr>
          <w:b w:val="0"/>
          <w:i w:val="0"/>
          <w:sz w:val="18"/>
        </w:rPr>
        <w:t xml:space="preserve"> [CrossRef]</w:t>
      </w:r>
    </w:p>
    <w:p>
      <w:pPr>
        <w:pStyle w:val="MDPI32textnoindent"/>
        <w:spacing w:line="240" w:lineRule="auto" w:before="0" w:after="40"/>
        <w:ind w:left="425" w:hanging="425"/>
        <w:tabs>
          <w:tab w:val="left" w:pos="425"/>
        </w:tabs>
      </w:pPr>
      <w:bookmarkStart w:id="1024" w:name="_Ref_24"/>
      <w:r>
        <w:rPr>
          <w:b w:val="0"/>
          <w:sz w:val="18"/>
        </w:rPr>
        <w:t>24</w:t>
      </w:r>
      <w:bookmarkEnd w:id="1024"/>
      <w:r>
        <w:rPr>
          <w:sz w:val="18"/>
        </w:rPr>
        <w:t>.</w:t>
        <w:tab/>
      </w:r>
      <w:r>
        <w:rPr>
          <w:b w:val="0"/>
          <w:i w:val="0"/>
          <w:sz w:val="18"/>
        </w:rPr>
        <w:t xml:space="preserve">Trist, E.L.; Bamforth, K.W. </w:t>
      </w:r>
      <w:r>
        <w:rPr>
          <w:b w:val="0"/>
          <w:i w:val="0"/>
          <w:sz w:val="18"/>
        </w:rPr>
        <w:t xml:space="preserve">Some Social and Psychological Consequences of the Longwall Method of Coal-Getting. </w:t>
      </w:r>
      <w:r>
        <w:rPr>
          <w:b w:val="0"/>
          <w:i/>
          <w:sz w:val="18"/>
        </w:rPr>
        <w:t xml:space="preserve">Hum. Relat. </w:t>
      </w:r>
      <w:r>
        <w:rPr>
          <w:b/>
          <w:i w:val="0"/>
          <w:sz w:val="18"/>
        </w:rPr>
        <w:t>1951</w:t>
      </w:r>
      <w:r>
        <w:rPr>
          <w:b w:val="0"/>
          <w:i w:val="0"/>
          <w:sz w:val="18"/>
        </w:rPr>
        <w:t xml:space="preserve">, </w:t>
      </w:r>
      <w:r>
        <w:rPr>
          <w:b w:val="0"/>
          <w:i/>
          <w:sz w:val="18"/>
        </w:rPr>
        <w:t>4</w:t>
      </w:r>
      <w:r>
        <w:rPr>
          <w:b w:val="0"/>
          <w:i w:val="0"/>
          <w:sz w:val="18"/>
        </w:rPr>
        <w:t>, 3–38.</w:t>
      </w:r>
      <w:r>
        <w:rPr>
          <w:b w:val="0"/>
          <w:i w:val="0"/>
          <w:sz w:val="18"/>
        </w:rPr>
        <w:t xml:space="preserve"> [CrossRef]</w:t>
      </w:r>
    </w:p>
    <w:p>
      <w:pPr>
        <w:pStyle w:val="MDPI32textnoindent"/>
        <w:spacing w:line="240" w:lineRule="auto" w:before="0" w:after="40"/>
        <w:ind w:left="425" w:hanging="425"/>
        <w:tabs>
          <w:tab w:val="left" w:pos="425"/>
        </w:tabs>
      </w:pPr>
      <w:bookmarkStart w:id="1025" w:name="_Ref_25"/>
      <w:r>
        <w:rPr>
          <w:b w:val="0"/>
          <w:sz w:val="18"/>
        </w:rPr>
        <w:t>25</w:t>
      </w:r>
      <w:bookmarkEnd w:id="1025"/>
      <w:r>
        <w:rPr>
          <w:sz w:val="18"/>
        </w:rPr>
        <w:t>.</w:t>
        <w:tab/>
      </w:r>
      <w:r>
        <w:rPr>
          <w:b w:val="0"/>
          <w:i w:val="0"/>
          <w:sz w:val="18"/>
        </w:rPr>
        <w:t xml:space="preserve">Emery, F.E.; Trist, E.L. </w:t>
      </w:r>
      <w:r>
        <w:rPr>
          <w:b w:val="0"/>
          <w:i w:val="0"/>
          <w:sz w:val="18"/>
        </w:rPr>
        <w:t xml:space="preserve">The Causal Texture of Organizational Environments. </w:t>
      </w:r>
      <w:r>
        <w:rPr>
          <w:b w:val="0"/>
          <w:i/>
          <w:sz w:val="18"/>
        </w:rPr>
        <w:t xml:space="preserve">Hum. Relat. </w:t>
      </w:r>
      <w:r>
        <w:rPr>
          <w:b/>
          <w:i w:val="0"/>
          <w:sz w:val="18"/>
        </w:rPr>
        <w:t>1965</w:t>
      </w:r>
      <w:r>
        <w:rPr>
          <w:b w:val="0"/>
          <w:i w:val="0"/>
          <w:sz w:val="18"/>
        </w:rPr>
        <w:t xml:space="preserve">, </w:t>
      </w:r>
      <w:r>
        <w:rPr>
          <w:b w:val="0"/>
          <w:i/>
          <w:sz w:val="18"/>
        </w:rPr>
        <w:t>18</w:t>
      </w:r>
      <w:r>
        <w:rPr>
          <w:b w:val="0"/>
          <w:i w:val="0"/>
          <w:sz w:val="18"/>
        </w:rPr>
        <w:t>, 21–32.</w:t>
      </w:r>
      <w:r>
        <w:rPr>
          <w:b w:val="0"/>
          <w:i w:val="0"/>
          <w:sz w:val="18"/>
        </w:rPr>
        <w:t xml:space="preserve"> [CrossRef]</w:t>
      </w:r>
    </w:p>
    <w:p>
      <w:pPr>
        <w:pStyle w:val="MDPI32textnoindent"/>
        <w:spacing w:line="240" w:lineRule="auto" w:before="0" w:after="40"/>
        <w:ind w:left="425" w:hanging="425"/>
        <w:tabs>
          <w:tab w:val="left" w:pos="425"/>
        </w:tabs>
      </w:pPr>
      <w:bookmarkStart w:id="1026" w:name="_Ref_26"/>
      <w:r>
        <w:rPr>
          <w:b w:val="0"/>
          <w:sz w:val="18"/>
        </w:rPr>
        <w:t>26</w:t>
      </w:r>
      <w:bookmarkEnd w:id="1026"/>
      <w:r>
        <w:rPr>
          <w:sz w:val="18"/>
        </w:rPr>
        <w:t>.</w:t>
        <w:tab/>
      </w:r>
      <w:r>
        <w:rPr>
          <w:b w:val="0"/>
          <w:i w:val="0"/>
          <w:sz w:val="18"/>
        </w:rPr>
        <w:t xml:space="preserve">von Bertalanffy, L. </w:t>
      </w:r>
      <w:r>
        <w:rPr>
          <w:b w:val="0"/>
          <w:i/>
          <w:sz w:val="18"/>
        </w:rPr>
        <w:t>General System Theory: Foundations, Development, Applications</w:t>
      </w:r>
      <w:r>
        <w:rPr>
          <w:b w:val="0"/>
          <w:i w:val="0"/>
          <w:sz w:val="18"/>
        </w:rPr>
        <w:t xml:space="preserve">; </w:t>
      </w:r>
      <w:r>
        <w:rPr>
          <w:b w:val="0"/>
          <w:i w:val="0"/>
          <w:sz w:val="18"/>
        </w:rPr>
        <w:t>George Braziller: New York, NY, USA, 1968.</w:t>
      </w:r>
    </w:p>
    <w:p>
      <w:pPr>
        <w:pStyle w:val="MDPI32textnoindent"/>
        <w:spacing w:line="240" w:lineRule="auto" w:before="0" w:after="40"/>
        <w:ind w:left="425" w:hanging="425"/>
        <w:tabs>
          <w:tab w:val="left" w:pos="425"/>
        </w:tabs>
      </w:pPr>
      <w:bookmarkStart w:id="1027" w:name="_Ref_27"/>
      <w:r>
        <w:rPr>
          <w:b w:val="0"/>
          <w:sz w:val="18"/>
        </w:rPr>
        <w:t>27</w:t>
      </w:r>
      <w:bookmarkEnd w:id="1027"/>
      <w:r>
        <w:rPr>
          <w:sz w:val="18"/>
        </w:rPr>
        <w:t>.</w:t>
        <w:tab/>
      </w:r>
      <w:r>
        <w:rPr>
          <w:b w:val="0"/>
          <w:i w:val="0"/>
          <w:sz w:val="18"/>
        </w:rPr>
        <w:t xml:space="preserve">Ashby, W.R. </w:t>
      </w:r>
      <w:r>
        <w:rPr>
          <w:b w:val="0"/>
          <w:i/>
          <w:sz w:val="18"/>
        </w:rPr>
        <w:t>An Introduction to Cybernetics</w:t>
      </w:r>
      <w:r>
        <w:rPr>
          <w:b w:val="0"/>
          <w:i w:val="0"/>
          <w:sz w:val="18"/>
        </w:rPr>
        <w:t xml:space="preserve">; </w:t>
      </w:r>
      <w:r>
        <w:rPr>
          <w:b w:val="0"/>
          <w:i w:val="0"/>
          <w:sz w:val="18"/>
        </w:rPr>
        <w:t>Chapman and Hall: London, UK, 1956.</w:t>
      </w:r>
    </w:p>
    <w:p>
      <w:pPr>
        <w:pStyle w:val="MDPI32textnoindent"/>
        <w:spacing w:line="240" w:lineRule="auto" w:before="0" w:after="40"/>
        <w:ind w:left="425" w:hanging="425"/>
        <w:tabs>
          <w:tab w:val="left" w:pos="425"/>
        </w:tabs>
      </w:pPr>
      <w:bookmarkStart w:id="1028" w:name="_Ref_28"/>
      <w:r>
        <w:rPr>
          <w:b w:val="0"/>
          <w:sz w:val="18"/>
        </w:rPr>
        <w:t>28</w:t>
      </w:r>
      <w:bookmarkEnd w:id="1028"/>
      <w:r>
        <w:rPr>
          <w:sz w:val="18"/>
        </w:rPr>
        <w:t>.</w:t>
        <w:tab/>
      </w:r>
      <w:r>
        <w:rPr>
          <w:b w:val="0"/>
          <w:i w:val="0"/>
          <w:sz w:val="18"/>
        </w:rPr>
        <w:t xml:space="preserve">Beer, S. </w:t>
      </w:r>
      <w:r>
        <w:rPr>
          <w:b w:val="0"/>
          <w:i/>
          <w:sz w:val="18"/>
        </w:rPr>
        <w:t>Brain of the Firm</w:t>
      </w:r>
      <w:r>
        <w:rPr>
          <w:b w:val="0"/>
          <w:i w:val="0"/>
          <w:sz w:val="18"/>
        </w:rPr>
        <w:t xml:space="preserve">, 2nd ed.; </w:t>
      </w:r>
      <w:r>
        <w:rPr>
          <w:b w:val="0"/>
          <w:i w:val="0"/>
          <w:sz w:val="18"/>
        </w:rPr>
        <w:t>Wiley: Chichester, UK, 1981.</w:t>
      </w:r>
    </w:p>
    <w:p>
      <w:pPr>
        <w:pStyle w:val="MDPI32textnoindent"/>
        <w:spacing w:line="240" w:lineRule="auto" w:before="0" w:after="40"/>
        <w:ind w:left="425" w:hanging="425"/>
        <w:tabs>
          <w:tab w:val="left" w:pos="425"/>
        </w:tabs>
      </w:pPr>
      <w:bookmarkStart w:id="1029" w:name="_Ref_29"/>
      <w:r>
        <w:rPr>
          <w:b w:val="0"/>
          <w:sz w:val="18"/>
        </w:rPr>
        <w:t>29</w:t>
      </w:r>
      <w:bookmarkEnd w:id="1029"/>
      <w:r>
        <w:rPr>
          <w:sz w:val="18"/>
        </w:rPr>
        <w:t>.</w:t>
        <w:tab/>
      </w:r>
      <w:r>
        <w:rPr>
          <w:b w:val="0"/>
          <w:i w:val="0"/>
          <w:sz w:val="18"/>
        </w:rPr>
        <w:t xml:space="preserve">Carver, C.S.; Scheier, M.F. </w:t>
      </w:r>
      <w:r>
        <w:rPr>
          <w:b w:val="0"/>
          <w:i w:val="0"/>
          <w:sz w:val="18"/>
        </w:rPr>
        <w:t xml:space="preserve">Control Theory: A Useful Conceptual Framework for Personality–Social, Clinical, and Health Psychology. </w:t>
      </w:r>
      <w:r>
        <w:rPr>
          <w:b w:val="0"/>
          <w:i/>
          <w:sz w:val="18"/>
        </w:rPr>
        <w:t xml:space="preserve">Psychol. Bull. </w:t>
      </w:r>
      <w:r>
        <w:rPr>
          <w:b/>
          <w:i w:val="0"/>
          <w:sz w:val="18"/>
        </w:rPr>
        <w:t>1982</w:t>
      </w:r>
      <w:r>
        <w:rPr>
          <w:b w:val="0"/>
          <w:i w:val="0"/>
          <w:sz w:val="18"/>
        </w:rPr>
        <w:t xml:space="preserve">, </w:t>
      </w:r>
      <w:r>
        <w:rPr>
          <w:b w:val="0"/>
          <w:i/>
          <w:sz w:val="18"/>
        </w:rPr>
        <w:t>92</w:t>
      </w:r>
      <w:r>
        <w:rPr>
          <w:b w:val="0"/>
          <w:i w:val="0"/>
          <w:sz w:val="18"/>
        </w:rPr>
        <w:t>, 111–135.</w:t>
      </w:r>
      <w:r>
        <w:rPr>
          <w:b w:val="0"/>
          <w:i w:val="0"/>
          <w:sz w:val="18"/>
        </w:rPr>
        <w:t xml:space="preserve"> [CrossRef]</w:t>
      </w:r>
    </w:p>
    <w:p>
      <w:pPr>
        <w:pStyle w:val="MDPI32textnoindent"/>
        <w:spacing w:line="240" w:lineRule="auto" w:before="0" w:after="40"/>
        <w:ind w:left="425" w:hanging="425"/>
        <w:tabs>
          <w:tab w:val="left" w:pos="425"/>
        </w:tabs>
      </w:pPr>
      <w:bookmarkStart w:id="1030" w:name="_Ref_30"/>
      <w:r>
        <w:rPr>
          <w:b w:val="0"/>
          <w:sz w:val="18"/>
        </w:rPr>
        <w:t>30</w:t>
      </w:r>
      <w:bookmarkEnd w:id="1030"/>
      <w:r>
        <w:rPr>
          <w:sz w:val="18"/>
        </w:rPr>
        <w:t>.</w:t>
        <w:tab/>
      </w:r>
      <w:r>
        <w:rPr>
          <w:b w:val="0"/>
          <w:i w:val="0"/>
          <w:sz w:val="18"/>
        </w:rPr>
        <w:t xml:space="preserve">Edwards, J.R.; Lambert, L.S. </w:t>
      </w:r>
      <w:r>
        <w:rPr>
          <w:b w:val="0"/>
          <w:i w:val="0"/>
          <w:sz w:val="18"/>
        </w:rPr>
        <w:t xml:space="preserve">Methods for Integrating Moderation and Mediation: A General Analytical Framework Using Moderated Path Analysis. </w:t>
      </w:r>
      <w:r>
        <w:rPr>
          <w:b w:val="0"/>
          <w:i/>
          <w:sz w:val="18"/>
        </w:rPr>
        <w:t xml:space="preserve">Psychol. Methods </w:t>
      </w:r>
      <w:r>
        <w:rPr>
          <w:b/>
          <w:i w:val="0"/>
          <w:sz w:val="18"/>
        </w:rPr>
        <w:t>2007</w:t>
      </w:r>
      <w:r>
        <w:rPr>
          <w:b w:val="0"/>
          <w:i w:val="0"/>
          <w:sz w:val="18"/>
        </w:rPr>
        <w:t xml:space="preserve">, </w:t>
      </w:r>
      <w:r>
        <w:rPr>
          <w:b w:val="0"/>
          <w:i/>
          <w:sz w:val="18"/>
        </w:rPr>
        <w:t>12</w:t>
      </w:r>
      <w:r>
        <w:rPr>
          <w:b w:val="0"/>
          <w:i w:val="0"/>
          <w:sz w:val="18"/>
        </w:rPr>
        <w:t>, 1–22.</w:t>
      </w:r>
      <w:r>
        <w:rPr>
          <w:b w:val="0"/>
          <w:i w:val="0"/>
          <w:sz w:val="18"/>
        </w:rPr>
        <w:t xml:space="preserve"> [CrossRef]</w:t>
      </w:r>
    </w:p>
    <w:p>
      <w:pPr>
        <w:pStyle w:val="MDPI32textnoindent"/>
        <w:spacing w:line="240" w:lineRule="auto" w:before="0" w:after="40"/>
        <w:ind w:left="425" w:hanging="425"/>
        <w:tabs>
          <w:tab w:val="left" w:pos="425"/>
        </w:tabs>
      </w:pPr>
      <w:bookmarkStart w:id="1031" w:name="_Ref_31"/>
      <w:r>
        <w:rPr>
          <w:b w:val="0"/>
          <w:sz w:val="18"/>
        </w:rPr>
        <w:t>31</w:t>
      </w:r>
      <w:bookmarkEnd w:id="1031"/>
      <w:r>
        <w:rPr>
          <w:sz w:val="18"/>
        </w:rPr>
        <w:t>.</w:t>
        <w:tab/>
      </w:r>
      <w:r>
        <w:rPr>
          <w:b w:val="0"/>
          <w:i w:val="0"/>
          <w:sz w:val="18"/>
        </w:rPr>
        <w:t xml:space="preserve">Hayes, A.F. </w:t>
      </w:r>
      <w:r>
        <w:rPr>
          <w:b w:val="0"/>
          <w:i w:val="0"/>
          <w:sz w:val="18"/>
        </w:rPr>
        <w:t xml:space="preserve">An Index and Test of Linear Moderated Mediation. </w:t>
      </w:r>
      <w:r>
        <w:rPr>
          <w:b w:val="0"/>
          <w:i/>
          <w:sz w:val="18"/>
        </w:rPr>
        <w:t xml:space="preserve">Multivariate Behav. Res. </w:t>
      </w:r>
      <w:r>
        <w:rPr>
          <w:b/>
          <w:i w:val="0"/>
          <w:sz w:val="18"/>
        </w:rPr>
        <w:t>2015</w:t>
      </w:r>
      <w:r>
        <w:rPr>
          <w:b w:val="0"/>
          <w:i w:val="0"/>
          <w:sz w:val="18"/>
        </w:rPr>
        <w:t xml:space="preserve">, </w:t>
      </w:r>
      <w:r>
        <w:rPr>
          <w:b w:val="0"/>
          <w:i/>
          <w:sz w:val="18"/>
        </w:rPr>
        <w:t>50</w:t>
      </w:r>
      <w:r>
        <w:rPr>
          <w:b w:val="0"/>
          <w:i w:val="0"/>
          <w:sz w:val="18"/>
        </w:rPr>
        <w:t>, 1–22.</w:t>
      </w:r>
      <w:r>
        <w:rPr>
          <w:b w:val="0"/>
          <w:i w:val="0"/>
          <w:sz w:val="18"/>
        </w:rPr>
        <w:t xml:space="preserve"> [CrossRef]</w:t>
      </w:r>
    </w:p>
    <w:p>
      <w:pPr>
        <w:pStyle w:val="MDPI32textnoindent"/>
        <w:spacing w:line="240" w:lineRule="auto" w:before="0" w:after="40"/>
        <w:ind w:left="425" w:hanging="425"/>
        <w:tabs>
          <w:tab w:val="left" w:pos="425"/>
        </w:tabs>
      </w:pPr>
      <w:bookmarkStart w:id="1032" w:name="_Ref_32"/>
      <w:r>
        <w:rPr>
          <w:b w:val="0"/>
          <w:sz w:val="18"/>
        </w:rPr>
        <w:t>32</w:t>
      </w:r>
      <w:bookmarkEnd w:id="1032"/>
      <w:r>
        <w:rPr>
          <w:sz w:val="18"/>
        </w:rPr>
        <w:t>.</w:t>
        <w:tab/>
      </w:r>
      <w:r>
        <w:rPr>
          <w:b w:val="0"/>
          <w:i w:val="0"/>
          <w:sz w:val="18"/>
        </w:rPr>
        <w:t xml:space="preserve">Lind, J.T.; Mehlum, H. </w:t>
      </w:r>
      <w:r>
        <w:rPr>
          <w:b w:val="0"/>
          <w:i w:val="0"/>
          <w:sz w:val="18"/>
        </w:rPr>
        <w:t xml:space="preserve">With or Without U? The Appropriate Test for a U-Shaped Relationship. </w:t>
      </w:r>
      <w:r>
        <w:rPr>
          <w:b w:val="0"/>
          <w:i/>
          <w:sz w:val="18"/>
        </w:rPr>
        <w:t xml:space="preserve">Oxf. Bull. Econ. Stat. </w:t>
      </w:r>
      <w:r>
        <w:rPr>
          <w:b/>
          <w:i w:val="0"/>
          <w:sz w:val="18"/>
        </w:rPr>
        <w:t>2010</w:t>
      </w:r>
      <w:r>
        <w:rPr>
          <w:b w:val="0"/>
          <w:i w:val="0"/>
          <w:sz w:val="18"/>
        </w:rPr>
        <w:t xml:space="preserve">, </w:t>
      </w:r>
      <w:r>
        <w:rPr>
          <w:b w:val="0"/>
          <w:i/>
          <w:sz w:val="18"/>
        </w:rPr>
        <w:t>72</w:t>
      </w:r>
      <w:r>
        <w:rPr>
          <w:b w:val="0"/>
          <w:i w:val="0"/>
          <w:sz w:val="18"/>
        </w:rPr>
        <w:t>, 109–118.</w:t>
      </w:r>
      <w:r>
        <w:rPr>
          <w:b w:val="0"/>
          <w:i w:val="0"/>
          <w:sz w:val="18"/>
        </w:rPr>
        <w:t xml:space="preserve"> [CrossRef]</w:t>
      </w:r>
    </w:p>
    <w:p>
      <w:pPr>
        <w:pStyle w:val="MDPI32textnoindent"/>
        <w:spacing w:line="240" w:lineRule="auto" w:before="0" w:after="40"/>
        <w:ind w:left="425" w:hanging="425"/>
        <w:tabs>
          <w:tab w:val="left" w:pos="425"/>
        </w:tabs>
      </w:pPr>
      <w:bookmarkStart w:id="1033" w:name="_Ref_33"/>
      <w:r>
        <w:rPr>
          <w:b w:val="0"/>
          <w:sz w:val="18"/>
        </w:rPr>
        <w:t>33</w:t>
      </w:r>
      <w:bookmarkEnd w:id="1033"/>
      <w:r>
        <w:rPr>
          <w:sz w:val="18"/>
        </w:rPr>
        <w:t>.</w:t>
        <w:tab/>
      </w:r>
      <w:r>
        <w:rPr>
          <w:b w:val="0"/>
          <w:i w:val="0"/>
          <w:sz w:val="18"/>
        </w:rPr>
        <w:t xml:space="preserve">Haans, R.F.J.; Pieters, C.; He, Z.-L. </w:t>
      </w:r>
      <w:r>
        <w:rPr>
          <w:b w:val="0"/>
          <w:i w:val="0"/>
          <w:sz w:val="18"/>
        </w:rPr>
        <w:t xml:space="preserve">Thinking about U: Theorizing and Testing U- and Inverted U-Shaped Relationships in Strategy Research. </w:t>
      </w:r>
      <w:r>
        <w:rPr>
          <w:b w:val="0"/>
          <w:i/>
          <w:sz w:val="18"/>
        </w:rPr>
        <w:t xml:space="preserve">Strateg. Manag. J. </w:t>
      </w:r>
      <w:r>
        <w:rPr>
          <w:b/>
          <w:i w:val="0"/>
          <w:sz w:val="18"/>
        </w:rPr>
        <w:t>2016</w:t>
      </w:r>
      <w:r>
        <w:rPr>
          <w:b w:val="0"/>
          <w:i w:val="0"/>
          <w:sz w:val="18"/>
        </w:rPr>
        <w:t xml:space="preserve">, </w:t>
      </w:r>
      <w:r>
        <w:rPr>
          <w:b w:val="0"/>
          <w:i/>
          <w:sz w:val="18"/>
        </w:rPr>
        <w:t>37</w:t>
      </w:r>
      <w:r>
        <w:rPr>
          <w:b w:val="0"/>
          <w:i w:val="0"/>
          <w:sz w:val="18"/>
        </w:rPr>
        <w:t>, 1177–1195.</w:t>
      </w:r>
      <w:r>
        <w:rPr>
          <w:b w:val="0"/>
          <w:i w:val="0"/>
          <w:sz w:val="18"/>
        </w:rPr>
        <w:t xml:space="preserve"> [CrossRef]</w:t>
      </w:r>
    </w:p>
    <w:p>
      <w:pPr>
        <w:pStyle w:val="MDPI32textnoindent"/>
        <w:spacing w:line="240" w:lineRule="auto" w:before="0" w:after="40"/>
        <w:ind w:left="425" w:hanging="425"/>
        <w:tabs>
          <w:tab w:val="left" w:pos="425"/>
        </w:tabs>
      </w:pPr>
      <w:bookmarkStart w:id="1034" w:name="_Ref_34"/>
      <w:r>
        <w:rPr>
          <w:b w:val="0"/>
          <w:sz w:val="18"/>
        </w:rPr>
        <w:t>34</w:t>
      </w:r>
      <w:bookmarkEnd w:id="1034"/>
      <w:r>
        <w:rPr>
          <w:sz w:val="18"/>
        </w:rPr>
        <w:t>.</w:t>
        <w:tab/>
      </w:r>
      <w:r>
        <w:rPr>
          <w:b w:val="0"/>
          <w:i w:val="0"/>
          <w:sz w:val="18"/>
        </w:rPr>
        <w:t xml:space="preserve">Ragin, C.C. </w:t>
      </w:r>
      <w:r>
        <w:rPr>
          <w:b w:val="0"/>
          <w:i/>
          <w:sz w:val="18"/>
        </w:rPr>
        <w:t>Redesigning Social Inquiry: Fuzzy Sets and Beyond</w:t>
      </w:r>
      <w:r>
        <w:rPr>
          <w:b w:val="0"/>
          <w:i w:val="0"/>
          <w:sz w:val="18"/>
        </w:rPr>
        <w:t xml:space="preserve">; </w:t>
      </w:r>
      <w:r>
        <w:rPr>
          <w:b w:val="0"/>
          <w:i w:val="0"/>
          <w:sz w:val="18"/>
        </w:rPr>
        <w:t>University of Chicago Press: Chicago, IL, USA, 2008.</w:t>
      </w:r>
    </w:p>
    <w:p>
      <w:pPr>
        <w:pStyle w:val="MDPI32textnoindent"/>
        <w:spacing w:line="240" w:lineRule="auto" w:before="0" w:after="40"/>
        <w:ind w:left="425" w:hanging="425"/>
        <w:tabs>
          <w:tab w:val="left" w:pos="425"/>
        </w:tabs>
      </w:pPr>
      <w:bookmarkStart w:id="1035" w:name="_Ref_35"/>
      <w:r>
        <w:rPr>
          <w:b w:val="0"/>
          <w:sz w:val="18"/>
        </w:rPr>
        <w:t>35</w:t>
      </w:r>
      <w:bookmarkEnd w:id="1035"/>
      <w:r>
        <w:rPr>
          <w:sz w:val="18"/>
        </w:rPr>
        <w:t>.</w:t>
        <w:tab/>
      </w:r>
      <w:r>
        <w:rPr>
          <w:b w:val="0"/>
          <w:i w:val="0"/>
          <w:sz w:val="18"/>
        </w:rPr>
        <w:t xml:space="preserve">Fiss, P.C. </w:t>
      </w:r>
      <w:r>
        <w:rPr>
          <w:b w:val="0"/>
          <w:i w:val="0"/>
          <w:sz w:val="18"/>
        </w:rPr>
        <w:t xml:space="preserve">Building Better Causal Theories: A Fuzzy Set Approach to Typologies in Organization Research. </w:t>
      </w:r>
      <w:r>
        <w:rPr>
          <w:b w:val="0"/>
          <w:i/>
          <w:sz w:val="18"/>
        </w:rPr>
        <w:t xml:space="preserve">Acad. Manag. J. </w:t>
      </w:r>
      <w:r>
        <w:rPr>
          <w:b/>
          <w:i w:val="0"/>
          <w:sz w:val="18"/>
        </w:rPr>
        <w:t>2011</w:t>
      </w:r>
      <w:r>
        <w:rPr>
          <w:b w:val="0"/>
          <w:i w:val="0"/>
          <w:sz w:val="18"/>
        </w:rPr>
        <w:t xml:space="preserve">, </w:t>
      </w:r>
      <w:r>
        <w:rPr>
          <w:b w:val="0"/>
          <w:i/>
          <w:sz w:val="18"/>
        </w:rPr>
        <w:t>54</w:t>
      </w:r>
      <w:r>
        <w:rPr>
          <w:b w:val="0"/>
          <w:i w:val="0"/>
          <w:sz w:val="18"/>
        </w:rPr>
        <w:t>, 393–420.</w:t>
      </w:r>
      <w:r>
        <w:rPr>
          <w:b w:val="0"/>
          <w:i w:val="0"/>
          <w:sz w:val="18"/>
        </w:rPr>
        <w:t xml:space="preserve"> [CrossRef]</w:t>
      </w:r>
    </w:p>
    <w:p>
      <w:pPr>
        <w:pStyle w:val="MDPI32textnoindent"/>
        <w:spacing w:line="240" w:lineRule="auto" w:before="0" w:after="40"/>
        <w:ind w:left="425" w:hanging="425"/>
        <w:tabs>
          <w:tab w:val="left" w:pos="425"/>
        </w:tabs>
      </w:pPr>
      <w:bookmarkStart w:id="1036" w:name="_Ref_36"/>
      <w:r>
        <w:rPr>
          <w:b w:val="0"/>
          <w:sz w:val="18"/>
        </w:rPr>
        <w:t>36</w:t>
      </w:r>
      <w:bookmarkEnd w:id="1036"/>
      <w:r>
        <w:rPr>
          <w:sz w:val="18"/>
        </w:rPr>
        <w:t>.</w:t>
        <w:tab/>
      </w:r>
      <w:r>
        <w:rPr>
          <w:b w:val="0"/>
          <w:i w:val="0"/>
          <w:sz w:val="18"/>
        </w:rPr>
        <w:t xml:space="preserve">Pappas, I.O.; Woodside, A.G. </w:t>
      </w:r>
      <w:r>
        <w:rPr>
          <w:b w:val="0"/>
          <w:i w:val="0"/>
          <w:sz w:val="18"/>
        </w:rPr>
        <w:t xml:space="preserve">Fuzzy-Set Qualitative Comparative Analysis (fsQCA): Guidelines for Research Practice in Information Systems and Marketing. </w:t>
      </w:r>
      <w:r>
        <w:rPr>
          <w:b w:val="0"/>
          <w:i/>
          <w:sz w:val="18"/>
        </w:rPr>
        <w:t xml:space="preserve">Int. J. Inf. Manag. </w:t>
      </w:r>
      <w:r>
        <w:rPr>
          <w:b/>
          <w:i w:val="0"/>
          <w:sz w:val="18"/>
        </w:rPr>
        <w:t>2021</w:t>
      </w:r>
      <w:r>
        <w:rPr>
          <w:b w:val="0"/>
          <w:i w:val="0"/>
          <w:sz w:val="18"/>
        </w:rPr>
        <w:t xml:space="preserve">, </w:t>
      </w:r>
      <w:r>
        <w:rPr>
          <w:b w:val="0"/>
          <w:i/>
          <w:sz w:val="18"/>
        </w:rPr>
        <w:t>58</w:t>
      </w:r>
      <w:r>
        <w:rPr>
          <w:b w:val="0"/>
          <w:i w:val="0"/>
          <w:sz w:val="18"/>
        </w:rPr>
        <w:t>, 102310.</w:t>
      </w:r>
      <w:r>
        <w:rPr>
          <w:b w:val="0"/>
          <w:i w:val="0"/>
          <w:sz w:val="18"/>
        </w:rPr>
        <w:t xml:space="preserve"> [CrossRef]</w:t>
      </w:r>
    </w:p>
    <w:p>
      <w:pPr>
        <w:pStyle w:val="MDPI32textnoindent"/>
        <w:spacing w:line="240" w:lineRule="auto" w:before="0" w:after="40"/>
        <w:ind w:left="425" w:hanging="425"/>
        <w:tabs>
          <w:tab w:val="left" w:pos="425"/>
        </w:tabs>
      </w:pPr>
      <w:bookmarkStart w:id="1037" w:name="_Ref_37"/>
      <w:r>
        <w:rPr>
          <w:b w:val="0"/>
          <w:sz w:val="18"/>
        </w:rPr>
        <w:t>37</w:t>
      </w:r>
      <w:bookmarkEnd w:id="1037"/>
      <w:r>
        <w:rPr>
          <w:sz w:val="18"/>
        </w:rPr>
        <w:t>.</w:t>
        <w:tab/>
      </w:r>
      <w:r>
        <w:rPr>
          <w:b w:val="0"/>
          <w:i w:val="0"/>
          <w:sz w:val="18"/>
        </w:rPr>
        <w:t xml:space="preserve">Dwivedi, Y.K.; Kshetri, N.; Hughes, L.; Slade, E.L.; Jeyaraj, A.; Kar, A.K.; Baabdullah, A.M.; Koohang, A.; Raghavan, V.; Ahuja, M.; et al. </w:t>
      </w:r>
      <w:r>
        <w:rPr>
          <w:b w:val="0"/>
          <w:i w:val="0"/>
          <w:sz w:val="18"/>
        </w:rPr>
        <w:t xml:space="preserve">Opinion Paper: “So What If ChatGPT Wrote It?” Multidisciplinary Perspectives on Opportunities, Challenges and Implications of Generative Conversational AI for Research, Practice and Policy. </w:t>
      </w:r>
      <w:r>
        <w:rPr>
          <w:b w:val="0"/>
          <w:i/>
          <w:sz w:val="18"/>
        </w:rPr>
        <w:t xml:space="preserve">Int. J. Inf. Manag. </w:t>
      </w:r>
      <w:r>
        <w:rPr>
          <w:b/>
          <w:i w:val="0"/>
          <w:sz w:val="18"/>
        </w:rPr>
        <w:t>2023</w:t>
      </w:r>
      <w:r>
        <w:rPr>
          <w:b w:val="0"/>
          <w:i w:val="0"/>
          <w:sz w:val="18"/>
        </w:rPr>
        <w:t xml:space="preserve">, </w:t>
      </w:r>
      <w:r>
        <w:rPr>
          <w:b w:val="0"/>
          <w:i/>
          <w:sz w:val="18"/>
        </w:rPr>
        <w:t>71</w:t>
      </w:r>
      <w:r>
        <w:rPr>
          <w:b w:val="0"/>
          <w:i w:val="0"/>
          <w:sz w:val="18"/>
        </w:rPr>
        <w:t>, 102642.</w:t>
      </w:r>
      <w:r>
        <w:rPr>
          <w:b w:val="0"/>
          <w:i w:val="0"/>
          <w:sz w:val="18"/>
        </w:rPr>
        <w:t xml:space="preserve"> [CrossRef]</w:t>
      </w:r>
    </w:p>
    <w:p>
      <w:pPr>
        <w:pStyle w:val="MDPI32textnoindent"/>
        <w:spacing w:line="240" w:lineRule="auto" w:before="0" w:after="40"/>
        <w:ind w:left="425" w:hanging="425"/>
        <w:tabs>
          <w:tab w:val="left" w:pos="425"/>
        </w:tabs>
      </w:pPr>
      <w:bookmarkStart w:id="1038" w:name="_Ref_38"/>
      <w:r>
        <w:rPr>
          <w:b w:val="0"/>
          <w:sz w:val="18"/>
        </w:rPr>
        <w:t>38</w:t>
      </w:r>
      <w:bookmarkEnd w:id="1038"/>
      <w:r>
        <w:rPr>
          <w:sz w:val="18"/>
        </w:rPr>
        <w:t>.</w:t>
        <w:tab/>
      </w:r>
      <w:r>
        <w:rPr>
          <w:b w:val="0"/>
          <w:i w:val="0"/>
          <w:sz w:val="18"/>
        </w:rPr>
        <w:t xml:space="preserve">Janssen, M. </w:t>
      </w:r>
      <w:r>
        <w:rPr>
          <w:b w:val="0"/>
          <w:i w:val="0"/>
          <w:sz w:val="18"/>
        </w:rPr>
        <w:t xml:space="preserve">Responsible Governance of Generative AI: Conceptualizing GenAI as Complex Adaptive Systems. </w:t>
      </w:r>
      <w:r>
        <w:rPr>
          <w:b w:val="0"/>
          <w:i/>
          <w:sz w:val="18"/>
        </w:rPr>
        <w:t xml:space="preserve">Policy Soc. </w:t>
      </w:r>
      <w:r>
        <w:rPr>
          <w:b/>
          <w:i w:val="0"/>
          <w:sz w:val="18"/>
        </w:rPr>
        <w:t>2025</w:t>
      </w:r>
      <w:r>
        <w:rPr>
          <w:b w:val="0"/>
          <w:i w:val="0"/>
          <w:sz w:val="18"/>
        </w:rPr>
        <w:t xml:space="preserve">, </w:t>
      </w:r>
      <w:r>
        <w:rPr>
          <w:b w:val="0"/>
          <w:i/>
          <w:sz w:val="18"/>
        </w:rPr>
        <w:t>44</w:t>
      </w:r>
      <w:r>
        <w:rPr>
          <w:b w:val="0"/>
          <w:i w:val="0"/>
          <w:sz w:val="18"/>
        </w:rPr>
        <w:t>, 38–51.</w:t>
      </w:r>
      <w:r>
        <w:rPr>
          <w:b w:val="0"/>
          <w:i w:val="0"/>
          <w:sz w:val="18"/>
        </w:rPr>
        <w:t xml:space="preserve"> [CrossRef]</w:t>
      </w:r>
    </w:p>
    <w:p>
      <w:pPr>
        <w:pStyle w:val="MDPI32textnoindent"/>
        <w:spacing w:line="240" w:lineRule="auto" w:before="0" w:after="40"/>
        <w:ind w:left="425" w:hanging="425"/>
        <w:tabs>
          <w:tab w:val="left" w:pos="425"/>
        </w:tabs>
      </w:pPr>
      <w:bookmarkStart w:id="1039" w:name="_Ref_39"/>
      <w:r>
        <w:rPr>
          <w:b w:val="0"/>
          <w:sz w:val="18"/>
        </w:rPr>
        <w:t>39</w:t>
      </w:r>
      <w:bookmarkEnd w:id="1039"/>
      <w:r>
        <w:rPr>
          <w:sz w:val="18"/>
        </w:rPr>
        <w:t>.</w:t>
        <w:tab/>
      </w:r>
      <w:r>
        <w:rPr>
          <w:b w:val="0"/>
          <w:i w:val="0"/>
          <w:sz w:val="18"/>
        </w:rPr>
        <w:t xml:space="preserve">Becker, G.S. </w:t>
      </w:r>
      <w:r>
        <w:rPr>
          <w:b w:val="0"/>
          <w:i/>
          <w:sz w:val="18"/>
        </w:rPr>
        <w:t>Human Capital: A Theoretical and Empirical Analysis, with Special Reference to Education</w:t>
      </w:r>
      <w:r>
        <w:rPr>
          <w:b w:val="0"/>
          <w:i w:val="0"/>
          <w:sz w:val="18"/>
        </w:rPr>
        <w:t xml:space="preserve">; </w:t>
      </w:r>
      <w:r>
        <w:rPr>
          <w:b w:val="0"/>
          <w:i w:val="0"/>
          <w:sz w:val="18"/>
        </w:rPr>
        <w:t>National Bureau of Economic Research: New York, NY, USA, 1964.</w:t>
      </w:r>
    </w:p>
    <w:p>
      <w:pPr>
        <w:pStyle w:val="MDPI32textnoindent"/>
        <w:spacing w:line="240" w:lineRule="auto" w:before="0" w:after="40"/>
        <w:ind w:left="425" w:hanging="425"/>
        <w:tabs>
          <w:tab w:val="left" w:pos="425"/>
        </w:tabs>
      </w:pPr>
      <w:bookmarkStart w:id="1040" w:name="_Ref_40"/>
      <w:r>
        <w:rPr>
          <w:b w:val="0"/>
          <w:sz w:val="18"/>
        </w:rPr>
        <w:t>40</w:t>
      </w:r>
      <w:bookmarkEnd w:id="1040"/>
      <w:r>
        <w:rPr>
          <w:sz w:val="18"/>
        </w:rPr>
        <w:t>.</w:t>
        <w:tab/>
      </w:r>
      <w:r>
        <w:rPr>
          <w:b w:val="0"/>
          <w:i w:val="0"/>
          <w:sz w:val="18"/>
        </w:rPr>
        <w:t xml:space="preserve">De Grip, A.; Van Loo, J. </w:t>
      </w:r>
      <w:r>
        <w:rPr>
          <w:b w:val="0"/>
          <w:i w:val="0"/>
          <w:sz w:val="18"/>
        </w:rPr>
        <w:t xml:space="preserve">The Economics of Skills Obsolescence: A Review. </w:t>
      </w:r>
      <w:r>
        <w:rPr>
          <w:b w:val="0"/>
          <w:i w:val="0"/>
          <w:sz w:val="18"/>
        </w:rPr>
        <w:t xml:space="preserve">In </w:t>
      </w:r>
      <w:r>
        <w:rPr>
          <w:b w:val="0"/>
          <w:i/>
          <w:sz w:val="18"/>
        </w:rPr>
        <w:t>The Economics of Skills Obsolescence (Research in Labor Economics, Vol. 21)</w:t>
      </w:r>
      <w:r>
        <w:rPr>
          <w:b w:val="0"/>
          <w:i w:val="0"/>
          <w:sz w:val="18"/>
        </w:rPr>
        <w:t xml:space="preserve">; De Grip, A.; Van Loo, J.; Mayhew, K.; </w:t>
      </w:r>
      <w:r>
        <w:rPr>
          <w:b w:val="0"/>
          <w:i w:val="0"/>
          <w:sz w:val="18"/>
        </w:rPr>
        <w:t>Emerald: Bingley, UK, 2002; 1–26.</w:t>
      </w:r>
    </w:p>
    <w:p>
      <w:pPr>
        <w:pStyle w:val="MDPI32textnoindent"/>
        <w:spacing w:line="240" w:lineRule="auto" w:before="0" w:after="40"/>
        <w:ind w:left="425" w:hanging="425"/>
        <w:tabs>
          <w:tab w:val="left" w:pos="425"/>
        </w:tabs>
      </w:pPr>
      <w:bookmarkStart w:id="1041" w:name="_Ref_41"/>
      <w:r>
        <w:rPr>
          <w:b w:val="0"/>
          <w:sz w:val="18"/>
        </w:rPr>
        <w:t>41</w:t>
      </w:r>
      <w:bookmarkEnd w:id="1041"/>
      <w:r>
        <w:rPr>
          <w:sz w:val="18"/>
        </w:rPr>
        <w:t>.</w:t>
        <w:tab/>
      </w:r>
      <w:r>
        <w:rPr>
          <w:b w:val="0"/>
          <w:i w:val="0"/>
          <w:sz w:val="18"/>
        </w:rPr>
        <w:t xml:space="preserve">Deming, D.J.; Noray, K. </w:t>
      </w:r>
      <w:r>
        <w:rPr>
          <w:b w:val="0"/>
          <w:i w:val="0"/>
          <w:sz w:val="18"/>
        </w:rPr>
        <w:t xml:space="preserve">Earnings Dynamics, Changing Job Skills, and STEM Careers. </w:t>
      </w:r>
      <w:r>
        <w:rPr>
          <w:b w:val="0"/>
          <w:i/>
          <w:sz w:val="18"/>
        </w:rPr>
        <w:t xml:space="preserve">Q. J. Econ. </w:t>
      </w:r>
      <w:r>
        <w:rPr>
          <w:b/>
          <w:i w:val="0"/>
          <w:sz w:val="18"/>
        </w:rPr>
        <w:t>2020</w:t>
      </w:r>
      <w:r>
        <w:rPr>
          <w:b w:val="0"/>
          <w:i w:val="0"/>
          <w:sz w:val="18"/>
        </w:rPr>
        <w:t xml:space="preserve">, </w:t>
      </w:r>
      <w:r>
        <w:rPr>
          <w:b w:val="0"/>
          <w:i/>
          <w:sz w:val="18"/>
        </w:rPr>
        <w:t>135</w:t>
      </w:r>
      <w:r>
        <w:rPr>
          <w:b w:val="0"/>
          <w:i w:val="0"/>
          <w:sz w:val="18"/>
        </w:rPr>
        <w:t>, 1965–2005.</w:t>
      </w:r>
      <w:r>
        <w:rPr>
          <w:b w:val="0"/>
          <w:i w:val="0"/>
          <w:sz w:val="18"/>
        </w:rPr>
        <w:t xml:space="preserve"> [CrossRef]</w:t>
      </w:r>
    </w:p>
    <w:p>
      <w:pPr>
        <w:pStyle w:val="MDPI32textnoindent"/>
        <w:spacing w:line="240" w:lineRule="auto" w:before="0" w:after="40"/>
        <w:ind w:left="425" w:hanging="425"/>
        <w:tabs>
          <w:tab w:val="left" w:pos="425"/>
        </w:tabs>
      </w:pPr>
      <w:bookmarkStart w:id="1042" w:name="_Ref_42"/>
      <w:r>
        <w:rPr>
          <w:b w:val="0"/>
          <w:sz w:val="18"/>
        </w:rPr>
        <w:t>42</w:t>
      </w:r>
      <w:bookmarkEnd w:id="1042"/>
      <w:r>
        <w:rPr>
          <w:sz w:val="18"/>
        </w:rPr>
        <w:t>.</w:t>
        <w:tab/>
      </w:r>
      <w:r>
        <w:rPr>
          <w:b w:val="0"/>
          <w:i w:val="0"/>
          <w:sz w:val="18"/>
        </w:rPr>
        <w:t xml:space="preserve">Arrow, K.J. </w:t>
      </w:r>
      <w:r>
        <w:rPr>
          <w:b w:val="0"/>
          <w:i w:val="0"/>
          <w:sz w:val="18"/>
        </w:rPr>
        <w:t xml:space="preserve">The Economic Implications of Learning by Doing. </w:t>
      </w:r>
      <w:r>
        <w:rPr>
          <w:b w:val="0"/>
          <w:i/>
          <w:sz w:val="18"/>
        </w:rPr>
        <w:t xml:space="preserve">Rev. Econ. Stud. </w:t>
      </w:r>
      <w:r>
        <w:rPr>
          <w:b/>
          <w:i w:val="0"/>
          <w:sz w:val="18"/>
        </w:rPr>
        <w:t>1962</w:t>
      </w:r>
      <w:r>
        <w:rPr>
          <w:b w:val="0"/>
          <w:i w:val="0"/>
          <w:sz w:val="18"/>
        </w:rPr>
        <w:t xml:space="preserve">, </w:t>
      </w:r>
      <w:r>
        <w:rPr>
          <w:b w:val="0"/>
          <w:i/>
          <w:sz w:val="18"/>
        </w:rPr>
        <w:t>29</w:t>
      </w:r>
      <w:r>
        <w:rPr>
          <w:b w:val="0"/>
          <w:i w:val="0"/>
          <w:sz w:val="18"/>
        </w:rPr>
        <w:t>, 155–173.</w:t>
      </w:r>
      <w:r>
        <w:rPr>
          <w:b w:val="0"/>
          <w:i w:val="0"/>
          <w:sz w:val="18"/>
        </w:rPr>
        <w:t xml:space="preserve"> [CrossRef]</w:t>
      </w:r>
    </w:p>
    <w:p>
      <w:pPr>
        <w:pStyle w:val="MDPI32textnoindent"/>
        <w:spacing w:line="240" w:lineRule="auto" w:before="0" w:after="40"/>
        <w:ind w:left="425" w:hanging="425"/>
        <w:tabs>
          <w:tab w:val="left" w:pos="425"/>
        </w:tabs>
      </w:pPr>
      <w:bookmarkStart w:id="1043" w:name="_Ref_43"/>
      <w:r>
        <w:rPr>
          <w:b w:val="0"/>
          <w:sz w:val="18"/>
        </w:rPr>
        <w:t>43</w:t>
      </w:r>
      <w:bookmarkEnd w:id="1043"/>
      <w:r>
        <w:rPr>
          <w:sz w:val="18"/>
        </w:rPr>
        <w:t>.</w:t>
        <w:tab/>
      </w:r>
      <w:r>
        <w:rPr>
          <w:b w:val="0"/>
          <w:i w:val="0"/>
          <w:sz w:val="18"/>
        </w:rPr>
        <w:t xml:space="preserve">Lazear, E.P. </w:t>
      </w:r>
      <w:r>
        <w:rPr>
          <w:b w:val="0"/>
          <w:i w:val="0"/>
          <w:sz w:val="18"/>
        </w:rPr>
        <w:t xml:space="preserve">Firm-Specific Human Capital: A Skill-Weights Approach. </w:t>
      </w:r>
      <w:r>
        <w:rPr>
          <w:b w:val="0"/>
          <w:i/>
          <w:sz w:val="18"/>
        </w:rPr>
        <w:t xml:space="preserve">J. Political Econ. </w:t>
      </w:r>
      <w:r>
        <w:rPr>
          <w:b/>
          <w:i w:val="0"/>
          <w:sz w:val="18"/>
        </w:rPr>
        <w:t>2009</w:t>
      </w:r>
      <w:r>
        <w:rPr>
          <w:b w:val="0"/>
          <w:i w:val="0"/>
          <w:sz w:val="18"/>
        </w:rPr>
        <w:t xml:space="preserve">, </w:t>
      </w:r>
      <w:r>
        <w:rPr>
          <w:b w:val="0"/>
          <w:i/>
          <w:sz w:val="18"/>
        </w:rPr>
        <w:t>117</w:t>
      </w:r>
      <w:r>
        <w:rPr>
          <w:b w:val="0"/>
          <w:i w:val="0"/>
          <w:sz w:val="18"/>
        </w:rPr>
        <w:t>, 914–940.</w:t>
      </w:r>
      <w:r>
        <w:rPr>
          <w:b w:val="0"/>
          <w:i w:val="0"/>
          <w:sz w:val="18"/>
        </w:rPr>
        <w:t xml:space="preserve"> [CrossRef]</w:t>
      </w:r>
    </w:p>
    <w:p>
      <w:pPr>
        <w:pStyle w:val="MDPI32textnoindent"/>
        <w:spacing w:line="240" w:lineRule="auto" w:before="0" w:after="40"/>
        <w:ind w:left="425" w:hanging="425"/>
        <w:tabs>
          <w:tab w:val="left" w:pos="425"/>
        </w:tabs>
      </w:pPr>
      <w:bookmarkStart w:id="1044" w:name="_Ref_44"/>
      <w:r>
        <w:rPr>
          <w:b w:val="0"/>
          <w:sz w:val="18"/>
        </w:rPr>
        <w:t>44</w:t>
      </w:r>
      <w:bookmarkEnd w:id="1044"/>
      <w:r>
        <w:rPr>
          <w:sz w:val="18"/>
        </w:rPr>
        <w:t>.</w:t>
        <w:tab/>
      </w:r>
      <w:r>
        <w:rPr>
          <w:b w:val="0"/>
          <w:i w:val="0"/>
          <w:sz w:val="18"/>
        </w:rPr>
        <w:t xml:space="preserve">Gibbons, R.; Waldman, M. </w:t>
      </w:r>
      <w:r>
        <w:rPr>
          <w:b w:val="0"/>
          <w:i w:val="0"/>
          <w:sz w:val="18"/>
        </w:rPr>
        <w:t xml:space="preserve">Task-Specific Human Capital. </w:t>
      </w:r>
      <w:r>
        <w:rPr>
          <w:b w:val="0"/>
          <w:i/>
          <w:sz w:val="18"/>
        </w:rPr>
        <w:t xml:space="preserve">Am. Econ. Rev. </w:t>
      </w:r>
      <w:r>
        <w:rPr>
          <w:b/>
          <w:i w:val="0"/>
          <w:sz w:val="18"/>
        </w:rPr>
        <w:t>2004</w:t>
      </w:r>
      <w:r>
        <w:rPr>
          <w:b w:val="0"/>
          <w:i w:val="0"/>
          <w:sz w:val="18"/>
        </w:rPr>
        <w:t xml:space="preserve">, </w:t>
      </w:r>
      <w:r>
        <w:rPr>
          <w:b w:val="0"/>
          <w:i/>
          <w:sz w:val="18"/>
        </w:rPr>
        <w:t>94</w:t>
      </w:r>
      <w:r>
        <w:rPr>
          <w:b w:val="0"/>
          <w:i w:val="0"/>
          <w:sz w:val="18"/>
        </w:rPr>
        <w:t>, 203–207.</w:t>
      </w:r>
      <w:r>
        <w:rPr>
          <w:b w:val="0"/>
          <w:i w:val="0"/>
          <w:sz w:val="18"/>
        </w:rPr>
        <w:t xml:space="preserve"> [CrossRef]</w:t>
      </w:r>
    </w:p>
    <w:p>
      <w:pPr>
        <w:pStyle w:val="MDPI32textnoindent"/>
        <w:spacing w:line="240" w:lineRule="auto" w:before="0" w:after="40"/>
        <w:ind w:left="425" w:hanging="425"/>
        <w:tabs>
          <w:tab w:val="left" w:pos="425"/>
        </w:tabs>
      </w:pPr>
      <w:bookmarkStart w:id="1045" w:name="_Ref_45"/>
      <w:r>
        <w:rPr>
          <w:b w:val="0"/>
          <w:sz w:val="18"/>
        </w:rPr>
        <w:t>45</w:t>
      </w:r>
      <w:bookmarkEnd w:id="1045"/>
      <w:r>
        <w:rPr>
          <w:sz w:val="18"/>
        </w:rPr>
        <w:t>.</w:t>
        <w:tab/>
      </w:r>
      <w:r>
        <w:rPr>
          <w:b w:val="0"/>
          <w:i w:val="0"/>
          <w:sz w:val="18"/>
        </w:rPr>
        <w:t xml:space="preserve">Autor, D.H.; Levy, F.; Murnane, R.J. </w:t>
      </w:r>
      <w:r>
        <w:rPr>
          <w:b w:val="0"/>
          <w:i w:val="0"/>
          <w:sz w:val="18"/>
        </w:rPr>
        <w:t xml:space="preserve">The Skill Content of Recent Technological Change: An Empirical Exploration. </w:t>
      </w:r>
      <w:r>
        <w:rPr>
          <w:b w:val="0"/>
          <w:i/>
          <w:sz w:val="18"/>
        </w:rPr>
        <w:t xml:space="preserve">Q. J. Econ. </w:t>
      </w:r>
      <w:r>
        <w:rPr>
          <w:b/>
          <w:i w:val="0"/>
          <w:sz w:val="18"/>
        </w:rPr>
        <w:t>2003</w:t>
      </w:r>
      <w:r>
        <w:rPr>
          <w:b w:val="0"/>
          <w:i w:val="0"/>
          <w:sz w:val="18"/>
        </w:rPr>
        <w:t xml:space="preserve">, </w:t>
      </w:r>
      <w:r>
        <w:rPr>
          <w:b w:val="0"/>
          <w:i/>
          <w:sz w:val="18"/>
        </w:rPr>
        <w:t>118</w:t>
      </w:r>
      <w:r>
        <w:rPr>
          <w:b w:val="0"/>
          <w:i w:val="0"/>
          <w:sz w:val="18"/>
        </w:rPr>
        <w:t>, 1279–1333.</w:t>
      </w:r>
      <w:r>
        <w:rPr>
          <w:b w:val="0"/>
          <w:i w:val="0"/>
          <w:sz w:val="18"/>
        </w:rPr>
        <w:t xml:space="preserve"> [CrossRef]</w:t>
      </w:r>
    </w:p>
    <w:p>
      <w:pPr>
        <w:pStyle w:val="MDPI32textnoindent"/>
        <w:spacing w:line="240" w:lineRule="auto" w:before="0" w:after="40"/>
        <w:ind w:left="425" w:hanging="425"/>
        <w:tabs>
          <w:tab w:val="left" w:pos="425"/>
        </w:tabs>
      </w:pPr>
      <w:bookmarkStart w:id="1046" w:name="_Ref_46"/>
      <w:r>
        <w:rPr>
          <w:b w:val="0"/>
          <w:sz w:val="18"/>
        </w:rPr>
        <w:t>46</w:t>
      </w:r>
      <w:bookmarkEnd w:id="1046"/>
      <w:r>
        <w:rPr>
          <w:sz w:val="18"/>
        </w:rPr>
        <w:t>.</w:t>
        <w:tab/>
      </w:r>
      <w:r>
        <w:rPr>
          <w:b w:val="0"/>
          <w:i w:val="0"/>
          <w:sz w:val="18"/>
        </w:rPr>
        <w:t xml:space="preserve">Lazarus, R.S.; Folkman, S. </w:t>
      </w:r>
      <w:r>
        <w:rPr>
          <w:b w:val="0"/>
          <w:i/>
          <w:sz w:val="18"/>
        </w:rPr>
        <w:t>Stress, Appraisal, and Coping</w:t>
      </w:r>
      <w:r>
        <w:rPr>
          <w:b w:val="0"/>
          <w:i w:val="0"/>
          <w:sz w:val="18"/>
        </w:rPr>
        <w:t xml:space="preserve">; </w:t>
      </w:r>
      <w:r>
        <w:rPr>
          <w:b w:val="0"/>
          <w:i w:val="0"/>
          <w:sz w:val="18"/>
        </w:rPr>
        <w:t>Springer: New York, NY, USA, 1984.</w:t>
      </w:r>
    </w:p>
    <w:p>
      <w:pPr>
        <w:pStyle w:val="MDPI32textnoindent"/>
        <w:spacing w:line="240" w:lineRule="auto" w:before="0" w:after="40"/>
        <w:ind w:left="425" w:hanging="425"/>
        <w:tabs>
          <w:tab w:val="left" w:pos="425"/>
        </w:tabs>
      </w:pPr>
      <w:bookmarkStart w:id="1047" w:name="_Ref_47"/>
      <w:r>
        <w:rPr>
          <w:b w:val="0"/>
          <w:sz w:val="18"/>
        </w:rPr>
        <w:t>47</w:t>
      </w:r>
      <w:bookmarkEnd w:id="1047"/>
      <w:r>
        <w:rPr>
          <w:sz w:val="18"/>
        </w:rPr>
        <w:t>.</w:t>
        <w:tab/>
      </w:r>
      <w:r>
        <w:rPr>
          <w:b w:val="0"/>
          <w:i w:val="0"/>
          <w:sz w:val="18"/>
        </w:rPr>
        <w:t xml:space="preserve">Hobfoll, S.E. </w:t>
      </w:r>
      <w:r>
        <w:rPr>
          <w:b w:val="0"/>
          <w:i w:val="0"/>
          <w:sz w:val="18"/>
        </w:rPr>
        <w:t xml:space="preserve">Conservation of Resources: A New Attempt at Conceptualizing Stress. </w:t>
      </w:r>
      <w:r>
        <w:rPr>
          <w:b w:val="0"/>
          <w:i/>
          <w:sz w:val="18"/>
        </w:rPr>
        <w:t xml:space="preserve">Am. Psychol. </w:t>
      </w:r>
      <w:r>
        <w:rPr>
          <w:b/>
          <w:i w:val="0"/>
          <w:sz w:val="18"/>
        </w:rPr>
        <w:t>1989</w:t>
      </w:r>
      <w:r>
        <w:rPr>
          <w:b w:val="0"/>
          <w:i w:val="0"/>
          <w:sz w:val="18"/>
        </w:rPr>
        <w:t xml:space="preserve">, </w:t>
      </w:r>
      <w:r>
        <w:rPr>
          <w:b w:val="0"/>
          <w:i/>
          <w:sz w:val="18"/>
        </w:rPr>
        <w:t>44</w:t>
      </w:r>
      <w:r>
        <w:rPr>
          <w:b w:val="0"/>
          <w:i w:val="0"/>
          <w:sz w:val="18"/>
        </w:rPr>
        <w:t>, 513–524.</w:t>
      </w:r>
      <w:r>
        <w:rPr>
          <w:b w:val="0"/>
          <w:i w:val="0"/>
          <w:sz w:val="18"/>
        </w:rPr>
        <w:t xml:space="preserve"> [CrossRef]</w:t>
      </w:r>
    </w:p>
    <w:p>
      <w:pPr>
        <w:pStyle w:val="MDPI32textnoindent"/>
        <w:spacing w:line="240" w:lineRule="auto" w:before="0" w:after="40"/>
        <w:ind w:left="425" w:hanging="425"/>
        <w:tabs>
          <w:tab w:val="left" w:pos="425"/>
        </w:tabs>
      </w:pPr>
      <w:bookmarkStart w:id="1048" w:name="_Ref_48"/>
      <w:r>
        <w:rPr>
          <w:b w:val="0"/>
          <w:sz w:val="18"/>
        </w:rPr>
        <w:t>48</w:t>
      </w:r>
      <w:bookmarkEnd w:id="1048"/>
      <w:r>
        <w:rPr>
          <w:sz w:val="18"/>
        </w:rPr>
        <w:t>.</w:t>
        <w:tab/>
      </w:r>
      <w:r>
        <w:rPr>
          <w:b w:val="0"/>
          <w:i w:val="0"/>
          <w:sz w:val="18"/>
        </w:rPr>
        <w:t xml:space="preserve">Hobfoll, S.E.; Halbesleben, J.; Neveu, J.-P.; Westman, M. </w:t>
      </w:r>
      <w:r>
        <w:rPr>
          <w:b w:val="0"/>
          <w:i w:val="0"/>
          <w:sz w:val="18"/>
        </w:rPr>
        <w:t xml:space="preserve">Conservation of Resources in the Organizational Context: The Reality of Resources and Their Consequences. </w:t>
      </w:r>
      <w:r>
        <w:rPr>
          <w:b w:val="0"/>
          <w:i/>
          <w:sz w:val="18"/>
        </w:rPr>
        <w:t xml:space="preserve">Annu. Rev. Organ. Psychol. Organ. Behav. </w:t>
      </w:r>
      <w:r>
        <w:rPr>
          <w:b/>
          <w:i w:val="0"/>
          <w:sz w:val="18"/>
        </w:rPr>
        <w:t>2018</w:t>
      </w:r>
      <w:r>
        <w:rPr>
          <w:b w:val="0"/>
          <w:i w:val="0"/>
          <w:sz w:val="18"/>
        </w:rPr>
        <w:t xml:space="preserve">, </w:t>
      </w:r>
      <w:r>
        <w:rPr>
          <w:b w:val="0"/>
          <w:i/>
          <w:sz w:val="18"/>
        </w:rPr>
        <w:t>5</w:t>
      </w:r>
      <w:r>
        <w:rPr>
          <w:b w:val="0"/>
          <w:i w:val="0"/>
          <w:sz w:val="18"/>
        </w:rPr>
        <w:t>, 103–128.</w:t>
      </w:r>
      <w:r>
        <w:rPr>
          <w:b w:val="0"/>
          <w:i w:val="0"/>
          <w:sz w:val="18"/>
        </w:rPr>
        <w:t xml:space="preserve"> [CrossRef]</w:t>
      </w:r>
    </w:p>
    <w:p>
      <w:pPr>
        <w:pStyle w:val="MDPI32textnoindent"/>
        <w:spacing w:line="240" w:lineRule="auto" w:before="0" w:after="40"/>
        <w:ind w:left="425" w:hanging="425"/>
        <w:tabs>
          <w:tab w:val="left" w:pos="425"/>
        </w:tabs>
      </w:pPr>
      <w:bookmarkStart w:id="1049" w:name="_Ref_49"/>
      <w:r>
        <w:rPr>
          <w:b w:val="0"/>
          <w:sz w:val="18"/>
        </w:rPr>
        <w:t>49</w:t>
      </w:r>
      <w:bookmarkEnd w:id="1049"/>
      <w:r>
        <w:rPr>
          <w:sz w:val="18"/>
        </w:rPr>
        <w:t>.</w:t>
        <w:tab/>
      </w:r>
      <w:r>
        <w:rPr>
          <w:b w:val="0"/>
          <w:i w:val="0"/>
          <w:sz w:val="18"/>
        </w:rPr>
        <w:t xml:space="preserve">Pisarik, C.T.; Rowell, P.C.; Thompson, L.K. </w:t>
      </w:r>
      <w:r>
        <w:rPr>
          <w:b w:val="0"/>
          <w:i w:val="0"/>
          <w:sz w:val="18"/>
        </w:rPr>
        <w:t xml:space="preserve">A Phenomenological Study of Career Anxiety among College Students. </w:t>
      </w:r>
      <w:r>
        <w:rPr>
          <w:b w:val="0"/>
          <w:i/>
          <w:sz w:val="18"/>
        </w:rPr>
        <w:t xml:space="preserve">Career Dev. Q. </w:t>
      </w:r>
      <w:r>
        <w:rPr>
          <w:b/>
          <w:i w:val="0"/>
          <w:sz w:val="18"/>
        </w:rPr>
        <w:t>2017</w:t>
      </w:r>
      <w:r>
        <w:rPr>
          <w:b w:val="0"/>
          <w:i w:val="0"/>
          <w:sz w:val="18"/>
        </w:rPr>
        <w:t xml:space="preserve">, </w:t>
      </w:r>
      <w:r>
        <w:rPr>
          <w:b w:val="0"/>
          <w:i/>
          <w:sz w:val="18"/>
        </w:rPr>
        <w:t>65</w:t>
      </w:r>
      <w:r>
        <w:rPr>
          <w:b w:val="0"/>
          <w:i w:val="0"/>
          <w:sz w:val="18"/>
        </w:rPr>
        <w:t>, 339–352.</w:t>
      </w:r>
      <w:r>
        <w:rPr>
          <w:b w:val="0"/>
          <w:i w:val="0"/>
          <w:sz w:val="18"/>
        </w:rPr>
        <w:t xml:space="preserve"> [CrossRef]</w:t>
      </w:r>
    </w:p>
    <w:p>
      <w:pPr>
        <w:pStyle w:val="MDPI32textnoindent"/>
        <w:spacing w:line="240" w:lineRule="auto" w:before="0" w:after="40"/>
        <w:ind w:left="425" w:hanging="425"/>
        <w:tabs>
          <w:tab w:val="left" w:pos="425"/>
        </w:tabs>
      </w:pPr>
      <w:bookmarkStart w:id="1050" w:name="_Ref_50"/>
      <w:r>
        <w:rPr>
          <w:b w:val="0"/>
          <w:sz w:val="18"/>
        </w:rPr>
        <w:t>50</w:t>
      </w:r>
      <w:bookmarkEnd w:id="1050"/>
      <w:r>
        <w:rPr>
          <w:sz w:val="18"/>
        </w:rPr>
        <w:t>.</w:t>
        <w:tab/>
      </w:r>
      <w:r>
        <w:rPr>
          <w:b w:val="0"/>
          <w:i w:val="0"/>
          <w:sz w:val="18"/>
        </w:rPr>
        <w:t xml:space="preserve">Savickas, M.L.; Porfeli, E.J. </w:t>
      </w:r>
      <w:r>
        <w:rPr>
          <w:b w:val="0"/>
          <w:i w:val="0"/>
          <w:sz w:val="18"/>
        </w:rPr>
        <w:t xml:space="preserve">Career Adapt-Abilities Scale: Construction, Reliability, and Measurement Equivalence across 13 Countries. </w:t>
      </w:r>
      <w:r>
        <w:rPr>
          <w:b w:val="0"/>
          <w:i/>
          <w:sz w:val="18"/>
        </w:rPr>
        <w:t xml:space="preserve">J. Vocat. Behav. </w:t>
      </w:r>
      <w:r>
        <w:rPr>
          <w:b/>
          <w:i w:val="0"/>
          <w:sz w:val="18"/>
        </w:rPr>
        <w:t>2012</w:t>
      </w:r>
      <w:r>
        <w:rPr>
          <w:b w:val="0"/>
          <w:i w:val="0"/>
          <w:sz w:val="18"/>
        </w:rPr>
        <w:t xml:space="preserve">, </w:t>
      </w:r>
      <w:r>
        <w:rPr>
          <w:b w:val="0"/>
          <w:i/>
          <w:sz w:val="18"/>
        </w:rPr>
        <w:t>80</w:t>
      </w:r>
      <w:r>
        <w:rPr>
          <w:b w:val="0"/>
          <w:i w:val="0"/>
          <w:sz w:val="18"/>
        </w:rPr>
        <w:t>, 661–673.</w:t>
      </w:r>
      <w:r>
        <w:rPr>
          <w:b w:val="0"/>
          <w:i w:val="0"/>
          <w:sz w:val="18"/>
        </w:rPr>
        <w:t xml:space="preserve"> [CrossRef]</w:t>
      </w:r>
    </w:p>
    <w:p>
      <w:pPr>
        <w:pStyle w:val="MDPI32textnoindent"/>
        <w:spacing w:line="240" w:lineRule="auto" w:before="0" w:after="40"/>
        <w:ind w:left="425" w:hanging="425"/>
        <w:tabs>
          <w:tab w:val="left" w:pos="425"/>
        </w:tabs>
      </w:pPr>
      <w:bookmarkStart w:id="1051" w:name="_Ref_51"/>
      <w:r>
        <w:rPr>
          <w:b w:val="0"/>
          <w:sz w:val="18"/>
        </w:rPr>
        <w:t>51</w:t>
      </w:r>
      <w:bookmarkEnd w:id="1051"/>
      <w:r>
        <w:rPr>
          <w:sz w:val="18"/>
        </w:rPr>
        <w:t>.</w:t>
        <w:tab/>
      </w:r>
      <w:r>
        <w:rPr>
          <w:b w:val="0"/>
          <w:i w:val="0"/>
          <w:sz w:val="18"/>
        </w:rPr>
        <w:t xml:space="preserve">Lent, R.W.; Brown, S.D. </w:t>
      </w:r>
      <w:r>
        <w:rPr>
          <w:b w:val="0"/>
          <w:i w:val="0"/>
          <w:sz w:val="18"/>
        </w:rPr>
        <w:t xml:space="preserve">Social Cognitive Model of Career Self-Management: Toward a Unifying View of Adaptive Career Behavior across the Life Span. </w:t>
      </w:r>
      <w:r>
        <w:rPr>
          <w:b w:val="0"/>
          <w:i/>
          <w:sz w:val="18"/>
        </w:rPr>
        <w:t xml:space="preserve">J. Couns. Psychol. </w:t>
      </w:r>
      <w:r>
        <w:rPr>
          <w:b/>
          <w:i w:val="0"/>
          <w:sz w:val="18"/>
        </w:rPr>
        <w:t>2013</w:t>
      </w:r>
      <w:r>
        <w:rPr>
          <w:b w:val="0"/>
          <w:i w:val="0"/>
          <w:sz w:val="18"/>
        </w:rPr>
        <w:t xml:space="preserve">, </w:t>
      </w:r>
      <w:r>
        <w:rPr>
          <w:b w:val="0"/>
          <w:i/>
          <w:sz w:val="18"/>
        </w:rPr>
        <w:t>60</w:t>
      </w:r>
      <w:r>
        <w:rPr>
          <w:b w:val="0"/>
          <w:i w:val="0"/>
          <w:sz w:val="18"/>
        </w:rPr>
        <w:t>, 557–568.</w:t>
      </w:r>
      <w:r>
        <w:rPr>
          <w:b w:val="0"/>
          <w:i w:val="0"/>
          <w:sz w:val="18"/>
        </w:rPr>
        <w:t xml:space="preserve"> [CrossRef]</w:t>
      </w:r>
    </w:p>
    <w:p>
      <w:pPr>
        <w:pStyle w:val="MDPI32textnoindent"/>
        <w:spacing w:line="240" w:lineRule="auto" w:before="0" w:after="40"/>
        <w:ind w:left="425" w:hanging="425"/>
        <w:tabs>
          <w:tab w:val="left" w:pos="425"/>
        </w:tabs>
      </w:pPr>
      <w:bookmarkStart w:id="1052" w:name="_Ref_52"/>
      <w:r>
        <w:rPr>
          <w:b w:val="0"/>
          <w:sz w:val="18"/>
        </w:rPr>
        <w:t>52</w:t>
      </w:r>
      <w:bookmarkEnd w:id="1052"/>
      <w:r>
        <w:rPr>
          <w:sz w:val="18"/>
        </w:rPr>
        <w:t>.</w:t>
        <w:tab/>
      </w:r>
      <w:r>
        <w:rPr>
          <w:b w:val="0"/>
          <w:i w:val="0"/>
          <w:sz w:val="18"/>
        </w:rPr>
        <w:t xml:space="preserve">Yerkes, R.M.; Dodson, J.D. </w:t>
      </w:r>
      <w:r>
        <w:rPr>
          <w:b w:val="0"/>
          <w:i w:val="0"/>
          <w:sz w:val="18"/>
        </w:rPr>
        <w:t xml:space="preserve">The Relation of Strength of Stimulus to Rapidity of Habit-Formation. </w:t>
      </w:r>
      <w:r>
        <w:rPr>
          <w:b w:val="0"/>
          <w:i/>
          <w:sz w:val="18"/>
        </w:rPr>
        <w:t xml:space="preserve">J. Comp. Neurol. Psychol. </w:t>
      </w:r>
      <w:r>
        <w:rPr>
          <w:b/>
          <w:i w:val="0"/>
          <w:sz w:val="18"/>
        </w:rPr>
        <w:t>1908</w:t>
      </w:r>
      <w:r>
        <w:rPr>
          <w:b w:val="0"/>
          <w:i w:val="0"/>
          <w:sz w:val="18"/>
        </w:rPr>
        <w:t xml:space="preserve">, </w:t>
      </w:r>
      <w:r>
        <w:rPr>
          <w:b w:val="0"/>
          <w:i/>
          <w:sz w:val="18"/>
        </w:rPr>
        <w:t>18</w:t>
      </w:r>
      <w:r>
        <w:rPr>
          <w:b w:val="0"/>
          <w:i w:val="0"/>
          <w:sz w:val="18"/>
        </w:rPr>
        <w:t>, 459–482.</w:t>
      </w:r>
      <w:r>
        <w:rPr>
          <w:b w:val="0"/>
          <w:i w:val="0"/>
          <w:sz w:val="18"/>
        </w:rPr>
        <w:t xml:space="preserve"> [CrossRef]</w:t>
      </w:r>
    </w:p>
    <w:p>
      <w:pPr>
        <w:pStyle w:val="MDPI32textnoindent"/>
        <w:spacing w:line="240" w:lineRule="auto" w:before="0" w:after="40"/>
        <w:ind w:left="425" w:hanging="425"/>
        <w:tabs>
          <w:tab w:val="left" w:pos="425"/>
        </w:tabs>
      </w:pPr>
      <w:bookmarkStart w:id="1053" w:name="_Ref_53"/>
      <w:r>
        <w:rPr>
          <w:b w:val="0"/>
          <w:sz w:val="18"/>
        </w:rPr>
        <w:t>53</w:t>
      </w:r>
      <w:bookmarkEnd w:id="1053"/>
      <w:r>
        <w:rPr>
          <w:sz w:val="18"/>
        </w:rPr>
        <w:t>.</w:t>
        <w:tab/>
      </w:r>
      <w:r>
        <w:rPr>
          <w:b w:val="0"/>
          <w:i w:val="0"/>
          <w:sz w:val="18"/>
        </w:rPr>
        <w:t xml:space="preserve">Grant, A.M.; Schwartz, B. </w:t>
      </w:r>
      <w:r>
        <w:rPr>
          <w:b w:val="0"/>
          <w:i w:val="0"/>
          <w:sz w:val="18"/>
        </w:rPr>
        <w:t xml:space="preserve">Too Much of a Good Thing: The Challenge and Opportunity of the Inverted U. </w:t>
      </w:r>
      <w:r>
        <w:rPr>
          <w:b w:val="0"/>
          <w:i/>
          <w:sz w:val="18"/>
        </w:rPr>
        <w:t xml:space="preserve">Perspect. Psychol. Sci. </w:t>
      </w:r>
      <w:r>
        <w:rPr>
          <w:b/>
          <w:i w:val="0"/>
          <w:sz w:val="18"/>
        </w:rPr>
        <w:t>2011</w:t>
      </w:r>
      <w:r>
        <w:rPr>
          <w:b w:val="0"/>
          <w:i w:val="0"/>
          <w:sz w:val="18"/>
        </w:rPr>
        <w:t xml:space="preserve">, </w:t>
      </w:r>
      <w:r>
        <w:rPr>
          <w:b w:val="0"/>
          <w:i/>
          <w:sz w:val="18"/>
        </w:rPr>
        <w:t>6</w:t>
      </w:r>
      <w:r>
        <w:rPr>
          <w:b w:val="0"/>
          <w:i w:val="0"/>
          <w:sz w:val="18"/>
        </w:rPr>
        <w:t>, 61–76.</w:t>
      </w:r>
      <w:r>
        <w:rPr>
          <w:b w:val="0"/>
          <w:i w:val="0"/>
          <w:sz w:val="18"/>
        </w:rPr>
        <w:t xml:space="preserve"> [CrossRef]</w:t>
      </w:r>
    </w:p>
    <w:p>
      <w:pPr>
        <w:pStyle w:val="MDPI32textnoindent"/>
        <w:spacing w:line="240" w:lineRule="auto" w:before="0" w:after="40"/>
        <w:ind w:left="425" w:hanging="425"/>
        <w:tabs>
          <w:tab w:val="left" w:pos="425"/>
        </w:tabs>
      </w:pPr>
      <w:bookmarkStart w:id="1054" w:name="_Ref_54"/>
      <w:r>
        <w:rPr>
          <w:b w:val="0"/>
          <w:sz w:val="18"/>
        </w:rPr>
        <w:t>54</w:t>
      </w:r>
      <w:bookmarkEnd w:id="1054"/>
      <w:r>
        <w:rPr>
          <w:sz w:val="18"/>
        </w:rPr>
        <w:t>.</w:t>
        <w:tab/>
      </w:r>
      <w:r>
        <w:rPr>
          <w:b w:val="0"/>
          <w:i w:val="0"/>
          <w:sz w:val="18"/>
        </w:rPr>
        <w:t xml:space="preserve">Pierce, J.R.; Aguinis, H. </w:t>
      </w:r>
      <w:r>
        <w:rPr>
          <w:b w:val="0"/>
          <w:i w:val="0"/>
          <w:sz w:val="18"/>
        </w:rPr>
        <w:t xml:space="preserve">The Too-Much-of-a-Good-Thing Effect in Management. </w:t>
      </w:r>
      <w:r>
        <w:rPr>
          <w:b w:val="0"/>
          <w:i/>
          <w:sz w:val="18"/>
        </w:rPr>
        <w:t xml:space="preserve">J. Manag. </w:t>
      </w:r>
      <w:r>
        <w:rPr>
          <w:b/>
          <w:i w:val="0"/>
          <w:sz w:val="18"/>
        </w:rPr>
        <w:t>2013</w:t>
      </w:r>
      <w:r>
        <w:rPr>
          <w:b w:val="0"/>
          <w:i w:val="0"/>
          <w:sz w:val="18"/>
        </w:rPr>
        <w:t xml:space="preserve">, </w:t>
      </w:r>
      <w:r>
        <w:rPr>
          <w:b w:val="0"/>
          <w:i/>
          <w:sz w:val="18"/>
        </w:rPr>
        <w:t>39</w:t>
      </w:r>
      <w:r>
        <w:rPr>
          <w:b w:val="0"/>
          <w:i w:val="0"/>
          <w:sz w:val="18"/>
        </w:rPr>
        <w:t>, 313–338.</w:t>
      </w:r>
      <w:r>
        <w:rPr>
          <w:b w:val="0"/>
          <w:i w:val="0"/>
          <w:sz w:val="18"/>
        </w:rPr>
        <w:t xml:space="preserve"> [CrossRef]</w:t>
      </w:r>
    </w:p>
    <w:p>
      <w:pPr>
        <w:pStyle w:val="MDPI32textnoindent"/>
        <w:spacing w:line="240" w:lineRule="auto" w:before="0" w:after="40"/>
        <w:ind w:left="425" w:hanging="425"/>
        <w:tabs>
          <w:tab w:val="left" w:pos="425"/>
        </w:tabs>
      </w:pPr>
      <w:bookmarkStart w:id="1055" w:name="_Ref_55"/>
      <w:r>
        <w:rPr>
          <w:b w:val="0"/>
          <w:sz w:val="18"/>
        </w:rPr>
        <w:t>55</w:t>
      </w:r>
      <w:bookmarkEnd w:id="1055"/>
      <w:r>
        <w:rPr>
          <w:sz w:val="18"/>
        </w:rPr>
        <w:t>.</w:t>
        <w:tab/>
      </w:r>
      <w:r>
        <w:rPr>
          <w:b w:val="0"/>
          <w:i w:val="0"/>
          <w:sz w:val="18"/>
        </w:rPr>
        <w:t xml:space="preserve">Bandura, A. </w:t>
      </w:r>
      <w:r>
        <w:rPr>
          <w:b w:val="0"/>
          <w:i/>
          <w:sz w:val="18"/>
        </w:rPr>
        <w:t>Self-Efficacy: The Exercise of Control</w:t>
      </w:r>
      <w:r>
        <w:rPr>
          <w:b w:val="0"/>
          <w:i w:val="0"/>
          <w:sz w:val="18"/>
        </w:rPr>
        <w:t xml:space="preserve">; </w:t>
      </w:r>
      <w:r>
        <w:rPr>
          <w:b w:val="0"/>
          <w:i w:val="0"/>
          <w:sz w:val="18"/>
        </w:rPr>
        <w:t>W.H. Freeman: New York, NY, USA, 1997.</w:t>
      </w:r>
    </w:p>
    <w:p>
      <w:pPr>
        <w:pStyle w:val="MDPI32textnoindent"/>
        <w:spacing w:line="240" w:lineRule="auto" w:before="0" w:after="40"/>
        <w:ind w:left="425" w:hanging="425"/>
        <w:tabs>
          <w:tab w:val="left" w:pos="425"/>
        </w:tabs>
      </w:pPr>
      <w:bookmarkStart w:id="1056" w:name="_Ref_56"/>
      <w:r>
        <w:rPr>
          <w:b w:val="0"/>
          <w:sz w:val="18"/>
        </w:rPr>
        <w:t>56</w:t>
      </w:r>
      <w:bookmarkEnd w:id="1056"/>
      <w:r>
        <w:rPr>
          <w:sz w:val="18"/>
        </w:rPr>
        <w:t>.</w:t>
        <w:tab/>
      </w:r>
      <w:r>
        <w:rPr>
          <w:b w:val="0"/>
          <w:i w:val="0"/>
          <w:sz w:val="18"/>
        </w:rPr>
        <w:t xml:space="preserve">Raisch, S.; Krakowski, S. </w:t>
      </w:r>
      <w:r>
        <w:rPr>
          <w:b w:val="0"/>
          <w:i w:val="0"/>
          <w:sz w:val="18"/>
        </w:rPr>
        <w:t xml:space="preserve">Artificial Intelligence and Management: The Automation–Augmentation Paradox. </w:t>
      </w:r>
      <w:r>
        <w:rPr>
          <w:b w:val="0"/>
          <w:i/>
          <w:sz w:val="18"/>
        </w:rPr>
        <w:t xml:space="preserve">Acad. Manag. Rev. </w:t>
      </w:r>
      <w:r>
        <w:rPr>
          <w:b/>
          <w:i w:val="0"/>
          <w:sz w:val="18"/>
        </w:rPr>
        <w:t>2021</w:t>
      </w:r>
      <w:r>
        <w:rPr>
          <w:b w:val="0"/>
          <w:i w:val="0"/>
          <w:sz w:val="18"/>
        </w:rPr>
        <w:t xml:space="preserve">, </w:t>
      </w:r>
      <w:r>
        <w:rPr>
          <w:b w:val="0"/>
          <w:i/>
          <w:sz w:val="18"/>
        </w:rPr>
        <w:t>46</w:t>
      </w:r>
      <w:r>
        <w:rPr>
          <w:b w:val="0"/>
          <w:i w:val="0"/>
          <w:sz w:val="18"/>
        </w:rPr>
        <w:t>, 192–210.</w:t>
      </w:r>
      <w:r>
        <w:rPr>
          <w:b w:val="0"/>
          <w:i w:val="0"/>
          <w:sz w:val="18"/>
        </w:rPr>
        <w:t xml:space="preserve"> [CrossRef]</w:t>
      </w:r>
    </w:p>
    <w:p>
      <w:pPr>
        <w:pStyle w:val="MDPI32textnoindent"/>
        <w:spacing w:line="240" w:lineRule="auto" w:before="0" w:after="40"/>
        <w:ind w:left="425" w:hanging="425"/>
        <w:tabs>
          <w:tab w:val="left" w:pos="425"/>
        </w:tabs>
      </w:pPr>
      <w:bookmarkStart w:id="1057" w:name="_Ref_57"/>
      <w:r>
        <w:rPr>
          <w:b w:val="0"/>
          <w:sz w:val="18"/>
        </w:rPr>
        <w:t>57</w:t>
      </w:r>
      <w:bookmarkEnd w:id="1057"/>
      <w:r>
        <w:rPr>
          <w:sz w:val="18"/>
        </w:rPr>
        <w:t>.</w:t>
        <w:tab/>
      </w:r>
      <w:r>
        <w:rPr>
          <w:b w:val="0"/>
          <w:i w:val="0"/>
          <w:sz w:val="18"/>
        </w:rPr>
        <w:t xml:space="preserve">Vaccaro, M.; Almaatouq, A.; Malone, T. </w:t>
      </w:r>
      <w:r>
        <w:rPr>
          <w:b w:val="0"/>
          <w:i w:val="0"/>
          <w:sz w:val="18"/>
        </w:rPr>
        <w:t xml:space="preserve">When Combinations of Humans and AI Are Useful: A Systematic Review and Meta-Analysis. </w:t>
      </w:r>
      <w:r>
        <w:rPr>
          <w:b w:val="0"/>
          <w:i/>
          <w:sz w:val="18"/>
        </w:rPr>
        <w:t xml:space="preserve">Nat. Hum. Behav. </w:t>
      </w:r>
      <w:r>
        <w:rPr>
          <w:b/>
          <w:i w:val="0"/>
          <w:sz w:val="18"/>
        </w:rPr>
        <w:t>2024</w:t>
      </w:r>
      <w:r>
        <w:rPr>
          <w:b w:val="0"/>
          <w:i w:val="0"/>
          <w:sz w:val="18"/>
        </w:rPr>
        <w:t xml:space="preserve">, </w:t>
      </w:r>
      <w:r>
        <w:rPr>
          <w:b w:val="0"/>
          <w:i/>
          <w:sz w:val="18"/>
        </w:rPr>
        <w:t>8</w:t>
      </w:r>
      <w:r>
        <w:rPr>
          <w:b w:val="0"/>
          <w:i w:val="0"/>
          <w:sz w:val="18"/>
        </w:rPr>
        <w:t>, 2293–2303.</w:t>
      </w:r>
      <w:r>
        <w:rPr>
          <w:b w:val="0"/>
          <w:i w:val="0"/>
          <w:sz w:val="18"/>
        </w:rPr>
        <w:t xml:space="preserve"> [CrossRef]</w:t>
      </w:r>
    </w:p>
    <w:p>
      <w:pPr>
        <w:pStyle w:val="MDPI32textnoindent"/>
        <w:spacing w:line="240" w:lineRule="auto" w:before="0" w:after="40"/>
        <w:ind w:left="425" w:hanging="425"/>
        <w:tabs>
          <w:tab w:val="left" w:pos="425"/>
        </w:tabs>
      </w:pPr>
      <w:bookmarkStart w:id="1058" w:name="_Ref_58"/>
      <w:r>
        <w:rPr>
          <w:b w:val="0"/>
          <w:sz w:val="18"/>
        </w:rPr>
        <w:t>58</w:t>
      </w:r>
      <w:bookmarkEnd w:id="1058"/>
      <w:r>
        <w:rPr>
          <w:sz w:val="18"/>
        </w:rPr>
        <w:t>.</w:t>
        <w:tab/>
      </w:r>
      <w:r>
        <w:rPr>
          <w:b w:val="0"/>
          <w:i w:val="0"/>
          <w:sz w:val="18"/>
        </w:rPr>
        <w:t xml:space="preserve">Fugate, M.; Kinicki, A.J.; Ashforth, B.E. </w:t>
      </w:r>
      <w:r>
        <w:rPr>
          <w:b w:val="0"/>
          <w:i w:val="0"/>
          <w:sz w:val="18"/>
        </w:rPr>
        <w:t xml:space="preserve">Employability: A Psycho-Social Construct, Its Dimensions, and Applications. </w:t>
      </w:r>
      <w:r>
        <w:rPr>
          <w:b w:val="0"/>
          <w:i/>
          <w:sz w:val="18"/>
        </w:rPr>
        <w:t xml:space="preserve">J. Vocat. Behav. </w:t>
      </w:r>
      <w:r>
        <w:rPr>
          <w:b/>
          <w:i w:val="0"/>
          <w:sz w:val="18"/>
        </w:rPr>
        <w:t>2004</w:t>
      </w:r>
      <w:r>
        <w:rPr>
          <w:b w:val="0"/>
          <w:i w:val="0"/>
          <w:sz w:val="18"/>
        </w:rPr>
        <w:t xml:space="preserve">, </w:t>
      </w:r>
      <w:r>
        <w:rPr>
          <w:b w:val="0"/>
          <w:i/>
          <w:sz w:val="18"/>
        </w:rPr>
        <w:t>65</w:t>
      </w:r>
      <w:r>
        <w:rPr>
          <w:b w:val="0"/>
          <w:i w:val="0"/>
          <w:sz w:val="18"/>
        </w:rPr>
        <w:t>, 14–38.</w:t>
      </w:r>
      <w:r>
        <w:rPr>
          <w:b w:val="0"/>
          <w:i w:val="0"/>
          <w:sz w:val="18"/>
        </w:rPr>
        <w:t xml:space="preserve"> [CrossRef]</w:t>
      </w:r>
    </w:p>
    <w:p>
      <w:pPr>
        <w:pStyle w:val="MDPI32textnoindent"/>
        <w:spacing w:line="240" w:lineRule="auto" w:before="0" w:after="40"/>
        <w:ind w:left="425" w:hanging="425"/>
        <w:tabs>
          <w:tab w:val="left" w:pos="425"/>
        </w:tabs>
      </w:pPr>
      <w:bookmarkStart w:id="1059" w:name="_Ref_59"/>
      <w:r>
        <w:rPr>
          <w:b w:val="0"/>
          <w:sz w:val="18"/>
        </w:rPr>
        <w:t>59</w:t>
      </w:r>
      <w:bookmarkEnd w:id="1059"/>
      <w:r>
        <w:rPr>
          <w:sz w:val="18"/>
        </w:rPr>
        <w:t>.</w:t>
        <w:tab/>
      </w:r>
      <w:r>
        <w:rPr>
          <w:b w:val="0"/>
          <w:i w:val="0"/>
          <w:sz w:val="18"/>
        </w:rPr>
        <w:t xml:space="preserve">Akkermans, J.; Richardson, J.; Kraimer, M.L. </w:t>
      </w:r>
      <w:r>
        <w:rPr>
          <w:b w:val="0"/>
          <w:i w:val="0"/>
          <w:sz w:val="18"/>
        </w:rPr>
        <w:t xml:space="preserve">The Covid-19 Crisis as a Career Shock: Implications for Careers and Vocational Behavior. </w:t>
      </w:r>
      <w:r>
        <w:rPr>
          <w:b w:val="0"/>
          <w:i/>
          <w:sz w:val="18"/>
        </w:rPr>
        <w:t xml:space="preserve">J. Vocat. Behav. </w:t>
      </w:r>
      <w:r>
        <w:rPr>
          <w:b/>
          <w:i w:val="0"/>
          <w:sz w:val="18"/>
        </w:rPr>
        <w:t>2020</w:t>
      </w:r>
      <w:r>
        <w:rPr>
          <w:b w:val="0"/>
          <w:i w:val="0"/>
          <w:sz w:val="18"/>
        </w:rPr>
        <w:t xml:space="preserve">, </w:t>
      </w:r>
      <w:r>
        <w:rPr>
          <w:b w:val="0"/>
          <w:i/>
          <w:sz w:val="18"/>
        </w:rPr>
        <w:t>119</w:t>
      </w:r>
      <w:r>
        <w:rPr>
          <w:b w:val="0"/>
          <w:i w:val="0"/>
          <w:sz w:val="18"/>
        </w:rPr>
        <w:t>, 103434.</w:t>
      </w:r>
      <w:r>
        <w:rPr>
          <w:b w:val="0"/>
          <w:i w:val="0"/>
          <w:sz w:val="18"/>
        </w:rPr>
        <w:t xml:space="preserve"> [CrossRef]</w:t>
      </w:r>
    </w:p>
    <w:p>
      <w:pPr>
        <w:pStyle w:val="MDPI32textnoindent"/>
        <w:spacing w:line="240" w:lineRule="auto" w:before="0" w:after="40"/>
        <w:ind w:left="425" w:hanging="425"/>
        <w:tabs>
          <w:tab w:val="left" w:pos="425"/>
        </w:tabs>
      </w:pPr>
      <w:bookmarkStart w:id="1060" w:name="_Ref_60"/>
      <w:r>
        <w:rPr>
          <w:b w:val="0"/>
          <w:sz w:val="18"/>
        </w:rPr>
        <w:t>60</w:t>
      </w:r>
      <w:bookmarkEnd w:id="1060"/>
      <w:r>
        <w:rPr>
          <w:sz w:val="18"/>
        </w:rPr>
        <w:t>.</w:t>
        <w:tab/>
      </w:r>
      <w:r>
        <w:rPr>
          <w:b w:val="0"/>
          <w:i w:val="0"/>
          <w:sz w:val="18"/>
        </w:rPr>
        <w:t xml:space="preserve">Simon, H.A. </w:t>
      </w:r>
      <w:r>
        <w:rPr>
          <w:b w:val="0"/>
          <w:i w:val="0"/>
          <w:sz w:val="18"/>
        </w:rPr>
        <w:t xml:space="preserve">The Architecture of Complexity. </w:t>
      </w:r>
      <w:r>
        <w:rPr>
          <w:b w:val="0"/>
          <w:i/>
          <w:sz w:val="18"/>
        </w:rPr>
        <w:t xml:space="preserve">Proc. Am. Philos. Soc. </w:t>
      </w:r>
      <w:r>
        <w:rPr>
          <w:b/>
          <w:i w:val="0"/>
          <w:sz w:val="18"/>
        </w:rPr>
        <w:t>1962</w:t>
      </w:r>
      <w:r>
        <w:rPr>
          <w:b w:val="0"/>
          <w:i w:val="0"/>
          <w:sz w:val="18"/>
        </w:rPr>
        <w:t xml:space="preserve">, </w:t>
      </w:r>
      <w:r>
        <w:rPr>
          <w:b w:val="0"/>
          <w:i/>
          <w:sz w:val="18"/>
        </w:rPr>
        <w:t>106</w:t>
      </w:r>
      <w:r>
        <w:rPr>
          <w:b w:val="0"/>
          <w:i w:val="0"/>
          <w:sz w:val="18"/>
        </w:rPr>
        <w:t>, 467-482.</w:t>
      </w:r>
    </w:p>
    <w:p>
      <w:pPr>
        <w:pStyle w:val="MDPI32textnoindent"/>
        <w:spacing w:line="240" w:lineRule="auto" w:before="0" w:after="40"/>
        <w:ind w:left="425" w:hanging="425"/>
        <w:tabs>
          <w:tab w:val="left" w:pos="425"/>
        </w:tabs>
      </w:pPr>
      <w:bookmarkStart w:id="1061" w:name="_Ref_61"/>
      <w:r>
        <w:rPr>
          <w:b w:val="0"/>
          <w:sz w:val="18"/>
        </w:rPr>
        <w:t>61</w:t>
      </w:r>
      <w:bookmarkEnd w:id="1061"/>
      <w:r>
        <w:rPr>
          <w:sz w:val="18"/>
        </w:rPr>
        <w:t>.</w:t>
        <w:tab/>
      </w:r>
      <w:r>
        <w:rPr>
          <w:b w:val="0"/>
          <w:i w:val="0"/>
          <w:sz w:val="18"/>
        </w:rPr>
        <w:t xml:space="preserve">Holland, J.H. </w:t>
      </w:r>
      <w:r>
        <w:rPr>
          <w:b w:val="0"/>
          <w:i/>
          <w:sz w:val="18"/>
        </w:rPr>
        <w:t>Hidden Order: How Adaptation Builds Complexity</w:t>
      </w:r>
      <w:r>
        <w:rPr>
          <w:b w:val="0"/>
          <w:i w:val="0"/>
          <w:sz w:val="18"/>
        </w:rPr>
        <w:t xml:space="preserve">; </w:t>
      </w:r>
      <w:r>
        <w:rPr>
          <w:b w:val="0"/>
          <w:i w:val="0"/>
          <w:sz w:val="18"/>
        </w:rPr>
        <w:t>Addison-Wesley: Reading, MA, USA, 1995.</w:t>
      </w:r>
    </w:p>
    <w:p>
      <w:pPr>
        <w:pStyle w:val="MDPI32textnoindent"/>
        <w:spacing w:line="240" w:lineRule="auto" w:before="0" w:after="40"/>
        <w:ind w:left="425" w:hanging="425"/>
        <w:tabs>
          <w:tab w:val="left" w:pos="425"/>
        </w:tabs>
      </w:pPr>
      <w:bookmarkStart w:id="1062" w:name="_Ref_62"/>
      <w:r>
        <w:rPr>
          <w:b w:val="0"/>
          <w:sz w:val="18"/>
        </w:rPr>
        <w:t>62</w:t>
      </w:r>
      <w:bookmarkEnd w:id="1062"/>
      <w:r>
        <w:rPr>
          <w:sz w:val="18"/>
        </w:rPr>
        <w:t>.</w:t>
        <w:tab/>
      </w:r>
      <w:r>
        <w:rPr>
          <w:b w:val="0"/>
          <w:i w:val="0"/>
          <w:sz w:val="18"/>
        </w:rPr>
        <w:t xml:space="preserve">Schneider, C.Q.; Wagemann, C. </w:t>
      </w:r>
      <w:r>
        <w:rPr>
          <w:b w:val="0"/>
          <w:i/>
          <w:sz w:val="18"/>
        </w:rPr>
        <w:t>Set-Theoretic Methods for the Social Sciences: A Guide to Qualitative Comparative Analysis</w:t>
      </w:r>
      <w:r>
        <w:rPr>
          <w:b w:val="0"/>
          <w:i w:val="0"/>
          <w:sz w:val="18"/>
        </w:rPr>
        <w:t xml:space="preserve">; </w:t>
      </w:r>
      <w:r>
        <w:rPr>
          <w:b w:val="0"/>
          <w:i w:val="0"/>
          <w:sz w:val="18"/>
        </w:rPr>
        <w:t>Cambridge University Press: Cambridge, UK, 2012.</w:t>
      </w:r>
    </w:p>
    <w:p>
      <w:pPr>
        <w:pStyle w:val="MDPI32textnoindent"/>
        <w:spacing w:line="240" w:lineRule="auto" w:before="0" w:after="40"/>
        <w:ind w:left="425" w:hanging="425"/>
        <w:tabs>
          <w:tab w:val="left" w:pos="425"/>
        </w:tabs>
      </w:pPr>
      <w:bookmarkStart w:id="1063" w:name="_Ref_63"/>
      <w:r>
        <w:rPr>
          <w:b w:val="0"/>
          <w:sz w:val="18"/>
        </w:rPr>
        <w:t>63</w:t>
      </w:r>
      <w:bookmarkEnd w:id="1063"/>
      <w:r>
        <w:rPr>
          <w:sz w:val="18"/>
        </w:rPr>
        <w:t>.</w:t>
        <w:tab/>
      </w:r>
      <w:r>
        <w:rPr>
          <w:b w:val="0"/>
          <w:i w:val="0"/>
          <w:sz w:val="18"/>
        </w:rPr>
        <w:t xml:space="preserve">Greckhamer, T.; Furnari, S.; Fiss, P.C.; Aguilera, R.V. </w:t>
      </w:r>
      <w:r>
        <w:rPr>
          <w:b w:val="0"/>
          <w:i w:val="0"/>
          <w:sz w:val="18"/>
        </w:rPr>
        <w:t xml:space="preserve">Studying Configurations with Qualitative Comparative Analysis: Best Practices in Strategy and Organization Research. </w:t>
      </w:r>
      <w:r>
        <w:rPr>
          <w:b w:val="0"/>
          <w:i/>
          <w:sz w:val="18"/>
        </w:rPr>
        <w:t xml:space="preserve">Strateg. Organ. </w:t>
      </w:r>
      <w:r>
        <w:rPr>
          <w:b/>
          <w:i w:val="0"/>
          <w:sz w:val="18"/>
        </w:rPr>
        <w:t>2018</w:t>
      </w:r>
      <w:r>
        <w:rPr>
          <w:b w:val="0"/>
          <w:i w:val="0"/>
          <w:sz w:val="18"/>
        </w:rPr>
        <w:t xml:space="preserve">, </w:t>
      </w:r>
      <w:r>
        <w:rPr>
          <w:b w:val="0"/>
          <w:i/>
          <w:sz w:val="18"/>
        </w:rPr>
        <w:t>16</w:t>
      </w:r>
      <w:r>
        <w:rPr>
          <w:b w:val="0"/>
          <w:i w:val="0"/>
          <w:sz w:val="18"/>
        </w:rPr>
        <w:t>, 482–495.</w:t>
      </w:r>
      <w:r>
        <w:rPr>
          <w:b w:val="0"/>
          <w:i w:val="0"/>
          <w:sz w:val="18"/>
        </w:rPr>
        <w:t xml:space="preserve"> [CrossRef]</w:t>
      </w:r>
    </w:p>
    <w:p>
      <w:pPr>
        <w:pStyle w:val="MDPI32textnoindent"/>
        <w:spacing w:line="240" w:lineRule="auto" w:before="0" w:after="40"/>
        <w:ind w:left="425" w:hanging="425"/>
        <w:tabs>
          <w:tab w:val="left" w:pos="425"/>
        </w:tabs>
      </w:pPr>
      <w:bookmarkStart w:id="1064" w:name="_Ref_64"/>
      <w:r>
        <w:rPr>
          <w:b w:val="0"/>
          <w:sz w:val="18"/>
        </w:rPr>
        <w:t>64</w:t>
      </w:r>
      <w:bookmarkEnd w:id="1064"/>
      <w:r>
        <w:rPr>
          <w:sz w:val="18"/>
        </w:rPr>
        <w:t>.</w:t>
        <w:tab/>
      </w:r>
      <w:r>
        <w:rPr>
          <w:b w:val="0"/>
          <w:i w:val="0"/>
          <w:sz w:val="18"/>
        </w:rPr>
        <w:t xml:space="preserve">National Bureau of Statistics of China. </w:t>
      </w:r>
      <w:r>
        <w:rPr>
          <w:b w:val="0"/>
          <w:i w:val="0"/>
          <w:sz w:val="18"/>
        </w:rPr>
        <w:t xml:space="preserve">Surveyed Urban Unemployment Rate of the Population Aged 16 to 24 Excluding Students. </w:t>
      </w:r>
      <w:r>
        <w:rPr>
          <w:b w:val="0"/>
          <w:i w:val="0"/>
          <w:sz w:val="18"/>
        </w:rPr>
        <w:t>Available online: https://www.stats.gov.cn/english/ (accessed on 20 March 2026).</w:t>
      </w:r>
    </w:p>
    <w:p>
      <w:pPr>
        <w:pStyle w:val="MDPI32textnoindent"/>
        <w:spacing w:line="240" w:lineRule="auto" w:before="0" w:after="40"/>
        <w:ind w:left="425" w:hanging="425"/>
        <w:tabs>
          <w:tab w:val="left" w:pos="425"/>
        </w:tabs>
      </w:pPr>
      <w:bookmarkStart w:id="1065" w:name="_Ref_65"/>
      <w:r>
        <w:rPr>
          <w:b w:val="0"/>
          <w:sz w:val="18"/>
        </w:rPr>
        <w:t>65</w:t>
      </w:r>
      <w:bookmarkEnd w:id="1065"/>
      <w:r>
        <w:rPr>
          <w:sz w:val="18"/>
        </w:rPr>
        <w:t>.</w:t>
        <w:tab/>
      </w:r>
      <w:r>
        <w:rPr>
          <w:b w:val="0"/>
          <w:i w:val="0"/>
          <w:sz w:val="18"/>
        </w:rPr>
        <w:t xml:space="preserve">Lindell, M.K.; Whitney, D.J. </w:t>
      </w:r>
      <w:r>
        <w:rPr>
          <w:b w:val="0"/>
          <w:i w:val="0"/>
          <w:sz w:val="18"/>
        </w:rPr>
        <w:t xml:space="preserve">Accounting for Common Method Variance in Cross-Sectional Research Designs. </w:t>
      </w:r>
      <w:r>
        <w:rPr>
          <w:b w:val="0"/>
          <w:i/>
          <w:sz w:val="18"/>
        </w:rPr>
        <w:t xml:space="preserve">J. Appl. Psychol. </w:t>
      </w:r>
      <w:r>
        <w:rPr>
          <w:b/>
          <w:i w:val="0"/>
          <w:sz w:val="18"/>
        </w:rPr>
        <w:t>2001</w:t>
      </w:r>
      <w:r>
        <w:rPr>
          <w:b w:val="0"/>
          <w:i w:val="0"/>
          <w:sz w:val="18"/>
        </w:rPr>
        <w:t xml:space="preserve">, </w:t>
      </w:r>
      <w:r>
        <w:rPr>
          <w:b w:val="0"/>
          <w:i/>
          <w:sz w:val="18"/>
        </w:rPr>
        <w:t>86</w:t>
      </w:r>
      <w:r>
        <w:rPr>
          <w:b w:val="0"/>
          <w:i w:val="0"/>
          <w:sz w:val="18"/>
        </w:rPr>
        <w:t>, 114–121.</w:t>
      </w:r>
      <w:r>
        <w:rPr>
          <w:b w:val="0"/>
          <w:i w:val="0"/>
          <w:sz w:val="18"/>
        </w:rPr>
        <w:t xml:space="preserve"> [CrossRef]</w:t>
      </w:r>
    </w:p>
    <w:p>
      <w:pPr>
        <w:pStyle w:val="MDPI32textnoindent"/>
        <w:spacing w:line="240" w:lineRule="auto" w:before="0" w:after="40"/>
        <w:ind w:left="425" w:hanging="425"/>
        <w:tabs>
          <w:tab w:val="left" w:pos="425"/>
        </w:tabs>
      </w:pPr>
      <w:bookmarkStart w:id="1066" w:name="_Ref_66"/>
      <w:r>
        <w:rPr>
          <w:b w:val="0"/>
          <w:sz w:val="18"/>
        </w:rPr>
        <w:t>66</w:t>
      </w:r>
      <w:bookmarkEnd w:id="1066"/>
      <w:r>
        <w:rPr>
          <w:sz w:val="18"/>
        </w:rPr>
        <w:t>.</w:t>
        <w:tab/>
      </w:r>
      <w:r>
        <w:rPr>
          <w:b w:val="0"/>
          <w:i w:val="0"/>
          <w:sz w:val="18"/>
        </w:rPr>
        <w:t xml:space="preserve">Fornell, C.; Larcker, D.F. </w:t>
      </w:r>
      <w:r>
        <w:rPr>
          <w:b w:val="0"/>
          <w:i w:val="0"/>
          <w:sz w:val="18"/>
        </w:rPr>
        <w:t xml:space="preserve">Evaluating Structural Equation Models with Unobservable Variables and Measurement Error. </w:t>
      </w:r>
      <w:r>
        <w:rPr>
          <w:b w:val="0"/>
          <w:i/>
          <w:sz w:val="18"/>
        </w:rPr>
        <w:t xml:space="preserve">J. Mark. Res. </w:t>
      </w:r>
      <w:r>
        <w:rPr>
          <w:b/>
          <w:i w:val="0"/>
          <w:sz w:val="18"/>
        </w:rPr>
        <w:t>1981</w:t>
      </w:r>
      <w:r>
        <w:rPr>
          <w:b w:val="0"/>
          <w:i w:val="0"/>
          <w:sz w:val="18"/>
        </w:rPr>
        <w:t xml:space="preserve">, </w:t>
      </w:r>
      <w:r>
        <w:rPr>
          <w:b w:val="0"/>
          <w:i/>
          <w:sz w:val="18"/>
        </w:rPr>
        <w:t>18</w:t>
      </w:r>
      <w:r>
        <w:rPr>
          <w:b w:val="0"/>
          <w:i w:val="0"/>
          <w:sz w:val="18"/>
        </w:rPr>
        <w:t>, 39–50.</w:t>
      </w:r>
      <w:r>
        <w:rPr>
          <w:b w:val="0"/>
          <w:i w:val="0"/>
          <w:sz w:val="18"/>
        </w:rPr>
        <w:t xml:space="preserve"> [CrossRef]</w:t>
      </w:r>
    </w:p>
    <w:p>
      <w:pPr>
        <w:pStyle w:val="MDPI32textnoindent"/>
        <w:spacing w:line="240" w:lineRule="auto" w:before="0" w:after="40"/>
        <w:ind w:left="425" w:hanging="425"/>
        <w:tabs>
          <w:tab w:val="left" w:pos="425"/>
        </w:tabs>
      </w:pPr>
      <w:bookmarkStart w:id="1067" w:name="_Ref_67"/>
      <w:r>
        <w:rPr>
          <w:b w:val="0"/>
          <w:sz w:val="18"/>
        </w:rPr>
        <w:t>67</w:t>
      </w:r>
      <w:bookmarkEnd w:id="1067"/>
      <w:r>
        <w:rPr>
          <w:sz w:val="18"/>
        </w:rPr>
        <w:t>.</w:t>
        <w:tab/>
      </w:r>
      <w:r>
        <w:rPr>
          <w:b w:val="0"/>
          <w:i w:val="0"/>
          <w:sz w:val="18"/>
        </w:rPr>
        <w:t xml:space="preserve">Hu, L.; Bentler, P.M. </w:t>
      </w:r>
      <w:r>
        <w:rPr>
          <w:b w:val="0"/>
          <w:i w:val="0"/>
          <w:sz w:val="18"/>
        </w:rPr>
        <w:t xml:space="preserve">Cutoff Criteria for Fit Indexes in Covariance Structure Analysis: Conventional Criteria versus New Alternatives. </w:t>
      </w:r>
      <w:r>
        <w:rPr>
          <w:b w:val="0"/>
          <w:i/>
          <w:sz w:val="18"/>
        </w:rPr>
        <w:t xml:space="preserve">Struct. Equ. Model. </w:t>
      </w:r>
      <w:r>
        <w:rPr>
          <w:b/>
          <w:i w:val="0"/>
          <w:sz w:val="18"/>
        </w:rPr>
        <w:t>1999</w:t>
      </w:r>
      <w:r>
        <w:rPr>
          <w:b w:val="0"/>
          <w:i w:val="0"/>
          <w:sz w:val="18"/>
        </w:rPr>
        <w:t xml:space="preserve">, </w:t>
      </w:r>
      <w:r>
        <w:rPr>
          <w:b w:val="0"/>
          <w:i/>
          <w:sz w:val="18"/>
        </w:rPr>
        <w:t>6</w:t>
      </w:r>
      <w:r>
        <w:rPr>
          <w:b w:val="0"/>
          <w:i w:val="0"/>
          <w:sz w:val="18"/>
        </w:rPr>
        <w:t>, 1–55.</w:t>
      </w:r>
      <w:r>
        <w:rPr>
          <w:b w:val="0"/>
          <w:i w:val="0"/>
          <w:sz w:val="18"/>
        </w:rPr>
        <w:t xml:space="preserve"> [CrossRef]</w:t>
      </w:r>
    </w:p>
    <w:p>
      <w:pPr>
        <w:pStyle w:val="MDPI32textnoindent"/>
        <w:spacing w:line="240" w:lineRule="auto" w:before="0" w:after="40"/>
        <w:ind w:left="425" w:hanging="425"/>
        <w:tabs>
          <w:tab w:val="left" w:pos="425"/>
        </w:tabs>
      </w:pPr>
      <w:bookmarkStart w:id="1068" w:name="_Ref_68"/>
      <w:r>
        <w:rPr>
          <w:b w:val="0"/>
          <w:sz w:val="18"/>
        </w:rPr>
        <w:t>68</w:t>
      </w:r>
      <w:bookmarkEnd w:id="1068"/>
      <w:r>
        <w:rPr>
          <w:sz w:val="18"/>
        </w:rPr>
        <w:t>.</w:t>
        <w:tab/>
      </w:r>
      <w:r>
        <w:rPr>
          <w:b w:val="0"/>
          <w:i w:val="0"/>
          <w:sz w:val="18"/>
        </w:rPr>
        <w:t xml:space="preserve">Henseler, J.; Ringle, C.M.; Sarstedt, M. </w:t>
      </w:r>
      <w:r>
        <w:rPr>
          <w:b w:val="0"/>
          <w:i w:val="0"/>
          <w:sz w:val="18"/>
        </w:rPr>
        <w:t xml:space="preserve">A New Criterion for Assessing Discriminant Validity in Variance-Based Structural Equation Modeling. </w:t>
      </w:r>
      <w:r>
        <w:rPr>
          <w:b w:val="0"/>
          <w:i/>
          <w:sz w:val="18"/>
        </w:rPr>
        <w:t xml:space="preserve">J. Acad. Mark. Sci. </w:t>
      </w:r>
      <w:r>
        <w:rPr>
          <w:b/>
          <w:i w:val="0"/>
          <w:sz w:val="18"/>
        </w:rPr>
        <w:t>2015</w:t>
      </w:r>
      <w:r>
        <w:rPr>
          <w:b w:val="0"/>
          <w:i w:val="0"/>
          <w:sz w:val="18"/>
        </w:rPr>
        <w:t xml:space="preserve">, </w:t>
      </w:r>
      <w:r>
        <w:rPr>
          <w:b w:val="0"/>
          <w:i/>
          <w:sz w:val="18"/>
        </w:rPr>
        <w:t>43</w:t>
      </w:r>
      <w:r>
        <w:rPr>
          <w:b w:val="0"/>
          <w:i w:val="0"/>
          <w:sz w:val="18"/>
        </w:rPr>
        <w:t>, 115–135.</w:t>
      </w:r>
      <w:r>
        <w:rPr>
          <w:b w:val="0"/>
          <w:i w:val="0"/>
          <w:sz w:val="18"/>
        </w:rPr>
        <w:t xml:space="preserve"> [CrossRef]</w:t>
      </w:r>
    </w:p>
    <w:p>
      <w:pPr>
        <w:pStyle w:val="MDPI32textnoindent"/>
        <w:spacing w:line="240" w:lineRule="auto" w:before="0" w:after="40"/>
        <w:ind w:left="425" w:hanging="425"/>
        <w:tabs>
          <w:tab w:val="left" w:pos="425"/>
        </w:tabs>
      </w:pPr>
      <w:bookmarkStart w:id="1069" w:name="_Ref_69"/>
      <w:r>
        <w:rPr>
          <w:b w:val="0"/>
          <w:sz w:val="18"/>
        </w:rPr>
        <w:t>69</w:t>
      </w:r>
      <w:bookmarkEnd w:id="1069"/>
      <w:r>
        <w:rPr>
          <w:sz w:val="18"/>
        </w:rPr>
        <w:t>.</w:t>
        <w:tab/>
      </w:r>
      <w:r>
        <w:rPr>
          <w:b w:val="0"/>
          <w:i w:val="0"/>
          <w:sz w:val="18"/>
        </w:rPr>
        <w:t xml:space="preserve">Podsakoff, P.M.; MacKenzie, S.B.; Lee, J.-Y.; Podsakoff, N.P. </w:t>
      </w:r>
      <w:r>
        <w:rPr>
          <w:b w:val="0"/>
          <w:i w:val="0"/>
          <w:sz w:val="18"/>
        </w:rPr>
        <w:t xml:space="preserve">Common Method Biases in Behavioral Research: A Critical Review of the Literature and Recommended Remedies. </w:t>
      </w:r>
      <w:r>
        <w:rPr>
          <w:b w:val="0"/>
          <w:i/>
          <w:sz w:val="18"/>
        </w:rPr>
        <w:t xml:space="preserve">J. Appl. Psychol. </w:t>
      </w:r>
      <w:r>
        <w:rPr>
          <w:b/>
          <w:i w:val="0"/>
          <w:sz w:val="18"/>
        </w:rPr>
        <w:t>2003</w:t>
      </w:r>
      <w:r>
        <w:rPr>
          <w:b w:val="0"/>
          <w:i w:val="0"/>
          <w:sz w:val="18"/>
        </w:rPr>
        <w:t xml:space="preserve">, </w:t>
      </w:r>
      <w:r>
        <w:rPr>
          <w:b w:val="0"/>
          <w:i/>
          <w:sz w:val="18"/>
        </w:rPr>
        <w:t>88</w:t>
      </w:r>
      <w:r>
        <w:rPr>
          <w:b w:val="0"/>
          <w:i w:val="0"/>
          <w:sz w:val="18"/>
        </w:rPr>
        <w:t>, 879–903.</w:t>
      </w:r>
      <w:r>
        <w:rPr>
          <w:b w:val="0"/>
          <w:i w:val="0"/>
          <w:sz w:val="18"/>
        </w:rPr>
        <w:t xml:space="preserve"> [CrossRef]</w:t>
      </w:r>
    </w:p>
    <w:p>
      <w:pPr>
        <w:pStyle w:val="MDPI32textnoindent"/>
        <w:spacing w:line="240" w:lineRule="auto" w:before="0" w:after="40"/>
        <w:ind w:left="425" w:hanging="425"/>
        <w:tabs>
          <w:tab w:val="left" w:pos="425"/>
        </w:tabs>
      </w:pPr>
      <w:bookmarkStart w:id="1070" w:name="_Ref_70"/>
      <w:r>
        <w:rPr>
          <w:b w:val="0"/>
          <w:sz w:val="18"/>
        </w:rPr>
        <w:t>70</w:t>
      </w:r>
      <w:bookmarkEnd w:id="1070"/>
      <w:r>
        <w:rPr>
          <w:sz w:val="18"/>
        </w:rPr>
        <w:t>.</w:t>
        <w:tab/>
      </w:r>
      <w:r>
        <w:rPr>
          <w:b w:val="0"/>
          <w:i w:val="0"/>
          <w:sz w:val="18"/>
        </w:rPr>
        <w:t xml:space="preserve">Podsakoff, P.M.; Podsakoff, N.P.; Williams, L.J.; Huang, C.; Yang, J. </w:t>
      </w:r>
      <w:r>
        <w:rPr>
          <w:b w:val="0"/>
          <w:i w:val="0"/>
          <w:sz w:val="18"/>
        </w:rPr>
        <w:t xml:space="preserve">Common Method Bias: It’s Bad, It’s Complex, It’s Widespread, and It’s Not Easy to Fix. </w:t>
      </w:r>
      <w:r>
        <w:rPr>
          <w:b w:val="0"/>
          <w:i/>
          <w:sz w:val="18"/>
        </w:rPr>
        <w:t xml:space="preserve">Annu. Rev. Organ. Psychol. Organ. Behav. </w:t>
      </w:r>
      <w:r>
        <w:rPr>
          <w:b/>
          <w:i w:val="0"/>
          <w:sz w:val="18"/>
        </w:rPr>
        <w:t>2024</w:t>
      </w:r>
      <w:r>
        <w:rPr>
          <w:b w:val="0"/>
          <w:i w:val="0"/>
          <w:sz w:val="18"/>
        </w:rPr>
        <w:t xml:space="preserve">, </w:t>
      </w:r>
      <w:r>
        <w:rPr>
          <w:b w:val="0"/>
          <w:i/>
          <w:sz w:val="18"/>
        </w:rPr>
        <w:t>11</w:t>
      </w:r>
      <w:r>
        <w:rPr>
          <w:b w:val="0"/>
          <w:i w:val="0"/>
          <w:sz w:val="18"/>
        </w:rPr>
        <w:t>, 17–61.</w:t>
      </w:r>
      <w:r>
        <w:rPr>
          <w:b w:val="0"/>
          <w:i w:val="0"/>
          <w:sz w:val="18"/>
        </w:rPr>
        <w:t xml:space="preserve"> [CrossRef]</w:t>
      </w:r>
    </w:p>
    <w:p>
      <w:pPr>
        <w:pStyle w:val="MDPI32textnoindent"/>
        <w:spacing w:line="240" w:lineRule="auto" w:before="0" w:after="40"/>
        <w:ind w:left="425" w:hanging="425"/>
        <w:tabs>
          <w:tab w:val="left" w:pos="425"/>
        </w:tabs>
      </w:pPr>
      <w:bookmarkStart w:id="1071" w:name="_Ref_71"/>
      <w:r>
        <w:rPr>
          <w:b w:val="0"/>
          <w:sz w:val="18"/>
        </w:rPr>
        <w:t>71</w:t>
      </w:r>
      <w:bookmarkEnd w:id="1071"/>
      <w:r>
        <w:rPr>
          <w:sz w:val="18"/>
        </w:rPr>
        <w:t>.</w:t>
        <w:tab/>
      </w:r>
      <w:r>
        <w:rPr>
          <w:b w:val="0"/>
          <w:i w:val="0"/>
          <w:sz w:val="18"/>
        </w:rPr>
        <w:t xml:space="preserve">Devlieger, I.; Mayer, A.; Rosseel, Y. </w:t>
      </w:r>
      <w:r>
        <w:rPr>
          <w:b w:val="0"/>
          <w:i w:val="0"/>
          <w:sz w:val="18"/>
        </w:rPr>
        <w:t xml:space="preserve">Hypothesis Testing Using Factor Score Regression: A Comparison of Four Methods. </w:t>
      </w:r>
      <w:r>
        <w:rPr>
          <w:b w:val="0"/>
          <w:i/>
          <w:sz w:val="18"/>
        </w:rPr>
        <w:t xml:space="preserve">Educ. Psychol. Meas. </w:t>
      </w:r>
      <w:r>
        <w:rPr>
          <w:b/>
          <w:i w:val="0"/>
          <w:sz w:val="18"/>
        </w:rPr>
        <w:t>2016</w:t>
      </w:r>
      <w:r>
        <w:rPr>
          <w:b w:val="0"/>
          <w:i w:val="0"/>
          <w:sz w:val="18"/>
        </w:rPr>
        <w:t xml:space="preserve">, </w:t>
      </w:r>
      <w:r>
        <w:rPr>
          <w:b w:val="0"/>
          <w:i/>
          <w:sz w:val="18"/>
        </w:rPr>
        <w:t>76</w:t>
      </w:r>
      <w:r>
        <w:rPr>
          <w:b w:val="0"/>
          <w:i w:val="0"/>
          <w:sz w:val="18"/>
        </w:rPr>
        <w:t>, 741–770.</w:t>
      </w:r>
      <w:r>
        <w:rPr>
          <w:b w:val="0"/>
          <w:i w:val="0"/>
          <w:sz w:val="18"/>
        </w:rPr>
        <w:t xml:space="preserve"> [CrossRef]</w:t>
      </w:r>
    </w:p>
    <w:p>
      <w:pPr>
        <w:pStyle w:val="MDPI32textnoindent"/>
        <w:spacing w:line="240" w:lineRule="auto" w:before="0" w:after="40"/>
        <w:ind w:left="425" w:hanging="425"/>
        <w:tabs>
          <w:tab w:val="left" w:pos="425"/>
        </w:tabs>
      </w:pPr>
      <w:bookmarkStart w:id="1072" w:name="_Ref_72"/>
      <w:r>
        <w:rPr>
          <w:b w:val="0"/>
          <w:sz w:val="18"/>
        </w:rPr>
        <w:t>72</w:t>
      </w:r>
      <w:bookmarkEnd w:id="1072"/>
      <w:r>
        <w:rPr>
          <w:sz w:val="18"/>
        </w:rPr>
        <w:t>.</w:t>
        <w:tab/>
      </w:r>
      <w:r>
        <w:rPr>
          <w:b w:val="0"/>
          <w:i w:val="0"/>
          <w:sz w:val="18"/>
        </w:rPr>
        <w:t xml:space="preserve">Aiken, L.S.; West, S.G. </w:t>
      </w:r>
      <w:r>
        <w:rPr>
          <w:b w:val="0"/>
          <w:i/>
          <w:sz w:val="18"/>
        </w:rPr>
        <w:t>Multiple Regression: Testing and Interpreting Interactions</w:t>
      </w:r>
      <w:r>
        <w:rPr>
          <w:b w:val="0"/>
          <w:i w:val="0"/>
          <w:sz w:val="18"/>
        </w:rPr>
        <w:t xml:space="preserve">; </w:t>
      </w:r>
      <w:r>
        <w:rPr>
          <w:b w:val="0"/>
          <w:i w:val="0"/>
          <w:sz w:val="18"/>
        </w:rPr>
        <w:t>Sage: Newbury Park, CA, USA, 1991.</w:t>
      </w:r>
    </w:p>
    <w:p>
      <w:pPr>
        <w:pStyle w:val="MDPI32textnoindent"/>
        <w:spacing w:line="240" w:lineRule="auto" w:before="0" w:after="40"/>
        <w:ind w:left="425" w:hanging="425"/>
        <w:tabs>
          <w:tab w:val="left" w:pos="425"/>
        </w:tabs>
      </w:pPr>
      <w:bookmarkStart w:id="1073" w:name="_Ref_73"/>
      <w:r>
        <w:rPr>
          <w:b w:val="0"/>
          <w:sz w:val="18"/>
        </w:rPr>
        <w:t>73</w:t>
      </w:r>
      <w:bookmarkEnd w:id="1073"/>
      <w:r>
        <w:rPr>
          <w:sz w:val="18"/>
        </w:rPr>
        <w:t>.</w:t>
        <w:tab/>
      </w:r>
      <w:r>
        <w:rPr>
          <w:b w:val="0"/>
          <w:i w:val="0"/>
          <w:sz w:val="18"/>
        </w:rPr>
        <w:t xml:space="preserve">Preacher, K.J.; Hayes, A.F. </w:t>
      </w:r>
      <w:r>
        <w:rPr>
          <w:b w:val="0"/>
          <w:i w:val="0"/>
          <w:sz w:val="18"/>
        </w:rPr>
        <w:t xml:space="preserve">Asymptotic and Resampling Strategies for Assessing and Comparing Indirect Effects in Multiple Mediator Models. </w:t>
      </w:r>
      <w:r>
        <w:rPr>
          <w:b w:val="0"/>
          <w:i/>
          <w:sz w:val="18"/>
        </w:rPr>
        <w:t xml:space="preserve">Behav. Res. Methods </w:t>
      </w:r>
      <w:r>
        <w:rPr>
          <w:b/>
          <w:i w:val="0"/>
          <w:sz w:val="18"/>
        </w:rPr>
        <w:t>2008</w:t>
      </w:r>
      <w:r>
        <w:rPr>
          <w:b w:val="0"/>
          <w:i w:val="0"/>
          <w:sz w:val="18"/>
        </w:rPr>
        <w:t xml:space="preserve">, </w:t>
      </w:r>
      <w:r>
        <w:rPr>
          <w:b w:val="0"/>
          <w:i/>
          <w:sz w:val="18"/>
        </w:rPr>
        <w:t>40</w:t>
      </w:r>
      <w:r>
        <w:rPr>
          <w:b w:val="0"/>
          <w:i w:val="0"/>
          <w:sz w:val="18"/>
        </w:rPr>
        <w:t>, 879–891.</w:t>
      </w:r>
      <w:r>
        <w:rPr>
          <w:b w:val="0"/>
          <w:i w:val="0"/>
          <w:sz w:val="18"/>
        </w:rPr>
        <w:t xml:space="preserve"> [CrossRef]</w:t>
      </w:r>
    </w:p>
    <w:p>
      <w:pPr>
        <w:pStyle w:val="MDPI32textnoindent"/>
        <w:spacing w:line="240" w:lineRule="auto" w:before="0" w:after="40"/>
        <w:ind w:left="425" w:hanging="425"/>
        <w:tabs>
          <w:tab w:val="left" w:pos="425"/>
        </w:tabs>
      </w:pPr>
      <w:bookmarkStart w:id="1074" w:name="_Ref_74"/>
      <w:r>
        <w:rPr>
          <w:b w:val="0"/>
          <w:sz w:val="18"/>
        </w:rPr>
        <w:t>74</w:t>
      </w:r>
      <w:bookmarkEnd w:id="1074"/>
      <w:r>
        <w:rPr>
          <w:sz w:val="18"/>
        </w:rPr>
        <w:t>.</w:t>
        <w:tab/>
      </w:r>
      <w:r>
        <w:rPr>
          <w:b w:val="0"/>
          <w:i w:val="0"/>
          <w:sz w:val="18"/>
        </w:rPr>
        <w:t xml:space="preserve">Zhao, X.; Lynch, J.G., Jr.; Chen, Q. </w:t>
      </w:r>
      <w:r>
        <w:rPr>
          <w:b w:val="0"/>
          <w:i w:val="0"/>
          <w:sz w:val="18"/>
        </w:rPr>
        <w:t xml:space="preserve">Reconsidering Baron and Kenny: Myths and Truths about Mediation Analysis. </w:t>
      </w:r>
      <w:r>
        <w:rPr>
          <w:b w:val="0"/>
          <w:i/>
          <w:sz w:val="18"/>
        </w:rPr>
        <w:t xml:space="preserve">J. Consum. Res. </w:t>
      </w:r>
      <w:r>
        <w:rPr>
          <w:b/>
          <w:i w:val="0"/>
          <w:sz w:val="18"/>
        </w:rPr>
        <w:t>2010</w:t>
      </w:r>
      <w:r>
        <w:rPr>
          <w:b w:val="0"/>
          <w:i w:val="0"/>
          <w:sz w:val="18"/>
        </w:rPr>
        <w:t xml:space="preserve">, </w:t>
      </w:r>
      <w:r>
        <w:rPr>
          <w:b w:val="0"/>
          <w:i/>
          <w:sz w:val="18"/>
        </w:rPr>
        <w:t>37</w:t>
      </w:r>
      <w:r>
        <w:rPr>
          <w:b w:val="0"/>
          <w:i w:val="0"/>
          <w:sz w:val="18"/>
        </w:rPr>
        <w:t>, 197–206.</w:t>
      </w:r>
      <w:r>
        <w:rPr>
          <w:b w:val="0"/>
          <w:i w:val="0"/>
          <w:sz w:val="18"/>
        </w:rPr>
        <w:t xml:space="preserve"> [CrossRef]</w:t>
      </w:r>
    </w:p>
    <w:p>
      <w:pPr>
        <w:pStyle w:val="MDPI32textnoindent"/>
        <w:spacing w:line="240" w:lineRule="auto" w:before="0" w:after="40"/>
        <w:ind w:left="425" w:hanging="425"/>
        <w:tabs>
          <w:tab w:val="left" w:pos="425"/>
        </w:tabs>
      </w:pPr>
      <w:bookmarkStart w:id="1075" w:name="_Ref_75"/>
      <w:r>
        <w:rPr>
          <w:b w:val="0"/>
          <w:sz w:val="18"/>
        </w:rPr>
        <w:t>75</w:t>
      </w:r>
      <w:bookmarkEnd w:id="1075"/>
      <w:r>
        <w:rPr>
          <w:sz w:val="18"/>
        </w:rPr>
        <w:t>.</w:t>
        <w:tab/>
      </w:r>
      <w:r>
        <w:rPr>
          <w:b w:val="0"/>
          <w:i w:val="0"/>
          <w:sz w:val="18"/>
        </w:rPr>
        <w:t xml:space="preserve">Cameron, A.C.; Gelbach, J.B.; Miller, D.L. </w:t>
      </w:r>
      <w:r>
        <w:rPr>
          <w:b w:val="0"/>
          <w:i w:val="0"/>
          <w:sz w:val="18"/>
        </w:rPr>
        <w:t xml:space="preserve">Bootstrap-Based Improvements for Inference with Clustered Errors. </w:t>
      </w:r>
      <w:r>
        <w:rPr>
          <w:b w:val="0"/>
          <w:i/>
          <w:sz w:val="18"/>
        </w:rPr>
        <w:t xml:space="preserve">Rev. Econ. Stat. </w:t>
      </w:r>
      <w:r>
        <w:rPr>
          <w:b/>
          <w:i w:val="0"/>
          <w:sz w:val="18"/>
        </w:rPr>
        <w:t>2008</w:t>
      </w:r>
      <w:r>
        <w:rPr>
          <w:b w:val="0"/>
          <w:i w:val="0"/>
          <w:sz w:val="18"/>
        </w:rPr>
        <w:t xml:space="preserve">, </w:t>
      </w:r>
      <w:r>
        <w:rPr>
          <w:b w:val="0"/>
          <w:i/>
          <w:sz w:val="18"/>
        </w:rPr>
        <w:t>90</w:t>
      </w:r>
      <w:r>
        <w:rPr>
          <w:b w:val="0"/>
          <w:i w:val="0"/>
          <w:sz w:val="18"/>
        </w:rPr>
        <w:t>, 414–427.</w:t>
      </w:r>
      <w:r>
        <w:rPr>
          <w:b w:val="0"/>
          <w:i w:val="0"/>
          <w:sz w:val="18"/>
        </w:rPr>
        <w:t xml:space="preserve"> [CrossRef]</w:t>
      </w:r>
    </w:p>
    <w:p>
      <w:pPr>
        <w:pStyle w:val="MDPI32textnoindent"/>
        <w:spacing w:line="240" w:lineRule="auto" w:before="0" w:after="40"/>
        <w:ind w:left="425" w:hanging="425"/>
        <w:tabs>
          <w:tab w:val="left" w:pos="425"/>
        </w:tabs>
      </w:pPr>
      <w:bookmarkStart w:id="1076" w:name="_Ref_76"/>
      <w:r>
        <w:rPr>
          <w:b w:val="0"/>
          <w:sz w:val="18"/>
        </w:rPr>
        <w:t>76</w:t>
      </w:r>
      <w:bookmarkEnd w:id="1076"/>
      <w:r>
        <w:rPr>
          <w:sz w:val="18"/>
        </w:rPr>
        <w:t>.</w:t>
        <w:tab/>
      </w:r>
      <w:r>
        <w:rPr>
          <w:b w:val="0"/>
          <w:i w:val="0"/>
          <w:sz w:val="18"/>
        </w:rPr>
        <w:t xml:space="preserve">Babina, T.; Fedyk, A.; He, A.; Hodson, J. </w:t>
      </w:r>
      <w:r>
        <w:rPr>
          <w:b w:val="0"/>
          <w:i w:val="0"/>
          <w:sz w:val="18"/>
        </w:rPr>
        <w:t xml:space="preserve">Artificial Intelligence, Firm Growth, and Product Innovation. </w:t>
      </w:r>
      <w:r>
        <w:rPr>
          <w:b w:val="0"/>
          <w:i/>
          <w:sz w:val="18"/>
        </w:rPr>
        <w:t xml:space="preserve">J. Financ. Econ. </w:t>
      </w:r>
      <w:r>
        <w:rPr>
          <w:b/>
          <w:i w:val="0"/>
          <w:sz w:val="18"/>
        </w:rPr>
        <w:t>2024</w:t>
      </w:r>
      <w:r>
        <w:rPr>
          <w:b w:val="0"/>
          <w:i w:val="0"/>
          <w:sz w:val="18"/>
        </w:rPr>
        <w:t xml:space="preserve">, </w:t>
      </w:r>
      <w:r>
        <w:rPr>
          <w:b w:val="0"/>
          <w:i/>
          <w:sz w:val="18"/>
        </w:rPr>
        <w:t>151</w:t>
      </w:r>
      <w:r>
        <w:rPr>
          <w:b w:val="0"/>
          <w:i w:val="0"/>
          <w:sz w:val="18"/>
        </w:rPr>
        <w:t>, 103745.</w:t>
      </w:r>
      <w:r>
        <w:rPr>
          <w:b w:val="0"/>
          <w:i w:val="0"/>
          <w:sz w:val="18"/>
        </w:rPr>
        <w:t xml:space="preserve"> [CrossRef]</w:t>
      </w:r>
    </w:p>
    <w:p>
      <w:pPr>
        <w:pStyle w:val="MDPI32textnoindent"/>
        <w:spacing w:line="240" w:lineRule="auto" w:before="0" w:after="40"/>
        <w:ind w:left="425" w:hanging="425"/>
        <w:tabs>
          <w:tab w:val="left" w:pos="425"/>
        </w:tabs>
      </w:pPr>
      <w:bookmarkStart w:id="1077" w:name="_Ref_77"/>
      <w:r>
        <w:rPr>
          <w:b w:val="0"/>
          <w:sz w:val="18"/>
        </w:rPr>
        <w:t>77</w:t>
      </w:r>
      <w:bookmarkEnd w:id="1077"/>
      <w:r>
        <w:rPr>
          <w:sz w:val="18"/>
        </w:rPr>
        <w:t>.</w:t>
        <w:tab/>
      </w:r>
      <w:r>
        <w:rPr>
          <w:b w:val="0"/>
          <w:i w:val="0"/>
          <w:sz w:val="18"/>
        </w:rPr>
        <w:t xml:space="preserve">Cohen, W.M.; Levinthal, D.A. </w:t>
      </w:r>
      <w:r>
        <w:rPr>
          <w:b w:val="0"/>
          <w:i w:val="0"/>
          <w:sz w:val="18"/>
        </w:rPr>
        <w:t xml:space="preserve">Absorptive Capacity: A New Perspective on Learning and Innovation. </w:t>
      </w:r>
      <w:r>
        <w:rPr>
          <w:b w:val="0"/>
          <w:i/>
          <w:sz w:val="18"/>
        </w:rPr>
        <w:t xml:space="preserve">Adm. Sci. Q. </w:t>
      </w:r>
      <w:r>
        <w:rPr>
          <w:b/>
          <w:i w:val="0"/>
          <w:sz w:val="18"/>
        </w:rPr>
        <w:t>1990</w:t>
      </w:r>
      <w:r>
        <w:rPr>
          <w:b w:val="0"/>
          <w:i w:val="0"/>
          <w:sz w:val="18"/>
        </w:rPr>
        <w:t xml:space="preserve">, </w:t>
      </w:r>
      <w:r>
        <w:rPr>
          <w:b w:val="0"/>
          <w:i/>
          <w:sz w:val="18"/>
        </w:rPr>
        <w:t>35</w:t>
      </w:r>
      <w:r>
        <w:rPr>
          <w:b w:val="0"/>
          <w:i w:val="0"/>
          <w:sz w:val="18"/>
        </w:rPr>
        <w:t>, 128–152.</w:t>
      </w:r>
      <w:r>
        <w:rPr>
          <w:b w:val="0"/>
          <w:i w:val="0"/>
          <w:sz w:val="18"/>
        </w:rPr>
        <w:t xml:space="preserve"> [CrossRef]</w:t>
      </w:r>
    </w:p>
    <w:p>
      <w:pPr>
        <w:pStyle w:val="MDPI32textnoindent"/>
        <w:spacing w:line="240" w:lineRule="auto" w:before="0" w:after="40"/>
        <w:ind w:left="425" w:hanging="425"/>
        <w:tabs>
          <w:tab w:val="left" w:pos="425"/>
        </w:tabs>
      </w:pPr>
      <w:bookmarkStart w:id="1078" w:name="_Ref_78"/>
      <w:r>
        <w:rPr>
          <w:b w:val="0"/>
          <w:sz w:val="18"/>
        </w:rPr>
        <w:t>78</w:t>
      </w:r>
      <w:bookmarkEnd w:id="1078"/>
      <w:r>
        <w:rPr>
          <w:sz w:val="18"/>
        </w:rPr>
        <w:t>.</w:t>
        <w:tab/>
      </w:r>
      <w:r>
        <w:rPr>
          <w:b w:val="0"/>
          <w:i w:val="0"/>
          <w:sz w:val="18"/>
        </w:rPr>
        <w:t xml:space="preserve">March, J.G. </w:t>
      </w:r>
      <w:r>
        <w:rPr>
          <w:b w:val="0"/>
          <w:i w:val="0"/>
          <w:sz w:val="18"/>
        </w:rPr>
        <w:t xml:space="preserve">Exploration and Exploitation in Organizational Learning. </w:t>
      </w:r>
      <w:r>
        <w:rPr>
          <w:b w:val="0"/>
          <w:i/>
          <w:sz w:val="18"/>
        </w:rPr>
        <w:t xml:space="preserve">Organ. Sci. </w:t>
      </w:r>
      <w:r>
        <w:rPr>
          <w:b/>
          <w:i w:val="0"/>
          <w:sz w:val="18"/>
        </w:rPr>
        <w:t>1991</w:t>
      </w:r>
      <w:r>
        <w:rPr>
          <w:b w:val="0"/>
          <w:i w:val="0"/>
          <w:sz w:val="18"/>
        </w:rPr>
        <w:t xml:space="preserve">, </w:t>
      </w:r>
      <w:r>
        <w:rPr>
          <w:b w:val="0"/>
          <w:i/>
          <w:sz w:val="18"/>
        </w:rPr>
        <w:t>2</w:t>
      </w:r>
      <w:r>
        <w:rPr>
          <w:b w:val="0"/>
          <w:i w:val="0"/>
          <w:sz w:val="18"/>
        </w:rPr>
        <w:t>, 71–87.</w:t>
      </w:r>
      <w:r>
        <w:rPr>
          <w:b w:val="0"/>
          <w:i w:val="0"/>
          <w:sz w:val="18"/>
        </w:rPr>
        <w:t xml:space="preserve"> [CrossRef]</w:t>
      </w:r>
    </w:p>
    <w:p>
      <w:pPr>
        <w:pStyle w:val="MDPI32textnoindent"/>
        <w:spacing w:line="240" w:lineRule="auto" w:before="0" w:after="40"/>
        <w:ind w:left="425" w:hanging="425"/>
        <w:tabs>
          <w:tab w:val="left" w:pos="425"/>
        </w:tabs>
      </w:pPr>
      <w:bookmarkStart w:id="1079" w:name="_Ref_79"/>
      <w:r>
        <w:rPr>
          <w:b w:val="0"/>
          <w:sz w:val="18"/>
        </w:rPr>
        <w:t>79</w:t>
      </w:r>
      <w:bookmarkEnd w:id="1079"/>
      <w:r>
        <w:rPr>
          <w:sz w:val="18"/>
        </w:rPr>
        <w:t>.</w:t>
        <w:tab/>
      </w:r>
      <w:r>
        <w:rPr>
          <w:b w:val="0"/>
          <w:i w:val="0"/>
          <w:sz w:val="18"/>
        </w:rPr>
        <w:t xml:space="preserve">Argote, L.; Miron-Spektor, E. </w:t>
      </w:r>
      <w:r>
        <w:rPr>
          <w:b w:val="0"/>
          <w:i w:val="0"/>
          <w:sz w:val="18"/>
        </w:rPr>
        <w:t xml:space="preserve">Organizational Learning: From Experience to Knowledge. </w:t>
      </w:r>
      <w:r>
        <w:rPr>
          <w:b w:val="0"/>
          <w:i/>
          <w:sz w:val="18"/>
        </w:rPr>
        <w:t xml:space="preserve">Organ. Sci. </w:t>
      </w:r>
      <w:r>
        <w:rPr>
          <w:b/>
          <w:i w:val="0"/>
          <w:sz w:val="18"/>
        </w:rPr>
        <w:t>2011</w:t>
      </w:r>
      <w:r>
        <w:rPr>
          <w:b w:val="0"/>
          <w:i w:val="0"/>
          <w:sz w:val="18"/>
        </w:rPr>
        <w:t xml:space="preserve">, </w:t>
      </w:r>
      <w:r>
        <w:rPr>
          <w:b w:val="0"/>
          <w:i/>
          <w:sz w:val="18"/>
        </w:rPr>
        <w:t>22</w:t>
      </w:r>
      <w:r>
        <w:rPr>
          <w:b w:val="0"/>
          <w:i w:val="0"/>
          <w:sz w:val="18"/>
        </w:rPr>
        <w:t>, 1123–1137.</w:t>
      </w:r>
      <w:r>
        <w:rPr>
          <w:b w:val="0"/>
          <w:i w:val="0"/>
          <w:sz w:val="18"/>
        </w:rPr>
        <w:t xml:space="preserve"> [CrossRef]</w:t>
      </w:r>
    </w:p>
    <w:p>
      <w:pPr>
        <w:pStyle w:val="MDPI32textnoindent"/>
        <w:spacing w:line="240" w:lineRule="auto" w:before="0" w:after="40"/>
        <w:ind w:left="425" w:hanging="425"/>
        <w:tabs>
          <w:tab w:val="left" w:pos="425"/>
        </w:tabs>
      </w:pPr>
      <w:bookmarkStart w:id="1080" w:name="_Ref_80"/>
      <w:r>
        <w:rPr>
          <w:b w:val="0"/>
          <w:sz w:val="18"/>
        </w:rPr>
        <w:t>80</w:t>
      </w:r>
      <w:bookmarkEnd w:id="1080"/>
      <w:r>
        <w:rPr>
          <w:sz w:val="18"/>
        </w:rPr>
        <w:t>.</w:t>
        <w:tab/>
      </w:r>
      <w:r>
        <w:rPr>
          <w:b w:val="0"/>
          <w:i w:val="0"/>
          <w:sz w:val="18"/>
        </w:rPr>
        <w:t xml:space="preserve">Kellogg, K.C.; Valentine, M.A.; Christin, A. </w:t>
      </w:r>
      <w:r>
        <w:rPr>
          <w:b w:val="0"/>
          <w:i w:val="0"/>
          <w:sz w:val="18"/>
        </w:rPr>
        <w:t xml:space="preserve">Algorithms at Work: The New Contested Terrain of Control. </w:t>
      </w:r>
      <w:r>
        <w:rPr>
          <w:b w:val="0"/>
          <w:i/>
          <w:sz w:val="18"/>
        </w:rPr>
        <w:t xml:space="preserve">Acad. Manag. Ann. </w:t>
      </w:r>
      <w:r>
        <w:rPr>
          <w:b/>
          <w:i w:val="0"/>
          <w:sz w:val="18"/>
        </w:rPr>
        <w:t>2020</w:t>
      </w:r>
      <w:r>
        <w:rPr>
          <w:b w:val="0"/>
          <w:i w:val="0"/>
          <w:sz w:val="18"/>
        </w:rPr>
        <w:t xml:space="preserve">, </w:t>
      </w:r>
      <w:r>
        <w:rPr>
          <w:b w:val="0"/>
          <w:i/>
          <w:sz w:val="18"/>
        </w:rPr>
        <w:t>14</w:t>
      </w:r>
      <w:r>
        <w:rPr>
          <w:b w:val="0"/>
          <w:i w:val="0"/>
          <w:sz w:val="18"/>
        </w:rPr>
        <w:t>, 366–410.</w:t>
      </w:r>
      <w:r>
        <w:rPr>
          <w:b w:val="0"/>
          <w:i w:val="0"/>
          <w:sz w:val="18"/>
        </w:rPr>
        <w:t xml:space="preserve"> [CrossRef]</w:t>
      </w:r>
    </w:p>
    <w:p>
      <w:pPr>
        <w:pStyle w:val="MDPI32textnoindent"/>
        <w:spacing w:line="240" w:lineRule="auto" w:before="0" w:after="40"/>
        <w:ind w:left="425" w:hanging="425"/>
        <w:tabs>
          <w:tab w:val="left" w:pos="425"/>
        </w:tabs>
      </w:pPr>
      <w:bookmarkStart w:id="1081" w:name="_Ref_81"/>
      <w:r>
        <w:rPr>
          <w:b w:val="0"/>
          <w:sz w:val="18"/>
        </w:rPr>
        <w:t>81</w:t>
      </w:r>
      <w:bookmarkEnd w:id="1081"/>
      <w:r>
        <w:rPr>
          <w:sz w:val="18"/>
        </w:rPr>
        <w:t>.</w:t>
        <w:tab/>
      </w:r>
      <w:r>
        <w:rPr>
          <w:b w:val="0"/>
          <w:i w:val="0"/>
          <w:sz w:val="18"/>
        </w:rPr>
        <w:t xml:space="preserve">Beane, M. </w:t>
      </w:r>
      <w:r>
        <w:rPr>
          <w:b w:val="0"/>
          <w:i w:val="0"/>
          <w:sz w:val="18"/>
        </w:rPr>
        <w:t xml:space="preserve">Shadow Learning: Building Robotic Surgical Skill When Approved Means Fail. </w:t>
      </w:r>
      <w:r>
        <w:rPr>
          <w:b w:val="0"/>
          <w:i/>
          <w:sz w:val="18"/>
        </w:rPr>
        <w:t xml:space="preserve">Adm. Sci. Q. </w:t>
      </w:r>
      <w:r>
        <w:rPr>
          <w:b/>
          <w:i w:val="0"/>
          <w:sz w:val="18"/>
        </w:rPr>
        <w:t>2019</w:t>
      </w:r>
      <w:r>
        <w:rPr>
          <w:b w:val="0"/>
          <w:i w:val="0"/>
          <w:sz w:val="18"/>
        </w:rPr>
        <w:t xml:space="preserve">, </w:t>
      </w:r>
      <w:r>
        <w:rPr>
          <w:b w:val="0"/>
          <w:i/>
          <w:sz w:val="18"/>
        </w:rPr>
        <w:t>64</w:t>
      </w:r>
      <w:r>
        <w:rPr>
          <w:b w:val="0"/>
          <w:i w:val="0"/>
          <w:sz w:val="18"/>
        </w:rPr>
        <w:t>, 87–123.</w:t>
      </w:r>
      <w:r>
        <w:rPr>
          <w:b w:val="0"/>
          <w:i w:val="0"/>
          <w:sz w:val="18"/>
        </w:rPr>
        <w:t xml:space="preserve"> [CrossRef]</w:t>
      </w:r>
    </w:p>
    <w:p>
      <w:pPr>
        <w:pStyle w:val="MDPI32textnoindent"/>
        <w:spacing w:line="240" w:lineRule="auto" w:before="0" w:after="40"/>
        <w:ind w:left="425" w:hanging="425"/>
        <w:tabs>
          <w:tab w:val="left" w:pos="425"/>
        </w:tabs>
      </w:pPr>
      <w:bookmarkStart w:id="1082" w:name="_Ref_82"/>
      <w:r>
        <w:rPr>
          <w:b w:val="0"/>
          <w:sz w:val="18"/>
        </w:rPr>
        <w:t>82</w:t>
      </w:r>
      <w:bookmarkEnd w:id="1082"/>
      <w:r>
        <w:rPr>
          <w:sz w:val="18"/>
        </w:rPr>
        <w:t>.</w:t>
        <w:tab/>
      </w:r>
      <w:r>
        <w:rPr>
          <w:b w:val="0"/>
          <w:i w:val="0"/>
          <w:sz w:val="18"/>
        </w:rPr>
        <w:t xml:space="preserve">International Labour Organization. </w:t>
      </w:r>
      <w:r>
        <w:rPr>
          <w:b w:val="0"/>
          <w:i/>
          <w:sz w:val="18"/>
        </w:rPr>
        <w:t xml:space="preserve">Global Employment Trends for Youth 2024: Decent Work, Brighter Futures; </w:t>
      </w:r>
      <w:r>
        <w:rPr>
          <w:b w:val="0"/>
          <w:i w:val="0"/>
          <w:sz w:val="18"/>
        </w:rPr>
        <w:t>International Labour Office: Geneva, Switzerland, 2024.</w:t>
      </w:r>
    </w:p>
    <w:p>
      <w:pPr>
        <w:pStyle w:val="MDPI32textnoindent"/>
        <w:spacing w:line="240" w:lineRule="auto" w:before="0" w:after="40"/>
        <w:ind w:left="425" w:hanging="425"/>
        <w:tabs>
          <w:tab w:val="left" w:pos="425"/>
        </w:tabs>
      </w:pPr>
      <w:bookmarkStart w:id="1083" w:name="_Ref_83"/>
      <w:r>
        <w:rPr>
          <w:b w:val="0"/>
          <w:sz w:val="18"/>
        </w:rPr>
        <w:t>83</w:t>
      </w:r>
      <w:bookmarkEnd w:id="1083"/>
      <w:r>
        <w:rPr>
          <w:sz w:val="18"/>
        </w:rPr>
        <w:t>.</w:t>
        <w:tab/>
      </w:r>
      <w:r>
        <w:rPr>
          <w:b w:val="0"/>
          <w:i w:val="0"/>
          <w:sz w:val="18"/>
        </w:rPr>
        <w:t xml:space="preserve">International Labour Organization. </w:t>
      </w:r>
      <w:r>
        <w:rPr>
          <w:b w:val="0"/>
          <w:i/>
          <w:sz w:val="18"/>
        </w:rPr>
        <w:t xml:space="preserve">World Employment and Social Outlook: Trends 2025; </w:t>
      </w:r>
      <w:r>
        <w:rPr>
          <w:b w:val="0"/>
          <w:i w:val="0"/>
          <w:sz w:val="18"/>
        </w:rPr>
        <w:t>International Labour Office: Geneva, Switzerland, 2025.</w:t>
      </w:r>
    </w:p>
    <w:p>
      <w:pPr>
        <w:pStyle w:val="MDPI32textnoindent"/>
        <w:spacing w:line="240" w:lineRule="auto" w:before="0" w:after="40"/>
        <w:ind w:left="425" w:hanging="425"/>
        <w:tabs>
          <w:tab w:val="left" w:pos="425"/>
        </w:tabs>
      </w:pPr>
      <w:bookmarkStart w:id="1084" w:name="_Ref_84"/>
      <w:r>
        <w:rPr>
          <w:b w:val="0"/>
          <w:sz w:val="18"/>
        </w:rPr>
        <w:t>84</w:t>
      </w:r>
      <w:bookmarkEnd w:id="1084"/>
      <w:r>
        <w:rPr>
          <w:sz w:val="18"/>
        </w:rPr>
        <w:t>.</w:t>
        <w:tab/>
      </w:r>
      <w:r>
        <w:rPr>
          <w:b w:val="0"/>
          <w:i w:val="0"/>
          <w:sz w:val="18"/>
        </w:rPr>
        <w:t xml:space="preserve">State Council of the People’s Republic of China. </w:t>
      </w:r>
      <w:r>
        <w:rPr>
          <w:b w:val="0"/>
          <w:i w:val="0"/>
          <w:sz w:val="18"/>
        </w:rPr>
        <w:t xml:space="preserve">Opinions on Deepening the Implementation of the “Artificial Intelligence Plus” Initiative. </w:t>
      </w:r>
      <w:r>
        <w:rPr>
          <w:b w:val="0"/>
          <w:i w:val="0"/>
          <w:sz w:val="18"/>
        </w:rPr>
        <w:t>Available online: https://www.gov.cn/ (accessed on 20 March 2026).</w:t>
      </w:r>
    </w:p>
    <w:p>
      <w:pPr>
        <w:pStyle w:val="MDPI32textnoindent"/>
        <w:spacing w:line="240" w:lineRule="auto" w:before="0" w:after="40"/>
        <w:ind w:left="425" w:hanging="425"/>
        <w:tabs>
          <w:tab w:val="left" w:pos="425"/>
        </w:tabs>
      </w:pPr>
      <w:bookmarkStart w:id="1085" w:name="_Ref_85"/>
      <w:r>
        <w:rPr>
          <w:b w:val="0"/>
          <w:sz w:val="18"/>
        </w:rPr>
        <w:t>85</w:t>
      </w:r>
      <w:bookmarkEnd w:id="1085"/>
      <w:r>
        <w:rPr>
          <w:sz w:val="18"/>
        </w:rPr>
        <w:t>.</w:t>
        <w:tab/>
      </w:r>
      <w:r>
        <w:rPr>
          <w:b w:val="0"/>
          <w:i w:val="0"/>
          <w:sz w:val="18"/>
        </w:rPr>
        <w:t xml:space="preserve">World Economic Forum. </w:t>
      </w:r>
      <w:r>
        <w:rPr>
          <w:b w:val="0"/>
          <w:i/>
          <w:sz w:val="18"/>
        </w:rPr>
        <w:t xml:space="preserve">The Future of Jobs Report 2025; </w:t>
      </w:r>
      <w:r>
        <w:rPr>
          <w:b w:val="0"/>
          <w:i w:val="0"/>
          <w:sz w:val="18"/>
        </w:rPr>
        <w:t>World Economic Forum: Geneva, Switzerland, 2025.</w:t>
      </w:r>
    </w:p>
    <w:p>
      <w:pPr>
        <w:pStyle w:val="MDPI32textnoindent"/>
        <w:spacing w:line="240" w:lineRule="auto" w:before="0" w:after="40"/>
        <w:ind w:left="425" w:hanging="425"/>
        <w:tabs>
          <w:tab w:val="left" w:pos="425"/>
        </w:tabs>
      </w:pPr>
      <w:bookmarkStart w:id="1086" w:name="_Ref_86"/>
      <w:r>
        <w:rPr>
          <w:b w:val="0"/>
          <w:sz w:val="18"/>
        </w:rPr>
        <w:t>86</w:t>
      </w:r>
      <w:bookmarkEnd w:id="1086"/>
      <w:r>
        <w:rPr>
          <w:sz w:val="18"/>
        </w:rPr>
        <w:t>.</w:t>
        <w:tab/>
      </w:r>
      <w:r>
        <w:rPr>
          <w:b w:val="0"/>
          <w:i w:val="0"/>
          <w:sz w:val="18"/>
        </w:rPr>
        <w:t xml:space="preserve">Sterman, J.D. </w:t>
      </w:r>
      <w:r>
        <w:rPr>
          <w:b w:val="0"/>
          <w:i/>
          <w:sz w:val="18"/>
        </w:rPr>
        <w:t>Business Dynamics: Systems Thinking and Modeling for a Complex World</w:t>
      </w:r>
      <w:r>
        <w:rPr>
          <w:b w:val="0"/>
          <w:i w:val="0"/>
          <w:sz w:val="18"/>
        </w:rPr>
        <w:t xml:space="preserve">; </w:t>
      </w:r>
      <w:r>
        <w:rPr>
          <w:b w:val="0"/>
          <w:i w:val="0"/>
          <w:sz w:val="18"/>
        </w:rPr>
        <w:t>Irwin/McGraw-Hill: Boston, MA, USA, 2000.</w:t>
      </w:r>
    </w:p>
    <w:p>
      <w:pPr>
        <w:pStyle w:val="MDPI32textnoindent"/>
        <w:spacing w:line="240" w:lineRule="auto" w:before="0" w:after="40"/>
        <w:ind w:left="425" w:hanging="425"/>
        <w:tabs>
          <w:tab w:val="left" w:pos="425"/>
        </w:tabs>
      </w:pPr>
      <w:bookmarkStart w:id="1087" w:name="_Ref_87"/>
      <w:r>
        <w:rPr>
          <w:b w:val="0"/>
          <w:sz w:val="18"/>
        </w:rPr>
        <w:t>87</w:t>
      </w:r>
      <w:bookmarkEnd w:id="1087"/>
      <w:r>
        <w:rPr>
          <w:sz w:val="18"/>
        </w:rPr>
        <w:t>.</w:t>
        <w:tab/>
      </w:r>
      <w:r>
        <w:rPr>
          <w:b w:val="0"/>
          <w:i w:val="0"/>
          <w:sz w:val="18"/>
        </w:rPr>
        <w:t xml:space="preserve">Forrester, J.W. </w:t>
      </w:r>
      <w:r>
        <w:rPr>
          <w:b w:val="0"/>
          <w:i/>
          <w:sz w:val="18"/>
        </w:rPr>
        <w:t>Industrial Dynamics</w:t>
      </w:r>
      <w:r>
        <w:rPr>
          <w:b w:val="0"/>
          <w:i w:val="0"/>
          <w:sz w:val="18"/>
        </w:rPr>
        <w:t xml:space="preserve">; </w:t>
      </w:r>
      <w:r>
        <w:rPr>
          <w:b w:val="0"/>
          <w:i w:val="0"/>
          <w:sz w:val="18"/>
        </w:rPr>
        <w:t>MIT Press: Cambridge, MA, USA, 1961.</w:t>
      </w:r>
    </w:p>
    <w:p>
      <w:pPr>
        <w:pStyle w:val="MDPI32textnoindent"/>
        <w:spacing w:line="240" w:lineRule="auto" w:before="0" w:after="40"/>
        <w:ind w:left="425" w:hanging="425"/>
        <w:tabs>
          <w:tab w:val="left" w:pos="425"/>
        </w:tabs>
      </w:pPr>
      <w:bookmarkStart w:id="1088" w:name="_Ref_88"/>
      <w:r>
        <w:rPr>
          <w:b w:val="0"/>
          <w:sz w:val="18"/>
        </w:rPr>
        <w:t>88</w:t>
      </w:r>
      <w:bookmarkEnd w:id="1088"/>
      <w:r>
        <w:rPr>
          <w:sz w:val="18"/>
        </w:rPr>
        <w:t>.</w:t>
        <w:tab/>
      </w:r>
      <w:r>
        <w:rPr>
          <w:b w:val="0"/>
          <w:i w:val="0"/>
          <w:sz w:val="18"/>
        </w:rPr>
        <w:t xml:space="preserve">Meadows, D.H. </w:t>
      </w:r>
      <w:r>
        <w:rPr>
          <w:b w:val="0"/>
          <w:i/>
          <w:sz w:val="18"/>
        </w:rPr>
        <w:t>Thinking in Systems: A Primer</w:t>
      </w:r>
      <w:r>
        <w:rPr>
          <w:b w:val="0"/>
          <w:i w:val="0"/>
          <w:sz w:val="18"/>
        </w:rPr>
        <w:t xml:space="preserve">; </w:t>
      </w:r>
      <w:r>
        <w:rPr>
          <w:b w:val="0"/>
          <w:i w:val="0"/>
          <w:sz w:val="18"/>
        </w:rPr>
        <w:t>Chelsea Green Publishing: White River Junction, VT, USA, 2008.</w:t>
      </w:r>
    </w:p>
    <w:p>
      <w:pPr>
        <w:pStyle w:val="MDPI32textnoindent"/>
        <w:spacing w:line="240" w:lineRule="auto" w:before="0" w:after="40"/>
        <w:ind w:left="425" w:hanging="425"/>
        <w:tabs>
          <w:tab w:val="left" w:pos="425"/>
        </w:tabs>
      </w:pPr>
      <w:bookmarkStart w:id="1089" w:name="_Ref_89"/>
      <w:r>
        <w:rPr>
          <w:b w:val="0"/>
          <w:sz w:val="18"/>
        </w:rPr>
        <w:t>89</w:t>
      </w:r>
      <w:bookmarkEnd w:id="1089"/>
      <w:r>
        <w:rPr>
          <w:sz w:val="18"/>
        </w:rPr>
        <w:t>.</w:t>
        <w:tab/>
      </w:r>
      <w:r>
        <w:rPr>
          <w:b w:val="0"/>
          <w:i w:val="0"/>
          <w:sz w:val="18"/>
        </w:rPr>
        <w:t xml:space="preserve">Senge, P.M. </w:t>
      </w:r>
      <w:r>
        <w:rPr>
          <w:b w:val="0"/>
          <w:i/>
          <w:sz w:val="18"/>
        </w:rPr>
        <w:t>The Fifth Discipline: The Art and Practice of the Learning Organization</w:t>
      </w:r>
      <w:r>
        <w:rPr>
          <w:b w:val="0"/>
          <w:i w:val="0"/>
          <w:sz w:val="18"/>
        </w:rPr>
        <w:t xml:space="preserve">; </w:t>
      </w:r>
      <w:r>
        <w:rPr>
          <w:b w:val="0"/>
          <w:i w:val="0"/>
          <w:sz w:val="18"/>
        </w:rPr>
        <w:t>Doubleday: New York, NY, USA, 1990.</w:t>
      </w:r>
    </w:p>
    <w:p>
      <w:pPr>
        <w:pStyle w:val="MDPI32textnoindent"/>
        <w:spacing w:line="240" w:lineRule="auto" w:before="0" w:after="40"/>
        <w:ind w:left="425" w:hanging="425"/>
        <w:tabs>
          <w:tab w:val="left" w:pos="425"/>
        </w:tabs>
      </w:pPr>
      <w:bookmarkStart w:id="1090" w:name="_Ref_90"/>
      <w:r>
        <w:rPr>
          <w:b w:val="0"/>
          <w:sz w:val="18"/>
        </w:rPr>
        <w:t>90</w:t>
      </w:r>
      <w:bookmarkEnd w:id="1090"/>
      <w:r>
        <w:rPr>
          <w:sz w:val="18"/>
        </w:rPr>
        <w:t>.</w:t>
        <w:tab/>
      </w:r>
      <w:r>
        <w:rPr>
          <w:b w:val="0"/>
          <w:i w:val="0"/>
          <w:sz w:val="18"/>
        </w:rPr>
        <w:t xml:space="preserve">Repenning, N.P.; Sterman, J.D. </w:t>
      </w:r>
      <w:r>
        <w:rPr>
          <w:b w:val="0"/>
          <w:i w:val="0"/>
          <w:sz w:val="18"/>
        </w:rPr>
        <w:t xml:space="preserve">Capability Traps and Self-Confirming Attribution Errors in the Dynamics of Process Improvement. </w:t>
      </w:r>
      <w:r>
        <w:rPr>
          <w:b w:val="0"/>
          <w:i/>
          <w:sz w:val="18"/>
        </w:rPr>
        <w:t xml:space="preserve">Adm. Sci. Q. </w:t>
      </w:r>
      <w:r>
        <w:rPr>
          <w:b/>
          <w:i w:val="0"/>
          <w:sz w:val="18"/>
        </w:rPr>
        <w:t>2002</w:t>
      </w:r>
      <w:r>
        <w:rPr>
          <w:b w:val="0"/>
          <w:i w:val="0"/>
          <w:sz w:val="18"/>
        </w:rPr>
        <w:t xml:space="preserve">, </w:t>
      </w:r>
      <w:r>
        <w:rPr>
          <w:b w:val="0"/>
          <w:i/>
          <w:sz w:val="18"/>
        </w:rPr>
        <w:t>47</w:t>
      </w:r>
      <w:r>
        <w:rPr>
          <w:b w:val="0"/>
          <w:i w:val="0"/>
          <w:sz w:val="18"/>
        </w:rPr>
        <w:t>, 265–295.</w:t>
      </w:r>
      <w:r>
        <w:rPr>
          <w:b w:val="0"/>
          <w:i w:val="0"/>
          <w:sz w:val="18"/>
        </w:rPr>
        <w:t xml:space="preserve"> [CrossRef]</w:t>
      </w:r>
    </w:p>
    <w:p>
      <w:pPr>
        <w:pStyle w:val="MDPI32textnoindent"/>
        <w:spacing w:line="240" w:lineRule="auto" w:before="0" w:after="40"/>
        <w:ind w:left="425" w:hanging="425"/>
        <w:tabs>
          <w:tab w:val="left" w:pos="425"/>
        </w:tabs>
      </w:pPr>
      <w:bookmarkStart w:id="1091" w:name="_Ref_91"/>
      <w:r>
        <w:rPr>
          <w:b w:val="0"/>
          <w:sz w:val="18"/>
        </w:rPr>
        <w:t>91</w:t>
      </w:r>
      <w:bookmarkEnd w:id="1091"/>
      <w:r>
        <w:rPr>
          <w:sz w:val="18"/>
        </w:rPr>
        <w:t>.</w:t>
        <w:tab/>
      </w:r>
      <w:r>
        <w:rPr>
          <w:b w:val="0"/>
          <w:i w:val="0"/>
          <w:sz w:val="18"/>
        </w:rPr>
        <w:t xml:space="preserve">Rahmandad, H.; Repenning, N. </w:t>
      </w:r>
      <w:r>
        <w:rPr>
          <w:b w:val="0"/>
          <w:i w:val="0"/>
          <w:sz w:val="18"/>
        </w:rPr>
        <w:t xml:space="preserve">Capability Erosion Dynamics. </w:t>
      </w:r>
      <w:r>
        <w:rPr>
          <w:b w:val="0"/>
          <w:i/>
          <w:sz w:val="18"/>
        </w:rPr>
        <w:t xml:space="preserve">Strateg. Manag. J. </w:t>
      </w:r>
      <w:r>
        <w:rPr>
          <w:b/>
          <w:i w:val="0"/>
          <w:sz w:val="18"/>
        </w:rPr>
        <w:t>2016</w:t>
      </w:r>
      <w:r>
        <w:rPr>
          <w:b w:val="0"/>
          <w:i w:val="0"/>
          <w:sz w:val="18"/>
        </w:rPr>
        <w:t xml:space="preserve">, </w:t>
      </w:r>
      <w:r>
        <w:rPr>
          <w:b w:val="0"/>
          <w:i/>
          <w:sz w:val="18"/>
        </w:rPr>
        <w:t>37</w:t>
      </w:r>
      <w:r>
        <w:rPr>
          <w:b w:val="0"/>
          <w:i w:val="0"/>
          <w:sz w:val="18"/>
        </w:rPr>
        <w:t>, 649–672.</w:t>
      </w:r>
      <w:r>
        <w:rPr>
          <w:b w:val="0"/>
          <w:i w:val="0"/>
          <w:sz w:val="18"/>
        </w:rPr>
        <w:t xml:space="preserve"> [CrossRef]</w:t>
      </w:r>
    </w:p>
    <w:p>
      <w:pPr>
        <w:pStyle w:val="MDPI32textnoindent"/>
        <w:spacing w:line="240" w:lineRule="auto" w:before="0" w:after="40"/>
        <w:ind w:left="425" w:hanging="425"/>
        <w:tabs>
          <w:tab w:val="left" w:pos="425"/>
        </w:tabs>
      </w:pPr>
      <w:bookmarkStart w:id="1092" w:name="_Ref_92"/>
      <w:r>
        <w:rPr>
          <w:b w:val="0"/>
          <w:sz w:val="18"/>
        </w:rPr>
        <w:t>92</w:t>
      </w:r>
      <w:bookmarkEnd w:id="1092"/>
      <w:r>
        <w:rPr>
          <w:sz w:val="18"/>
        </w:rPr>
        <w:t>.</w:t>
        <w:tab/>
      </w:r>
      <w:r>
        <w:rPr>
          <w:b w:val="0"/>
          <w:i w:val="0"/>
          <w:sz w:val="18"/>
        </w:rPr>
        <w:t xml:space="preserve">Checkland, P. </w:t>
      </w:r>
      <w:r>
        <w:rPr>
          <w:b w:val="0"/>
          <w:i/>
          <w:sz w:val="18"/>
        </w:rPr>
        <w:t>Systems Thinking, Systems Practice</w:t>
      </w:r>
      <w:r>
        <w:rPr>
          <w:b w:val="0"/>
          <w:i w:val="0"/>
          <w:sz w:val="18"/>
        </w:rPr>
        <w:t xml:space="preserve">; </w:t>
      </w:r>
      <w:r>
        <w:rPr>
          <w:b w:val="0"/>
          <w:i w:val="0"/>
          <w:sz w:val="18"/>
        </w:rPr>
        <w:t>Wiley: Chichester, UK, 1981.</w:t>
      </w:r>
    </w:p>
    <w:p>
      <w:pPr>
        <w:pStyle w:val="MDPI32textnoindent"/>
        <w:spacing w:line="240" w:lineRule="auto" w:before="0" w:after="40"/>
        <w:ind w:left="425" w:hanging="425"/>
        <w:tabs>
          <w:tab w:val="left" w:pos="425"/>
        </w:tabs>
      </w:pPr>
      <w:bookmarkStart w:id="1093" w:name="_Ref_93"/>
      <w:r>
        <w:rPr>
          <w:b w:val="0"/>
          <w:sz w:val="18"/>
        </w:rPr>
        <w:t>93</w:t>
      </w:r>
      <w:bookmarkEnd w:id="1093"/>
      <w:r>
        <w:rPr>
          <w:sz w:val="18"/>
        </w:rPr>
        <w:t>.</w:t>
        <w:tab/>
      </w:r>
      <w:r>
        <w:rPr>
          <w:b w:val="0"/>
          <w:i w:val="0"/>
          <w:sz w:val="18"/>
        </w:rPr>
        <w:t xml:space="preserve">Weick, K.E. </w:t>
      </w:r>
      <w:r>
        <w:rPr>
          <w:b w:val="0"/>
          <w:i w:val="0"/>
          <w:sz w:val="18"/>
        </w:rPr>
        <w:t xml:space="preserve">The Collapse of Sensemaking in Organizations: The Mann Gulch Disaster. </w:t>
      </w:r>
      <w:r>
        <w:rPr>
          <w:b w:val="0"/>
          <w:i/>
          <w:sz w:val="18"/>
        </w:rPr>
        <w:t xml:space="preserve">Adm. Sci. Q. </w:t>
      </w:r>
      <w:r>
        <w:rPr>
          <w:b/>
          <w:i w:val="0"/>
          <w:sz w:val="18"/>
        </w:rPr>
        <w:t>1993</w:t>
      </w:r>
      <w:r>
        <w:rPr>
          <w:b w:val="0"/>
          <w:i w:val="0"/>
          <w:sz w:val="18"/>
        </w:rPr>
        <w:t xml:space="preserve">, </w:t>
      </w:r>
      <w:r>
        <w:rPr>
          <w:b w:val="0"/>
          <w:i/>
          <w:sz w:val="18"/>
        </w:rPr>
        <w:t>38</w:t>
      </w:r>
      <w:r>
        <w:rPr>
          <w:b w:val="0"/>
          <w:i w:val="0"/>
          <w:sz w:val="18"/>
        </w:rPr>
        <w:t>, 628-652.</w:t>
      </w:r>
      <w:r>
        <w:rPr>
          <w:b w:val="0"/>
          <w:i w:val="0"/>
          <w:sz w:val="18"/>
        </w:rPr>
        <w:t xml:space="preserve"> [CrossRef]</w:t>
      </w:r>
    </w:p>
    <w:p>
      <w:pPr>
        <w:pStyle w:val="MDPI32textnoindent"/>
        <w:spacing w:line="240" w:lineRule="auto" w:before="0" w:after="40"/>
        <w:ind w:left="425" w:hanging="425"/>
        <w:tabs>
          <w:tab w:val="left" w:pos="425"/>
        </w:tabs>
      </w:pPr>
      <w:bookmarkStart w:id="1094" w:name="_Ref_94"/>
      <w:r>
        <w:rPr>
          <w:b w:val="0"/>
          <w:sz w:val="18"/>
        </w:rPr>
        <w:t>94</w:t>
      </w:r>
      <w:bookmarkEnd w:id="1094"/>
      <w:r>
        <w:rPr>
          <w:sz w:val="18"/>
        </w:rPr>
        <w:t>.</w:t>
        <w:tab/>
      </w:r>
      <w:r>
        <w:rPr>
          <w:b w:val="0"/>
          <w:i w:val="0"/>
          <w:sz w:val="18"/>
        </w:rPr>
        <w:t xml:space="preserve">Liang, H.; Fan, J.; Wang, Y. </w:t>
      </w:r>
      <w:r>
        <w:rPr>
          <w:b w:val="0"/>
          <w:i w:val="0"/>
          <w:sz w:val="18"/>
        </w:rPr>
        <w:t xml:space="preserve">Artificial Intelligence, Technological Innovation, and Employment Transformation for Sustainable Development: Evidence from China. </w:t>
      </w:r>
      <w:r>
        <w:rPr>
          <w:b w:val="0"/>
          <w:i/>
          <w:sz w:val="18"/>
        </w:rPr>
        <w:t xml:space="preserve">Sustainability </w:t>
      </w:r>
      <w:r>
        <w:rPr>
          <w:b/>
          <w:i w:val="0"/>
          <w:sz w:val="18"/>
        </w:rPr>
        <w:t>2025</w:t>
      </w:r>
      <w:r>
        <w:rPr>
          <w:b w:val="0"/>
          <w:i w:val="0"/>
          <w:sz w:val="18"/>
        </w:rPr>
        <w:t xml:space="preserve">, </w:t>
      </w:r>
      <w:r>
        <w:rPr>
          <w:b w:val="0"/>
          <w:i/>
          <w:sz w:val="18"/>
        </w:rPr>
        <w:t>17</w:t>
      </w:r>
      <w:r>
        <w:rPr>
          <w:b w:val="0"/>
          <w:i w:val="0"/>
          <w:sz w:val="18"/>
        </w:rPr>
        <w:t>, 3842.</w:t>
      </w:r>
      <w:r>
        <w:rPr>
          <w:b w:val="0"/>
          <w:i w:val="0"/>
          <w:sz w:val="18"/>
        </w:rPr>
        <w:t xml:space="preserve"> [CrossRef]</w:t>
      </w:r>
    </w:p>
    <w:p>
      <w:pPr>
        <w:pStyle w:val="MDPI32textnoindent"/>
        <w:spacing w:line="240" w:lineRule="auto" w:before="0" w:after="40"/>
        <w:ind w:left="425" w:hanging="425"/>
        <w:tabs>
          <w:tab w:val="left" w:pos="425"/>
        </w:tabs>
      </w:pPr>
      <w:bookmarkStart w:id="1095" w:name="_Ref_95"/>
      <w:r>
        <w:rPr>
          <w:b w:val="0"/>
          <w:sz w:val="18"/>
        </w:rPr>
        <w:t>95</w:t>
      </w:r>
      <w:bookmarkEnd w:id="1095"/>
      <w:r>
        <w:rPr>
          <w:sz w:val="18"/>
        </w:rPr>
        <w:t>.</w:t>
        <w:tab/>
      </w:r>
      <w:r>
        <w:rPr>
          <w:b w:val="0"/>
          <w:i w:val="0"/>
          <w:sz w:val="18"/>
        </w:rPr>
        <w:t xml:space="preserve">Xue, X.; Li, L.; Chen, J.; Luo, T. </w:t>
      </w:r>
      <w:r>
        <w:rPr>
          <w:b w:val="0"/>
          <w:i w:val="0"/>
          <w:sz w:val="18"/>
        </w:rPr>
        <w:t xml:space="preserve">How Does Digital Technology Innovation Quality Empower Corporate ESG Performance? The Roles of Digital Transformation and Digital Technology Diffusion. </w:t>
      </w:r>
      <w:r>
        <w:rPr>
          <w:b w:val="0"/>
          <w:i/>
          <w:sz w:val="18"/>
        </w:rPr>
        <w:t xml:space="preserve">Systems </w:t>
      </w:r>
      <w:r>
        <w:rPr>
          <w:b/>
          <w:i w:val="0"/>
          <w:sz w:val="18"/>
        </w:rPr>
        <w:t>2025</w:t>
      </w:r>
      <w:r>
        <w:rPr>
          <w:b w:val="0"/>
          <w:i w:val="0"/>
          <w:sz w:val="18"/>
        </w:rPr>
        <w:t xml:space="preserve">, </w:t>
      </w:r>
      <w:r>
        <w:rPr>
          <w:b w:val="0"/>
          <w:i/>
          <w:sz w:val="18"/>
        </w:rPr>
        <w:t>13</w:t>
      </w:r>
      <w:r>
        <w:rPr>
          <w:b w:val="0"/>
          <w:i w:val="0"/>
          <w:sz w:val="18"/>
        </w:rPr>
        <w:t>, 929.</w:t>
      </w:r>
      <w:r>
        <w:rPr>
          <w:b w:val="0"/>
          <w:i w:val="0"/>
          <w:sz w:val="18"/>
        </w:rPr>
        <w:t xml:space="preserve"> [CrossRef]</w:t>
      </w:r>
    </w:p>
    <w:p>
      <w:pPr>
        <w:pStyle w:val="MDPI32textnoindent"/>
        <w:spacing w:line="240" w:lineRule="auto" w:before="0" w:after="40"/>
        <w:ind w:left="425" w:hanging="425"/>
        <w:tabs>
          <w:tab w:val="left" w:pos="425"/>
        </w:tabs>
      </w:pPr>
      <w:bookmarkStart w:id="1096" w:name="_Ref_96"/>
      <w:r>
        <w:rPr>
          <w:b w:val="0"/>
          <w:sz w:val="18"/>
        </w:rPr>
        <w:t>96</w:t>
      </w:r>
      <w:bookmarkEnd w:id="1096"/>
      <w:r>
        <w:rPr>
          <w:sz w:val="18"/>
        </w:rPr>
        <w:t>.</w:t>
        <w:tab/>
      </w:r>
      <w:r>
        <w:rPr>
          <w:b w:val="0"/>
          <w:i w:val="0"/>
          <w:sz w:val="18"/>
        </w:rPr>
        <w:t xml:space="preserve">Xue, F.; Jin, S. </w:t>
      </w:r>
      <w:r>
        <w:rPr>
          <w:b w:val="0"/>
          <w:i w:val="0"/>
          <w:sz w:val="18"/>
        </w:rPr>
        <w:t xml:space="preserve">Artificial Intelligence Adoption, Innovation Efficiency, and Governance Mechanisms: Evidence from China. </w:t>
      </w:r>
      <w:r>
        <w:rPr>
          <w:b w:val="0"/>
          <w:i/>
          <w:sz w:val="18"/>
        </w:rPr>
        <w:t xml:space="preserve">Systems </w:t>
      </w:r>
      <w:r>
        <w:rPr>
          <w:b/>
          <w:i w:val="0"/>
          <w:sz w:val="18"/>
        </w:rPr>
        <w:t>2025</w:t>
      </w:r>
      <w:r>
        <w:rPr>
          <w:b w:val="0"/>
          <w:i w:val="0"/>
          <w:sz w:val="18"/>
        </w:rPr>
        <w:t xml:space="preserve">, </w:t>
      </w:r>
      <w:r>
        <w:rPr>
          <w:b w:val="0"/>
          <w:i/>
          <w:sz w:val="18"/>
        </w:rPr>
        <w:t>13</w:t>
      </w:r>
      <w:r>
        <w:rPr>
          <w:b w:val="0"/>
          <w:i w:val="0"/>
          <w:sz w:val="18"/>
        </w:rPr>
        <w:t>, 1062.</w:t>
      </w:r>
      <w:r>
        <w:rPr>
          <w:b w:val="0"/>
          <w:i w:val="0"/>
          <w:sz w:val="18"/>
        </w:rPr>
        <w:t xml:space="preserve"> [CrossRef]</w:t>
      </w:r>
    </w:p>
    <w:p>
      <w:pPr>
        <w:pStyle w:val="MDPI32textnoindent"/>
        <w:spacing w:line="240" w:lineRule="auto" w:before="0" w:after="40"/>
        <w:ind w:left="425" w:hanging="425"/>
        <w:tabs>
          <w:tab w:val="left" w:pos="425"/>
        </w:tabs>
      </w:pPr>
      <w:bookmarkStart w:id="1097" w:name="_Ref_97"/>
      <w:r>
        <w:rPr>
          <w:b w:val="0"/>
          <w:sz w:val="18"/>
        </w:rPr>
        <w:t>97</w:t>
      </w:r>
      <w:bookmarkEnd w:id="1097"/>
      <w:r>
        <w:rPr>
          <w:sz w:val="18"/>
        </w:rPr>
        <w:t>.</w:t>
        <w:tab/>
      </w:r>
      <w:r>
        <w:rPr>
          <w:b w:val="0"/>
          <w:i w:val="0"/>
          <w:sz w:val="18"/>
        </w:rPr>
        <w:t xml:space="preserve">Yang, B.; Sun, Y.; Zeng, Z.; Li, Q. </w:t>
      </w:r>
      <w:r>
        <w:rPr>
          <w:b w:val="0"/>
          <w:i w:val="0"/>
          <w:sz w:val="18"/>
        </w:rPr>
        <w:t xml:space="preserve">Deskilling, Reskilling, or Upskilling? Unpacking the Pathways of Student Adaptation to Generative Artificial Intelligence. </w:t>
      </w:r>
      <w:r>
        <w:rPr>
          <w:b w:val="0"/>
          <w:i/>
          <w:sz w:val="18"/>
        </w:rPr>
        <w:t xml:space="preserve">Int. J. Inf. Manag. </w:t>
      </w:r>
      <w:r>
        <w:rPr>
          <w:b/>
          <w:i w:val="0"/>
          <w:sz w:val="18"/>
        </w:rPr>
        <w:t>2026</w:t>
      </w:r>
      <w:r>
        <w:rPr>
          <w:b w:val="0"/>
          <w:i w:val="0"/>
          <w:sz w:val="18"/>
        </w:rPr>
        <w:t xml:space="preserve">, </w:t>
      </w:r>
      <w:r>
        <w:rPr>
          <w:b w:val="0"/>
          <w:i/>
          <w:sz w:val="18"/>
        </w:rPr>
        <w:t>87</w:t>
      </w:r>
      <w:r>
        <w:rPr>
          <w:b w:val="0"/>
          <w:i w:val="0"/>
          <w:sz w:val="18"/>
        </w:rPr>
        <w:t>, 103002.</w:t>
      </w:r>
      <w:r>
        <w:rPr>
          <w:b w:val="0"/>
          <w:i w:val="0"/>
          <w:sz w:val="18"/>
        </w:rPr>
        <w:t xml:space="preserve"> [CrossRef]</w:t>
      </w:r>
    </w:p>
    <w:p>
      <w:pPr>
        <w:pStyle w:val="MDPI32textnoindent"/>
        <w:spacing w:line="240" w:lineRule="auto" w:before="0" w:after="40"/>
        <w:ind w:left="425" w:hanging="425"/>
        <w:tabs>
          <w:tab w:val="left" w:pos="425"/>
        </w:tabs>
      </w:pPr>
      <w:bookmarkStart w:id="1098" w:name="_Ref_98"/>
      <w:r>
        <w:rPr>
          <w:b w:val="0"/>
          <w:sz w:val="18"/>
        </w:rPr>
        <w:t>98</w:t>
      </w:r>
      <w:bookmarkEnd w:id="1098"/>
      <w:r>
        <w:rPr>
          <w:sz w:val="18"/>
        </w:rPr>
        <w:t>.</w:t>
        <w:tab/>
      </w:r>
      <w:r>
        <w:rPr>
          <w:b w:val="0"/>
          <w:i w:val="0"/>
          <w:sz w:val="18"/>
        </w:rPr>
        <w:t xml:space="preserve">Machucho, R.; Ortiz, D. </w:t>
      </w:r>
      <w:r>
        <w:rPr>
          <w:b w:val="0"/>
          <w:i w:val="0"/>
          <w:sz w:val="18"/>
        </w:rPr>
        <w:t xml:space="preserve">The Impacts of Artificial Intelligence on Business Innovation: A Comprehensive Review of Applications, Organizational Challenges, and Ethical Considerations. </w:t>
      </w:r>
      <w:r>
        <w:rPr>
          <w:b w:val="0"/>
          <w:i/>
          <w:sz w:val="18"/>
        </w:rPr>
        <w:t xml:space="preserve">Systems </w:t>
      </w:r>
      <w:r>
        <w:rPr>
          <w:b/>
          <w:i w:val="0"/>
          <w:sz w:val="18"/>
        </w:rPr>
        <w:t>2025</w:t>
      </w:r>
      <w:r>
        <w:rPr>
          <w:b w:val="0"/>
          <w:i w:val="0"/>
          <w:sz w:val="18"/>
        </w:rPr>
        <w:t xml:space="preserve">, </w:t>
      </w:r>
      <w:r>
        <w:rPr>
          <w:b w:val="0"/>
          <w:i/>
          <w:sz w:val="18"/>
        </w:rPr>
        <w:t>13</w:t>
      </w:r>
      <w:r>
        <w:rPr>
          <w:b w:val="0"/>
          <w:i w:val="0"/>
          <w:sz w:val="18"/>
        </w:rPr>
        <w:t>, 264.</w:t>
      </w:r>
      <w:r>
        <w:rPr>
          <w:b w:val="0"/>
          <w:i w:val="0"/>
          <w:sz w:val="18"/>
        </w:rPr>
        <w:t xml:space="preserve"> [CrossRef]</w:t>
      </w:r>
    </w:p>
    <w:p>
      <w:pPr>
        <w:pStyle w:val="MDPI32textnoindent"/>
        <w:spacing w:line="240" w:lineRule="auto" w:before="0" w:after="40"/>
        <w:ind w:left="425" w:hanging="425"/>
        <w:tabs>
          <w:tab w:val="left" w:pos="425"/>
        </w:tabs>
      </w:pPr>
      <w:bookmarkStart w:id="1099" w:name="_Ref_99"/>
      <w:r>
        <w:rPr>
          <w:b w:val="0"/>
          <w:sz w:val="18"/>
        </w:rPr>
        <w:t>99</w:t>
      </w:r>
      <w:bookmarkEnd w:id="1099"/>
      <w:r>
        <w:rPr>
          <w:sz w:val="18"/>
        </w:rPr>
        <w:t>.</w:t>
        <w:tab/>
      </w:r>
      <w:r>
        <w:rPr>
          <w:b w:val="0"/>
          <w:i w:val="0"/>
          <w:sz w:val="18"/>
        </w:rPr>
        <w:t xml:space="preserve">Humlum, A.; Vestergaard, E. </w:t>
      </w:r>
      <w:r>
        <w:rPr>
          <w:b w:val="0"/>
          <w:i/>
          <w:sz w:val="18"/>
        </w:rPr>
        <w:t xml:space="preserve">Large Language Models, Small Labor Market Effects; </w:t>
      </w:r>
      <w:r>
        <w:rPr>
          <w:b w:val="0"/>
          <w:i w:val="0"/>
          <w:sz w:val="18"/>
        </w:rPr>
        <w:t xml:space="preserve">NBER Working Paper 33777; </w:t>
      </w:r>
      <w:r>
        <w:rPr>
          <w:b w:val="0"/>
          <w:i w:val="0"/>
          <w:sz w:val="18"/>
        </w:rPr>
        <w:t>National Bureau of Economic Research: Cambridge, MA, USA, 2025.</w:t>
      </w:r>
    </w:p>
    <w:p>
      <w:pPr>
        <w:pStyle w:val="MDPI32textnoindent"/>
        <w:spacing w:line="240" w:lineRule="auto" w:before="0" w:after="40"/>
        <w:ind w:left="425" w:hanging="425"/>
        <w:tabs>
          <w:tab w:val="left" w:pos="425"/>
        </w:tabs>
      </w:pPr>
      <w:bookmarkStart w:id="1100" w:name="_Ref_100"/>
      <w:r>
        <w:rPr>
          <w:b w:val="0"/>
          <w:sz w:val="18"/>
        </w:rPr>
        <w:t>100</w:t>
      </w:r>
      <w:bookmarkEnd w:id="1100"/>
      <w:r>
        <w:rPr>
          <w:sz w:val="18"/>
        </w:rPr>
        <w:t>.</w:t>
        <w:tab/>
      </w:r>
      <w:r>
        <w:rPr>
          <w:b w:val="0"/>
          <w:i w:val="0"/>
          <w:sz w:val="18"/>
        </w:rPr>
        <w:t xml:space="preserve">Otis, N.G.; Clarke, R.; Delecourt, S.; Holtz, D.; Koning, R. </w:t>
      </w:r>
      <w:r>
        <w:rPr>
          <w:b w:val="0"/>
          <w:i w:val="0"/>
          <w:sz w:val="18"/>
        </w:rPr>
        <w:t xml:space="preserve">The Uneven Impact of Generative Artificial Intelligence on Entrepreneurial Performance: Evidence from a Field Experiment in Kenya. </w:t>
      </w:r>
      <w:r>
        <w:rPr>
          <w:b w:val="0"/>
          <w:i/>
          <w:sz w:val="18"/>
        </w:rPr>
        <w:t xml:space="preserve">Manag. Sci. </w:t>
      </w:r>
      <w:r>
        <w:rPr>
          <w:b/>
          <w:i w:val="0"/>
          <w:sz w:val="18"/>
        </w:rPr>
        <w:t>2026</w:t>
      </w:r>
      <w:r>
        <w:rPr>
          <w:b w:val="0"/>
          <w:i w:val="0"/>
          <w:sz w:val="18"/>
        </w:rPr>
        <w:t xml:space="preserve">, </w:t>
      </w:r>
      <w:r>
        <w:rPr>
          <w:b w:val="0"/>
          <w:i w:val="0"/>
          <w:sz w:val="18"/>
        </w:rPr>
        <w:t>in press.</w:t>
      </w:r>
      <w:r>
        <w:rPr>
          <w:b w:val="0"/>
          <w:i w:val="0"/>
          <w:sz w:val="18"/>
        </w:rPr>
        <w:t xml:space="preserve"> [CrossRef]</w:t>
      </w:r>
    </w:p>
    <w:p>
      <w:pPr>
        <w:pStyle w:val="MDPI32textnoindent"/>
        <w:spacing w:line="240" w:lineRule="auto" w:before="0" w:after="40"/>
        <w:ind w:left="425" w:hanging="425"/>
        <w:tabs>
          <w:tab w:val="left" w:pos="425"/>
        </w:tabs>
      </w:pPr>
      <w:bookmarkStart w:id="1101" w:name="_Ref_101"/>
      <w:r>
        <w:rPr>
          <w:b w:val="0"/>
          <w:sz w:val="18"/>
        </w:rPr>
        <w:t>101</w:t>
      </w:r>
      <w:bookmarkEnd w:id="1101"/>
      <w:r>
        <w:rPr>
          <w:sz w:val="18"/>
        </w:rPr>
        <w:t>.</w:t>
        <w:tab/>
      </w:r>
      <w:r>
        <w:rPr>
          <w:b w:val="0"/>
          <w:i w:val="0"/>
          <w:sz w:val="18"/>
        </w:rPr>
        <w:t xml:space="preserve">Forsythe, E. </w:t>
      </w:r>
      <w:r>
        <w:rPr>
          <w:b w:val="0"/>
          <w:i w:val="0"/>
          <w:sz w:val="18"/>
        </w:rPr>
        <w:t xml:space="preserve">Why Don’t Firms Hire Young Workers during Recessions? </w:t>
      </w:r>
      <w:r>
        <w:rPr>
          <w:b w:val="0"/>
          <w:i/>
          <w:sz w:val="18"/>
        </w:rPr>
        <w:t xml:space="preserve">Econ. J. </w:t>
      </w:r>
      <w:r>
        <w:rPr>
          <w:b/>
          <w:i w:val="0"/>
          <w:sz w:val="18"/>
        </w:rPr>
        <w:t>2022</w:t>
      </w:r>
      <w:r>
        <w:rPr>
          <w:b w:val="0"/>
          <w:i w:val="0"/>
          <w:sz w:val="18"/>
        </w:rPr>
        <w:t xml:space="preserve">, </w:t>
      </w:r>
      <w:r>
        <w:rPr>
          <w:b w:val="0"/>
          <w:i/>
          <w:sz w:val="18"/>
        </w:rPr>
        <w:t>132</w:t>
      </w:r>
      <w:r>
        <w:rPr>
          <w:b w:val="0"/>
          <w:i w:val="0"/>
          <w:sz w:val="18"/>
        </w:rPr>
        <w:t>, 1765–1789.</w:t>
      </w:r>
      <w:r>
        <w:rPr>
          <w:b w:val="0"/>
          <w:i w:val="0"/>
          <w:sz w:val="18"/>
        </w:rPr>
        <w:t xml:space="preserve"> [CrossRef]</w:t>
      </w:r>
    </w:p>
    <w:p>
      <w:pPr>
        <w:pStyle w:val="MDPI32textnoindent"/>
        <w:spacing w:line="240" w:lineRule="auto" w:before="0" w:after="40"/>
        <w:ind w:left="425" w:hanging="425"/>
        <w:tabs>
          <w:tab w:val="left" w:pos="425"/>
        </w:tabs>
      </w:pPr>
      <w:bookmarkStart w:id="1102" w:name="_Ref_102"/>
      <w:r>
        <w:rPr>
          <w:b w:val="0"/>
          <w:sz w:val="18"/>
        </w:rPr>
        <w:t>102</w:t>
      </w:r>
      <w:bookmarkEnd w:id="1102"/>
      <w:r>
        <w:rPr>
          <w:sz w:val="18"/>
        </w:rPr>
        <w:t>.</w:t>
        <w:tab/>
      </w:r>
      <w:r>
        <w:rPr>
          <w:b w:val="0"/>
          <w:i w:val="0"/>
          <w:sz w:val="18"/>
        </w:rPr>
        <w:t xml:space="preserve">Cui, Z.K.; Demirer, M.; Jaffe, S.; Musolff, L.; Peng, S.; Salz, T. </w:t>
      </w:r>
      <w:r>
        <w:rPr>
          <w:b w:val="0"/>
          <w:i w:val="0"/>
          <w:sz w:val="18"/>
        </w:rPr>
        <w:t xml:space="preserve">The Effects of Generative AI on High-Skilled Work: Evidence from Three Field Experiments with Software Developers. </w:t>
      </w:r>
      <w:r>
        <w:rPr>
          <w:b w:val="0"/>
          <w:i/>
          <w:sz w:val="18"/>
        </w:rPr>
        <w:t xml:space="preserve">Manag. Sci. </w:t>
      </w:r>
      <w:r>
        <w:rPr>
          <w:b/>
          <w:i w:val="0"/>
          <w:sz w:val="18"/>
        </w:rPr>
        <w:t>2026</w:t>
      </w:r>
      <w:r>
        <w:rPr>
          <w:b w:val="0"/>
          <w:i w:val="0"/>
          <w:sz w:val="18"/>
        </w:rPr>
        <w:t xml:space="preserve">, </w:t>
      </w:r>
      <w:r>
        <w:rPr>
          <w:b w:val="0"/>
          <w:i w:val="0"/>
          <w:sz w:val="18"/>
        </w:rPr>
        <w:t>in press.</w:t>
      </w:r>
      <w:r>
        <w:rPr>
          <w:b w:val="0"/>
          <w:i w:val="0"/>
          <w:sz w:val="18"/>
        </w:rPr>
        <w:t xml:space="preserve"> [CrossRef]</w:t>
      </w:r>
    </w:p>
    <w:p>
      <w:pPr>
        <w:pStyle w:val="MDPI32textnoindent"/>
        <w:spacing w:line="240" w:lineRule="auto" w:before="0" w:after="40"/>
        <w:ind w:left="425" w:hanging="425"/>
        <w:tabs>
          <w:tab w:val="left" w:pos="425"/>
        </w:tabs>
      </w:pPr>
      <w:bookmarkStart w:id="1103" w:name="_Ref_103"/>
      <w:r>
        <w:rPr>
          <w:b w:val="0"/>
          <w:sz w:val="18"/>
        </w:rPr>
        <w:t>103</w:t>
      </w:r>
      <w:bookmarkEnd w:id="1103"/>
      <w:r>
        <w:rPr>
          <w:sz w:val="18"/>
        </w:rPr>
        <w:t>.</w:t>
        <w:tab/>
      </w:r>
      <w:r>
        <w:rPr>
          <w:b w:val="0"/>
          <w:i w:val="0"/>
          <w:sz w:val="18"/>
        </w:rPr>
        <w:t xml:space="preserve">Peng, S.; Kalliamvakou, E.; Cihon, P.; Demirer, M. </w:t>
      </w:r>
      <w:r>
        <w:rPr>
          <w:b w:val="0"/>
          <w:i w:val="0"/>
          <w:sz w:val="18"/>
        </w:rPr>
        <w:t xml:space="preserve">The Impact of AI on Developer Productivity: Evidence from GitHub Copilot. </w:t>
      </w:r>
      <w:r>
        <w:rPr>
          <w:b w:val="0"/>
          <w:i/>
          <w:sz w:val="18"/>
        </w:rPr>
        <w:t xml:space="preserve">arXiv </w:t>
      </w:r>
      <w:r>
        <w:rPr>
          <w:b/>
          <w:i w:val="0"/>
          <w:sz w:val="18"/>
        </w:rPr>
        <w:t>2023</w:t>
      </w:r>
      <w:r>
        <w:rPr>
          <w:b w:val="0"/>
          <w:i w:val="0"/>
          <w:sz w:val="18"/>
        </w:rPr>
        <w:t xml:space="preserve">, </w:t>
      </w:r>
      <w:r>
        <w:rPr>
          <w:b w:val="0"/>
          <w:i w:val="0"/>
          <w:sz w:val="18"/>
        </w:rPr>
        <w:t>arXiv:2302.06590.</w:t>
      </w:r>
    </w:p>
    <w:p>
      <w:pPr>
        <w:pStyle w:val="MDPI32textnoindent"/>
        <w:spacing w:line="240" w:lineRule="auto" w:before="0" w:after="40"/>
        <w:ind w:left="425" w:hanging="425"/>
        <w:tabs>
          <w:tab w:val="left" w:pos="425"/>
        </w:tabs>
      </w:pPr>
      <w:bookmarkStart w:id="1104" w:name="_Ref_104"/>
      <w:r>
        <w:rPr>
          <w:b w:val="0"/>
          <w:sz w:val="18"/>
        </w:rPr>
        <w:t>104</w:t>
      </w:r>
      <w:bookmarkEnd w:id="1104"/>
      <w:r>
        <w:rPr>
          <w:sz w:val="18"/>
        </w:rPr>
        <w:t>.</w:t>
        <w:tab/>
      </w:r>
      <w:r>
        <w:rPr>
          <w:b w:val="0"/>
          <w:i w:val="0"/>
          <w:sz w:val="18"/>
        </w:rPr>
        <w:t xml:space="preserve">Bick, A.; Blandin, A.; Deming, D.J. </w:t>
      </w:r>
      <w:r>
        <w:rPr>
          <w:b w:val="0"/>
          <w:i/>
          <w:sz w:val="18"/>
        </w:rPr>
        <w:t xml:space="preserve">The Rapid Adoption of Generative AI; </w:t>
      </w:r>
      <w:r>
        <w:rPr>
          <w:b w:val="0"/>
          <w:i w:val="0"/>
          <w:sz w:val="18"/>
        </w:rPr>
        <w:t xml:space="preserve">NBER Working Paper 32966; </w:t>
      </w:r>
      <w:r>
        <w:rPr>
          <w:b w:val="0"/>
          <w:i w:val="0"/>
          <w:sz w:val="18"/>
        </w:rPr>
        <w:t>National Bureau of Economic Research: Cambridge, MA, USA, 2024.</w:t>
      </w:r>
    </w:p>
    <w:sectPr w:rsidR="003D34A1" w:rsidRPr="00B86B71" w:rsidSect="00C245DC">
      <w:headerReference w:type="even" r:id="rId11"/>
      <w:headerReference w:type="default" r:id="rId12"/>
      <w:footerReference w:type="default" r:id="rId13"/>
      <w:headerReference w:type="first" r:id="rId14"/>
      <w:footerReference w:type="first" r:id="rId15"/>
      <w:footerReference w:type="even" r:id="rId20"/>
      <w:type w:val="continuous"/>
      <w:pgSz w:w="11906" w:h="16838" w:code="9"/>
      <w:pgMar w:top="1417" w:right="720" w:bottom="907" w:left="720" w:header="720" w:footer="612" w:gutter="0"/>
      <w:lnNumType w:countBy="1" w:distance="255" w:restart="continuous"/>
      <w:pgNumType w:start="1"/>
      <w:cols w:space="425"/>
      <w:titlePg/>
      <w:docGrid w:type="lines"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2C0D8D" w14:textId="77777777" w:rsidR="00042A41" w:rsidRPr="00FA5AAF" w:rsidRDefault="00042A41">
      <w:pPr>
        <w:spacing w:line="240" w:lineRule="auto"/>
      </w:pPr>
      <w:r w:rsidRPr="00FA5AAF">
        <w:separator/>
      </w:r>
    </w:p>
  </w:endnote>
  <w:endnote w:type="continuationSeparator" w:id="0">
    <w:p w14:paraId="0A21264B" w14:textId="77777777" w:rsidR="00042A41" w:rsidRPr="00FA5AAF" w:rsidRDefault="00042A41">
      <w:pPr>
        <w:spacing w:line="240" w:lineRule="auto"/>
      </w:pPr>
      <w:r w:rsidRPr="00FA5AAF">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Palatino Linotype">
    <w:panose1 w:val="02040502050505030304"/>
    <w:charset w:val="00"/>
    <w:family w:val="roman"/>
    <w:pitch w:val="variable"/>
    <w:sig w:usb0="E0000287" w:usb1="40000013" w:usb2="00000000" w:usb3="00000000" w:csb0="0000019F" w:csb1="00000000"/>
  </w:font>
  <w:font w:name="Cordia New">
    <w:panose1 w:val="020B0304020202020204"/>
    <w:charset w:val="DE"/>
    <w:family w:val="swiss"/>
    <w:pitch w:val="variable"/>
    <w:sig w:usb0="81000003" w:usb1="00000000" w:usb2="00000000" w:usb3="00000000" w:csb0="00010001" w:csb1="00000000"/>
  </w:font>
  <w:font w:name="Tahoma">
    <w:panose1 w:val="020B0604030504040204"/>
    <w:charset w:val="00"/>
    <w:family w:val="swiss"/>
    <w:pitch w:val="variable"/>
    <w:sig w:usb0="E1002EFF" w:usb1="C000605B" w:usb2="00000029" w:usb3="00000000" w:csb0="000101FF" w:csb1="00000000"/>
  </w:font>
  <w:font w:name="等线">
    <w:altName w:val="DengXian"/>
    <w:panose1 w:val="02010600030101010101"/>
    <w:charset w:val="86"/>
    <w:family w:val="auto"/>
    <w:pitch w:val="variable"/>
    <w:sig w:usb0="A00002BF" w:usb1="38CF7CFA" w:usb2="00000016" w:usb3="00000000" w:csb0="0004000F" w:csb1="00000000"/>
  </w:font>
  <w:font w:name="URWPalladioL-Ital">
    <w:altName w:val="Yu Gothic"/>
    <w:panose1 w:val="00000000000000000000"/>
    <w:charset w:val="80"/>
    <w:family w:val="auto"/>
    <w:notTrueType/>
    <w:pitch w:val="default"/>
    <w:sig w:usb0="00000001" w:usb1="08070000" w:usb2="00000010" w:usb3="00000000" w:csb0="00020000" w:csb1="00000000"/>
  </w:font>
  <w:font w:name="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C723B7" w14:textId="77777777" w:rsidR="00697B5A" w:rsidRPr="00FA5AAF" w:rsidRDefault="00697B5A" w:rsidP="00697B5A">
    <w:pPr>
      <w:pStyle w:val="Footer"/>
      <w:spacing w:line="240" w:lineRule="auto"/>
      <w:suppressLineNumbers/>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2C9B57" w14:textId="77777777" w:rsidR="00CF1526" w:rsidRPr="00FA5AAF" w:rsidRDefault="00CF1526" w:rsidP="00942152">
    <w:pPr>
      <w:pBdr>
        <w:top w:val="single" w:sz="4" w:space="0" w:color="000000"/>
      </w:pBdr>
      <w:tabs>
        <w:tab w:val="right" w:pos="8844"/>
      </w:tabs>
      <w:adjustRightInd w:val="0"/>
      <w:snapToGrid w:val="0"/>
      <w:spacing w:before="480" w:line="100" w:lineRule="exact"/>
      <w:jc w:val="left"/>
      <w:rPr>
        <w:i/>
        <w:sz w:val="16"/>
        <w:szCs w:val="16"/>
      </w:rPr>
      <w:suppressLineNumbers/>
    </w:pPr>
  </w:p>
  <w:p w14:paraId="2F5022B6" w14:textId="22010ACB" w:rsidR="00697B5A" w:rsidRPr="00FA5AAF" w:rsidRDefault="00697B5A" w:rsidP="007E21E9">
    <w:pPr>
      <w:tabs>
        <w:tab w:val="right" w:pos="10466"/>
      </w:tabs>
      <w:adjustRightInd w:val="0"/>
      <w:snapToGrid w:val="0"/>
      <w:spacing w:line="240" w:lineRule="auto"/>
      <w:rPr>
        <w:sz w:val="16"/>
        <w:szCs w:val="16"/>
      </w:rPr>
      <w:suppressLineNumbers/>
    </w:pPr>
    <w:r w:rsidRPr="00FA5AAF">
      <w:rPr>
        <w:i/>
        <w:sz w:val="16"/>
        <w:szCs w:val="16"/>
      </w:rPr>
      <w:t xml:space="preserve">Systems </w:t>
    </w:r>
    <w:r w:rsidR="00C245DC" w:rsidRPr="00FA5AAF">
      <w:rPr>
        <w:b/>
        <w:bCs/>
        <w:iCs/>
        <w:sz w:val="16"/>
        <w:szCs w:val="16"/>
      </w:rPr>
      <w:t>2025</w:t>
    </w:r>
    <w:r w:rsidR="00C047A0" w:rsidRPr="00FA5AAF">
      <w:rPr>
        <w:bCs/>
        <w:iCs/>
        <w:sz w:val="16"/>
        <w:szCs w:val="16"/>
      </w:rPr>
      <w:t>,</w:t>
    </w:r>
    <w:r w:rsidR="00C245DC" w:rsidRPr="00FA5AAF">
      <w:rPr>
        <w:bCs/>
        <w:i/>
        <w:iCs/>
        <w:sz w:val="16"/>
        <w:szCs w:val="16"/>
      </w:rPr>
      <w:t xml:space="preserve"> 13</w:t>
    </w:r>
    <w:r w:rsidR="00C047A0" w:rsidRPr="00FA5AAF">
      <w:rPr>
        <w:bCs/>
        <w:iCs/>
        <w:sz w:val="16"/>
        <w:szCs w:val="16"/>
      </w:rPr>
      <w:t xml:space="preserve">, </w:t>
    </w:r>
    <w:r w:rsidR="005F1025" w:rsidRPr="00FA5AAF">
      <w:rPr>
        <w:bCs/>
        <w:iCs/>
        <w:sz w:val="16"/>
        <w:szCs w:val="16"/>
      </w:rPr>
      <w:t>x</w:t>
    </w:r>
    <w:r w:rsidR="007E21E9" w:rsidRPr="00FA5AAF">
      <w:rPr>
        <w:sz w:val="16"/>
        <w:szCs w:val="16"/>
      </w:rPr>
      <w:tab/>
    </w:r>
    <w:r w:rsidR="00C245DC" w:rsidRPr="00FA5AAF">
      <w:rPr>
        <w:sz w:val="16"/>
        <w:szCs w:val="16"/>
      </w:rPr>
      <w:t>https://doi.org/10.3390/xxxxx</w:t>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uppressLineNumbers/>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F28F93" w14:textId="77777777" w:rsidR="00042A41" w:rsidRPr="00FA5AAF" w:rsidRDefault="00042A41">
      <w:pPr>
        <w:spacing w:line="240" w:lineRule="auto"/>
      </w:pPr>
      <w:r w:rsidRPr="00FA5AAF">
        <w:separator/>
      </w:r>
    </w:p>
  </w:footnote>
  <w:footnote w:type="continuationSeparator" w:id="0">
    <w:p w14:paraId="571C0C7B" w14:textId="77777777" w:rsidR="00042A41" w:rsidRPr="00FA5AAF" w:rsidRDefault="00042A41">
      <w:pPr>
        <w:spacing w:line="240" w:lineRule="auto"/>
      </w:pPr>
      <w:r w:rsidRPr="00FA5AAF">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B89A58" w14:textId="77777777" w:rsidR="00697B5A" w:rsidRPr="00FA5AAF" w:rsidRDefault="00697B5A" w:rsidP="00697B5A">
    <w:pPr>
      <w:pStyle w:val="Header"/>
      <w:pBdr>
        <w:bottom w:val="none" w:sz="0" w:space="0" w:color="auto"/>
      </w:pBdr>
      <w:suppressLineNumbers/>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0740F5" w14:textId="333822ED" w:rsidR="00CF1526" w:rsidRPr="00FA5AAF" w:rsidRDefault="00697B5A" w:rsidP="007E21E9">
    <w:pPr>
      <w:tabs>
        <w:tab w:val="right" w:pos="10466"/>
      </w:tabs>
      <w:adjustRightInd w:val="0"/>
      <w:snapToGrid w:val="0"/>
      <w:spacing w:line="240" w:lineRule="auto"/>
      <w:rPr>
        <w:sz w:val="16"/>
      </w:rPr>
      <w:suppressLineNumbers/>
    </w:pPr>
    <w:r w:rsidRPr="00FA5AAF">
      <w:rPr>
        <w:i/>
        <w:sz w:val="16"/>
      </w:rPr>
      <w:t xml:space="preserve">Systems </w:t>
    </w:r>
    <w:r w:rsidR="00C245DC" w:rsidRPr="00FA5AAF">
      <w:rPr>
        <w:b/>
        <w:sz w:val="16"/>
      </w:rPr>
      <w:t>2025</w:t>
    </w:r>
    <w:r w:rsidR="00C047A0" w:rsidRPr="00FA5AAF">
      <w:rPr>
        <w:sz w:val="16"/>
      </w:rPr>
      <w:t>,</w:t>
    </w:r>
    <w:r w:rsidR="00C245DC" w:rsidRPr="00FA5AAF">
      <w:rPr>
        <w:i/>
        <w:sz w:val="16"/>
      </w:rPr>
      <w:t xml:space="preserve"> 13</w:t>
    </w:r>
    <w:r w:rsidR="005F1025" w:rsidRPr="00FA5AAF">
      <w:rPr>
        <w:sz w:val="16"/>
      </w:rPr>
      <w:t xml:space="preserve">, x </w:t>
    </w:r>
    <w:r w:rsidR="00C245DC" w:rsidRPr="00FA5AAF">
      <w:rPr>
        <w:sz w:val="16"/>
      </w:rPr>
      <w:t>FOR PEER REVIEW</w:t>
    </w:r>
    <w:r w:rsidR="00C245DC" w:rsidRPr="00FA5AAF">
      <w:rPr>
        <w:sz w:val="16"/>
      </w:rPr>
      <w:ptab w:relativeTo="margin" w:alignment="right" w:leader="none"/>
    </w:r>
    <w:r w:rsidR="00C245DC" w:rsidRPr="00FA5AAF">
      <w:rPr>
        <w:sz w:val="16"/>
      </w:rPr>
      <w:fldChar w:fldCharType="begin"/>
    </w:r>
    <w:r w:rsidR="00C245DC" w:rsidRPr="00FA5AAF">
      <w:rPr>
        <w:sz w:val="16"/>
      </w:rPr>
      <w:instrText xml:space="preserve"> PAGE   \* MERGEFORMAT </w:instrText>
    </w:r>
    <w:r w:rsidR="00C245DC" w:rsidRPr="00FA5AAF">
      <w:rPr>
        <w:sz w:val="16"/>
      </w:rPr>
      <w:fldChar w:fldCharType="separate"/>
    </w:r>
    <w:r w:rsidR="00C245DC" w:rsidRPr="00FA5AAF">
      <w:rPr>
        <w:sz w:val="16"/>
      </w:rPr>
      <w:t>2</w:t>
    </w:r>
    <w:r w:rsidR="00C245DC" w:rsidRPr="00FA5AAF">
      <w:rPr>
        <w:sz w:val="16"/>
      </w:rPr>
      <w:fldChar w:fldCharType="end"/>
    </w:r>
    <w:r w:rsidR="00C245DC" w:rsidRPr="00FA5AAF">
      <w:rPr>
        <w:sz w:val="16"/>
      </w:rPr>
      <w:t xml:space="preserve"> of </w:t>
    </w:r>
    <w:r w:rsidR="00C245DC" w:rsidRPr="00FA5AAF">
      <w:rPr>
        <w:sz w:val="16"/>
      </w:rPr>
      <w:fldChar w:fldCharType="begin"/>
    </w:r>
    <w:r w:rsidR="00C245DC" w:rsidRPr="00FA5AAF">
      <w:rPr>
        <w:sz w:val="16"/>
      </w:rPr>
      <w:instrText xml:space="preserve"> NUMPAGES   \* MERGEFORMAT </w:instrText>
    </w:r>
    <w:r w:rsidR="00C245DC" w:rsidRPr="00FA5AAF">
      <w:rPr>
        <w:sz w:val="16"/>
      </w:rPr>
      <w:fldChar w:fldCharType="separate"/>
    </w:r>
    <w:r w:rsidR="00C245DC" w:rsidRPr="00FA5AAF">
      <w:rPr>
        <w:sz w:val="16"/>
      </w:rPr>
      <w:t>8</w:t>
    </w:r>
    <w:r w:rsidR="00C245DC" w:rsidRPr="00FA5AAF">
      <w:rPr>
        <w:sz w:val="16"/>
      </w:rPr>
      <w:fldChar w:fldCharType="end"/>
    </w:r>
  </w:p>
  <w:p w14:paraId="2153CD40" w14:textId="77777777" w:rsidR="00697B5A" w:rsidRPr="00FA5AAF" w:rsidRDefault="00697B5A" w:rsidP="00942152">
    <w:pPr>
      <w:pBdr>
        <w:bottom w:val="single" w:sz="4" w:space="1" w:color="000000"/>
      </w:pBdr>
      <w:tabs>
        <w:tab w:val="right" w:pos="8844"/>
      </w:tabs>
      <w:adjustRightInd w:val="0"/>
      <w:snapToGrid w:val="0"/>
      <w:spacing w:after="480" w:line="100" w:lineRule="exact"/>
      <w:jc w:val="left"/>
      <w:rPr>
        <w:sz w:val="16"/>
      </w:rPr>
      <w:suppressLineNumbers/>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487" w:type="dxa"/>
      <w:tblCellMar>
        <w:left w:w="0" w:type="dxa"/>
        <w:right w:w="0" w:type="dxa"/>
      </w:tblCellMar>
      <w:tblLook w:val="04A0" w:firstRow="1" w:lastRow="0" w:firstColumn="1" w:lastColumn="0" w:noHBand="0" w:noVBand="1"/>
    </w:tblPr>
    <w:tblGrid>
      <w:gridCol w:w="3679"/>
      <w:gridCol w:w="4535"/>
      <w:gridCol w:w="2273"/>
    </w:tblGrid>
    <w:tr w:rsidR="00CF1526" w:rsidRPr="00FA5AAF" w14:paraId="64528AE3" w14:textId="77777777" w:rsidTr="003D5EB7">
      <w:trPr>
        <w:trHeight w:val="686"/>
      </w:trPr>
      <w:tc>
        <w:tcPr>
          <w:tcW w:w="3679" w:type="dxa"/>
          <w:shd w:val="clear" w:color="auto" w:fill="auto"/>
          <w:vAlign w:val="center"/>
        </w:tcPr>
        <w:p w14:paraId="17A05555" w14:textId="19B635A0" w:rsidR="00CF1526" w:rsidRPr="00FA5AAF" w:rsidRDefault="00686F99" w:rsidP="007E21E9">
          <w:pPr>
            <w:pStyle w:val="Header"/>
            <w:pBdr>
              <w:bottom w:val="none" w:sz="0" w:space="0" w:color="auto"/>
            </w:pBdr>
            <w:jc w:val="left"/>
            <w:rPr>
              <w:rFonts w:eastAsia="等线"/>
              <w:b/>
              <w:bCs/>
            </w:rPr>
            <w:suppressLineNumbers/>
          </w:pPr>
          <w:r w:rsidRPr="00FA5AAF">
            <w:rPr>
              <w:rFonts w:eastAsia="等线"/>
              <w:b/>
              <w:bCs/>
              <w:noProof/>
            </w:rPr>
            <w:drawing>
              <wp:inline distT="0" distB="0" distL="0" distR="0" wp14:anchorId="7E33E9A7" wp14:editId="320F0D53">
                <wp:extent cx="1210817" cy="432000"/>
                <wp:effectExtent l="0" t="0" r="8890" b="6350"/>
                <wp:docPr id="15633214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3321446" name=""/>
                        <pic:cNvPicPr/>
                      </pic:nvPicPr>
                      <pic:blipFill>
                        <a:blip r:embed="rId1"/>
                        <a:stretch>
                          <a:fillRect/>
                        </a:stretch>
                      </pic:blipFill>
                      <pic:spPr>
                        <a:xfrm>
                          <a:off x="0" y="0"/>
                          <a:ext cx="1210817" cy="432000"/>
                        </a:xfrm>
                        <a:prstGeom prst="rect">
                          <a:avLst/>
                        </a:prstGeom>
                      </pic:spPr>
                    </pic:pic>
                  </a:graphicData>
                </a:graphic>
              </wp:inline>
            </w:drawing>
          </w:r>
        </w:p>
      </w:tc>
      <w:tc>
        <w:tcPr>
          <w:tcW w:w="4535" w:type="dxa"/>
          <w:shd w:val="clear" w:color="auto" w:fill="auto"/>
          <w:vAlign w:val="center"/>
        </w:tcPr>
        <w:p w14:paraId="7CF66176" w14:textId="77777777" w:rsidR="00CF1526" w:rsidRPr="00FA5AAF" w:rsidRDefault="00CF1526" w:rsidP="007E21E9">
          <w:pPr>
            <w:pStyle w:val="Header"/>
            <w:pBdr>
              <w:bottom w:val="none" w:sz="0" w:space="0" w:color="auto"/>
            </w:pBdr>
            <w:rPr>
              <w:rFonts w:eastAsia="等线"/>
              <w:b/>
              <w:bCs/>
            </w:rPr>
            <w:suppressLineNumbers/>
          </w:pPr>
        </w:p>
      </w:tc>
      <w:tc>
        <w:tcPr>
          <w:tcW w:w="2273" w:type="dxa"/>
          <w:shd w:val="clear" w:color="auto" w:fill="auto"/>
          <w:vAlign w:val="center"/>
        </w:tcPr>
        <w:p w14:paraId="1305E5EE" w14:textId="25C19A66" w:rsidR="00CF1526" w:rsidRPr="00FA5AAF" w:rsidRDefault="003D5EB7" w:rsidP="003D5EB7">
          <w:pPr>
            <w:pStyle w:val="Header"/>
            <w:pBdr>
              <w:bottom w:val="none" w:sz="0" w:space="0" w:color="auto"/>
            </w:pBdr>
            <w:jc w:val="right"/>
            <w:rPr>
              <w:rFonts w:eastAsia="等线"/>
              <w:b/>
              <w:bCs/>
            </w:rPr>
            <w:suppressLineNumbers/>
          </w:pPr>
          <w:r w:rsidRPr="00FA5AAF">
            <w:rPr>
              <w:rFonts w:eastAsia="等线"/>
              <w:b/>
              <w:bCs/>
              <w:noProof/>
            </w:rPr>
            <w:drawing>
              <wp:inline distT="0" distB="0" distL="0" distR="0" wp14:anchorId="0F4CF8B9" wp14:editId="58D9554F">
                <wp:extent cx="540000" cy="360000"/>
                <wp:effectExtent l="0" t="0" r="0" b="2540"/>
                <wp:docPr id="815455501" name="Picture 1"/>
                <wp:cNvGraphicFramePr/>
                <a:graphic xmlns:a="http://schemas.openxmlformats.org/drawingml/2006/main">
                  <a:graphicData uri="http://schemas.openxmlformats.org/drawingml/2006/picture">
                    <pic:pic xmlns:pic="http://schemas.openxmlformats.org/drawingml/2006/picture">
                      <pic:nvPicPr>
                        <pic:cNvPr id="815455501" name=""/>
                        <pic:cNvPicPr/>
                      </pic:nvPicPr>
                      <pic:blipFill>
                        <a:blip r:embed="rId2"/>
                        <a:stretch>
                          <a:fillRect/>
                        </a:stretch>
                      </pic:blipFill>
                      <pic:spPr>
                        <a:xfrm>
                          <a:off x="0" y="0"/>
                          <a:ext cx="540000" cy="360000"/>
                        </a:xfrm>
                        <a:prstGeom prst="rect">
                          <a:avLst/>
                        </a:prstGeom>
                      </pic:spPr>
                    </pic:pic>
                  </a:graphicData>
                </a:graphic>
              </wp:inline>
            </w:drawing>
          </w:r>
        </w:p>
      </w:tc>
    </w:tr>
  </w:tbl>
  <w:p w14:paraId="4DA725D8" w14:textId="77777777" w:rsidR="00697B5A" w:rsidRPr="00FA5AAF" w:rsidRDefault="00697B5A" w:rsidP="00C245DC">
    <w:pPr>
      <w:pBdr>
        <w:bottom w:val="single" w:sz="4" w:space="1" w:color="000000"/>
      </w:pBdr>
      <w:adjustRightInd w:val="0"/>
      <w:snapToGrid w:val="0"/>
      <w:spacing w:before="120" w:line="100" w:lineRule="exact"/>
      <w:jc w:val="left"/>
      <w:suppressLineNumber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5E1431"/>
    <w:multiLevelType w:val="hybridMultilevel"/>
    <w:tmpl w:val="A61AAF98"/>
    <w:lvl w:ilvl="0" w:tplc="D848CE30">
      <w:start w:val="1"/>
      <w:numFmt w:val="decimal"/>
      <w:lvlRestart w:val="0"/>
      <w:pStyle w:val="MDPI81references"/>
      <w:lvlText w:val="%1."/>
      <w:lvlJc w:val="left"/>
      <w:pPr>
        <w:ind w:left="425" w:hanging="425"/>
      </w:pPr>
      <w:rPr>
        <w:b w:val="0"/>
        <w:i w:val="0"/>
        <w:sz w:val="20"/>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8B468F5"/>
    <w:multiLevelType w:val="hybridMultilevel"/>
    <w:tmpl w:val="E7903E34"/>
    <w:lvl w:ilvl="0" w:tplc="2A78C5DA">
      <w:start w:val="1"/>
      <w:numFmt w:val="bullet"/>
      <w:lvlRestart w:val="0"/>
      <w:pStyle w:val="MDPI38bullet"/>
      <w:lvlText w:val=""/>
      <w:lvlJc w:val="left"/>
      <w:pPr>
        <w:ind w:left="3033" w:hanging="425"/>
      </w:pPr>
      <w:rPr>
        <w:rFonts w:ascii="Symbol" w:hAnsi="Symbol" w:hint="default"/>
        <w:b w:val="0"/>
        <w:i w:val="0"/>
        <w:sz w:val="20"/>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E0C6F5D"/>
    <w:multiLevelType w:val="hybridMultilevel"/>
    <w:tmpl w:val="8BFE0D56"/>
    <w:lvl w:ilvl="0" w:tplc="CCCE9BD4">
      <w:start w:val="1"/>
      <w:numFmt w:val="bullet"/>
      <w:lvlRestart w:val="0"/>
      <w:lvlText w:val=""/>
      <w:lvlJc w:val="left"/>
      <w:pPr>
        <w:ind w:left="3033" w:hanging="425"/>
      </w:pPr>
      <w:rPr>
        <w:rFonts w:ascii="Symbol" w:hAnsi="Symbol" w:hint="default"/>
      </w:rPr>
    </w:lvl>
    <w:lvl w:ilvl="1" w:tplc="04090003" w:tentative="1">
      <w:start w:val="1"/>
      <w:numFmt w:val="bullet"/>
      <w:lvlText w:val="o"/>
      <w:lvlJc w:val="left"/>
      <w:pPr>
        <w:ind w:left="4048" w:hanging="360"/>
      </w:pPr>
      <w:rPr>
        <w:rFonts w:ascii="Courier New" w:hAnsi="Courier New" w:cs="Courier New" w:hint="default"/>
      </w:rPr>
    </w:lvl>
    <w:lvl w:ilvl="2" w:tplc="04090005" w:tentative="1">
      <w:start w:val="1"/>
      <w:numFmt w:val="bullet"/>
      <w:lvlText w:val=""/>
      <w:lvlJc w:val="left"/>
      <w:pPr>
        <w:ind w:left="4768" w:hanging="360"/>
      </w:pPr>
      <w:rPr>
        <w:rFonts w:ascii="Wingdings" w:hAnsi="Wingdings" w:hint="default"/>
      </w:rPr>
    </w:lvl>
    <w:lvl w:ilvl="3" w:tplc="04090001" w:tentative="1">
      <w:start w:val="1"/>
      <w:numFmt w:val="bullet"/>
      <w:lvlText w:val=""/>
      <w:lvlJc w:val="left"/>
      <w:pPr>
        <w:ind w:left="5488" w:hanging="360"/>
      </w:pPr>
      <w:rPr>
        <w:rFonts w:ascii="Symbol" w:hAnsi="Symbol" w:hint="default"/>
      </w:rPr>
    </w:lvl>
    <w:lvl w:ilvl="4" w:tplc="04090003" w:tentative="1">
      <w:start w:val="1"/>
      <w:numFmt w:val="bullet"/>
      <w:lvlText w:val="o"/>
      <w:lvlJc w:val="left"/>
      <w:pPr>
        <w:ind w:left="6208" w:hanging="360"/>
      </w:pPr>
      <w:rPr>
        <w:rFonts w:ascii="Courier New" w:hAnsi="Courier New" w:cs="Courier New" w:hint="default"/>
      </w:rPr>
    </w:lvl>
    <w:lvl w:ilvl="5" w:tplc="04090005" w:tentative="1">
      <w:start w:val="1"/>
      <w:numFmt w:val="bullet"/>
      <w:lvlText w:val=""/>
      <w:lvlJc w:val="left"/>
      <w:pPr>
        <w:ind w:left="6928" w:hanging="360"/>
      </w:pPr>
      <w:rPr>
        <w:rFonts w:ascii="Wingdings" w:hAnsi="Wingdings" w:hint="default"/>
      </w:rPr>
    </w:lvl>
    <w:lvl w:ilvl="6" w:tplc="04090001" w:tentative="1">
      <w:start w:val="1"/>
      <w:numFmt w:val="bullet"/>
      <w:lvlText w:val=""/>
      <w:lvlJc w:val="left"/>
      <w:pPr>
        <w:ind w:left="7648" w:hanging="360"/>
      </w:pPr>
      <w:rPr>
        <w:rFonts w:ascii="Symbol" w:hAnsi="Symbol" w:hint="default"/>
      </w:rPr>
    </w:lvl>
    <w:lvl w:ilvl="7" w:tplc="04090003" w:tentative="1">
      <w:start w:val="1"/>
      <w:numFmt w:val="bullet"/>
      <w:lvlText w:val="o"/>
      <w:lvlJc w:val="left"/>
      <w:pPr>
        <w:ind w:left="8368" w:hanging="360"/>
      </w:pPr>
      <w:rPr>
        <w:rFonts w:ascii="Courier New" w:hAnsi="Courier New" w:cs="Courier New" w:hint="default"/>
      </w:rPr>
    </w:lvl>
    <w:lvl w:ilvl="8" w:tplc="04090005" w:tentative="1">
      <w:start w:val="1"/>
      <w:numFmt w:val="bullet"/>
      <w:lvlText w:val=""/>
      <w:lvlJc w:val="left"/>
      <w:pPr>
        <w:ind w:left="9088" w:hanging="360"/>
      </w:pPr>
      <w:rPr>
        <w:rFonts w:ascii="Wingdings" w:hAnsi="Wingdings" w:hint="default"/>
      </w:rPr>
    </w:lvl>
  </w:abstractNum>
  <w:abstractNum w:abstractNumId="3" w15:restartNumberingAfterBreak="0">
    <w:nsid w:val="250A245F"/>
    <w:multiLevelType w:val="hybridMultilevel"/>
    <w:tmpl w:val="29E20A30"/>
    <w:lvl w:ilvl="0" w:tplc="1AF444CE">
      <w:start w:val="1"/>
      <w:numFmt w:val="decimal"/>
      <w:lvlText w:val="%1."/>
      <w:lvlJc w:val="left"/>
      <w:pPr>
        <w:ind w:left="780" w:hanging="4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2805051C"/>
    <w:multiLevelType w:val="hybridMultilevel"/>
    <w:tmpl w:val="D6480D34"/>
    <w:lvl w:ilvl="0" w:tplc="CDCEE7DA">
      <w:start w:val="1"/>
      <w:numFmt w:val="decimal"/>
      <w:lvlText w:val="%1."/>
      <w:lvlJc w:val="left"/>
      <w:pPr>
        <w:ind w:left="1429" w:hanging="360"/>
      </w:pPr>
    </w:lvl>
    <w:lvl w:ilvl="1" w:tplc="08070019" w:tentative="1">
      <w:start w:val="1"/>
      <w:numFmt w:val="lowerLetter"/>
      <w:lvlText w:val="%2."/>
      <w:lvlJc w:val="left"/>
      <w:pPr>
        <w:ind w:left="2149" w:hanging="360"/>
      </w:pPr>
    </w:lvl>
    <w:lvl w:ilvl="2" w:tplc="0807001B" w:tentative="1">
      <w:start w:val="1"/>
      <w:numFmt w:val="lowerRoman"/>
      <w:lvlText w:val="%3."/>
      <w:lvlJc w:val="right"/>
      <w:pPr>
        <w:ind w:left="2869" w:hanging="180"/>
      </w:pPr>
    </w:lvl>
    <w:lvl w:ilvl="3" w:tplc="0807000F" w:tentative="1">
      <w:start w:val="1"/>
      <w:numFmt w:val="decimal"/>
      <w:lvlText w:val="%4."/>
      <w:lvlJc w:val="left"/>
      <w:pPr>
        <w:ind w:left="3589" w:hanging="360"/>
      </w:pPr>
    </w:lvl>
    <w:lvl w:ilvl="4" w:tplc="08070019" w:tentative="1">
      <w:start w:val="1"/>
      <w:numFmt w:val="lowerLetter"/>
      <w:lvlText w:val="%5."/>
      <w:lvlJc w:val="left"/>
      <w:pPr>
        <w:ind w:left="4309" w:hanging="360"/>
      </w:pPr>
    </w:lvl>
    <w:lvl w:ilvl="5" w:tplc="0807001B" w:tentative="1">
      <w:start w:val="1"/>
      <w:numFmt w:val="lowerRoman"/>
      <w:lvlText w:val="%6."/>
      <w:lvlJc w:val="right"/>
      <w:pPr>
        <w:ind w:left="5029" w:hanging="180"/>
      </w:pPr>
    </w:lvl>
    <w:lvl w:ilvl="6" w:tplc="0807000F" w:tentative="1">
      <w:start w:val="1"/>
      <w:numFmt w:val="decimal"/>
      <w:lvlText w:val="%7."/>
      <w:lvlJc w:val="left"/>
      <w:pPr>
        <w:ind w:left="5749" w:hanging="360"/>
      </w:pPr>
    </w:lvl>
    <w:lvl w:ilvl="7" w:tplc="08070019" w:tentative="1">
      <w:start w:val="1"/>
      <w:numFmt w:val="lowerLetter"/>
      <w:lvlText w:val="%8."/>
      <w:lvlJc w:val="left"/>
      <w:pPr>
        <w:ind w:left="6469" w:hanging="360"/>
      </w:pPr>
    </w:lvl>
    <w:lvl w:ilvl="8" w:tplc="0807001B" w:tentative="1">
      <w:start w:val="1"/>
      <w:numFmt w:val="lowerRoman"/>
      <w:lvlText w:val="%9."/>
      <w:lvlJc w:val="right"/>
      <w:pPr>
        <w:ind w:left="7189" w:hanging="180"/>
      </w:pPr>
    </w:lvl>
  </w:abstractNum>
  <w:abstractNum w:abstractNumId="5" w15:restartNumberingAfterBreak="0">
    <w:nsid w:val="282E1BA0"/>
    <w:multiLevelType w:val="hybridMultilevel"/>
    <w:tmpl w:val="EF3C6AC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369A6535"/>
    <w:multiLevelType w:val="hybridMultilevel"/>
    <w:tmpl w:val="3CB68362"/>
    <w:lvl w:ilvl="0" w:tplc="B2367048">
      <w:start w:val="1"/>
      <w:numFmt w:val="bullet"/>
      <w:lvlText w:val=""/>
      <w:lvlJc w:val="left"/>
      <w:pPr>
        <w:ind w:left="1429" w:hanging="360"/>
      </w:pPr>
      <w:rPr>
        <w:rFonts w:ascii="Symbol" w:hAnsi="Symbol" w:hint="default"/>
      </w:rPr>
    </w:lvl>
    <w:lvl w:ilvl="1" w:tplc="08070003" w:tentative="1">
      <w:start w:val="1"/>
      <w:numFmt w:val="bullet"/>
      <w:lvlText w:val="o"/>
      <w:lvlJc w:val="left"/>
      <w:pPr>
        <w:ind w:left="2149" w:hanging="360"/>
      </w:pPr>
      <w:rPr>
        <w:rFonts w:ascii="Courier New" w:hAnsi="Courier New" w:cs="Courier New" w:hint="default"/>
      </w:rPr>
    </w:lvl>
    <w:lvl w:ilvl="2" w:tplc="08070005" w:tentative="1">
      <w:start w:val="1"/>
      <w:numFmt w:val="bullet"/>
      <w:lvlText w:val=""/>
      <w:lvlJc w:val="left"/>
      <w:pPr>
        <w:ind w:left="2869" w:hanging="360"/>
      </w:pPr>
      <w:rPr>
        <w:rFonts w:ascii="Wingdings" w:hAnsi="Wingdings" w:hint="default"/>
      </w:rPr>
    </w:lvl>
    <w:lvl w:ilvl="3" w:tplc="08070001" w:tentative="1">
      <w:start w:val="1"/>
      <w:numFmt w:val="bullet"/>
      <w:lvlText w:val=""/>
      <w:lvlJc w:val="left"/>
      <w:pPr>
        <w:ind w:left="3589" w:hanging="360"/>
      </w:pPr>
      <w:rPr>
        <w:rFonts w:ascii="Symbol" w:hAnsi="Symbol" w:hint="default"/>
      </w:rPr>
    </w:lvl>
    <w:lvl w:ilvl="4" w:tplc="08070003" w:tentative="1">
      <w:start w:val="1"/>
      <w:numFmt w:val="bullet"/>
      <w:lvlText w:val="o"/>
      <w:lvlJc w:val="left"/>
      <w:pPr>
        <w:ind w:left="4309" w:hanging="360"/>
      </w:pPr>
      <w:rPr>
        <w:rFonts w:ascii="Courier New" w:hAnsi="Courier New" w:cs="Courier New" w:hint="default"/>
      </w:rPr>
    </w:lvl>
    <w:lvl w:ilvl="5" w:tplc="08070005" w:tentative="1">
      <w:start w:val="1"/>
      <w:numFmt w:val="bullet"/>
      <w:lvlText w:val=""/>
      <w:lvlJc w:val="left"/>
      <w:pPr>
        <w:ind w:left="5029" w:hanging="360"/>
      </w:pPr>
      <w:rPr>
        <w:rFonts w:ascii="Wingdings" w:hAnsi="Wingdings" w:hint="default"/>
      </w:rPr>
    </w:lvl>
    <w:lvl w:ilvl="6" w:tplc="08070001" w:tentative="1">
      <w:start w:val="1"/>
      <w:numFmt w:val="bullet"/>
      <w:lvlText w:val=""/>
      <w:lvlJc w:val="left"/>
      <w:pPr>
        <w:ind w:left="5749" w:hanging="360"/>
      </w:pPr>
      <w:rPr>
        <w:rFonts w:ascii="Symbol" w:hAnsi="Symbol" w:hint="default"/>
      </w:rPr>
    </w:lvl>
    <w:lvl w:ilvl="7" w:tplc="08070003" w:tentative="1">
      <w:start w:val="1"/>
      <w:numFmt w:val="bullet"/>
      <w:lvlText w:val="o"/>
      <w:lvlJc w:val="left"/>
      <w:pPr>
        <w:ind w:left="6469" w:hanging="360"/>
      </w:pPr>
      <w:rPr>
        <w:rFonts w:ascii="Courier New" w:hAnsi="Courier New" w:cs="Courier New" w:hint="default"/>
      </w:rPr>
    </w:lvl>
    <w:lvl w:ilvl="8" w:tplc="08070005" w:tentative="1">
      <w:start w:val="1"/>
      <w:numFmt w:val="bullet"/>
      <w:lvlText w:val=""/>
      <w:lvlJc w:val="left"/>
      <w:pPr>
        <w:ind w:left="7189" w:hanging="360"/>
      </w:pPr>
      <w:rPr>
        <w:rFonts w:ascii="Wingdings" w:hAnsi="Wingdings" w:hint="default"/>
      </w:rPr>
    </w:lvl>
  </w:abstractNum>
  <w:abstractNum w:abstractNumId="7" w15:restartNumberingAfterBreak="0">
    <w:nsid w:val="42114A6C"/>
    <w:multiLevelType w:val="hybridMultilevel"/>
    <w:tmpl w:val="CC4E641A"/>
    <w:lvl w:ilvl="0" w:tplc="3F1A14D6">
      <w:start w:val="1"/>
      <w:numFmt w:val="decimal"/>
      <w:lvlRestart w:val="0"/>
      <w:pStyle w:val="MDPI71footnotes"/>
      <w:lvlText w:val="%1."/>
      <w:lvlJc w:val="left"/>
      <w:pPr>
        <w:ind w:left="425" w:hanging="425"/>
      </w:pPr>
      <w:rPr>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52E2771B"/>
    <w:multiLevelType w:val="hybridMultilevel"/>
    <w:tmpl w:val="A2A06AAC"/>
    <w:lvl w:ilvl="0" w:tplc="C788203A">
      <w:start w:val="1"/>
      <w:numFmt w:val="decimal"/>
      <w:lvlRestart w:val="0"/>
      <w:lvlText w:val="%1"/>
      <w:lvlJc w:val="left"/>
      <w:pPr>
        <w:ind w:left="425" w:hanging="425"/>
      </w:pPr>
      <w:rPr>
        <w:rFonts w:hint="eastAsia"/>
        <w:caps w:val="0"/>
        <w:strike w:val="0"/>
        <w:dstrike w:val="0"/>
        <w:vanish w:val="0"/>
        <w:sz w:val="18"/>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4075B53"/>
    <w:multiLevelType w:val="hybridMultilevel"/>
    <w:tmpl w:val="A0DCA02E"/>
    <w:lvl w:ilvl="0" w:tplc="5CB0595C">
      <w:start w:val="1"/>
      <w:numFmt w:val="decimal"/>
      <w:lvlRestart w:val="0"/>
      <w:lvlText w:val="%1."/>
      <w:lvlJc w:val="left"/>
      <w:pPr>
        <w:ind w:left="3033" w:hanging="425"/>
      </w:pPr>
    </w:lvl>
    <w:lvl w:ilvl="1" w:tplc="04090019" w:tentative="1">
      <w:start w:val="1"/>
      <w:numFmt w:val="lowerLetter"/>
      <w:lvlText w:val="%2."/>
      <w:lvlJc w:val="left"/>
      <w:pPr>
        <w:ind w:left="3691" w:hanging="360"/>
      </w:pPr>
    </w:lvl>
    <w:lvl w:ilvl="2" w:tplc="0409001B" w:tentative="1">
      <w:start w:val="1"/>
      <w:numFmt w:val="lowerRoman"/>
      <w:lvlText w:val="%3."/>
      <w:lvlJc w:val="right"/>
      <w:pPr>
        <w:ind w:left="4411" w:hanging="180"/>
      </w:pPr>
    </w:lvl>
    <w:lvl w:ilvl="3" w:tplc="0409000F" w:tentative="1">
      <w:start w:val="1"/>
      <w:numFmt w:val="decimal"/>
      <w:lvlText w:val="%4."/>
      <w:lvlJc w:val="left"/>
      <w:pPr>
        <w:ind w:left="5131" w:hanging="360"/>
      </w:pPr>
    </w:lvl>
    <w:lvl w:ilvl="4" w:tplc="04090019" w:tentative="1">
      <w:start w:val="1"/>
      <w:numFmt w:val="lowerLetter"/>
      <w:lvlText w:val="%5."/>
      <w:lvlJc w:val="left"/>
      <w:pPr>
        <w:ind w:left="5851" w:hanging="360"/>
      </w:pPr>
    </w:lvl>
    <w:lvl w:ilvl="5" w:tplc="0409001B" w:tentative="1">
      <w:start w:val="1"/>
      <w:numFmt w:val="lowerRoman"/>
      <w:lvlText w:val="%6."/>
      <w:lvlJc w:val="right"/>
      <w:pPr>
        <w:ind w:left="6571" w:hanging="180"/>
      </w:pPr>
    </w:lvl>
    <w:lvl w:ilvl="6" w:tplc="0409000F" w:tentative="1">
      <w:start w:val="1"/>
      <w:numFmt w:val="decimal"/>
      <w:lvlText w:val="%7."/>
      <w:lvlJc w:val="left"/>
      <w:pPr>
        <w:ind w:left="7291" w:hanging="360"/>
      </w:pPr>
    </w:lvl>
    <w:lvl w:ilvl="7" w:tplc="04090019" w:tentative="1">
      <w:start w:val="1"/>
      <w:numFmt w:val="lowerLetter"/>
      <w:lvlText w:val="%8."/>
      <w:lvlJc w:val="left"/>
      <w:pPr>
        <w:ind w:left="8011" w:hanging="360"/>
      </w:pPr>
    </w:lvl>
    <w:lvl w:ilvl="8" w:tplc="0409001B" w:tentative="1">
      <w:start w:val="1"/>
      <w:numFmt w:val="lowerRoman"/>
      <w:lvlText w:val="%9."/>
      <w:lvlJc w:val="right"/>
      <w:pPr>
        <w:ind w:left="8731" w:hanging="180"/>
      </w:pPr>
    </w:lvl>
  </w:abstractNum>
  <w:abstractNum w:abstractNumId="10" w15:restartNumberingAfterBreak="0">
    <w:nsid w:val="706D5736"/>
    <w:multiLevelType w:val="hybridMultilevel"/>
    <w:tmpl w:val="7E201858"/>
    <w:lvl w:ilvl="0" w:tplc="7736F520">
      <w:start w:val="1"/>
      <w:numFmt w:val="decimal"/>
      <w:lvlRestart w:val="0"/>
      <w:lvlText w:val="%1."/>
      <w:lvlJc w:val="left"/>
      <w:pPr>
        <w:ind w:left="425" w:hanging="425"/>
      </w:pPr>
      <w:rPr>
        <w:rFonts w:hint="default"/>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75DC474D"/>
    <w:multiLevelType w:val="hybridMultilevel"/>
    <w:tmpl w:val="92AEC3E0"/>
    <w:lvl w:ilvl="0" w:tplc="C7E4EB54">
      <w:start w:val="1"/>
      <w:numFmt w:val="decimal"/>
      <w:lvlRestart w:val="0"/>
      <w:pStyle w:val="MDPI37itemize"/>
      <w:lvlText w:val="%1."/>
      <w:lvlJc w:val="left"/>
      <w:pPr>
        <w:ind w:left="3033" w:hanging="425"/>
      </w:pPr>
      <w:rPr>
        <w:b w:val="0"/>
        <w:i w:val="0"/>
        <w:sz w:val="20"/>
        <w:vertAlign w:val="baseline"/>
      </w:rPr>
    </w:lvl>
    <w:lvl w:ilvl="1" w:tplc="04090019" w:tentative="1">
      <w:start w:val="1"/>
      <w:numFmt w:val="lowerLetter"/>
      <w:lvlText w:val="%2."/>
      <w:lvlJc w:val="left"/>
      <w:pPr>
        <w:ind w:left="4048" w:hanging="360"/>
      </w:pPr>
    </w:lvl>
    <w:lvl w:ilvl="2" w:tplc="0409001B" w:tentative="1">
      <w:start w:val="1"/>
      <w:numFmt w:val="lowerRoman"/>
      <w:lvlText w:val="%3."/>
      <w:lvlJc w:val="right"/>
      <w:pPr>
        <w:ind w:left="4768" w:hanging="180"/>
      </w:pPr>
    </w:lvl>
    <w:lvl w:ilvl="3" w:tplc="0409000F" w:tentative="1">
      <w:start w:val="1"/>
      <w:numFmt w:val="decimal"/>
      <w:lvlText w:val="%4."/>
      <w:lvlJc w:val="left"/>
      <w:pPr>
        <w:ind w:left="5488" w:hanging="360"/>
      </w:pPr>
    </w:lvl>
    <w:lvl w:ilvl="4" w:tplc="04090019" w:tentative="1">
      <w:start w:val="1"/>
      <w:numFmt w:val="lowerLetter"/>
      <w:lvlText w:val="%5."/>
      <w:lvlJc w:val="left"/>
      <w:pPr>
        <w:ind w:left="6208" w:hanging="360"/>
      </w:pPr>
    </w:lvl>
    <w:lvl w:ilvl="5" w:tplc="0409001B" w:tentative="1">
      <w:start w:val="1"/>
      <w:numFmt w:val="lowerRoman"/>
      <w:lvlText w:val="%6."/>
      <w:lvlJc w:val="right"/>
      <w:pPr>
        <w:ind w:left="6928" w:hanging="180"/>
      </w:pPr>
    </w:lvl>
    <w:lvl w:ilvl="6" w:tplc="0409000F" w:tentative="1">
      <w:start w:val="1"/>
      <w:numFmt w:val="decimal"/>
      <w:lvlText w:val="%7."/>
      <w:lvlJc w:val="left"/>
      <w:pPr>
        <w:ind w:left="7648" w:hanging="360"/>
      </w:pPr>
    </w:lvl>
    <w:lvl w:ilvl="7" w:tplc="04090019" w:tentative="1">
      <w:start w:val="1"/>
      <w:numFmt w:val="lowerLetter"/>
      <w:lvlText w:val="%8."/>
      <w:lvlJc w:val="left"/>
      <w:pPr>
        <w:ind w:left="8368" w:hanging="360"/>
      </w:pPr>
    </w:lvl>
    <w:lvl w:ilvl="8" w:tplc="0409001B" w:tentative="1">
      <w:start w:val="1"/>
      <w:numFmt w:val="lowerRoman"/>
      <w:lvlText w:val="%9."/>
      <w:lvlJc w:val="right"/>
      <w:pPr>
        <w:ind w:left="9088" w:hanging="180"/>
      </w:pPr>
    </w:lvl>
  </w:abstractNum>
  <w:num w:numId="1" w16cid:durableId="142891102">
    <w:abstractNumId w:val="4"/>
  </w:num>
  <w:num w:numId="2" w16cid:durableId="948045547">
    <w:abstractNumId w:val="6"/>
  </w:num>
  <w:num w:numId="3" w16cid:durableId="1557161254">
    <w:abstractNumId w:val="3"/>
  </w:num>
  <w:num w:numId="4" w16cid:durableId="2066099319">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801730135">
    <w:abstractNumId w:val="5"/>
  </w:num>
  <w:num w:numId="6" w16cid:durableId="685132415">
    <w:abstractNumId w:val="9"/>
  </w:num>
  <w:num w:numId="7" w16cid:durableId="1862694624">
    <w:abstractNumId w:val="2"/>
  </w:num>
  <w:num w:numId="8" w16cid:durableId="1063598598">
    <w:abstractNumId w:val="9"/>
  </w:num>
  <w:num w:numId="9" w16cid:durableId="1656185621">
    <w:abstractNumId w:val="2"/>
  </w:num>
  <w:num w:numId="10" w16cid:durableId="2055427729">
    <w:abstractNumId w:val="9"/>
  </w:num>
  <w:num w:numId="11" w16cid:durableId="589847698">
    <w:abstractNumId w:val="2"/>
  </w:num>
  <w:num w:numId="12" w16cid:durableId="1759599816">
    <w:abstractNumId w:val="10"/>
  </w:num>
  <w:num w:numId="13" w16cid:durableId="624196927">
    <w:abstractNumId w:val="9"/>
  </w:num>
  <w:num w:numId="14" w16cid:durableId="17394898">
    <w:abstractNumId w:val="2"/>
  </w:num>
  <w:num w:numId="15" w16cid:durableId="2087678822">
    <w:abstractNumId w:val="1"/>
  </w:num>
  <w:num w:numId="16" w16cid:durableId="1671523435">
    <w:abstractNumId w:val="8"/>
  </w:num>
  <w:num w:numId="17" w16cid:durableId="1772772747">
    <w:abstractNumId w:val="0"/>
  </w:num>
  <w:num w:numId="18" w16cid:durableId="146285709">
    <w:abstractNumId w:val="9"/>
  </w:num>
  <w:num w:numId="19" w16cid:durableId="773982015">
    <w:abstractNumId w:val="2"/>
  </w:num>
  <w:num w:numId="20" w16cid:durableId="2070960159">
    <w:abstractNumId w:val="1"/>
  </w:num>
  <w:num w:numId="21" w16cid:durableId="1475757333">
    <w:abstractNumId w:val="7"/>
  </w:num>
  <w:num w:numId="22" w16cid:durableId="577398895">
    <w:abstractNumId w:val="11"/>
  </w:num>
  <w:num w:numId="23" w16cid:durableId="189125932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bordersDoNotSurroundHeader/>
  <w:bordersDoNotSurroundFooter/>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510"/>
  <w:autoHyphenation/>
  <w:drawingGridHorizontalSpacing w:val="100"/>
  <w:drawingGridVerticalSpacing w:val="163"/>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73241"/>
    <w:rsid w:val="00024355"/>
    <w:rsid w:val="000273DF"/>
    <w:rsid w:val="00030C02"/>
    <w:rsid w:val="00042A41"/>
    <w:rsid w:val="00052E90"/>
    <w:rsid w:val="000724B2"/>
    <w:rsid w:val="00096207"/>
    <w:rsid w:val="000B02FD"/>
    <w:rsid w:val="000B1763"/>
    <w:rsid w:val="000E5122"/>
    <w:rsid w:val="000F06FD"/>
    <w:rsid w:val="00107006"/>
    <w:rsid w:val="001566B5"/>
    <w:rsid w:val="00173241"/>
    <w:rsid w:val="001807D0"/>
    <w:rsid w:val="001A3141"/>
    <w:rsid w:val="001A4946"/>
    <w:rsid w:val="001B15BB"/>
    <w:rsid w:val="001B1E4C"/>
    <w:rsid w:val="001B3476"/>
    <w:rsid w:val="001C4F5D"/>
    <w:rsid w:val="001D3F55"/>
    <w:rsid w:val="001E2AEB"/>
    <w:rsid w:val="001F333C"/>
    <w:rsid w:val="001F6B2A"/>
    <w:rsid w:val="00212227"/>
    <w:rsid w:val="0021537E"/>
    <w:rsid w:val="00217EE2"/>
    <w:rsid w:val="0024581C"/>
    <w:rsid w:val="00274866"/>
    <w:rsid w:val="00290CA2"/>
    <w:rsid w:val="00291165"/>
    <w:rsid w:val="00295161"/>
    <w:rsid w:val="002B4C82"/>
    <w:rsid w:val="002C420F"/>
    <w:rsid w:val="002D0DC4"/>
    <w:rsid w:val="003212F5"/>
    <w:rsid w:val="003234A8"/>
    <w:rsid w:val="00326141"/>
    <w:rsid w:val="0033365D"/>
    <w:rsid w:val="0033394C"/>
    <w:rsid w:val="00386F7E"/>
    <w:rsid w:val="003A5C3C"/>
    <w:rsid w:val="003C7481"/>
    <w:rsid w:val="003D34A1"/>
    <w:rsid w:val="003D5EB7"/>
    <w:rsid w:val="003E1CB9"/>
    <w:rsid w:val="003F37F7"/>
    <w:rsid w:val="00401D30"/>
    <w:rsid w:val="00402B74"/>
    <w:rsid w:val="00402BA1"/>
    <w:rsid w:val="00411E95"/>
    <w:rsid w:val="0042259B"/>
    <w:rsid w:val="00463FB0"/>
    <w:rsid w:val="004701FA"/>
    <w:rsid w:val="00473F73"/>
    <w:rsid w:val="0048675C"/>
    <w:rsid w:val="00491A38"/>
    <w:rsid w:val="004A44EE"/>
    <w:rsid w:val="004C2D9F"/>
    <w:rsid w:val="004D586B"/>
    <w:rsid w:val="004E1514"/>
    <w:rsid w:val="004E661E"/>
    <w:rsid w:val="0052050E"/>
    <w:rsid w:val="005352E0"/>
    <w:rsid w:val="00545B32"/>
    <w:rsid w:val="005546D2"/>
    <w:rsid w:val="00567F4C"/>
    <w:rsid w:val="005778BD"/>
    <w:rsid w:val="005944E0"/>
    <w:rsid w:val="00597CEF"/>
    <w:rsid w:val="005B6B9B"/>
    <w:rsid w:val="005C2797"/>
    <w:rsid w:val="005C4752"/>
    <w:rsid w:val="005D49F7"/>
    <w:rsid w:val="005E64C3"/>
    <w:rsid w:val="005F1025"/>
    <w:rsid w:val="00602843"/>
    <w:rsid w:val="006060F0"/>
    <w:rsid w:val="00621CD0"/>
    <w:rsid w:val="00631236"/>
    <w:rsid w:val="00662367"/>
    <w:rsid w:val="00667908"/>
    <w:rsid w:val="0068146A"/>
    <w:rsid w:val="00682756"/>
    <w:rsid w:val="0068346F"/>
    <w:rsid w:val="00686F99"/>
    <w:rsid w:val="00691935"/>
    <w:rsid w:val="00692393"/>
    <w:rsid w:val="00692EF9"/>
    <w:rsid w:val="00696B45"/>
    <w:rsid w:val="00696F7D"/>
    <w:rsid w:val="0069792F"/>
    <w:rsid w:val="00697B5A"/>
    <w:rsid w:val="006A501D"/>
    <w:rsid w:val="006A61B7"/>
    <w:rsid w:val="006C34CE"/>
    <w:rsid w:val="006F3EB8"/>
    <w:rsid w:val="00700834"/>
    <w:rsid w:val="00706180"/>
    <w:rsid w:val="00711C35"/>
    <w:rsid w:val="0072104A"/>
    <w:rsid w:val="007267C3"/>
    <w:rsid w:val="00726AE9"/>
    <w:rsid w:val="00745775"/>
    <w:rsid w:val="00746DB9"/>
    <w:rsid w:val="00752DC1"/>
    <w:rsid w:val="0075693E"/>
    <w:rsid w:val="00787A94"/>
    <w:rsid w:val="007A45A6"/>
    <w:rsid w:val="007A5599"/>
    <w:rsid w:val="007C63CB"/>
    <w:rsid w:val="007E21E9"/>
    <w:rsid w:val="008046B5"/>
    <w:rsid w:val="00825361"/>
    <w:rsid w:val="00826DC7"/>
    <w:rsid w:val="00844CCF"/>
    <w:rsid w:val="00852894"/>
    <w:rsid w:val="00853F7A"/>
    <w:rsid w:val="00855A5A"/>
    <w:rsid w:val="00860B4F"/>
    <w:rsid w:val="00862970"/>
    <w:rsid w:val="00865AC6"/>
    <w:rsid w:val="00880CDC"/>
    <w:rsid w:val="00894AF0"/>
    <w:rsid w:val="008B2F77"/>
    <w:rsid w:val="008B355C"/>
    <w:rsid w:val="00906CDA"/>
    <w:rsid w:val="00920CE2"/>
    <w:rsid w:val="00931D46"/>
    <w:rsid w:val="00933543"/>
    <w:rsid w:val="00942152"/>
    <w:rsid w:val="009711A9"/>
    <w:rsid w:val="00973C3F"/>
    <w:rsid w:val="00974BF0"/>
    <w:rsid w:val="00991250"/>
    <w:rsid w:val="0099645E"/>
    <w:rsid w:val="009F65D2"/>
    <w:rsid w:val="009F70E6"/>
    <w:rsid w:val="009F7EF7"/>
    <w:rsid w:val="00A0209A"/>
    <w:rsid w:val="00A0510E"/>
    <w:rsid w:val="00A27049"/>
    <w:rsid w:val="00A50BAC"/>
    <w:rsid w:val="00A62098"/>
    <w:rsid w:val="00A87F05"/>
    <w:rsid w:val="00A96919"/>
    <w:rsid w:val="00AB1C83"/>
    <w:rsid w:val="00AB2CFC"/>
    <w:rsid w:val="00AB7F9D"/>
    <w:rsid w:val="00AC011A"/>
    <w:rsid w:val="00AD0917"/>
    <w:rsid w:val="00AE3076"/>
    <w:rsid w:val="00AE78A6"/>
    <w:rsid w:val="00AF4572"/>
    <w:rsid w:val="00B227AE"/>
    <w:rsid w:val="00B3089C"/>
    <w:rsid w:val="00B44A3E"/>
    <w:rsid w:val="00B50D0A"/>
    <w:rsid w:val="00B5395F"/>
    <w:rsid w:val="00B619EF"/>
    <w:rsid w:val="00B70A81"/>
    <w:rsid w:val="00B831DB"/>
    <w:rsid w:val="00B86B71"/>
    <w:rsid w:val="00B97843"/>
    <w:rsid w:val="00BA0752"/>
    <w:rsid w:val="00BA697E"/>
    <w:rsid w:val="00BB4ECE"/>
    <w:rsid w:val="00BB65AA"/>
    <w:rsid w:val="00BC1DAF"/>
    <w:rsid w:val="00BD0190"/>
    <w:rsid w:val="00BD78F6"/>
    <w:rsid w:val="00BE46B3"/>
    <w:rsid w:val="00BF2449"/>
    <w:rsid w:val="00BF5B29"/>
    <w:rsid w:val="00BF72BA"/>
    <w:rsid w:val="00C047A0"/>
    <w:rsid w:val="00C12FD6"/>
    <w:rsid w:val="00C20ADD"/>
    <w:rsid w:val="00C245DC"/>
    <w:rsid w:val="00C2479E"/>
    <w:rsid w:val="00C51301"/>
    <w:rsid w:val="00C551F8"/>
    <w:rsid w:val="00C57C44"/>
    <w:rsid w:val="00C77DFC"/>
    <w:rsid w:val="00CB1365"/>
    <w:rsid w:val="00CD2C47"/>
    <w:rsid w:val="00CD4E06"/>
    <w:rsid w:val="00CE1FFF"/>
    <w:rsid w:val="00CE47B8"/>
    <w:rsid w:val="00CF1526"/>
    <w:rsid w:val="00D0346E"/>
    <w:rsid w:val="00D04039"/>
    <w:rsid w:val="00D21345"/>
    <w:rsid w:val="00D22698"/>
    <w:rsid w:val="00D42C10"/>
    <w:rsid w:val="00D474EE"/>
    <w:rsid w:val="00D552C0"/>
    <w:rsid w:val="00D63E61"/>
    <w:rsid w:val="00D802CB"/>
    <w:rsid w:val="00DD53BE"/>
    <w:rsid w:val="00DD6B43"/>
    <w:rsid w:val="00DE5229"/>
    <w:rsid w:val="00E03F3D"/>
    <w:rsid w:val="00E10DAA"/>
    <w:rsid w:val="00E2035E"/>
    <w:rsid w:val="00E56996"/>
    <w:rsid w:val="00E74221"/>
    <w:rsid w:val="00EA1995"/>
    <w:rsid w:val="00EA2E33"/>
    <w:rsid w:val="00EB578D"/>
    <w:rsid w:val="00EB627A"/>
    <w:rsid w:val="00EC3E5C"/>
    <w:rsid w:val="00ED31D0"/>
    <w:rsid w:val="00F06AB4"/>
    <w:rsid w:val="00F073E1"/>
    <w:rsid w:val="00F10D3F"/>
    <w:rsid w:val="00F147BC"/>
    <w:rsid w:val="00F179A9"/>
    <w:rsid w:val="00F34FEE"/>
    <w:rsid w:val="00F358F1"/>
    <w:rsid w:val="00F3641D"/>
    <w:rsid w:val="00F40B07"/>
    <w:rsid w:val="00F47333"/>
    <w:rsid w:val="00F50D7B"/>
    <w:rsid w:val="00F51ED6"/>
    <w:rsid w:val="00F5210F"/>
    <w:rsid w:val="00F8722C"/>
    <w:rsid w:val="00FA5AAF"/>
    <w:rsid w:val="00FD300C"/>
    <w:rsid w:val="00FD4B6A"/>
    <w:rsid w:val="00FE2998"/>
    <w:rsid w:val="00FE3D1A"/>
    <w:rsid w:val="00FF03EA"/>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5782C94"/>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宋体" w:hAnsi="Calibri"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iPriority="0"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D34A1"/>
    <w:pPr>
      <w:spacing w:line="280" w:lineRule="atLeast"/>
      <w:jc w:val="both"/>
    </w:pPr>
    <w:rPr>
      <w:rFonts w:ascii="Palatino Linotype" w:hAnsi="Palatino Linotype"/>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MDPI11articletype">
    <w:name w:val="MDPI_1.1_article_type"/>
    <w:next w:val="Normal"/>
    <w:qFormat/>
    <w:rsid w:val="003D34A1"/>
    <w:pPr>
      <w:adjustRightInd w:val="0"/>
      <w:snapToGrid w:val="0"/>
      <w:spacing w:before="240"/>
    </w:pPr>
    <w:rPr>
      <w:rFonts w:ascii="Palatino Linotype" w:eastAsia="Times New Roman" w:hAnsi="Palatino Linotype"/>
      <w:i/>
      <w:snapToGrid w:val="0"/>
      <w:color w:val="000000"/>
      <w:szCs w:val="22"/>
      <w:lang w:eastAsia="de-DE" w:bidi="en-US"/>
    </w:rPr>
  </w:style>
  <w:style w:type="paragraph" w:customStyle="1" w:styleId="MDPI12title">
    <w:name w:val="MDPI_1.2_title"/>
    <w:next w:val="Normal"/>
    <w:qFormat/>
    <w:rsid w:val="003D34A1"/>
    <w:pPr>
      <w:adjustRightInd w:val="0"/>
      <w:snapToGrid w:val="0"/>
      <w:spacing w:after="240" w:line="240" w:lineRule="atLeast"/>
    </w:pPr>
    <w:rPr>
      <w:rFonts w:ascii="Palatino Linotype" w:eastAsia="Times New Roman" w:hAnsi="Palatino Linotype"/>
      <w:b/>
      <w:snapToGrid w:val="0"/>
      <w:color w:val="000000"/>
      <w:sz w:val="36"/>
      <w:lang w:eastAsia="de-DE" w:bidi="en-US"/>
    </w:rPr>
  </w:style>
  <w:style w:type="paragraph" w:customStyle="1" w:styleId="MDPI13authornames">
    <w:name w:val="MDPI_1.3_authornames"/>
    <w:next w:val="Normal"/>
    <w:qFormat/>
    <w:rsid w:val="003D34A1"/>
    <w:pPr>
      <w:adjustRightInd w:val="0"/>
      <w:snapToGrid w:val="0"/>
      <w:spacing w:after="360" w:line="260" w:lineRule="atLeast"/>
    </w:pPr>
    <w:rPr>
      <w:rFonts w:ascii="Palatino Linotype" w:eastAsia="Times New Roman" w:hAnsi="Palatino Linotype"/>
      <w:b/>
      <w:color w:val="000000"/>
      <w:szCs w:val="22"/>
      <w:lang w:eastAsia="de-DE" w:bidi="en-US"/>
    </w:rPr>
  </w:style>
  <w:style w:type="paragraph" w:customStyle="1" w:styleId="MDPI14history">
    <w:name w:val="MDPI_1.4_history"/>
    <w:basedOn w:val="Normal"/>
    <w:next w:val="Normal"/>
    <w:qFormat/>
    <w:rsid w:val="003D34A1"/>
    <w:pPr>
      <w:adjustRightInd w:val="0"/>
      <w:snapToGrid w:val="0"/>
      <w:spacing w:line="240" w:lineRule="atLeast"/>
      <w:ind w:right="113"/>
      <w:jc w:val="left"/>
    </w:pPr>
    <w:rPr>
      <w:rFonts w:eastAsia="Times New Roman"/>
      <w:sz w:val="14"/>
      <w:lang w:eastAsia="de-DE" w:bidi="en-US"/>
    </w:rPr>
  </w:style>
  <w:style w:type="paragraph" w:customStyle="1" w:styleId="MDPI16affiliation">
    <w:name w:val="MDPI_1.6_affiliation"/>
    <w:qFormat/>
    <w:rsid w:val="003D34A1"/>
    <w:pPr>
      <w:adjustRightInd w:val="0"/>
      <w:snapToGrid w:val="0"/>
      <w:spacing w:line="200" w:lineRule="atLeast"/>
      <w:ind w:left="2806" w:hanging="198"/>
    </w:pPr>
    <w:rPr>
      <w:rFonts w:ascii="Palatino Linotype" w:eastAsia="Times New Roman" w:hAnsi="Palatino Linotype"/>
      <w:color w:val="000000"/>
      <w:sz w:val="16"/>
      <w:szCs w:val="18"/>
      <w:lang w:eastAsia="de-DE" w:bidi="en-US"/>
    </w:rPr>
  </w:style>
  <w:style w:type="paragraph" w:customStyle="1" w:styleId="MDPI17abstract">
    <w:name w:val="MDPI_1.7_abstract"/>
    <w:next w:val="Normal"/>
    <w:qFormat/>
    <w:rsid w:val="003D34A1"/>
    <w:pPr>
      <w:adjustRightInd w:val="0"/>
      <w:snapToGrid w:val="0"/>
      <w:spacing w:before="240" w:after="120" w:line="280" w:lineRule="atLeast"/>
      <w:ind w:left="2608"/>
      <w:jc w:val="both"/>
    </w:pPr>
    <w:rPr>
      <w:rFonts w:ascii="Palatino Linotype" w:eastAsia="Times New Roman" w:hAnsi="Palatino Linotype"/>
      <w:color w:val="000000"/>
      <w:szCs w:val="22"/>
      <w:lang w:eastAsia="de-DE" w:bidi="en-US"/>
    </w:rPr>
  </w:style>
  <w:style w:type="paragraph" w:customStyle="1" w:styleId="MDPI18keywords">
    <w:name w:val="MDPI_1.8_keywords"/>
    <w:next w:val="Normal"/>
    <w:qFormat/>
    <w:rsid w:val="003D34A1"/>
    <w:pPr>
      <w:adjustRightInd w:val="0"/>
      <w:snapToGrid w:val="0"/>
      <w:spacing w:before="24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19line">
    <w:name w:val="MDPI_1.9_line"/>
    <w:qFormat/>
    <w:rsid w:val="003D34A1"/>
    <w:pPr>
      <w:pBdr>
        <w:bottom w:val="single" w:sz="6" w:space="1" w:color="auto"/>
      </w:pBdr>
      <w:adjustRightInd w:val="0"/>
      <w:snapToGrid w:val="0"/>
      <w:spacing w:after="480" w:line="280" w:lineRule="atLeast"/>
      <w:ind w:left="2608"/>
      <w:jc w:val="both"/>
    </w:pPr>
    <w:rPr>
      <w:rFonts w:ascii="Palatino Linotype" w:eastAsia="Times New Roman" w:hAnsi="Palatino Linotype" w:cs="Cordia New"/>
      <w:color w:val="000000"/>
      <w:szCs w:val="24"/>
      <w:lang w:eastAsia="de-DE" w:bidi="en-US"/>
    </w:rPr>
  </w:style>
  <w:style w:type="table" w:customStyle="1" w:styleId="Mdeck5tablebodythreelines">
    <w:name w:val="M_deck_5_table_body_three_lines"/>
    <w:basedOn w:val="TableNormal"/>
    <w:uiPriority w:val="99"/>
    <w:rsid w:val="00173241"/>
    <w:pPr>
      <w:adjustRightInd w:val="0"/>
      <w:snapToGrid w:val="0"/>
      <w:spacing w:line="300" w:lineRule="exact"/>
      <w:jc w:val="center"/>
    </w:pPr>
    <w:rPr>
      <w:rFonts w:ascii="Times New Roman" w:hAnsi="Times New Roman"/>
      <w:lang w:val="de-DE" w:eastAsia="de-DE"/>
    </w:rPr>
    <w:tblPr>
      <w:jc w:val="center"/>
      <w:tblBorders>
        <w:bottom w:val="single" w:sz="8" w:space="0" w:color="auto"/>
      </w:tblBorders>
    </w:tblPr>
    <w:trPr>
      <w:jc w:val="center"/>
    </w:trPr>
    <w:tcPr>
      <w:vAlign w:val="center"/>
    </w:tcPr>
    <w:tblStylePr w:type="firstRow">
      <w:pPr>
        <w:wordWrap/>
        <w:adjustRightInd w:val="0"/>
        <w:snapToGrid w:val="0"/>
        <w:spacing w:beforeLines="0" w:beforeAutospacing="0" w:afterLines="0" w:afterAutospacing="0" w:line="300" w:lineRule="exact"/>
        <w:ind w:leftChars="0" w:left="0" w:rightChars="0" w:right="0" w:firstLineChars="0" w:firstLine="0"/>
        <w:contextualSpacing w:val="0"/>
        <w:mirrorIndents w:val="0"/>
        <w:jc w:val="center"/>
        <w:outlineLvl w:val="9"/>
      </w:pPr>
      <w:rPr>
        <w:rFonts w:ascii="Times New Roman" w:eastAsia="Times New Roman" w:hAnsi="Times New Roman"/>
        <w:b w:val="0"/>
        <w:i w:val="0"/>
        <w:snapToGrid w:val="0"/>
        <w:sz w:val="22"/>
      </w:rPr>
      <w:tblPr/>
      <w:tcPr>
        <w:tcBorders>
          <w:top w:val="single" w:sz="8" w:space="0" w:color="auto"/>
          <w:left w:val="nil"/>
          <w:bottom w:val="single" w:sz="4" w:space="0" w:color="auto"/>
          <w:right w:val="nil"/>
          <w:insideH w:val="nil"/>
          <w:insideV w:val="nil"/>
          <w:tl2br w:val="nil"/>
          <w:tr2bl w:val="nil"/>
        </w:tcBorders>
      </w:tcPr>
    </w:tblStylePr>
  </w:style>
  <w:style w:type="table" w:styleId="TableGrid">
    <w:name w:val="Table Grid"/>
    <w:basedOn w:val="TableNormal"/>
    <w:uiPriority w:val="59"/>
    <w:rsid w:val="003D34A1"/>
    <w:pPr>
      <w:spacing w:line="260" w:lineRule="atLeast"/>
      <w:jc w:val="both"/>
    </w:pPr>
    <w:rPr>
      <w:rFonts w:ascii="Palatino Linotype" w:hAnsi="Palatino Linotype"/>
      <w:color w:val="00000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rsid w:val="003D34A1"/>
    <w:pPr>
      <w:tabs>
        <w:tab w:val="center" w:pos="4153"/>
        <w:tab w:val="right" w:pos="8306"/>
      </w:tabs>
      <w:snapToGrid w:val="0"/>
      <w:spacing w:line="240" w:lineRule="atLeast"/>
    </w:pPr>
    <w:rPr>
      <w:szCs w:val="18"/>
    </w:rPr>
  </w:style>
  <w:style w:type="character" w:customStyle="1" w:styleId="FooterChar">
    <w:name w:val="Footer Char"/>
    <w:link w:val="Footer"/>
    <w:uiPriority w:val="99"/>
    <w:rsid w:val="003D34A1"/>
    <w:rPr>
      <w:rFonts w:ascii="Palatino Linotype" w:hAnsi="Palatino Linotype"/>
      <w:noProof/>
      <w:color w:val="000000"/>
      <w:szCs w:val="18"/>
    </w:rPr>
  </w:style>
  <w:style w:type="paragraph" w:styleId="Header">
    <w:name w:val="header"/>
    <w:basedOn w:val="Normal"/>
    <w:link w:val="HeaderChar"/>
    <w:uiPriority w:val="99"/>
    <w:rsid w:val="003D34A1"/>
    <w:pPr>
      <w:pBdr>
        <w:bottom w:val="single" w:sz="6" w:space="1" w:color="auto"/>
      </w:pBdr>
      <w:tabs>
        <w:tab w:val="center" w:pos="4153"/>
        <w:tab w:val="right" w:pos="8306"/>
      </w:tabs>
      <w:snapToGrid w:val="0"/>
      <w:spacing w:line="240" w:lineRule="atLeast"/>
      <w:jc w:val="center"/>
    </w:pPr>
    <w:rPr>
      <w:szCs w:val="18"/>
    </w:rPr>
  </w:style>
  <w:style w:type="character" w:customStyle="1" w:styleId="HeaderChar">
    <w:name w:val="Header Char"/>
    <w:link w:val="Header"/>
    <w:uiPriority w:val="99"/>
    <w:rsid w:val="003D34A1"/>
    <w:rPr>
      <w:rFonts w:ascii="Palatino Linotype" w:hAnsi="Palatino Linotype"/>
      <w:noProof/>
      <w:color w:val="000000"/>
      <w:szCs w:val="18"/>
    </w:rPr>
  </w:style>
  <w:style w:type="paragraph" w:customStyle="1" w:styleId="MDPI32textnoindent">
    <w:name w:val="MDPI_3.2_text_no_indent"/>
    <w:basedOn w:val="MDPI31text"/>
    <w:qFormat/>
    <w:rsid w:val="003D34A1"/>
    <w:pPr>
      <w:ind w:firstLine="0"/>
    </w:pPr>
  </w:style>
  <w:style w:type="paragraph" w:customStyle="1" w:styleId="MDPI31text">
    <w:name w:val="MDPI_3.1_text"/>
    <w:qFormat/>
    <w:rsid w:val="00BA0752"/>
    <w:pPr>
      <w:adjustRightInd w:val="0"/>
      <w:snapToGrid w:val="0"/>
      <w:spacing w:line="280" w:lineRule="atLeast"/>
      <w:ind w:left="2608" w:firstLine="425"/>
      <w:jc w:val="both"/>
    </w:pPr>
    <w:rPr>
      <w:rFonts w:ascii="Palatino Linotype" w:eastAsia="Times New Roman" w:hAnsi="Palatino Linotype"/>
      <w:snapToGrid w:val="0"/>
      <w:color w:val="000000"/>
      <w:szCs w:val="22"/>
      <w:lang w:eastAsia="de-DE" w:bidi="en-US"/>
    </w:rPr>
  </w:style>
  <w:style w:type="paragraph" w:customStyle="1" w:styleId="MDPI33textspaceafter">
    <w:name w:val="MDPI_3.3_text_space_after"/>
    <w:qFormat/>
    <w:rsid w:val="003D34A1"/>
    <w:pPr>
      <w:adjustRightInd w:val="0"/>
      <w:snapToGrid w:val="0"/>
      <w:spacing w:after="24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34textspacebefore">
    <w:name w:val="MDPI_3.4_text_space_before"/>
    <w:qFormat/>
    <w:rsid w:val="003D34A1"/>
    <w:pPr>
      <w:adjustRightInd w:val="0"/>
      <w:snapToGrid w:val="0"/>
      <w:spacing w:before="24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35textbeforelist">
    <w:name w:val="MDPI_3.5_text_before_list"/>
    <w:qFormat/>
    <w:rsid w:val="003D34A1"/>
    <w:pPr>
      <w:adjustRightInd w:val="0"/>
      <w:snapToGrid w:val="0"/>
      <w:spacing w:line="280" w:lineRule="atLeast"/>
      <w:ind w:left="2608" w:firstLine="425"/>
      <w:jc w:val="both"/>
    </w:pPr>
    <w:rPr>
      <w:rFonts w:ascii="Palatino Linotype" w:eastAsia="Times New Roman" w:hAnsi="Palatino Linotype"/>
      <w:snapToGrid w:val="0"/>
      <w:color w:val="000000"/>
      <w:szCs w:val="22"/>
      <w:lang w:eastAsia="de-DE" w:bidi="en-US"/>
    </w:rPr>
  </w:style>
  <w:style w:type="paragraph" w:customStyle="1" w:styleId="MDPI36textafterlist">
    <w:name w:val="MDPI_3.6_text_after_list"/>
    <w:qFormat/>
    <w:rsid w:val="003D34A1"/>
    <w:pPr>
      <w:adjustRightInd w:val="0"/>
      <w:snapToGrid w:val="0"/>
      <w:spacing w:before="12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37itemize">
    <w:name w:val="MDPI_3.7_itemize"/>
    <w:qFormat/>
    <w:rsid w:val="00A96919"/>
    <w:pPr>
      <w:numPr>
        <w:numId w:val="22"/>
      </w:numPr>
      <w:adjustRightInd w:val="0"/>
      <w:snapToGrid w:val="0"/>
      <w:spacing w:line="280" w:lineRule="atLeast"/>
      <w:jc w:val="both"/>
    </w:pPr>
    <w:rPr>
      <w:rFonts w:ascii="Palatino Linotype" w:eastAsia="Times New Roman" w:hAnsi="Palatino Linotype"/>
      <w:color w:val="000000"/>
      <w:szCs w:val="22"/>
      <w:lang w:eastAsia="de-DE" w:bidi="en-US"/>
    </w:rPr>
  </w:style>
  <w:style w:type="paragraph" w:customStyle="1" w:styleId="MDPI38bullet">
    <w:name w:val="MDPI_3.8_bullet"/>
    <w:qFormat/>
    <w:rsid w:val="00A96919"/>
    <w:pPr>
      <w:numPr>
        <w:numId w:val="20"/>
      </w:numPr>
      <w:adjustRightInd w:val="0"/>
      <w:snapToGrid w:val="0"/>
      <w:spacing w:line="280" w:lineRule="atLeast"/>
      <w:jc w:val="both"/>
    </w:pPr>
    <w:rPr>
      <w:rFonts w:ascii="Palatino Linotype" w:eastAsia="Times New Roman" w:hAnsi="Palatino Linotype"/>
      <w:color w:val="000000"/>
      <w:szCs w:val="22"/>
      <w:lang w:eastAsia="de-DE" w:bidi="en-US"/>
    </w:rPr>
  </w:style>
  <w:style w:type="paragraph" w:customStyle="1" w:styleId="MDPI39equation">
    <w:name w:val="MDPI_3.9_equation"/>
    <w:qFormat/>
    <w:rsid w:val="003D34A1"/>
    <w:pPr>
      <w:adjustRightInd w:val="0"/>
      <w:snapToGrid w:val="0"/>
      <w:spacing w:before="120" w:after="120" w:line="280" w:lineRule="atLeast"/>
      <w:ind w:left="709"/>
      <w:jc w:val="center"/>
    </w:pPr>
    <w:rPr>
      <w:rFonts w:ascii="Palatino Linotype" w:eastAsia="Times New Roman" w:hAnsi="Palatino Linotype"/>
      <w:snapToGrid w:val="0"/>
      <w:color w:val="000000"/>
      <w:szCs w:val="22"/>
      <w:lang w:eastAsia="de-DE" w:bidi="en-US"/>
    </w:rPr>
  </w:style>
  <w:style w:type="paragraph" w:customStyle="1" w:styleId="MDPI3aequationnumber">
    <w:name w:val="MDPI_3.a_equation_number"/>
    <w:qFormat/>
    <w:rsid w:val="003D34A1"/>
    <w:pPr>
      <w:spacing w:before="120" w:after="120" w:line="280" w:lineRule="atLeast"/>
      <w:jc w:val="right"/>
    </w:pPr>
    <w:rPr>
      <w:rFonts w:ascii="Palatino Linotype" w:eastAsia="Times New Roman" w:hAnsi="Palatino Linotype"/>
      <w:snapToGrid w:val="0"/>
      <w:color w:val="000000"/>
      <w:szCs w:val="22"/>
      <w:lang w:eastAsia="de-DE" w:bidi="en-US"/>
    </w:rPr>
  </w:style>
  <w:style w:type="paragraph" w:customStyle="1" w:styleId="MDPI41tablecaption">
    <w:name w:val="MDPI_4.1_table_caption"/>
    <w:qFormat/>
    <w:rsid w:val="003D34A1"/>
    <w:pPr>
      <w:adjustRightInd w:val="0"/>
      <w:snapToGrid w:val="0"/>
      <w:spacing w:before="240" w:after="120" w:line="280" w:lineRule="atLeast"/>
      <w:ind w:left="2608"/>
      <w:jc w:val="both"/>
    </w:pPr>
    <w:rPr>
      <w:rFonts w:ascii="Palatino Linotype" w:eastAsia="Times New Roman" w:hAnsi="Palatino Linotype" w:cs="Cordia New"/>
      <w:color w:val="000000"/>
      <w:sz w:val="18"/>
      <w:szCs w:val="22"/>
      <w:lang w:eastAsia="de-DE" w:bidi="en-US"/>
    </w:rPr>
  </w:style>
  <w:style w:type="paragraph" w:customStyle="1" w:styleId="MDPI42tablebody">
    <w:name w:val="MDPI_4.2_table_body"/>
    <w:qFormat/>
    <w:rsid w:val="000B1763"/>
    <w:pPr>
      <w:adjustRightInd w:val="0"/>
      <w:snapToGrid w:val="0"/>
      <w:spacing w:line="260" w:lineRule="atLeast"/>
      <w:jc w:val="center"/>
    </w:pPr>
    <w:rPr>
      <w:rFonts w:ascii="Palatino Linotype" w:eastAsia="Times New Roman" w:hAnsi="Palatino Linotype"/>
      <w:snapToGrid w:val="0"/>
      <w:color w:val="000000"/>
      <w:lang w:eastAsia="de-DE" w:bidi="en-US"/>
    </w:rPr>
  </w:style>
  <w:style w:type="paragraph" w:customStyle="1" w:styleId="MDPI43tablefooter">
    <w:name w:val="MDPI_4.3_table_footer"/>
    <w:next w:val="MDPI31text"/>
    <w:qFormat/>
    <w:rsid w:val="003D34A1"/>
    <w:pPr>
      <w:adjustRightInd w:val="0"/>
      <w:snapToGrid w:val="0"/>
      <w:spacing w:line="280" w:lineRule="atLeast"/>
      <w:ind w:left="2608"/>
      <w:jc w:val="both"/>
    </w:pPr>
    <w:rPr>
      <w:rFonts w:ascii="Palatino Linotype" w:eastAsia="Times New Roman" w:hAnsi="Palatino Linotype" w:cs="Cordia New"/>
      <w:color w:val="000000"/>
      <w:sz w:val="18"/>
      <w:szCs w:val="22"/>
      <w:lang w:eastAsia="de-DE" w:bidi="en-US"/>
    </w:rPr>
  </w:style>
  <w:style w:type="paragraph" w:customStyle="1" w:styleId="MDPI51figurecaption">
    <w:name w:val="MDPI_5.1_figure_caption"/>
    <w:qFormat/>
    <w:rsid w:val="003D34A1"/>
    <w:pPr>
      <w:adjustRightInd w:val="0"/>
      <w:snapToGrid w:val="0"/>
      <w:spacing w:before="120" w:after="240" w:line="280" w:lineRule="atLeast"/>
      <w:ind w:left="2608"/>
      <w:jc w:val="both"/>
    </w:pPr>
    <w:rPr>
      <w:rFonts w:ascii="Palatino Linotype" w:eastAsia="Times New Roman" w:hAnsi="Palatino Linotype"/>
      <w:color w:val="000000"/>
      <w:sz w:val="18"/>
      <w:lang w:eastAsia="de-DE" w:bidi="en-US"/>
    </w:rPr>
  </w:style>
  <w:style w:type="paragraph" w:customStyle="1" w:styleId="MDPI52figure">
    <w:name w:val="MDPI_5.2_figure"/>
    <w:qFormat/>
    <w:rsid w:val="003D34A1"/>
    <w:pPr>
      <w:adjustRightInd w:val="0"/>
      <w:snapToGrid w:val="0"/>
      <w:spacing w:before="240" w:after="120"/>
      <w:jc w:val="center"/>
    </w:pPr>
    <w:rPr>
      <w:rFonts w:ascii="Palatino Linotype" w:eastAsia="Times New Roman" w:hAnsi="Palatino Linotype"/>
      <w:snapToGrid w:val="0"/>
      <w:color w:val="000000"/>
      <w:lang w:eastAsia="de-DE" w:bidi="en-US"/>
    </w:rPr>
  </w:style>
  <w:style w:type="paragraph" w:customStyle="1" w:styleId="MDPI82theorem">
    <w:name w:val="MDPI_8.2_theorem"/>
    <w:qFormat/>
    <w:rsid w:val="003D34A1"/>
    <w:pPr>
      <w:adjustRightInd w:val="0"/>
      <w:snapToGrid w:val="0"/>
      <w:spacing w:line="280" w:lineRule="atLeast"/>
      <w:ind w:left="2608"/>
      <w:jc w:val="both"/>
    </w:pPr>
    <w:rPr>
      <w:rFonts w:ascii="Palatino Linotype" w:eastAsia="Times New Roman" w:hAnsi="Palatino Linotype"/>
      <w:i/>
      <w:snapToGrid w:val="0"/>
      <w:color w:val="000000"/>
      <w:szCs w:val="22"/>
      <w:lang w:eastAsia="de-DE" w:bidi="en-US"/>
    </w:rPr>
  </w:style>
  <w:style w:type="paragraph" w:customStyle="1" w:styleId="MDPI83proof">
    <w:name w:val="MDPI_8.3_proof"/>
    <w:qFormat/>
    <w:rsid w:val="003D34A1"/>
    <w:pPr>
      <w:adjustRightInd w:val="0"/>
      <w:snapToGrid w:val="0"/>
      <w:spacing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23heading3">
    <w:name w:val="MDPI_2.3_heading3"/>
    <w:qFormat/>
    <w:rsid w:val="003D34A1"/>
    <w:pPr>
      <w:adjustRightInd w:val="0"/>
      <w:snapToGrid w:val="0"/>
      <w:spacing w:before="60" w:after="60" w:line="280" w:lineRule="atLeast"/>
      <w:ind w:left="2608"/>
      <w:outlineLvl w:val="2"/>
    </w:pPr>
    <w:rPr>
      <w:rFonts w:ascii="Palatino Linotype" w:eastAsia="Times New Roman" w:hAnsi="Palatino Linotype"/>
      <w:snapToGrid w:val="0"/>
      <w:color w:val="000000"/>
      <w:szCs w:val="22"/>
      <w:lang w:eastAsia="de-DE" w:bidi="en-US"/>
    </w:rPr>
  </w:style>
  <w:style w:type="paragraph" w:customStyle="1" w:styleId="MDPI21heading1">
    <w:name w:val="MDPI_2.1_heading1"/>
    <w:qFormat/>
    <w:rsid w:val="003D34A1"/>
    <w:pPr>
      <w:adjustRightInd w:val="0"/>
      <w:snapToGrid w:val="0"/>
      <w:spacing w:before="240" w:after="60" w:line="280" w:lineRule="atLeast"/>
      <w:ind w:left="2608"/>
      <w:outlineLvl w:val="0"/>
    </w:pPr>
    <w:rPr>
      <w:rFonts w:ascii="Palatino Linotype" w:eastAsia="Times New Roman" w:hAnsi="Palatino Linotype"/>
      <w:b/>
      <w:snapToGrid w:val="0"/>
      <w:color w:val="000000"/>
      <w:sz w:val="24"/>
      <w:szCs w:val="22"/>
      <w:lang w:eastAsia="de-DE" w:bidi="en-US"/>
    </w:rPr>
  </w:style>
  <w:style w:type="paragraph" w:customStyle="1" w:styleId="MDPI22heading2">
    <w:name w:val="MDPI_2.2_heading2"/>
    <w:qFormat/>
    <w:rsid w:val="003D34A1"/>
    <w:pPr>
      <w:adjustRightInd w:val="0"/>
      <w:snapToGrid w:val="0"/>
      <w:spacing w:before="60" w:after="60" w:line="280" w:lineRule="atLeast"/>
      <w:ind w:left="2608"/>
      <w:outlineLvl w:val="1"/>
    </w:pPr>
    <w:rPr>
      <w:rFonts w:ascii="Palatino Linotype" w:eastAsia="Times New Roman" w:hAnsi="Palatino Linotype"/>
      <w:i/>
      <w:noProof/>
      <w:snapToGrid w:val="0"/>
      <w:color w:val="000000"/>
      <w:szCs w:val="22"/>
      <w:lang w:eastAsia="de-DE" w:bidi="en-US"/>
    </w:rPr>
  </w:style>
  <w:style w:type="paragraph" w:customStyle="1" w:styleId="MDPI81references">
    <w:name w:val="MDPI_8.1_references"/>
    <w:qFormat/>
    <w:rsid w:val="00682756"/>
    <w:pPr>
      <w:numPr>
        <w:numId w:val="23"/>
      </w:numPr>
      <w:adjustRightInd w:val="0"/>
      <w:snapToGrid w:val="0"/>
      <w:spacing w:line="280" w:lineRule="atLeast"/>
      <w:jc w:val="both"/>
    </w:pPr>
    <w:rPr>
      <w:rFonts w:ascii="Palatino Linotype" w:eastAsia="Times New Roman" w:hAnsi="Palatino Linotype"/>
      <w:color w:val="000000"/>
      <w:sz w:val="18"/>
      <w:lang w:eastAsia="de-DE" w:bidi="en-US"/>
    </w:rPr>
  </w:style>
  <w:style w:type="paragraph" w:styleId="BalloonText">
    <w:name w:val="Balloon Text"/>
    <w:basedOn w:val="Normal"/>
    <w:link w:val="BalloonTextChar"/>
    <w:uiPriority w:val="99"/>
    <w:rsid w:val="003D34A1"/>
    <w:rPr>
      <w:rFonts w:cs="Tahoma"/>
      <w:szCs w:val="18"/>
    </w:rPr>
  </w:style>
  <w:style w:type="character" w:customStyle="1" w:styleId="BalloonTextChar">
    <w:name w:val="Balloon Text Char"/>
    <w:link w:val="BalloonText"/>
    <w:uiPriority w:val="99"/>
    <w:rsid w:val="003D34A1"/>
    <w:rPr>
      <w:rFonts w:ascii="Palatino Linotype" w:hAnsi="Palatino Linotype" w:cs="Tahoma"/>
      <w:noProof/>
      <w:color w:val="000000"/>
      <w:szCs w:val="18"/>
    </w:rPr>
  </w:style>
  <w:style w:type="character" w:styleId="LineNumber">
    <w:name w:val="line number"/>
    <w:uiPriority w:val="99"/>
    <w:rsid w:val="00030C02"/>
    <w:rPr>
      <w:rFonts w:ascii="Palatino Linotype" w:hAnsi="Palatino Linotype"/>
      <w:sz w:val="16"/>
    </w:rPr>
  </w:style>
  <w:style w:type="table" w:customStyle="1" w:styleId="MDPI41threelinetable">
    <w:name w:val="MDPI_4.1_three_line_table"/>
    <w:basedOn w:val="TableNormal"/>
    <w:uiPriority w:val="99"/>
    <w:rsid w:val="003D34A1"/>
    <w:pPr>
      <w:adjustRightInd w:val="0"/>
      <w:snapToGrid w:val="0"/>
      <w:spacing w:line="280" w:lineRule="atLeast"/>
      <w:jc w:val="center"/>
    </w:pPr>
    <w:rPr>
      <w:rFonts w:ascii="Palatino Linotype" w:hAnsi="Palatino Linotype"/>
      <w:color w:val="000000"/>
    </w:rPr>
    <w:tblPr>
      <w:jc w:val="center"/>
      <w:tblBorders>
        <w:top w:val="single" w:sz="8" w:space="0" w:color="auto"/>
        <w:bottom w:val="single" w:sz="8" w:space="0" w:color="auto"/>
      </w:tblBorders>
    </w:tblPr>
    <w:trPr>
      <w:jc w:val="center"/>
    </w:trPr>
    <w:tcPr>
      <w:vAlign w:val="center"/>
    </w:tcPr>
    <w:tblStylePr w:type="firstRow">
      <w:rPr>
        <w:rFonts w:ascii="Palatino Linotype" w:hAnsi="Palatino Linotype"/>
        <w:b/>
        <w:i w:val="0"/>
        <w:sz w:val="20"/>
      </w:rPr>
      <w:tblPr/>
      <w:tcPr>
        <w:tcBorders>
          <w:bottom w:val="single" w:sz="4" w:space="0" w:color="auto"/>
        </w:tcBorders>
      </w:tcPr>
    </w:tblStylePr>
  </w:style>
  <w:style w:type="character" w:styleId="Hyperlink">
    <w:name w:val="Hyperlink"/>
    <w:uiPriority w:val="99"/>
    <w:rsid w:val="003D34A1"/>
    <w:rPr>
      <w:color w:val="0000FF"/>
      <w:u w:val="single"/>
    </w:rPr>
  </w:style>
  <w:style w:type="character" w:styleId="UnresolvedMention">
    <w:name w:val="Unresolved Mention"/>
    <w:uiPriority w:val="99"/>
    <w:semiHidden/>
    <w:unhideWhenUsed/>
    <w:rsid w:val="00EA2E33"/>
    <w:rPr>
      <w:color w:val="605E5C"/>
      <w:shd w:val="clear" w:color="auto" w:fill="E1DFDD"/>
    </w:rPr>
  </w:style>
  <w:style w:type="table" w:styleId="PlainTable4">
    <w:name w:val="Plain Table 4"/>
    <w:basedOn w:val="TableNormal"/>
    <w:uiPriority w:val="44"/>
    <w:rsid w:val="00C047A0"/>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paragraph" w:customStyle="1" w:styleId="MDPI61citation">
    <w:name w:val="MDPI_6.1_citation"/>
    <w:qFormat/>
    <w:rsid w:val="003D34A1"/>
    <w:pPr>
      <w:adjustRightInd w:val="0"/>
      <w:snapToGrid w:val="0"/>
      <w:spacing w:before="120" w:after="120" w:line="240" w:lineRule="atLeast"/>
      <w:ind w:right="113"/>
    </w:pPr>
    <w:rPr>
      <w:rFonts w:ascii="Palatino Linotype" w:hAnsi="Palatino Linotype" w:cs="Cordia New"/>
      <w:sz w:val="14"/>
      <w:szCs w:val="22"/>
    </w:rPr>
  </w:style>
  <w:style w:type="paragraph" w:customStyle="1" w:styleId="MDPI62backmatter">
    <w:name w:val="MDPI_6.2_back_matter"/>
    <w:qFormat/>
    <w:rsid w:val="003D34A1"/>
    <w:pPr>
      <w:adjustRightInd w:val="0"/>
      <w:snapToGrid w:val="0"/>
      <w:spacing w:after="120" w:line="280" w:lineRule="atLeast"/>
      <w:ind w:left="2608"/>
      <w:jc w:val="both"/>
    </w:pPr>
    <w:rPr>
      <w:rFonts w:ascii="Palatino Linotype" w:eastAsia="Times New Roman" w:hAnsi="Palatino Linotype"/>
      <w:snapToGrid w:val="0"/>
      <w:color w:val="000000"/>
      <w:sz w:val="18"/>
      <w:lang w:eastAsia="en-US" w:bidi="en-US"/>
    </w:rPr>
  </w:style>
  <w:style w:type="paragraph" w:customStyle="1" w:styleId="MDPI63notes">
    <w:name w:val="MDPI_6.3_notes"/>
    <w:qFormat/>
    <w:rsid w:val="003D34A1"/>
    <w:pPr>
      <w:adjustRightInd w:val="0"/>
      <w:snapToGrid w:val="0"/>
      <w:spacing w:before="240" w:line="280" w:lineRule="atLeast"/>
      <w:jc w:val="both"/>
    </w:pPr>
    <w:rPr>
      <w:rFonts w:ascii="Palatino Linotype" w:hAnsi="Palatino Linotype"/>
      <w:snapToGrid w:val="0"/>
      <w:color w:val="000000"/>
      <w:sz w:val="18"/>
      <w:lang w:eastAsia="en-US" w:bidi="en-US"/>
    </w:rPr>
  </w:style>
  <w:style w:type="paragraph" w:customStyle="1" w:styleId="MDPI15academiceditor">
    <w:name w:val="MDPI_1.5_academic_editor"/>
    <w:qFormat/>
    <w:rsid w:val="001F6B2A"/>
    <w:pPr>
      <w:adjustRightInd w:val="0"/>
      <w:snapToGrid w:val="0"/>
      <w:spacing w:before="120" w:line="240" w:lineRule="atLeast"/>
      <w:ind w:right="113"/>
    </w:pPr>
    <w:rPr>
      <w:rFonts w:ascii="Palatino Linotype" w:eastAsia="Times New Roman" w:hAnsi="Palatino Linotype"/>
      <w:color w:val="000000"/>
      <w:sz w:val="14"/>
      <w:szCs w:val="22"/>
      <w:lang w:eastAsia="de-DE" w:bidi="en-US"/>
    </w:rPr>
  </w:style>
  <w:style w:type="paragraph" w:customStyle="1" w:styleId="MDPI411onetablecaption">
    <w:name w:val="MDPI_4.1.1_one_table_caption"/>
    <w:qFormat/>
    <w:rsid w:val="003D34A1"/>
    <w:pPr>
      <w:adjustRightInd w:val="0"/>
      <w:snapToGrid w:val="0"/>
      <w:spacing w:before="240" w:after="120" w:line="280" w:lineRule="atLeast"/>
      <w:jc w:val="center"/>
    </w:pPr>
    <w:rPr>
      <w:rFonts w:ascii="Palatino Linotype" w:hAnsi="Palatino Linotype" w:cs="Cordia New"/>
      <w:noProof/>
      <w:color w:val="000000"/>
      <w:sz w:val="18"/>
      <w:szCs w:val="22"/>
      <w:lang w:bidi="en-US"/>
    </w:rPr>
  </w:style>
  <w:style w:type="paragraph" w:customStyle="1" w:styleId="MDPI511onefigurecaption">
    <w:name w:val="MDPI_5.1.1_one_figure_caption"/>
    <w:qFormat/>
    <w:rsid w:val="003D34A1"/>
    <w:pPr>
      <w:adjustRightInd w:val="0"/>
      <w:snapToGrid w:val="0"/>
      <w:spacing w:before="240" w:after="120" w:line="280" w:lineRule="atLeast"/>
      <w:jc w:val="center"/>
    </w:pPr>
    <w:rPr>
      <w:rFonts w:ascii="Palatino Linotype" w:hAnsi="Palatino Linotype"/>
      <w:noProof/>
      <w:color w:val="000000"/>
      <w:sz w:val="18"/>
      <w:lang w:bidi="en-US"/>
    </w:rPr>
  </w:style>
  <w:style w:type="paragraph" w:customStyle="1" w:styleId="MDPI72copyright">
    <w:name w:val="MDPI_7.2_copyright"/>
    <w:qFormat/>
    <w:rsid w:val="00E10DAA"/>
    <w:pPr>
      <w:adjustRightInd w:val="0"/>
      <w:snapToGrid w:val="0"/>
      <w:spacing w:before="120" w:line="240" w:lineRule="atLeast"/>
      <w:ind w:right="113"/>
    </w:pPr>
    <w:rPr>
      <w:rFonts w:ascii="Palatino Linotype" w:eastAsia="Times New Roman" w:hAnsi="Palatino Linotype"/>
      <w:noProof/>
      <w:snapToGrid w:val="0"/>
      <w:color w:val="000000"/>
      <w:sz w:val="14"/>
      <w:lang w:val="en-GB" w:eastAsia="en-GB"/>
    </w:rPr>
  </w:style>
  <w:style w:type="table" w:customStyle="1" w:styleId="MDPItable">
    <w:name w:val="MDPI_table"/>
    <w:basedOn w:val="TableNormal"/>
    <w:uiPriority w:val="99"/>
    <w:rsid w:val="003D34A1"/>
    <w:rPr>
      <w:rFonts w:ascii="Palatino Linotype" w:hAnsi="Palatino Linotype"/>
      <w:color w:val="000000"/>
      <w:lang w:val="en-CA" w:eastAsia="en-US"/>
    </w:rPr>
    <w:tblPr>
      <w:tblCellMar>
        <w:left w:w="0" w:type="dxa"/>
        <w:right w:w="0" w:type="dxa"/>
      </w:tblCellMar>
    </w:tblPr>
  </w:style>
  <w:style w:type="character" w:customStyle="1" w:styleId="apple-converted-space">
    <w:name w:val="apple-converted-space"/>
    <w:rsid w:val="003D34A1"/>
  </w:style>
  <w:style w:type="paragraph" w:styleId="Bibliography">
    <w:name w:val="Bibliography"/>
    <w:basedOn w:val="Normal"/>
    <w:next w:val="Normal"/>
    <w:uiPriority w:val="37"/>
    <w:semiHidden/>
    <w:unhideWhenUsed/>
    <w:rsid w:val="003D34A1"/>
  </w:style>
  <w:style w:type="paragraph" w:styleId="BodyText">
    <w:name w:val="Body Text"/>
    <w:link w:val="BodyTextChar"/>
    <w:rsid w:val="003D34A1"/>
    <w:pPr>
      <w:spacing w:after="120" w:line="340" w:lineRule="atLeast"/>
      <w:jc w:val="both"/>
    </w:pPr>
    <w:rPr>
      <w:rFonts w:ascii="Palatino Linotype" w:hAnsi="Palatino Linotype"/>
      <w:color w:val="000000"/>
      <w:sz w:val="24"/>
      <w:lang w:eastAsia="de-DE"/>
    </w:rPr>
  </w:style>
  <w:style w:type="character" w:customStyle="1" w:styleId="BodyTextChar">
    <w:name w:val="Body Text Char"/>
    <w:link w:val="BodyText"/>
    <w:rsid w:val="003D34A1"/>
    <w:rPr>
      <w:rFonts w:ascii="Palatino Linotype" w:hAnsi="Palatino Linotype"/>
      <w:color w:val="000000"/>
      <w:sz w:val="24"/>
      <w:lang w:eastAsia="de-DE"/>
    </w:rPr>
  </w:style>
  <w:style w:type="character" w:styleId="CommentReference">
    <w:name w:val="annotation reference"/>
    <w:rsid w:val="003D34A1"/>
    <w:rPr>
      <w:sz w:val="21"/>
      <w:szCs w:val="21"/>
    </w:rPr>
  </w:style>
  <w:style w:type="paragraph" w:styleId="CommentText">
    <w:name w:val="annotation text"/>
    <w:basedOn w:val="Normal"/>
    <w:link w:val="CommentTextChar"/>
    <w:rsid w:val="003D34A1"/>
  </w:style>
  <w:style w:type="character" w:customStyle="1" w:styleId="CommentTextChar">
    <w:name w:val="Comment Text Char"/>
    <w:link w:val="CommentText"/>
    <w:rsid w:val="003D34A1"/>
    <w:rPr>
      <w:rFonts w:ascii="Palatino Linotype" w:hAnsi="Palatino Linotype"/>
      <w:noProof/>
      <w:color w:val="000000"/>
    </w:rPr>
  </w:style>
  <w:style w:type="paragraph" w:styleId="CommentSubject">
    <w:name w:val="annotation subject"/>
    <w:basedOn w:val="CommentText"/>
    <w:next w:val="CommentText"/>
    <w:link w:val="CommentSubjectChar"/>
    <w:rsid w:val="003D34A1"/>
    <w:rPr>
      <w:b/>
      <w:bCs/>
    </w:rPr>
  </w:style>
  <w:style w:type="character" w:customStyle="1" w:styleId="CommentSubjectChar">
    <w:name w:val="Comment Subject Char"/>
    <w:link w:val="CommentSubject"/>
    <w:rsid w:val="003D34A1"/>
    <w:rPr>
      <w:rFonts w:ascii="Palatino Linotype" w:hAnsi="Palatino Linotype"/>
      <w:b/>
      <w:bCs/>
      <w:noProof/>
      <w:color w:val="000000"/>
    </w:rPr>
  </w:style>
  <w:style w:type="character" w:styleId="EndnoteReference">
    <w:name w:val="endnote reference"/>
    <w:rsid w:val="003D34A1"/>
    <w:rPr>
      <w:vertAlign w:val="superscript"/>
    </w:rPr>
  </w:style>
  <w:style w:type="paragraph" w:styleId="EndnoteText">
    <w:name w:val="endnote text"/>
    <w:basedOn w:val="Normal"/>
    <w:link w:val="EndnoteTextChar"/>
    <w:semiHidden/>
    <w:unhideWhenUsed/>
    <w:rsid w:val="003D34A1"/>
    <w:pPr>
      <w:spacing w:line="240" w:lineRule="auto"/>
    </w:pPr>
  </w:style>
  <w:style w:type="character" w:customStyle="1" w:styleId="EndnoteTextChar">
    <w:name w:val="Endnote Text Char"/>
    <w:link w:val="EndnoteText"/>
    <w:semiHidden/>
    <w:rsid w:val="003D34A1"/>
    <w:rPr>
      <w:rFonts w:ascii="Palatino Linotype" w:hAnsi="Palatino Linotype"/>
      <w:noProof/>
      <w:color w:val="000000"/>
    </w:rPr>
  </w:style>
  <w:style w:type="character" w:styleId="FollowedHyperlink">
    <w:name w:val="FollowedHyperlink"/>
    <w:rsid w:val="003D34A1"/>
    <w:rPr>
      <w:color w:val="954F72"/>
      <w:u w:val="single"/>
    </w:rPr>
  </w:style>
  <w:style w:type="paragraph" w:styleId="FootnoteText">
    <w:name w:val="footnote text"/>
    <w:basedOn w:val="Normal"/>
    <w:link w:val="FootnoteTextChar"/>
    <w:semiHidden/>
    <w:unhideWhenUsed/>
    <w:rsid w:val="003D34A1"/>
    <w:pPr>
      <w:spacing w:line="240" w:lineRule="auto"/>
    </w:pPr>
  </w:style>
  <w:style w:type="character" w:customStyle="1" w:styleId="FootnoteTextChar">
    <w:name w:val="Footnote Text Char"/>
    <w:link w:val="FootnoteText"/>
    <w:semiHidden/>
    <w:rsid w:val="003D34A1"/>
    <w:rPr>
      <w:rFonts w:ascii="Palatino Linotype" w:hAnsi="Palatino Linotype"/>
      <w:noProof/>
      <w:color w:val="000000"/>
    </w:rPr>
  </w:style>
  <w:style w:type="paragraph" w:styleId="NormalWeb">
    <w:name w:val="Normal (Web)"/>
    <w:basedOn w:val="Normal"/>
    <w:uiPriority w:val="99"/>
    <w:rsid w:val="003D34A1"/>
    <w:rPr>
      <w:szCs w:val="24"/>
    </w:rPr>
  </w:style>
  <w:style w:type="paragraph" w:customStyle="1" w:styleId="MsoFootnoteText0">
    <w:name w:val="MsoFootnoteText"/>
    <w:basedOn w:val="NormalWeb"/>
    <w:qFormat/>
    <w:rsid w:val="003D34A1"/>
    <w:rPr>
      <w:rFonts w:ascii="Times New Roman" w:hAnsi="Times New Roman"/>
    </w:rPr>
  </w:style>
  <w:style w:type="character" w:styleId="PageNumber">
    <w:name w:val="page number"/>
    <w:rsid w:val="003D34A1"/>
  </w:style>
  <w:style w:type="character" w:styleId="PlaceholderText">
    <w:name w:val="Placeholder Text"/>
    <w:uiPriority w:val="99"/>
    <w:semiHidden/>
    <w:rsid w:val="003D34A1"/>
    <w:rPr>
      <w:color w:val="808080"/>
    </w:rPr>
  </w:style>
  <w:style w:type="paragraph" w:customStyle="1" w:styleId="MDPI71footnotes">
    <w:name w:val="MDPI_7.1_footnotes"/>
    <w:qFormat/>
    <w:rsid w:val="00F358F1"/>
    <w:pPr>
      <w:numPr>
        <w:numId w:val="21"/>
      </w:numPr>
      <w:adjustRightInd w:val="0"/>
      <w:snapToGrid w:val="0"/>
      <w:spacing w:line="280" w:lineRule="atLeast"/>
    </w:pPr>
    <w:rPr>
      <w:rFonts w:ascii="Palatino Linotype" w:eastAsiaTheme="minorEastAsia" w:hAnsi="Palatino Linotype"/>
      <w:noProof/>
      <w:color w:val="000000"/>
      <w:sz w:val="18"/>
    </w:rPr>
  </w:style>
  <w:style w:type="character" w:styleId="Strong">
    <w:name w:val="Strong"/>
    <w:basedOn w:val="DefaultParagraphFont"/>
    <w:uiPriority w:val="22"/>
    <w:qFormat/>
    <w:rsid w:val="001C4F5D"/>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iso-8859-6"/>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footer" Target="footer2.xml"/><Relationship Id="rId10" Type="http://schemas.openxmlformats.org/officeDocument/2006/relationships/hyperlink" Target="https://img.mdpi.org/data/contributor-role-instruction.pdf"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3.xml"/><Relationship Id="rId1"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footer" Target="footer3.xml"/></Relationships>
</file>

<file path=word/_rels/header3.xml.rels><?xml version='1.0' encoding='UTF-8' standalone='yes'?>
<Relationships xmlns="http://schemas.openxmlformats.org/package/2006/relationships"><Relationship Id="rId2" Type="http://schemas.openxmlformats.org/officeDocument/2006/relationships/image" Target="media/image4.png"/><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systems-template.dot</Template>
  <TotalTime>1</TotalTime>
  <Pages>6</Pages>
  <Words>2274</Words>
  <Characters>12077</Characters>
  <Application>Microsoft Office Word</Application>
  <DocSecurity>0</DocSecurity>
  <Lines>287</Lines>
  <Paragraphs>191</Paragraphs>
  <ScaleCrop>false</ScaleCrop>
  <HeadingPairs>
    <vt:vector size="2" baseType="variant">
      <vt:variant>
        <vt:lpstr>Title</vt:lpstr>
      </vt:variant>
      <vt:variant>
        <vt:i4>1</vt:i4>
      </vt:variant>
    </vt:vector>
  </HeadingPairs>
  <TitlesOfParts>
    <vt:vector size="1" baseType="lpstr">
      <vt:lpstr>Type of the Paper (Article</vt:lpstr>
    </vt:vector>
  </TitlesOfParts>
  <Company/>
  <LinksUpToDate>false</LinksUpToDate>
  <CharactersWithSpaces>14160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Type of the Paper (Article</dc:title>
  <dc:subject/>
  <dc:creator>MDPI</dc:creator>
  <cp:keywords/>
  <dc:description/>
  <cp:lastModifiedBy>MDPI</cp:lastModifiedBy>
  <cp:revision>4</cp:revision>
  <dcterms:created xsi:type="dcterms:W3CDTF">2025-06-13T06:12:00Z</dcterms:created>
  <dcterms:modified xsi:type="dcterms:W3CDTF">2025-06-17T06:48:00Z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5470e00577bbcda9f6f0393045ea6a6a1d505038b62b8a58bba9ca28bce24e25</vt:lpwstr>
  </property>
</Properties>
</file>