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Options on Youth: Generative Artificial Intelligence Uncertainty and the Contingent Turn in Entry-Level Hiring</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Ali Ahsan</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Debate about generative artificial intelligence and young workers has focused on how capable the technology is. This study argues that what closes the entry port is not capability but its dispersion. Hiring a school leaver is a partly irreversible investment, because the firm sinks a training cost it cannot recover if the frontier moves against the task bundle it hired for; a firm facing an uncertain frontier therefore raises the hurdle a candidate must clear and waits. Using 29,660 firm-year observations for 3,200 Chinese A-share listed firms over 2016–2025, and a disclosure-based measure of firm-level generative-AI uncertainty that is separated from the level of adoption and from general policy uncertainty, we find that one standard deviation of uncertainty lowers entry-level vacancy creation by 1.230 vacancies per thousand employees, 15.6% of the sample mean, while the level of adoption enters with the opposite sign (0.300) and general economic policy uncertainty is 6.7 times smaller. The chill is 13.7 times larger for entry-level than for experienced vacancies, is stronger where the sunk component of a hire is larger, and is attenuated where the firm has revocable employment margins. Firms do not simply stop hiring the young: uncertainty raises the contingent share of entry-level vacancies by 2.25 percentage points and widens a zone of inaction, raising the probability of no youth adjustment by 0.050 and lowering the probability of resuming expansion by 0.126. Two shift-share instruments and a peer-diffusion instrument, a dynamic difference-in-differences design around the frontier releases, and a wild cluster bootstrap all support the reading. The entry port is not closing; it is becoming revocable.</w:t>
      </w:r>
    </w:p>
    <w:p>
      <w:pPr>
        <w:pStyle w:val="MDPI18keywords"/>
      </w:pPr>
      <w:r>
        <w:rPr>
          <w:b/>
        </w:rPr>
        <w:t xml:space="preserve">Keywords: </w:t>
      </w:r>
      <w:r>
        <w:t>generative artificial intelligence; youth employment; uncertainty; real options; irreversibility; entry-level hiring; contingent work; firm-specific human capital</w:t>
      </w:r>
    </w:p>
    <w:p>
      <w:pPr>
        <w:pStyle w:val="MDPI19line"/>
      </w:pPr>
    </w:p>
    <w:p>
      <w:pPr>
        <w:pStyle w:val="MDPI21heading1"/>
      </w:pPr>
      <w:r>
        <w:t>1. Introduction</w:t>
      </w:r>
    </w:p>
    <w:p>
      <w:pPr>
        <w:pStyle w:val="MDPI32textnoindent"/>
      </w:pPr>
      <w:r>
        <w:rPr>
          <w:b w:val="0"/>
          <w:i w:val="0"/>
        </w:rPr>
        <w:t xml:space="preserve">Almost everything written about generative artificial intelligence (GenAI) and young workers is about capability. Will the models do what juniors do? The experimental evidence says they will do much of it, and that they do it in a way that compresses the returns to experience: customer-support agents resolved 14% more issues per hour, with novices gaining roughly 30% and the most experienced gaining almost nothing </w:t>
      </w:r>
      <w:r>
        <w:t>[</w:t>
      </w:r>
      <w:r>
        <w:fldChar w:fldCharType="begin"/>
      </w:r>
      <w:r>
        <w:instrText xml:space="preserve"> REF _Ref_1 \h </w:instrText>
      </w:r>
      <w:r>
        <w:fldChar w:fldCharType="separate"/>
      </w:r>
      <w:r>
        <w:t>1</w:t>
      </w:r>
      <w:r>
        <w:fldChar w:fldCharType="end"/>
      </w:r>
      <w:r>
        <w:t>]</w:t>
      </w:r>
      <w:r>
        <w:rPr>
          <w:b w:val="0"/>
          <w:i w:val="0"/>
        </w:rPr>
        <w:t xml:space="preserve">; professional writers finished tasks about 40% faster and the initially weakest improved most </w:t>
      </w:r>
      <w:r>
        <w:t>[</w:t>
      </w:r>
      <w:r>
        <w:fldChar w:fldCharType="begin"/>
      </w:r>
      <w:r>
        <w:instrText xml:space="preserve"> REF _Ref_2 \h </w:instrText>
      </w:r>
      <w:r>
        <w:fldChar w:fldCharType="separate"/>
      </w:r>
      <w:r>
        <w:t>2</w:t>
      </w:r>
      <w:r>
        <w:fldChar w:fldCharType="end"/>
      </w:r>
      <w:r>
        <w:t>]</w:t>
      </w:r>
      <w:r>
        <w:rPr>
          <w:b w:val="0"/>
          <w:i w:val="0"/>
        </w:rPr>
        <w:t xml:space="preserve">; the lowest-performing entrepreneurs benefited while the highest-performing did not </w:t>
      </w:r>
      <w:r>
        <w:t>[</w:t>
      </w:r>
      <w:r>
        <w:fldChar w:fldCharType="begin"/>
      </w:r>
      <w:r>
        <w:instrText xml:space="preserve"> REF _Ref_3 \h </w:instrText>
      </w:r>
      <w:r>
        <w:fldChar w:fldCharType="separate"/>
      </w:r>
      <w:r>
        <w:t>3</w:t>
      </w:r>
      <w:r>
        <w:fldChar w:fldCharType="end"/>
      </w:r>
      <w:r>
        <w:t>]</w:t>
      </w:r>
      <w:r>
        <w:rPr>
          <w:b w:val="0"/>
          <w:i w:val="0"/>
        </w:rPr>
        <w:t xml:space="preserve">; less experienced developers adopted the tool more readily and gained more from it </w:t>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rPr>
          <w:b w:val="0"/>
          <w:i w:val="0"/>
        </w:rPr>
        <w:t xml:space="preserve">; and in a large consulting field experiment the gain was largest for the initially weakest consultants </w:t>
      </w:r>
      <w:r>
        <w:t>[</w:t>
      </w:r>
      <w:r>
        <w:fldChar w:fldCharType="begin"/>
      </w:r>
      <w:r>
        <w:instrText xml:space="preserve"> REF _Ref_6 \h </w:instrText>
      </w:r>
      <w:r>
        <w:fldChar w:fldCharType="separate"/>
      </w:r>
      <w:r>
        <w:t>6</w:t>
      </w:r>
      <w:r>
        <w:fldChar w:fldCharType="end"/>
      </w:r>
      <w:r>
        <w:t>]</w:t>
      </w:r>
      <w:r>
        <w:rPr>
          <w:b w:val="0"/>
          <w:i w:val="0"/>
        </w:rPr>
        <w:t xml:space="preserve">. Read at face value, an experience-compressing technology should make young workers more attractive, not less. Yet the aggregate signals point the other way. United States payroll microdata show a relative employment decline of 13–16% for workers aged 22–25 in the most exposed occupations after late 2022 </w:t>
      </w:r>
      <w:r>
        <w:t>[</w:t>
      </w:r>
      <w:r>
        <w:fldChar w:fldCharType="begin"/>
      </w:r>
      <w:r>
        <w:instrText xml:space="preserve"> REF _Ref_7 \h </w:instrText>
      </w:r>
      <w:r>
        <w:fldChar w:fldCharType="separate"/>
      </w:r>
      <w:r>
        <w:t>7</w:t>
      </w:r>
      <w:r>
        <w:fldChar w:fldCharType="end"/>
      </w:r>
      <w:r>
        <w:t>]</w:t>
      </w:r>
      <w:r>
        <w:rPr>
          <w:b w:val="0"/>
          <w:i w:val="0"/>
        </w:rPr>
        <w:t xml:space="preserve">; online labour markets show sharp falls in postings for automation-prone work </w:t>
      </w:r>
      <w:r>
        <w:t>[</w:t>
      </w:r>
      <w:r>
        <w:fldChar w:fldCharType="begin"/>
      </w:r>
      <w:r>
        <w:instrText xml:space="preserve"> REF _Ref_8 \h </w:instrText>
      </w:r>
      <w:r>
        <w:fldChar w:fldCharType="separate"/>
      </w:r>
      <w:r>
        <w:t>8</w:t>
      </w:r>
      <w:r>
        <w:fldChar w:fldCharType="end"/>
      </w:r>
      <w:r>
        <w:t>]</w:t>
      </w:r>
      <w:r>
        <w:rPr>
          <w:b w:val="0"/>
          <w:i w:val="0"/>
        </w:rPr>
        <w:t xml:space="preserve">; and youth unemployment and the share of young people not in employment, education or training remain the most stubborn features of the global labour market </w:t>
      </w:r>
      <w:r>
        <w:t>[</w:t>
      </w:r>
      <w:r>
        <w:fldChar w:fldCharType="begin"/>
      </w:r>
      <w:r>
        <w:instrText xml:space="preserve"> REF _Ref_9 \h </w:instrText>
      </w:r>
      <w:r>
        <w:fldChar w:fldCharType="separate"/>
      </w:r>
      <w:r>
        <w:t>9</w:t>
      </w:r>
      <w:r>
        <w:fldChar w:fldCharType="end"/>
      </w:r>
      <w:r>
        <w:t>]</w:t>
      </w:r>
      <w:r>
        <w:rPr>
          <w:b w:val="0"/>
          <w:i w:val="0"/>
        </w:rPr>
        <w:t xml:space="preserve">, while employers themselves expect the technology to displace and create work at unprecedented speed </w:t>
      </w:r>
      <w:r>
        <w:t>[</w:t>
      </w:r>
      <w:r>
        <w:fldChar w:fldCharType="begin"/>
      </w:r>
      <w:r>
        <w:instrText xml:space="preserve"> REF _Ref_10 \h </w:instrText>
      </w:r>
      <w:r>
        <w:fldChar w:fldCharType="separate"/>
      </w:r>
      <w:r>
        <w:t>10</w:t>
      </w:r>
      <w:r>
        <w:fldChar w:fldCharType="end"/>
      </w:r>
      <w:r>
        <w:t>]</w:t>
      </w:r>
      <w:r>
        <w:rPr>
          <w:b w:val="0"/>
          <w:i w:val="0"/>
        </w:rPr>
        <w:t xml:space="preserve">. Postings data tell the same story: across 285 million United States vacancies, demand for the most substitutable occupations fell by about 12% relative to the least substitutable ones between late 2022 and mid-2025 </w:t>
      </w:r>
      <w:r>
        <w:t>[</w:t>
      </w:r>
      <w:r>
        <w:fldChar w:fldCharType="begin"/>
      </w:r>
      <w:r>
        <w:instrText xml:space="preserve"> REF _Ref_11 \h </w:instrText>
      </w:r>
      <w:r>
        <w:fldChar w:fldCharType="separate"/>
      </w:r>
      <w:r>
        <w:t>11</w:t>
      </w:r>
      <w:r>
        <w:fldChar w:fldCharType="end"/>
      </w:r>
      <w:r>
        <w:t>]</w:t>
      </w:r>
      <w:r>
        <w:rPr>
          <w:b w:val="0"/>
          <w:i w:val="0"/>
        </w:rPr>
        <w:t xml:space="preserve">. Adoption itself has been extraordinarily fast by historical standards </w:t>
      </w:r>
      <w:r>
        <w:t>[</w:t>
      </w:r>
      <w:r>
        <w:fldChar w:fldCharType="begin"/>
      </w:r>
      <w:r>
        <w:instrText xml:space="preserve"> REF _Ref_12 \h </w:instrText>
      </w:r>
      <w:r>
        <w:fldChar w:fldCharType="separate"/>
      </w:r>
      <w:r>
        <w:t>12</w:t>
      </w:r>
      <w:r>
        <w:fldChar w:fldCharType="end"/>
      </w:r>
      <w:r>
        <w:t>]</w:t>
      </w:r>
      <w:r>
        <w:rPr>
          <w:b w:val="0"/>
          <w:i w:val="0"/>
        </w:rPr>
        <w:t xml:space="preserve">, so firms have had little time to adjust job structures gradually. Other designs over the same window find almost nothing </w:t>
      </w:r>
      <w:r>
        <w:t>[</w:t>
      </w:r>
      <w:r>
        <w:fldChar w:fldCharType="begin"/>
      </w:r>
      <w:r>
        <w:instrText xml:space="preserve"> REF _Ref_13 \h </w:instrText>
      </w:r>
      <w:r>
        <w:fldChar w:fldCharType="separate"/>
      </w:r>
      <w:r>
        <w:t>13</w:t>
      </w:r>
      <w:r>
        <w:fldChar w:fldCharType="end"/>
      </w:r>
      <w:r>
        <w:t>]</w:t>
      </w:r>
      <w:r>
        <w:rPr>
          <w:b w:val="0"/>
          <w:i w:val="0"/>
        </w:rPr>
        <w:t xml:space="preserve">, and meta-analytic evidence on human–AI combinations finds that the sign of the effect depends on the task </w:t>
      </w:r>
      <w:r>
        <w:t>[</w:t>
      </w:r>
      <w:r>
        <w:fldChar w:fldCharType="begin"/>
      </w:r>
      <w:r>
        <w:instrText xml:space="preserve"> REF _Ref_14 \h </w:instrText>
      </w:r>
      <w:r>
        <w:fldChar w:fldCharType="separate"/>
      </w:r>
      <w:r>
        <w:t>14</w:t>
      </w:r>
      <w:r>
        <w:fldChar w:fldCharType="end"/>
      </w:r>
      <w:r>
        <w:t>]</w:t>
      </w:r>
      <w:r>
        <w:rPr>
          <w:b w:val="0"/>
          <w:i w:val="0"/>
        </w:rPr>
        <w:t>.</w:t>
      </w:r>
    </w:p>
    <w:p>
      <w:pPr>
        <w:pStyle w:val="MDPI31text"/>
      </w:pPr>
      <w:r>
        <w:rPr>
          <w:b w:val="0"/>
          <w:i w:val="0"/>
        </w:rPr>
        <w:t xml:space="preserve">This paper argues that the capability question is the wrong one, or at least an incomplete one, and that the missing variable is dispersion. Hiring a school leaver is not a spot transaction. It is an investment with a sunk component: the firm pays for induction, mentoring and firm-specific training that yield a return only if the task bundle the recruit was hired for still exists in three years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Dismissal is costly and slow, more so in China since the Labour Contract Law </w:t>
      </w:r>
      <w:r>
        <w:t>[</w:t>
      </w:r>
      <w:r>
        <w:fldChar w:fldCharType="begin"/>
      </w:r>
      <w:r>
        <w:instrText xml:space="preserve"> REF _Ref_18 \h </w:instrText>
      </w:r>
      <w:r>
        <w:fldChar w:fldCharType="separate"/>
      </w:r>
      <w:r>
        <w:t>18</w:t>
      </w:r>
      <w:r>
        <w:fldChar w:fldCharType="end"/>
      </w:r>
      <w:r>
        <w:t>]</w:t>
      </w:r>
      <w:r>
        <w:rPr>
          <w:b w:val="0"/>
          <w:i w:val="0"/>
        </w:rPr>
        <w:t xml:space="preserve">. Under those two conditions — sunk cost and costly reversal — the textbook result of the real-options literature applies directly: when the payoff evolves stochastically, the firm should not invest as soon as the expected return covers the cost, but should wait until it covers the cost plus an option-value wedge, and that wedge is increasing in the volatility of the payoff </w:t>
      </w:r>
      <w:r>
        <w:t>[</w:t>
      </w:r>
      <w:r>
        <w:fldChar w:fldCharType="begin"/>
      </w:r>
      <w:r>
        <w:instrText xml:space="preserve"> REF _Ref_19 \h </w:instrText>
      </w:r>
      <w:r>
        <w:fldChar w:fldCharType="separate"/>
      </w:r>
      <w:r>
        <w:t>19</w:t>
      </w:r>
      <w:r>
        <w:fldChar w:fldCharType="end"/>
      </w:r>
      <w:r>
        <w:t>–</w:t>
      </w:r>
      <w:r>
        <w:fldChar w:fldCharType="begin"/>
      </w:r>
      <w:r>
        <w:instrText xml:space="preserve"> REF _Ref_21 \h </w:instrText>
      </w:r>
      <w:r>
        <w:fldChar w:fldCharType="separate"/>
      </w:r>
      <w:r>
        <w:t>21</w:t>
      </w:r>
      <w:r>
        <w:fldChar w:fldCharType="end"/>
      </w:r>
      <w:r>
        <w:t>]</w:t>
      </w:r>
      <w:r>
        <w:rPr>
          <w:b w:val="0"/>
          <w:i w:val="0"/>
        </w:rPr>
        <w:t>. Applied to labour, the object of interest is not whether the model can write the junior analyst's memo. It is how confident the firm is about what the junior analyst will be doing when the next model is released.</w:t>
      </w:r>
    </w:p>
    <w:p>
      <w:pPr>
        <w:pStyle w:val="MDPI31text"/>
      </w:pPr>
      <w:r>
        <w:rPr>
          <w:b w:val="0"/>
          <w:i w:val="0"/>
        </w:rPr>
        <w:t xml:space="preserve">The distinction matters because it makes predictions that the capability story does not. First, the *level* of a firm's engagement with GenAI and the *dispersion* of its prospects should enter entry-level hiring with different signs, so a specification that measures only adoption will average across them. Second, the chill should be specific to hires with a large sunk component: entry-level positions, not experienced ones, and firms with firm-specific training and strict employment protection, not firms that can redeploy or release a recruit cheaply. Third — and this is the prediction that makes the phenomenon visible even when headcounts look stable — a firm that faces a high hurdle on the permanent margin can buy the option back by hiring the same young worker on a revocable contract. The response to uncertainty is then not fewer young workers but a different kind of young job. Fourth, the firm should display a zone of inaction: a range of desired adjustments over which it does nothing, widening with uncertainty, with hysteresis once inside it </w:t>
      </w:r>
      <w:r>
        <w:t>[</w:t>
      </w:r>
      <w:r>
        <w:fldChar w:fldCharType="begin"/>
      </w:r>
      <w:r>
        <w:instrText xml:space="preserve"> REF _Ref_22 \h </w:instrText>
      </w:r>
      <w:r>
        <w:fldChar w:fldCharType="separate"/>
      </w:r>
      <w:r>
        <w:t>22</w:t>
      </w:r>
      <w:r>
        <w:fldChar w:fldCharType="end"/>
      </w:r>
      <w:r>
        <w:t>,</w:t>
      </w:r>
      <w:r>
        <w:fldChar w:fldCharType="begin"/>
      </w:r>
      <w:r>
        <w:instrText xml:space="preserve"> REF _Ref_23 \h </w:instrText>
      </w:r>
      <w:r>
        <w:fldChar w:fldCharType="separate"/>
      </w:r>
      <w:r>
        <w:t>23</w:t>
      </w:r>
      <w:r>
        <w:fldChar w:fldCharType="end"/>
      </w:r>
      <w:r>
        <w:t>]</w:t>
      </w:r>
      <w:r>
        <w:rPr>
          <w:b w:val="0"/>
          <w:i w:val="0"/>
        </w:rPr>
        <w:t>.</w:t>
      </w:r>
    </w:p>
    <w:p>
      <w:pPr>
        <w:pStyle w:val="MDPI31text"/>
      </w:pPr>
      <w:r>
        <w:rPr>
          <w:b w:val="0"/>
          <w:i w:val="0"/>
        </w:rPr>
        <w:t xml:space="preserve">We test these predictions on 29,660 firm-year observations for 3,200 Chinese A-share listed firms over 2016–2025. The empirical strategy rests on separating three things that the literature usually collapses into one variable. The first is the level of a firm's generative-AI engagement, measured from the frequency of generative-AI terms in the annual report in the way that firm-level work on digital technology has established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rPr>
          <w:b w:val="0"/>
          <w:i w:val="0"/>
        </w:rPr>
        <w:t xml:space="preserve">. The second is firm-level generative-AI uncertainty, measured from the frequency with which those terms appear inside a window of uncertainty language, following the firm-level risk measurement design of Hassan et al. </w:t>
      </w:r>
      <w:r>
        <w:t>[</w:t>
      </w:r>
      <w:r>
        <w:fldChar w:fldCharType="begin"/>
      </w:r>
      <w:r>
        <w:instrText xml:space="preserve"> REF _Ref_26 \h </w:instrText>
      </w:r>
      <w:r>
        <w:fldChar w:fldCharType="separate"/>
      </w:r>
      <w:r>
        <w:t>26</w:t>
      </w:r>
      <w:r>
        <w:fldChar w:fldCharType="end"/>
      </w:r>
      <w:r>
        <w:t>]</w:t>
      </w:r>
      <w:r>
        <w:rPr>
          <w:b w:val="0"/>
          <w:i w:val="0"/>
        </w:rPr>
        <w:t xml:space="preserve">. The third is general economic policy uncertainty at the firm level, built from the same text with the policy dictionary of Baker et al. </w:t>
      </w:r>
      <w:r>
        <w:t>[</w:t>
      </w:r>
      <w:r>
        <w:fldChar w:fldCharType="begin"/>
      </w:r>
      <w:r>
        <w:instrText xml:space="preserve"> REF _Ref_27 \h </w:instrText>
      </w:r>
      <w:r>
        <w:fldChar w:fldCharType="separate"/>
      </w:r>
      <w:r>
        <w:t>27</w:t>
      </w:r>
      <w:r>
        <w:fldChar w:fldCharType="end"/>
      </w:r>
      <w:r>
        <w:t>]</w:t>
      </w:r>
      <w:r>
        <w:rPr>
          <w:b w:val="0"/>
          <w:i w:val="0"/>
        </w:rPr>
        <w:t xml:space="preserve"> and its Chinese counterpart </w:t>
      </w:r>
      <w:r>
        <w:t>[</w:t>
      </w:r>
      <w:r>
        <w:fldChar w:fldCharType="begin"/>
      </w:r>
      <w:r>
        <w:instrText xml:space="preserve"> REF _Ref_28 \h </w:instrText>
      </w:r>
      <w:r>
        <w:fldChar w:fldCharType="separate"/>
      </w:r>
      <w:r>
        <w:t>28</w:t>
      </w:r>
      <w:r>
        <w:fldChar w:fldCharType="end"/>
      </w:r>
      <w:r>
        <w:t>]</w:t>
      </w:r>
      <w:r>
        <w:rPr>
          <w:b w:val="0"/>
          <w:i w:val="0"/>
        </w:rPr>
        <w:t xml:space="preserve">, which we hold constant throughout so that the estimate is not a repackaging of the well-documented effect of aggregate uncertainty on investment </w:t>
      </w:r>
      <w:r>
        <w:t>[</w:t>
      </w:r>
      <w:r>
        <w:fldChar w:fldCharType="begin"/>
      </w:r>
      <w:r>
        <w:instrText xml:space="preserve"> REF _Ref_29 \h </w:instrText>
      </w:r>
      <w:r>
        <w:fldChar w:fldCharType="separate"/>
      </w:r>
      <w:r>
        <w:t>29</w:t>
      </w:r>
      <w:r>
        <w:fldChar w:fldCharType="end"/>
      </w:r>
      <w:r>
        <w:t>,</w:t>
      </w:r>
      <w:r>
        <w:fldChar w:fldCharType="begin"/>
      </w:r>
      <w:r>
        <w:instrText xml:space="preserve"> REF _Ref_30 \h </w:instrText>
      </w:r>
      <w:r>
        <w:fldChar w:fldCharType="separate"/>
      </w:r>
      <w:r>
        <w:t>30</w:t>
      </w:r>
      <w:r>
        <w:fldChar w:fldCharType="end"/>
      </w:r>
      <w:r>
        <w:t>]</w:t>
      </w:r>
      <w:r>
        <w:rPr>
          <w:b w:val="0"/>
          <w:i w:val="0"/>
        </w:rPr>
        <w:t>. The outcome is entry-level vacancy creation matched to the firm from an online recruitment archive, which observes the hiring decision at the moment it is taken rather than a year later in the headcount table.</w:t>
      </w:r>
    </w:p>
    <w:p>
      <w:pPr>
        <w:pStyle w:val="MDPI31text"/>
      </w:pPr>
      <w:r>
        <w:rPr>
          <w:b w:val="0"/>
          <w:i w:val="0"/>
        </w:rPr>
        <w:t>The results are as follows. One standard deviation of generative-AI uncertainty lowers entry-level vacancy creation by 1.230 vacancies per thousand employees (standard error 0.026), 15.6% of the sample mean, while the level of adoption enters positively and significantly (0.300) and general policy uncertainty is 6.7 times smaller (−0.184). The same coefficient for experienced vacancies is −0.090, 13.7 times smaller, and a cross-equation test rejects equality decisively. The chill is roughly 3.5 times larger at one standard deviation above the mean of firm-specific training intensity than one standard deviation below it, and is attenuated by the same order where the firm already uses reversible employment forms. Uncertainty raises the contingent share of entry-level vacancies by 2.25 percentage points (11.5% of its mean) and raises the probability that the firm makes no youth adjustment at all by 0.050, 28.5% of the unconditional inaction rate; among firms already inactive, it lowers the probability of resuming expansion by 0.126. Instrumenting with two shift-share instruments and a peer-diffusion instrument moves the estimate to −1.302, and a dynamic difference-in-differences design around the frontier-model releases shows flat pre-shock leads and post-shock effects of −1.65 to −2.14.</w:t>
      </w:r>
    </w:p>
    <w:p>
      <w:pPr>
        <w:pStyle w:val="MDPI31text"/>
      </w:pPr>
      <w:r>
        <w:rPr>
          <w:b w:val="0"/>
          <w:i w:val="0"/>
        </w:rPr>
        <w:t xml:space="preserve">The paper makes three contributions. To the economics of automation, which has organised itself around the displacement and reinstatement of tasks </w:t>
      </w:r>
      <w:r>
        <w:t>[</w:t>
      </w:r>
      <w:r>
        <w:fldChar w:fldCharType="begin"/>
      </w:r>
      <w:r>
        <w:instrText xml:space="preserve"> REF _Ref_31 \h </w:instrText>
      </w:r>
      <w:r>
        <w:fldChar w:fldCharType="separate"/>
      </w:r>
      <w:r>
        <w:t>31</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it adds a channel that operates before any task is displaced: the anticipation of displacement, priced as an option. The task content of the entry-level job need not change at all for entry-level hiring to fall, and the reduced-form evidence that motivates the debate is therefore consistent with a technology that has not yet done anything. To the literature on uncertainty and factor demand, which has established that irreversibility makes capital investment wait </w:t>
      </w:r>
      <w:r>
        <w:t>[</w:t>
      </w:r>
      <w:r>
        <w:fldChar w:fldCharType="begin"/>
      </w:r>
      <w:r>
        <w:instrText xml:space="preserve"> REF _Ref_19 \h </w:instrText>
      </w:r>
      <w:r>
        <w:fldChar w:fldCharType="separate"/>
      </w:r>
      <w:r>
        <w:t>19</w:t>
      </w:r>
      <w:r>
        <w:fldChar w:fldCharType="end"/>
      </w:r>
      <w:r>
        <w:t>,</w:t>
      </w:r>
      <w:r>
        <w:fldChar w:fldCharType="begin"/>
      </w:r>
      <w:r>
        <w:instrText xml:space="preserve"> REF _Ref_21 \h </w:instrText>
      </w:r>
      <w:r>
        <w:fldChar w:fldCharType="separate"/>
      </w:r>
      <w:r>
        <w:t>21</w:t>
      </w:r>
      <w:r>
        <w:fldChar w:fldCharType="end"/>
      </w:r>
      <w:r>
        <w:t>,</w:t>
      </w:r>
      <w:r>
        <w:fldChar w:fldCharType="begin"/>
      </w:r>
      <w:r>
        <w:instrText xml:space="preserve"> REF _Ref_29 \h </w:instrText>
      </w:r>
      <w:r>
        <w:fldChar w:fldCharType="separate"/>
      </w:r>
      <w:r>
        <w:t>29</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and that labour demand responds to firing costs </w:t>
      </w:r>
      <w:r>
        <w:t>[</w:t>
      </w:r>
      <w:r>
        <w:fldChar w:fldCharType="begin"/>
      </w:r>
      <w:r>
        <w:instrText xml:space="preserve"> REF _Ref_23 \h </w:instrText>
      </w:r>
      <w:r>
        <w:fldChar w:fldCharType="separate"/>
      </w:r>
      <w:r>
        <w:t>23</w:t>
      </w:r>
      <w:r>
        <w:fldChar w:fldCharType="end"/>
      </w:r>
      <w:r>
        <w:t>,</w:t>
      </w:r>
      <w:r>
        <w:fldChar w:fldCharType="begin"/>
      </w:r>
      <w:r>
        <w:instrText xml:space="preserve"> REF _Ref_35 \h </w:instrText>
      </w:r>
      <w:r>
        <w:fldChar w:fldCharType="separate"/>
      </w:r>
      <w:r>
        <w:t>35</w:t>
      </w:r>
      <w:r>
        <w:fldChar w:fldCharType="end"/>
      </w:r>
      <w:r>
        <w:t>,</w:t>
      </w:r>
      <w:r>
        <w:fldChar w:fldCharType="begin"/>
      </w:r>
      <w:r>
        <w:instrText xml:space="preserve"> REF _Ref_36 \h </w:instrText>
      </w:r>
      <w:r>
        <w:fldChar w:fldCharType="separate"/>
      </w:r>
      <w:r>
        <w:t>36</w:t>
      </w:r>
      <w:r>
        <w:fldChar w:fldCharType="end"/>
      </w:r>
      <w:r>
        <w:t>]</w:t>
      </w:r>
      <w:r>
        <w:rPr>
          <w:b w:val="0"/>
          <w:i w:val="0"/>
        </w:rPr>
        <w:t xml:space="preserve">, it supplies a setting in which the irreversible investment is a person and the uncertainty is technological rather than macroeconomic, and it shows that the two margins of adjustment — how many and on what contract — respond in opposite directions. To research on youth labour markets, which has documented that entry conditions leave long scars </w:t>
      </w:r>
      <w:r>
        <w:t>[</w:t>
      </w:r>
      <w:r>
        <w:fldChar w:fldCharType="begin"/>
      </w:r>
      <w:r>
        <w:instrText xml:space="preserve"> REF _Ref_37 \h </w:instrText>
      </w:r>
      <w:r>
        <w:fldChar w:fldCharType="separate"/>
      </w:r>
      <w:r>
        <w:t>37</w:t>
      </w:r>
      <w:r>
        <w:fldChar w:fldCharType="end"/>
      </w:r>
      <w:r>
        <w:t>–</w:t>
      </w:r>
      <w:r>
        <w:fldChar w:fldCharType="begin"/>
      </w:r>
      <w:r>
        <w:instrText xml:space="preserve"> REF _Ref_39 \h </w:instrText>
      </w:r>
      <w:r>
        <w:fldChar w:fldCharType="separate"/>
      </w:r>
      <w:r>
        <w:t>39</w:t>
      </w:r>
      <w:r>
        <w:fldChar w:fldCharType="end"/>
      </w:r>
      <w:r>
        <w:t>]</w:t>
      </w:r>
      <w:r>
        <w:rPr>
          <w:b w:val="0"/>
          <w:i w:val="0"/>
        </w:rPr>
        <w:t xml:space="preserve"> and that firms shift towards experienced workers when the cycle turns </w:t>
      </w:r>
      <w:r>
        <w:t>[</w:t>
      </w:r>
      <w:r>
        <w:fldChar w:fldCharType="begin"/>
      </w:r>
      <w:r>
        <w:instrText xml:space="preserve"> REF _Ref_40 \h </w:instrText>
      </w:r>
      <w:r>
        <w:fldChar w:fldCharType="separate"/>
      </w:r>
      <w:r>
        <w:t>40</w:t>
      </w:r>
      <w:r>
        <w:fldChar w:fldCharType="end"/>
      </w:r>
      <w:r>
        <w:t>]</w:t>
      </w:r>
      <w:r>
        <w:rPr>
          <w:b w:val="0"/>
          <w:i w:val="0"/>
        </w:rPr>
        <w:t xml:space="preserve">, it shows that a technological shock can produce the same reallocation without a cycle, and that the resulting entry jobs are of a different and more revocable kind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rPr>
          <w:b w:val="0"/>
          <w:i w:val="0"/>
        </w:rPr>
        <w:t>. For the systems questions that motivate this Special Issue, the practical implication is that workforce policy should target the dispersion of beliefs about the technology, not only its capability: measures that make the frontier legible to firms — standards, disclosure, sectoral roadmaps — are entry-level employment policy.</w:t>
      </w:r>
    </w:p>
    <w:p>
      <w:pPr>
        <w:pStyle w:val="MDPI31text"/>
      </w:pPr>
      <w:r>
        <w:rPr>
          <w:b w:val="0"/>
          <w:i w:val="0"/>
        </w:rPr>
        <w:t>The remainder of the paper is organised as follows. Section 2 develops the real-options argument and the hypotheses. Section 3 describes the sample, the measures and the specifications. Section 4 reports the results. Section 5 reports robustness, heterogeneity and economic magnitudes. Section 6 discusses the findings and Section 7 concludes.</w:t>
      </w:r>
    </w:p>
    <w:p>
      <w:pPr>
        <w:pStyle w:val="MDPI21heading1"/>
      </w:pPr>
      <w:r>
        <w:t>2. Theory and Hypotheses</w:t>
      </w:r>
    </w:p>
    <w:p>
      <w:pPr>
        <w:pStyle w:val="MDPI22heading2"/>
      </w:pPr>
      <w:r>
        <w:t>2.1. Related Literature</w:t>
      </w:r>
    </w:p>
    <w:p>
      <w:pPr>
        <w:pStyle w:val="MDPI32textnoindent"/>
      </w:pPr>
      <w:r>
        <w:rPr>
          <w:b w:val="0"/>
          <w:i w:val="0"/>
        </w:rPr>
        <w:t xml:space="preserve">Three strands meet in this paper. The first is the task-based analysis of automation, in which a technology displaces labour from tasks it can perform and reinstates labour in new ones, with the net employment effect given by the race between the two </w:t>
      </w:r>
      <w:r>
        <w:t>[</w:t>
      </w:r>
      <w:r>
        <w:fldChar w:fldCharType="begin"/>
      </w:r>
      <w:r>
        <w:instrText xml:space="preserve"> REF _Ref_31 \h </w:instrText>
      </w:r>
      <w:r>
        <w:fldChar w:fldCharType="separate"/>
      </w:r>
      <w:r>
        <w:t>31</w:t>
      </w:r>
      <w:r>
        <w:fldChar w:fldCharType="end"/>
      </w:r>
      <w:r>
        <w:t>,</w:t>
      </w:r>
      <w:r>
        <w:fldChar w:fldCharType="begin"/>
      </w:r>
      <w:r>
        <w:instrText xml:space="preserve"> REF _Ref_32 \h </w:instrText>
      </w:r>
      <w:r>
        <w:fldChar w:fldCharType="separate"/>
      </w:r>
      <w:r>
        <w:t>32</w:t>
      </w:r>
      <w:r>
        <w:fldChar w:fldCharType="end"/>
      </w:r>
      <w:r>
        <w:t>,</w:t>
      </w:r>
      <w:r>
        <w:fldChar w:fldCharType="begin"/>
      </w:r>
      <w:r>
        <w:instrText xml:space="preserve"> REF _Ref_44 \h </w:instrText>
      </w:r>
      <w:r>
        <w:fldChar w:fldCharType="separate"/>
      </w:r>
      <w:r>
        <w:t>44</w:t>
      </w:r>
      <w:r>
        <w:fldChar w:fldCharType="end"/>
      </w:r>
      <w:r>
        <w:t>,</w:t>
      </w:r>
      <w:r>
        <w:fldChar w:fldCharType="begin"/>
      </w:r>
      <w:r>
        <w:instrText xml:space="preserve"> REF _Ref_45 \h </w:instrText>
      </w:r>
      <w:r>
        <w:fldChar w:fldCharType="separate"/>
      </w:r>
      <w:r>
        <w:t>45</w:t>
      </w:r>
      <w:r>
        <w:fldChar w:fldCharType="end"/>
      </w:r>
      <w:r>
        <w:t>]</w:t>
      </w:r>
      <w:r>
        <w:rPr>
          <w:b w:val="0"/>
          <w:i w:val="0"/>
        </w:rPr>
        <w:t xml:space="preserve">. Applied to GenAI, the exposure measures built for this purpose show that the affected tasks are cognitive and non-routine, and that they are concentrated in the early career </w:t>
      </w:r>
      <w:r>
        <w:t>[</w:t>
      </w:r>
      <w:r>
        <w:fldChar w:fldCharType="begin"/>
      </w:r>
      <w:r>
        <w:instrText xml:space="preserve"> REF _Ref_46 \h </w:instrText>
      </w:r>
      <w:r>
        <w:fldChar w:fldCharType="separate"/>
      </w:r>
      <w:r>
        <w:t>46</w:t>
      </w:r>
      <w:r>
        <w:fldChar w:fldCharType="end"/>
      </w:r>
      <w:r>
        <w:t>–</w:t>
      </w:r>
      <w:r>
        <w:fldChar w:fldCharType="begin"/>
      </w:r>
      <w:r>
        <w:instrText xml:space="preserve"> REF _Ref_48 \h </w:instrText>
      </w:r>
      <w:r>
        <w:fldChar w:fldCharType="separate"/>
      </w:r>
      <w:r>
        <w:t>48</w:t>
      </w:r>
      <w:r>
        <w:fldChar w:fldCharType="end"/>
      </w:r>
      <w:r>
        <w:t>]</w:t>
      </w:r>
      <w:r>
        <w:rPr>
          <w:b w:val="0"/>
          <w:i w:val="0"/>
        </w:rPr>
        <w:t xml:space="preserve">, and the firm-level evidence on earlier waves of automation shows that the employment response is mediated by what the firm does with the technology rather than by the technology itself </w:t>
      </w:r>
      <w:r>
        <w:t>[</w:t>
      </w:r>
      <w:r>
        <w:fldChar w:fldCharType="begin"/>
      </w:r>
      <w:r>
        <w:instrText xml:space="preserve"> REF _Ref_24 \h </w:instrText>
      </w:r>
      <w:r>
        <w:fldChar w:fldCharType="separate"/>
      </w:r>
      <w:r>
        <w:t>24</w:t>
      </w:r>
      <w:r>
        <w:fldChar w:fldCharType="end"/>
      </w:r>
      <w:r>
        <w:t>,</w:t>
      </w:r>
      <w:r>
        <w:fldChar w:fldCharType="begin"/>
      </w:r>
      <w:r>
        <w:instrText xml:space="preserve"> REF _Ref_49 \h </w:instrText>
      </w:r>
      <w:r>
        <w:fldChar w:fldCharType="separate"/>
      </w:r>
      <w:r>
        <w:t>49</w:t>
      </w:r>
      <w:r>
        <w:fldChar w:fldCharType="end"/>
      </w:r>
      <w:r>
        <w:t>,</w:t>
      </w:r>
      <w:r>
        <w:fldChar w:fldCharType="begin"/>
      </w:r>
      <w:r>
        <w:instrText xml:space="preserve"> REF _Ref_50 \h </w:instrText>
      </w:r>
      <w:r>
        <w:fldChar w:fldCharType="separate"/>
      </w:r>
      <w:r>
        <w:t>50</w:t>
      </w:r>
      <w:r>
        <w:fldChar w:fldCharType="end"/>
      </w:r>
      <w:r>
        <w:t>]</w:t>
      </w:r>
      <w:r>
        <w:rPr>
          <w:b w:val="0"/>
          <w:i w:val="0"/>
        </w:rPr>
        <w:t>. What the framework does not contain is time. Displacement is dated by when the technology arrives, not by when firms come to believe it will arrive, and the firm's decision problem in the interval is not modelled.</w:t>
      </w:r>
    </w:p>
    <w:p>
      <w:pPr>
        <w:pStyle w:val="MDPI31text"/>
      </w:pPr>
      <w:r>
        <w:rPr>
          <w:b w:val="0"/>
          <w:i w:val="0"/>
        </w:rPr>
        <w:t xml:space="preserve">The second strand is the economics of investment under uncertainty. When an investment is irreversible and its payoff evolves stochastically, waiting has value, the firm requires a return above the Marshallian one, and the required premium rises with volatility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fldChar w:fldCharType="begin"/>
      </w:r>
      <w:r>
        <w:instrText xml:space="preserve"> REF _Ref_22 \h </w:instrText>
      </w:r>
      <w:r>
        <w:fldChar w:fldCharType="separate"/>
      </w:r>
      <w:r>
        <w:t>22</w:t>
      </w:r>
      <w:r>
        <w:fldChar w:fldCharType="end"/>
      </w:r>
      <w:r>
        <w:t>]</w:t>
      </w:r>
      <w:r>
        <w:rPr>
          <w:b w:val="0"/>
          <w:i w:val="0"/>
        </w:rPr>
        <w:t xml:space="preserve">. The prediction is among the best documented in corporate finance: uncertainty depresses investment </w:t>
      </w:r>
      <w:r>
        <w:t>[</w:t>
      </w:r>
      <w:r>
        <w:fldChar w:fldCharType="begin"/>
      </w:r>
      <w:r>
        <w:instrText xml:space="preserve"> REF _Ref_21 \h </w:instrText>
      </w:r>
      <w:r>
        <w:fldChar w:fldCharType="separate"/>
      </w:r>
      <w:r>
        <w:t>21</w:t>
      </w:r>
      <w:r>
        <w:fldChar w:fldCharType="end"/>
      </w:r>
      <w:r>
        <w:t>,</w:t>
      </w:r>
      <w:r>
        <w:fldChar w:fldCharType="begin"/>
      </w:r>
      <w:r>
        <w:instrText xml:space="preserve"> REF _Ref_29 \h </w:instrText>
      </w:r>
      <w:r>
        <w:fldChar w:fldCharType="separate"/>
      </w:r>
      <w:r>
        <w:t>29</w:t>
      </w:r>
      <w:r>
        <w:fldChar w:fldCharType="end"/>
      </w:r>
      <w:r>
        <w:t>,</w:t>
      </w:r>
      <w:r>
        <w:fldChar w:fldCharType="begin"/>
      </w:r>
      <w:r>
        <w:instrText xml:space="preserve"> REF _Ref_51 \h </w:instrText>
      </w:r>
      <w:r>
        <w:fldChar w:fldCharType="separate"/>
      </w:r>
      <w:r>
        <w:t>51</w:t>
      </w:r>
      <w:r>
        <w:fldChar w:fldCharType="end"/>
      </w:r>
      <w:r>
        <w:t>]</w:t>
      </w:r>
      <w:r>
        <w:rPr>
          <w:b w:val="0"/>
          <w:i w:val="0"/>
        </w:rPr>
        <w:t xml:space="preserve">, the effect is concentrated where assets are hard to redeploy </w:t>
      </w:r>
      <w:r>
        <w:t>[</w:t>
      </w:r>
      <w:r>
        <w:fldChar w:fldCharType="begin"/>
      </w:r>
      <w:r>
        <w:instrText xml:space="preserve"> REF _Ref_34 \h </w:instrText>
      </w:r>
      <w:r>
        <w:fldChar w:fldCharType="separate"/>
      </w:r>
      <w:r>
        <w:t>34</w:t>
      </w:r>
      <w:r>
        <w:fldChar w:fldCharType="end"/>
      </w:r>
      <w:r>
        <w:t>]</w:t>
      </w:r>
      <w:r>
        <w:rPr>
          <w:b w:val="0"/>
          <w:i w:val="0"/>
        </w:rPr>
        <w:t xml:space="preserve">, and it operates through policy as well as through demand </w:t>
      </w:r>
      <w:r>
        <w:t>[</w:t>
      </w:r>
      <w:r>
        <w:fldChar w:fldCharType="begin"/>
      </w:r>
      <w:r>
        <w:instrText xml:space="preserve"> REF _Ref_27 \h </w:instrText>
      </w:r>
      <w:r>
        <w:fldChar w:fldCharType="separate"/>
      </w:r>
      <w:r>
        <w:t>27</w:t>
      </w:r>
      <w:r>
        <w:fldChar w:fldCharType="end"/>
      </w:r>
      <w:r>
        <w:t>,</w:t>
      </w:r>
      <w:r>
        <w:fldChar w:fldCharType="begin"/>
      </w:r>
      <w:r>
        <w:instrText xml:space="preserve"> REF _Ref_52 \h </w:instrText>
      </w:r>
      <w:r>
        <w:fldChar w:fldCharType="separate"/>
      </w:r>
      <w:r>
        <w:t>52</w:t>
      </w:r>
      <w:r>
        <w:fldChar w:fldCharType="end"/>
      </w:r>
      <w:r>
        <w:t>,</w:t>
      </w:r>
      <w:r>
        <w:fldChar w:fldCharType="begin"/>
      </w:r>
      <w:r>
        <w:instrText xml:space="preserve"> REF _Ref_53 \h </w:instrText>
      </w:r>
      <w:r>
        <w:fldChar w:fldCharType="separate"/>
      </w:r>
      <w:r>
        <w:t>53</w:t>
      </w:r>
      <w:r>
        <w:fldChar w:fldCharType="end"/>
      </w:r>
      <w:r>
        <w:t>]</w:t>
      </w:r>
      <w:r>
        <w:rPr>
          <w:b w:val="0"/>
          <w:i w:val="0"/>
        </w:rPr>
        <w:t xml:space="preserve">. Labour has been treated as the same kind of quasi-fixed factor since Bentolila and Bertola </w:t>
      </w:r>
      <w:r>
        <w:t>[</w:t>
      </w:r>
      <w:r>
        <w:fldChar w:fldCharType="begin"/>
      </w:r>
      <w:r>
        <w:instrText xml:space="preserve"> REF _Ref_23 \h </w:instrText>
      </w:r>
      <w:r>
        <w:fldChar w:fldCharType="separate"/>
      </w:r>
      <w:r>
        <w:t>23</w:t>
      </w:r>
      <w:r>
        <w:fldChar w:fldCharType="end"/>
      </w:r>
      <w:r>
        <w:t>]</w:t>
      </w:r>
      <w:r>
        <w:rPr>
          <w:b w:val="0"/>
          <w:i w:val="0"/>
        </w:rPr>
        <w:t xml:space="preserve">, with asymmetric adjustment costs </w:t>
      </w:r>
      <w:r>
        <w:t>[</w:t>
      </w:r>
      <w:r>
        <w:fldChar w:fldCharType="begin"/>
      </w:r>
      <w:r>
        <w:instrText xml:space="preserve"> REF _Ref_35 \h </w:instrText>
      </w:r>
      <w:r>
        <w:fldChar w:fldCharType="separate"/>
      </w:r>
      <w:r>
        <w:t>35</w:t>
      </w:r>
      <w:r>
        <w:fldChar w:fldCharType="end"/>
      </w:r>
      <w:r>
        <w:t>,</w:t>
      </w:r>
      <w:r>
        <w:fldChar w:fldCharType="begin"/>
      </w:r>
      <w:r>
        <w:instrText xml:space="preserve"> REF _Ref_36 \h </w:instrText>
      </w:r>
      <w:r>
        <w:fldChar w:fldCharType="separate"/>
      </w:r>
      <w:r>
        <w:t>36</w:t>
      </w:r>
      <w:r>
        <w:fldChar w:fldCharType="end"/>
      </w:r>
      <w:r>
        <w:t>]</w:t>
      </w:r>
      <w:r>
        <w:rPr>
          <w:b w:val="0"/>
          <w:i w:val="0"/>
        </w:rPr>
        <w:t xml:space="preserve"> and, in general equilibrium, an uncertainty-driven rise in unemployment </w:t>
      </w:r>
      <w:r>
        <w:t>[</w:t>
      </w:r>
      <w:r>
        <w:fldChar w:fldCharType="begin"/>
      </w:r>
      <w:r>
        <w:instrText xml:space="preserve"> REF _Ref_54 \h </w:instrText>
      </w:r>
      <w:r>
        <w:fldChar w:fldCharType="separate"/>
      </w:r>
      <w:r>
        <w:t>54</w:t>
      </w:r>
      <w:r>
        <w:fldChar w:fldCharType="end"/>
      </w:r>
      <w:r>
        <w:t>,</w:t>
      </w:r>
      <w:r>
        <w:fldChar w:fldCharType="begin"/>
      </w:r>
      <w:r>
        <w:instrText xml:space="preserve"> REF _Ref_55 \h </w:instrText>
      </w:r>
      <w:r>
        <w:fldChar w:fldCharType="separate"/>
      </w:r>
      <w:r>
        <w:t>55</w:t>
      </w:r>
      <w:r>
        <w:fldChar w:fldCharType="end"/>
      </w:r>
      <w:r>
        <w:t>]</w:t>
      </w:r>
      <w:r>
        <w:rPr>
          <w:b w:val="0"/>
          <w:i w:val="0"/>
        </w:rPr>
        <w:t>. What is missing is a technology-specific, firm-level measure of the dispersion that the theory says should matter, and an outcome that separates the young from the rest of the workforce.</w:t>
      </w:r>
    </w:p>
    <w:p>
      <w:pPr>
        <w:pStyle w:val="MDPI31text"/>
      </w:pPr>
      <w:r>
        <w:rPr>
          <w:b w:val="0"/>
          <w:i w:val="0"/>
        </w:rPr>
        <w:t xml:space="preserve">The third strand is the literature on contingent employment. Fixed-term contracts, agency work and internships exist in large part because they restore reversibility: they let the firm take a position without sinking the full cost of a permanent one </w:t>
      </w:r>
      <w:r>
        <w:t>[</w:t>
      </w:r>
      <w:r>
        <w:fldChar w:fldCharType="begin"/>
      </w:r>
      <w:r>
        <w:instrText xml:space="preserve"> REF _Ref_42 \h </w:instrText>
      </w:r>
      <w:r>
        <w:fldChar w:fldCharType="separate"/>
      </w:r>
      <w:r>
        <w:t>42</w:t>
      </w:r>
      <w:r>
        <w:fldChar w:fldCharType="end"/>
      </w:r>
      <w:r>
        <w:t>,</w:t>
      </w:r>
      <w:r>
        <w:fldChar w:fldCharType="begin"/>
      </w:r>
      <w:r>
        <w:instrText xml:space="preserve"> REF _Ref_56 \h </w:instrText>
      </w:r>
      <w:r>
        <w:fldChar w:fldCharType="separate"/>
      </w:r>
      <w:r>
        <w:t>56</w:t>
      </w:r>
      <w:r>
        <w:fldChar w:fldCharType="end"/>
      </w:r>
      <w:r>
        <w:t>,</w:t>
      </w:r>
      <w:r>
        <w:fldChar w:fldCharType="begin"/>
      </w:r>
      <w:r>
        <w:instrText xml:space="preserve"> REF _Ref_57 \h </w:instrText>
      </w:r>
      <w:r>
        <w:fldChar w:fldCharType="separate"/>
      </w:r>
      <w:r>
        <w:t>57</w:t>
      </w:r>
      <w:r>
        <w:fldChar w:fldCharType="end"/>
      </w:r>
      <w:r>
        <w:t>]</w:t>
      </w:r>
      <w:r>
        <w:rPr>
          <w:b w:val="0"/>
          <w:i w:val="0"/>
        </w:rPr>
        <w:t xml:space="preserve">. Whether such jobs are stepping stones or dead ends is contested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fldChar w:fldCharType="begin"/>
      </w:r>
      <w:r>
        <w:instrText xml:space="preserve"> REF _Ref_58 \h </w:instrText>
      </w:r>
      <w:r>
        <w:fldChar w:fldCharType="separate"/>
      </w:r>
      <w:r>
        <w:t>58</w:t>
      </w:r>
      <w:r>
        <w:fldChar w:fldCharType="end"/>
      </w:r>
      <w:r>
        <w:t>]</w:t>
      </w:r>
      <w:r>
        <w:rPr>
          <w:b w:val="0"/>
          <w:i w:val="0"/>
        </w:rPr>
        <w:t>, but for the present purpose the point is prior: the contingent margin is the instrument a firm reaches for when the option value of waiting is high but the work still has to be done. No study we are aware of has connected it to technological uncertainty, and none has asked what it implies for the measurement of youth employment effects.</w:t>
      </w:r>
    </w:p>
    <w:p>
      <w:pPr>
        <w:pStyle w:val="MDPI22heading2"/>
      </w:pPr>
      <w:r>
        <w:t>2.2. A Real-Options Model of the Entry Port</w:t>
      </w:r>
    </w:p>
    <w:p>
      <w:pPr>
        <w:pStyle w:val="MDPI32textnoindent"/>
      </w:pPr>
      <w:r>
        <w:rPr>
          <w:b w:val="0"/>
          <w:i w:val="0"/>
        </w:rPr>
        <w:t xml:space="preserve">Consider a firm deciding whether to open one entry-level position. If it hires, it pays an up-front cost </w:t>
      </w:r>
      <m:oMath>
        <m:r>
          <m:t xml:space="preserve">k</m:t>
        </m:r>
        <m:r>
          <m:rPr>
            <m:sty m:val="p"/>
          </m:rPr>
          <m:t xml:space="preserve">&gt;</m:t>
        </m:r>
        <m:r>
          <m:rPr>
            <m:sty m:val="p"/>
          </m:rPr>
          <m:t xml:space="preserve">0</m:t>
        </m:r>
      </m:oMath>
      <w:r>
        <w:rPr>
          <w:b w:val="0"/>
          <w:i w:val="0"/>
        </w:rPr>
        <w:t xml:space="preserve"> of induction, mentoring and firm-specific training, which is sunk in the sense that it cannot be recovered if the position is later closed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In exchange it receives a perpetual flow of net surplus. Let </w:t>
      </w:r>
      <m:oMath>
        <m:sSub>
          <m:e>
            <m:r>
              <m:t xml:space="preserve">X</m:t>
            </m:r>
          </m:e>
          <m:sub>
            <m:r>
              <m:t xml:space="preserve">t</m:t>
            </m:r>
          </m:sub>
        </m:sSub>
      </m:oMath>
      <w:r>
        <w:rPr>
          <w:b w:val="0"/>
          <w:i w:val="0"/>
        </w:rPr>
        <w:t xml:space="preserve"> denote that flow, which depends on how much of the entry-level task bundle survives contact with the generative-AI frontier, and let it evolve as a geometric Brownian motion</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dX</m:t>
                  </m:r>
                </m:e>
                <m:sub>
                  <m:r>
                    <m:t xml:space="preserve">t</m:t>
                  </m:r>
                </m:sub>
              </m:sSub>
              <m:r>
                <m:rPr>
                  <m:sty m:val="p"/>
                </m:rPr>
                <m:t xml:space="preserve">=</m:t>
              </m:r>
              <m:r>
                <m:t xml:space="preserve">μ</m:t>
              </m:r>
              <m:r>
                <m:t xml:space="preserve"> </m:t>
              </m:r>
              <m:sSub>
                <m:e>
                  <m:r>
                    <m:t xml:space="preserve">X</m:t>
                  </m:r>
                </m:e>
                <m:sub>
                  <m:r>
                    <m:t xml:space="preserve">t</m:t>
                  </m:r>
                </m:sub>
              </m:sSub>
              <m:r>
                <m:t xml:space="preserve">dt</m:t>
              </m:r>
              <m:r>
                <m:rPr>
                  <m:sty m:val="p"/>
                </m:rPr>
                <m:t xml:space="preserve">+</m:t>
              </m:r>
              <m:r>
                <m:t xml:space="preserve">σ</m:t>
              </m:r>
              <m:r>
                <m:t xml:space="preserve"> </m:t>
              </m:r>
              <m:sSub>
                <m:e>
                  <m:r>
                    <m:t xml:space="preserve">X</m:t>
                  </m:r>
                </m:e>
                <m:sub>
                  <m:r>
                    <m:t xml:space="preserve">t</m:t>
                  </m:r>
                </m:sub>
              </m:sSub>
              <m:sSub>
                <m:e>
                  <m:r>
                    <m:t xml:space="preserve">dW</m:t>
                  </m:r>
                </m:e>
                <m:sub>
                  <m:r>
                    <m:t xml:space="preserve">t</m:t>
                  </m:r>
                </m:sub>
              </m:sSub>
              <m:r>
                <m:t xml:space="preserve">,</m:t>
              </m:r>
            </m:oMath>
          </w:p>
        </w:tc>
        <w:tc>
          <w:tcPr>
            <w:tcW w:type="dxa" w:w="431"/>
            <w:vAlign w:val="center"/>
          </w:tcPr>
          <w:p>
            <w:pPr>
              <w:pStyle w:val="MDPI3aequationnumber"/>
              <w:jc w:val="right"/>
            </w:pPr>
            <w:r>
              <w:t>(1)</w:t>
            </w:r>
          </w:p>
        </w:tc>
      </w:tr>
    </w:tbl>
    <w:p>
      <w:pPr>
        <w:pStyle w:val="MDPI31text"/>
      </w:pPr>
      <w:r>
        <w:rPr>
          <w:b w:val="0"/>
          <w:i w:val="0"/>
        </w:rPr>
        <w:t xml:space="preserve">with </w:t>
      </w:r>
      <m:oMath>
        <m:r>
          <m:t xml:space="preserve">μ</m:t>
        </m:r>
        <m:r>
          <m:rPr>
            <m:sty m:val="p"/>
          </m:rPr>
          <m:t xml:space="preserve">&lt;</m:t>
        </m:r>
        <m:r>
          <m:t xml:space="preserve">r</m:t>
        </m:r>
      </m:oMath>
      <w:r>
        <w:rPr>
          <w:b w:val="0"/>
          <w:i w:val="0"/>
        </w:rPr>
        <w:t xml:space="preserve">, where </w:t>
      </w:r>
      <m:oMath>
        <m:r>
          <m:t xml:space="preserve">r</m:t>
        </m:r>
      </m:oMath>
      <w:r>
        <w:rPr>
          <w:b w:val="0"/>
          <w:i w:val="0"/>
        </w:rPr>
        <w:t xml:space="preserve"> is the discount rate and </w:t>
      </w:r>
      <m:oMath>
        <m:sSub>
          <m:e>
            <m:r>
              <m:t xml:space="preserve">W</m:t>
            </m:r>
          </m:e>
          <m:sub>
            <m:r>
              <m:t xml:space="preserve">t</m:t>
            </m:r>
          </m:sub>
        </m:sSub>
      </m:oMath>
      <w:r>
        <w:rPr>
          <w:b w:val="0"/>
          <w:i w:val="0"/>
        </w:rPr>
        <w:t xml:space="preserve"> a standard Wiener process. The parameter </w:t>
      </w:r>
      <m:oMath>
        <m:r>
          <m:t xml:space="preserve">σ</m:t>
        </m:r>
      </m:oMath>
      <w:r>
        <w:rPr>
          <w:b w:val="0"/>
          <w:i w:val="0"/>
        </w:rPr>
        <w:t xml:space="preserve"> is the object of the paper: it is not how fast the frontier is advancing, which is </w:t>
      </w:r>
      <m:oMath>
        <m:r>
          <m:t xml:space="preserve">μ</m:t>
        </m:r>
      </m:oMath>
      <w:r>
        <w:rPr>
          <w:b w:val="0"/>
          <w:i w:val="0"/>
        </w:rPr>
        <w:t xml:space="preserve">, but how dispersed the firm's beliefs are about where it will be. The value of an open entry-level position is </w:t>
      </w:r>
      <m:oMath>
        <m:r>
          <m:t xml:space="preserve">X</m:t>
        </m:r>
        <m:r>
          <m:rPr>
            <m:sty m:val="p"/>
          </m:rPr>
          <m:t xml:space="preserve">/</m:t>
        </m:r>
        <m:d>
          <m:dPr>
            <m:begChr m:val="("/>
            <m:endChr m:val=")"/>
          </m:dPr>
          <m:e>
            <m:r>
              <m:t xml:space="preserve">r</m:t>
            </m:r>
            <m:r>
              <m:rPr>
                <m:sty m:val="p"/>
              </m:rPr>
              <m:t xml:space="preserve">-</m:t>
            </m:r>
            <m:r>
              <m:t xml:space="preserve">μ</m:t>
            </m:r>
          </m:e>
        </m:d>
      </m:oMath>
      <w:r>
        <w:rPr>
          <w:b w:val="0"/>
          <w:i w:val="0"/>
        </w:rPr>
        <w:t xml:space="preserve">, so a firm that ignored the option to wait would hire whenever the flow exceeded the Marshallian trigger </w:t>
      </w:r>
      <m:oMath>
        <m:sSup>
          <m:e>
            <m:r>
              <m:t xml:space="preserve">X</m:t>
            </m:r>
          </m:e>
          <m:sup>
            <m:r>
              <m:t xml:space="preserve">M</m:t>
            </m:r>
          </m:sup>
        </m:sSup>
        <m:r>
          <m:rPr>
            <m:sty m:val="p"/>
          </m:rPr>
          <m:t xml:space="preserve">=</m:t>
        </m:r>
        <m:d>
          <m:dPr>
            <m:begChr m:val="("/>
            <m:endChr m:val=")"/>
          </m:dPr>
          <m:e>
            <m:r>
              <m:t xml:space="preserve">r</m:t>
            </m:r>
            <m:r>
              <m:rPr>
                <m:sty m:val="p"/>
              </m:rPr>
              <m:t xml:space="preserve">-</m:t>
            </m:r>
            <m:r>
              <m:t xml:space="preserve">μ</m:t>
            </m:r>
          </m:e>
        </m:d>
        <m:r>
          <m:t xml:space="preserve">k</m:t>
        </m:r>
      </m:oMath>
      <w:r>
        <w:rPr>
          <w:b w:val="0"/>
          <w:i w:val="0"/>
        </w:rPr>
        <w:t>.</w:t>
      </w:r>
    </w:p>
    <w:p>
      <w:pPr>
        <w:pStyle w:val="MDPI31text"/>
      </w:pPr>
      <w:r>
        <w:rPr>
          <w:b w:val="0"/>
          <w:i w:val="0"/>
        </w:rPr>
        <w:t xml:space="preserve">Write </w:t>
      </w:r>
      <m:oMath>
        <m:r>
          <m:t xml:space="preserve">F</m:t>
        </m:r>
        <m:d>
          <m:dPr>
            <m:begChr m:val="("/>
            <m:endChr m:val=")"/>
          </m:dPr>
          <m:e>
            <m:r>
              <m:t xml:space="preserve">X</m:t>
            </m:r>
          </m:e>
        </m:d>
      </m:oMath>
      <w:r>
        <w:rPr>
          <w:b w:val="0"/>
          <w:i w:val="0"/>
        </w:rPr>
        <w:t xml:space="preserve"> for the value of the option to open the position. In the continuation region </w:t>
      </w:r>
      <m:oMath>
        <m:r>
          <m:t xml:space="preserve">F</m:t>
        </m:r>
      </m:oMath>
      <w:r>
        <w:rPr>
          <w:b w:val="0"/>
          <w:i w:val="0"/>
        </w:rPr>
        <w:t xml:space="preserve"> satisfies the standard second-order condition</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f>
                <m:num>
                  <m:r>
                    <m:rPr>
                      <m:sty m:val="p"/>
                    </m:rPr>
                    <m:t xml:space="preserve">1</m:t>
                  </m:r>
                </m:num>
                <m:den>
                  <m:r>
                    <m:rPr>
                      <m:sty m:val="p"/>
                    </m:rPr>
                    <m:t xml:space="preserve">2</m:t>
                  </m:r>
                </m:den>
              </m:f>
              <m:sSup>
                <m:e>
                  <m:r>
                    <m:t xml:space="preserve">σ</m:t>
                  </m:r>
                </m:e>
                <m:sup>
                  <m:r>
                    <m:rPr>
                      <m:sty m:val="p"/>
                    </m:rPr>
                    <m:t xml:space="preserve">2</m:t>
                  </m:r>
                </m:sup>
              </m:sSup>
              <m:sSup>
                <m:e>
                  <m:r>
                    <m:t xml:space="preserve">X</m:t>
                  </m:r>
                </m:e>
                <m:sup>
                  <m:r>
                    <m:rPr>
                      <m:sty m:val="p"/>
                    </m:rPr>
                    <m:t xml:space="preserve">2</m:t>
                  </m:r>
                </m:sup>
              </m:sSup>
              <m:r>
                <m:t xml:space="preserve">F</m:t>
              </m:r>
              <m:r>
                <m:t xml:space="preserve">'</m:t>
              </m:r>
              <m:r>
                <m:t xml:space="preserve">'</m:t>
              </m:r>
              <m:d>
                <m:dPr>
                  <m:begChr m:val="("/>
                  <m:endChr m:val=")"/>
                </m:dPr>
                <m:e>
                  <m:r>
                    <m:t xml:space="preserve">X</m:t>
                  </m:r>
                </m:e>
              </m:d>
              <m:r>
                <m:rPr>
                  <m:sty m:val="p"/>
                </m:rPr>
                <m:t xml:space="preserve">+</m:t>
              </m:r>
              <m:r>
                <m:t xml:space="preserve">μ</m:t>
              </m:r>
              <m:r>
                <m:t xml:space="preserve"> </m:t>
              </m:r>
              <m:r>
                <m:t xml:space="preserve">XF</m:t>
              </m:r>
              <m:r>
                <m:t xml:space="preserve">'</m:t>
              </m:r>
              <m:d>
                <m:dPr>
                  <m:begChr m:val="("/>
                  <m:endChr m:val=")"/>
                </m:dPr>
                <m:e>
                  <m:r>
                    <m:t xml:space="preserve">X</m:t>
                  </m:r>
                </m:e>
              </m:d>
              <m:r>
                <m:rPr>
                  <m:sty m:val="p"/>
                </m:rPr>
                <m:t xml:space="preserve">-</m:t>
              </m:r>
              <m:r>
                <m:t xml:space="preserve">rF</m:t>
              </m:r>
              <m:d>
                <m:dPr>
                  <m:begChr m:val="("/>
                  <m:endChr m:val=")"/>
                </m:dPr>
                <m:e>
                  <m:r>
                    <m:t xml:space="preserve">X</m:t>
                  </m:r>
                </m:e>
              </m:d>
              <m:r>
                <m:rPr>
                  <m:sty m:val="p"/>
                </m:rPr>
                <m:t xml:space="preserve">=</m:t>
              </m:r>
              <m:r>
                <m:rPr>
                  <m:sty m:val="p"/>
                </m:rPr>
                <m:t xml:space="preserve">0</m:t>
              </m:r>
              <m:r>
                <m:t xml:space="preserve">,</m:t>
              </m:r>
            </m:oMath>
          </w:p>
        </w:tc>
        <w:tc>
          <w:tcPr>
            <w:tcW w:type="dxa" w:w="431"/>
            <w:vAlign w:val="center"/>
          </w:tcPr>
          <w:p>
            <w:pPr>
              <w:pStyle w:val="MDPI3aequationnumber"/>
              <w:jc w:val="right"/>
            </w:pPr>
            <w:r>
              <w:t>(2)</w:t>
            </w:r>
          </w:p>
        </w:tc>
      </w:tr>
    </w:tbl>
    <w:p>
      <w:pPr>
        <w:pStyle w:val="MDPI31text"/>
      </w:pPr>
      <w:r>
        <w:rPr>
          <w:b w:val="0"/>
          <w:i w:val="0"/>
        </w:rPr>
        <w:t xml:space="preserve">whose economically relevant solution is </w:t>
      </w:r>
      <m:oMath>
        <m:r>
          <m:t xml:space="preserve">F</m:t>
        </m:r>
        <m:d>
          <m:dPr>
            <m:begChr m:val="("/>
            <m:endChr m:val=")"/>
          </m:dPr>
          <m:e>
            <m:r>
              <m:t xml:space="preserve">X</m:t>
            </m:r>
          </m:e>
        </m:d>
        <m:r>
          <m:rPr>
            <m:sty m:val="p"/>
          </m:rPr>
          <m:t xml:space="preserve">=</m:t>
        </m:r>
        <m:sSup>
          <m:e>
            <m:r>
              <m:t xml:space="preserve">CX</m:t>
            </m:r>
          </m:e>
          <m:sup>
            <m:r>
              <m:t xml:space="preserve">β</m:t>
            </m:r>
          </m:sup>
        </m:sSup>
      </m:oMath>
      <w:r>
        <w:rPr>
          <w:b w:val="0"/>
          <w:i w:val="0"/>
        </w:rPr>
        <w:t xml:space="preserve"> with </w:t>
      </w:r>
      <m:oMath>
        <m:r>
          <m:t xml:space="preserve">β</m:t>
        </m:r>
        <m:r>
          <m:rPr>
            <m:sty m:val="p"/>
          </m:rPr>
          <m:t xml:space="preserve">&gt;</m:t>
        </m:r>
        <m:r>
          <m:rPr>
            <m:sty m:val="p"/>
          </m:rPr>
          <m:t xml:space="preserve">1</m:t>
        </m:r>
      </m:oMath>
      <w:r>
        <w:rPr>
          <w:b w:val="0"/>
          <w:i w:val="0"/>
        </w:rPr>
        <w:t xml:space="preserve"> the positive root of the fundamental quadratic</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β</m:t>
              </m:r>
              <m:r>
                <m:rPr>
                  <m:sty m:val="p"/>
                </m:rPr>
                <m:t xml:space="preserve">=</m:t>
              </m:r>
              <m:f>
                <m:num>
                  <m:r>
                    <m:rPr>
                      <m:sty m:val="p"/>
                    </m:rPr>
                    <m:t xml:space="preserve">1</m:t>
                  </m:r>
                </m:num>
                <m:den>
                  <m:r>
                    <m:rPr>
                      <m:sty m:val="p"/>
                    </m:rPr>
                    <m:t xml:space="preserve">2</m:t>
                  </m:r>
                </m:den>
              </m:f>
              <m:r>
                <m:rPr>
                  <m:sty m:val="p"/>
                </m:rPr>
                <m:t xml:space="preserve">-</m:t>
              </m:r>
              <m:f>
                <m:num>
                  <m:r>
                    <m:t xml:space="preserve">μ</m:t>
                  </m:r>
                </m:num>
                <m:den>
                  <m:sSup>
                    <m:e>
                      <m:r>
                        <m:t xml:space="preserve">σ</m:t>
                      </m:r>
                    </m:e>
                    <m:sup>
                      <m:r>
                        <m:rPr>
                          <m:sty m:val="p"/>
                        </m:rPr>
                        <m:t xml:space="preserve">2</m:t>
                      </m:r>
                    </m:sup>
                  </m:sSup>
                </m:den>
              </m:f>
              <m:r>
                <m:rPr>
                  <m:sty m:val="p"/>
                </m:rPr>
                <m:t xml:space="preserve">+</m:t>
              </m:r>
              <m:rad>
                <m:radPr>
                  <m:degHide m:val="1"/>
                </m:radPr>
                <m:deg/>
                <m:e>
                  <m:sSup>
                    <m:e>
                      <m:d>
                        <m:dPr>
                          <m:begChr m:val="("/>
                          <m:endChr m:val=")"/>
                        </m:dPr>
                        <m:e>
                          <m:f>
                            <m:num>
                              <m:r>
                                <m:t xml:space="preserve">μ</m:t>
                              </m:r>
                            </m:num>
                            <m:den>
                              <m:sSup>
                                <m:e>
                                  <m:r>
                                    <m:t xml:space="preserve">σ</m:t>
                                  </m:r>
                                </m:e>
                                <m:sup>
                                  <m:r>
                                    <m:rPr>
                                      <m:sty m:val="p"/>
                                    </m:rPr>
                                    <m:t xml:space="preserve">2</m:t>
                                  </m:r>
                                </m:sup>
                              </m:sSup>
                            </m:den>
                          </m:f>
                          <m:r>
                            <m:rPr>
                              <m:sty m:val="p"/>
                            </m:rPr>
                            <m:t xml:space="preserve">-</m:t>
                          </m:r>
                          <m:f>
                            <m:num>
                              <m:r>
                                <m:rPr>
                                  <m:sty m:val="p"/>
                                </m:rPr>
                                <m:t xml:space="preserve">1</m:t>
                              </m:r>
                            </m:num>
                            <m:den>
                              <m:r>
                                <m:rPr>
                                  <m:sty m:val="p"/>
                                </m:rPr>
                                <m:t xml:space="preserve">2</m:t>
                              </m:r>
                            </m:den>
                          </m:f>
                        </m:e>
                      </m:d>
                    </m:e>
                    <m:sup>
                      <m:r>
                        <m:rPr>
                          <m:sty m:val="p"/>
                        </m:rPr>
                        <m:t xml:space="preserve">2</m:t>
                      </m:r>
                    </m:sup>
                  </m:sSup>
                  <m:r>
                    <m:rPr>
                      <m:sty m:val="p"/>
                    </m:rPr>
                    <m:t xml:space="preserve">+</m:t>
                  </m:r>
                  <m:f>
                    <m:num>
                      <m:r>
                        <m:rPr>
                          <m:sty m:val="p"/>
                        </m:rPr>
                        <m:t xml:space="preserve">2</m:t>
                      </m:r>
                      <m:r>
                        <m:t xml:space="preserve">r</m:t>
                      </m:r>
                    </m:num>
                    <m:den>
                      <m:sSup>
                        <m:e>
                          <m:r>
                            <m:t xml:space="preserve">σ</m:t>
                          </m:r>
                        </m:e>
                        <m:sup>
                          <m:r>
                            <m:rPr>
                              <m:sty m:val="p"/>
                            </m:rPr>
                            <m:t xml:space="preserve">2</m:t>
                          </m:r>
                        </m:sup>
                      </m:sSup>
                    </m:den>
                  </m:f>
                </m:e>
              </m:rad>
              <m:r>
                <m:t xml:space="preserve">.</m:t>
              </m:r>
            </m:oMath>
          </w:p>
        </w:tc>
        <w:tc>
          <w:tcPr>
            <w:tcW w:type="dxa" w:w="431"/>
            <w:vAlign w:val="center"/>
          </w:tcPr>
          <w:p>
            <w:pPr>
              <w:pStyle w:val="MDPI3aequationnumber"/>
              <w:jc w:val="right"/>
            </w:pPr>
            <w:r>
              <w:t>(3)</w:t>
            </w:r>
          </w:p>
        </w:tc>
      </w:tr>
    </w:tbl>
    <w:p>
      <w:pPr>
        <w:pStyle w:val="MDPI31text"/>
      </w:pPr>
      <w:r>
        <w:rPr>
          <w:b w:val="0"/>
          <w:i w:val="0"/>
        </w:rPr>
        <w:t xml:space="preserve">Value matching and smooth pasting at the optimal trigger </w:t>
      </w:r>
      <m:oMath>
        <m:sSup>
          <m:e>
            <m:r>
              <m:t xml:space="preserve">X</m:t>
            </m:r>
          </m:e>
          <m:sup>
            <m:r>
              <m:t xml:space="preserve">∗</m:t>
            </m:r>
          </m:sup>
        </m:sSup>
      </m:oMath>
      <w:r>
        <w:rPr>
          <w:b w:val="0"/>
          <w:i w:val="0"/>
        </w:rPr>
        <w:t xml:space="preserve"> give the familiar result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p>
                <m:e>
                  <m:r>
                    <m:t xml:space="preserve">X</m:t>
                  </m:r>
                </m:e>
                <m:sup>
                  <m:r>
                    <m:t xml:space="preserve">∗</m:t>
                  </m:r>
                </m:sup>
              </m:sSup>
              <m:r>
                <m:rPr>
                  <m:sty m:val="p"/>
                </m:rPr>
                <m:t xml:space="preserve">=</m:t>
              </m:r>
              <m:f>
                <m:num>
                  <m:r>
                    <m:t xml:space="preserve">β</m:t>
                  </m:r>
                </m:num>
                <m:den>
                  <m:r>
                    <m:t xml:space="preserve">β</m:t>
                  </m:r>
                  <m:r>
                    <m:rPr>
                      <m:sty m:val="p"/>
                    </m:rPr>
                    <m:t xml:space="preserve">-</m:t>
                  </m:r>
                  <m:r>
                    <m:rPr>
                      <m:sty m:val="p"/>
                    </m:rPr>
                    <m:t xml:space="preserve">1</m:t>
                  </m:r>
                </m:den>
              </m:f>
              <m:d>
                <m:dPr>
                  <m:begChr m:val="("/>
                  <m:endChr m:val=")"/>
                </m:dPr>
                <m:e>
                  <m:r>
                    <m:t xml:space="preserve">r</m:t>
                  </m:r>
                  <m:r>
                    <m:rPr>
                      <m:sty m:val="p"/>
                    </m:rPr>
                    <m:t xml:space="preserve">-</m:t>
                  </m:r>
                  <m:r>
                    <m:t xml:space="preserve">μ</m:t>
                  </m:r>
                </m:e>
              </m:d>
              <m:r>
                <m:t xml:space="preserve">k</m:t>
              </m:r>
              <m:r>
                <m:rPr>
                  <m:sty m:val="p"/>
                </m:rPr>
                <m:t xml:space="preserve">=</m:t>
              </m:r>
              <m:d>
                <m:dPr>
                  <m:begChr m:val="("/>
                  <m:endChr m:val=")"/>
                </m:dPr>
                <m:e>
                  <m:r>
                    <m:rPr>
                      <m:sty m:val="p"/>
                    </m:rPr>
                    <m:t xml:space="preserve">1</m:t>
                  </m:r>
                  <m:r>
                    <m:rPr>
                      <m:sty m:val="p"/>
                    </m:rPr>
                    <m:t xml:space="preserve">+</m:t>
                  </m:r>
                  <m:r>
                    <m:t xml:space="preserve">Ω</m:t>
                  </m:r>
                </m:e>
              </m:d>
              <m:sSup>
                <m:e>
                  <m:r>
                    <m:t xml:space="preserve">X</m:t>
                  </m:r>
                </m:e>
                <m:sup>
                  <m:r>
                    <m:t xml:space="preserve">M</m:t>
                  </m:r>
                </m:sup>
              </m:sSup>
              <m:r>
                <m:t xml:space="preserve">,</m:t>
              </m:r>
              <m:r>
                <m:t xml:space="preserve">  </m:t>
              </m:r>
              <m:r>
                <m:t xml:space="preserve">Ω</m:t>
              </m:r>
              <m:r>
                <m:rPr>
                  <m:sty m:val="p"/>
                </m:rPr>
                <m:t xml:space="preserve">≡</m:t>
              </m:r>
              <m:f>
                <m:num>
                  <m:r>
                    <m:rPr>
                      <m:sty m:val="p"/>
                    </m:rPr>
                    <m:t xml:space="preserve">1</m:t>
                  </m:r>
                </m:num>
                <m:den>
                  <m:r>
                    <m:t xml:space="preserve">β</m:t>
                  </m:r>
                  <m:r>
                    <m:rPr>
                      <m:sty m:val="p"/>
                    </m:rPr>
                    <m:t xml:space="preserve">-</m:t>
                  </m:r>
                  <m:r>
                    <m:rPr>
                      <m:sty m:val="p"/>
                    </m:rPr>
                    <m:t xml:space="preserve">1</m:t>
                  </m:r>
                </m:den>
              </m:f>
              <m:r>
                <m:rPr>
                  <m:sty m:val="p"/>
                </m:rPr>
                <m:t xml:space="preserve">&gt;</m:t>
              </m:r>
              <m:r>
                <m:rPr>
                  <m:sty m:val="p"/>
                </m:rPr>
                <m:t xml:space="preserve">0.</m:t>
              </m:r>
            </m:oMath>
          </w:p>
        </w:tc>
        <w:tc>
          <w:tcPr>
            <w:tcW w:type="dxa" w:w="431"/>
            <w:vAlign w:val="center"/>
          </w:tcPr>
          <w:p>
            <w:pPr>
              <w:pStyle w:val="MDPI3aequationnumber"/>
              <w:jc w:val="right"/>
            </w:pPr>
            <w:r>
              <w:t>(4)</w:t>
            </w:r>
          </w:p>
        </w:tc>
      </w:tr>
    </w:tbl>
    <w:p>
      <w:pPr>
        <w:pStyle w:val="MDPI31text"/>
      </w:pPr>
      <m:oMath>
        <m:r>
          <m:t xml:space="preserve">Ω</m:t>
        </m:r>
      </m:oMath>
      <w:r>
        <w:rPr>
          <w:b w:val="0"/>
          <w:i w:val="0"/>
        </w:rPr>
        <w:t xml:space="preserve"> is the option-value wedge: the proportional premium the firm adds to the Marshallian hurdle before it will commit to a young recruit. Differentiating (3), </w:t>
      </w:r>
      <m:oMath>
        <m:r>
          <m:rPr>
            <m:sty m:val="p"/>
          </m:rPr>
          <m:t xml:space="preserve">∂</m:t>
        </m:r>
        <m:r>
          <m:t xml:space="preserve">β</m:t>
        </m:r>
        <m:r>
          <m:rPr>
            <m:sty m:val="p"/>
          </m:rPr>
          <m:t xml:space="preserve">/</m:t>
        </m:r>
        <m:r>
          <m:rPr>
            <m:sty m:val="p"/>
          </m:rPr>
          <m:t xml:space="preserve">∂</m:t>
        </m:r>
        <m:r>
          <m:t xml:space="preserve">σ</m:t>
        </m:r>
        <m:r>
          <m:rPr>
            <m:sty m:val="p"/>
          </m:rPr>
          <m:t xml:space="preserve">&lt;</m:t>
        </m:r>
        <m:r>
          <m:rPr>
            <m:sty m:val="p"/>
          </m:rPr>
          <m:t xml:space="preserve">0</m:t>
        </m:r>
      </m:oMath>
      <w:r>
        <w:rPr>
          <w:b w:val="0"/>
          <w:i w:val="0"/>
        </w:rPr>
        <w:t>, so</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f>
                <m:num>
                  <m:r>
                    <m:rPr>
                      <m:sty m:val="p"/>
                    </m:rPr>
                    <m:t xml:space="preserve">∂</m:t>
                  </m:r>
                  <m:r>
                    <m:t xml:space="preserve">Ω</m:t>
                  </m:r>
                </m:num>
                <m:den>
                  <m:r>
                    <m:rPr>
                      <m:sty m:val="p"/>
                    </m:rPr>
                    <m:t xml:space="preserve">∂</m:t>
                  </m:r>
                  <m:r>
                    <m:t xml:space="preserve">σ</m:t>
                  </m:r>
                </m:den>
              </m:f>
              <m:r>
                <m:rPr>
                  <m:sty m:val="p"/>
                </m:rPr>
                <m:t xml:space="preserve">=</m:t>
              </m:r>
              <m:r>
                <m:rPr>
                  <m:sty m:val="p"/>
                </m:rPr>
                <m:t xml:space="preserve">-</m:t>
              </m:r>
              <m:f>
                <m:num>
                  <m:r>
                    <m:rPr>
                      <m:sty m:val="p"/>
                    </m:rPr>
                    <m:t xml:space="preserve">1</m:t>
                  </m:r>
                </m:num>
                <m:den>
                  <m:sSup>
                    <m:e>
                      <m:d>
                        <m:dPr>
                          <m:begChr m:val="("/>
                          <m:endChr m:val=")"/>
                        </m:dPr>
                        <m:e>
                          <m:r>
                            <m:t xml:space="preserve">β</m:t>
                          </m:r>
                          <m:r>
                            <m:rPr>
                              <m:sty m:val="p"/>
                            </m:rPr>
                            <m:t xml:space="preserve">-</m:t>
                          </m:r>
                          <m:r>
                            <m:rPr>
                              <m:sty m:val="p"/>
                            </m:rPr>
                            <m:t xml:space="preserve">1</m:t>
                          </m:r>
                        </m:e>
                      </m:d>
                    </m:e>
                    <m:sup>
                      <m:r>
                        <m:rPr>
                          <m:sty m:val="p"/>
                        </m:rPr>
                        <m:t xml:space="preserve">2</m:t>
                      </m:r>
                    </m:sup>
                  </m:sSup>
                </m:den>
              </m:f>
              <m:f>
                <m:num>
                  <m:r>
                    <m:rPr>
                      <m:sty m:val="p"/>
                    </m:rPr>
                    <m:t xml:space="preserve">∂</m:t>
                  </m:r>
                  <m:r>
                    <m:t xml:space="preserve">β</m:t>
                  </m:r>
                </m:num>
                <m:den>
                  <m:r>
                    <m:rPr>
                      <m:sty m:val="p"/>
                    </m:rPr>
                    <m:t xml:space="preserve">∂</m:t>
                  </m:r>
                  <m:r>
                    <m:t xml:space="preserve">σ</m:t>
                  </m:r>
                </m:den>
              </m:f>
              <m:r>
                <m:rPr>
                  <m:sty m:val="p"/>
                </m:rPr>
                <m:t xml:space="preserve">&gt;</m:t>
              </m:r>
              <m:r>
                <m:rPr>
                  <m:sty m:val="p"/>
                </m:rPr>
                <m:t xml:space="preserve">0.</m:t>
              </m:r>
            </m:oMath>
          </w:p>
        </w:tc>
        <w:tc>
          <w:tcPr>
            <w:tcW w:type="dxa" w:w="431"/>
            <w:vAlign w:val="center"/>
          </w:tcPr>
          <w:p>
            <w:pPr>
              <w:pStyle w:val="MDPI3aequationnumber"/>
              <w:jc w:val="right"/>
            </w:pPr>
            <w:r>
              <w:t>(5)</w:t>
            </w:r>
          </w:p>
        </w:tc>
      </w:tr>
    </w:tbl>
    <w:p>
      <w:pPr>
        <w:pStyle w:val="MDPI31text"/>
      </w:pPr>
      <w:r>
        <w:rPr>
          <w:b w:val="0"/>
          <w:i w:val="0"/>
        </w:rPr>
        <w:t>Two comparative statics follow immediately and carry the empirical content of the paper. Because the trigger in (4) is proportional to the sunk cost, the effect of uncertainty on the hurdle is larger the larger that cost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f>
                <m:num>
                  <m:sSup>
                    <m:e>
                      <m:r>
                        <m:rPr>
                          <m:sty m:val="p"/>
                        </m:rPr>
                        <m:t xml:space="preserve">∂</m:t>
                      </m:r>
                    </m:e>
                    <m:sup>
                      <m:r>
                        <m:rPr>
                          <m:sty m:val="p"/>
                        </m:rPr>
                        <m:t xml:space="preserve">2</m:t>
                      </m:r>
                    </m:sup>
                  </m:sSup>
                  <m:sSup>
                    <m:e>
                      <m:r>
                        <m:t xml:space="preserve">X</m:t>
                      </m:r>
                    </m:e>
                    <m:sup>
                      <m:r>
                        <m:t xml:space="preserve">∗</m:t>
                      </m:r>
                    </m:sup>
                  </m:sSup>
                </m:num>
                <m:den>
                  <m:r>
                    <m:rPr>
                      <m:sty m:val="p"/>
                    </m:rPr>
                    <m:t xml:space="preserve">∂</m:t>
                  </m:r>
                  <m:r>
                    <m:t xml:space="preserve">σ</m:t>
                  </m:r>
                  <m:r>
                    <m:rPr>
                      <m:sty m:val="p"/>
                    </m:rPr>
                    <m:t xml:space="preserve">∂</m:t>
                  </m:r>
                  <m:r>
                    <m:t xml:space="preserve"> </m:t>
                  </m:r>
                  <m:r>
                    <m:t xml:space="preserve">k</m:t>
                  </m:r>
                </m:den>
              </m:f>
              <m:r>
                <m:rPr>
                  <m:sty m:val="p"/>
                </m:rPr>
                <m:t xml:space="preserve">=</m:t>
              </m:r>
              <m:d>
                <m:dPr>
                  <m:begChr m:val="("/>
                  <m:endChr m:val=")"/>
                </m:dPr>
                <m:e>
                  <m:r>
                    <m:t xml:space="preserve">r</m:t>
                  </m:r>
                  <m:r>
                    <m:rPr>
                      <m:sty m:val="p"/>
                    </m:rPr>
                    <m:t xml:space="preserve">-</m:t>
                  </m:r>
                  <m:r>
                    <m:t xml:space="preserve">μ</m:t>
                  </m:r>
                </m:e>
              </m:d>
              <m:f>
                <m:num>
                  <m:r>
                    <m:rPr>
                      <m:sty m:val="p"/>
                    </m:rPr>
                    <m:t xml:space="preserve">∂</m:t>
                  </m:r>
                </m:num>
                <m:den>
                  <m:r>
                    <m:rPr>
                      <m:sty m:val="p"/>
                    </m:rPr>
                    <m:t xml:space="preserve">∂</m:t>
                  </m:r>
                  <m:r>
                    <m:t xml:space="preserve">σ</m:t>
                  </m:r>
                </m:den>
              </m:f>
              <m:d>
                <m:dPr>
                  <m:begChr m:val="("/>
                  <m:endChr m:val=")"/>
                </m:dPr>
                <m:e>
                  <m:f>
                    <m:num>
                      <m:r>
                        <m:t xml:space="preserve">β</m:t>
                      </m:r>
                    </m:num>
                    <m:den>
                      <m:r>
                        <m:t xml:space="preserve">β</m:t>
                      </m:r>
                      <m:r>
                        <m:rPr>
                          <m:sty m:val="p"/>
                        </m:rPr>
                        <m:t xml:space="preserve">-</m:t>
                      </m:r>
                      <m:r>
                        <m:rPr>
                          <m:sty m:val="p"/>
                        </m:rPr>
                        <m:t xml:space="preserve">1</m:t>
                      </m:r>
                    </m:den>
                  </m:f>
                </m:e>
              </m:d>
              <m:r>
                <m:rPr>
                  <m:sty m:val="p"/>
                </m:rPr>
                <m:t xml:space="preserve">&gt;</m:t>
              </m:r>
              <m:r>
                <m:rPr>
                  <m:sty m:val="p"/>
                </m:rPr>
                <m:t xml:space="preserve">0.</m:t>
              </m:r>
            </m:oMath>
          </w:p>
        </w:tc>
        <w:tc>
          <w:tcPr>
            <w:tcW w:type="dxa" w:w="431"/>
            <w:vAlign w:val="center"/>
          </w:tcPr>
          <w:p>
            <w:pPr>
              <w:pStyle w:val="MDPI3aequationnumber"/>
              <w:jc w:val="right"/>
            </w:pPr>
            <w:r>
              <w:t>(6)</w:t>
            </w:r>
          </w:p>
        </w:tc>
      </w:tr>
    </w:tbl>
    <w:p>
      <w:pPr>
        <w:pStyle w:val="MDPI31text"/>
      </w:pPr>
      <w:r>
        <w:rPr>
          <w:b w:val="0"/>
          <w:i w:val="0"/>
        </w:rPr>
        <w:t xml:space="preserve">And if the same young worker can be engaged on a contract whose sunk component is only </w:t>
      </w:r>
      <m:oMath>
        <m:r>
          <m:t xml:space="preserve">φ</m:t>
        </m:r>
        <m:r>
          <m:t xml:space="preserve"> </m:t>
        </m:r>
        <m:r>
          <m:t xml:space="preserve">k</m:t>
        </m:r>
      </m:oMath>
      <w:r>
        <w:rPr>
          <w:b w:val="0"/>
          <w:i w:val="0"/>
        </w:rPr>
        <w:t xml:space="preserve"> with </w:t>
      </w:r>
      <m:oMath>
        <m:r>
          <m:rPr>
            <m:sty m:val="p"/>
          </m:rPr>
          <m:t xml:space="preserve">0</m:t>
        </m:r>
        <m:r>
          <m:rPr>
            <m:sty m:val="p"/>
          </m:rPr>
          <m:t xml:space="preserve">&lt;</m:t>
        </m:r>
        <m:r>
          <m:t xml:space="preserve">φ</m:t>
        </m:r>
        <m:r>
          <m:rPr>
            <m:sty m:val="p"/>
          </m:rPr>
          <m:t xml:space="preserve">&lt;</m:t>
        </m:r>
        <m:r>
          <m:rPr>
            <m:sty m:val="p"/>
          </m:rPr>
          <m:t xml:space="preserve">1</m:t>
        </m:r>
      </m:oMath>
      <w:r>
        <w:rPr>
          <w:b w:val="0"/>
          <w:i w:val="0"/>
        </w:rPr>
        <w:t xml:space="preserve"> — an internship, an agency placement, a short fixed-term contract — then that contract has its own trigger </w:t>
      </w:r>
      <m:oMath>
        <m:sSubSup>
          <m:e>
            <m:r>
              <m:t xml:space="preserve">X</m:t>
            </m:r>
          </m:e>
          <m:sub>
            <m:r>
              <m:t xml:space="preserve">c</m:t>
            </m:r>
          </m:sub>
          <m:sup>
            <m:r>
              <m:t xml:space="preserve">∗</m:t>
            </m:r>
          </m:sup>
        </m:sSubSup>
        <m:r>
          <m:rPr>
            <m:sty m:val="p"/>
          </m:rPr>
          <m:t xml:space="preserve">=</m:t>
        </m:r>
        <m:d>
          <m:dPr>
            <m:begChr m:val="("/>
            <m:endChr m:val=")"/>
          </m:dPr>
          <m:e>
            <m:r>
              <m:rPr>
                <m:sty m:val="p"/>
              </m:rPr>
              <m:t xml:space="preserve">1</m:t>
            </m:r>
            <m:r>
              <m:rPr>
                <m:sty m:val="p"/>
              </m:rPr>
              <m:t xml:space="preserve">+</m:t>
            </m:r>
            <m:r>
              <m:t xml:space="preserve">Ω</m:t>
            </m:r>
          </m:e>
        </m:d>
        <m:d>
          <m:dPr>
            <m:begChr m:val="("/>
            <m:endChr m:val=")"/>
          </m:dPr>
          <m:e>
            <m:r>
              <m:t xml:space="preserve">r</m:t>
            </m:r>
            <m:r>
              <m:rPr>
                <m:sty m:val="p"/>
              </m:rPr>
              <m:t xml:space="preserve">-</m:t>
            </m:r>
            <m:r>
              <m:t xml:space="preserve">μ</m:t>
            </m:r>
          </m:e>
        </m:d>
        <m:r>
          <m:t xml:space="preserve">φ</m:t>
        </m:r>
        <m:r>
          <m:t xml:space="preserve"> </m:t>
        </m:r>
        <m:r>
          <m:t xml:space="preserve">k</m:t>
        </m:r>
      </m:oMath>
      <w:r>
        <w:rPr>
          <w:b w:val="0"/>
          <w:i w:val="0"/>
        </w:rPr>
        <w:t xml:space="preserve">, which lies strictly below </w:t>
      </w:r>
      <m:oMath>
        <m:sSup>
          <m:e>
            <m:r>
              <m:t xml:space="preserve">X</m:t>
            </m:r>
          </m:e>
          <m:sup>
            <m:r>
              <m:t xml:space="preserve">∗</m:t>
            </m:r>
          </m:sup>
        </m:sSup>
      </m:oMath>
      <w:r>
        <w:rPr>
          <w:b w:val="0"/>
          <w:i w:val="0"/>
        </w:rPr>
        <w:t xml:space="preserve"> and rises more slowly with </w:t>
      </w:r>
      <m:oMath>
        <m:r>
          <m:t xml:space="preserve">σ</m:t>
        </m:r>
      </m:oMath>
      <w:r>
        <w:rPr>
          <w:b w:val="0"/>
          <w:i w:val="0"/>
        </w:rPr>
        <w:t xml:space="preserve">. The gap between the two triggers widens as uncertainty rises, so the interval of states in which the firm is willing to take the young worker but not to commit to them expands. The firm therefore does not stop using young labour; it stops owning the commitment. Finally, allowing the firm also to close a position at a cost yields a lower trigger </w:t>
      </w:r>
      <m:oMath>
        <m:sSub>
          <m:e>
            <m:r>
              <m:t xml:space="preserve">X</m:t>
            </m:r>
          </m:e>
          <m:sub>
            <m:r>
              <m:t xml:space="preserve">∗</m:t>
            </m:r>
          </m:sub>
        </m:sSub>
        <m:r>
          <m:rPr>
            <m:sty m:val="p"/>
          </m:rPr>
          <m:t xml:space="preserve">&lt;</m:t>
        </m:r>
        <m:sSup>
          <m:e>
            <m:r>
              <m:t xml:space="preserve">X</m:t>
            </m:r>
          </m:e>
          <m:sup>
            <m:r>
              <m:t xml:space="preserve">M</m:t>
            </m:r>
          </m:sup>
        </m:sSup>
      </m:oMath>
      <w:r>
        <w:rPr>
          <w:b w:val="0"/>
          <w:i w:val="0"/>
        </w:rPr>
        <w:t xml:space="preserve">, and the interval </w:t>
      </w:r>
      <m:oMath>
        <m:d>
          <m:dPr>
            <m:begChr m:val="["/>
            <m:endChr m:val="]"/>
          </m:dPr>
          <m:e>
            <m:sSub>
              <m:e>
                <m:r>
                  <m:t xml:space="preserve">X</m:t>
                </m:r>
              </m:e>
              <m:sub>
                <m:r>
                  <m:t xml:space="preserve">∗</m:t>
                </m:r>
              </m:sub>
            </m:sSub>
            <m:r>
              <m:t xml:space="preserve">,</m:t>
            </m:r>
            <m:sSup>
              <m:e>
                <m:r>
                  <m:t xml:space="preserve">X</m:t>
                </m:r>
              </m:e>
              <m:sup>
                <m:r>
                  <m:t xml:space="preserve">∗</m:t>
                </m:r>
              </m:sup>
            </m:sSup>
          </m:e>
        </m:d>
      </m:oMath>
      <w:r>
        <w:rPr>
          <w:b w:val="0"/>
          <w:i w:val="0"/>
        </w:rPr>
        <w:t xml:space="preserve"> is a zone of inaction whose width is increasing in </w:t>
      </w:r>
      <m:oMath>
        <m:r>
          <m:t xml:space="preserve">σ</m:t>
        </m:r>
      </m:oMath>
      <w:r>
        <w:rPr>
          <w:b w:val="0"/>
          <w:i w:val="0"/>
        </w:rPr>
        <w:t xml:space="preserve"> </w:t>
      </w:r>
      <w:r>
        <w:t>[</w:t>
      </w:r>
      <w:r>
        <w:fldChar w:fldCharType="begin"/>
      </w:r>
      <w:r>
        <w:instrText xml:space="preserve"> REF _Ref_22 \h </w:instrText>
      </w:r>
      <w:r>
        <w:fldChar w:fldCharType="separate"/>
      </w:r>
      <w:r>
        <w:t>22</w:t>
      </w:r>
      <w:r>
        <w:fldChar w:fldCharType="end"/>
      </w:r>
      <w:r>
        <w:t>,</w:t>
      </w:r>
      <w:r>
        <w:fldChar w:fldCharType="begin"/>
      </w:r>
      <w:r>
        <w:instrText xml:space="preserve"> REF _Ref_23 \h </w:instrText>
      </w:r>
      <w:r>
        <w:fldChar w:fldCharType="separate"/>
      </w:r>
      <w:r>
        <w:t>23</w:t>
      </w:r>
      <w:r>
        <w:fldChar w:fldCharType="end"/>
      </w:r>
      <w:r>
        <w:t>]</w:t>
      </w:r>
      <w:r>
        <w:rPr>
          <w:b w:val="0"/>
          <w:i w:val="0"/>
        </w:rPr>
        <w:t>: within it the firm neither adds nor sheds young workers, and once inside it, it stays there until a larger shock arrives.</w:t>
      </w:r>
    </w:p>
    <w:p>
      <w:pPr>
        <w:pStyle w:val="MDPI22heading2"/>
      </w:pPr>
      <w:r>
        <w:t>2.3. Hypotheses</w:t>
      </w:r>
    </w:p>
    <w:p>
      <w:pPr>
        <w:pStyle w:val="MDPI32textnoindent"/>
      </w:pPr>
      <w:r>
        <w:rPr>
          <w:b w:val="0"/>
          <w:i w:val="0"/>
        </w:rPr>
        <w:t xml:space="preserve">The model delivers five testable statements. The first is the direct implication of (5). A firm facing more dispersed prospects for the entry-level task bundle applies a higher hurdle, and with any smooth distribution of </w:t>
      </w:r>
      <m:oMath>
        <m:r>
          <m:t xml:space="preserve">X</m:t>
        </m:r>
      </m:oMath>
      <w:r>
        <w:rPr>
          <w:b w:val="0"/>
          <w:i w:val="0"/>
        </w:rPr>
        <w:t xml:space="preserve"> across firms a higher hurdle means fewer positions opened. Crucially, this is a statement about </w:t>
      </w:r>
      <m:oMath>
        <m:r>
          <m:t xml:space="preserve">σ</m:t>
        </m:r>
      </m:oMath>
      <w:r>
        <w:rPr>
          <w:b w:val="0"/>
          <w:i w:val="0"/>
        </w:rPr>
        <w:t xml:space="preserve"> holding </w:t>
      </w:r>
      <m:oMath>
        <m:r>
          <m:t xml:space="preserve">μ</m:t>
        </m:r>
      </m:oMath>
      <w:r>
        <w:rPr>
          <w:b w:val="0"/>
          <w:i w:val="0"/>
        </w:rPr>
        <w:t xml:space="preserve"> fixed: the level of a firm's engagement with the technology may raise entry-level demand — that is the reinstatement channel of the task literature </w:t>
      </w:r>
      <w:r>
        <w:t>[</w:t>
      </w:r>
      <w:r>
        <w:fldChar w:fldCharType="begin"/>
      </w:r>
      <w:r>
        <w:instrText xml:space="preserve"> REF _Ref_31 \h </w:instrText>
      </w:r>
      <w:r>
        <w:fldChar w:fldCharType="separate"/>
      </w:r>
      <w:r>
        <w:t>31</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 at the same time as the dispersion of its prospects lowers it.</w:t>
      </w:r>
    </w:p>
    <w:p>
      <w:pPr>
        <w:pStyle w:val="MDPI32textnoindent"/>
        <w:spacing w:before="100" w:after="100"/>
        <w:ind w:left="2948" w:firstLine="0"/>
      </w:pPr>
      <w:r>
        <w:rPr>
          <w:b/>
        </w:rPr>
        <w:t xml:space="preserve">Hypothesis 1 (the chill). </w:t>
      </w:r>
      <w:r>
        <w:rPr>
          <w:b w:val="0"/>
          <w:i/>
        </w:rPr>
        <w:t>Holding the level of generative-AI adoption and general economic policy uncertainty constant, firm-level generative-AI uncertainty reduces entry-level vacancy creation.</w:t>
      </w:r>
    </w:p>
    <w:p>
      <w:pPr>
        <w:pStyle w:val="MDPI31text"/>
      </w:pPr>
      <w:r>
        <w:rPr>
          <w:b w:val="0"/>
          <w:i w:val="0"/>
        </w:rPr>
        <w:t xml:space="preserve">The second follows from (6). The wedge scales with the sunk component of the hire, so the same dispersion should bite harder where more of the hire is unrecoverable: where the firm invests heavily in firm-specific training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 xml:space="preserve">, and where employment protection makes separation slow and expensive </w:t>
      </w:r>
      <w:r>
        <w:t>[</w:t>
      </w:r>
      <w:r>
        <w:fldChar w:fldCharType="begin"/>
      </w:r>
      <w:r>
        <w:instrText xml:space="preserve"> REF _Ref_18 \h </w:instrText>
      </w:r>
      <w:r>
        <w:fldChar w:fldCharType="separate"/>
      </w:r>
      <w:r>
        <w:t>18</w:t>
      </w:r>
      <w:r>
        <w:fldChar w:fldCharType="end"/>
      </w:r>
      <w:r>
        <w:t>,</w:t>
      </w:r>
      <w:r>
        <w:fldChar w:fldCharType="begin"/>
      </w:r>
      <w:r>
        <w:instrText xml:space="preserve"> REF _Ref_23 \h </w:instrText>
      </w:r>
      <w:r>
        <w:fldChar w:fldCharType="separate"/>
      </w:r>
      <w:r>
        <w:t>23</w:t>
      </w:r>
      <w:r>
        <w:fldChar w:fldCharType="end"/>
      </w:r>
      <w:r>
        <w:t>]</w:t>
      </w:r>
      <w:r>
        <w:rPr>
          <w:b w:val="0"/>
          <w:i w:val="0"/>
        </w:rPr>
        <w:t xml:space="preserve">. Conversely it should bite less where the firm has ready access to reversible arrangements </w:t>
      </w:r>
      <w:r>
        <w:t>[</w:t>
      </w:r>
      <w:r>
        <w:fldChar w:fldCharType="begin"/>
      </w:r>
      <w:r>
        <w:instrText xml:space="preserve"> REF _Ref_56 \h </w:instrText>
      </w:r>
      <w:r>
        <w:fldChar w:fldCharType="separate"/>
      </w:r>
      <w:r>
        <w:t>56</w:t>
      </w:r>
      <w:r>
        <w:fldChar w:fldCharType="end"/>
      </w:r>
      <w:r>
        <w:t>,</w:t>
      </w:r>
      <w:r>
        <w:fldChar w:fldCharType="begin"/>
      </w:r>
      <w:r>
        <w:instrText xml:space="preserve"> REF _Ref_57 \h </w:instrText>
      </w:r>
      <w:r>
        <w:fldChar w:fldCharType="separate"/>
      </w:r>
      <w:r>
        <w:t>57</w:t>
      </w:r>
      <w:r>
        <w:fldChar w:fldCharType="end"/>
      </w:r>
      <w:r>
        <w:t>]</w:t>
      </w:r>
      <w:r>
        <w:rPr>
          <w:b w:val="0"/>
          <w:i w:val="0"/>
        </w:rPr>
        <w:t>.</w:t>
      </w:r>
    </w:p>
    <w:p>
      <w:pPr>
        <w:pStyle w:val="MDPI32textnoindent"/>
        <w:spacing w:before="100" w:after="100"/>
        <w:ind w:left="2948" w:firstLine="0"/>
      </w:pPr>
      <w:r>
        <w:rPr>
          <w:b/>
        </w:rPr>
        <w:t xml:space="preserve">Hypothesis 2 (irreversibility). </w:t>
      </w:r>
      <w:r>
        <w:rPr>
          <w:b w:val="0"/>
          <w:i/>
        </w:rPr>
        <w:t>The chill is stronger the larger the sunk component of an entry-level hire — higher firm-specific training intensity and stricter employment protection — and weaker the greater the firm's access to reversible employment margins.</w:t>
      </w:r>
    </w:p>
    <w:p>
      <w:pPr>
        <w:pStyle w:val="MDPI31text"/>
      </w:pPr>
      <w:r>
        <w:rPr>
          <w:b w:val="0"/>
          <w:i w:val="0"/>
        </w:rPr>
        <w:t>The third is the substitution result. Because the contingent trigger rises more slowly than the permanent one, uncertainty should shift the composition of entry-level hiring towards revocable forms even where it reduces the total. This is the prediction that distinguishes the option-value account most sharply from a pure displacement account, which has no reason to predict a compositional shift at all.</w:t>
      </w:r>
    </w:p>
    <w:p>
      <w:pPr>
        <w:pStyle w:val="MDPI32textnoindent"/>
        <w:spacing w:before="100" w:after="100"/>
        <w:ind w:left="2948" w:firstLine="0"/>
      </w:pPr>
      <w:r>
        <w:rPr>
          <w:b/>
        </w:rPr>
        <w:t xml:space="preserve">Hypothesis 3 (the contingent turn). </w:t>
      </w:r>
      <w:r>
        <w:rPr>
          <w:b w:val="0"/>
          <w:i/>
        </w:rPr>
        <w:t>Generative-AI uncertainty raises the share of entry-level vacancies offered on internship, agency or short fixed-term terms.</w:t>
      </w:r>
    </w:p>
    <w:p>
      <w:pPr>
        <w:pStyle w:val="MDPI31text"/>
      </w:pPr>
      <w:r>
        <w:rPr>
          <w:b w:val="0"/>
          <w:i w:val="0"/>
        </w:rPr>
        <w:t>The fourth concerns the inaction band. A wider band means more firms in the interval in which no adjustment is optimal, and a lower probability of leaving it once inside.</w:t>
      </w:r>
    </w:p>
    <w:p>
      <w:pPr>
        <w:pStyle w:val="MDPI32textnoindent"/>
        <w:spacing w:before="100" w:after="100"/>
        <w:ind w:left="2948" w:firstLine="0"/>
      </w:pPr>
      <w:r>
        <w:rPr>
          <w:b/>
        </w:rPr>
        <w:t xml:space="preserve">Hypothesis 4 (inaction and hysteresis). </w:t>
      </w:r>
      <w:r>
        <w:rPr>
          <w:b w:val="0"/>
          <w:i/>
        </w:rPr>
        <w:t>Generative-AI uncertainty raises the probability that a firm makes no adjustment at all to its young workforce, and lowers the probability that an already inactive firm resumes expansion.</w:t>
      </w:r>
    </w:p>
    <w:p>
      <w:pPr>
        <w:pStyle w:val="MDPI31text"/>
      </w:pPr>
      <w:r>
        <w:rPr>
          <w:b w:val="0"/>
          <w:i w:val="0"/>
        </w:rPr>
        <w:t xml:space="preserve">The fifth is the discriminating test. An experienced hire brings skill that is more general and more immediately productive, so its sunk component is smaller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by (6) the sensitivity of its hurdle to dispersion is correspondingly smaller. A story in which GenAI uncertainty simply makes firms gloomy about everything predicts no such asymmetry, and neither does a story in which the technology is already substituting for labour in general.</w:t>
      </w:r>
    </w:p>
    <w:p>
      <w:pPr>
        <w:pStyle w:val="MDPI32textnoindent"/>
        <w:spacing w:before="100" w:after="100"/>
        <w:ind w:left="2948" w:firstLine="0"/>
      </w:pPr>
      <w:r>
        <w:rPr>
          <w:b/>
        </w:rPr>
        <w:t xml:space="preserve">Hypothesis 5 (age specificity). </w:t>
      </w:r>
      <w:r>
        <w:rPr>
          <w:b w:val="0"/>
          <w:i/>
        </w:rPr>
        <w:t>The chill is concentrated on entry-level vacancies; the response of experienced vacancies is far smaller.</w:t>
      </w:r>
    </w:p>
    <w:p>
      <w:pPr>
        <w:pStyle w:val="MDPI21heading1"/>
      </w:pPr>
      <w:r>
        <w:t>3. Research Design</w:t>
      </w:r>
    </w:p>
    <w:p>
      <w:pPr>
        <w:pStyle w:val="MDPI22heading2"/>
      </w:pPr>
      <w:r>
        <w:t>3.1. Sample and Data</w:t>
      </w:r>
    </w:p>
    <w:p>
      <w:pPr>
        <w:pStyle w:val="MDPI32textnoindent"/>
      </w:pPr>
      <w:r>
        <w:rPr>
          <w:b w:val="0"/>
          <w:i w:val="0"/>
        </w:rPr>
        <w:t>The sample consists of Chinese A-share firms listed on the Shanghai and Shenzhen exchanges over 2016–2025. The window opens well before the public release of large language models at the end of 2022, so that the pre-shock period is long enough to test for differential trends, and closes with the most recent complete reporting year. Financial firms, firms under special-treatment status, firms with negative equity and firm-years with missing values on the variables used are excluded. Accounting and governance data come from the China Stock Market and Accounting Research (CSMAR) database; annual-report text is taken from the disclosure archives of the two exchanges; vacancy data are matched to the listed entity and its consolidated subsidiaries from a national online recruitment archive; provincial macroeconomic series come from the China Statistical Yearbook. The final panel is unbalanced and contains 29,660 firm-year observations for 3,200 firms. All continuous variables are winsorised at the 1st and 99th percentiles.</w:t>
      </w:r>
    </w:p>
    <w:p>
      <w:pPr>
        <w:pStyle w:val="MDPI32textnoindent"/>
        <w:spacing w:before="100" w:after="100"/>
        <w:ind w:left="2948" w:firstLine="0"/>
      </w:pPr>
      <w:r>
        <w:rPr>
          <w:b/>
          <w:sz w:val="18"/>
        </w:rPr>
        <w:t xml:space="preserve">Note on the data used in this version. </w:t>
      </w:r>
      <w:r>
        <w:rPr>
          <w:b w:val="0"/>
          <w:i w:val="0"/>
          <w:sz w:val="18"/>
        </w:rPr>
        <w:t>The estimates reported below are produced by the estimation pipeline released with the paper, run on a synthetic panel whose marginal moments are matched to the published descriptive statistics of Chinese A-share listed firms and whose structure reproduces the identification problem the design has to solve. The pipeline regenerates every table unchanged in structure once the real extraction is substituted. This paragraph must be removed, and the tables regenerated on the real extraction, before the manuscript is submitted.</w:t>
      </w:r>
    </w:p>
    <w:p>
      <w:pPr>
        <w:pStyle w:val="MDPI22heading2"/>
      </w:pPr>
      <w:r>
        <w:t>3.2. Variables</w:t>
      </w:r>
    </w:p>
    <w:p>
      <w:pPr>
        <w:pStyle w:val="MDPI23heading3"/>
      </w:pPr>
      <w:r>
        <w:t>3.2.1. Entry-Level Hiring</w:t>
      </w:r>
    </w:p>
    <w:p>
      <w:pPr>
        <w:pStyle w:val="MDPI32textnoindent"/>
      </w:pPr>
      <w:r>
        <w:rPr>
          <w:b w:val="0"/>
          <w:i w:val="0"/>
        </w:rPr>
        <w:t xml:space="preserve">The dependent variable, </w:t>
      </w:r>
      <m:oMath>
        <m:sSub>
          <m:e>
            <m:r>
              <m:t xml:space="preserve">Entry</m:t>
            </m:r>
          </m:e>
          <m:sub>
            <m:r>
              <m:t xml:space="preserve">i</m:t>
            </m:r>
            <m:r>
              <m:t xml:space="preserve">t</m:t>
            </m:r>
          </m:sub>
        </m:sSub>
      </m:oMath>
      <w:r>
        <w:rPr>
          <w:b w:val="0"/>
          <w:i w:val="0"/>
        </w:rPr>
        <w:t xml:space="preserve">, is the number of distinct entry-level vacancies the firm posts in year </w:t>
      </w:r>
      <m:oMath>
        <m:r>
          <m:t xml:space="preserve">t</m:t>
        </m:r>
      </m:oMath>
      <w:r>
        <w:rPr>
          <w:b w:val="0"/>
          <w:i w:val="0"/>
        </w:rPr>
        <w:t xml:space="preserve"> per thousand employees at the end of </w:t>
      </w:r>
      <m:oMath>
        <m:r>
          <m:t xml:space="preserve">t</m:t>
        </m:r>
        <m:r>
          <m:rPr>
            <m:sty m:val="p"/>
          </m:rPr>
          <m:t xml:space="preserve">-</m:t>
        </m:r>
        <m:r>
          <m:rPr>
            <m:sty m:val="p"/>
          </m:rPr>
          <m:t xml:space="preserve">1</m:t>
        </m:r>
      </m:oMath>
      <w:r>
        <w:rPr>
          <w:b w:val="0"/>
          <w:i w:val="0"/>
        </w:rPr>
        <w:t xml:space="preserve">. A vacancy is classified as entry-level when it requires no prior work experience or at most one year, or is advertised as campus recruitment. Measuring demand at the vacancy rather than at the headcount has two advantages for the present question. It dates the decision at the moment the firm takes it, whereas an employment stock reflects hiring, separation and ageing together; and it observes the margin the theory is about, since the option in Section 2.2 is an option to open a position </w:t>
      </w:r>
      <w:r>
        <w:t>[</w:t>
      </w:r>
      <w:r>
        <w:fldChar w:fldCharType="begin"/>
      </w:r>
      <w:r>
        <w:instrText xml:space="preserve"> REF _Ref_8 \h </w:instrText>
      </w:r>
      <w:r>
        <w:fldChar w:fldCharType="separate"/>
      </w:r>
      <w:r>
        <w:t>8</w:t>
      </w:r>
      <w:r>
        <w:fldChar w:fldCharType="end"/>
      </w:r>
      <w:r>
        <w:t>,</w:t>
      </w:r>
      <w:r>
        <w:fldChar w:fldCharType="begin"/>
      </w:r>
      <w:r>
        <w:instrText xml:space="preserve"> REF _Ref_48 \h </w:instrText>
      </w:r>
      <w:r>
        <w:fldChar w:fldCharType="separate"/>
      </w:r>
      <w:r>
        <w:t>48</w:t>
      </w:r>
      <w:r>
        <w:fldChar w:fldCharType="end"/>
      </w:r>
      <w:r>
        <w:t>]</w:t>
      </w:r>
      <w:r>
        <w:rPr>
          <w:b w:val="0"/>
          <w:i w:val="0"/>
        </w:rPr>
        <w:t xml:space="preserve">. The count itself, </w:t>
      </w:r>
      <m:oMath>
        <m:sSub>
          <m:e>
            <m:r>
              <m:t xml:space="preserve">EntryPost</m:t>
            </m:r>
          </m:e>
          <m:sub>
            <m:r>
              <m:t xml:space="preserve">i</m:t>
            </m:r>
            <m:r>
              <m:t xml:space="preserve">t</m:t>
            </m:r>
          </m:sub>
        </m:sSub>
      </m:oMath>
      <w:r>
        <w:rPr>
          <w:b w:val="0"/>
          <w:i w:val="0"/>
        </w:rPr>
        <w:t xml:space="preserve">, is used where a count model is appropriate; 2.8% of firm-years post no entry-level vacancy at all. </w:t>
      </w:r>
      <m:oMath>
        <m:sSub>
          <m:e>
            <m:r>
              <m:t xml:space="preserve">Exper</m:t>
            </m:r>
          </m:e>
          <m:sub>
            <m:r>
              <m:t xml:space="preserve">i</m:t>
            </m:r>
            <m:r>
              <m:t xml:space="preserve">t</m:t>
            </m:r>
          </m:sub>
        </m:sSub>
      </m:oMath>
      <w:r>
        <w:rPr>
          <w:b w:val="0"/>
          <w:i w:val="0"/>
        </w:rPr>
        <w:t xml:space="preserve"> is the parallel rate for vacancies requiring five or more years of experience, and is the comparison in Hypothesis 5. </w:t>
      </w:r>
      <m:oMath>
        <m:sSub>
          <m:e>
            <m:r>
              <m:t xml:space="preserve">Youth</m:t>
            </m:r>
          </m:e>
          <m:sub>
            <m:r>
              <m:t xml:space="preserve">i</m:t>
            </m:r>
            <m:r>
              <m:t xml:space="preserve">t</m:t>
            </m:r>
          </m:sub>
        </m:sSub>
      </m:oMath>
      <w:r>
        <w:rPr>
          <w:b w:val="0"/>
          <w:i w:val="0"/>
        </w:rPr>
        <w:t>, the share of employees aged 30 or below, is the stock counterpart and shows where the flow eventually lands.</w:t>
      </w:r>
    </w:p>
    <w:p>
      <w:pPr>
        <w:pStyle w:val="MDPI23heading3"/>
      </w:pPr>
      <w:r>
        <w:t>3.2.2. Firm-Level Generative-AI Uncertainty</w:t>
      </w:r>
    </w:p>
    <w:p>
      <w:pPr>
        <w:pStyle w:val="MDPI32textnoindent"/>
      </w:pPr>
      <w:r>
        <w:rPr>
          <w:b w:val="0"/>
          <w:i w:val="0"/>
        </w:rPr>
        <w:t xml:space="preserve">The explanatory variable of interest, </w:t>
      </w:r>
      <m:oMath>
        <m:sSub>
          <m:e>
            <m:r>
              <m:t xml:space="preserve">AIU</m:t>
            </m:r>
          </m:e>
          <m:sub>
            <m:r>
              <m:t xml:space="preserve">i</m:t>
            </m:r>
            <m:r>
              <m:t xml:space="preserve">t</m:t>
            </m:r>
          </m:sub>
        </m:sSub>
      </m:oMath>
      <w:r>
        <w:rPr>
          <w:b w:val="0"/>
          <w:i w:val="0"/>
        </w:rPr>
        <w:t xml:space="preserve">, measures how uncertain the firm is about generative AI, not how much of it the firm uses. Following the firm-level risk design of Hassan et al. </w:t>
      </w:r>
      <w:r>
        <w:t>[</w:t>
      </w:r>
      <w:r>
        <w:fldChar w:fldCharType="begin"/>
      </w:r>
      <w:r>
        <w:instrText xml:space="preserve"> REF _Ref_26 \h </w:instrText>
      </w:r>
      <w:r>
        <w:fldChar w:fldCharType="separate"/>
      </w:r>
      <w:r>
        <w:t>26</w:t>
      </w:r>
      <w:r>
        <w:fldChar w:fldCharType="end"/>
      </w:r>
      <w:r>
        <w:t>]</w:t>
      </w:r>
      <w:r>
        <w:rPr>
          <w:b w:val="0"/>
          <w:i w:val="0"/>
        </w:rPr>
        <w:t>, we count the occasions on which a generative-AI term appears within a ten-word window of a term from an uncertainty dictionary, and scale by the length of the document: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Sup>
                <m:e>
                  <m:r>
                    <m:t xml:space="preserve">AIU</m:t>
                  </m:r>
                </m:e>
                <m:sub>
                  <m:r>
                    <m:t xml:space="preserve">i</m:t>
                  </m:r>
                  <m:r>
                    <m:t xml:space="preserve">t</m:t>
                  </m:r>
                </m:sub>
                <m:sup>
                  <m:r>
                    <m:t xml:space="preserve">r</m:t>
                  </m:r>
                  <m:r>
                    <m:t xml:space="preserve">a</m:t>
                  </m:r>
                  <m:r>
                    <m:t xml:space="preserve">w</m:t>
                  </m:r>
                </m:sup>
              </m:sSubSup>
              <m:r>
                <m:rPr>
                  <m:sty m:val="p"/>
                </m:rPr>
                <m:t xml:space="preserve">=</m:t>
              </m:r>
              <m:f>
                <m:num>
                  <m:sSup>
                    <m:e>
                      <m:r>
                        <m:rPr>
                          <m:sty m:val="p"/>
                        </m:rPr>
                        <m:t xml:space="preserve">10</m:t>
                      </m:r>
                    </m:e>
                    <m:sup>
                      <m:r>
                        <m:rPr>
                          <m:sty m:val="p"/>
                        </m:rPr>
                        <m:t xml:space="preserve">3</m:t>
                      </m:r>
                    </m:sup>
                  </m:sSup>
                </m:num>
                <m:den>
                  <m:sSub>
                    <m:e>
                      <m:r>
                        <m:t xml:space="preserve">B</m:t>
                      </m:r>
                    </m:e>
                    <m:sub>
                      <m:r>
                        <m:t xml:space="preserve">i</m:t>
                      </m:r>
                      <m:r>
                        <m:t xml:space="preserve">t</m:t>
                      </m:r>
                    </m:sub>
                  </m:sSub>
                </m:den>
              </m:f>
              <m:nary>
                <m:naryPr>
                  <m:chr m:val="∑"/>
                  <m:limLoc m:val="subSup"/>
                  <m:supHide m:val="1"/>
                </m:naryPr>
                <m:sub>
                  <m:r>
                    <m:t xml:space="preserve">b</m:t>
                  </m:r>
                  <m:r>
                    <m:rPr>
                      <m:sty m:val="p"/>
                    </m:rPr>
                    <m:t xml:space="preserve">∈</m:t>
                  </m:r>
                  <m:r>
                    <m:t xml:space="preserve"> </m:t>
                  </m:r>
                  <m:sSup>
                    <m:e>
                      <m:r>
                        <m:t xml:space="preserve">K</m:t>
                      </m:r>
                    </m:e>
                    <m:sup>
                      <m:r>
                        <m:t xml:space="preserve">A</m:t>
                      </m:r>
                      <m:r>
                        <m:t xml:space="preserve">I</m:t>
                      </m:r>
                    </m:sup>
                  </m:sSup>
                </m:sub>
                <m:sup/>
                <m:e>
                  <m:nary>
                    <m:naryPr>
                      <m:chr m:val="∑"/>
                      <m:limLoc m:val="subSup"/>
                      <m:supHide m:val="1"/>
                    </m:naryPr>
                    <m:sub>
                      <m:r>
                        <m:t xml:space="preserve">c</m:t>
                      </m:r>
                      <m:r>
                        <m:rPr>
                          <m:sty m:val="p"/>
                        </m:rPr>
                        <m:t xml:space="preserve">∈</m:t>
                      </m:r>
                      <m:r>
                        <m:t xml:space="preserve"> </m:t>
                      </m:r>
                      <m:sSup>
                        <m:e>
                          <m:r>
                            <m:t xml:space="preserve">K</m:t>
                          </m:r>
                        </m:e>
                        <m:sup>
                          <m:r>
                            <m:t xml:space="preserve">U</m:t>
                          </m:r>
                        </m:sup>
                      </m:sSup>
                    </m:sub>
                    <m:sup/>
                    <m:e>
                      <m:r>
                        <m:rPr>
                          <m:sty m:val="p"/>
                        </m:rPr>
                        <m:t xml:space="preserve">1</m:t>
                      </m:r>
                      <m:d>
                        <m:dPr>
                          <m:begChr m:val="("/>
                          <m:endChr m:val=")"/>
                        </m:dPr>
                        <m:e>
                          <m:d>
                            <m:dPr>
                              <m:begChr m:val="|"/>
                              <m:endChr m:val="|"/>
                            </m:dPr>
                            <m:e>
                              <m:sSub>
                                <m:e>
                                  <m:r>
                                    <m:t xml:space="preserve">p</m:t>
                                  </m:r>
                                </m:e>
                                <m:sub>
                                  <m:r>
                                    <m:t xml:space="preserve">b</m:t>
                                  </m:r>
                                </m:sub>
                              </m:sSub>
                              <m:r>
                                <m:rPr>
                                  <m:sty m:val="p"/>
                                </m:rPr>
                                <m:t xml:space="preserve">-</m:t>
                              </m:r>
                              <m:sSub>
                                <m:e>
                                  <m:r>
                                    <m:t xml:space="preserve">p</m:t>
                                  </m:r>
                                </m:e>
                                <m:sub>
                                  <m:r>
                                    <m:t xml:space="preserve">c</m:t>
                                  </m:r>
                                </m:sub>
                              </m:sSub>
                            </m:e>
                          </m:d>
                          <m:r>
                            <m:rPr>
                              <m:sty m:val="p"/>
                            </m:rPr>
                            <m:t xml:space="preserve">≤</m:t>
                          </m:r>
                          <m:r>
                            <m:rPr>
                              <m:sty m:val="p"/>
                            </m:rPr>
                            <m:t xml:space="preserve">10</m:t>
                          </m:r>
                        </m:e>
                      </m:d>
                      <m:r>
                        <m:t xml:space="preserve">,</m:t>
                      </m:r>
                    </m:e>
                  </m:nary>
                </m:e>
              </m:nary>
            </m:oMath>
          </w:p>
        </w:tc>
        <w:tc>
          <w:tcPr>
            <w:tcW w:type="dxa" w:w="431"/>
            <w:vAlign w:val="center"/>
          </w:tcPr>
          <w:p>
            <w:pPr>
              <w:pStyle w:val="MDPI3aequationnumber"/>
              <w:jc w:val="right"/>
            </w:pPr>
            <w:r>
              <w:t>(7)</w:t>
            </w:r>
          </w:p>
        </w:tc>
      </w:tr>
    </w:tbl>
    <w:p>
      <w:pPr>
        <w:pStyle w:val="MDPI31text"/>
      </w:pPr>
      <w:r>
        <w:rPr>
          <w:b w:val="0"/>
          <w:i w:val="0"/>
        </w:rPr>
        <w:t xml:space="preserve">where </w:t>
      </w:r>
      <m:oMath>
        <m:sSub>
          <m:e>
            <m:r>
              <m:t xml:space="preserve">B</m:t>
            </m:r>
          </m:e>
          <m:sub>
            <m:r>
              <m:t xml:space="preserve">i</m:t>
            </m:r>
            <m:r>
              <m:t xml:space="preserve">t</m:t>
            </m:r>
          </m:sub>
        </m:sSub>
      </m:oMath>
      <w:r>
        <w:rPr>
          <w:b w:val="0"/>
          <w:i w:val="0"/>
        </w:rPr>
        <w:t xml:space="preserve"> is the number of words in the management discussion and analysis and risk-factor sections, </w:t>
      </w:r>
      <m:oMath>
        <m:sSup>
          <m:e>
            <m:r>
              <m:t xml:space="preserve">K</m:t>
            </m:r>
          </m:e>
          <m:sup>
            <m:r>
              <m:t xml:space="preserve">A</m:t>
            </m:r>
            <m:r>
              <m:t xml:space="preserve">I</m:t>
            </m:r>
          </m:sup>
        </m:sSup>
      </m:oMath>
      <w:r>
        <w:rPr>
          <w:b w:val="0"/>
          <w:i w:val="0"/>
        </w:rPr>
        <w:t xml:space="preserve"> is a dictionary of generative-AI terms — large language model, generative artificial intelligence, pre-trained model, intelligent assistant, prompt engineering and their Chinese equivalents — and </w:t>
      </w:r>
      <m:oMath>
        <m:sSup>
          <m:e>
            <m:r>
              <m:t xml:space="preserve">K</m:t>
            </m:r>
          </m:e>
          <m:sup>
            <m:r>
              <m:t xml:space="preserve">U</m:t>
            </m:r>
          </m:sup>
        </m:sSup>
      </m:oMath>
      <w:r>
        <w:rPr>
          <w:b w:val="0"/>
          <w:i w:val="0"/>
        </w:rPr>
        <w:t xml:space="preserve"> is the uncertainty dictionary of Baker et al. </w:t>
      </w:r>
      <w:r>
        <w:t>[</w:t>
      </w:r>
      <w:r>
        <w:fldChar w:fldCharType="begin"/>
      </w:r>
      <w:r>
        <w:instrText xml:space="preserve"> REF _Ref_27 \h </w:instrText>
      </w:r>
      <w:r>
        <w:fldChar w:fldCharType="separate"/>
      </w:r>
      <w:r>
        <w:t>27</w:t>
      </w:r>
      <w:r>
        <w:fldChar w:fldCharType="end"/>
      </w:r>
      <w:r>
        <w:t>]</w:t>
      </w:r>
      <w:r>
        <w:rPr>
          <w:b w:val="0"/>
          <w:i w:val="0"/>
        </w:rPr>
        <w:t xml:space="preserve"> in its Chinese adaptation </w:t>
      </w:r>
      <w:r>
        <w:t>[</w:t>
      </w:r>
      <w:r>
        <w:fldChar w:fldCharType="begin"/>
      </w:r>
      <w:r>
        <w:instrText xml:space="preserve"> REF _Ref_28 \h </w:instrText>
      </w:r>
      <w:r>
        <w:fldChar w:fldCharType="separate"/>
      </w:r>
      <w:r>
        <w:t>28</w:t>
      </w:r>
      <w:r>
        <w:fldChar w:fldCharType="end"/>
      </w:r>
      <w:r>
        <w:t>]</w:t>
      </w:r>
      <w:r>
        <w:rPr>
          <w:b w:val="0"/>
          <w:i w:val="0"/>
        </w:rPr>
        <w:t xml:space="preserve">. The raw measure is right skewed, so it enters as </w:t>
      </w:r>
      <m:oMath>
        <m:sSub>
          <m:e>
            <m:r>
              <m:t xml:space="preserve">AIU</m:t>
            </m:r>
          </m:e>
          <m:sub>
            <m:r>
              <m:t xml:space="preserve">i</m:t>
            </m:r>
            <m:r>
              <m:t xml:space="preserve">t</m:t>
            </m:r>
          </m:sub>
        </m:sSub>
        <m:r>
          <m:rPr>
            <m:sty m:val="p"/>
          </m:rPr>
          <m:t xml:space="preserve">=</m:t>
        </m:r>
        <m:r>
          <m:t xml:space="preserve">z</m:t>
        </m:r>
        <m:d>
          <m:dPr>
            <m:begChr m:val="("/>
            <m:endChr m:val=")"/>
          </m:dPr>
          <m:e>
            <m:r>
              <m:rPr>
                <m:sty m:val="p"/>
              </m:rPr>
              <m:t xml:space="preserve">ln</m:t>
            </m:r>
            <m:d>
              <m:dPr>
                <m:begChr m:val="("/>
                <m:endChr m:val=")"/>
              </m:dPr>
              <m:e>
                <m:r>
                  <m:rPr>
                    <m:sty m:val="p"/>
                  </m:rPr>
                  <m:t xml:space="preserve">1</m:t>
                </m:r>
                <m:r>
                  <m:rPr>
                    <m:sty m:val="p"/>
                  </m:rPr>
                  <m:t xml:space="preserve">+</m:t>
                </m:r>
                <m:sSubSup>
                  <m:e>
                    <m:r>
                      <m:t xml:space="preserve">AIU</m:t>
                    </m:r>
                  </m:e>
                  <m:sub>
                    <m:r>
                      <m:t xml:space="preserve">i</m:t>
                    </m:r>
                    <m:r>
                      <m:t xml:space="preserve">t</m:t>
                    </m:r>
                  </m:sub>
                  <m:sup>
                    <m:r>
                      <m:t xml:space="preserve">r</m:t>
                    </m:r>
                    <m:r>
                      <m:t xml:space="preserve">a</m:t>
                    </m:r>
                    <m:r>
                      <m:t xml:space="preserve">w</m:t>
                    </m:r>
                  </m:sup>
                </m:sSubSup>
              </m:e>
            </m:d>
          </m:e>
        </m:d>
      </m:oMath>
      <w:r>
        <w:rPr>
          <w:b w:val="0"/>
          <w:i w:val="0"/>
        </w:rPr>
        <w:t xml:space="preserve">, standardised over the estimation sample; coefficients are therefore read per standard deviation. Two companion measures are constructed from the same text and held constant in every specification. </w:t>
      </w:r>
      <m:oMath>
        <m:sSub>
          <m:e>
            <m:r>
              <m:t xml:space="preserve">AIE</m:t>
            </m:r>
          </m:e>
          <m:sub>
            <m:r>
              <m:t xml:space="preserve">i</m:t>
            </m:r>
            <m:r>
              <m:t xml:space="preserve">t</m:t>
            </m:r>
          </m:sub>
        </m:sSub>
      </m:oMath>
      <w:r>
        <w:rPr>
          <w:b w:val="0"/>
          <w:i w:val="0"/>
        </w:rPr>
        <w:t xml:space="preserve"> is the level of generative-AI engagement, the standardised log frequency of the same generative-AI dictionary with no uncertainty window, which is the measure the firm-level technology literature uses </w:t>
      </w:r>
      <w:r>
        <w:t>[</w:t>
      </w:r>
      <w:r>
        <w:fldChar w:fldCharType="begin"/>
      </w:r>
      <w:r>
        <w:instrText xml:space="preserve"> REF _Ref_24 \h </w:instrText>
      </w:r>
      <w:r>
        <w:fldChar w:fldCharType="separate"/>
      </w:r>
      <w:r>
        <w:t>24</w:t>
      </w:r>
      <w:r>
        <w:fldChar w:fldCharType="end"/>
      </w:r>
      <w:r>
        <w:t>]</w:t>
      </w:r>
      <w:r>
        <w:rPr>
          <w:b w:val="0"/>
          <w:i w:val="0"/>
        </w:rPr>
        <w:t xml:space="preserve">. </w:t>
      </w:r>
      <m:oMath>
        <m:sSub>
          <m:e>
            <m:r>
              <m:t xml:space="preserve">EPU</m:t>
            </m:r>
          </m:e>
          <m:sub>
            <m:r>
              <m:t xml:space="preserve">i</m:t>
            </m:r>
            <m:r>
              <m:t xml:space="preserve">t</m:t>
            </m:r>
          </m:sub>
        </m:sSub>
      </m:oMath>
      <w:r>
        <w:rPr>
          <w:b w:val="0"/>
          <w:i w:val="0"/>
        </w:rPr>
        <w:t xml:space="preserve"> is firm-level general economic policy uncertainty, built by replacing </w:t>
      </w:r>
      <m:oMath>
        <m:sSup>
          <m:e>
            <m:r>
              <m:t xml:space="preserve">K</m:t>
            </m:r>
          </m:e>
          <m:sup>
            <m:r>
              <m:t xml:space="preserve">A</m:t>
            </m:r>
            <m:r>
              <m:t xml:space="preserve">I</m:t>
            </m:r>
          </m:sup>
        </m:sSup>
      </m:oMath>
      <w:r>
        <w:rPr>
          <w:b w:val="0"/>
          <w:i w:val="0"/>
        </w:rPr>
        <w:t xml:space="preserve"> with the policy dictionary. The three are separately identified in the data: the correlation between </w:t>
      </w:r>
      <m:oMath>
        <m:r>
          <m:t xml:space="preserve">AIU</m:t>
        </m:r>
      </m:oMath>
      <w:r>
        <w:rPr>
          <w:b w:val="0"/>
          <w:i w:val="0"/>
        </w:rPr>
        <w:t xml:space="preserve"> and </w:t>
      </w:r>
      <m:oMath>
        <m:r>
          <m:t xml:space="preserve">AIE</m:t>
        </m:r>
      </m:oMath>
      <w:r>
        <w:rPr>
          <w:b w:val="0"/>
          <w:i w:val="0"/>
        </w:rPr>
        <w:t xml:space="preserve"> is 0.29 and between </w:t>
      </w:r>
      <m:oMath>
        <m:r>
          <m:t xml:space="preserve">AIU</m:t>
        </m:r>
      </m:oMath>
      <w:r>
        <w:rPr>
          <w:b w:val="0"/>
          <w:i w:val="0"/>
        </w:rPr>
        <w:t xml:space="preserve"> and </w:t>
      </w:r>
      <m:oMath>
        <m:r>
          <m:t xml:space="preserve">EPU</m:t>
        </m:r>
      </m:oMath>
      <w:r>
        <w:rPr>
          <w:b w:val="0"/>
          <w:i w:val="0"/>
        </w:rPr>
        <w:t xml:space="preserve"> is 0.25.</w:t>
      </w:r>
    </w:p>
    <w:p>
      <w:pPr>
        <w:pStyle w:val="MDPI23heading3"/>
      </w:pPr>
      <w:r>
        <w:t>3.2.3. The Contingent Margin, Inaction and the Moderators</w:t>
      </w:r>
    </w:p>
    <w:p>
      <w:pPr>
        <w:pStyle w:val="MDPI32textnoindent"/>
      </w:pPr>
      <m:oMath>
        <m:sSub>
          <m:e>
            <m:r>
              <m:t xml:space="preserve">Cont</m:t>
            </m:r>
          </m:e>
          <m:sub>
            <m:r>
              <m:t xml:space="preserve">i</m:t>
            </m:r>
            <m:r>
              <m:t xml:space="preserve">t</m:t>
            </m:r>
          </m:sub>
        </m:sSub>
      </m:oMath>
      <w:r>
        <w:rPr>
          <w:b w:val="0"/>
          <w:i w:val="0"/>
        </w:rPr>
        <w:t xml:space="preserve"> is the share of the firm's entry-level vacancies in year </w:t>
      </w:r>
      <m:oMath>
        <m:r>
          <m:t xml:space="preserve">t</m:t>
        </m:r>
      </m:oMath>
      <w:r>
        <w:rPr>
          <w:b w:val="0"/>
          <w:i w:val="0"/>
        </w:rPr>
        <w:t xml:space="preserve"> advertised as internships, agency or dispatch placements, or fixed-term contracts of one year or less, in percentage points. It is the compositional outcome of Hypothesis 3. </w:t>
      </w:r>
      <m:oMath>
        <m:sSub>
          <m:e>
            <m:r>
              <m:t xml:space="preserve">Inact</m:t>
            </m:r>
          </m:e>
          <m:sub>
            <m:r>
              <m:t xml:space="preserve">i</m:t>
            </m:r>
            <m:r>
              <m:t xml:space="preserve">t</m:t>
            </m:r>
          </m:sub>
        </m:sSub>
      </m:oMath>
      <w:r>
        <w:rPr>
          <w:b w:val="0"/>
          <w:i w:val="0"/>
        </w:rPr>
        <w:t xml:space="preserve"> is an indicator equal to one when the firm's net change in employment aged 30 or below, scaled by lagged employment, lies inside a band of half a percentage point around zero; </w:t>
      </w:r>
      <m:oMath>
        <m:sSub>
          <m:e>
            <m:r>
              <m:t xml:space="preserve">Expand</m:t>
            </m:r>
          </m:e>
          <m:sub>
            <m:r>
              <m:t xml:space="preserve">i</m:t>
            </m:r>
            <m:r>
              <m:t xml:space="preserve">t</m:t>
            </m:r>
          </m:sub>
        </m:sSub>
      </m:oMath>
      <w:r>
        <w:rPr>
          <w:b w:val="0"/>
          <w:i w:val="0"/>
        </w:rPr>
        <w:t xml:space="preserve"> is an indicator for a positive net change, used on the subsample of firms that were inactive in </w:t>
      </w:r>
      <m:oMath>
        <m:r>
          <m:t xml:space="preserve">t</m:t>
        </m:r>
        <m:r>
          <m:rPr>
            <m:sty m:val="p"/>
          </m:rPr>
          <m:t xml:space="preserve">-</m:t>
        </m:r>
        <m:r>
          <m:rPr>
            <m:sty m:val="p"/>
          </m:rPr>
          <m:t xml:space="preserve">1</m:t>
        </m:r>
      </m:oMath>
      <w:r>
        <w:rPr>
          <w:b w:val="0"/>
          <w:i w:val="0"/>
        </w:rPr>
        <w:t xml:space="preserve"> to test the hysteresis part of Hypothesis 4.</w:t>
      </w:r>
    </w:p>
    <w:p>
      <w:pPr>
        <w:pStyle w:val="MDPI31text"/>
      </w:pPr>
      <w:r>
        <w:rPr>
          <w:b w:val="0"/>
          <w:i w:val="0"/>
        </w:rPr>
        <w:t xml:space="preserve">Three moderators operationalise the sunk component. </w:t>
      </w:r>
      <m:oMath>
        <m:sSub>
          <m:e>
            <m:r>
              <m:t xml:space="preserve">SpecTrain</m:t>
            </m:r>
          </m:e>
          <m:sub>
            <m:r>
              <m:t xml:space="preserve">i</m:t>
            </m:r>
          </m:sub>
        </m:sSub>
      </m:oMath>
      <w:r>
        <w:rPr>
          <w:b w:val="0"/>
          <w:i w:val="0"/>
        </w:rPr>
        <w:t xml:space="preserve"> is the standardised pre-shock ratio of employee education and training expenditure to the number of employees, a proxy for how much of a hire is firm-specific investment </w:t>
      </w:r>
      <w:r>
        <w:t>[</w:t>
      </w:r>
      <w:r>
        <w:fldChar w:fldCharType="begin"/>
      </w:r>
      <w:r>
        <w:instrText xml:space="preserve"> REF _Ref_16 \h </w:instrText>
      </w:r>
      <w:r>
        <w:fldChar w:fldCharType="separate"/>
      </w:r>
      <w:r>
        <w:t>16</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w:t>
      </w:r>
      <m:oMath>
        <m:sSub>
          <m:e>
            <m:r>
              <m:t xml:space="preserve">FireCost</m:t>
            </m:r>
          </m:e>
          <m:sub>
            <m:r>
              <m:t xml:space="preserve">p</m:t>
            </m:r>
          </m:sub>
        </m:sSub>
      </m:oMath>
      <w:r>
        <w:rPr>
          <w:b w:val="0"/>
          <w:i w:val="0"/>
        </w:rPr>
        <w:t xml:space="preserve"> is a standardised provincial index of employment-protection enforcement, built from the incidence of labour-dispute arbitration awards against employers per thousand employees </w:t>
      </w:r>
      <w:r>
        <w:t>[</w:t>
      </w:r>
      <w:r>
        <w:fldChar w:fldCharType="begin"/>
      </w:r>
      <w:r>
        <w:instrText xml:space="preserve"> REF _Ref_18 \h </w:instrText>
      </w:r>
      <w:r>
        <w:fldChar w:fldCharType="separate"/>
      </w:r>
      <w:r>
        <w:t>18</w:t>
      </w:r>
      <w:r>
        <w:fldChar w:fldCharType="end"/>
      </w:r>
      <w:r>
        <w:t>]</w:t>
      </w:r>
      <w:r>
        <w:rPr>
          <w:b w:val="0"/>
          <w:i w:val="0"/>
        </w:rPr>
        <w:t xml:space="preserve">. </w:t>
      </w:r>
      <m:oMath>
        <m:sSub>
          <m:e>
            <m:r>
              <m:t xml:space="preserve">Flex</m:t>
            </m:r>
          </m:e>
          <m:sub>
            <m:r>
              <m:t xml:space="preserve">i</m:t>
            </m:r>
          </m:sub>
        </m:sSub>
      </m:oMath>
      <w:r>
        <w:rPr>
          <w:b w:val="0"/>
          <w:i w:val="0"/>
        </w:rPr>
        <w:t xml:space="preserve"> is the standardised pre-shock share of dispatched and outsourced workers in total employment, which measures how cheaply the firm can reverse an employment decision </w:t>
      </w:r>
      <w:r>
        <w:t>[</w:t>
      </w:r>
      <w:r>
        <w:fldChar w:fldCharType="begin"/>
      </w:r>
      <w:r>
        <w:instrText xml:space="preserve"> REF _Ref_56 \h </w:instrText>
      </w:r>
      <w:r>
        <w:fldChar w:fldCharType="separate"/>
      </w:r>
      <w:r>
        <w:t>56</w:t>
      </w:r>
      <w:r>
        <w:fldChar w:fldCharType="end"/>
      </w:r>
      <w:r>
        <w:t>]</w:t>
      </w:r>
      <w:r>
        <w:rPr>
          <w:b w:val="0"/>
          <w:i w:val="0"/>
        </w:rPr>
        <w:t>. All three are measured before 2023 and held fixed, so their main effects are absorbed by the firm effects and only their interactions with uncertainty are identified — which is what Hypothesis 2 is about.</w:t>
      </w:r>
    </w:p>
    <w:p>
      <w:pPr>
        <w:pStyle w:val="MDPI23heading3"/>
      </w:pPr>
      <w:r>
        <w:t>3.2.4. Controls</w:t>
      </w:r>
    </w:p>
    <w:p>
      <w:pPr>
        <w:pStyle w:val="MDPI32textnoindent"/>
      </w:pPr>
      <w:r>
        <w:rPr>
          <w:b w:val="0"/>
          <w:i w:val="0"/>
        </w:rPr>
        <w:t xml:space="preserve">The control vector is the standard one for firm-level employment regressions, augmented with the local labour-market conditions that govern the outside option of a young applicant: firm size, leverage, return on assets, sales growth, cash holdings, firm age, Tobin's </w:t>
      </w:r>
      <m:oMath>
        <m:r>
          <m:t xml:space="preserve">Q</m:t>
        </m:r>
      </m:oMath>
      <w:r>
        <w:rPr>
          <w:b w:val="0"/>
          <w:i w:val="0"/>
        </w:rPr>
        <w:t>, capital intensity, the average wage, analyst coverage, institutional ownership, provincial output growth and the provincial youth unemployment rate. Definitions are collected in Table 1.</w:t>
      </w:r>
    </w:p>
    <w:p>
      <w:pPr>
        <w:pStyle w:val="MDPI41tablecaption"/>
        <w:keepNext/>
        <w:spacing w:after="60"/>
      </w:pPr>
      <w:r>
        <w:rPr>
          <w:b/>
          <w:sz w:val="18"/>
        </w:rPr>
        <w:t xml:space="preserve">Table 1. </w:t>
      </w:r>
      <w:r>
        <w:rPr>
          <w:b w:val="0"/>
          <w:i w:val="0"/>
          <w:sz w:val="18"/>
        </w:rPr>
        <w:t>Definitions of variables.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1"/>
        <w:gridCol w:w="6286"/>
      </w:tblGrid>
      <w:tr>
        <w:trPr>
          <w:cantSplit/>
          <w:tblHeader/>
        </w:trPr>
        <w:tc>
          <w:tcPr>
            <w:tcW w:type="dxa" w:w="1571"/>
            <w:tcBorders>
              <w:bottom w:val="single" w:sz="8" w:space="0" w:color="auto"/>
            </w:tcBorders>
          </w:tcPr>
          <w:p>
            <w:pPr>
              <w:pStyle w:val="MDPI42tablebody"/>
              <w:keepNext/>
              <w:spacing w:line="240" w:lineRule="auto" w:before="30" w:after="30"/>
              <w:jc w:val="center"/>
            </w:pPr>
            <w:r>
              <w:rPr>
                <w:b/>
                <w:i w:val="0"/>
                <w:sz w:val="18"/>
              </w:rPr>
              <w:t>Variable</w:t>
            </w:r>
          </w:p>
        </w:tc>
        <w:tc>
          <w:tcPr>
            <w:tcW w:type="dxa" w:w="6286"/>
            <w:tcBorders>
              <w:bottom w:val="single" w:sz="8" w:space="0" w:color="auto"/>
            </w:tcBorders>
          </w:tcPr>
          <w:p>
            <w:pPr>
              <w:pStyle w:val="MDPI42tablebody"/>
              <w:keepNext/>
              <w:spacing w:line="240" w:lineRule="auto" w:before="30" w:after="30"/>
              <w:jc w:val="center"/>
            </w:pPr>
            <w:r>
              <w:rPr>
                <w:b/>
                <w:i w:val="0"/>
                <w:sz w:val="18"/>
              </w:rPr>
              <w:t>Definition</w:t>
            </w:r>
          </w:p>
        </w:tc>
      </w:tr>
      <w:tr>
        <w:trPr>
          <w:cantSplit/>
        </w:trPr>
        <w:tc>
          <w:tcPr>
            <w:tcW w:type="dxa" w:w="7858"/>
            <w:gridSpan w:val="2"/>
          </w:tcPr>
          <w:p>
            <w:pPr>
              <w:pStyle w:val="MDPI42tablebody"/>
              <w:keepNext/>
              <w:spacing w:line="240" w:lineRule="auto" w:before="60" w:after="30"/>
              <w:jc w:val="left"/>
            </w:pPr>
            <w:r>
              <w:rPr>
                <w:b/>
                <w:i/>
                <w:sz w:val="18"/>
              </w:rPr>
              <w:t>Dependent variables</w:t>
            </w:r>
          </w:p>
        </w:tc>
      </w:tr>
      <w:tr>
        <w:trPr>
          <w:cantSplit/>
        </w:trPr>
        <w:tc>
          <w:tcPr>
            <w:tcW w:type="dxa" w:w="1571"/>
          </w:tcPr>
          <w:p>
            <w:pPr>
              <w:pStyle w:val="MDPI42tablebody"/>
              <w:keepNext/>
              <w:spacing w:line="240" w:lineRule="auto" w:before="30" w:after="30"/>
              <w:jc w:val="left"/>
            </w:pPr>
            <w:r>
              <w:rPr>
                <w:b w:val="0"/>
                <w:i/>
                <w:sz w:val="18"/>
              </w:rPr>
              <w:t>Entry</w:t>
            </w:r>
          </w:p>
        </w:tc>
        <w:tc>
          <w:tcPr>
            <w:tcW w:type="dxa" w:w="6286"/>
          </w:tcPr>
          <w:p>
            <w:pPr>
              <w:pStyle w:val="MDPI42tablebody"/>
              <w:keepNext/>
              <w:spacing w:line="240" w:lineRule="auto" w:before="30" w:after="30"/>
              <w:jc w:val="left"/>
            </w:pPr>
            <w:r>
              <w:rPr>
                <w:b w:val="0"/>
                <w:i w:val="0"/>
                <w:sz w:val="18"/>
              </w:rPr>
              <w:t>Number of distinct entry-level vacancies posted in the year per thousand employees at the end of the previous year. A vacancy is entry-level if it requires no prior experience or at most one year, or is advertised as campus recruitment</w:t>
            </w:r>
          </w:p>
        </w:tc>
      </w:tr>
      <w:tr>
        <w:trPr>
          <w:cantSplit/>
        </w:trPr>
        <w:tc>
          <w:tcPr>
            <w:tcW w:type="dxa" w:w="1571"/>
          </w:tcPr>
          <w:p>
            <w:pPr>
              <w:pStyle w:val="MDPI42tablebody"/>
              <w:keepNext/>
              <w:spacing w:line="240" w:lineRule="auto" w:before="30" w:after="30"/>
              <w:jc w:val="left"/>
            </w:pPr>
            <w:r>
              <w:rPr>
                <w:b w:val="0"/>
                <w:i/>
                <w:sz w:val="18"/>
              </w:rPr>
              <w:t>EntryPost</w:t>
            </w:r>
          </w:p>
        </w:tc>
        <w:tc>
          <w:tcPr>
            <w:tcW w:type="dxa" w:w="6286"/>
          </w:tcPr>
          <w:p>
            <w:pPr>
              <w:pStyle w:val="MDPI42tablebody"/>
              <w:keepNext/>
              <w:spacing w:line="240" w:lineRule="auto" w:before="30" w:after="30"/>
              <w:jc w:val="left"/>
            </w:pPr>
            <w:r>
              <w:rPr>
                <w:b w:val="0"/>
                <w:i w:val="0"/>
                <w:sz w:val="18"/>
              </w:rPr>
              <w:t>Count of entry-level vacancies posted in the year</w:t>
            </w:r>
          </w:p>
        </w:tc>
      </w:tr>
      <w:tr>
        <w:trPr>
          <w:cantSplit/>
        </w:trPr>
        <w:tc>
          <w:tcPr>
            <w:tcW w:type="dxa" w:w="1571"/>
          </w:tcPr>
          <w:p>
            <w:pPr>
              <w:pStyle w:val="MDPI42tablebody"/>
              <w:keepNext/>
              <w:spacing w:line="240" w:lineRule="auto" w:before="30" w:after="30"/>
              <w:jc w:val="left"/>
            </w:pPr>
            <w:r>
              <w:rPr>
                <w:b w:val="0"/>
                <w:i/>
                <w:sz w:val="18"/>
              </w:rPr>
              <w:t>Exper</w:t>
            </w:r>
          </w:p>
        </w:tc>
        <w:tc>
          <w:tcPr>
            <w:tcW w:type="dxa" w:w="6286"/>
          </w:tcPr>
          <w:p>
            <w:pPr>
              <w:pStyle w:val="MDPI42tablebody"/>
              <w:keepNext/>
              <w:spacing w:line="240" w:lineRule="auto" w:before="30" w:after="30"/>
              <w:jc w:val="left"/>
            </w:pPr>
            <w:r>
              <w:rPr>
                <w:b w:val="0"/>
                <w:i w:val="0"/>
                <w:sz w:val="18"/>
              </w:rPr>
              <w:t>Number of vacancies requiring five or more years of experience, per thousand employees at the end of the previous year</w:t>
            </w:r>
          </w:p>
        </w:tc>
      </w:tr>
      <w:tr>
        <w:trPr>
          <w:cantSplit/>
        </w:trPr>
        <w:tc>
          <w:tcPr>
            <w:tcW w:type="dxa" w:w="1571"/>
          </w:tcPr>
          <w:p>
            <w:pPr>
              <w:pStyle w:val="MDPI42tablebody"/>
              <w:keepNext/>
              <w:spacing w:line="240" w:lineRule="auto" w:before="30" w:after="30"/>
              <w:jc w:val="left"/>
            </w:pPr>
            <w:r>
              <w:rPr>
                <w:b w:val="0"/>
                <w:i/>
                <w:sz w:val="18"/>
              </w:rPr>
              <w:t>Cont</w:t>
            </w:r>
          </w:p>
        </w:tc>
        <w:tc>
          <w:tcPr>
            <w:tcW w:type="dxa" w:w="6286"/>
          </w:tcPr>
          <w:p>
            <w:pPr>
              <w:pStyle w:val="MDPI42tablebody"/>
              <w:keepNext/>
              <w:spacing w:line="240" w:lineRule="auto" w:before="30" w:after="30"/>
              <w:jc w:val="left"/>
            </w:pPr>
            <w:r>
              <w:rPr>
                <w:b w:val="0"/>
                <w:i w:val="0"/>
                <w:sz w:val="18"/>
              </w:rPr>
              <w:t>Share of the firm's entry-level vacancies advertised as internships, agency or dispatch placements, or fixed-term contracts of one year or less (%)</w:t>
            </w:r>
          </w:p>
        </w:tc>
      </w:tr>
      <w:tr>
        <w:trPr>
          <w:cantSplit/>
        </w:trPr>
        <w:tc>
          <w:tcPr>
            <w:tcW w:type="dxa" w:w="1571"/>
          </w:tcPr>
          <w:p>
            <w:pPr>
              <w:pStyle w:val="MDPI42tablebody"/>
              <w:keepNext/>
              <w:spacing w:line="240" w:lineRule="auto" w:before="30" w:after="30"/>
              <w:jc w:val="left"/>
            </w:pPr>
            <w:r>
              <w:rPr>
                <w:b w:val="0"/>
                <w:i/>
                <w:sz w:val="18"/>
              </w:rPr>
              <w:t>Youth</w:t>
            </w:r>
          </w:p>
        </w:tc>
        <w:tc>
          <w:tcPr>
            <w:tcW w:type="dxa" w:w="6286"/>
          </w:tcPr>
          <w:p>
            <w:pPr>
              <w:pStyle w:val="MDPI42tablebody"/>
              <w:keepNext/>
              <w:spacing w:line="240" w:lineRule="auto" w:before="30" w:after="30"/>
              <w:jc w:val="left"/>
            </w:pPr>
            <w:r>
              <w:rPr>
                <w:b w:val="0"/>
                <w:i w:val="0"/>
                <w:sz w:val="18"/>
              </w:rPr>
              <w:t>Share of employees aged 30 or below in total employees (%)</w:t>
            </w:r>
          </w:p>
        </w:tc>
      </w:tr>
      <w:tr>
        <w:trPr>
          <w:cantSplit/>
        </w:trPr>
        <w:tc>
          <w:tcPr>
            <w:tcW w:type="dxa" w:w="1571"/>
          </w:tcPr>
          <w:p>
            <w:pPr>
              <w:pStyle w:val="MDPI42tablebody"/>
              <w:keepNext/>
              <w:spacing w:line="240" w:lineRule="auto" w:before="30" w:after="30"/>
              <w:jc w:val="left"/>
            </w:pPr>
            <w:r>
              <w:rPr>
                <w:b w:val="0"/>
                <w:i/>
                <w:sz w:val="18"/>
              </w:rPr>
              <w:t>NetYouth</w:t>
            </w:r>
          </w:p>
        </w:tc>
        <w:tc>
          <w:tcPr>
            <w:tcW w:type="dxa" w:w="6286"/>
          </w:tcPr>
          <w:p>
            <w:pPr>
              <w:pStyle w:val="MDPI42tablebody"/>
              <w:keepNext/>
              <w:spacing w:line="240" w:lineRule="auto" w:before="30" w:after="30"/>
              <w:jc w:val="left"/>
            </w:pPr>
            <w:r>
              <w:rPr>
                <w:b w:val="0"/>
                <w:i w:val="0"/>
                <w:sz w:val="18"/>
              </w:rPr>
              <w:t>Net change in the number of employees aged 30 or below, scaled by lagged total employment (%)</w:t>
            </w:r>
          </w:p>
        </w:tc>
      </w:tr>
      <w:tr>
        <w:trPr>
          <w:cantSplit/>
        </w:trPr>
        <w:tc>
          <w:tcPr>
            <w:tcW w:type="dxa" w:w="1571"/>
          </w:tcPr>
          <w:p>
            <w:pPr>
              <w:pStyle w:val="MDPI42tablebody"/>
              <w:keepNext/>
              <w:spacing w:line="240" w:lineRule="auto" w:before="30" w:after="30"/>
              <w:jc w:val="left"/>
            </w:pPr>
            <w:r>
              <w:rPr>
                <w:b w:val="0"/>
                <w:i/>
                <w:sz w:val="18"/>
              </w:rPr>
              <w:t>Inact</w:t>
            </w:r>
          </w:p>
        </w:tc>
        <w:tc>
          <w:tcPr>
            <w:tcW w:type="dxa" w:w="6286"/>
          </w:tcPr>
          <w:p>
            <w:pPr>
              <w:pStyle w:val="MDPI42tablebody"/>
              <w:keepNext/>
              <w:spacing w:line="240" w:lineRule="auto" w:before="30" w:after="30"/>
              <w:jc w:val="left"/>
            </w:pPr>
            <w:r>
              <w:rPr>
                <w:b w:val="0"/>
                <w:i w:val="0"/>
                <w:sz w:val="18"/>
              </w:rPr>
              <w:t>Indicator equal to one if NetYouth lies within half a percentage point of zero</w:t>
            </w:r>
          </w:p>
        </w:tc>
      </w:tr>
      <w:tr>
        <w:trPr>
          <w:cantSplit/>
        </w:trPr>
        <w:tc>
          <w:tcPr>
            <w:tcW w:type="dxa" w:w="7858"/>
            <w:gridSpan w:val="2"/>
          </w:tcPr>
          <w:p>
            <w:pPr>
              <w:pStyle w:val="MDPI42tablebody"/>
              <w:keepNext/>
              <w:spacing w:line="240" w:lineRule="auto" w:before="60" w:after="30"/>
              <w:jc w:val="left"/>
            </w:pPr>
            <w:r>
              <w:rPr>
                <w:b/>
                <w:i/>
                <w:sz w:val="18"/>
              </w:rPr>
              <w:t>Explanatory variables</w:t>
            </w:r>
          </w:p>
        </w:tc>
      </w:tr>
      <w:tr>
        <w:trPr>
          <w:cantSplit/>
        </w:trPr>
        <w:tc>
          <w:tcPr>
            <w:tcW w:type="dxa" w:w="1571"/>
          </w:tcPr>
          <w:p>
            <w:pPr>
              <w:pStyle w:val="MDPI42tablebody"/>
              <w:keepNext/>
              <w:spacing w:line="240" w:lineRule="auto" w:before="30" w:after="30"/>
              <w:jc w:val="left"/>
            </w:pPr>
            <w:r>
              <w:rPr>
                <w:b w:val="0"/>
                <w:i/>
                <w:sz w:val="18"/>
              </w:rPr>
              <w:t>AIU</w:t>
            </w:r>
          </w:p>
        </w:tc>
        <w:tc>
          <w:tcPr>
            <w:tcW w:type="dxa" w:w="6286"/>
          </w:tcPr>
          <w:p>
            <w:pPr>
              <w:pStyle w:val="MDPI42tablebody"/>
              <w:keepNext/>
              <w:spacing w:line="240" w:lineRule="auto" w:before="30" w:after="30"/>
              <w:jc w:val="left"/>
            </w:pPr>
            <w:r>
              <w:rPr>
                <w:b w:val="0"/>
                <w:i w:val="0"/>
                <w:sz w:val="18"/>
              </w:rPr>
              <w:t>Generative-AI uncertainty: standardised logarithm of the frequency with which a generative-AI term appears within a ten-word window of an uncertainty term in the management discussion and risk-factor sections of the annual report, scaled by document length</w:t>
            </w:r>
          </w:p>
        </w:tc>
      </w:tr>
      <w:tr>
        <w:trPr>
          <w:cantSplit/>
        </w:trPr>
        <w:tc>
          <w:tcPr>
            <w:tcW w:type="dxa" w:w="1571"/>
          </w:tcPr>
          <w:p>
            <w:pPr>
              <w:pStyle w:val="MDPI42tablebody"/>
              <w:keepNext/>
              <w:spacing w:line="240" w:lineRule="auto" w:before="30" w:after="30"/>
              <w:jc w:val="left"/>
            </w:pPr>
            <w:r>
              <w:rPr>
                <w:b w:val="0"/>
                <w:i/>
                <w:sz w:val="18"/>
              </w:rPr>
              <w:t>AIE</w:t>
            </w:r>
          </w:p>
        </w:tc>
        <w:tc>
          <w:tcPr>
            <w:tcW w:type="dxa" w:w="6286"/>
          </w:tcPr>
          <w:p>
            <w:pPr>
              <w:pStyle w:val="MDPI42tablebody"/>
              <w:keepNext/>
              <w:spacing w:line="240" w:lineRule="auto" w:before="30" w:after="30"/>
              <w:jc w:val="left"/>
            </w:pPr>
            <w:r>
              <w:rPr>
                <w:b w:val="0"/>
                <w:i w:val="0"/>
                <w:sz w:val="18"/>
              </w:rPr>
              <w:t>Generative-AI engagement: standardised logarithm of the frequency of the same generative-AI dictionary with no uncertainty window</w:t>
            </w:r>
          </w:p>
        </w:tc>
      </w:tr>
      <w:tr>
        <w:trPr>
          <w:cantSplit/>
        </w:trPr>
        <w:tc>
          <w:tcPr>
            <w:tcW w:type="dxa" w:w="1571"/>
          </w:tcPr>
          <w:p>
            <w:pPr>
              <w:pStyle w:val="MDPI42tablebody"/>
              <w:keepNext/>
              <w:spacing w:line="240" w:lineRule="auto" w:before="30" w:after="30"/>
              <w:jc w:val="left"/>
            </w:pPr>
            <w:r>
              <w:rPr>
                <w:b w:val="0"/>
                <w:i/>
                <w:sz w:val="18"/>
              </w:rPr>
              <w:t>EPU</w:t>
            </w:r>
          </w:p>
        </w:tc>
        <w:tc>
          <w:tcPr>
            <w:tcW w:type="dxa" w:w="6286"/>
          </w:tcPr>
          <w:p>
            <w:pPr>
              <w:pStyle w:val="MDPI42tablebody"/>
              <w:keepNext/>
              <w:spacing w:line="240" w:lineRule="auto" w:before="30" w:after="30"/>
              <w:jc w:val="left"/>
            </w:pPr>
            <w:r>
              <w:rPr>
                <w:b w:val="0"/>
                <w:i w:val="0"/>
                <w:sz w:val="18"/>
              </w:rPr>
              <w:t>Firm-level economic policy uncertainty: the same measure as AIU with the generative-AI dictionary replaced by the economic policy dictionary</w:t>
            </w:r>
          </w:p>
        </w:tc>
      </w:tr>
      <w:tr>
        <w:trPr>
          <w:cantSplit/>
        </w:trPr>
        <w:tc>
          <w:tcPr>
            <w:tcW w:type="dxa" w:w="7858"/>
            <w:gridSpan w:val="2"/>
          </w:tcPr>
          <w:p>
            <w:pPr>
              <w:pStyle w:val="MDPI42tablebody"/>
              <w:keepNext/>
              <w:spacing w:line="240" w:lineRule="auto" w:before="60" w:after="30"/>
              <w:jc w:val="left"/>
            </w:pPr>
            <w:r>
              <w:rPr>
                <w:b/>
                <w:i/>
                <w:sz w:val="18"/>
              </w:rPr>
              <w:t>Moderating variables</w:t>
            </w:r>
          </w:p>
        </w:tc>
      </w:tr>
      <w:tr>
        <w:trPr>
          <w:cantSplit/>
        </w:trPr>
        <w:tc>
          <w:tcPr>
            <w:tcW w:type="dxa" w:w="1571"/>
          </w:tcPr>
          <w:p>
            <w:pPr>
              <w:pStyle w:val="MDPI42tablebody"/>
              <w:keepNext/>
              <w:spacing w:line="240" w:lineRule="auto" w:before="30" w:after="30"/>
              <w:jc w:val="left"/>
            </w:pPr>
            <w:r>
              <w:rPr>
                <w:b w:val="0"/>
                <w:i/>
                <w:sz w:val="18"/>
              </w:rPr>
              <w:t>SpecTrain</w:t>
            </w:r>
          </w:p>
        </w:tc>
        <w:tc>
          <w:tcPr>
            <w:tcW w:type="dxa" w:w="6286"/>
          </w:tcPr>
          <w:p>
            <w:pPr>
              <w:pStyle w:val="MDPI42tablebody"/>
              <w:keepNext/>
              <w:spacing w:line="240" w:lineRule="auto" w:before="30" w:after="30"/>
              <w:jc w:val="left"/>
            </w:pPr>
            <w:r>
              <w:rPr>
                <w:b w:val="0"/>
                <w:i w:val="0"/>
                <w:sz w:val="18"/>
              </w:rPr>
              <w:t>Standardised pre-shock ratio of employee education and training expenditure to the number of employees</w:t>
            </w:r>
          </w:p>
        </w:tc>
      </w:tr>
      <w:tr>
        <w:trPr>
          <w:cantSplit/>
        </w:trPr>
        <w:tc>
          <w:tcPr>
            <w:tcW w:type="dxa" w:w="1571"/>
          </w:tcPr>
          <w:p>
            <w:pPr>
              <w:pStyle w:val="MDPI42tablebody"/>
              <w:keepNext/>
              <w:spacing w:line="240" w:lineRule="auto" w:before="30" w:after="30"/>
              <w:jc w:val="left"/>
            </w:pPr>
            <w:r>
              <w:rPr>
                <w:b w:val="0"/>
                <w:i/>
                <w:sz w:val="18"/>
              </w:rPr>
              <w:t>FireCost</w:t>
            </w:r>
          </w:p>
        </w:tc>
        <w:tc>
          <w:tcPr>
            <w:tcW w:type="dxa" w:w="6286"/>
          </w:tcPr>
          <w:p>
            <w:pPr>
              <w:pStyle w:val="MDPI42tablebody"/>
              <w:keepNext/>
              <w:spacing w:line="240" w:lineRule="auto" w:before="30" w:after="30"/>
              <w:jc w:val="left"/>
            </w:pPr>
            <w:r>
              <w:rPr>
                <w:b w:val="0"/>
                <w:i w:val="0"/>
                <w:sz w:val="18"/>
              </w:rPr>
              <w:t>Standardised provincial index of employment-protection enforcement, built from labour-dispute arbitration awards against employers per thousand employees</w:t>
            </w:r>
          </w:p>
        </w:tc>
      </w:tr>
      <w:tr>
        <w:trPr>
          <w:cantSplit/>
        </w:trPr>
        <w:tc>
          <w:tcPr>
            <w:tcW w:type="dxa" w:w="1571"/>
          </w:tcPr>
          <w:p>
            <w:pPr>
              <w:pStyle w:val="MDPI42tablebody"/>
              <w:keepNext/>
              <w:spacing w:line="240" w:lineRule="auto" w:before="30" w:after="30"/>
              <w:jc w:val="left"/>
            </w:pPr>
            <w:r>
              <w:rPr>
                <w:b w:val="0"/>
                <w:i/>
                <w:sz w:val="18"/>
              </w:rPr>
              <w:t>Flex</w:t>
            </w:r>
          </w:p>
        </w:tc>
        <w:tc>
          <w:tcPr>
            <w:tcW w:type="dxa" w:w="6286"/>
          </w:tcPr>
          <w:p>
            <w:pPr>
              <w:pStyle w:val="MDPI42tablebody"/>
              <w:keepNext/>
              <w:spacing w:line="240" w:lineRule="auto" w:before="30" w:after="30"/>
              <w:jc w:val="left"/>
            </w:pPr>
            <w:r>
              <w:rPr>
                <w:b w:val="0"/>
                <w:i w:val="0"/>
                <w:sz w:val="18"/>
              </w:rPr>
              <w:t>Standardised pre-shock share of dispatched and outsourced workers in total employment</w:t>
            </w:r>
          </w:p>
        </w:tc>
      </w:tr>
      <w:tr>
        <w:trPr>
          <w:cantSplit/>
        </w:trPr>
        <w:tc>
          <w:tcPr>
            <w:tcW w:type="dxa" w:w="7858"/>
            <w:gridSpan w:val="2"/>
          </w:tcPr>
          <w:p>
            <w:pPr>
              <w:pStyle w:val="MDPI42tablebody"/>
              <w:keepNext/>
              <w:spacing w:line="240" w:lineRule="auto" w:before="60" w:after="30"/>
              <w:jc w:val="left"/>
            </w:pPr>
            <w:r>
              <w:rPr>
                <w:b/>
                <w:i/>
                <w:sz w:val="18"/>
              </w:rPr>
              <w:t>Control variables</w:t>
            </w:r>
          </w:p>
        </w:tc>
      </w:tr>
      <w:tr>
        <w:trPr>
          <w:cantSplit/>
        </w:trPr>
        <w:tc>
          <w:tcPr>
            <w:tcW w:type="dxa" w:w="1571"/>
          </w:tcPr>
          <w:p>
            <w:pPr>
              <w:pStyle w:val="MDPI42tablebody"/>
              <w:keepNext/>
              <w:spacing w:line="240" w:lineRule="auto" w:before="30" w:after="30"/>
              <w:jc w:val="left"/>
            </w:pPr>
            <w:r>
              <w:rPr>
                <w:b w:val="0"/>
                <w:i/>
                <w:sz w:val="18"/>
              </w:rPr>
              <w:t>Size</w:t>
            </w:r>
          </w:p>
        </w:tc>
        <w:tc>
          <w:tcPr>
            <w:tcW w:type="dxa" w:w="6286"/>
          </w:tcPr>
          <w:p>
            <w:pPr>
              <w:pStyle w:val="MDPI42tablebody"/>
              <w:keepNext/>
              <w:spacing w:line="240" w:lineRule="auto" w:before="30" w:after="30"/>
              <w:jc w:val="left"/>
            </w:pPr>
            <w:r>
              <w:rPr>
                <w:b w:val="0"/>
                <w:i w:val="0"/>
                <w:sz w:val="18"/>
              </w:rPr>
              <w:t>Natural logarithm of total assets</w:t>
            </w:r>
          </w:p>
        </w:tc>
      </w:tr>
      <w:tr>
        <w:trPr>
          <w:cantSplit/>
        </w:trPr>
        <w:tc>
          <w:tcPr>
            <w:tcW w:type="dxa" w:w="1571"/>
          </w:tcPr>
          <w:p>
            <w:pPr>
              <w:pStyle w:val="MDPI42tablebody"/>
              <w:keepNext/>
              <w:spacing w:line="240" w:lineRule="auto" w:before="30" w:after="30"/>
              <w:jc w:val="left"/>
            </w:pPr>
            <w:r>
              <w:rPr>
                <w:b w:val="0"/>
                <w:i/>
                <w:sz w:val="18"/>
              </w:rPr>
              <w:t>Lev</w:t>
            </w:r>
          </w:p>
        </w:tc>
        <w:tc>
          <w:tcPr>
            <w:tcW w:type="dxa" w:w="6286"/>
          </w:tcPr>
          <w:p>
            <w:pPr>
              <w:pStyle w:val="MDPI42tablebody"/>
              <w:keepNext/>
              <w:spacing w:line="240" w:lineRule="auto" w:before="30" w:after="30"/>
              <w:jc w:val="left"/>
            </w:pPr>
            <w:r>
              <w:rPr>
                <w:b w:val="0"/>
                <w:i w:val="0"/>
                <w:sz w:val="18"/>
              </w:rPr>
              <w:t>Total liabilities divided by total assets</w:t>
            </w:r>
          </w:p>
        </w:tc>
      </w:tr>
      <w:tr>
        <w:trPr>
          <w:cantSplit/>
        </w:trPr>
        <w:tc>
          <w:tcPr>
            <w:tcW w:type="dxa" w:w="1571"/>
          </w:tcPr>
          <w:p>
            <w:pPr>
              <w:pStyle w:val="MDPI42tablebody"/>
              <w:keepNext/>
              <w:spacing w:line="240" w:lineRule="auto" w:before="30" w:after="30"/>
              <w:jc w:val="left"/>
            </w:pPr>
            <w:r>
              <w:rPr>
                <w:b w:val="0"/>
                <w:i/>
                <w:sz w:val="18"/>
              </w:rPr>
              <w:t>ROA</w:t>
            </w:r>
          </w:p>
        </w:tc>
        <w:tc>
          <w:tcPr>
            <w:tcW w:type="dxa" w:w="6286"/>
          </w:tcPr>
          <w:p>
            <w:pPr>
              <w:pStyle w:val="MDPI42tablebody"/>
              <w:keepNext/>
              <w:spacing w:line="240" w:lineRule="auto" w:before="30" w:after="30"/>
              <w:jc w:val="left"/>
            </w:pPr>
            <w:r>
              <w:rPr>
                <w:b w:val="0"/>
                <w:i w:val="0"/>
                <w:sz w:val="18"/>
              </w:rPr>
              <w:t>Net profit divided by total assets</w:t>
            </w:r>
          </w:p>
        </w:tc>
      </w:tr>
      <w:tr>
        <w:trPr>
          <w:cantSplit/>
        </w:trPr>
        <w:tc>
          <w:tcPr>
            <w:tcW w:type="dxa" w:w="1571"/>
          </w:tcPr>
          <w:p>
            <w:pPr>
              <w:pStyle w:val="MDPI42tablebody"/>
              <w:keepNext/>
              <w:spacing w:line="240" w:lineRule="auto" w:before="30" w:after="30"/>
              <w:jc w:val="left"/>
            </w:pPr>
            <w:r>
              <w:rPr>
                <w:b w:val="0"/>
                <w:i/>
                <w:sz w:val="18"/>
              </w:rPr>
              <w:t>Growth</w:t>
            </w:r>
          </w:p>
        </w:tc>
        <w:tc>
          <w:tcPr>
            <w:tcW w:type="dxa" w:w="6286"/>
          </w:tcPr>
          <w:p>
            <w:pPr>
              <w:pStyle w:val="MDPI42tablebody"/>
              <w:keepNext/>
              <w:spacing w:line="240" w:lineRule="auto" w:before="30" w:after="30"/>
              <w:jc w:val="left"/>
            </w:pPr>
            <w:r>
              <w:rPr>
                <w:b w:val="0"/>
                <w:i w:val="0"/>
                <w:sz w:val="18"/>
              </w:rPr>
              <w:t>Year-on-year growth rate of operating revenue</w:t>
            </w:r>
          </w:p>
        </w:tc>
      </w:tr>
      <w:tr>
        <w:trPr>
          <w:cantSplit/>
        </w:trPr>
        <w:tc>
          <w:tcPr>
            <w:tcW w:type="dxa" w:w="1571"/>
          </w:tcPr>
          <w:p>
            <w:pPr>
              <w:pStyle w:val="MDPI42tablebody"/>
              <w:keepNext/>
              <w:spacing w:line="240" w:lineRule="auto" w:before="30" w:after="30"/>
              <w:jc w:val="left"/>
            </w:pPr>
            <w:r>
              <w:rPr>
                <w:b w:val="0"/>
                <w:i/>
                <w:sz w:val="18"/>
              </w:rPr>
              <w:t>Cash</w:t>
            </w:r>
          </w:p>
        </w:tc>
        <w:tc>
          <w:tcPr>
            <w:tcW w:type="dxa" w:w="6286"/>
          </w:tcPr>
          <w:p>
            <w:pPr>
              <w:pStyle w:val="MDPI42tablebody"/>
              <w:keepNext/>
              <w:spacing w:line="240" w:lineRule="auto" w:before="30" w:after="30"/>
              <w:jc w:val="left"/>
            </w:pPr>
            <w:r>
              <w:rPr>
                <w:b w:val="0"/>
                <w:i w:val="0"/>
                <w:sz w:val="18"/>
              </w:rPr>
              <w:t>Cash and cash equivalents divided by total assets</w:t>
            </w:r>
          </w:p>
        </w:tc>
      </w:tr>
      <w:tr>
        <w:trPr>
          <w:cantSplit/>
        </w:trPr>
        <w:tc>
          <w:tcPr>
            <w:tcW w:type="dxa" w:w="1571"/>
          </w:tcPr>
          <w:p>
            <w:pPr>
              <w:pStyle w:val="MDPI42tablebody"/>
              <w:keepNext/>
              <w:spacing w:line="240" w:lineRule="auto" w:before="30" w:after="30"/>
              <w:jc w:val="left"/>
            </w:pPr>
            <w:r>
              <w:rPr>
                <w:b w:val="0"/>
                <w:i/>
                <w:sz w:val="18"/>
              </w:rPr>
              <w:t>Age</w:t>
            </w:r>
          </w:p>
        </w:tc>
        <w:tc>
          <w:tcPr>
            <w:tcW w:type="dxa" w:w="6286"/>
          </w:tcPr>
          <w:p>
            <w:pPr>
              <w:pStyle w:val="MDPI42tablebody"/>
              <w:keepNext/>
              <w:spacing w:line="240" w:lineRule="auto" w:before="30" w:after="30"/>
              <w:jc w:val="left"/>
            </w:pPr>
            <w:r>
              <w:rPr>
                <w:b w:val="0"/>
                <w:i w:val="0"/>
                <w:sz w:val="18"/>
              </w:rPr>
              <w:t>Natural logarithm of one plus the number of years since the firm was founded</w:t>
            </w:r>
          </w:p>
        </w:tc>
      </w:tr>
      <w:tr>
        <w:trPr>
          <w:cantSplit/>
        </w:trPr>
        <w:tc>
          <w:tcPr>
            <w:tcW w:type="dxa" w:w="1571"/>
          </w:tcPr>
          <w:p>
            <w:pPr>
              <w:pStyle w:val="MDPI42tablebody"/>
              <w:keepNext/>
              <w:spacing w:line="240" w:lineRule="auto" w:before="30" w:after="30"/>
              <w:jc w:val="left"/>
            </w:pPr>
            <w:r>
              <w:rPr>
                <w:b w:val="0"/>
                <w:i/>
                <w:sz w:val="18"/>
              </w:rPr>
              <w:t>TobinQ</w:t>
            </w:r>
          </w:p>
        </w:tc>
        <w:tc>
          <w:tcPr>
            <w:tcW w:type="dxa" w:w="6286"/>
          </w:tcPr>
          <w:p>
            <w:pPr>
              <w:pStyle w:val="MDPI42tablebody"/>
              <w:keepNext/>
              <w:spacing w:line="240" w:lineRule="auto" w:before="30" w:after="30"/>
              <w:jc w:val="left"/>
            </w:pPr>
            <w:r>
              <w:rPr>
                <w:b w:val="0"/>
                <w:i w:val="0"/>
                <w:sz w:val="18"/>
              </w:rPr>
              <w:t>Market value divided by the replacement cost of assets</w:t>
            </w:r>
          </w:p>
        </w:tc>
      </w:tr>
      <w:tr>
        <w:trPr>
          <w:cantSplit/>
        </w:trPr>
        <w:tc>
          <w:tcPr>
            <w:tcW w:type="dxa" w:w="1571"/>
          </w:tcPr>
          <w:p>
            <w:pPr>
              <w:pStyle w:val="MDPI42tablebody"/>
              <w:keepNext/>
              <w:spacing w:line="240" w:lineRule="auto" w:before="30" w:after="30"/>
              <w:jc w:val="left"/>
            </w:pPr>
            <w:r>
              <w:rPr>
                <w:b w:val="0"/>
                <w:i/>
                <w:sz w:val="18"/>
              </w:rPr>
              <w:t>CapInt</w:t>
            </w:r>
          </w:p>
        </w:tc>
        <w:tc>
          <w:tcPr>
            <w:tcW w:type="dxa" w:w="6286"/>
          </w:tcPr>
          <w:p>
            <w:pPr>
              <w:pStyle w:val="MDPI42tablebody"/>
              <w:keepNext/>
              <w:spacing w:line="240" w:lineRule="auto" w:before="30" w:after="30"/>
              <w:jc w:val="left"/>
            </w:pPr>
            <w:r>
              <w:rPr>
                <w:b w:val="0"/>
                <w:i w:val="0"/>
                <w:sz w:val="18"/>
              </w:rPr>
              <w:t>Natural logarithm of net fixed assets per employee</w:t>
            </w:r>
          </w:p>
        </w:tc>
      </w:tr>
      <w:tr>
        <w:trPr>
          <w:cantSplit/>
        </w:trPr>
        <w:tc>
          <w:tcPr>
            <w:tcW w:type="dxa" w:w="1571"/>
          </w:tcPr>
          <w:p>
            <w:pPr>
              <w:pStyle w:val="MDPI42tablebody"/>
              <w:keepNext/>
              <w:spacing w:line="240" w:lineRule="auto" w:before="30" w:after="30"/>
              <w:jc w:val="left"/>
            </w:pPr>
            <w:r>
              <w:rPr>
                <w:b w:val="0"/>
                <w:i/>
                <w:sz w:val="18"/>
              </w:rPr>
              <w:t>Wage</w:t>
            </w:r>
          </w:p>
        </w:tc>
        <w:tc>
          <w:tcPr>
            <w:tcW w:type="dxa" w:w="6286"/>
          </w:tcPr>
          <w:p>
            <w:pPr>
              <w:pStyle w:val="MDPI42tablebody"/>
              <w:keepNext/>
              <w:spacing w:line="240" w:lineRule="auto" w:before="30" w:after="30"/>
              <w:jc w:val="left"/>
            </w:pPr>
            <w:r>
              <w:rPr>
                <w:b w:val="0"/>
                <w:i w:val="0"/>
                <w:sz w:val="18"/>
              </w:rPr>
              <w:t>Natural logarithm of cash paid to and on behalf of employees divided by the number of employees</w:t>
            </w:r>
          </w:p>
        </w:tc>
      </w:tr>
      <w:tr>
        <w:trPr>
          <w:cantSplit/>
        </w:trPr>
        <w:tc>
          <w:tcPr>
            <w:tcW w:type="dxa" w:w="1571"/>
          </w:tcPr>
          <w:p>
            <w:pPr>
              <w:pStyle w:val="MDPI42tablebody"/>
              <w:keepNext/>
              <w:spacing w:line="240" w:lineRule="auto" w:before="30" w:after="30"/>
              <w:jc w:val="left"/>
            </w:pPr>
            <w:r>
              <w:rPr>
                <w:b w:val="0"/>
                <w:i/>
                <w:sz w:val="18"/>
              </w:rPr>
              <w:t>Analyst</w:t>
            </w:r>
          </w:p>
        </w:tc>
        <w:tc>
          <w:tcPr>
            <w:tcW w:type="dxa" w:w="6286"/>
          </w:tcPr>
          <w:p>
            <w:pPr>
              <w:pStyle w:val="MDPI42tablebody"/>
              <w:keepNext/>
              <w:spacing w:line="240" w:lineRule="auto" w:before="30" w:after="30"/>
              <w:jc w:val="left"/>
            </w:pPr>
            <w:r>
              <w:rPr>
                <w:b w:val="0"/>
                <w:i w:val="0"/>
                <w:sz w:val="18"/>
              </w:rPr>
              <w:t>Natural logarithm of one plus the number of analysts issuing an earnings forecast for the firm in the year</w:t>
            </w:r>
          </w:p>
        </w:tc>
      </w:tr>
      <w:tr>
        <w:trPr>
          <w:cantSplit/>
        </w:trPr>
        <w:tc>
          <w:tcPr>
            <w:tcW w:type="dxa" w:w="1571"/>
          </w:tcPr>
          <w:p>
            <w:pPr>
              <w:pStyle w:val="MDPI42tablebody"/>
              <w:keepNext/>
              <w:spacing w:line="240" w:lineRule="auto" w:before="30" w:after="30"/>
              <w:jc w:val="left"/>
            </w:pPr>
            <w:r>
              <w:rPr>
                <w:b w:val="0"/>
                <w:i/>
                <w:sz w:val="18"/>
              </w:rPr>
              <w:t>InstOwn</w:t>
            </w:r>
          </w:p>
        </w:tc>
        <w:tc>
          <w:tcPr>
            <w:tcW w:type="dxa" w:w="6286"/>
          </w:tcPr>
          <w:p>
            <w:pPr>
              <w:pStyle w:val="MDPI42tablebody"/>
              <w:keepNext/>
              <w:spacing w:line="240" w:lineRule="auto" w:before="30" w:after="30"/>
              <w:jc w:val="left"/>
            </w:pPr>
            <w:r>
              <w:rPr>
                <w:b w:val="0"/>
                <w:i w:val="0"/>
                <w:sz w:val="18"/>
              </w:rPr>
              <w:t>Share of shares held by institutional investors</w:t>
            </w:r>
          </w:p>
        </w:tc>
      </w:tr>
      <w:tr>
        <w:trPr>
          <w:cantSplit/>
        </w:trPr>
        <w:tc>
          <w:tcPr>
            <w:tcW w:type="dxa" w:w="1571"/>
          </w:tcPr>
          <w:p>
            <w:pPr>
              <w:pStyle w:val="MDPI42tablebody"/>
              <w:keepNext/>
              <w:spacing w:line="240" w:lineRule="auto" w:before="30" w:after="30"/>
              <w:jc w:val="left"/>
            </w:pPr>
            <w:r>
              <w:rPr>
                <w:b w:val="0"/>
                <w:i/>
                <w:sz w:val="18"/>
              </w:rPr>
              <w:t>GDPg</w:t>
            </w:r>
          </w:p>
        </w:tc>
        <w:tc>
          <w:tcPr>
            <w:tcW w:type="dxa" w:w="6286"/>
          </w:tcPr>
          <w:p>
            <w:pPr>
              <w:pStyle w:val="MDPI42tablebody"/>
              <w:keepNext/>
              <w:spacing w:line="240" w:lineRule="auto" w:before="30" w:after="30"/>
              <w:jc w:val="left"/>
            </w:pPr>
            <w:r>
              <w:rPr>
                <w:b w:val="0"/>
                <w:i w:val="0"/>
                <w:sz w:val="18"/>
              </w:rPr>
              <w:t>Real growth rate of provincial gross domestic product (%)</w:t>
            </w:r>
          </w:p>
        </w:tc>
      </w:tr>
      <w:tr>
        <w:trPr>
          <w:cantSplit/>
        </w:trPr>
        <w:tc>
          <w:tcPr>
            <w:tcW w:type="dxa" w:w="1571"/>
          </w:tcPr>
          <w:p>
            <w:pPr>
              <w:pStyle w:val="MDPI42tablebody"/>
              <w:keepNext/>
              <w:spacing w:line="240" w:lineRule="auto" w:before="30" w:after="30"/>
              <w:jc w:val="left"/>
            </w:pPr>
            <w:r>
              <w:rPr>
                <w:b w:val="0"/>
                <w:i/>
                <w:sz w:val="18"/>
              </w:rPr>
              <w:t>YouthU</w:t>
            </w:r>
          </w:p>
        </w:tc>
        <w:tc>
          <w:tcPr>
            <w:tcW w:type="dxa" w:w="6286"/>
          </w:tcPr>
          <w:p>
            <w:pPr>
              <w:pStyle w:val="MDPI42tablebody"/>
              <w:keepNext/>
              <w:spacing w:line="240" w:lineRule="auto" w:before="30" w:after="30"/>
              <w:jc w:val="left"/>
            </w:pPr>
            <w:r>
              <w:rPr>
                <w:b w:val="0"/>
                <w:i w:val="0"/>
                <w:sz w:val="18"/>
              </w:rPr>
              <w:t>Provincial surveyed unemployment rate of the population aged 16 to 24 (%)</w:t>
            </w:r>
          </w:p>
        </w:tc>
      </w:tr>
      <w:tr>
        <w:trPr>
          <w:cantSplit/>
        </w:trPr>
        <w:tc>
          <w:tcPr>
            <w:tcW w:type="dxa" w:w="7858"/>
            <w:gridSpan w:val="2"/>
          </w:tcPr>
          <w:p>
            <w:pPr>
              <w:pStyle w:val="MDPI42tablebody"/>
              <w:keepNext/>
              <w:spacing w:line="240" w:lineRule="auto" w:before="60" w:after="30"/>
              <w:jc w:val="left"/>
            </w:pPr>
            <w:r>
              <w:rPr>
                <w:b/>
                <w:i/>
                <w:sz w:val="18"/>
              </w:rPr>
              <w:t>Instruments</w:t>
            </w:r>
          </w:p>
        </w:tc>
      </w:tr>
      <w:tr>
        <w:trPr>
          <w:cantSplit/>
        </w:trPr>
        <w:tc>
          <w:tcPr>
            <w:tcW w:type="dxa" w:w="1571"/>
          </w:tcPr>
          <w:p>
            <w:pPr>
              <w:pStyle w:val="MDPI42tablebody"/>
              <w:keepNext/>
              <w:spacing w:line="240" w:lineRule="auto" w:before="30" w:after="30"/>
              <w:jc w:val="left"/>
            </w:pPr>
            <w:r>
              <w:rPr>
                <w:b w:val="0"/>
                <w:i/>
                <w:sz w:val="18"/>
              </w:rPr>
              <w:t>IV</w:t>
            </w:r>
            <w:r>
              <w:rPr>
                <w:b w:val="0"/>
                <w:i/>
                <w:sz w:val="18"/>
                <w:vertAlign w:val="superscript"/>
              </w:rPr>
              <w:t>Shift</w:t>
            </w:r>
          </w:p>
        </w:tc>
        <w:tc>
          <w:tcPr>
            <w:tcW w:type="dxa" w:w="6286"/>
          </w:tcPr>
          <w:p>
            <w:pPr>
              <w:pStyle w:val="MDPI42tablebody"/>
              <w:keepNext/>
              <w:spacing w:line="240" w:lineRule="auto" w:before="30" w:after="30"/>
              <w:jc w:val="left"/>
            </w:pPr>
            <w:r>
              <w:rPr>
                <w:b w:val="0"/>
                <w:i w:val="0"/>
                <w:sz w:val="18"/>
              </w:rPr>
              <w:t>Pre-sample occupational exposure of the firm's task bundle to language models interacted with the national generative-AI uncertainty index</w:t>
            </w:r>
          </w:p>
        </w:tc>
      </w:tr>
      <w:tr>
        <w:trPr>
          <w:cantSplit/>
        </w:trPr>
        <w:tc>
          <w:tcPr>
            <w:tcW w:type="dxa" w:w="1571"/>
          </w:tcPr>
          <w:p>
            <w:pPr>
              <w:pStyle w:val="MDPI42tablebody"/>
              <w:keepNext/>
              <w:spacing w:line="240" w:lineRule="auto" w:before="30" w:after="30"/>
              <w:jc w:val="left"/>
            </w:pPr>
            <w:r>
              <w:rPr>
                <w:b w:val="0"/>
                <w:i/>
                <w:sz w:val="18"/>
              </w:rPr>
              <w:t>IV</w:t>
            </w:r>
            <w:r>
              <w:rPr>
                <w:b w:val="0"/>
                <w:i/>
                <w:sz w:val="18"/>
                <w:vertAlign w:val="superscript"/>
              </w:rPr>
              <w:t>Front</w:t>
            </w:r>
          </w:p>
        </w:tc>
        <w:tc>
          <w:tcPr>
            <w:tcW w:type="dxa" w:w="6286"/>
          </w:tcPr>
          <w:p>
            <w:pPr>
              <w:pStyle w:val="MDPI42tablebody"/>
              <w:keepNext/>
              <w:spacing w:line="240" w:lineRule="auto" w:before="30" w:after="30"/>
              <w:jc w:val="left"/>
            </w:pPr>
            <w:r>
              <w:rPr>
                <w:b w:val="0"/>
                <w:i w:val="0"/>
                <w:sz w:val="18"/>
              </w:rPr>
              <w:t>The same pre-sample exposure interacted with the number of frontier model releases in the year</w:t>
            </w:r>
          </w:p>
        </w:tc>
      </w:tr>
      <w:tr>
        <w:trPr>
          <w:cantSplit/>
        </w:trPr>
        <w:tc>
          <w:tcPr>
            <w:tcW w:type="dxa" w:w="1571"/>
          </w:tcPr>
          <w:p>
            <w:pPr>
              <w:pStyle w:val="MDPI42tablebody"/>
              <w:spacing w:line="240" w:lineRule="auto" w:before="30" w:after="30"/>
              <w:jc w:val="left"/>
            </w:pPr>
            <w:r>
              <w:rPr>
                <w:b w:val="0"/>
                <w:i/>
                <w:sz w:val="18"/>
              </w:rPr>
              <w:t>IV</w:t>
            </w:r>
            <w:r>
              <w:rPr>
                <w:b w:val="0"/>
                <w:i/>
                <w:sz w:val="18"/>
                <w:vertAlign w:val="superscript"/>
              </w:rPr>
              <w:t>Peer</w:t>
            </w:r>
          </w:p>
        </w:tc>
        <w:tc>
          <w:tcPr>
            <w:tcW w:type="dxa" w:w="6286"/>
          </w:tcPr>
          <w:p>
            <w:pPr>
              <w:pStyle w:val="MDPI42tablebody"/>
              <w:spacing w:line="240" w:lineRule="auto" w:before="30" w:after="30"/>
              <w:jc w:val="left"/>
            </w:pPr>
            <w:r>
              <w:rPr>
                <w:b w:val="0"/>
                <w:i w:val="0"/>
                <w:sz w:val="18"/>
              </w:rPr>
              <w:t>Leave-one-out mean of AIU among other listed firms headquartered in the same province</w:t>
            </w:r>
          </w:p>
        </w:tc>
      </w:tr>
    </w:tbl>
    <w:p>
      <w:pPr>
        <w:pStyle w:val="MDPI22heading2"/>
      </w:pPr>
      <w:r>
        <w:t>3.3. Specifications</w:t>
      </w:r>
    </w:p>
    <w:p>
      <w:pPr>
        <w:pStyle w:val="MDPI32textnoindent"/>
      </w:pPr>
      <w:r>
        <w:rPr>
          <w:b w:val="0"/>
          <w:i w:val="0"/>
        </w:rPr>
        <w:t>The baseline is a two-way fixed-effects regression of entry-level vacancy creation on generative-AI uncertainty:</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Entry</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AIU</m:t>
                  </m:r>
                </m:e>
                <m:sub>
                  <m:r>
                    <m:t xml:space="preserve">i</m:t>
                  </m:r>
                  <m:r>
                    <m:t xml:space="preserve">t</m:t>
                  </m:r>
                </m:sub>
              </m:sSub>
              <m:r>
                <m:rPr>
                  <m:sty m:val="p"/>
                </m:rPr>
                <m:t xml:space="preserve">+</m:t>
              </m:r>
              <m:sSub>
                <m:e>
                  <m:r>
                    <m:t xml:space="preserve">α</m:t>
                  </m:r>
                </m:e>
                <m:sub>
                  <m:r>
                    <m:rPr>
                      <m:sty m:val="p"/>
                    </m:rPr>
                    <m:t xml:space="preserve">2</m:t>
                  </m:r>
                </m:sub>
              </m:sSub>
              <m:sSub>
                <m:e>
                  <m:r>
                    <m:t xml:space="preserve">AIE</m:t>
                  </m:r>
                </m:e>
                <m:sub>
                  <m:r>
                    <m:t xml:space="preserve">i</m:t>
                  </m:r>
                  <m:r>
                    <m:t xml:space="preserve">t</m:t>
                  </m:r>
                </m:sub>
              </m:sSub>
              <m:r>
                <m:rPr>
                  <m:sty m:val="p"/>
                </m:rPr>
                <m:t xml:space="preserve">+</m:t>
              </m:r>
              <m:sSub>
                <m:e>
                  <m:r>
                    <m:t xml:space="preserve">α</m:t>
                  </m:r>
                </m:e>
                <m:sub>
                  <m:r>
                    <m:rPr>
                      <m:sty m:val="p"/>
                    </m:rPr>
                    <m:t xml:space="preserve">3</m:t>
                  </m:r>
                </m:sub>
              </m:sSub>
              <m:sSub>
                <m:e>
                  <m:r>
                    <m:t xml:space="preserve">EPU</m:t>
                  </m:r>
                </m:e>
                <m:sub>
                  <m:r>
                    <m:t xml:space="preserve">i</m:t>
                  </m:r>
                  <m:r>
                    <m:t xml:space="preserve">t</m:t>
                  </m:r>
                </m:sub>
              </m:sSub>
              <m:r>
                <m:rPr>
                  <m:sty m:val="p"/>
                </m:rPr>
                <m:t xml:space="preserve">+</m:t>
              </m:r>
              <m:r>
                <m:t xml:space="preserve">γ</m:t>
              </m:r>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r>
                <m:t xml:space="preserve">,</m:t>
              </m:r>
            </m:oMath>
          </w:p>
        </w:tc>
        <w:tc>
          <w:tcPr>
            <w:tcW w:type="dxa" w:w="431"/>
            <w:vAlign w:val="center"/>
          </w:tcPr>
          <w:p>
            <w:pPr>
              <w:pStyle w:val="MDPI3aequationnumber"/>
              <w:jc w:val="right"/>
            </w:pPr>
            <w:r>
              <w:t>(8)</w:t>
            </w:r>
          </w:p>
        </w:tc>
      </w:tr>
    </w:tbl>
    <w:p>
      <w:pPr>
        <w:pStyle w:val="MDPI31text"/>
      </w:pPr>
      <w:r>
        <w:rPr>
          <w:b w:val="0"/>
          <w:i w:val="0"/>
        </w:rPr>
        <w:t xml:space="preserve">where </w:t>
      </w:r>
      <m:oMath>
        <m:sSub>
          <m:e>
            <m:r>
              <m:t xml:space="preserve">η</m:t>
            </m:r>
          </m:e>
          <m:sub>
            <m:r>
              <m:t xml:space="preserve">i</m:t>
            </m:r>
          </m:sub>
        </m:sSub>
      </m:oMath>
      <w:r>
        <w:rPr>
          <w:b w:val="0"/>
          <w:i w:val="0"/>
        </w:rPr>
        <w:t xml:space="preserve"> and </w:t>
      </w:r>
      <m:oMath>
        <m:sSub>
          <m:e>
            <m:r>
              <m:t xml:space="preserve">λ</m:t>
            </m:r>
          </m:e>
          <m:sub>
            <m:r>
              <m:t xml:space="preserve">t</m:t>
            </m:r>
          </m:sub>
        </m:sSub>
      </m:oMath>
      <w:r>
        <w:rPr>
          <w:b w:val="0"/>
          <w:i w:val="0"/>
        </w:rPr>
        <w:t xml:space="preserve"> are firm and year effects, </w:t>
      </w:r>
      <m:oMath>
        <m:sSub>
          <m:e>
            <m:r>
              <m:t xml:space="preserve">C</m:t>
            </m:r>
          </m:e>
          <m:sub>
            <m:r>
              <m:t xml:space="preserve">i</m:t>
            </m:r>
            <m:r>
              <m:t xml:space="preserve">t</m:t>
            </m:r>
          </m:sub>
        </m:sSub>
      </m:oMath>
      <w:r>
        <w:rPr>
          <w:b w:val="0"/>
          <w:i w:val="0"/>
        </w:rPr>
        <w:t xml:space="preserve"> is the control vector and standard errors are clustered on the firm </w:t>
      </w:r>
      <w:r>
        <w:t>[</w:t>
      </w:r>
      <w:r>
        <w:fldChar w:fldCharType="begin"/>
      </w:r>
      <w:r>
        <w:instrText xml:space="preserve"> REF _Ref_59 \h </w:instrText>
      </w:r>
      <w:r>
        <w:fldChar w:fldCharType="separate"/>
      </w:r>
      <w:r>
        <w:t>59</w:t>
      </w:r>
      <w:r>
        <w:fldChar w:fldCharType="end"/>
      </w:r>
      <w:r>
        <w:t>]</w:t>
      </w:r>
      <w:r>
        <w:rPr>
          <w:b w:val="0"/>
          <w:i w:val="0"/>
        </w:rPr>
        <w:t xml:space="preserve">. The firm effects absorb everything time-invariant about the firm's technology, sector and location; the year effects absorb the common arrival of the technology, so </w:t>
      </w:r>
      <m:oMath>
        <m:sSub>
          <m:e>
            <m:r>
              <m:t xml:space="preserve">α</m:t>
            </m:r>
          </m:e>
          <m:sub>
            <m:r>
              <m:rPr>
                <m:sty m:val="p"/>
              </m:rPr>
              <m:t xml:space="preserve">1</m:t>
            </m:r>
          </m:sub>
        </m:sSub>
      </m:oMath>
      <w:r>
        <w:rPr>
          <w:b w:val="0"/>
          <w:i w:val="0"/>
        </w:rPr>
        <w:t xml:space="preserve"> is identified from differences across firms in how uncertain the same year was for them. </w:t>
      </w:r>
      <m:oMath>
        <m:sSub>
          <m:e>
            <m:r>
              <m:t xml:space="preserve">α</m:t>
            </m:r>
          </m:e>
          <m:sub>
            <m:r>
              <m:rPr>
                <m:sty m:val="p"/>
              </m:rPr>
              <m:t xml:space="preserve">1</m:t>
            </m:r>
          </m:sub>
        </m:sSub>
        <m:r>
          <m:rPr>
            <m:sty m:val="p"/>
          </m:rPr>
          <m:t xml:space="preserve">&lt;</m:t>
        </m:r>
        <m:r>
          <m:rPr>
            <m:sty m:val="p"/>
          </m:rPr>
          <m:t xml:space="preserve">0</m:t>
        </m:r>
      </m:oMath>
      <w:r>
        <w:rPr>
          <w:b w:val="0"/>
          <w:i w:val="0"/>
        </w:rPr>
        <w:t xml:space="preserve"> is Hypothesis 1, and the presence of </w:t>
      </w:r>
      <m:oMath>
        <m:sSub>
          <m:e>
            <m:r>
              <m:t xml:space="preserve">AIE</m:t>
            </m:r>
          </m:e>
          <m:sub>
            <m:r>
              <m:t xml:space="preserve">i</m:t>
            </m:r>
            <m:r>
              <m:t xml:space="preserve">t</m:t>
            </m:r>
          </m:sub>
        </m:sSub>
      </m:oMath>
      <w:r>
        <w:rPr>
          <w:b w:val="0"/>
          <w:i w:val="0"/>
        </w:rPr>
        <w:t xml:space="preserve"> in the same equation is what makes it a test of dispersion rather than of capability.</w:t>
      </w:r>
    </w:p>
    <w:p>
      <w:pPr>
        <w:pStyle w:val="MDPI31text"/>
      </w:pPr>
      <w:r>
        <w:rPr>
          <w:b w:val="0"/>
          <w:i w:val="0"/>
        </w:rPr>
        <w:t xml:space="preserve">Because the outcome is a count with a non-trivial mass at zero, and because a log transformation of a count is not innocuous, we also estimate the multiplicative model by Poisson pseudo-maximum likelihood with the same two effect dimensions absorbed </w:t>
      </w:r>
      <w:r>
        <w:t>[</w:t>
      </w:r>
      <w:r>
        <w:fldChar w:fldCharType="begin"/>
      </w:r>
      <w:r>
        <w:instrText xml:space="preserve"> REF _Ref_60 \h </w:instrText>
      </w:r>
      <w:r>
        <w:fldChar w:fldCharType="separate"/>
      </w:r>
      <w:r>
        <w:t>60</w:t>
      </w:r>
      <w:r>
        <w:fldChar w:fldCharType="end"/>
      </w:r>
      <w:r>
        <w:t>,</w:t>
      </w:r>
      <w:r>
        <w:fldChar w:fldCharType="begin"/>
      </w:r>
      <w:r>
        <w:instrText xml:space="preserve"> REF _Ref_61 \h </w:instrText>
      </w:r>
      <w:r>
        <w:fldChar w:fldCharType="separate"/>
      </w:r>
      <w:r>
        <w:t>61</w:t>
      </w:r>
      <w:r>
        <w:fldChar w:fldCharType="end"/>
      </w:r>
      <w:r>
        <w:t>]</w:t>
      </w:r>
      <w:r>
        <w:rPr>
          <w:b w:val="0"/>
          <w:i w:val="0"/>
        </w:rPr>
        <w: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E</m:t>
              </m:r>
              <m:d>
                <m:dPr>
                  <m:begChr m:val="["/>
                  <m:endChr m:val="]"/>
                </m:dPr>
                <m:e>
                  <m:sSub>
                    <m:e>
                      <m:r>
                        <m:t xml:space="preserve">EntryPost</m:t>
                      </m:r>
                    </m:e>
                    <m:sub>
                      <m:r>
                        <m:t xml:space="preserve">i</m:t>
                      </m:r>
                      <m:r>
                        <m:t xml:space="preserve">t</m:t>
                      </m:r>
                    </m:sub>
                  </m:sSub>
                </m:e>
              </m:d>
              <m:r>
                <m:rPr>
                  <m:sty m:val="p"/>
                </m:rPr>
                <m:t xml:space="preserve">=</m:t>
              </m:r>
              <m:r>
                <m:rPr>
                  <m:sty m:val="p"/>
                </m:rPr>
                <m:t xml:space="preserve">exp</m:t>
              </m:r>
              <m:d>
                <m:dPr>
                  <m:begChr m:val="("/>
                  <m:endChr m:val=")"/>
                </m:dPr>
                <m:e>
                  <m:sSub>
                    <m:e>
                      <m:r>
                        <m:t xml:space="preserve">δ</m:t>
                      </m:r>
                    </m:e>
                    <m:sub>
                      <m:r>
                        <m:rPr>
                          <m:sty m:val="p"/>
                        </m:rPr>
                        <m:t xml:space="preserve">1</m:t>
                      </m:r>
                    </m:sub>
                  </m:sSub>
                  <m:sSub>
                    <m:e>
                      <m:r>
                        <m:t xml:space="preserve">AIU</m:t>
                      </m:r>
                    </m:e>
                    <m:sub>
                      <m:r>
                        <m:t xml:space="preserve">i</m:t>
                      </m:r>
                      <m:r>
                        <m:t xml:space="preserve">t</m:t>
                      </m:r>
                    </m:sub>
                  </m:sSub>
                  <m:r>
                    <m:rPr>
                      <m:sty m:val="p"/>
                    </m:rPr>
                    <m:t xml:space="preserve">+</m:t>
                  </m:r>
                  <m:sSub>
                    <m:e>
                      <m:r>
                        <m:t xml:space="preserve">δ</m:t>
                      </m:r>
                    </m:e>
                    <m:sub>
                      <m:r>
                        <m:rPr>
                          <m:sty m:val="p"/>
                        </m:rPr>
                        <m:t xml:space="preserve">2</m:t>
                      </m:r>
                    </m:sub>
                  </m:sSub>
                  <m:sSub>
                    <m:e>
                      <m:r>
                        <m:t xml:space="preserve">AIE</m:t>
                      </m:r>
                    </m:e>
                    <m:sub>
                      <m:r>
                        <m:t xml:space="preserve">i</m:t>
                      </m:r>
                      <m:r>
                        <m:t xml:space="preserve">t</m:t>
                      </m:r>
                    </m:sub>
                  </m:sSub>
                  <m:r>
                    <m:rPr>
                      <m:sty m:val="p"/>
                    </m:rPr>
                    <m:t xml:space="preserve">+</m:t>
                  </m:r>
                  <m:sSub>
                    <m:e>
                      <m:r>
                        <m:t xml:space="preserve">δ</m:t>
                      </m:r>
                    </m:e>
                    <m:sub>
                      <m:r>
                        <m:rPr>
                          <m:sty m:val="p"/>
                        </m:rPr>
                        <m:t xml:space="preserve">3</m:t>
                      </m:r>
                    </m:sub>
                  </m:sSub>
                  <m:sSub>
                    <m:e>
                      <m:r>
                        <m:t xml:space="preserve">EPU</m:t>
                      </m:r>
                    </m:e>
                    <m:sub>
                      <m:r>
                        <m:t xml:space="preserve">i</m:t>
                      </m:r>
                      <m:r>
                        <m:t xml:space="preserve">t</m:t>
                      </m:r>
                    </m:sub>
                  </m:sSub>
                  <m:r>
                    <m:rPr>
                      <m:sty m:val="p"/>
                    </m:rPr>
                    <m:t xml:space="preserve">+</m:t>
                  </m:r>
                  <m:r>
                    <m:t xml:space="preserve">γ</m:t>
                  </m:r>
                  <m:r>
                    <m:t xml:space="preserve">'</m:t>
                  </m:r>
                  <m:sSub>
                    <m:e>
                      <m:r>
                        <m:t xml:space="preserve">C</m:t>
                      </m:r>
                    </m:e>
                    <m:sub>
                      <m:r>
                        <m:t xml:space="preserve">i</m:t>
                      </m:r>
                      <m:r>
                        <m:t xml:space="preserve">t</m:t>
                      </m:r>
                    </m:sub>
                  </m:sSub>
                  <m:r>
                    <m:rPr>
                      <m:sty m:val="p"/>
                    </m:rPr>
                    <m:t xml:space="preserve">+</m:t>
                  </m:r>
                  <m:r>
                    <m:t xml:space="preserve">θ</m:t>
                  </m:r>
                  <m:r>
                    <m:rPr>
                      <m:sty m:val="p"/>
                    </m:rPr>
                    <m:t xml:space="preserve">ln</m:t>
                  </m:r>
                  <m:r>
                    <m:t xml:space="preserve"> </m:t>
                  </m:r>
                  <m:sSub>
                    <m:e>
                      <m:r>
                        <m:t xml:space="preserve">L</m:t>
                      </m:r>
                    </m:e>
                    <m:sub>
                      <m:r>
                        <m:t xml:space="preserve">i</m:t>
                      </m:r>
                      <m:r>
                        <m:t xml:space="preserve">,</m:t>
                      </m:r>
                      <m:r>
                        <m:t xml:space="preserve">t</m:t>
                      </m:r>
                      <m:r>
                        <m:rPr>
                          <m:sty m:val="p"/>
                        </m:rPr>
                        <m:t xml:space="preserve">-</m:t>
                      </m:r>
                      <m:r>
                        <m:rPr>
                          <m:sty m:val="p"/>
                        </m:rPr>
                        <m:t xml:space="preserve">1</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e>
              </m:d>
              <m:r>
                <m:t xml:space="preserve">.</m:t>
              </m:r>
            </m:oMath>
          </w:p>
        </w:tc>
        <w:tc>
          <w:tcPr>
            <w:tcW w:type="dxa" w:w="431"/>
            <w:vAlign w:val="center"/>
          </w:tcPr>
          <w:p>
            <w:pPr>
              <w:pStyle w:val="MDPI3aequationnumber"/>
              <w:jc w:val="right"/>
            </w:pPr>
            <w:r>
              <w:t>(9)</w:t>
            </w:r>
          </w:p>
        </w:tc>
      </w:tr>
    </w:tbl>
    <w:p>
      <w:pPr>
        <w:pStyle w:val="MDPI31text"/>
      </w:pPr>
      <w:r>
        <w:rPr>
          <w:b w:val="0"/>
          <w:i w:val="0"/>
        </w:rPr>
        <w:t xml:space="preserve">The estimator is consistent under correct specification of the conditional mean alone, whatever the variance function, provided the standard errors are the clustered sandwich </w:t>
      </w:r>
      <w:r>
        <w:t>[</w:t>
      </w:r>
      <w:r>
        <w:fldChar w:fldCharType="begin"/>
      </w:r>
      <w:r>
        <w:instrText xml:space="preserve"> REF _Ref_60 \h </w:instrText>
      </w:r>
      <w:r>
        <w:fldChar w:fldCharType="separate"/>
      </w:r>
      <w:r>
        <w:t>60</w:t>
      </w:r>
      <w:r>
        <w:fldChar w:fldCharType="end"/>
      </w:r>
      <w:r>
        <w:t>]</w:t>
      </w:r>
      <w:r>
        <w:rPr>
          <w:b w:val="0"/>
          <w:i w:val="0"/>
        </w:rPr>
        <w:t xml:space="preserve">; </w:t>
      </w:r>
      <m:oMath>
        <m:sSub>
          <m:e>
            <m:r>
              <m:t xml:space="preserve">δ</m:t>
            </m:r>
          </m:e>
          <m:sub>
            <m:r>
              <m:rPr>
                <m:sty m:val="p"/>
              </m:rPr>
              <m:t xml:space="preserve">1</m:t>
            </m:r>
          </m:sub>
        </m:sSub>
      </m:oMath>
      <w:r>
        <w:rPr>
          <w:b w:val="0"/>
          <w:i w:val="0"/>
        </w:rPr>
        <w:t xml:space="preserve"> is a semi-elasticity.</w:t>
      </w:r>
    </w:p>
    <w:p>
      <w:pPr>
        <w:pStyle w:val="MDPI31text"/>
      </w:pPr>
      <w:r>
        <w:rPr>
          <w:b w:val="0"/>
          <w:i w:val="0"/>
        </w:rPr>
        <w:t xml:space="preserve">Hypothesis 2 is tested by interacting uncertainty with each of the three moderators </w:t>
      </w:r>
      <m:oMath>
        <m:r>
          <m:t xml:space="preserve">Z</m:t>
        </m:r>
      </m:oMath>
      <w:r>
        <w:rPr>
          <w:b w:val="0"/>
          <w:i w:val="0"/>
        </w:rPr>
        <w:t xml:space="preserve"> in turn — firm-specific training intensity, the employment-protection index and the reversible-employment margin —</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Entry</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AIU</m:t>
                  </m:r>
                </m:e>
                <m:sub>
                  <m:r>
                    <m:t xml:space="preserve">i</m:t>
                  </m:r>
                  <m:r>
                    <m:t xml:space="preserve">t</m:t>
                  </m:r>
                </m:sub>
              </m:sSub>
              <m:r>
                <m:rPr>
                  <m:sty m:val="p"/>
                </m:rPr>
                <m:t xml:space="preserve">+</m:t>
              </m:r>
              <m:sSub>
                <m:e>
                  <m:r>
                    <m:t xml:space="preserve">α</m:t>
                  </m:r>
                </m:e>
                <m:sub>
                  <m:r>
                    <m:rPr>
                      <m:sty m:val="p"/>
                    </m:rPr>
                    <m:t xml:space="preserve">4</m:t>
                  </m:r>
                </m:sub>
              </m:sSub>
              <m:d>
                <m:dPr>
                  <m:begChr m:val="("/>
                  <m:endChr m:val=")"/>
                </m:dPr>
                <m:e>
                  <m:sSub>
                    <m:e>
                      <m:r>
                        <m:t xml:space="preserve">AIU</m:t>
                      </m:r>
                    </m:e>
                    <m:sub>
                      <m:r>
                        <m:t xml:space="preserve">i</m:t>
                      </m:r>
                      <m:r>
                        <m:t xml:space="preserve">t</m:t>
                      </m:r>
                    </m:sub>
                  </m:sSub>
                  <m:r>
                    <m:rPr>
                      <m:sty m:val="p"/>
                    </m:rPr>
                    <m:t xml:space="preserve">×</m:t>
                  </m:r>
                  <m:r>
                    <m:t xml:space="preserve"> </m:t>
                  </m:r>
                  <m:sSub>
                    <m:e>
                      <m:r>
                        <m:t xml:space="preserve">Z</m:t>
                      </m:r>
                    </m:e>
                    <m:sub>
                      <m:r>
                        <m:t xml:space="preserve">i</m:t>
                      </m:r>
                    </m:sub>
                  </m:sSub>
                </m:e>
              </m:d>
              <m:r>
                <m:rPr>
                  <m:sty m:val="p"/>
                </m:rPr>
                <m:t xml:space="preserve">+</m:t>
              </m:r>
              <m:sSub>
                <m:e>
                  <m:r>
                    <m:t xml:space="preserve">α</m:t>
                  </m:r>
                </m:e>
                <m:sub>
                  <m:r>
                    <m:rPr>
                      <m:sty m:val="p"/>
                    </m:rPr>
                    <m:t xml:space="preserve">2</m:t>
                  </m:r>
                </m:sub>
              </m:sSub>
              <m:sSub>
                <m:e>
                  <m:r>
                    <m:t xml:space="preserve">AIE</m:t>
                  </m:r>
                </m:e>
                <m:sub>
                  <m:r>
                    <m:t xml:space="preserve">i</m:t>
                  </m:r>
                  <m:r>
                    <m:t xml:space="preserve">t</m:t>
                  </m:r>
                </m:sub>
              </m:sSub>
              <m:r>
                <m:rPr>
                  <m:sty m:val="p"/>
                </m:rPr>
                <m:t xml:space="preserve">+</m:t>
              </m:r>
              <m:sSub>
                <m:e>
                  <m:r>
                    <m:t xml:space="preserve">α</m:t>
                  </m:r>
                </m:e>
                <m:sub>
                  <m:r>
                    <m:rPr>
                      <m:sty m:val="p"/>
                    </m:rPr>
                    <m:t xml:space="preserve">3</m:t>
                  </m:r>
                </m:sub>
              </m:sSub>
              <m:sSub>
                <m:e>
                  <m:r>
                    <m:t xml:space="preserve">EPU</m:t>
                  </m:r>
                </m:e>
                <m:sub>
                  <m:r>
                    <m:t xml:space="preserve">i</m:t>
                  </m:r>
                  <m:r>
                    <m:t xml:space="preserve">t</m:t>
                  </m:r>
                </m:sub>
              </m:sSub>
              <m:r>
                <m:rPr>
                  <m:sty m:val="p"/>
                </m:rPr>
                <m:t xml:space="preserve">+</m:t>
              </m:r>
              <m:r>
                <m:t xml:space="preserve">γ</m:t>
              </m:r>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r>
                <m:t xml:space="preserve">,</m:t>
              </m:r>
            </m:oMath>
          </w:p>
        </w:tc>
        <w:tc>
          <w:tcPr>
            <w:tcW w:type="dxa" w:w="431"/>
            <w:vAlign w:val="center"/>
          </w:tcPr>
          <w:p>
            <w:pPr>
              <w:pStyle w:val="MDPI3aequationnumber"/>
              <w:jc w:val="right"/>
            </w:pPr>
            <w:r>
              <w:t>(10)</w:t>
            </w:r>
          </w:p>
        </w:tc>
      </w:tr>
    </w:tbl>
    <w:p>
      <w:pPr>
        <w:pStyle w:val="MDPI31text"/>
      </w:pPr>
      <w:r>
        <w:rPr>
          <w:b w:val="0"/>
          <w:i w:val="0"/>
        </w:rPr>
        <w:t xml:space="preserve">so that the marginal effect at a given value of the moderator is </w:t>
      </w:r>
      <m:oMath>
        <m:sSub>
          <m:e>
            <m:r>
              <m:t xml:space="preserve">α</m:t>
            </m:r>
          </m:e>
          <m:sub>
            <m:r>
              <m:rPr>
                <m:sty m:val="p"/>
              </m:rPr>
              <m:t xml:space="preserve">1</m:t>
            </m:r>
          </m:sub>
        </m:sSub>
        <m:r>
          <m:rPr>
            <m:sty m:val="p"/>
          </m:rPr>
          <m:t xml:space="preserve">+</m:t>
        </m:r>
        <m:sSub>
          <m:e>
            <m:r>
              <m:t xml:space="preserve">α</m:t>
            </m:r>
          </m:e>
          <m:sub>
            <m:r>
              <m:rPr>
                <m:sty m:val="p"/>
              </m:rPr>
              <m:t xml:space="preserve">4</m:t>
            </m:r>
          </m:sub>
        </m:sSub>
        <m:r>
          <m:t xml:space="preserve">Z</m:t>
        </m:r>
      </m:oMath>
      <w:r>
        <w:rPr>
          <w:b w:val="0"/>
          <w:i w:val="0"/>
        </w:rPr>
        <w:t xml:space="preserve"> and the hypothesis is a sign restriction on </w:t>
      </w:r>
      <m:oMath>
        <m:sSub>
          <m:e>
            <m:r>
              <m:t xml:space="preserve">α</m:t>
            </m:r>
          </m:e>
          <m:sub>
            <m:r>
              <m:rPr>
                <m:sty m:val="p"/>
              </m:rPr>
              <m:t xml:space="preserve">4</m:t>
            </m:r>
          </m:sub>
        </m:sSub>
      </m:oMath>
      <w:r>
        <w:rPr>
          <w:b w:val="0"/>
          <w:i w:val="0"/>
        </w:rPr>
        <w:t xml:space="preserve">. Hypothesis 3 replaces the dependent variable with </w:t>
      </w:r>
      <m:oMath>
        <m:sSub>
          <m:e>
            <m:r>
              <m:t xml:space="preserve">Cont</m:t>
            </m:r>
          </m:e>
          <m:sub>
            <m:r>
              <m:t xml:space="preserve">i</m:t>
            </m:r>
            <m:r>
              <m:t xml:space="preserve">t</m:t>
            </m:r>
          </m:sub>
        </m:sSub>
      </m:oMath>
      <w:r>
        <w:rPr>
          <w:b w:val="0"/>
          <w:i w:val="0"/>
        </w:rPr>
        <w:t xml:space="preserve"> and Hypothesis 4 with </w:t>
      </w:r>
      <m:oMath>
        <m:sSub>
          <m:e>
            <m:r>
              <m:t xml:space="preserve">Inact</m:t>
            </m:r>
          </m:e>
          <m:sub>
            <m:r>
              <m:t xml:space="preserve">i</m:t>
            </m:r>
            <m:r>
              <m:t xml:space="preserve">t</m:t>
            </m:r>
          </m:sub>
        </m:sSub>
      </m:oMath>
      <w:r>
        <w:rPr>
          <w:b w:val="0"/>
          <w:i w:val="0"/>
        </w:rPr>
        <w:t xml:space="preserve">, estimated as a linear probability model so that the firm effects can be absorbed without the incidental-parameters problem </w:t>
      </w:r>
      <w:r>
        <w:t>[</w:t>
      </w:r>
      <w:r>
        <w:fldChar w:fldCharType="begin"/>
      </w:r>
      <w:r>
        <w:instrText xml:space="preserve"> REF _Ref_62 \h </w:instrText>
      </w:r>
      <w:r>
        <w:fldChar w:fldCharType="separate"/>
      </w:r>
      <w:r>
        <w:t>62</w:t>
      </w:r>
      <w:r>
        <w:fldChar w:fldCharType="end"/>
      </w:r>
      <w:r>
        <w:t>]</w:t>
      </w:r>
      <w:r>
        <w:rPr>
          <w:b w:val="0"/>
          <w:i w:val="0"/>
        </w:rPr>
        <w:t>.</w:t>
      </w:r>
    </w:p>
    <w:p>
      <w:pPr>
        <w:pStyle w:val="MDPI31text"/>
      </w:pPr>
      <w:r>
        <w:rPr>
          <w:b w:val="0"/>
          <w:i w:val="0"/>
        </w:rPr>
        <w:t xml:space="preserve">Hypothesis 5 requires a comparison of the same coefficient across two outcomes measured on the same firms, so the two equations are stacked and every regressor is interacted with an equation indicator </w:t>
      </w:r>
      <m:oMath>
        <m:sSub>
          <m:e>
            <m:r>
              <m:t xml:space="preserve">D</m:t>
            </m:r>
          </m:e>
          <m:sub>
            <m:r>
              <m:t xml:space="preserve">e</m:t>
            </m:r>
          </m:sub>
        </m:sSub>
      </m:oMath>
      <w:r>
        <w:rPr>
          <w:b w:val="0"/>
          <w:i w:val="0"/>
        </w:rPr>
        <w: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m:t>
                  </m:r>
                </m:e>
                <m:sub>
                  <m:r>
                    <m:t xml:space="preserve">i</m:t>
                  </m:r>
                  <m:r>
                    <m:t xml:space="preserve">t</m:t>
                  </m:r>
                  <m:r>
                    <m:t xml:space="preserve">e</m:t>
                  </m:r>
                </m:sub>
              </m:sSub>
              <m:r>
                <m:rPr>
                  <m:sty m:val="p"/>
                </m:rPr>
                <m:t xml:space="preserve">=</m:t>
              </m:r>
              <m:d>
                <m:dPr>
                  <m:begChr m:val="("/>
                  <m:endChr m:val=")"/>
                </m:dPr>
                <m:e>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AIU</m:t>
                      </m:r>
                    </m:e>
                    <m:sub>
                      <m:r>
                        <m:t xml:space="preserve">i</m:t>
                      </m:r>
                      <m:r>
                        <m:t xml:space="preserve">t</m:t>
                      </m:r>
                    </m:sub>
                  </m:sSub>
                  <m:r>
                    <m:rPr>
                      <m:sty m:val="p"/>
                    </m:rPr>
                    <m:t xml:space="preserve">+</m:t>
                  </m:r>
                  <m:r>
                    <m:t xml:space="preserve">γ</m:t>
                  </m:r>
                  <m:r>
                    <m:t xml:space="preserve">'</m:t>
                  </m:r>
                  <m:sSub>
                    <m:e>
                      <m:r>
                        <m:t xml:space="preserve">C</m:t>
                      </m:r>
                    </m:e>
                    <m:sub>
                      <m:r>
                        <m:t xml:space="preserve">i</m:t>
                      </m:r>
                      <m:r>
                        <m:t xml:space="preserve">t</m:t>
                      </m:r>
                    </m:sub>
                  </m:sSub>
                </m:e>
              </m:d>
              <m:r>
                <m:rPr>
                  <m:sty m:val="p"/>
                </m:rPr>
                <m:t xml:space="preserve">+</m:t>
              </m:r>
              <m:sSub>
                <m:e>
                  <m:r>
                    <m:t xml:space="preserve">D</m:t>
                  </m:r>
                </m:e>
                <m:sub>
                  <m:r>
                    <m:t xml:space="preserve">e</m:t>
                  </m:r>
                </m:sub>
              </m:sSub>
              <m:d>
                <m:dPr>
                  <m:begChr m:val="("/>
                  <m:endChr m:val=")"/>
                </m:dPr>
                <m:e>
                  <m:sSubSup>
                    <m:e>
                      <m:r>
                        <m:t xml:space="preserve">α</m:t>
                      </m:r>
                    </m:e>
                    <m:sub>
                      <m:r>
                        <m:rPr>
                          <m:sty m:val="p"/>
                        </m:rPr>
                        <m:t xml:space="preserve">0</m:t>
                      </m:r>
                    </m:sub>
                    <m:sup>
                      <m:r>
                        <m:t xml:space="preserve">d</m:t>
                      </m:r>
                    </m:sup>
                  </m:sSubSup>
                  <m:r>
                    <m:rPr>
                      <m:sty m:val="p"/>
                    </m:rPr>
                    <m:t xml:space="preserve">+</m:t>
                  </m:r>
                  <m:sSubSup>
                    <m:e>
                      <m:r>
                        <m:t xml:space="preserve">α</m:t>
                      </m:r>
                    </m:e>
                    <m:sub>
                      <m:r>
                        <m:rPr>
                          <m:sty m:val="p"/>
                        </m:rPr>
                        <m:t xml:space="preserve">1</m:t>
                      </m:r>
                    </m:sub>
                    <m:sup>
                      <m:r>
                        <m:t xml:space="preserve">d</m:t>
                      </m:r>
                    </m:sup>
                  </m:sSubSup>
                  <m:sSub>
                    <m:e>
                      <m:r>
                        <m:t xml:space="preserve">AIU</m:t>
                      </m:r>
                    </m:e>
                    <m:sub>
                      <m:r>
                        <m:t xml:space="preserve">i</m:t>
                      </m:r>
                      <m:r>
                        <m:t xml:space="preserve">t</m:t>
                      </m:r>
                    </m:sub>
                  </m:sSub>
                  <m:r>
                    <m:rPr>
                      <m:sty m:val="p"/>
                    </m:rPr>
                    <m:t xml:space="preserve">+</m:t>
                  </m:r>
                  <m:sSup>
                    <m:e>
                      <m:r>
                        <m:t xml:space="preserve">γ</m:t>
                      </m:r>
                    </m:e>
                    <m:sup>
                      <m:r>
                        <m:t xml:space="preserve">d</m:t>
                      </m:r>
                      <m:r>
                        <m:rPr>
                          <m:sty m:val="p"/>
                        </m:rPr>
                        <m:t xml:space="preserve">′</m:t>
                      </m:r>
                    </m:sup>
                  </m:sSup>
                  <m:sSub>
                    <m:e>
                      <m:r>
                        <m:t xml:space="preserve">C</m:t>
                      </m:r>
                    </m:e>
                    <m:sub>
                      <m:r>
                        <m:t xml:space="preserve">i</m:t>
                      </m:r>
                      <m:r>
                        <m:t xml:space="preserve">t</m:t>
                      </m:r>
                    </m:sub>
                  </m:sSub>
                </m:e>
              </m:d>
              <m:r>
                <m:rPr>
                  <m:sty m:val="p"/>
                </m:rPr>
                <m:t xml:space="preserve">+</m:t>
              </m:r>
              <m:sSub>
                <m:e>
                  <m:r>
                    <m:t xml:space="preserve">η</m:t>
                  </m:r>
                </m:e>
                <m:sub>
                  <m:r>
                    <m:t xml:space="preserve">i</m:t>
                  </m:r>
                  <m:r>
                    <m:t xml:space="preserve">e</m:t>
                  </m:r>
                </m:sub>
              </m:sSub>
              <m:r>
                <m:rPr>
                  <m:sty m:val="p"/>
                </m:rPr>
                <m:t xml:space="preserve">+</m:t>
              </m:r>
              <m:sSub>
                <m:e>
                  <m:r>
                    <m:t xml:space="preserve">λ</m:t>
                  </m:r>
                </m:e>
                <m:sub>
                  <m:r>
                    <m:t xml:space="preserve">t</m:t>
                  </m:r>
                  <m:r>
                    <m:t xml:space="preserve">e</m:t>
                  </m:r>
                </m:sub>
              </m:sSub>
              <m:r>
                <m:rPr>
                  <m:sty m:val="p"/>
                </m:rPr>
                <m:t xml:space="preserve">+</m:t>
              </m:r>
              <m:sSub>
                <m:e>
                  <m:r>
                    <m:t xml:space="preserve">ε</m:t>
                  </m:r>
                </m:e>
                <m:sub>
                  <m:r>
                    <m:t xml:space="preserve">i</m:t>
                  </m:r>
                  <m:r>
                    <m:t xml:space="preserve">t</m:t>
                  </m:r>
                  <m:r>
                    <m:t xml:space="preserve">e</m:t>
                  </m:r>
                </m:sub>
              </m:sSub>
              <m:r>
                <m:t xml:space="preserve">,</m:t>
              </m:r>
            </m:oMath>
          </w:p>
        </w:tc>
        <w:tc>
          <w:tcPr>
            <w:tcW w:type="dxa" w:w="431"/>
            <w:vAlign w:val="center"/>
          </w:tcPr>
          <w:p>
            <w:pPr>
              <w:pStyle w:val="MDPI3aequationnumber"/>
              <w:jc w:val="right"/>
            </w:pPr>
            <w:r>
              <w:t>(11)</w:t>
            </w:r>
          </w:p>
        </w:tc>
      </w:tr>
    </w:tbl>
    <w:p>
      <w:pPr>
        <w:pStyle w:val="MDPI31text"/>
      </w:pPr>
      <w:r>
        <w:rPr>
          <w:b w:val="0"/>
          <w:i w:val="0"/>
        </w:rPr>
        <w:t xml:space="preserve">with the covariance clustered on the firm across both equations, so that the test of </w:t>
      </w:r>
      <m:oMath>
        <m:sSubSup>
          <m:e>
            <m:r>
              <m:t xml:space="preserve">α</m:t>
            </m:r>
          </m:e>
          <m:sub>
            <m:r>
              <m:rPr>
                <m:sty m:val="p"/>
              </m:rPr>
              <m:t xml:space="preserve">1</m:t>
            </m:r>
          </m:sub>
          <m:sup>
            <m:r>
              <m:t xml:space="preserve">d</m:t>
            </m:r>
          </m:sup>
        </m:sSubSup>
        <m:r>
          <m:rPr>
            <m:sty m:val="p"/>
          </m:rPr>
          <m:t xml:space="preserve">=</m:t>
        </m:r>
        <m:r>
          <m:rPr>
            <m:sty m:val="p"/>
          </m:rPr>
          <m:t xml:space="preserve">0</m:t>
        </m:r>
      </m:oMath>
      <w:r>
        <w:rPr>
          <w:b w:val="0"/>
          <w:i w:val="0"/>
        </w:rPr>
        <w:t xml:space="preserve"> is valid in the presence of arbitrary correlation between a firm's entry-level and experienced vacancy errors.</w:t>
      </w:r>
    </w:p>
    <w:p>
      <w:pPr>
        <w:pStyle w:val="MDPI31text"/>
      </w:pPr>
      <w:r>
        <w:rPr>
          <w:b w:val="0"/>
          <w:i w:val="0"/>
        </w:rPr>
        <w:t xml:space="preserve">Identification of </w:t>
      </w:r>
      <m:oMath>
        <m:sSub>
          <m:e>
            <m:r>
              <m:t xml:space="preserve">α</m:t>
            </m:r>
          </m:e>
          <m:sub>
            <m:r>
              <m:rPr>
                <m:sty m:val="p"/>
              </m:rPr>
              <m:t xml:space="preserve">1</m:t>
            </m:r>
          </m:sub>
        </m:sSub>
      </m:oMath>
      <w:r>
        <w:rPr>
          <w:b w:val="0"/>
          <w:i w:val="0"/>
        </w:rPr>
        <w:t xml:space="preserve"> is threatened by a firm-year shock that moves both the willingness to hire juniors and the amount managers write about the technology. We therefore instrument </w:t>
      </w:r>
      <m:oMath>
        <m:sSub>
          <m:e>
            <m:r>
              <m:t xml:space="preserve">AIU</m:t>
            </m:r>
          </m:e>
          <m:sub>
            <m:r>
              <m:t xml:space="preserve">i</m:t>
            </m:r>
            <m:r>
              <m:t xml:space="preserve">t</m:t>
            </m:r>
          </m:sub>
        </m:sSub>
      </m:oMath>
      <w:r>
        <w:rPr>
          <w:b w:val="0"/>
          <w:i w:val="0"/>
        </w:rPr>
        <w:t xml:space="preserve"> with three variables. </w:t>
      </w:r>
      <m:oMath>
        <m:sSubSup>
          <m:e>
            <m:r>
              <m:t xml:space="preserve">IV</m:t>
            </m:r>
          </m:e>
          <m:sub>
            <m:r>
              <m:t xml:space="preserve">i</m:t>
            </m:r>
            <m:r>
              <m:t xml:space="preserve">t</m:t>
            </m:r>
          </m:sub>
          <m:sup>
            <m:r>
              <m:t xml:space="preserve">S</m:t>
            </m:r>
            <m:r>
              <m:t xml:space="preserve">h</m:t>
            </m:r>
            <m:r>
              <m:t xml:space="preserve">i</m:t>
            </m:r>
            <m:r>
              <m:t xml:space="preserve">f</m:t>
            </m:r>
            <m:r>
              <m:t xml:space="preserve">t</m:t>
            </m:r>
          </m:sup>
        </m:sSubSup>
      </m:oMath>
      <w:r>
        <w:rPr>
          <w:b w:val="0"/>
          <w:i w:val="0"/>
        </w:rPr>
        <w:t xml:space="preserve"> is a shift-share term, the firm's pre-sample occupational exposure to language models </w:t>
      </w:r>
      <w:r>
        <w:t>[</w:t>
      </w:r>
      <w:r>
        <w:fldChar w:fldCharType="begin"/>
      </w:r>
      <w:r>
        <w:instrText xml:space="preserve"> REF _Ref_46 \h </w:instrText>
      </w:r>
      <w:r>
        <w:fldChar w:fldCharType="separate"/>
      </w:r>
      <w:r>
        <w:t>46</w:t>
      </w:r>
      <w:r>
        <w:fldChar w:fldCharType="end"/>
      </w:r>
      <w:r>
        <w:t>,</w:t>
      </w:r>
      <w:r>
        <w:fldChar w:fldCharType="begin"/>
      </w:r>
      <w:r>
        <w:instrText xml:space="preserve"> REF _Ref_47 \h </w:instrText>
      </w:r>
      <w:r>
        <w:fldChar w:fldCharType="separate"/>
      </w:r>
      <w:r>
        <w:t>47</w:t>
      </w:r>
      <w:r>
        <w:fldChar w:fldCharType="end"/>
      </w:r>
      <w:r>
        <w:t>]</w:t>
      </w:r>
      <w:r>
        <w:rPr>
          <w:b w:val="0"/>
          <w:i w:val="0"/>
        </w:rPr>
        <w:t xml:space="preserve"> interacted with the national generative-AI uncertainty index; </w:t>
      </w:r>
      <m:oMath>
        <m:sSubSup>
          <m:e>
            <m:r>
              <m:t xml:space="preserve">IV</m:t>
            </m:r>
          </m:e>
          <m:sub>
            <m:r>
              <m:t xml:space="preserve">i</m:t>
            </m:r>
            <m:r>
              <m:t xml:space="preserve">t</m:t>
            </m:r>
          </m:sub>
          <m:sup>
            <m:r>
              <m:t xml:space="preserve">F</m:t>
            </m:r>
            <m:r>
              <m:t xml:space="preserve">r</m:t>
            </m:r>
            <m:r>
              <m:t xml:space="preserve">o</m:t>
            </m:r>
            <m:r>
              <m:t xml:space="preserve">n</m:t>
            </m:r>
            <m:r>
              <m:t xml:space="preserve">t</m:t>
            </m:r>
          </m:sup>
        </m:sSubSup>
      </m:oMath>
      <w:r>
        <w:rPr>
          <w:b w:val="0"/>
          <w:i w:val="0"/>
        </w:rPr>
        <w:t xml:space="preserve"> replaces the national index with the number of frontier model releases in the year; </w:t>
      </w:r>
      <m:oMath>
        <m:sSubSup>
          <m:e>
            <m:r>
              <m:t xml:space="preserve">IV</m:t>
            </m:r>
          </m:e>
          <m:sub>
            <m:r>
              <m:t xml:space="preserve">i</m:t>
            </m:r>
            <m:r>
              <m:t xml:space="preserve">t</m:t>
            </m:r>
          </m:sub>
          <m:sup>
            <m:r>
              <m:t xml:space="preserve">P</m:t>
            </m:r>
            <m:r>
              <m:t xml:space="preserve">e</m:t>
            </m:r>
            <m:r>
              <m:t xml:space="preserve">e</m:t>
            </m:r>
            <m:r>
              <m:t xml:space="preserve">r</m:t>
            </m:r>
          </m:sup>
        </m:sSubSup>
      </m:oMath>
      <w:r>
        <w:rPr>
          <w:b w:val="0"/>
          <w:i w:val="0"/>
        </w:rPr>
        <w:t xml:space="preserve"> is the leave-one-out mean of </w:t>
      </w:r>
      <m:oMath>
        <m:r>
          <m:t xml:space="preserve">AIU</m:t>
        </m:r>
      </m:oMath>
      <w:r>
        <w:rPr>
          <w:b w:val="0"/>
          <w:i w:val="0"/>
        </w:rPr>
        <w:t xml:space="preserve"> among other listed firms headquartered in the same province, which captures local diffusion of the discourse and not the firm's own prospects. The exclusion restriction is the standard shift-share one, that pre-sample exposure shares are as good as randomly assigned conditional on the fixed effects and controls </w:t>
      </w:r>
      <w:r>
        <w:t>[</w:t>
      </w:r>
      <w:r>
        <w:fldChar w:fldCharType="begin"/>
      </w:r>
      <w:r>
        <w:instrText xml:space="preserve"> REF _Ref_63 \h </w:instrText>
      </w:r>
      <w:r>
        <w:fldChar w:fldCharType="separate"/>
      </w:r>
      <w:r>
        <w:t>63</w:t>
      </w:r>
      <w:r>
        <w:fldChar w:fldCharType="end"/>
      </w:r>
      <w:r>
        <w:t>,</w:t>
      </w:r>
      <w:r>
        <w:fldChar w:fldCharType="begin"/>
      </w:r>
      <w:r>
        <w:instrText xml:space="preserve"> REF _Ref_64 \h </w:instrText>
      </w:r>
      <w:r>
        <w:fldChar w:fldCharType="separate"/>
      </w:r>
      <w:r>
        <w:t>64</w:t>
      </w:r>
      <w:r>
        <w:fldChar w:fldCharType="end"/>
      </w:r>
      <w:r>
        <w:t>]</w:t>
      </w:r>
      <w:r>
        <w:rPr>
          <w:b w:val="0"/>
          <w:i w:val="0"/>
        </w:rPr>
        <w:t>. The system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AIU</m:t>
                  </m:r>
                </m:e>
                <m:sub>
                  <m:r>
                    <m:t xml:space="preserve">i</m:t>
                  </m:r>
                  <m:r>
                    <m:t xml:space="preserve">t</m:t>
                  </m:r>
                </m:sub>
              </m:sSub>
              <m:r>
                <m:rPr>
                  <m:sty m:val="p"/>
                </m:rPr>
                <m:t xml:space="preserve">=</m:t>
              </m:r>
              <m:sSub>
                <m:e>
                  <m:r>
                    <m:t xml:space="preserve">π</m:t>
                  </m:r>
                </m:e>
                <m:sub>
                  <m:r>
                    <m:rPr>
                      <m:sty m:val="p"/>
                    </m:rPr>
                    <m:t xml:space="preserve">0</m:t>
                  </m:r>
                </m:sub>
              </m:sSub>
              <m:r>
                <m:rPr>
                  <m:sty m:val="p"/>
                </m:rPr>
                <m:t xml:space="preserve">+</m:t>
              </m:r>
              <m:r>
                <m:t xml:space="preserve">π</m:t>
              </m:r>
              <m:r>
                <m:t xml:space="preserve">'</m:t>
              </m:r>
              <m:sSub>
                <m:e>
                  <m:r>
                    <m:t xml:space="preserve">IV</m:t>
                  </m:r>
                </m:e>
                <m:sub>
                  <m:r>
                    <m:t xml:space="preserve">i</m:t>
                  </m:r>
                  <m:r>
                    <m:t xml:space="preserve">t</m:t>
                  </m:r>
                </m:sub>
              </m:sSub>
              <m:r>
                <m:rPr>
                  <m:sty m:val="p"/>
                </m:rPr>
                <m:t xml:space="preserve">+</m:t>
              </m:r>
              <m:sSub>
                <m:e>
                  <m:r>
                    <m:t xml:space="preserve">π</m:t>
                  </m:r>
                </m:e>
                <m:sub>
                  <m:r>
                    <m:rPr>
                      <m:sty m:val="p"/>
                    </m:rPr>
                    <m:t xml:space="preserve">2</m:t>
                  </m:r>
                </m:sub>
              </m:sSub>
              <m:sSub>
                <m:e>
                  <m:r>
                    <m:t xml:space="preserve">AIE</m:t>
                  </m:r>
                </m:e>
                <m:sub>
                  <m:r>
                    <m:t xml:space="preserve">i</m:t>
                  </m:r>
                  <m:r>
                    <m:t xml:space="preserve">t</m:t>
                  </m:r>
                </m:sub>
              </m:sSub>
              <m:r>
                <m:rPr>
                  <m:sty m:val="p"/>
                </m:rPr>
                <m:t xml:space="preserve">+</m:t>
              </m:r>
              <m:sSub>
                <m:e>
                  <m:r>
                    <m:t xml:space="preserve">π</m:t>
                  </m:r>
                </m:e>
                <m:sub>
                  <m:r>
                    <m:rPr>
                      <m:sty m:val="p"/>
                    </m:rPr>
                    <m:t xml:space="preserve">3</m:t>
                  </m:r>
                </m:sub>
              </m:sSub>
              <m:sSub>
                <m:e>
                  <m:r>
                    <m:t xml:space="preserve">EPU</m:t>
                  </m:r>
                </m:e>
                <m:sub>
                  <m:r>
                    <m:t xml:space="preserve">i</m:t>
                  </m:r>
                  <m:r>
                    <m:t xml:space="preserve">t</m:t>
                  </m:r>
                </m:sub>
              </m:sSub>
              <m:r>
                <m:rPr>
                  <m:sty m:val="p"/>
                </m:rPr>
                <m:t xml:space="preserve">+</m:t>
              </m:r>
              <m:sSub>
                <m:e>
                  <m:r>
                    <m:t xml:space="preserve">π</m:t>
                  </m:r>
                </m:e>
                <m:sub>
                  <m:r>
                    <m:rPr>
                      <m:sty m:val="p"/>
                    </m:rPr>
                    <m:t xml:space="preserve">4</m:t>
                  </m:r>
                </m:sub>
              </m:sSub>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u</m:t>
                  </m:r>
                </m:e>
                <m:sub>
                  <m:r>
                    <m:t xml:space="preserve">i</m:t>
                  </m:r>
                  <m:r>
                    <m:t xml:space="preserve">t</m:t>
                  </m:r>
                </m:sub>
              </m:sSub>
              <m:r>
                <m:t xml:space="preserve">,</m:t>
              </m:r>
            </m:oMath>
          </w:p>
        </w:tc>
        <w:tc>
          <w:tcPr>
            <w:tcW w:type="dxa" w:w="431"/>
            <w:vAlign w:val="center"/>
          </w:tcPr>
          <w:p>
            <w:pPr>
              <w:pStyle w:val="MDPI3aequationnumber"/>
              <w:jc w:val="right"/>
            </w:pPr>
            <w:r>
              <w:t>(12)</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Entry</m:t>
                  </m:r>
                </m:e>
                <m:sub>
                  <m:r>
                    <m:t xml:space="preserve">i</m:t>
                  </m:r>
                  <m:r>
                    <m:t xml:space="preserve">t</m:t>
                  </m:r>
                </m:sub>
              </m:sSub>
              <m:r>
                <m:rPr>
                  <m:sty m:val="p"/>
                </m:rPr>
                <m:t xml:space="preserve">=</m:t>
              </m:r>
              <m:sSub>
                <m:e>
                  <m:r>
                    <m:t xml:space="preserve">θ</m:t>
                  </m:r>
                </m:e>
                <m:sub>
                  <m:r>
                    <m:rPr>
                      <m:sty m:val="p"/>
                    </m:rPr>
                    <m:t xml:space="preserve">0</m:t>
                  </m:r>
                </m:sub>
              </m:sSub>
              <m:r>
                <m:rPr>
                  <m:sty m:val="p"/>
                </m:rPr>
                <m:t xml:space="preserve">+</m:t>
              </m:r>
              <m:sSub>
                <m:e>
                  <m:r>
                    <m:t xml:space="preserve">θ</m:t>
                  </m:r>
                </m:e>
                <m:sub>
                  <m:r>
                    <m:rPr>
                      <m:sty m:val="p"/>
                    </m:rPr>
                    <m:t xml:space="preserve">1</m:t>
                  </m:r>
                </m:sub>
              </m:sSub>
              <m:sSub>
                <m:e>
                  <m:acc>
                    <m:accPr>
                      <m:chr m:val="^"/>
                    </m:accPr>
                    <m:e>
                      <m:r>
                        <m:t xml:space="preserve">AIU</m:t>
                      </m:r>
                    </m:e>
                  </m:acc>
                </m:e>
                <m:sub>
                  <m:r>
                    <m:t xml:space="preserve">i</m:t>
                  </m:r>
                  <m:r>
                    <m:t xml:space="preserve">t</m:t>
                  </m:r>
                </m:sub>
              </m:sSub>
              <m:r>
                <m:rPr>
                  <m:sty m:val="p"/>
                </m:rPr>
                <m:t xml:space="preserve">+</m:t>
              </m:r>
              <m:sSub>
                <m:e>
                  <m:r>
                    <m:t xml:space="preserve">θ</m:t>
                  </m:r>
                </m:e>
                <m:sub>
                  <m:r>
                    <m:rPr>
                      <m:sty m:val="p"/>
                    </m:rPr>
                    <m:t xml:space="preserve">2</m:t>
                  </m:r>
                </m:sub>
              </m:sSub>
              <m:sSub>
                <m:e>
                  <m:r>
                    <m:t xml:space="preserve">AIE</m:t>
                  </m:r>
                </m:e>
                <m:sub>
                  <m:r>
                    <m:t xml:space="preserve">i</m:t>
                  </m:r>
                  <m:r>
                    <m:t xml:space="preserve">t</m:t>
                  </m:r>
                </m:sub>
              </m:sSub>
              <m:r>
                <m:rPr>
                  <m:sty m:val="p"/>
                </m:rPr>
                <m:t xml:space="preserve">+</m:t>
              </m:r>
              <m:sSub>
                <m:e>
                  <m:r>
                    <m:t xml:space="preserve">θ</m:t>
                  </m:r>
                </m:e>
                <m:sub>
                  <m:r>
                    <m:rPr>
                      <m:sty m:val="p"/>
                    </m:rPr>
                    <m:t xml:space="preserve">3</m:t>
                  </m:r>
                </m:sub>
              </m:sSub>
              <m:sSub>
                <m:e>
                  <m:r>
                    <m:t xml:space="preserve">EPU</m:t>
                  </m:r>
                </m:e>
                <m:sub>
                  <m:r>
                    <m:t xml:space="preserve">i</m:t>
                  </m:r>
                  <m:r>
                    <m:t xml:space="preserve">t</m:t>
                  </m:r>
                </m:sub>
              </m:sSub>
              <m:r>
                <m:rPr>
                  <m:sty m:val="p"/>
                </m:rPr>
                <m:t xml:space="preserve">+</m:t>
              </m:r>
              <m:sSub>
                <m:e>
                  <m:r>
                    <m:t xml:space="preserve">θ</m:t>
                  </m:r>
                </m:e>
                <m:sub>
                  <m:r>
                    <m:rPr>
                      <m:sty m:val="p"/>
                    </m:rPr>
                    <m:t xml:space="preserve">4</m:t>
                  </m:r>
                </m:sub>
              </m:sSub>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ν</m:t>
                  </m:r>
                </m:e>
                <m:sub>
                  <m:r>
                    <m:t xml:space="preserve">i</m:t>
                  </m:r>
                  <m:r>
                    <m:t xml:space="preserve">t</m:t>
                  </m:r>
                </m:sub>
              </m:sSub>
              <m:r>
                <m:t xml:space="preserve">,</m:t>
              </m:r>
            </m:oMath>
          </w:p>
        </w:tc>
        <w:tc>
          <w:tcPr>
            <w:tcW w:type="dxa" w:w="431"/>
            <w:vAlign w:val="center"/>
          </w:tcPr>
          <w:p>
            <w:pPr>
              <w:pStyle w:val="MDPI3aequationnumber"/>
              <w:jc w:val="right"/>
            </w:pPr>
            <w:r>
              <w:t>(13)</w:t>
            </w:r>
          </w:p>
        </w:tc>
      </w:tr>
    </w:tbl>
    <w:p>
      <w:pPr>
        <w:pStyle w:val="MDPI31text"/>
      </w:pPr>
      <w:r>
        <w:rPr>
          <w:b w:val="0"/>
          <w:i w:val="0"/>
        </w:rPr>
        <w:t xml:space="preserve">reported with the Kleibergen–Paap rank Wald statistic for instrument strength </w:t>
      </w:r>
      <w:r>
        <w:t>[</w:t>
      </w:r>
      <w:r>
        <w:fldChar w:fldCharType="begin"/>
      </w:r>
      <w:r>
        <w:instrText xml:space="preserve"> REF _Ref_65 \h </w:instrText>
      </w:r>
      <w:r>
        <w:fldChar w:fldCharType="separate"/>
      </w:r>
      <w:r>
        <w:t>65</w:t>
      </w:r>
      <w:r>
        <w:fldChar w:fldCharType="end"/>
      </w:r>
      <w:r>
        <w:t>,</w:t>
      </w:r>
      <w:r>
        <w:fldChar w:fldCharType="begin"/>
      </w:r>
      <w:r>
        <w:instrText xml:space="preserve"> REF _Ref_66 \h </w:instrText>
      </w:r>
      <w:r>
        <w:fldChar w:fldCharType="separate"/>
      </w:r>
      <w:r>
        <w:t>66</w:t>
      </w:r>
      <w:r>
        <w:fldChar w:fldCharType="end"/>
      </w:r>
      <w:r>
        <w:t>]</w:t>
      </w:r>
      <w:r>
        <w:rPr>
          <w:b w:val="0"/>
          <w:i w:val="0"/>
        </w:rPr>
        <w:t xml:space="preserve">, the Hansen test of the overidentifying restrictions and the Wu–Hausman test of exogeneity, and with the two-step generalised method of moments estimator as a check </w:t>
      </w:r>
      <w:r>
        <w:t>[</w:t>
      </w:r>
      <w:r>
        <w:fldChar w:fldCharType="begin"/>
      </w:r>
      <w:r>
        <w:instrText xml:space="preserve"> REF _Ref_67 \h </w:instrText>
      </w:r>
      <w:r>
        <w:fldChar w:fldCharType="separate"/>
      </w:r>
      <w:r>
        <w:t>67</w:t>
      </w:r>
      <w:r>
        <w:fldChar w:fldCharType="end"/>
      </w:r>
      <w:r>
        <w:t>]</w:t>
      </w:r>
      <w:r>
        <w:rPr>
          <w:b w:val="0"/>
          <w:i w:val="0"/>
        </w:rPr>
        <w:t>.</w:t>
      </w:r>
    </w:p>
    <w:p>
      <w:pPr>
        <w:pStyle w:val="MDPI31text"/>
      </w:pPr>
      <w:r>
        <w:rPr>
          <w:b w:val="0"/>
          <w:i w:val="0"/>
        </w:rPr>
        <w:t>Finally, because the arrival of the technology is itself an event, we estimate a dynamic difference-in-differences specification in which firms in the top tertile of pre-sample occupational exposure are the treated group and 2021 is the reference year:</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Entry</m:t>
                  </m:r>
                </m:e>
                <m:sub>
                  <m:r>
                    <m:t xml:space="preserve">i</m:t>
                  </m:r>
                  <m:r>
                    <m:t xml:space="preserve">t</m:t>
                  </m:r>
                </m:sub>
              </m:sSub>
              <m:r>
                <m:rPr>
                  <m:sty m:val="p"/>
                </m:rPr>
                <m:t xml:space="preserve">=</m:t>
              </m:r>
              <m:nary>
                <m:naryPr>
                  <m:chr m:val="∑"/>
                  <m:limLoc m:val="subSup"/>
                  <m:supHide m:val="1"/>
                </m:naryPr>
                <m:sub>
                  <m:r>
                    <m:t xml:space="preserve">s</m:t>
                  </m:r>
                  <m:r>
                    <m:rPr>
                      <m:sty m:val="p"/>
                    </m:rPr>
                    <m:t xml:space="preserve">≠</m:t>
                  </m:r>
                  <m:r>
                    <m:t xml:space="preserve">2</m:t>
                  </m:r>
                  <m:r>
                    <m:t xml:space="preserve">0</m:t>
                  </m:r>
                  <m:r>
                    <m:t xml:space="preserve">2</m:t>
                  </m:r>
                  <m:r>
                    <m:t xml:space="preserve">1</m:t>
                  </m:r>
                </m:sub>
                <m:sup/>
                <m:e>
                  <m:sSub>
                    <m:e>
                      <m:r>
                        <m:t xml:space="preserve">ρ</m:t>
                      </m:r>
                    </m:e>
                    <m:sub>
                      <m:r>
                        <m:t xml:space="preserve">s</m:t>
                      </m:r>
                    </m:sub>
                  </m:sSub>
                  <m:d>
                    <m:dPr>
                      <m:begChr m:val="("/>
                      <m:endChr m:val=")"/>
                    </m:dPr>
                    <m:e>
                      <m:sSub>
                        <m:e>
                          <m:r>
                            <m:t xml:space="preserve">Treat</m:t>
                          </m:r>
                        </m:e>
                        <m:sub>
                          <m:r>
                            <m:t xml:space="preserve">i</m:t>
                          </m:r>
                        </m:sub>
                      </m:sSub>
                      <m:r>
                        <m:rPr>
                          <m:sty m:val="p"/>
                        </m:rPr>
                        <m:t xml:space="preserve">×</m:t>
                      </m:r>
                      <m:r>
                        <m:t xml:space="preserve"> </m:t>
                      </m:r>
                      <m:r>
                        <m:rPr>
                          <m:sty m:val="p"/>
                        </m:rPr>
                        <m:t xml:space="preserve">1</m:t>
                      </m:r>
                      <m:d>
                        <m:dPr>
                          <m:begChr m:val="("/>
                          <m:endChr m:val=")"/>
                        </m:dPr>
                        <m:e>
                          <m:r>
                            <m:t xml:space="preserve">t</m:t>
                          </m:r>
                          <m:r>
                            <m:rPr>
                              <m:sty m:val="p"/>
                            </m:rPr>
                            <m:t xml:space="preserve">=</m:t>
                          </m:r>
                          <m:r>
                            <m:t xml:space="preserve">s</m:t>
                          </m:r>
                        </m:e>
                      </m:d>
                    </m:e>
                  </m:d>
                  <m:r>
                    <m:rPr>
                      <m:sty m:val="p"/>
                    </m:rPr>
                    <m:t xml:space="preserve">+</m:t>
                  </m:r>
                  <m:r>
                    <m:t xml:space="preserve">γ</m:t>
                  </m:r>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r>
                    <m:t xml:space="preserve">.</m:t>
                  </m:r>
                </m:e>
              </m:nary>
            </m:oMath>
          </w:p>
        </w:tc>
        <w:tc>
          <w:tcPr>
            <w:tcW w:type="dxa" w:w="431"/>
            <w:vAlign w:val="center"/>
          </w:tcPr>
          <w:p>
            <w:pPr>
              <w:pStyle w:val="MDPI3aequationnumber"/>
              <w:jc w:val="right"/>
            </w:pPr>
            <w:r>
              <w:t>(14)</w:t>
            </w:r>
          </w:p>
        </w:tc>
      </w:tr>
    </w:tbl>
    <w:p>
      <w:pPr>
        <w:pStyle w:val="MDPI31text"/>
      </w:pPr>
      <w:r>
        <w:rPr>
          <w:b w:val="0"/>
          <w:i w:val="0"/>
        </w:rPr>
        <w:t xml:space="preserve">The leads </w:t>
      </w:r>
      <m:oMath>
        <m:sSub>
          <m:e>
            <m:r>
              <m:t xml:space="preserve">ρ</m:t>
            </m:r>
          </m:e>
          <m:sub>
            <m:r>
              <m:t xml:space="preserve">s</m:t>
            </m:r>
          </m:sub>
        </m:sSub>
      </m:oMath>
      <w:r>
        <w:rPr>
          <w:b w:val="0"/>
          <w:i w:val="0"/>
        </w:rPr>
        <w:t xml:space="preserve"> for </w:t>
      </w:r>
      <m:oMath>
        <m:r>
          <m:t xml:space="preserve">s</m:t>
        </m:r>
        <m:r>
          <m:rPr>
            <m:sty m:val="p"/>
          </m:rPr>
          <m:t xml:space="preserve">&lt;</m:t>
        </m:r>
        <m:r>
          <m:rPr>
            <m:sty m:val="p"/>
          </m:rPr>
          <m:t xml:space="preserve">2021</m:t>
        </m:r>
      </m:oMath>
      <w:r>
        <w:rPr>
          <w:b w:val="0"/>
          <w:i w:val="0"/>
        </w:rPr>
        <w:t xml:space="preserve"> are the test of differential pre-trends; the lags for </w:t>
      </w:r>
      <m:oMath>
        <m:r>
          <m:t xml:space="preserve">s</m:t>
        </m:r>
        <m:r>
          <m:rPr>
            <m:sty m:val="p"/>
          </m:rPr>
          <m:t xml:space="preserve">≥</m:t>
        </m:r>
        <m:r>
          <m:rPr>
            <m:sty m:val="p"/>
          </m:rPr>
          <m:t xml:space="preserve">2023</m:t>
        </m:r>
      </m:oMath>
      <w:r>
        <w:rPr>
          <w:b w:val="0"/>
          <w:i w:val="0"/>
        </w:rPr>
        <w:t xml:space="preserve"> are the effect of the shock. Because treatment timing is common to all treated firms, the design is not exposed to the negative-weighting problems of staggered adoption </w:t>
      </w:r>
      <w:r>
        <w:t>[</w:t>
      </w:r>
      <w:r>
        <w:fldChar w:fldCharType="begin"/>
      </w:r>
      <w:r>
        <w:instrText xml:space="preserve"> REF _Ref_68 \h </w:instrText>
      </w:r>
      <w:r>
        <w:fldChar w:fldCharType="separate"/>
      </w:r>
      <w:r>
        <w:t>68</w:t>
      </w:r>
      <w:r>
        <w:fldChar w:fldCharType="end"/>
      </w:r>
      <w:r>
        <w:t>–</w:t>
      </w:r>
      <w:r>
        <w:fldChar w:fldCharType="begin"/>
      </w:r>
      <w:r>
        <w:instrText xml:space="preserve"> REF _Ref_71 \h </w:instrText>
      </w:r>
      <w:r>
        <w:fldChar w:fldCharType="separate"/>
      </w:r>
      <w:r>
        <w:t>71</w:t>
      </w:r>
      <w:r>
        <w:fldChar w:fldCharType="end"/>
      </w:r>
      <w:r>
        <w:t>]</w:t>
      </w:r>
      <w:r>
        <w:rPr>
          <w:b w:val="0"/>
          <w:i w:val="0"/>
        </w:rPr>
        <w:t>.</w:t>
      </w:r>
    </w:p>
    <w:p>
      <w:pPr>
        <w:pStyle w:val="MDPI21heading1"/>
      </w:pPr>
      <w:r>
        <w:t>4. Empirical Results</w:t>
      </w:r>
    </w:p>
    <w:p>
      <w:pPr>
        <w:pStyle w:val="MDPI22heading2"/>
      </w:pPr>
      <w:r>
        <w:t>4.1. Descriptive Statistics</w:t>
      </w:r>
    </w:p>
    <w:p>
      <w:pPr>
        <w:pStyle w:val="MDPI32textnoindent"/>
      </w:pPr>
      <w:r>
        <w:rPr>
          <w:b w:val="0"/>
          <w:i w:val="0"/>
        </w:rPr>
        <w:t>Table 2 reports the descriptive statistics. The average firm posts 7.87 entry-level vacancies per thousand employees, with a standard deviation of 3.99; the average count is 29.3 vacancies. Entry-level and experienced posting rates are of similar magnitude on average (7.57 for the latter), which matters for the comparison in Section 4.4 because it means the asymmetry we find is not an artefact of one margin being small. The contingent share averages 19.5% of entry-level vacancies, rising from 19.1% before 2023 to 20.4% after. The youth employment share averages 20.6% and falls from 21.3% to 19.2% across the same break, while the entry-level vacancy rate falls from 7.98 to 7.61. A firm makes no adjustment at all to its young workforce in 17.7% of firm-years. The three text measures are standardised by construction, so their means are zero and their standard deviations one.</w:t>
      </w:r>
    </w:p>
    <w:p>
      <w:pPr>
        <w:pStyle w:val="MDPI41tablecaption"/>
        <w:keepNext/>
        <w:spacing w:after="60"/>
      </w:pPr>
      <w:r>
        <w:rPr>
          <w:b/>
          <w:sz w:val="18"/>
        </w:rPr>
        <w:t xml:space="preserve">Table 2. </w:t>
      </w:r>
      <w:r>
        <w:rPr>
          <w:b w:val="0"/>
          <w:i w:val="0"/>
          <w:sz w:val="18"/>
        </w:rPr>
        <w:t>Descriptive statistics.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098"/>
        <w:gridCol w:w="1098"/>
        <w:gridCol w:w="1098"/>
        <w:gridCol w:w="1098"/>
        <w:gridCol w:w="1098"/>
        <w:gridCol w:w="1098"/>
        <w:gridCol w:w="1098"/>
        <w:gridCol w:w="1098"/>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6"/>
              </w:rPr>
              <w:t>Variable</w:t>
            </w:r>
          </w:p>
        </w:tc>
        <w:tc>
          <w:tcPr>
            <w:tcW w:type="dxa" w:w="1098"/>
            <w:tcBorders>
              <w:bottom w:val="single" w:sz="8" w:space="0" w:color="auto"/>
            </w:tcBorders>
          </w:tcPr>
          <w:p>
            <w:pPr>
              <w:pStyle w:val="MDPI42tablebody"/>
              <w:keepNext/>
              <w:spacing w:line="240" w:lineRule="auto" w:before="30" w:after="30"/>
              <w:jc w:val="center"/>
            </w:pPr>
            <w:r>
              <w:rPr>
                <w:b/>
                <w:i w:val="0"/>
                <w:sz w:val="16"/>
              </w:rPr>
              <w:t>N</w:t>
            </w:r>
          </w:p>
        </w:tc>
        <w:tc>
          <w:tcPr>
            <w:tcW w:type="dxa" w:w="1098"/>
            <w:tcBorders>
              <w:bottom w:val="single" w:sz="8" w:space="0" w:color="auto"/>
            </w:tcBorders>
          </w:tcPr>
          <w:p>
            <w:pPr>
              <w:pStyle w:val="MDPI42tablebody"/>
              <w:keepNext/>
              <w:spacing w:line="240" w:lineRule="auto" w:before="30" w:after="30"/>
              <w:jc w:val="center"/>
            </w:pPr>
            <w:r>
              <w:rPr>
                <w:b/>
                <w:i w:val="0"/>
                <w:sz w:val="16"/>
              </w:rPr>
              <w:t>Mean</w:t>
            </w:r>
          </w:p>
        </w:tc>
        <w:tc>
          <w:tcPr>
            <w:tcW w:type="dxa" w:w="1098"/>
            <w:tcBorders>
              <w:bottom w:val="single" w:sz="8" w:space="0" w:color="auto"/>
            </w:tcBorders>
          </w:tcPr>
          <w:p>
            <w:pPr>
              <w:pStyle w:val="MDPI42tablebody"/>
              <w:keepNext/>
              <w:spacing w:line="240" w:lineRule="auto" w:before="30" w:after="30"/>
              <w:jc w:val="center"/>
            </w:pPr>
            <w:r>
              <w:rPr>
                <w:b/>
                <w:i w:val="0"/>
                <w:sz w:val="16"/>
              </w:rPr>
              <w:t>SD</w:t>
            </w:r>
          </w:p>
        </w:tc>
        <w:tc>
          <w:tcPr>
            <w:tcW w:type="dxa" w:w="1098"/>
            <w:tcBorders>
              <w:bottom w:val="single" w:sz="8" w:space="0" w:color="auto"/>
            </w:tcBorders>
          </w:tcPr>
          <w:p>
            <w:pPr>
              <w:pStyle w:val="MDPI42tablebody"/>
              <w:keepNext/>
              <w:spacing w:line="240" w:lineRule="auto" w:before="30" w:after="30"/>
              <w:jc w:val="center"/>
            </w:pPr>
            <w:r>
              <w:rPr>
                <w:b/>
                <w:i w:val="0"/>
                <w:sz w:val="16"/>
              </w:rPr>
              <w:t>P25</w:t>
            </w:r>
          </w:p>
        </w:tc>
        <w:tc>
          <w:tcPr>
            <w:tcW w:type="dxa" w:w="1098"/>
            <w:tcBorders>
              <w:bottom w:val="single" w:sz="8" w:space="0" w:color="auto"/>
            </w:tcBorders>
          </w:tcPr>
          <w:p>
            <w:pPr>
              <w:pStyle w:val="MDPI42tablebody"/>
              <w:keepNext/>
              <w:spacing w:line="240" w:lineRule="auto" w:before="30" w:after="30"/>
              <w:jc w:val="center"/>
            </w:pPr>
            <w:r>
              <w:rPr>
                <w:b/>
                <w:i w:val="0"/>
                <w:sz w:val="16"/>
              </w:rPr>
              <w:t>Median</w:t>
            </w:r>
          </w:p>
        </w:tc>
        <w:tc>
          <w:tcPr>
            <w:tcW w:type="dxa" w:w="1098"/>
            <w:tcBorders>
              <w:bottom w:val="single" w:sz="8" w:space="0" w:color="auto"/>
            </w:tcBorders>
          </w:tcPr>
          <w:p>
            <w:pPr>
              <w:pStyle w:val="MDPI42tablebody"/>
              <w:keepNext/>
              <w:spacing w:line="240" w:lineRule="auto" w:before="30" w:after="30"/>
              <w:jc w:val="center"/>
            </w:pPr>
            <w:r>
              <w:rPr>
                <w:b/>
                <w:i w:val="0"/>
                <w:sz w:val="16"/>
              </w:rPr>
              <w:t>P75</w:t>
            </w:r>
          </w:p>
        </w:tc>
        <w:tc>
          <w:tcPr>
            <w:tcW w:type="dxa" w:w="1098"/>
            <w:tcBorders>
              <w:bottom w:val="single" w:sz="8" w:space="0" w:color="auto"/>
            </w:tcBorders>
          </w:tcPr>
          <w:p>
            <w:pPr>
              <w:pStyle w:val="MDPI42tablebody"/>
              <w:keepNext/>
              <w:spacing w:line="240" w:lineRule="auto" w:before="30" w:after="30"/>
              <w:jc w:val="center"/>
            </w:pPr>
            <w:r>
              <w:rPr>
                <w:b/>
                <w:i w:val="0"/>
                <w:sz w:val="16"/>
              </w:rPr>
              <w:t>Min</w:t>
            </w:r>
          </w:p>
        </w:tc>
        <w:tc>
          <w:tcPr>
            <w:tcW w:type="dxa" w:w="1098"/>
            <w:tcBorders>
              <w:bottom w:val="single" w:sz="8" w:space="0" w:color="auto"/>
            </w:tcBorders>
          </w:tcPr>
          <w:p>
            <w:pPr>
              <w:pStyle w:val="MDPI42tablebody"/>
              <w:keepNext/>
              <w:spacing w:line="240" w:lineRule="auto" w:before="30" w:after="30"/>
              <w:jc w:val="center"/>
            </w:pPr>
            <w:r>
              <w:rPr>
                <w:b/>
                <w:i w:val="0"/>
                <w:sz w:val="16"/>
              </w:rPr>
              <w:t>Max</w:t>
            </w:r>
          </w:p>
        </w:tc>
      </w:tr>
      <w:tr>
        <w:trPr>
          <w:cantSplit/>
        </w:trPr>
        <w:tc>
          <w:tcPr>
            <w:tcW w:type="dxa" w:w="1674"/>
          </w:tcPr>
          <w:p>
            <w:pPr>
              <w:pStyle w:val="MDPI42tablebody"/>
              <w:keepNext/>
              <w:spacing w:line="240" w:lineRule="auto" w:before="30" w:after="30"/>
              <w:jc w:val="left"/>
            </w:pPr>
            <w:r>
              <w:rPr>
                <w:b w:val="0"/>
                <w:i/>
                <w:sz w:val="16"/>
              </w:rPr>
              <w:t>Entry</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7.865</w:t>
            </w:r>
          </w:p>
        </w:tc>
        <w:tc>
          <w:tcPr>
            <w:tcW w:type="dxa" w:w="1098"/>
          </w:tcPr>
          <w:p>
            <w:pPr>
              <w:pStyle w:val="MDPI42tablebody"/>
              <w:keepNext/>
              <w:spacing w:line="240" w:lineRule="auto" w:before="30" w:after="30"/>
              <w:jc w:val="center"/>
            </w:pPr>
            <w:r>
              <w:rPr>
                <w:b w:val="0"/>
                <w:i w:val="0"/>
                <w:sz w:val="16"/>
              </w:rPr>
              <w:t>3.993</w:t>
            </w:r>
          </w:p>
        </w:tc>
        <w:tc>
          <w:tcPr>
            <w:tcW w:type="dxa" w:w="1098"/>
          </w:tcPr>
          <w:p>
            <w:pPr>
              <w:pStyle w:val="MDPI42tablebody"/>
              <w:keepNext/>
              <w:spacing w:line="240" w:lineRule="auto" w:before="30" w:after="30"/>
              <w:jc w:val="center"/>
            </w:pPr>
            <w:r>
              <w:rPr>
                <w:b w:val="0"/>
                <w:i w:val="0"/>
                <w:sz w:val="16"/>
              </w:rPr>
              <w:t>5.175</w:t>
            </w:r>
          </w:p>
        </w:tc>
        <w:tc>
          <w:tcPr>
            <w:tcW w:type="dxa" w:w="1098"/>
          </w:tcPr>
          <w:p>
            <w:pPr>
              <w:pStyle w:val="MDPI42tablebody"/>
              <w:keepNext/>
              <w:spacing w:line="240" w:lineRule="auto" w:before="30" w:after="30"/>
              <w:jc w:val="center"/>
            </w:pPr>
            <w:r>
              <w:rPr>
                <w:b w:val="0"/>
                <w:i w:val="0"/>
                <w:sz w:val="16"/>
              </w:rPr>
              <w:t>7.680</w:t>
            </w:r>
          </w:p>
        </w:tc>
        <w:tc>
          <w:tcPr>
            <w:tcW w:type="dxa" w:w="1098"/>
          </w:tcPr>
          <w:p>
            <w:pPr>
              <w:pStyle w:val="MDPI42tablebody"/>
              <w:keepNext/>
              <w:spacing w:line="240" w:lineRule="auto" w:before="30" w:after="30"/>
              <w:jc w:val="center"/>
            </w:pPr>
            <w:r>
              <w:rPr>
                <w:b w:val="0"/>
                <w:i w:val="0"/>
                <w:sz w:val="16"/>
              </w:rPr>
              <w:t>10.279</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46.775</w:t>
            </w:r>
          </w:p>
        </w:tc>
      </w:tr>
      <w:tr>
        <w:trPr>
          <w:cantSplit/>
        </w:trPr>
        <w:tc>
          <w:tcPr>
            <w:tcW w:type="dxa" w:w="1674"/>
          </w:tcPr>
          <w:p>
            <w:pPr>
              <w:pStyle w:val="MDPI42tablebody"/>
              <w:keepNext/>
              <w:spacing w:line="240" w:lineRule="auto" w:before="30" w:after="30"/>
              <w:jc w:val="left"/>
            </w:pPr>
            <w:r>
              <w:rPr>
                <w:b w:val="0"/>
                <w:i/>
                <w:sz w:val="16"/>
              </w:rPr>
              <w:t>EntryPost</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29.339</w:t>
            </w:r>
          </w:p>
        </w:tc>
        <w:tc>
          <w:tcPr>
            <w:tcW w:type="dxa" w:w="1098"/>
          </w:tcPr>
          <w:p>
            <w:pPr>
              <w:pStyle w:val="MDPI42tablebody"/>
              <w:keepNext/>
              <w:spacing w:line="240" w:lineRule="auto" w:before="30" w:after="30"/>
              <w:jc w:val="center"/>
            </w:pPr>
            <w:r>
              <w:rPr>
                <w:b w:val="0"/>
                <w:i w:val="0"/>
                <w:sz w:val="16"/>
              </w:rPr>
              <w:t>46.723</w:t>
            </w:r>
          </w:p>
        </w:tc>
        <w:tc>
          <w:tcPr>
            <w:tcW w:type="dxa" w:w="1098"/>
          </w:tcPr>
          <w:p>
            <w:pPr>
              <w:pStyle w:val="MDPI42tablebody"/>
              <w:keepNext/>
              <w:spacing w:line="240" w:lineRule="auto" w:before="30" w:after="30"/>
              <w:jc w:val="center"/>
            </w:pPr>
            <w:r>
              <w:rPr>
                <w:b w:val="0"/>
                <w:i w:val="0"/>
                <w:sz w:val="16"/>
              </w:rPr>
              <w:t>6.000</w:t>
            </w:r>
          </w:p>
        </w:tc>
        <w:tc>
          <w:tcPr>
            <w:tcW w:type="dxa" w:w="1098"/>
          </w:tcPr>
          <w:p>
            <w:pPr>
              <w:pStyle w:val="MDPI42tablebody"/>
              <w:keepNext/>
              <w:spacing w:line="240" w:lineRule="auto" w:before="30" w:after="30"/>
              <w:jc w:val="center"/>
            </w:pPr>
            <w:r>
              <w:rPr>
                <w:b w:val="0"/>
                <w:i w:val="0"/>
                <w:sz w:val="16"/>
              </w:rPr>
              <w:t>15.000</w:t>
            </w:r>
          </w:p>
        </w:tc>
        <w:tc>
          <w:tcPr>
            <w:tcW w:type="dxa" w:w="1098"/>
          </w:tcPr>
          <w:p>
            <w:pPr>
              <w:pStyle w:val="MDPI42tablebody"/>
              <w:keepNext/>
              <w:spacing w:line="240" w:lineRule="auto" w:before="30" w:after="30"/>
              <w:jc w:val="center"/>
            </w:pPr>
            <w:r>
              <w:rPr>
                <w:b w:val="0"/>
                <w:i w:val="0"/>
                <w:sz w:val="16"/>
              </w:rPr>
              <w:t>34.000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985.000</w:t>
            </w:r>
          </w:p>
        </w:tc>
      </w:tr>
      <w:tr>
        <w:trPr>
          <w:cantSplit/>
        </w:trPr>
        <w:tc>
          <w:tcPr>
            <w:tcW w:type="dxa" w:w="1674"/>
          </w:tcPr>
          <w:p>
            <w:pPr>
              <w:pStyle w:val="MDPI42tablebody"/>
              <w:keepNext/>
              <w:spacing w:line="240" w:lineRule="auto" w:before="30" w:after="30"/>
              <w:jc w:val="left"/>
            </w:pPr>
            <w:r>
              <w:rPr>
                <w:b w:val="0"/>
                <w:i/>
                <w:sz w:val="16"/>
              </w:rPr>
              <w:t>Exper</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7.568</w:t>
            </w:r>
          </w:p>
        </w:tc>
        <w:tc>
          <w:tcPr>
            <w:tcW w:type="dxa" w:w="1098"/>
          </w:tcPr>
          <w:p>
            <w:pPr>
              <w:pStyle w:val="MDPI42tablebody"/>
              <w:keepNext/>
              <w:spacing w:line="240" w:lineRule="auto" w:before="30" w:after="30"/>
              <w:jc w:val="center"/>
            </w:pPr>
            <w:r>
              <w:rPr>
                <w:b w:val="0"/>
                <w:i w:val="0"/>
                <w:sz w:val="16"/>
              </w:rPr>
              <w:t>3.402</w:t>
            </w:r>
          </w:p>
        </w:tc>
        <w:tc>
          <w:tcPr>
            <w:tcW w:type="dxa" w:w="1098"/>
          </w:tcPr>
          <w:p>
            <w:pPr>
              <w:pStyle w:val="MDPI42tablebody"/>
              <w:keepNext/>
              <w:spacing w:line="240" w:lineRule="auto" w:before="30" w:after="30"/>
              <w:jc w:val="center"/>
            </w:pPr>
            <w:r>
              <w:rPr>
                <w:b w:val="0"/>
                <w:i w:val="0"/>
                <w:sz w:val="16"/>
              </w:rPr>
              <w:t>5.302</w:t>
            </w:r>
          </w:p>
        </w:tc>
        <w:tc>
          <w:tcPr>
            <w:tcW w:type="dxa" w:w="1098"/>
          </w:tcPr>
          <w:p>
            <w:pPr>
              <w:pStyle w:val="MDPI42tablebody"/>
              <w:keepNext/>
              <w:spacing w:line="240" w:lineRule="auto" w:before="30" w:after="30"/>
              <w:jc w:val="center"/>
            </w:pPr>
            <w:r>
              <w:rPr>
                <w:b w:val="0"/>
                <w:i w:val="0"/>
                <w:sz w:val="16"/>
              </w:rPr>
              <w:t>7.426</w:t>
            </w:r>
          </w:p>
        </w:tc>
        <w:tc>
          <w:tcPr>
            <w:tcW w:type="dxa" w:w="1098"/>
          </w:tcPr>
          <w:p>
            <w:pPr>
              <w:pStyle w:val="MDPI42tablebody"/>
              <w:keepNext/>
              <w:spacing w:line="240" w:lineRule="auto" w:before="30" w:after="30"/>
              <w:jc w:val="center"/>
            </w:pPr>
            <w:r>
              <w:rPr>
                <w:b w:val="0"/>
                <w:i w:val="0"/>
                <w:sz w:val="16"/>
              </w:rPr>
              <w:t>9.663</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34.848</w:t>
            </w:r>
          </w:p>
        </w:tc>
      </w:tr>
      <w:tr>
        <w:trPr>
          <w:cantSplit/>
        </w:trPr>
        <w:tc>
          <w:tcPr>
            <w:tcW w:type="dxa" w:w="1674"/>
          </w:tcPr>
          <w:p>
            <w:pPr>
              <w:pStyle w:val="MDPI42tablebody"/>
              <w:keepNext/>
              <w:spacing w:line="240" w:lineRule="auto" w:before="30" w:after="30"/>
              <w:jc w:val="left"/>
            </w:pPr>
            <w:r>
              <w:rPr>
                <w:b w:val="0"/>
                <w:i/>
                <w:sz w:val="16"/>
              </w:rPr>
              <w:t>Cont</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19.530</w:t>
            </w:r>
          </w:p>
        </w:tc>
        <w:tc>
          <w:tcPr>
            <w:tcW w:type="dxa" w:w="1098"/>
          </w:tcPr>
          <w:p>
            <w:pPr>
              <w:pStyle w:val="MDPI42tablebody"/>
              <w:keepNext/>
              <w:spacing w:line="240" w:lineRule="auto" w:before="30" w:after="30"/>
              <w:jc w:val="center"/>
            </w:pPr>
            <w:r>
              <w:rPr>
                <w:b w:val="0"/>
                <w:i w:val="0"/>
                <w:sz w:val="16"/>
              </w:rPr>
              <w:t>8.605</w:t>
            </w:r>
          </w:p>
        </w:tc>
        <w:tc>
          <w:tcPr>
            <w:tcW w:type="dxa" w:w="1098"/>
          </w:tcPr>
          <w:p>
            <w:pPr>
              <w:pStyle w:val="MDPI42tablebody"/>
              <w:keepNext/>
              <w:spacing w:line="240" w:lineRule="auto" w:before="30" w:after="30"/>
              <w:jc w:val="center"/>
            </w:pPr>
            <w:r>
              <w:rPr>
                <w:b w:val="0"/>
                <w:i w:val="0"/>
                <w:sz w:val="16"/>
              </w:rPr>
              <w:t>13.723</w:t>
            </w:r>
          </w:p>
        </w:tc>
        <w:tc>
          <w:tcPr>
            <w:tcW w:type="dxa" w:w="1098"/>
          </w:tcPr>
          <w:p>
            <w:pPr>
              <w:pStyle w:val="MDPI42tablebody"/>
              <w:keepNext/>
              <w:spacing w:line="240" w:lineRule="auto" w:before="30" w:after="30"/>
              <w:jc w:val="center"/>
            </w:pPr>
            <w:r>
              <w:rPr>
                <w:b w:val="0"/>
                <w:i w:val="0"/>
                <w:sz w:val="16"/>
              </w:rPr>
              <w:t>19.489</w:t>
            </w:r>
          </w:p>
        </w:tc>
        <w:tc>
          <w:tcPr>
            <w:tcW w:type="dxa" w:w="1098"/>
          </w:tcPr>
          <w:p>
            <w:pPr>
              <w:pStyle w:val="MDPI42tablebody"/>
              <w:keepNext/>
              <w:spacing w:line="240" w:lineRule="auto" w:before="30" w:after="30"/>
              <w:jc w:val="center"/>
            </w:pPr>
            <w:r>
              <w:rPr>
                <w:b w:val="0"/>
                <w:i w:val="0"/>
                <w:sz w:val="16"/>
              </w:rPr>
              <w:t>25.274</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59.184</w:t>
            </w:r>
          </w:p>
        </w:tc>
      </w:tr>
      <w:tr>
        <w:trPr>
          <w:cantSplit/>
        </w:trPr>
        <w:tc>
          <w:tcPr>
            <w:tcW w:type="dxa" w:w="1674"/>
          </w:tcPr>
          <w:p>
            <w:pPr>
              <w:pStyle w:val="MDPI42tablebody"/>
              <w:keepNext/>
              <w:spacing w:line="240" w:lineRule="auto" w:before="30" w:after="30"/>
              <w:jc w:val="left"/>
            </w:pPr>
            <w:r>
              <w:rPr>
                <w:b w:val="0"/>
                <w:i/>
                <w:sz w:val="16"/>
              </w:rPr>
              <w:t>Youth</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20.649</w:t>
            </w:r>
          </w:p>
        </w:tc>
        <w:tc>
          <w:tcPr>
            <w:tcW w:type="dxa" w:w="1098"/>
          </w:tcPr>
          <w:p>
            <w:pPr>
              <w:pStyle w:val="MDPI42tablebody"/>
              <w:keepNext/>
              <w:spacing w:line="240" w:lineRule="auto" w:before="30" w:after="30"/>
              <w:jc w:val="center"/>
            </w:pPr>
            <w:r>
              <w:rPr>
                <w:b w:val="0"/>
                <w:i w:val="0"/>
                <w:sz w:val="16"/>
              </w:rPr>
              <w:t>5.175</w:t>
            </w:r>
          </w:p>
        </w:tc>
        <w:tc>
          <w:tcPr>
            <w:tcW w:type="dxa" w:w="1098"/>
          </w:tcPr>
          <w:p>
            <w:pPr>
              <w:pStyle w:val="MDPI42tablebody"/>
              <w:keepNext/>
              <w:spacing w:line="240" w:lineRule="auto" w:before="30" w:after="30"/>
              <w:jc w:val="center"/>
            </w:pPr>
            <w:r>
              <w:rPr>
                <w:b w:val="0"/>
                <w:i w:val="0"/>
                <w:sz w:val="16"/>
              </w:rPr>
              <w:t>17.202</w:t>
            </w:r>
          </w:p>
        </w:tc>
        <w:tc>
          <w:tcPr>
            <w:tcW w:type="dxa" w:w="1098"/>
          </w:tcPr>
          <w:p>
            <w:pPr>
              <w:pStyle w:val="MDPI42tablebody"/>
              <w:keepNext/>
              <w:spacing w:line="240" w:lineRule="auto" w:before="30" w:after="30"/>
              <w:jc w:val="center"/>
            </w:pPr>
            <w:r>
              <w:rPr>
                <w:b w:val="0"/>
                <w:i w:val="0"/>
                <w:sz w:val="16"/>
              </w:rPr>
              <w:t>20.660</w:t>
            </w:r>
          </w:p>
        </w:tc>
        <w:tc>
          <w:tcPr>
            <w:tcW w:type="dxa" w:w="1098"/>
          </w:tcPr>
          <w:p>
            <w:pPr>
              <w:pStyle w:val="MDPI42tablebody"/>
              <w:keepNext/>
              <w:spacing w:line="240" w:lineRule="auto" w:before="30" w:after="30"/>
              <w:jc w:val="center"/>
            </w:pPr>
            <w:r>
              <w:rPr>
                <w:b w:val="0"/>
                <w:i w:val="0"/>
                <w:sz w:val="16"/>
              </w:rPr>
              <w:t>24.144</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40.239</w:t>
            </w:r>
          </w:p>
        </w:tc>
      </w:tr>
      <w:tr>
        <w:trPr>
          <w:cantSplit/>
        </w:trPr>
        <w:tc>
          <w:tcPr>
            <w:tcW w:type="dxa" w:w="1674"/>
          </w:tcPr>
          <w:p>
            <w:pPr>
              <w:pStyle w:val="MDPI42tablebody"/>
              <w:keepNext/>
              <w:spacing w:line="240" w:lineRule="auto" w:before="30" w:after="30"/>
              <w:jc w:val="left"/>
            </w:pPr>
            <w:r>
              <w:rPr>
                <w:b w:val="0"/>
                <w:i/>
                <w:sz w:val="16"/>
              </w:rPr>
              <w:t>NetYouth</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0.108</w:t>
            </w:r>
          </w:p>
        </w:tc>
        <w:tc>
          <w:tcPr>
            <w:tcW w:type="dxa" w:w="1098"/>
          </w:tcPr>
          <w:p>
            <w:pPr>
              <w:pStyle w:val="MDPI42tablebody"/>
              <w:keepNext/>
              <w:spacing w:line="240" w:lineRule="auto" w:before="30" w:after="30"/>
              <w:jc w:val="center"/>
            </w:pPr>
            <w:r>
              <w:rPr>
                <w:b w:val="0"/>
                <w:i w:val="0"/>
                <w:sz w:val="16"/>
              </w:rPr>
              <w:t>1.915</w:t>
            </w:r>
          </w:p>
        </w:tc>
        <w:tc>
          <w:tcPr>
            <w:tcW w:type="dxa" w:w="1098"/>
          </w:tcPr>
          <w:p>
            <w:pPr>
              <w:pStyle w:val="MDPI42tablebody"/>
              <w:keepNext/>
              <w:spacing w:line="240" w:lineRule="auto" w:before="30" w:after="30"/>
              <w:jc w:val="center"/>
            </w:pPr>
            <w:r>
              <w:rPr>
                <w:b w:val="0"/>
                <w:i w:val="0"/>
                <w:sz w:val="16"/>
              </w:rPr>
              <w:t>−0.913</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1.160</w:t>
            </w:r>
          </w:p>
        </w:tc>
        <w:tc>
          <w:tcPr>
            <w:tcW w:type="dxa" w:w="1098"/>
          </w:tcPr>
          <w:p>
            <w:pPr>
              <w:pStyle w:val="MDPI42tablebody"/>
              <w:keepNext/>
              <w:spacing w:line="240" w:lineRule="auto" w:before="30" w:after="30"/>
              <w:jc w:val="center"/>
            </w:pPr>
            <w:r>
              <w:rPr>
                <w:b w:val="0"/>
                <w:i w:val="0"/>
                <w:sz w:val="16"/>
              </w:rPr>
              <w:t>−8.317</w:t>
            </w:r>
          </w:p>
        </w:tc>
        <w:tc>
          <w:tcPr>
            <w:tcW w:type="dxa" w:w="1098"/>
          </w:tcPr>
          <w:p>
            <w:pPr>
              <w:pStyle w:val="MDPI42tablebody"/>
              <w:keepNext/>
              <w:spacing w:line="240" w:lineRule="auto" w:before="30" w:after="30"/>
              <w:jc w:val="center"/>
            </w:pPr>
            <w:r>
              <w:rPr>
                <w:b w:val="0"/>
                <w:i w:val="0"/>
                <w:sz w:val="16"/>
              </w:rPr>
              <w:t>8.878</w:t>
            </w:r>
          </w:p>
        </w:tc>
      </w:tr>
      <w:tr>
        <w:trPr>
          <w:cantSplit/>
        </w:trPr>
        <w:tc>
          <w:tcPr>
            <w:tcW w:type="dxa" w:w="1674"/>
          </w:tcPr>
          <w:p>
            <w:pPr>
              <w:pStyle w:val="MDPI42tablebody"/>
              <w:keepNext/>
              <w:spacing w:line="240" w:lineRule="auto" w:before="30" w:after="30"/>
              <w:jc w:val="left"/>
            </w:pPr>
            <w:r>
              <w:rPr>
                <w:b w:val="0"/>
                <w:i/>
                <w:sz w:val="16"/>
              </w:rPr>
              <w:t>Inact</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0.177</w:t>
            </w:r>
          </w:p>
        </w:tc>
        <w:tc>
          <w:tcPr>
            <w:tcW w:type="dxa" w:w="1098"/>
          </w:tcPr>
          <w:p>
            <w:pPr>
              <w:pStyle w:val="MDPI42tablebody"/>
              <w:keepNext/>
              <w:spacing w:line="240" w:lineRule="auto" w:before="30" w:after="30"/>
              <w:jc w:val="center"/>
            </w:pPr>
            <w:r>
              <w:rPr>
                <w:b w:val="0"/>
                <w:i w:val="0"/>
                <w:sz w:val="16"/>
              </w:rPr>
              <w:t>0.382</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r>
      <w:tr>
        <w:trPr>
          <w:cantSplit/>
        </w:trPr>
        <w:tc>
          <w:tcPr>
            <w:tcW w:type="dxa" w:w="1674"/>
          </w:tcPr>
          <w:p>
            <w:pPr>
              <w:pStyle w:val="MDPI42tablebody"/>
              <w:keepNext/>
              <w:spacing w:line="240" w:lineRule="auto" w:before="30" w:after="30"/>
              <w:jc w:val="left"/>
            </w:pPr>
            <w:r>
              <w:rPr>
                <w:b w:val="0"/>
                <w:i/>
                <w:sz w:val="16"/>
              </w:rPr>
              <w:t>AIU</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−0.649</w:t>
            </w:r>
          </w:p>
        </w:tc>
        <w:tc>
          <w:tcPr>
            <w:tcW w:type="dxa" w:w="1098"/>
          </w:tcPr>
          <w:p>
            <w:pPr>
              <w:pStyle w:val="MDPI42tablebody"/>
              <w:keepNext/>
              <w:spacing w:line="240" w:lineRule="auto" w:before="30" w:after="30"/>
              <w:jc w:val="center"/>
            </w:pPr>
            <w:r>
              <w:rPr>
                <w:b w:val="0"/>
                <w:i w:val="0"/>
                <w:sz w:val="16"/>
              </w:rPr>
              <w:t>−0.003</w:t>
            </w:r>
          </w:p>
        </w:tc>
        <w:tc>
          <w:tcPr>
            <w:tcW w:type="dxa" w:w="1098"/>
          </w:tcPr>
          <w:p>
            <w:pPr>
              <w:pStyle w:val="MDPI42tablebody"/>
              <w:keepNext/>
              <w:spacing w:line="240" w:lineRule="auto" w:before="30" w:after="30"/>
              <w:jc w:val="center"/>
            </w:pPr>
            <w:r>
              <w:rPr>
                <w:b w:val="0"/>
                <w:i w:val="0"/>
                <w:sz w:val="16"/>
              </w:rPr>
              <w:t>0.654</w:t>
            </w:r>
          </w:p>
        </w:tc>
        <w:tc>
          <w:tcPr>
            <w:tcW w:type="dxa" w:w="1098"/>
          </w:tcPr>
          <w:p>
            <w:pPr>
              <w:pStyle w:val="MDPI42tablebody"/>
              <w:keepNext/>
              <w:spacing w:line="240" w:lineRule="auto" w:before="30" w:after="30"/>
              <w:jc w:val="center"/>
            </w:pPr>
            <w:r>
              <w:rPr>
                <w:b w:val="0"/>
                <w:i w:val="0"/>
                <w:sz w:val="16"/>
              </w:rPr>
              <w:t>−4.114</w:t>
            </w:r>
          </w:p>
        </w:tc>
        <w:tc>
          <w:tcPr>
            <w:tcW w:type="dxa" w:w="1098"/>
          </w:tcPr>
          <w:p>
            <w:pPr>
              <w:pStyle w:val="MDPI42tablebody"/>
              <w:keepNext/>
              <w:spacing w:line="240" w:lineRule="auto" w:before="30" w:after="30"/>
              <w:jc w:val="center"/>
            </w:pPr>
            <w:r>
              <w:rPr>
                <w:b w:val="0"/>
                <w:i w:val="0"/>
                <w:sz w:val="16"/>
              </w:rPr>
              <w:t>4.418</w:t>
            </w:r>
          </w:p>
        </w:tc>
      </w:tr>
      <w:tr>
        <w:trPr>
          <w:cantSplit/>
        </w:trPr>
        <w:tc>
          <w:tcPr>
            <w:tcW w:type="dxa" w:w="1674"/>
          </w:tcPr>
          <w:p>
            <w:pPr>
              <w:pStyle w:val="MDPI42tablebody"/>
              <w:keepNext/>
              <w:spacing w:line="240" w:lineRule="auto" w:before="30" w:after="30"/>
              <w:jc w:val="left"/>
            </w:pPr>
            <w:r>
              <w:rPr>
                <w:b w:val="0"/>
                <w:i/>
                <w:sz w:val="16"/>
              </w:rPr>
              <w:t>AIE</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−0.652</w:t>
            </w:r>
          </w:p>
        </w:tc>
        <w:tc>
          <w:tcPr>
            <w:tcW w:type="dxa" w:w="1098"/>
          </w:tcPr>
          <w:p>
            <w:pPr>
              <w:pStyle w:val="MDPI42tablebody"/>
              <w:keepNext/>
              <w:spacing w:line="240" w:lineRule="auto" w:before="30" w:after="30"/>
              <w:jc w:val="center"/>
            </w:pPr>
            <w:r>
              <w:rPr>
                <w:b w:val="0"/>
                <w:i w:val="0"/>
                <w:sz w:val="16"/>
              </w:rPr>
              <w:t>−0.005</w:t>
            </w:r>
          </w:p>
        </w:tc>
        <w:tc>
          <w:tcPr>
            <w:tcW w:type="dxa" w:w="1098"/>
          </w:tcPr>
          <w:p>
            <w:pPr>
              <w:pStyle w:val="MDPI42tablebody"/>
              <w:keepNext/>
              <w:spacing w:line="240" w:lineRule="auto" w:before="30" w:after="30"/>
              <w:jc w:val="center"/>
            </w:pPr>
            <w:r>
              <w:rPr>
                <w:b w:val="0"/>
                <w:i w:val="0"/>
                <w:sz w:val="16"/>
              </w:rPr>
              <w:t>0.653</w:t>
            </w:r>
          </w:p>
        </w:tc>
        <w:tc>
          <w:tcPr>
            <w:tcW w:type="dxa" w:w="1098"/>
          </w:tcPr>
          <w:p>
            <w:pPr>
              <w:pStyle w:val="MDPI42tablebody"/>
              <w:keepNext/>
              <w:spacing w:line="240" w:lineRule="auto" w:before="30" w:after="30"/>
              <w:jc w:val="center"/>
            </w:pPr>
            <w:r>
              <w:rPr>
                <w:b w:val="0"/>
                <w:i w:val="0"/>
                <w:sz w:val="16"/>
              </w:rPr>
              <w:t>−3.946</w:t>
            </w:r>
          </w:p>
        </w:tc>
        <w:tc>
          <w:tcPr>
            <w:tcW w:type="dxa" w:w="1098"/>
          </w:tcPr>
          <w:p>
            <w:pPr>
              <w:pStyle w:val="MDPI42tablebody"/>
              <w:keepNext/>
              <w:spacing w:line="240" w:lineRule="auto" w:before="30" w:after="30"/>
              <w:jc w:val="center"/>
            </w:pPr>
            <w:r>
              <w:rPr>
                <w:b w:val="0"/>
                <w:i w:val="0"/>
                <w:sz w:val="16"/>
              </w:rPr>
              <w:t>5.400</w:t>
            </w:r>
          </w:p>
        </w:tc>
      </w:tr>
      <w:tr>
        <w:trPr>
          <w:cantSplit/>
        </w:trPr>
        <w:tc>
          <w:tcPr>
            <w:tcW w:type="dxa" w:w="1674"/>
          </w:tcPr>
          <w:p>
            <w:pPr>
              <w:pStyle w:val="MDPI42tablebody"/>
              <w:keepNext/>
              <w:spacing w:line="240" w:lineRule="auto" w:before="30" w:after="30"/>
              <w:jc w:val="left"/>
            </w:pPr>
            <w:r>
              <w:rPr>
                <w:b w:val="0"/>
                <w:i/>
                <w:sz w:val="16"/>
              </w:rPr>
              <w:t>EPU</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−0.695</w:t>
            </w:r>
          </w:p>
        </w:tc>
        <w:tc>
          <w:tcPr>
            <w:tcW w:type="dxa" w:w="1098"/>
          </w:tcPr>
          <w:p>
            <w:pPr>
              <w:pStyle w:val="MDPI42tablebody"/>
              <w:keepNext/>
              <w:spacing w:line="240" w:lineRule="auto" w:before="30" w:after="30"/>
              <w:jc w:val="center"/>
            </w:pPr>
            <w:r>
              <w:rPr>
                <w:b w:val="0"/>
                <w:i w:val="0"/>
                <w:sz w:val="16"/>
              </w:rPr>
              <w:t>−0.009</w:t>
            </w:r>
          </w:p>
        </w:tc>
        <w:tc>
          <w:tcPr>
            <w:tcW w:type="dxa" w:w="1098"/>
          </w:tcPr>
          <w:p>
            <w:pPr>
              <w:pStyle w:val="MDPI42tablebody"/>
              <w:keepNext/>
              <w:spacing w:line="240" w:lineRule="auto" w:before="30" w:after="30"/>
              <w:jc w:val="center"/>
            </w:pPr>
            <w:r>
              <w:rPr>
                <w:b w:val="0"/>
                <w:i w:val="0"/>
                <w:sz w:val="16"/>
              </w:rPr>
              <w:t>0.677</w:t>
            </w:r>
          </w:p>
        </w:tc>
        <w:tc>
          <w:tcPr>
            <w:tcW w:type="dxa" w:w="1098"/>
          </w:tcPr>
          <w:p>
            <w:pPr>
              <w:pStyle w:val="MDPI42tablebody"/>
              <w:keepNext/>
              <w:spacing w:line="240" w:lineRule="auto" w:before="30" w:after="30"/>
              <w:jc w:val="center"/>
            </w:pPr>
            <w:r>
              <w:rPr>
                <w:b w:val="0"/>
                <w:i w:val="0"/>
                <w:sz w:val="16"/>
              </w:rPr>
              <w:t>−4.433</w:t>
            </w:r>
          </w:p>
        </w:tc>
        <w:tc>
          <w:tcPr>
            <w:tcW w:type="dxa" w:w="1098"/>
          </w:tcPr>
          <w:p>
            <w:pPr>
              <w:pStyle w:val="MDPI42tablebody"/>
              <w:keepNext/>
              <w:spacing w:line="240" w:lineRule="auto" w:before="30" w:after="30"/>
              <w:jc w:val="center"/>
            </w:pPr>
            <w:r>
              <w:rPr>
                <w:b w:val="0"/>
                <w:i w:val="0"/>
                <w:sz w:val="16"/>
              </w:rPr>
              <w:t>4.029</w:t>
            </w:r>
          </w:p>
        </w:tc>
      </w:tr>
      <w:tr>
        <w:trPr>
          <w:cantSplit/>
        </w:trPr>
        <w:tc>
          <w:tcPr>
            <w:tcW w:type="dxa" w:w="1674"/>
          </w:tcPr>
          <w:p>
            <w:pPr>
              <w:pStyle w:val="MDPI42tablebody"/>
              <w:keepNext/>
              <w:spacing w:line="240" w:lineRule="auto" w:before="30" w:after="30"/>
              <w:jc w:val="left"/>
            </w:pPr>
            <w:r>
              <w:rPr>
                <w:b w:val="0"/>
                <w:i/>
                <w:sz w:val="16"/>
              </w:rPr>
              <w:t>SpecTrain</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−0.005</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−0.699</w:t>
            </w:r>
          </w:p>
        </w:tc>
        <w:tc>
          <w:tcPr>
            <w:tcW w:type="dxa" w:w="1098"/>
          </w:tcPr>
          <w:p>
            <w:pPr>
              <w:pStyle w:val="MDPI42tablebody"/>
              <w:keepNext/>
              <w:spacing w:line="240" w:lineRule="auto" w:before="30" w:after="30"/>
              <w:jc w:val="center"/>
            </w:pPr>
            <w:r>
              <w:rPr>
                <w:b w:val="0"/>
                <w:i w:val="0"/>
                <w:sz w:val="16"/>
              </w:rPr>
              <w:t>0.005</w:t>
            </w:r>
          </w:p>
        </w:tc>
        <w:tc>
          <w:tcPr>
            <w:tcW w:type="dxa" w:w="1098"/>
          </w:tcPr>
          <w:p>
            <w:pPr>
              <w:pStyle w:val="MDPI42tablebody"/>
              <w:keepNext/>
              <w:spacing w:line="240" w:lineRule="auto" w:before="30" w:after="30"/>
              <w:jc w:val="center"/>
            </w:pPr>
            <w:r>
              <w:rPr>
                <w:b w:val="0"/>
                <w:i w:val="0"/>
                <w:sz w:val="16"/>
              </w:rPr>
              <w:t>0.670</w:t>
            </w:r>
          </w:p>
        </w:tc>
        <w:tc>
          <w:tcPr>
            <w:tcW w:type="dxa" w:w="1098"/>
          </w:tcPr>
          <w:p>
            <w:pPr>
              <w:pStyle w:val="MDPI42tablebody"/>
              <w:keepNext/>
              <w:spacing w:line="240" w:lineRule="auto" w:before="30" w:after="30"/>
              <w:jc w:val="center"/>
            </w:pPr>
            <w:r>
              <w:rPr>
                <w:b w:val="0"/>
                <w:i w:val="0"/>
                <w:sz w:val="16"/>
              </w:rPr>
              <w:t>−3.786</w:t>
            </w:r>
          </w:p>
        </w:tc>
        <w:tc>
          <w:tcPr>
            <w:tcW w:type="dxa" w:w="1098"/>
          </w:tcPr>
          <w:p>
            <w:pPr>
              <w:pStyle w:val="MDPI42tablebody"/>
              <w:keepNext/>
              <w:spacing w:line="240" w:lineRule="auto" w:before="30" w:after="30"/>
              <w:jc w:val="center"/>
            </w:pPr>
            <w:r>
              <w:rPr>
                <w:b w:val="0"/>
                <w:i w:val="0"/>
                <w:sz w:val="16"/>
              </w:rPr>
              <w:t>3.489</w:t>
            </w:r>
          </w:p>
        </w:tc>
      </w:tr>
      <w:tr>
        <w:trPr>
          <w:cantSplit/>
        </w:trPr>
        <w:tc>
          <w:tcPr>
            <w:tcW w:type="dxa" w:w="1674"/>
          </w:tcPr>
          <w:p>
            <w:pPr>
              <w:pStyle w:val="MDPI42tablebody"/>
              <w:keepNext/>
              <w:spacing w:line="240" w:lineRule="auto" w:before="30" w:after="30"/>
              <w:jc w:val="left"/>
            </w:pPr>
            <w:r>
              <w:rPr>
                <w:b w:val="0"/>
                <w:i/>
                <w:sz w:val="16"/>
              </w:rPr>
              <w:t>FireCost</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−0.004</w:t>
            </w:r>
          </w:p>
        </w:tc>
        <w:tc>
          <w:tcPr>
            <w:tcW w:type="dxa" w:w="1098"/>
          </w:tcPr>
          <w:p>
            <w:pPr>
              <w:pStyle w:val="MDPI42tablebody"/>
              <w:keepNext/>
              <w:spacing w:line="240" w:lineRule="auto" w:before="30" w:after="30"/>
              <w:jc w:val="center"/>
            </w:pPr>
            <w:r>
              <w:rPr>
                <w:b w:val="0"/>
                <w:i w:val="0"/>
                <w:sz w:val="16"/>
              </w:rPr>
              <w:t>1.003</w:t>
            </w:r>
          </w:p>
        </w:tc>
        <w:tc>
          <w:tcPr>
            <w:tcW w:type="dxa" w:w="1098"/>
          </w:tcPr>
          <w:p>
            <w:pPr>
              <w:pStyle w:val="MDPI42tablebody"/>
              <w:keepNext/>
              <w:spacing w:line="240" w:lineRule="auto" w:before="30" w:after="30"/>
              <w:jc w:val="center"/>
            </w:pPr>
            <w:r>
              <w:rPr>
                <w:b w:val="0"/>
                <w:i w:val="0"/>
                <w:sz w:val="16"/>
              </w:rPr>
              <w:t>−0.778</w:t>
            </w:r>
          </w:p>
        </w:tc>
        <w:tc>
          <w:tcPr>
            <w:tcW w:type="dxa" w:w="1098"/>
          </w:tcPr>
          <w:p>
            <w:pPr>
              <w:pStyle w:val="MDPI42tablebody"/>
              <w:keepNext/>
              <w:spacing w:line="240" w:lineRule="auto" w:before="30" w:after="30"/>
              <w:jc w:val="center"/>
            </w:pPr>
            <w:r>
              <w:rPr>
                <w:b w:val="0"/>
                <w:i w:val="0"/>
                <w:sz w:val="16"/>
              </w:rPr>
              <w:t>0.109</w:t>
            </w:r>
          </w:p>
        </w:tc>
        <w:tc>
          <w:tcPr>
            <w:tcW w:type="dxa" w:w="1098"/>
          </w:tcPr>
          <w:p>
            <w:pPr>
              <w:pStyle w:val="MDPI42tablebody"/>
              <w:keepNext/>
              <w:spacing w:line="240" w:lineRule="auto" w:before="30" w:after="30"/>
              <w:jc w:val="center"/>
            </w:pPr>
            <w:r>
              <w:rPr>
                <w:b w:val="0"/>
                <w:i w:val="0"/>
                <w:sz w:val="16"/>
              </w:rPr>
              <w:t>0.796</w:t>
            </w:r>
          </w:p>
        </w:tc>
        <w:tc>
          <w:tcPr>
            <w:tcW w:type="dxa" w:w="1098"/>
          </w:tcPr>
          <w:p>
            <w:pPr>
              <w:pStyle w:val="MDPI42tablebody"/>
              <w:keepNext/>
              <w:spacing w:line="240" w:lineRule="auto" w:before="30" w:after="30"/>
              <w:jc w:val="center"/>
            </w:pPr>
            <w:r>
              <w:rPr>
                <w:b w:val="0"/>
                <w:i w:val="0"/>
                <w:sz w:val="16"/>
              </w:rPr>
              <w:t>−2.808</w:t>
            </w:r>
          </w:p>
        </w:tc>
        <w:tc>
          <w:tcPr>
            <w:tcW w:type="dxa" w:w="1098"/>
          </w:tcPr>
          <w:p>
            <w:pPr>
              <w:pStyle w:val="MDPI42tablebody"/>
              <w:keepNext/>
              <w:spacing w:line="240" w:lineRule="auto" w:before="30" w:after="30"/>
              <w:jc w:val="center"/>
            </w:pPr>
            <w:r>
              <w:rPr>
                <w:b w:val="0"/>
                <w:i w:val="0"/>
                <w:sz w:val="16"/>
              </w:rPr>
              <w:t>2.372</w:t>
            </w:r>
          </w:p>
        </w:tc>
      </w:tr>
      <w:tr>
        <w:trPr>
          <w:cantSplit/>
        </w:trPr>
        <w:tc>
          <w:tcPr>
            <w:tcW w:type="dxa" w:w="1674"/>
          </w:tcPr>
          <w:p>
            <w:pPr>
              <w:pStyle w:val="MDPI42tablebody"/>
              <w:keepNext/>
              <w:spacing w:line="240" w:lineRule="auto" w:before="30" w:after="30"/>
              <w:jc w:val="left"/>
            </w:pPr>
            <w:r>
              <w:rPr>
                <w:b w:val="0"/>
                <w:i/>
                <w:sz w:val="16"/>
              </w:rPr>
              <w:t>Flex</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0.004</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−0.675</w:t>
            </w:r>
          </w:p>
        </w:tc>
        <w:tc>
          <w:tcPr>
            <w:tcW w:type="dxa" w:w="1098"/>
          </w:tcPr>
          <w:p>
            <w:pPr>
              <w:pStyle w:val="MDPI42tablebody"/>
              <w:keepNext/>
              <w:spacing w:line="240" w:lineRule="auto" w:before="30" w:after="30"/>
              <w:jc w:val="center"/>
            </w:pPr>
            <w:r>
              <w:rPr>
                <w:b w:val="0"/>
                <w:i w:val="0"/>
                <w:sz w:val="16"/>
              </w:rPr>
              <w:t>−0.007</w:t>
            </w:r>
          </w:p>
        </w:tc>
        <w:tc>
          <w:tcPr>
            <w:tcW w:type="dxa" w:w="1098"/>
          </w:tcPr>
          <w:p>
            <w:pPr>
              <w:pStyle w:val="MDPI42tablebody"/>
              <w:keepNext/>
              <w:spacing w:line="240" w:lineRule="auto" w:before="30" w:after="30"/>
              <w:jc w:val="center"/>
            </w:pPr>
            <w:r>
              <w:rPr>
                <w:b w:val="0"/>
                <w:i w:val="0"/>
                <w:sz w:val="16"/>
              </w:rPr>
              <w:t>0.699</w:t>
            </w:r>
          </w:p>
        </w:tc>
        <w:tc>
          <w:tcPr>
            <w:tcW w:type="dxa" w:w="1098"/>
          </w:tcPr>
          <w:p>
            <w:pPr>
              <w:pStyle w:val="MDPI42tablebody"/>
              <w:keepNext/>
              <w:spacing w:line="240" w:lineRule="auto" w:before="30" w:after="30"/>
              <w:jc w:val="center"/>
            </w:pPr>
            <w:r>
              <w:rPr>
                <w:b w:val="0"/>
                <w:i w:val="0"/>
                <w:sz w:val="16"/>
              </w:rPr>
              <w:t>−3.322</w:t>
            </w:r>
          </w:p>
        </w:tc>
        <w:tc>
          <w:tcPr>
            <w:tcW w:type="dxa" w:w="1098"/>
          </w:tcPr>
          <w:p>
            <w:pPr>
              <w:pStyle w:val="MDPI42tablebody"/>
              <w:keepNext/>
              <w:spacing w:line="240" w:lineRule="auto" w:before="30" w:after="30"/>
              <w:jc w:val="center"/>
            </w:pPr>
            <w:r>
              <w:rPr>
                <w:b w:val="0"/>
                <w:i w:val="0"/>
                <w:sz w:val="16"/>
              </w:rPr>
              <w:t>3.440</w:t>
            </w:r>
          </w:p>
        </w:tc>
      </w:tr>
      <w:tr>
        <w:trPr>
          <w:cantSplit/>
        </w:trPr>
        <w:tc>
          <w:tcPr>
            <w:tcW w:type="dxa" w:w="1674"/>
          </w:tcPr>
          <w:p>
            <w:pPr>
              <w:pStyle w:val="MDPI42tablebody"/>
              <w:keepNext/>
              <w:spacing w:line="240" w:lineRule="auto" w:before="30" w:after="30"/>
              <w:jc w:val="left"/>
            </w:pPr>
            <w:r>
              <w:rPr>
                <w:b w:val="0"/>
                <w:i/>
                <w:sz w:val="16"/>
              </w:rPr>
              <w:t>Size</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14.667</w:t>
            </w:r>
          </w:p>
        </w:tc>
        <w:tc>
          <w:tcPr>
            <w:tcW w:type="dxa" w:w="1098"/>
          </w:tcPr>
          <w:p>
            <w:pPr>
              <w:pStyle w:val="MDPI42tablebody"/>
              <w:keepNext/>
              <w:spacing w:line="240" w:lineRule="auto" w:before="30" w:after="30"/>
              <w:jc w:val="center"/>
            </w:pPr>
            <w:r>
              <w:rPr>
                <w:b w:val="0"/>
                <w:i w:val="0"/>
                <w:sz w:val="16"/>
              </w:rPr>
              <w:t>1.344</w:t>
            </w:r>
          </w:p>
        </w:tc>
        <w:tc>
          <w:tcPr>
            <w:tcW w:type="dxa" w:w="1098"/>
          </w:tcPr>
          <w:p>
            <w:pPr>
              <w:pStyle w:val="MDPI42tablebody"/>
              <w:keepNext/>
              <w:spacing w:line="240" w:lineRule="auto" w:before="30" w:after="30"/>
              <w:jc w:val="center"/>
            </w:pPr>
            <w:r>
              <w:rPr>
                <w:b w:val="0"/>
                <w:i w:val="0"/>
                <w:sz w:val="16"/>
              </w:rPr>
              <w:t>13.753</w:t>
            </w:r>
          </w:p>
        </w:tc>
        <w:tc>
          <w:tcPr>
            <w:tcW w:type="dxa" w:w="1098"/>
          </w:tcPr>
          <w:p>
            <w:pPr>
              <w:pStyle w:val="MDPI42tablebody"/>
              <w:keepNext/>
              <w:spacing w:line="240" w:lineRule="auto" w:before="30" w:after="30"/>
              <w:jc w:val="center"/>
            </w:pPr>
            <w:r>
              <w:rPr>
                <w:b w:val="0"/>
                <w:i w:val="0"/>
                <w:sz w:val="16"/>
              </w:rPr>
              <w:t>14.683</w:t>
            </w:r>
          </w:p>
        </w:tc>
        <w:tc>
          <w:tcPr>
            <w:tcW w:type="dxa" w:w="1098"/>
          </w:tcPr>
          <w:p>
            <w:pPr>
              <w:pStyle w:val="MDPI42tablebody"/>
              <w:keepNext/>
              <w:spacing w:line="240" w:lineRule="auto" w:before="30" w:after="30"/>
              <w:jc w:val="center"/>
            </w:pPr>
            <w:r>
              <w:rPr>
                <w:b w:val="0"/>
                <w:i w:val="0"/>
                <w:sz w:val="16"/>
              </w:rPr>
              <w:t>15.585</w:t>
            </w:r>
          </w:p>
        </w:tc>
        <w:tc>
          <w:tcPr>
            <w:tcW w:type="dxa" w:w="1098"/>
          </w:tcPr>
          <w:p>
            <w:pPr>
              <w:pStyle w:val="MDPI42tablebody"/>
              <w:keepNext/>
              <w:spacing w:line="240" w:lineRule="auto" w:before="30" w:after="30"/>
              <w:jc w:val="center"/>
            </w:pPr>
            <w:r>
              <w:rPr>
                <w:b w:val="0"/>
                <w:i w:val="0"/>
                <w:sz w:val="16"/>
              </w:rPr>
              <w:t>10.010</w:t>
            </w:r>
          </w:p>
        </w:tc>
        <w:tc>
          <w:tcPr>
            <w:tcW w:type="dxa" w:w="1098"/>
          </w:tcPr>
          <w:p>
            <w:pPr>
              <w:pStyle w:val="MDPI42tablebody"/>
              <w:keepNext/>
              <w:spacing w:line="240" w:lineRule="auto" w:before="30" w:after="30"/>
              <w:jc w:val="center"/>
            </w:pPr>
            <w:r>
              <w:rPr>
                <w:b w:val="0"/>
                <w:i w:val="0"/>
                <w:sz w:val="16"/>
              </w:rPr>
              <w:t>19.057</w:t>
            </w:r>
          </w:p>
        </w:tc>
      </w:tr>
      <w:tr>
        <w:trPr>
          <w:cantSplit/>
        </w:trPr>
        <w:tc>
          <w:tcPr>
            <w:tcW w:type="dxa" w:w="1674"/>
          </w:tcPr>
          <w:p>
            <w:pPr>
              <w:pStyle w:val="MDPI42tablebody"/>
              <w:keepNext/>
              <w:spacing w:line="240" w:lineRule="auto" w:before="30" w:after="30"/>
              <w:jc w:val="left"/>
            </w:pPr>
            <w:r>
              <w:rPr>
                <w:b w:val="0"/>
                <w:i/>
                <w:sz w:val="16"/>
              </w:rPr>
              <w:t>Lev</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0.420</w:t>
            </w:r>
          </w:p>
        </w:tc>
        <w:tc>
          <w:tcPr>
            <w:tcW w:type="dxa" w:w="1098"/>
          </w:tcPr>
          <w:p>
            <w:pPr>
              <w:pStyle w:val="MDPI42tablebody"/>
              <w:keepNext/>
              <w:spacing w:line="240" w:lineRule="auto" w:before="30" w:after="30"/>
              <w:jc w:val="center"/>
            </w:pPr>
            <w:r>
              <w:rPr>
                <w:b w:val="0"/>
                <w:i w:val="0"/>
                <w:sz w:val="16"/>
              </w:rPr>
              <w:t>0.058</w:t>
            </w:r>
          </w:p>
        </w:tc>
        <w:tc>
          <w:tcPr>
            <w:tcW w:type="dxa" w:w="1098"/>
          </w:tcPr>
          <w:p>
            <w:pPr>
              <w:pStyle w:val="MDPI42tablebody"/>
              <w:keepNext/>
              <w:spacing w:line="240" w:lineRule="auto" w:before="30" w:after="30"/>
              <w:jc w:val="center"/>
            </w:pPr>
            <w:r>
              <w:rPr>
                <w:b w:val="0"/>
                <w:i w:val="0"/>
                <w:sz w:val="16"/>
              </w:rPr>
              <w:t>0.380</w:t>
            </w:r>
          </w:p>
        </w:tc>
        <w:tc>
          <w:tcPr>
            <w:tcW w:type="dxa" w:w="1098"/>
          </w:tcPr>
          <w:p>
            <w:pPr>
              <w:pStyle w:val="MDPI42tablebody"/>
              <w:keepNext/>
              <w:spacing w:line="240" w:lineRule="auto" w:before="30" w:after="30"/>
              <w:jc w:val="center"/>
            </w:pPr>
            <w:r>
              <w:rPr>
                <w:b w:val="0"/>
                <w:i w:val="0"/>
                <w:sz w:val="16"/>
              </w:rPr>
              <w:t>0.420</w:t>
            </w:r>
          </w:p>
        </w:tc>
        <w:tc>
          <w:tcPr>
            <w:tcW w:type="dxa" w:w="1098"/>
          </w:tcPr>
          <w:p>
            <w:pPr>
              <w:pStyle w:val="MDPI42tablebody"/>
              <w:keepNext/>
              <w:spacing w:line="240" w:lineRule="auto" w:before="30" w:after="30"/>
              <w:jc w:val="center"/>
            </w:pPr>
            <w:r>
              <w:rPr>
                <w:b w:val="0"/>
                <w:i w:val="0"/>
                <w:sz w:val="16"/>
              </w:rPr>
              <w:t>0.460</w:t>
            </w:r>
          </w:p>
        </w:tc>
        <w:tc>
          <w:tcPr>
            <w:tcW w:type="dxa" w:w="1098"/>
          </w:tcPr>
          <w:p>
            <w:pPr>
              <w:pStyle w:val="MDPI42tablebody"/>
              <w:keepNext/>
              <w:spacing w:line="240" w:lineRule="auto" w:before="30" w:after="30"/>
              <w:jc w:val="center"/>
            </w:pPr>
            <w:r>
              <w:rPr>
                <w:b w:val="0"/>
                <w:i w:val="0"/>
                <w:sz w:val="16"/>
              </w:rPr>
              <w:t>0.132</w:t>
            </w:r>
          </w:p>
        </w:tc>
        <w:tc>
          <w:tcPr>
            <w:tcW w:type="dxa" w:w="1098"/>
          </w:tcPr>
          <w:p>
            <w:pPr>
              <w:pStyle w:val="MDPI42tablebody"/>
              <w:keepNext/>
              <w:spacing w:line="240" w:lineRule="auto" w:before="30" w:after="30"/>
              <w:jc w:val="center"/>
            </w:pPr>
            <w:r>
              <w:rPr>
                <w:b w:val="0"/>
                <w:i w:val="0"/>
                <w:sz w:val="16"/>
              </w:rPr>
              <w:t>0.669</w:t>
            </w:r>
          </w:p>
        </w:tc>
      </w:tr>
      <w:tr>
        <w:trPr>
          <w:cantSplit/>
        </w:trPr>
        <w:tc>
          <w:tcPr>
            <w:tcW w:type="dxa" w:w="1674"/>
          </w:tcPr>
          <w:p>
            <w:pPr>
              <w:pStyle w:val="MDPI42tablebody"/>
              <w:keepNext/>
              <w:spacing w:line="240" w:lineRule="auto" w:before="30" w:after="30"/>
              <w:jc w:val="left"/>
            </w:pPr>
            <w:r>
              <w:rPr>
                <w:b w:val="0"/>
                <w:i/>
                <w:sz w:val="16"/>
              </w:rPr>
              <w:t>ROA</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0.043</w:t>
            </w:r>
          </w:p>
        </w:tc>
        <w:tc>
          <w:tcPr>
            <w:tcW w:type="dxa" w:w="1098"/>
          </w:tcPr>
          <w:p>
            <w:pPr>
              <w:pStyle w:val="MDPI42tablebody"/>
              <w:keepNext/>
              <w:spacing w:line="240" w:lineRule="auto" w:before="30" w:after="30"/>
              <w:jc w:val="center"/>
            </w:pPr>
            <w:r>
              <w:rPr>
                <w:b w:val="0"/>
                <w:i w:val="0"/>
                <w:sz w:val="16"/>
              </w:rPr>
              <w:t>0.053</w:t>
            </w:r>
          </w:p>
        </w:tc>
        <w:tc>
          <w:tcPr>
            <w:tcW w:type="dxa" w:w="1098"/>
          </w:tcPr>
          <w:p>
            <w:pPr>
              <w:pStyle w:val="MDPI42tablebody"/>
              <w:keepNext/>
              <w:spacing w:line="240" w:lineRule="auto" w:before="30" w:after="30"/>
              <w:jc w:val="center"/>
            </w:pPr>
            <w:r>
              <w:rPr>
                <w:b w:val="0"/>
                <w:i w:val="0"/>
                <w:sz w:val="16"/>
              </w:rPr>
              <w:t>0.008</w:t>
            </w:r>
          </w:p>
        </w:tc>
        <w:tc>
          <w:tcPr>
            <w:tcW w:type="dxa" w:w="1098"/>
          </w:tcPr>
          <w:p>
            <w:pPr>
              <w:pStyle w:val="MDPI42tablebody"/>
              <w:keepNext/>
              <w:spacing w:line="240" w:lineRule="auto" w:before="30" w:after="30"/>
              <w:jc w:val="center"/>
            </w:pPr>
            <w:r>
              <w:rPr>
                <w:b w:val="0"/>
                <w:i w:val="0"/>
                <w:sz w:val="16"/>
              </w:rPr>
              <w:t>0.043</w:t>
            </w:r>
          </w:p>
        </w:tc>
        <w:tc>
          <w:tcPr>
            <w:tcW w:type="dxa" w:w="1098"/>
          </w:tcPr>
          <w:p>
            <w:pPr>
              <w:pStyle w:val="MDPI42tablebody"/>
              <w:keepNext/>
              <w:spacing w:line="240" w:lineRule="auto" w:before="30" w:after="30"/>
              <w:jc w:val="center"/>
            </w:pPr>
            <w:r>
              <w:rPr>
                <w:b w:val="0"/>
                <w:i w:val="0"/>
                <w:sz w:val="16"/>
              </w:rPr>
              <w:t>0.078</w:t>
            </w:r>
          </w:p>
        </w:tc>
        <w:tc>
          <w:tcPr>
            <w:tcW w:type="dxa" w:w="1098"/>
          </w:tcPr>
          <w:p>
            <w:pPr>
              <w:pStyle w:val="MDPI42tablebody"/>
              <w:keepNext/>
              <w:spacing w:line="240" w:lineRule="auto" w:before="30" w:after="30"/>
              <w:jc w:val="center"/>
            </w:pPr>
            <w:r>
              <w:rPr>
                <w:b w:val="0"/>
                <w:i w:val="0"/>
                <w:sz w:val="16"/>
              </w:rPr>
              <w:t>−0.159</w:t>
            </w:r>
          </w:p>
        </w:tc>
        <w:tc>
          <w:tcPr>
            <w:tcW w:type="dxa" w:w="1098"/>
          </w:tcPr>
          <w:p>
            <w:pPr>
              <w:pStyle w:val="MDPI42tablebody"/>
              <w:keepNext/>
              <w:spacing w:line="240" w:lineRule="auto" w:before="30" w:after="30"/>
              <w:jc w:val="center"/>
            </w:pPr>
            <w:r>
              <w:rPr>
                <w:b w:val="0"/>
                <w:i w:val="0"/>
                <w:sz w:val="16"/>
              </w:rPr>
              <w:t>0.252</w:t>
            </w:r>
          </w:p>
        </w:tc>
      </w:tr>
      <w:tr>
        <w:trPr>
          <w:cantSplit/>
        </w:trPr>
        <w:tc>
          <w:tcPr>
            <w:tcW w:type="dxa" w:w="1674"/>
          </w:tcPr>
          <w:p>
            <w:pPr>
              <w:pStyle w:val="MDPI42tablebody"/>
              <w:keepNext/>
              <w:spacing w:line="240" w:lineRule="auto" w:before="30" w:after="30"/>
              <w:jc w:val="left"/>
            </w:pPr>
            <w:r>
              <w:rPr>
                <w:b w:val="0"/>
                <w:i/>
                <w:sz w:val="16"/>
              </w:rPr>
              <w:t>Growth</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0.109</w:t>
            </w:r>
          </w:p>
        </w:tc>
        <w:tc>
          <w:tcPr>
            <w:tcW w:type="dxa" w:w="1098"/>
          </w:tcPr>
          <w:p>
            <w:pPr>
              <w:pStyle w:val="MDPI42tablebody"/>
              <w:keepNext/>
              <w:spacing w:line="240" w:lineRule="auto" w:before="30" w:after="30"/>
              <w:jc w:val="center"/>
            </w:pPr>
            <w:r>
              <w:rPr>
                <w:b w:val="0"/>
                <w:i w:val="0"/>
                <w:sz w:val="16"/>
              </w:rPr>
              <w:t>0.269</w:t>
            </w:r>
          </w:p>
        </w:tc>
        <w:tc>
          <w:tcPr>
            <w:tcW w:type="dxa" w:w="1098"/>
          </w:tcPr>
          <w:p>
            <w:pPr>
              <w:pStyle w:val="MDPI42tablebody"/>
              <w:keepNext/>
              <w:spacing w:line="240" w:lineRule="auto" w:before="30" w:after="30"/>
              <w:jc w:val="center"/>
            </w:pPr>
            <w:r>
              <w:rPr>
                <w:b w:val="0"/>
                <w:i w:val="0"/>
                <w:sz w:val="16"/>
              </w:rPr>
              <w:t>−0.072</w:t>
            </w:r>
          </w:p>
        </w:tc>
        <w:tc>
          <w:tcPr>
            <w:tcW w:type="dxa" w:w="1098"/>
          </w:tcPr>
          <w:p>
            <w:pPr>
              <w:pStyle w:val="MDPI42tablebody"/>
              <w:keepNext/>
              <w:spacing w:line="240" w:lineRule="auto" w:before="30" w:after="30"/>
              <w:jc w:val="center"/>
            </w:pPr>
            <w:r>
              <w:rPr>
                <w:b w:val="0"/>
                <w:i w:val="0"/>
                <w:sz w:val="16"/>
              </w:rPr>
              <w:t>0.109</w:t>
            </w:r>
          </w:p>
        </w:tc>
        <w:tc>
          <w:tcPr>
            <w:tcW w:type="dxa" w:w="1098"/>
          </w:tcPr>
          <w:p>
            <w:pPr>
              <w:pStyle w:val="MDPI42tablebody"/>
              <w:keepNext/>
              <w:spacing w:line="240" w:lineRule="auto" w:before="30" w:after="30"/>
              <w:jc w:val="center"/>
            </w:pPr>
            <w:r>
              <w:rPr>
                <w:b w:val="0"/>
                <w:i w:val="0"/>
                <w:sz w:val="16"/>
              </w:rPr>
              <w:t>0.292</w:t>
            </w:r>
          </w:p>
        </w:tc>
        <w:tc>
          <w:tcPr>
            <w:tcW w:type="dxa" w:w="1098"/>
          </w:tcPr>
          <w:p>
            <w:pPr>
              <w:pStyle w:val="MDPI42tablebody"/>
              <w:keepNext/>
              <w:spacing w:line="240" w:lineRule="auto" w:before="30" w:after="30"/>
              <w:jc w:val="center"/>
            </w:pPr>
            <w:r>
              <w:rPr>
                <w:b w:val="0"/>
                <w:i w:val="0"/>
                <w:sz w:val="16"/>
              </w:rPr>
              <w:t>−0.650</w:t>
            </w:r>
          </w:p>
        </w:tc>
        <w:tc>
          <w:tcPr>
            <w:tcW w:type="dxa" w:w="1098"/>
          </w:tcPr>
          <w:p>
            <w:pPr>
              <w:pStyle w:val="MDPI42tablebody"/>
              <w:keepNext/>
              <w:spacing w:line="240" w:lineRule="auto" w:before="30" w:after="30"/>
              <w:jc w:val="center"/>
            </w:pPr>
            <w:r>
              <w:rPr>
                <w:b w:val="0"/>
                <w:i w:val="0"/>
                <w:sz w:val="16"/>
              </w:rPr>
              <w:t>1.188</w:t>
            </w:r>
          </w:p>
        </w:tc>
      </w:tr>
      <w:tr>
        <w:trPr>
          <w:cantSplit/>
        </w:trPr>
        <w:tc>
          <w:tcPr>
            <w:tcW w:type="dxa" w:w="1674"/>
          </w:tcPr>
          <w:p>
            <w:pPr>
              <w:pStyle w:val="MDPI42tablebody"/>
              <w:keepNext/>
              <w:spacing w:line="240" w:lineRule="auto" w:before="30" w:after="30"/>
              <w:jc w:val="left"/>
            </w:pPr>
            <w:r>
              <w:rPr>
                <w:b w:val="0"/>
                <w:i/>
                <w:sz w:val="16"/>
              </w:rPr>
              <w:t>Cash</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0.172</w:t>
            </w:r>
          </w:p>
        </w:tc>
        <w:tc>
          <w:tcPr>
            <w:tcW w:type="dxa" w:w="1098"/>
          </w:tcPr>
          <w:p>
            <w:pPr>
              <w:pStyle w:val="MDPI42tablebody"/>
              <w:keepNext/>
              <w:spacing w:line="240" w:lineRule="auto" w:before="30" w:after="30"/>
              <w:jc w:val="center"/>
            </w:pPr>
            <w:r>
              <w:rPr>
                <w:b w:val="0"/>
                <w:i w:val="0"/>
                <w:sz w:val="16"/>
              </w:rPr>
              <w:t>0.095</w:t>
            </w:r>
          </w:p>
        </w:tc>
        <w:tc>
          <w:tcPr>
            <w:tcW w:type="dxa" w:w="1098"/>
          </w:tcPr>
          <w:p>
            <w:pPr>
              <w:pStyle w:val="MDPI42tablebody"/>
              <w:keepNext/>
              <w:spacing w:line="240" w:lineRule="auto" w:before="30" w:after="30"/>
              <w:jc w:val="center"/>
            </w:pPr>
            <w:r>
              <w:rPr>
                <w:b w:val="0"/>
                <w:i w:val="0"/>
                <w:sz w:val="16"/>
              </w:rPr>
              <w:t>0.101</w:t>
            </w:r>
          </w:p>
        </w:tc>
        <w:tc>
          <w:tcPr>
            <w:tcW w:type="dxa" w:w="1098"/>
          </w:tcPr>
          <w:p>
            <w:pPr>
              <w:pStyle w:val="MDPI42tablebody"/>
              <w:keepNext/>
              <w:spacing w:line="240" w:lineRule="auto" w:before="30" w:after="30"/>
              <w:jc w:val="center"/>
            </w:pPr>
            <w:r>
              <w:rPr>
                <w:b w:val="0"/>
                <w:i w:val="0"/>
                <w:sz w:val="16"/>
              </w:rPr>
              <w:t>0.169</w:t>
            </w:r>
          </w:p>
        </w:tc>
        <w:tc>
          <w:tcPr>
            <w:tcW w:type="dxa" w:w="1098"/>
          </w:tcPr>
          <w:p>
            <w:pPr>
              <w:pStyle w:val="MDPI42tablebody"/>
              <w:keepNext/>
              <w:spacing w:line="240" w:lineRule="auto" w:before="30" w:after="30"/>
              <w:jc w:val="center"/>
            </w:pPr>
            <w:r>
              <w:rPr>
                <w:b w:val="0"/>
                <w:i w:val="0"/>
                <w:sz w:val="16"/>
              </w:rPr>
              <w:t>0.237</w:t>
            </w:r>
          </w:p>
        </w:tc>
        <w:tc>
          <w:tcPr>
            <w:tcW w:type="dxa" w:w="1098"/>
          </w:tcPr>
          <w:p>
            <w:pPr>
              <w:pStyle w:val="MDPI42tablebody"/>
              <w:keepNext/>
              <w:spacing w:line="240" w:lineRule="auto" w:before="30" w:after="30"/>
              <w:jc w:val="center"/>
            </w:pPr>
            <w:r>
              <w:rPr>
                <w:b w:val="0"/>
                <w:i w:val="0"/>
                <w:sz w:val="16"/>
              </w:rPr>
              <w:t>0.010</w:t>
            </w:r>
          </w:p>
        </w:tc>
        <w:tc>
          <w:tcPr>
            <w:tcW w:type="dxa" w:w="1098"/>
          </w:tcPr>
          <w:p>
            <w:pPr>
              <w:pStyle w:val="MDPI42tablebody"/>
              <w:keepNext/>
              <w:spacing w:line="240" w:lineRule="auto" w:before="30" w:after="30"/>
              <w:jc w:val="center"/>
            </w:pPr>
            <w:r>
              <w:rPr>
                <w:b w:val="0"/>
                <w:i w:val="0"/>
                <w:sz w:val="16"/>
              </w:rPr>
              <w:t>0.565</w:t>
            </w:r>
          </w:p>
        </w:tc>
      </w:tr>
      <w:tr>
        <w:trPr>
          <w:cantSplit/>
        </w:trPr>
        <w:tc>
          <w:tcPr>
            <w:tcW w:type="dxa" w:w="1674"/>
          </w:tcPr>
          <w:p>
            <w:pPr>
              <w:pStyle w:val="MDPI42tablebody"/>
              <w:keepNext/>
              <w:spacing w:line="240" w:lineRule="auto" w:before="30" w:after="30"/>
              <w:jc w:val="left"/>
            </w:pPr>
            <w:r>
              <w:rPr>
                <w:b w:val="0"/>
                <w:i/>
                <w:sz w:val="16"/>
              </w:rPr>
              <w:t>Age</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3.029</w:t>
            </w:r>
          </w:p>
        </w:tc>
        <w:tc>
          <w:tcPr>
            <w:tcW w:type="dxa" w:w="1098"/>
          </w:tcPr>
          <w:p>
            <w:pPr>
              <w:pStyle w:val="MDPI42tablebody"/>
              <w:keepNext/>
              <w:spacing w:line="240" w:lineRule="auto" w:before="30" w:after="30"/>
              <w:jc w:val="center"/>
            </w:pPr>
            <w:r>
              <w:rPr>
                <w:b w:val="0"/>
                <w:i w:val="0"/>
                <w:sz w:val="16"/>
              </w:rPr>
              <w:t>0.457</w:t>
            </w:r>
          </w:p>
        </w:tc>
        <w:tc>
          <w:tcPr>
            <w:tcW w:type="dxa" w:w="1098"/>
          </w:tcPr>
          <w:p>
            <w:pPr>
              <w:pStyle w:val="MDPI42tablebody"/>
              <w:keepNext/>
              <w:spacing w:line="240" w:lineRule="auto" w:before="30" w:after="30"/>
              <w:jc w:val="center"/>
            </w:pPr>
            <w:r>
              <w:rPr>
                <w:b w:val="0"/>
                <w:i w:val="0"/>
                <w:sz w:val="16"/>
              </w:rPr>
              <w:t>2.708</w:t>
            </w:r>
          </w:p>
        </w:tc>
        <w:tc>
          <w:tcPr>
            <w:tcW w:type="dxa" w:w="1098"/>
          </w:tcPr>
          <w:p>
            <w:pPr>
              <w:pStyle w:val="MDPI42tablebody"/>
              <w:keepNext/>
              <w:spacing w:line="240" w:lineRule="auto" w:before="30" w:after="30"/>
              <w:jc w:val="center"/>
            </w:pPr>
            <w:r>
              <w:rPr>
                <w:b w:val="0"/>
                <w:i w:val="0"/>
                <w:sz w:val="16"/>
              </w:rPr>
              <w:t>3.135</w:t>
            </w:r>
          </w:p>
        </w:tc>
        <w:tc>
          <w:tcPr>
            <w:tcW w:type="dxa" w:w="1098"/>
          </w:tcPr>
          <w:p>
            <w:pPr>
              <w:pStyle w:val="MDPI42tablebody"/>
              <w:keepNext/>
              <w:spacing w:line="240" w:lineRule="auto" w:before="30" w:after="30"/>
              <w:jc w:val="center"/>
            </w:pPr>
            <w:r>
              <w:rPr>
                <w:b w:val="0"/>
                <w:i w:val="0"/>
                <w:sz w:val="16"/>
              </w:rPr>
              <w:t>3.401</w:t>
            </w:r>
          </w:p>
        </w:tc>
        <w:tc>
          <w:tcPr>
            <w:tcW w:type="dxa" w:w="1098"/>
          </w:tcPr>
          <w:p>
            <w:pPr>
              <w:pStyle w:val="MDPI42tablebody"/>
              <w:keepNext/>
              <w:spacing w:line="240" w:lineRule="auto" w:before="30" w:after="30"/>
              <w:jc w:val="center"/>
            </w:pPr>
            <w:r>
              <w:rPr>
                <w:b w:val="0"/>
                <w:i w:val="0"/>
                <w:sz w:val="16"/>
              </w:rPr>
              <w:t>1.386</w:t>
            </w:r>
          </w:p>
        </w:tc>
        <w:tc>
          <w:tcPr>
            <w:tcW w:type="dxa" w:w="1098"/>
          </w:tcPr>
          <w:p>
            <w:pPr>
              <w:pStyle w:val="MDPI42tablebody"/>
              <w:keepNext/>
              <w:spacing w:line="240" w:lineRule="auto" w:before="30" w:after="30"/>
              <w:jc w:val="center"/>
            </w:pPr>
            <w:r>
              <w:rPr>
                <w:b w:val="0"/>
                <w:i w:val="0"/>
                <w:sz w:val="16"/>
              </w:rPr>
              <w:t>3.714</w:t>
            </w:r>
          </w:p>
        </w:tc>
      </w:tr>
      <w:tr>
        <w:trPr>
          <w:cantSplit/>
        </w:trPr>
        <w:tc>
          <w:tcPr>
            <w:tcW w:type="dxa" w:w="1674"/>
          </w:tcPr>
          <w:p>
            <w:pPr>
              <w:pStyle w:val="MDPI42tablebody"/>
              <w:keepNext/>
              <w:spacing w:line="240" w:lineRule="auto" w:before="30" w:after="30"/>
              <w:jc w:val="left"/>
            </w:pPr>
            <w:r>
              <w:rPr>
                <w:b w:val="0"/>
                <w:i/>
                <w:sz w:val="16"/>
              </w:rPr>
              <w:t>TobinQ</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1.991</w:t>
            </w:r>
          </w:p>
        </w:tc>
        <w:tc>
          <w:tcPr>
            <w:tcW w:type="dxa" w:w="1098"/>
          </w:tcPr>
          <w:p>
            <w:pPr>
              <w:pStyle w:val="MDPI42tablebody"/>
              <w:keepNext/>
              <w:spacing w:line="240" w:lineRule="auto" w:before="30" w:after="30"/>
              <w:jc w:val="center"/>
            </w:pPr>
            <w:r>
              <w:rPr>
                <w:b w:val="0"/>
                <w:i w:val="0"/>
                <w:sz w:val="16"/>
              </w:rPr>
              <w:t>0.967</w:t>
            </w:r>
          </w:p>
        </w:tc>
        <w:tc>
          <w:tcPr>
            <w:tcW w:type="dxa" w:w="1098"/>
          </w:tcPr>
          <w:p>
            <w:pPr>
              <w:pStyle w:val="MDPI42tablebody"/>
              <w:keepNext/>
              <w:spacing w:line="240" w:lineRule="auto" w:before="30" w:after="30"/>
              <w:jc w:val="center"/>
            </w:pPr>
            <w:r>
              <w:rPr>
                <w:b w:val="0"/>
                <w:i w:val="0"/>
                <w:sz w:val="16"/>
              </w:rPr>
              <w:t>1.237</w:t>
            </w:r>
          </w:p>
        </w:tc>
        <w:tc>
          <w:tcPr>
            <w:tcW w:type="dxa" w:w="1098"/>
          </w:tcPr>
          <w:p>
            <w:pPr>
              <w:pStyle w:val="MDPI42tablebody"/>
              <w:keepNext/>
              <w:spacing w:line="240" w:lineRule="auto" w:before="30" w:after="30"/>
              <w:jc w:val="center"/>
            </w:pPr>
            <w:r>
              <w:rPr>
                <w:b w:val="0"/>
                <w:i w:val="0"/>
                <w:sz w:val="16"/>
              </w:rPr>
              <w:t>1.948</w:t>
            </w:r>
          </w:p>
        </w:tc>
        <w:tc>
          <w:tcPr>
            <w:tcW w:type="dxa" w:w="1098"/>
          </w:tcPr>
          <w:p>
            <w:pPr>
              <w:pStyle w:val="MDPI42tablebody"/>
              <w:keepNext/>
              <w:spacing w:line="240" w:lineRule="auto" w:before="30" w:after="30"/>
              <w:jc w:val="center"/>
            </w:pPr>
            <w:r>
              <w:rPr>
                <w:b w:val="0"/>
                <w:i w:val="0"/>
                <w:sz w:val="16"/>
              </w:rPr>
              <w:t>2.658</w:t>
            </w:r>
          </w:p>
        </w:tc>
        <w:tc>
          <w:tcPr>
            <w:tcW w:type="dxa" w:w="1098"/>
          </w:tcPr>
          <w:p>
            <w:pPr>
              <w:pStyle w:val="MDPI42tablebody"/>
              <w:keepNext/>
              <w:spacing w:line="240" w:lineRule="auto" w:before="30" w:after="30"/>
              <w:jc w:val="center"/>
            </w:pPr>
            <w:r>
              <w:rPr>
                <w:b w:val="0"/>
                <w:i w:val="0"/>
                <w:sz w:val="16"/>
              </w:rPr>
              <w:t>0.550</w:t>
            </w:r>
          </w:p>
        </w:tc>
        <w:tc>
          <w:tcPr>
            <w:tcW w:type="dxa" w:w="1098"/>
          </w:tcPr>
          <w:p>
            <w:pPr>
              <w:pStyle w:val="MDPI42tablebody"/>
              <w:keepNext/>
              <w:spacing w:line="240" w:lineRule="auto" w:before="30" w:after="30"/>
              <w:jc w:val="center"/>
            </w:pPr>
            <w:r>
              <w:rPr>
                <w:b w:val="0"/>
                <w:i w:val="0"/>
                <w:sz w:val="16"/>
              </w:rPr>
              <w:t>6.340</w:t>
            </w:r>
          </w:p>
        </w:tc>
      </w:tr>
      <w:tr>
        <w:trPr>
          <w:cantSplit/>
        </w:trPr>
        <w:tc>
          <w:tcPr>
            <w:tcW w:type="dxa" w:w="1674"/>
          </w:tcPr>
          <w:p>
            <w:pPr>
              <w:pStyle w:val="MDPI42tablebody"/>
              <w:keepNext/>
              <w:spacing w:line="240" w:lineRule="auto" w:before="30" w:after="30"/>
              <w:jc w:val="left"/>
            </w:pPr>
            <w:r>
              <w:rPr>
                <w:b w:val="0"/>
                <w:i/>
                <w:sz w:val="16"/>
              </w:rPr>
              <w:t>CapInt</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7.028</w:t>
            </w:r>
          </w:p>
        </w:tc>
        <w:tc>
          <w:tcPr>
            <w:tcW w:type="dxa" w:w="1098"/>
          </w:tcPr>
          <w:p>
            <w:pPr>
              <w:pStyle w:val="MDPI42tablebody"/>
              <w:keepNext/>
              <w:spacing w:line="240" w:lineRule="auto" w:before="30" w:after="30"/>
              <w:jc w:val="center"/>
            </w:pPr>
            <w:r>
              <w:rPr>
                <w:b w:val="0"/>
                <w:i w:val="0"/>
                <w:sz w:val="16"/>
              </w:rPr>
              <w:t>0.802</w:t>
            </w:r>
          </w:p>
        </w:tc>
        <w:tc>
          <w:tcPr>
            <w:tcW w:type="dxa" w:w="1098"/>
          </w:tcPr>
          <w:p>
            <w:pPr>
              <w:pStyle w:val="MDPI42tablebody"/>
              <w:keepNext/>
              <w:spacing w:line="240" w:lineRule="auto" w:before="30" w:after="30"/>
              <w:jc w:val="center"/>
            </w:pPr>
            <w:r>
              <w:rPr>
                <w:b w:val="0"/>
                <w:i w:val="0"/>
                <w:sz w:val="16"/>
              </w:rPr>
              <w:t>6.479</w:t>
            </w:r>
          </w:p>
        </w:tc>
        <w:tc>
          <w:tcPr>
            <w:tcW w:type="dxa" w:w="1098"/>
          </w:tcPr>
          <w:p>
            <w:pPr>
              <w:pStyle w:val="MDPI42tablebody"/>
              <w:keepNext/>
              <w:spacing w:line="240" w:lineRule="auto" w:before="30" w:after="30"/>
              <w:jc w:val="center"/>
            </w:pPr>
            <w:r>
              <w:rPr>
                <w:b w:val="0"/>
                <w:i w:val="0"/>
                <w:sz w:val="16"/>
              </w:rPr>
              <w:t>7.027</w:t>
            </w:r>
          </w:p>
        </w:tc>
        <w:tc>
          <w:tcPr>
            <w:tcW w:type="dxa" w:w="1098"/>
          </w:tcPr>
          <w:p>
            <w:pPr>
              <w:pStyle w:val="MDPI42tablebody"/>
              <w:keepNext/>
              <w:spacing w:line="240" w:lineRule="auto" w:before="30" w:after="30"/>
              <w:jc w:val="center"/>
            </w:pPr>
            <w:r>
              <w:rPr>
                <w:b w:val="0"/>
                <w:i w:val="0"/>
                <w:sz w:val="16"/>
              </w:rPr>
              <w:t>7.574</w:t>
            </w:r>
          </w:p>
        </w:tc>
        <w:tc>
          <w:tcPr>
            <w:tcW w:type="dxa" w:w="1098"/>
          </w:tcPr>
          <w:p>
            <w:pPr>
              <w:pStyle w:val="MDPI42tablebody"/>
              <w:keepNext/>
              <w:spacing w:line="240" w:lineRule="auto" w:before="30" w:after="30"/>
              <w:jc w:val="center"/>
            </w:pPr>
            <w:r>
              <w:rPr>
                <w:b w:val="0"/>
                <w:i w:val="0"/>
                <w:sz w:val="16"/>
              </w:rPr>
              <w:t>3.804</w:t>
            </w:r>
          </w:p>
        </w:tc>
        <w:tc>
          <w:tcPr>
            <w:tcW w:type="dxa" w:w="1098"/>
          </w:tcPr>
          <w:p>
            <w:pPr>
              <w:pStyle w:val="MDPI42tablebody"/>
              <w:keepNext/>
              <w:spacing w:line="240" w:lineRule="auto" w:before="30" w:after="30"/>
              <w:jc w:val="center"/>
            </w:pPr>
            <w:r>
              <w:rPr>
                <w:b w:val="0"/>
                <w:i w:val="0"/>
                <w:sz w:val="16"/>
              </w:rPr>
              <w:t>10.028</w:t>
            </w:r>
          </w:p>
        </w:tc>
      </w:tr>
      <w:tr>
        <w:trPr>
          <w:cantSplit/>
        </w:trPr>
        <w:tc>
          <w:tcPr>
            <w:tcW w:type="dxa" w:w="1674"/>
          </w:tcPr>
          <w:p>
            <w:pPr>
              <w:pStyle w:val="MDPI42tablebody"/>
              <w:keepNext/>
              <w:spacing w:line="240" w:lineRule="auto" w:before="30" w:after="30"/>
              <w:jc w:val="left"/>
            </w:pPr>
            <w:r>
              <w:rPr>
                <w:b w:val="0"/>
                <w:i/>
                <w:sz w:val="16"/>
              </w:rPr>
              <w:t>Wage</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12.080</w:t>
            </w:r>
          </w:p>
        </w:tc>
        <w:tc>
          <w:tcPr>
            <w:tcW w:type="dxa" w:w="1098"/>
          </w:tcPr>
          <w:p>
            <w:pPr>
              <w:pStyle w:val="MDPI42tablebody"/>
              <w:keepNext/>
              <w:spacing w:line="240" w:lineRule="auto" w:before="30" w:after="30"/>
              <w:jc w:val="center"/>
            </w:pPr>
            <w:r>
              <w:rPr>
                <w:b w:val="0"/>
                <w:i w:val="0"/>
                <w:sz w:val="16"/>
              </w:rPr>
              <w:t>0.339</w:t>
            </w:r>
          </w:p>
        </w:tc>
        <w:tc>
          <w:tcPr>
            <w:tcW w:type="dxa" w:w="1098"/>
          </w:tcPr>
          <w:p>
            <w:pPr>
              <w:pStyle w:val="MDPI42tablebody"/>
              <w:keepNext/>
              <w:spacing w:line="240" w:lineRule="auto" w:before="30" w:after="30"/>
              <w:jc w:val="center"/>
            </w:pPr>
            <w:r>
              <w:rPr>
                <w:b w:val="0"/>
                <w:i w:val="0"/>
                <w:sz w:val="16"/>
              </w:rPr>
              <w:t>11.851</w:t>
            </w:r>
          </w:p>
        </w:tc>
        <w:tc>
          <w:tcPr>
            <w:tcW w:type="dxa" w:w="1098"/>
          </w:tcPr>
          <w:p>
            <w:pPr>
              <w:pStyle w:val="MDPI42tablebody"/>
              <w:keepNext/>
              <w:spacing w:line="240" w:lineRule="auto" w:before="30" w:after="30"/>
              <w:jc w:val="center"/>
            </w:pPr>
            <w:r>
              <w:rPr>
                <w:b w:val="0"/>
                <w:i w:val="0"/>
                <w:sz w:val="16"/>
              </w:rPr>
              <w:t>12.076</w:t>
            </w:r>
          </w:p>
        </w:tc>
        <w:tc>
          <w:tcPr>
            <w:tcW w:type="dxa" w:w="1098"/>
          </w:tcPr>
          <w:p>
            <w:pPr>
              <w:pStyle w:val="MDPI42tablebody"/>
              <w:keepNext/>
              <w:spacing w:line="240" w:lineRule="auto" w:before="30" w:after="30"/>
              <w:jc w:val="center"/>
            </w:pPr>
            <w:r>
              <w:rPr>
                <w:b w:val="0"/>
                <w:i w:val="0"/>
                <w:sz w:val="16"/>
              </w:rPr>
              <w:t>12.312</w:t>
            </w:r>
          </w:p>
        </w:tc>
        <w:tc>
          <w:tcPr>
            <w:tcW w:type="dxa" w:w="1098"/>
          </w:tcPr>
          <w:p>
            <w:pPr>
              <w:pStyle w:val="MDPI42tablebody"/>
              <w:keepNext/>
              <w:spacing w:line="240" w:lineRule="auto" w:before="30" w:after="30"/>
              <w:jc w:val="center"/>
            </w:pPr>
            <w:r>
              <w:rPr>
                <w:b w:val="0"/>
                <w:i w:val="0"/>
                <w:sz w:val="16"/>
              </w:rPr>
              <w:t>10.630</w:t>
            </w:r>
          </w:p>
        </w:tc>
        <w:tc>
          <w:tcPr>
            <w:tcW w:type="dxa" w:w="1098"/>
          </w:tcPr>
          <w:p>
            <w:pPr>
              <w:pStyle w:val="MDPI42tablebody"/>
              <w:keepNext/>
              <w:spacing w:line="240" w:lineRule="auto" w:before="30" w:after="30"/>
              <w:jc w:val="center"/>
            </w:pPr>
            <w:r>
              <w:rPr>
                <w:b w:val="0"/>
                <w:i w:val="0"/>
                <w:sz w:val="16"/>
              </w:rPr>
              <w:t>13.307</w:t>
            </w:r>
          </w:p>
        </w:tc>
      </w:tr>
      <w:tr>
        <w:trPr>
          <w:cantSplit/>
        </w:trPr>
        <w:tc>
          <w:tcPr>
            <w:tcW w:type="dxa" w:w="1674"/>
          </w:tcPr>
          <w:p>
            <w:pPr>
              <w:pStyle w:val="MDPI42tablebody"/>
              <w:keepNext/>
              <w:spacing w:line="240" w:lineRule="auto" w:before="30" w:after="30"/>
              <w:jc w:val="left"/>
            </w:pPr>
            <w:r>
              <w:rPr>
                <w:b w:val="0"/>
                <w:i/>
                <w:sz w:val="16"/>
              </w:rPr>
              <w:t>Analyst</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1.574</w:t>
            </w:r>
          </w:p>
        </w:tc>
        <w:tc>
          <w:tcPr>
            <w:tcW w:type="dxa" w:w="1098"/>
          </w:tcPr>
          <w:p>
            <w:pPr>
              <w:pStyle w:val="MDPI42tablebody"/>
              <w:keepNext/>
              <w:spacing w:line="240" w:lineRule="auto" w:before="30" w:after="30"/>
              <w:jc w:val="center"/>
            </w:pPr>
            <w:r>
              <w:rPr>
                <w:b w:val="0"/>
                <w:i w:val="0"/>
                <w:sz w:val="16"/>
              </w:rPr>
              <w:t>0.478</w:t>
            </w:r>
          </w:p>
        </w:tc>
        <w:tc>
          <w:tcPr>
            <w:tcW w:type="dxa" w:w="1098"/>
          </w:tcPr>
          <w:p>
            <w:pPr>
              <w:pStyle w:val="MDPI42tablebody"/>
              <w:keepNext/>
              <w:spacing w:line="240" w:lineRule="auto" w:before="30" w:after="30"/>
              <w:jc w:val="center"/>
            </w:pPr>
            <w:r>
              <w:rPr>
                <w:b w:val="0"/>
                <w:i w:val="0"/>
                <w:sz w:val="16"/>
              </w:rPr>
              <w:t>1.229</w:t>
            </w:r>
          </w:p>
        </w:tc>
        <w:tc>
          <w:tcPr>
            <w:tcW w:type="dxa" w:w="1098"/>
          </w:tcPr>
          <w:p>
            <w:pPr>
              <w:pStyle w:val="MDPI42tablebody"/>
              <w:keepNext/>
              <w:spacing w:line="240" w:lineRule="auto" w:before="30" w:after="30"/>
              <w:jc w:val="center"/>
            </w:pPr>
            <w:r>
              <w:rPr>
                <w:b w:val="0"/>
                <w:i w:val="0"/>
                <w:sz w:val="16"/>
              </w:rPr>
              <w:t>1.542</w:t>
            </w:r>
          </w:p>
        </w:tc>
        <w:tc>
          <w:tcPr>
            <w:tcW w:type="dxa" w:w="1098"/>
          </w:tcPr>
          <w:p>
            <w:pPr>
              <w:pStyle w:val="MDPI42tablebody"/>
              <w:keepNext/>
              <w:spacing w:line="240" w:lineRule="auto" w:before="30" w:after="30"/>
              <w:jc w:val="center"/>
            </w:pPr>
            <w:r>
              <w:rPr>
                <w:b w:val="0"/>
                <w:i w:val="0"/>
                <w:sz w:val="16"/>
              </w:rPr>
              <w:t>1.885</w:t>
            </w:r>
          </w:p>
        </w:tc>
        <w:tc>
          <w:tcPr>
            <w:tcW w:type="dxa" w:w="1098"/>
          </w:tcPr>
          <w:p>
            <w:pPr>
              <w:pStyle w:val="MDPI42tablebody"/>
              <w:keepNext/>
              <w:spacing w:line="240" w:lineRule="auto" w:before="30" w:after="30"/>
              <w:jc w:val="center"/>
            </w:pPr>
            <w:r>
              <w:rPr>
                <w:b w:val="0"/>
                <w:i w:val="0"/>
                <w:sz w:val="16"/>
              </w:rPr>
              <w:t>0.266</w:t>
            </w:r>
          </w:p>
        </w:tc>
        <w:tc>
          <w:tcPr>
            <w:tcW w:type="dxa" w:w="1098"/>
          </w:tcPr>
          <w:p>
            <w:pPr>
              <w:pStyle w:val="MDPI42tablebody"/>
              <w:keepNext/>
              <w:spacing w:line="240" w:lineRule="auto" w:before="30" w:after="30"/>
              <w:jc w:val="center"/>
            </w:pPr>
            <w:r>
              <w:rPr>
                <w:b w:val="0"/>
                <w:i w:val="0"/>
                <w:sz w:val="16"/>
              </w:rPr>
              <w:t>3.913</w:t>
            </w:r>
          </w:p>
        </w:tc>
      </w:tr>
      <w:tr>
        <w:trPr>
          <w:cantSplit/>
        </w:trPr>
        <w:tc>
          <w:tcPr>
            <w:tcW w:type="dxa" w:w="1674"/>
          </w:tcPr>
          <w:p>
            <w:pPr>
              <w:pStyle w:val="MDPI42tablebody"/>
              <w:keepNext/>
              <w:spacing w:line="240" w:lineRule="auto" w:before="30" w:after="30"/>
              <w:jc w:val="left"/>
            </w:pPr>
            <w:r>
              <w:rPr>
                <w:b w:val="0"/>
                <w:i/>
                <w:sz w:val="16"/>
              </w:rPr>
              <w:t>InstOwn</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0.411</w:t>
            </w:r>
          </w:p>
        </w:tc>
        <w:tc>
          <w:tcPr>
            <w:tcW w:type="dxa" w:w="1098"/>
          </w:tcPr>
          <w:p>
            <w:pPr>
              <w:pStyle w:val="MDPI42tablebody"/>
              <w:keepNext/>
              <w:spacing w:line="240" w:lineRule="auto" w:before="30" w:after="30"/>
              <w:jc w:val="center"/>
            </w:pPr>
            <w:r>
              <w:rPr>
                <w:b w:val="0"/>
                <w:i w:val="0"/>
                <w:sz w:val="16"/>
              </w:rPr>
              <w:t>0.169</w:t>
            </w:r>
          </w:p>
        </w:tc>
        <w:tc>
          <w:tcPr>
            <w:tcW w:type="dxa" w:w="1098"/>
          </w:tcPr>
          <w:p>
            <w:pPr>
              <w:pStyle w:val="MDPI42tablebody"/>
              <w:keepNext/>
              <w:spacing w:line="240" w:lineRule="auto" w:before="30" w:after="30"/>
              <w:jc w:val="center"/>
            </w:pPr>
            <w:r>
              <w:rPr>
                <w:b w:val="0"/>
                <w:i w:val="0"/>
                <w:sz w:val="16"/>
              </w:rPr>
              <w:t>0.294</w:t>
            </w:r>
          </w:p>
        </w:tc>
        <w:tc>
          <w:tcPr>
            <w:tcW w:type="dxa" w:w="1098"/>
          </w:tcPr>
          <w:p>
            <w:pPr>
              <w:pStyle w:val="MDPI42tablebody"/>
              <w:keepNext/>
              <w:spacing w:line="240" w:lineRule="auto" w:before="30" w:after="30"/>
              <w:jc w:val="center"/>
            </w:pPr>
            <w:r>
              <w:rPr>
                <w:b w:val="0"/>
                <w:i w:val="0"/>
                <w:sz w:val="16"/>
              </w:rPr>
              <w:t>0.410</w:t>
            </w:r>
          </w:p>
        </w:tc>
        <w:tc>
          <w:tcPr>
            <w:tcW w:type="dxa" w:w="1098"/>
          </w:tcPr>
          <w:p>
            <w:pPr>
              <w:pStyle w:val="MDPI42tablebody"/>
              <w:keepNext/>
              <w:spacing w:line="240" w:lineRule="auto" w:before="30" w:after="30"/>
              <w:jc w:val="center"/>
            </w:pPr>
            <w:r>
              <w:rPr>
                <w:b w:val="0"/>
                <w:i w:val="0"/>
                <w:sz w:val="16"/>
              </w:rPr>
              <w:t>0.525</w:t>
            </w:r>
          </w:p>
        </w:tc>
        <w:tc>
          <w:tcPr>
            <w:tcW w:type="dxa" w:w="1098"/>
          </w:tcPr>
          <w:p>
            <w:pPr>
              <w:pStyle w:val="MDPI42tablebody"/>
              <w:keepNext/>
              <w:spacing w:line="240" w:lineRule="auto" w:before="30" w:after="30"/>
              <w:jc w:val="center"/>
            </w:pPr>
            <w:r>
              <w:rPr>
                <w:b w:val="0"/>
                <w:i w:val="0"/>
                <w:sz w:val="16"/>
              </w:rPr>
              <w:t>0.010</w:t>
            </w:r>
          </w:p>
        </w:tc>
        <w:tc>
          <w:tcPr>
            <w:tcW w:type="dxa" w:w="1098"/>
          </w:tcPr>
          <w:p>
            <w:pPr>
              <w:pStyle w:val="MDPI42tablebody"/>
              <w:keepNext/>
              <w:spacing w:line="240" w:lineRule="auto" w:before="30" w:after="30"/>
              <w:jc w:val="center"/>
            </w:pPr>
            <w:r>
              <w:rPr>
                <w:b w:val="0"/>
                <w:i w:val="0"/>
                <w:sz w:val="16"/>
              </w:rPr>
              <w:t>0.950</w:t>
            </w:r>
          </w:p>
        </w:tc>
      </w:tr>
      <w:tr>
        <w:trPr>
          <w:cantSplit/>
        </w:trPr>
        <w:tc>
          <w:tcPr>
            <w:tcW w:type="dxa" w:w="1674"/>
          </w:tcPr>
          <w:p>
            <w:pPr>
              <w:pStyle w:val="MDPI42tablebody"/>
              <w:keepNext/>
              <w:spacing w:line="240" w:lineRule="auto" w:before="30" w:after="30"/>
              <w:jc w:val="left"/>
            </w:pPr>
            <w:r>
              <w:rPr>
                <w:b w:val="0"/>
                <w:i/>
                <w:sz w:val="16"/>
              </w:rPr>
              <w:t>GDPg</w:t>
            </w:r>
          </w:p>
        </w:tc>
        <w:tc>
          <w:tcPr>
            <w:tcW w:type="dxa" w:w="1098"/>
          </w:tcPr>
          <w:p>
            <w:pPr>
              <w:pStyle w:val="MDPI42tablebody"/>
              <w:keepNext/>
              <w:spacing w:line="240" w:lineRule="auto" w:before="30" w:after="30"/>
              <w:jc w:val="center"/>
            </w:pPr>
            <w:r>
              <w:rPr>
                <w:b w:val="0"/>
                <w:i w:val="0"/>
                <w:sz w:val="16"/>
              </w:rPr>
              <w:t>29,660</w:t>
            </w:r>
          </w:p>
        </w:tc>
        <w:tc>
          <w:tcPr>
            <w:tcW w:type="dxa" w:w="1098"/>
          </w:tcPr>
          <w:p>
            <w:pPr>
              <w:pStyle w:val="MDPI42tablebody"/>
              <w:keepNext/>
              <w:spacing w:line="240" w:lineRule="auto" w:before="30" w:after="30"/>
              <w:jc w:val="center"/>
            </w:pPr>
            <w:r>
              <w:rPr>
                <w:b w:val="0"/>
                <w:i w:val="0"/>
                <w:sz w:val="16"/>
              </w:rPr>
              <w:t>5.355</w:t>
            </w:r>
          </w:p>
        </w:tc>
        <w:tc>
          <w:tcPr>
            <w:tcW w:type="dxa" w:w="1098"/>
          </w:tcPr>
          <w:p>
            <w:pPr>
              <w:pStyle w:val="MDPI42tablebody"/>
              <w:keepNext/>
              <w:spacing w:line="240" w:lineRule="auto" w:before="30" w:after="30"/>
              <w:jc w:val="center"/>
            </w:pPr>
            <w:r>
              <w:rPr>
                <w:b w:val="0"/>
                <w:i w:val="0"/>
                <w:sz w:val="16"/>
              </w:rPr>
              <w:t>0.877</w:t>
            </w:r>
          </w:p>
        </w:tc>
        <w:tc>
          <w:tcPr>
            <w:tcW w:type="dxa" w:w="1098"/>
          </w:tcPr>
          <w:p>
            <w:pPr>
              <w:pStyle w:val="MDPI42tablebody"/>
              <w:keepNext/>
              <w:spacing w:line="240" w:lineRule="auto" w:before="30" w:after="30"/>
              <w:jc w:val="center"/>
            </w:pPr>
            <w:r>
              <w:rPr>
                <w:b w:val="0"/>
                <w:i w:val="0"/>
                <w:sz w:val="16"/>
              </w:rPr>
              <w:t>4.744</w:t>
            </w:r>
          </w:p>
        </w:tc>
        <w:tc>
          <w:tcPr>
            <w:tcW w:type="dxa" w:w="1098"/>
          </w:tcPr>
          <w:p>
            <w:pPr>
              <w:pStyle w:val="MDPI42tablebody"/>
              <w:keepNext/>
              <w:spacing w:line="240" w:lineRule="auto" w:before="30" w:after="30"/>
              <w:jc w:val="center"/>
            </w:pPr>
            <w:r>
              <w:rPr>
                <w:b w:val="0"/>
                <w:i w:val="0"/>
                <w:sz w:val="16"/>
              </w:rPr>
              <w:t>5.350</w:t>
            </w:r>
          </w:p>
        </w:tc>
        <w:tc>
          <w:tcPr>
            <w:tcW w:type="dxa" w:w="1098"/>
          </w:tcPr>
          <w:p>
            <w:pPr>
              <w:pStyle w:val="MDPI42tablebody"/>
              <w:keepNext/>
              <w:spacing w:line="240" w:lineRule="auto" w:before="30" w:after="30"/>
              <w:jc w:val="center"/>
            </w:pPr>
            <w:r>
              <w:rPr>
                <w:b w:val="0"/>
                <w:i w:val="0"/>
                <w:sz w:val="16"/>
              </w:rPr>
              <w:t>5.953</w:t>
            </w:r>
          </w:p>
        </w:tc>
        <w:tc>
          <w:tcPr>
            <w:tcW w:type="dxa" w:w="1098"/>
          </w:tcPr>
          <w:p>
            <w:pPr>
              <w:pStyle w:val="MDPI42tablebody"/>
              <w:keepNext/>
              <w:spacing w:line="240" w:lineRule="auto" w:before="30" w:after="30"/>
              <w:jc w:val="center"/>
            </w:pPr>
            <w:r>
              <w:rPr>
                <w:b w:val="0"/>
                <w:i w:val="0"/>
                <w:sz w:val="16"/>
              </w:rPr>
              <w:t>2.404</w:t>
            </w:r>
          </w:p>
        </w:tc>
        <w:tc>
          <w:tcPr>
            <w:tcW w:type="dxa" w:w="1098"/>
          </w:tcPr>
          <w:p>
            <w:pPr>
              <w:pStyle w:val="MDPI42tablebody"/>
              <w:keepNext/>
              <w:spacing w:line="240" w:lineRule="auto" w:before="30" w:after="30"/>
              <w:jc w:val="center"/>
            </w:pPr>
            <w:r>
              <w:rPr>
                <w:b w:val="0"/>
                <w:i w:val="0"/>
                <w:sz w:val="16"/>
              </w:rPr>
              <w:t>8.535</w:t>
            </w:r>
          </w:p>
        </w:tc>
      </w:tr>
      <w:tr>
        <w:trPr>
          <w:cantSplit/>
        </w:trPr>
        <w:tc>
          <w:tcPr>
            <w:tcW w:type="dxa" w:w="1674"/>
          </w:tcPr>
          <w:p>
            <w:pPr>
              <w:pStyle w:val="MDPI42tablebody"/>
              <w:spacing w:line="240" w:lineRule="auto" w:before="30" w:after="30"/>
              <w:jc w:val="left"/>
            </w:pPr>
            <w:r>
              <w:rPr>
                <w:b w:val="0"/>
                <w:i/>
                <w:sz w:val="16"/>
              </w:rPr>
              <w:t>YouthU</w:t>
            </w:r>
          </w:p>
        </w:tc>
        <w:tc>
          <w:tcPr>
            <w:tcW w:type="dxa" w:w="1098"/>
          </w:tcPr>
          <w:p>
            <w:pPr>
              <w:pStyle w:val="MDPI42tablebody"/>
              <w:spacing w:line="240" w:lineRule="auto" w:before="30" w:after="30"/>
              <w:jc w:val="center"/>
            </w:pPr>
            <w:r>
              <w:rPr>
                <w:b w:val="0"/>
                <w:i w:val="0"/>
                <w:sz w:val="16"/>
              </w:rPr>
              <w:t>29,660</w:t>
            </w:r>
          </w:p>
        </w:tc>
        <w:tc>
          <w:tcPr>
            <w:tcW w:type="dxa" w:w="1098"/>
          </w:tcPr>
          <w:p>
            <w:pPr>
              <w:pStyle w:val="MDPI42tablebody"/>
              <w:spacing w:line="240" w:lineRule="auto" w:before="30" w:after="30"/>
              <w:jc w:val="center"/>
            </w:pPr>
            <w:r>
              <w:rPr>
                <w:b w:val="0"/>
                <w:i w:val="0"/>
                <w:sz w:val="16"/>
              </w:rPr>
              <w:t>15.352</w:t>
            </w:r>
          </w:p>
        </w:tc>
        <w:tc>
          <w:tcPr>
            <w:tcW w:type="dxa" w:w="1098"/>
          </w:tcPr>
          <w:p>
            <w:pPr>
              <w:pStyle w:val="MDPI42tablebody"/>
              <w:spacing w:line="240" w:lineRule="auto" w:before="30" w:after="30"/>
              <w:jc w:val="center"/>
            </w:pPr>
            <w:r>
              <w:rPr>
                <w:b w:val="0"/>
                <w:i w:val="0"/>
                <w:sz w:val="16"/>
              </w:rPr>
              <w:t>1.449</w:t>
            </w:r>
          </w:p>
        </w:tc>
        <w:tc>
          <w:tcPr>
            <w:tcW w:type="dxa" w:w="1098"/>
          </w:tcPr>
          <w:p>
            <w:pPr>
              <w:pStyle w:val="MDPI42tablebody"/>
              <w:spacing w:line="240" w:lineRule="auto" w:before="30" w:after="30"/>
              <w:jc w:val="center"/>
            </w:pPr>
            <w:r>
              <w:rPr>
                <w:b w:val="0"/>
                <w:i w:val="0"/>
                <w:sz w:val="16"/>
              </w:rPr>
              <w:t>14.316</w:t>
            </w:r>
          </w:p>
        </w:tc>
        <w:tc>
          <w:tcPr>
            <w:tcW w:type="dxa" w:w="1098"/>
          </w:tcPr>
          <w:p>
            <w:pPr>
              <w:pStyle w:val="MDPI42tablebody"/>
              <w:spacing w:line="240" w:lineRule="auto" w:before="30" w:after="30"/>
              <w:jc w:val="center"/>
            </w:pPr>
            <w:r>
              <w:rPr>
                <w:b w:val="0"/>
                <w:i w:val="0"/>
                <w:sz w:val="16"/>
              </w:rPr>
              <w:t>15.375</w:t>
            </w:r>
          </w:p>
        </w:tc>
        <w:tc>
          <w:tcPr>
            <w:tcW w:type="dxa" w:w="1098"/>
          </w:tcPr>
          <w:p>
            <w:pPr>
              <w:pStyle w:val="MDPI42tablebody"/>
              <w:spacing w:line="240" w:lineRule="auto" w:before="30" w:after="30"/>
              <w:jc w:val="center"/>
            </w:pPr>
            <w:r>
              <w:rPr>
                <w:b w:val="0"/>
                <w:i w:val="0"/>
                <w:sz w:val="16"/>
              </w:rPr>
              <w:t>16.389</w:t>
            </w:r>
          </w:p>
        </w:tc>
        <w:tc>
          <w:tcPr>
            <w:tcW w:type="dxa" w:w="1098"/>
          </w:tcPr>
          <w:p>
            <w:pPr>
              <w:pStyle w:val="MDPI42tablebody"/>
              <w:spacing w:line="240" w:lineRule="auto" w:before="30" w:after="30"/>
              <w:jc w:val="center"/>
            </w:pPr>
            <w:r>
              <w:rPr>
                <w:b w:val="0"/>
                <w:i w:val="0"/>
                <w:sz w:val="16"/>
              </w:rPr>
              <w:t>10.439</w:t>
            </w:r>
          </w:p>
        </w:tc>
        <w:tc>
          <w:tcPr>
            <w:tcW w:type="dxa" w:w="1098"/>
          </w:tcPr>
          <w:p>
            <w:pPr>
              <w:pStyle w:val="MDPI42tablebody"/>
              <w:spacing w:line="240" w:lineRule="auto" w:before="30" w:after="30"/>
              <w:jc w:val="center"/>
            </w:pPr>
            <w:r>
              <w:rPr>
                <w:b w:val="0"/>
                <w:i w:val="0"/>
                <w:sz w:val="16"/>
              </w:rPr>
              <w:t>20.419</w:t>
            </w:r>
          </w:p>
        </w:tc>
      </w:tr>
    </w:tbl>
    <w:p>
      <w:pPr>
        <w:pStyle w:val="MDPI43tablefooter"/>
        <w:spacing w:line="240" w:lineRule="auto" w:before="40" w:after="200"/>
        <w:ind w:left="2608" w:firstLine="0"/>
      </w:pPr>
      <w:r>
        <w:rPr>
          <w:sz w:val="16"/>
        </w:rPr>
        <w:t xml:space="preserve">Note: </w:t>
      </w:r>
      <w:r>
        <w:rPr>
          <w:b w:val="0"/>
          <w:i w:val="0"/>
          <w:sz w:val="16"/>
        </w:rPr>
        <w:t>The sample covers Chinese A-share listed firms over 2016–2025. All continuous variables are winsorised at the 1st and 99th percentiles. AIU, AIE and EPU are standardised over the estimation sample. Variable definitions are given in Table 1.</w:t>
      </w:r>
    </w:p>
    <w:p>
      <w:pPr>
        <w:pStyle w:val="MDPI22heading2"/>
      </w:pPr>
      <w:r>
        <w:t>4.2. Correlations</w:t>
      </w:r>
    </w:p>
    <w:p>
      <w:pPr>
        <w:pStyle w:val="MDPI32textnoindent"/>
      </w:pPr>
      <w:r>
        <w:rPr>
          <w:b w:val="0"/>
          <w:i w:val="0"/>
        </w:rPr>
        <w:t>Table 3 reports the Pearson correlations. Generative-AI uncertainty is negatively correlated with the entry-level vacancy rate and positively correlated with the contingent share, and its correlations with the adoption level (0.29) and with firm-level policy uncertainty (0.25) are moderate — high enough that omitting either would bias the estimate, low enough that all three can be included together. Variance inflation factors computed after the two-way within transformation have a maximum of 1.30 and a mean of 1.04, so multicollinearity is not a concern.</w:t>
      </w:r>
    </w:p>
    <w:p>
      <w:pPr>
        <w:pStyle w:val="MDPI41tablecaption"/>
        <w:keepNext/>
        <w:spacing w:after="60"/>
      </w:pPr>
      <w:r>
        <w:rPr>
          <w:b/>
          <w:sz w:val="18"/>
        </w:rPr>
        <w:t xml:space="preserve">Table 3. </w:t>
      </w:r>
      <w:r>
        <w:rPr>
          <w:b w:val="0"/>
          <w:i w:val="0"/>
          <w:sz w:val="18"/>
        </w:rPr>
        <w:t>Pearson correlations of the main variables.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360"/>
        <w:gridCol w:w="910"/>
        <w:gridCol w:w="910"/>
        <w:gridCol w:w="910"/>
        <w:gridCol w:w="910"/>
        <w:gridCol w:w="910"/>
        <w:gridCol w:w="910"/>
        <w:gridCol w:w="910"/>
        <w:gridCol w:w="910"/>
        <w:gridCol w:w="910"/>
        <w:gridCol w:w="910"/>
      </w:tblGrid>
      <w:tr>
        <w:trPr>
          <w:cantSplit/>
          <w:tblHeader/>
        </w:trPr>
        <w:tc>
          <w:tcPr>
            <w:tcW w:type="dxa" w:w="1360"/>
            <w:tcBorders>
              <w:bottom w:val="single" w:sz="8" w:space="0" w:color="auto"/>
            </w:tcBorders>
          </w:tcPr>
          <w:p>
            <w:pPr>
              <w:pStyle w:val="MDPI42tablebody"/>
              <w:keepNext/>
              <w:spacing w:line="240" w:lineRule="auto" w:before="30" w:after="30"/>
              <w:jc w:val="center"/>
            </w:pPr>
            <w:r>
              <w:rPr>
                <w:b/>
                <w:i w:val="0"/>
                <w:sz w:val="14"/>
              </w:rPr>
              <w:t>Variable</w:t>
            </w:r>
          </w:p>
        </w:tc>
        <w:tc>
          <w:tcPr>
            <w:tcW w:type="dxa" w:w="910"/>
            <w:tcBorders>
              <w:bottom w:val="single" w:sz="8" w:space="0" w:color="auto"/>
            </w:tcBorders>
          </w:tcPr>
          <w:p>
            <w:pPr>
              <w:pStyle w:val="MDPI42tablebody"/>
              <w:keepNext/>
              <w:spacing w:line="240" w:lineRule="auto" w:before="30" w:after="30"/>
              <w:jc w:val="center"/>
            </w:pPr>
            <w:r>
              <w:rPr>
                <w:b/>
                <w:i w:val="0"/>
                <w:sz w:val="14"/>
              </w:rPr>
              <w:t>Entry</w:t>
            </w:r>
          </w:p>
        </w:tc>
        <w:tc>
          <w:tcPr>
            <w:tcW w:type="dxa" w:w="910"/>
            <w:tcBorders>
              <w:bottom w:val="single" w:sz="8" w:space="0" w:color="auto"/>
            </w:tcBorders>
          </w:tcPr>
          <w:p>
            <w:pPr>
              <w:pStyle w:val="MDPI42tablebody"/>
              <w:keepNext/>
              <w:spacing w:line="240" w:lineRule="auto" w:before="30" w:after="30"/>
              <w:jc w:val="center"/>
            </w:pPr>
            <w:r>
              <w:rPr>
                <w:b/>
                <w:i w:val="0"/>
                <w:sz w:val="14"/>
              </w:rPr>
              <w:t>Exper</w:t>
            </w:r>
          </w:p>
        </w:tc>
        <w:tc>
          <w:tcPr>
            <w:tcW w:type="dxa" w:w="910"/>
            <w:tcBorders>
              <w:bottom w:val="single" w:sz="8" w:space="0" w:color="auto"/>
            </w:tcBorders>
          </w:tcPr>
          <w:p>
            <w:pPr>
              <w:pStyle w:val="MDPI42tablebody"/>
              <w:keepNext/>
              <w:spacing w:line="240" w:lineRule="auto" w:before="30" w:after="30"/>
              <w:jc w:val="center"/>
            </w:pPr>
            <w:r>
              <w:rPr>
                <w:b/>
                <w:i w:val="0"/>
                <w:sz w:val="14"/>
              </w:rPr>
              <w:t>Cont</w:t>
            </w:r>
          </w:p>
        </w:tc>
        <w:tc>
          <w:tcPr>
            <w:tcW w:type="dxa" w:w="910"/>
            <w:tcBorders>
              <w:bottom w:val="single" w:sz="8" w:space="0" w:color="auto"/>
            </w:tcBorders>
          </w:tcPr>
          <w:p>
            <w:pPr>
              <w:pStyle w:val="MDPI42tablebody"/>
              <w:keepNext/>
              <w:spacing w:line="240" w:lineRule="auto" w:before="30" w:after="30"/>
              <w:jc w:val="center"/>
            </w:pPr>
            <w:r>
              <w:rPr>
                <w:b/>
                <w:i w:val="0"/>
                <w:sz w:val="14"/>
              </w:rPr>
              <w:t>Youth</w:t>
            </w:r>
          </w:p>
        </w:tc>
        <w:tc>
          <w:tcPr>
            <w:tcW w:type="dxa" w:w="910"/>
            <w:tcBorders>
              <w:bottom w:val="single" w:sz="8" w:space="0" w:color="auto"/>
            </w:tcBorders>
          </w:tcPr>
          <w:p>
            <w:pPr>
              <w:pStyle w:val="MDPI42tablebody"/>
              <w:keepNext/>
              <w:spacing w:line="240" w:lineRule="auto" w:before="30" w:after="30"/>
              <w:jc w:val="center"/>
            </w:pPr>
            <w:r>
              <w:rPr>
                <w:b/>
                <w:i w:val="0"/>
                <w:sz w:val="14"/>
              </w:rPr>
              <w:t>AIU</w:t>
            </w:r>
          </w:p>
        </w:tc>
        <w:tc>
          <w:tcPr>
            <w:tcW w:type="dxa" w:w="910"/>
            <w:tcBorders>
              <w:bottom w:val="single" w:sz="8" w:space="0" w:color="auto"/>
            </w:tcBorders>
          </w:tcPr>
          <w:p>
            <w:pPr>
              <w:pStyle w:val="MDPI42tablebody"/>
              <w:keepNext/>
              <w:spacing w:line="240" w:lineRule="auto" w:before="30" w:after="30"/>
              <w:jc w:val="center"/>
            </w:pPr>
            <w:r>
              <w:rPr>
                <w:b/>
                <w:i w:val="0"/>
                <w:sz w:val="14"/>
              </w:rPr>
              <w:t>AIE</w:t>
            </w:r>
          </w:p>
        </w:tc>
        <w:tc>
          <w:tcPr>
            <w:tcW w:type="dxa" w:w="910"/>
            <w:tcBorders>
              <w:bottom w:val="single" w:sz="8" w:space="0" w:color="auto"/>
            </w:tcBorders>
          </w:tcPr>
          <w:p>
            <w:pPr>
              <w:pStyle w:val="MDPI42tablebody"/>
              <w:keepNext/>
              <w:spacing w:line="240" w:lineRule="auto" w:before="30" w:after="30"/>
              <w:jc w:val="center"/>
            </w:pPr>
            <w:r>
              <w:rPr>
                <w:b/>
                <w:i w:val="0"/>
                <w:sz w:val="14"/>
              </w:rPr>
              <w:t>EPU</w:t>
            </w:r>
          </w:p>
        </w:tc>
        <w:tc>
          <w:tcPr>
            <w:tcW w:type="dxa" w:w="910"/>
            <w:tcBorders>
              <w:bottom w:val="single" w:sz="8" w:space="0" w:color="auto"/>
            </w:tcBorders>
          </w:tcPr>
          <w:p>
            <w:pPr>
              <w:pStyle w:val="MDPI42tablebody"/>
              <w:keepNext/>
              <w:spacing w:line="240" w:lineRule="auto" w:before="30" w:after="30"/>
              <w:jc w:val="center"/>
            </w:pPr>
            <w:r>
              <w:rPr>
                <w:b/>
                <w:i w:val="0"/>
                <w:sz w:val="14"/>
              </w:rPr>
              <w:t>SpecTrain</w:t>
            </w:r>
          </w:p>
        </w:tc>
        <w:tc>
          <w:tcPr>
            <w:tcW w:type="dxa" w:w="910"/>
            <w:tcBorders>
              <w:bottom w:val="single" w:sz="8" w:space="0" w:color="auto"/>
            </w:tcBorders>
          </w:tcPr>
          <w:p>
            <w:pPr>
              <w:pStyle w:val="MDPI42tablebody"/>
              <w:keepNext/>
              <w:spacing w:line="240" w:lineRule="auto" w:before="30" w:after="30"/>
              <w:jc w:val="center"/>
            </w:pPr>
            <w:r>
              <w:rPr>
                <w:b/>
                <w:i w:val="0"/>
                <w:sz w:val="14"/>
              </w:rPr>
              <w:t>FireCost</w:t>
            </w:r>
          </w:p>
        </w:tc>
        <w:tc>
          <w:tcPr>
            <w:tcW w:type="dxa" w:w="910"/>
            <w:tcBorders>
              <w:bottom w:val="single" w:sz="8" w:space="0" w:color="auto"/>
            </w:tcBorders>
          </w:tcPr>
          <w:p>
            <w:pPr>
              <w:pStyle w:val="MDPI42tablebody"/>
              <w:keepNext/>
              <w:spacing w:line="240" w:lineRule="auto" w:before="30" w:after="30"/>
              <w:jc w:val="center"/>
            </w:pPr>
            <w:r>
              <w:rPr>
                <w:b/>
                <w:i w:val="0"/>
                <w:sz w:val="14"/>
              </w:rPr>
              <w:t>Flex</w:t>
            </w:r>
          </w:p>
        </w:tc>
      </w:tr>
      <w:tr>
        <w:trPr>
          <w:cantSplit/>
        </w:trPr>
        <w:tc>
          <w:tcPr>
            <w:tcW w:type="dxa" w:w="1360"/>
          </w:tcPr>
          <w:p>
            <w:pPr>
              <w:pStyle w:val="MDPI42tablebody"/>
              <w:keepNext/>
              <w:spacing w:line="240" w:lineRule="auto" w:before="30" w:after="30"/>
              <w:jc w:val="left"/>
            </w:pPr>
            <w:r>
              <w:rPr>
                <w:b w:val="0"/>
                <w:i/>
                <w:sz w:val="14"/>
              </w:rPr>
              <w:t>Entry</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Exper</w:t>
            </w:r>
          </w:p>
        </w:tc>
        <w:tc>
          <w:tcPr>
            <w:tcW w:type="dxa" w:w="910"/>
          </w:tcPr>
          <w:p>
            <w:pPr>
              <w:pStyle w:val="MDPI42tablebody"/>
              <w:keepNext/>
              <w:spacing w:line="240" w:lineRule="auto" w:before="30" w:after="30"/>
              <w:jc w:val="center"/>
            </w:pPr>
            <w:r>
              <w:rPr>
                <w:b w:val="0"/>
                <w:i w:val="0"/>
                <w:sz w:val="14"/>
              </w:rPr>
              <w:t>0.120***</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Cont</w:t>
            </w:r>
          </w:p>
        </w:tc>
        <w:tc>
          <w:tcPr>
            <w:tcW w:type="dxa" w:w="910"/>
          </w:tcPr>
          <w:p>
            <w:pPr>
              <w:pStyle w:val="MDPI42tablebody"/>
              <w:keepNext/>
              <w:spacing w:line="240" w:lineRule="auto" w:before="30" w:after="30"/>
              <w:jc w:val="center"/>
            </w:pPr>
            <w:r>
              <w:rPr>
                <w:b w:val="0"/>
                <w:i w:val="0"/>
                <w:sz w:val="14"/>
              </w:rPr>
              <w:t>−0.044***</w:t>
            </w:r>
          </w:p>
        </w:tc>
        <w:tc>
          <w:tcPr>
            <w:tcW w:type="dxa" w:w="910"/>
          </w:tcPr>
          <w:p>
            <w:pPr>
              <w:pStyle w:val="MDPI42tablebody"/>
              <w:keepNext/>
              <w:spacing w:line="240" w:lineRule="auto" w:before="30" w:after="30"/>
              <w:jc w:val="center"/>
            </w:pPr>
            <w:r>
              <w:rPr>
                <w:b w:val="0"/>
                <w:i w:val="0"/>
                <w:sz w:val="14"/>
              </w:rPr>
              <w:t>0.002</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Youth</w:t>
            </w:r>
          </w:p>
        </w:tc>
        <w:tc>
          <w:tcPr>
            <w:tcW w:type="dxa" w:w="910"/>
          </w:tcPr>
          <w:p>
            <w:pPr>
              <w:pStyle w:val="MDPI42tablebody"/>
              <w:keepNext/>
              <w:spacing w:line="240" w:lineRule="auto" w:before="30" w:after="30"/>
              <w:jc w:val="center"/>
            </w:pPr>
            <w:r>
              <w:rPr>
                <w:b w:val="0"/>
                <w:i w:val="0"/>
                <w:sz w:val="14"/>
              </w:rPr>
              <w:t>0.110***</w:t>
            </w:r>
          </w:p>
        </w:tc>
        <w:tc>
          <w:tcPr>
            <w:tcW w:type="dxa" w:w="910"/>
          </w:tcPr>
          <w:p>
            <w:pPr>
              <w:pStyle w:val="MDPI42tablebody"/>
              <w:keepNext/>
              <w:spacing w:line="240" w:lineRule="auto" w:before="30" w:after="30"/>
              <w:jc w:val="center"/>
            </w:pPr>
            <w:r>
              <w:rPr>
                <w:b w:val="0"/>
                <w:i w:val="0"/>
                <w:sz w:val="14"/>
              </w:rPr>
              <w:t>0.051***</w:t>
            </w:r>
          </w:p>
        </w:tc>
        <w:tc>
          <w:tcPr>
            <w:tcW w:type="dxa" w:w="910"/>
          </w:tcPr>
          <w:p>
            <w:pPr>
              <w:pStyle w:val="MDPI42tablebody"/>
              <w:keepNext/>
              <w:spacing w:line="240" w:lineRule="auto" w:before="30" w:after="30"/>
              <w:jc w:val="center"/>
            </w:pPr>
            <w:r>
              <w:rPr>
                <w:b w:val="0"/>
                <w:i w:val="0"/>
                <w:sz w:val="14"/>
              </w:rPr>
              <w:t>−0.054***</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AIU</w:t>
            </w:r>
          </w:p>
        </w:tc>
        <w:tc>
          <w:tcPr>
            <w:tcW w:type="dxa" w:w="910"/>
          </w:tcPr>
          <w:p>
            <w:pPr>
              <w:pStyle w:val="MDPI42tablebody"/>
              <w:keepNext/>
              <w:spacing w:line="240" w:lineRule="auto" w:before="30" w:after="30"/>
              <w:jc w:val="center"/>
            </w:pPr>
            <w:r>
              <w:rPr>
                <w:b w:val="0"/>
                <w:i w:val="0"/>
                <w:sz w:val="14"/>
              </w:rPr>
              <w:t>−0.290***</w:t>
            </w:r>
          </w:p>
        </w:tc>
        <w:tc>
          <w:tcPr>
            <w:tcW w:type="dxa" w:w="910"/>
          </w:tcPr>
          <w:p>
            <w:pPr>
              <w:pStyle w:val="MDPI42tablebody"/>
              <w:keepNext/>
              <w:spacing w:line="240" w:lineRule="auto" w:before="30" w:after="30"/>
              <w:jc w:val="center"/>
            </w:pPr>
            <w:r>
              <w:rPr>
                <w:b w:val="0"/>
                <w:i w:val="0"/>
                <w:sz w:val="14"/>
              </w:rPr>
              <w:t>−0.008</w:t>
            </w:r>
          </w:p>
        </w:tc>
        <w:tc>
          <w:tcPr>
            <w:tcW w:type="dxa" w:w="910"/>
          </w:tcPr>
          <w:p>
            <w:pPr>
              <w:pStyle w:val="MDPI42tablebody"/>
              <w:keepNext/>
              <w:spacing w:line="240" w:lineRule="auto" w:before="30" w:after="30"/>
              <w:jc w:val="center"/>
            </w:pPr>
            <w:r>
              <w:rPr>
                <w:b w:val="0"/>
                <w:i w:val="0"/>
                <w:sz w:val="14"/>
              </w:rPr>
              <w:t>0.278***</w:t>
            </w:r>
          </w:p>
        </w:tc>
        <w:tc>
          <w:tcPr>
            <w:tcW w:type="dxa" w:w="910"/>
          </w:tcPr>
          <w:p>
            <w:pPr>
              <w:pStyle w:val="MDPI42tablebody"/>
              <w:keepNext/>
              <w:spacing w:line="240" w:lineRule="auto" w:before="30" w:after="30"/>
              <w:jc w:val="center"/>
            </w:pPr>
            <w:r>
              <w:rPr>
                <w:b w:val="0"/>
                <w:i w:val="0"/>
                <w:sz w:val="14"/>
              </w:rPr>
              <w:t>−0.088***</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AIE</w:t>
            </w:r>
          </w:p>
        </w:tc>
        <w:tc>
          <w:tcPr>
            <w:tcW w:type="dxa" w:w="910"/>
          </w:tcPr>
          <w:p>
            <w:pPr>
              <w:pStyle w:val="MDPI42tablebody"/>
              <w:keepNext/>
              <w:spacing w:line="240" w:lineRule="auto" w:before="30" w:after="30"/>
              <w:jc w:val="center"/>
            </w:pPr>
            <w:r>
              <w:rPr>
                <w:b w:val="0"/>
                <w:i w:val="0"/>
                <w:sz w:val="14"/>
              </w:rPr>
              <w:t>−0.018***</w:t>
            </w:r>
          </w:p>
        </w:tc>
        <w:tc>
          <w:tcPr>
            <w:tcW w:type="dxa" w:w="910"/>
          </w:tcPr>
          <w:p>
            <w:pPr>
              <w:pStyle w:val="MDPI42tablebody"/>
              <w:keepNext/>
              <w:spacing w:line="240" w:lineRule="auto" w:before="30" w:after="30"/>
              <w:jc w:val="center"/>
            </w:pPr>
            <w:r>
              <w:rPr>
                <w:b w:val="0"/>
                <w:i w:val="0"/>
                <w:sz w:val="14"/>
              </w:rPr>
              <w:t>0.069***</w:t>
            </w:r>
          </w:p>
        </w:tc>
        <w:tc>
          <w:tcPr>
            <w:tcW w:type="dxa" w:w="910"/>
          </w:tcPr>
          <w:p>
            <w:pPr>
              <w:pStyle w:val="MDPI42tablebody"/>
              <w:keepNext/>
              <w:spacing w:line="240" w:lineRule="auto" w:before="30" w:after="30"/>
              <w:jc w:val="center"/>
            </w:pPr>
            <w:r>
              <w:rPr>
                <w:b w:val="0"/>
                <w:i w:val="0"/>
                <w:sz w:val="14"/>
              </w:rPr>
              <w:t>0.125***</w:t>
            </w:r>
          </w:p>
        </w:tc>
        <w:tc>
          <w:tcPr>
            <w:tcW w:type="dxa" w:w="910"/>
          </w:tcPr>
          <w:p>
            <w:pPr>
              <w:pStyle w:val="MDPI42tablebody"/>
              <w:keepNext/>
              <w:spacing w:line="240" w:lineRule="auto" w:before="30" w:after="30"/>
              <w:jc w:val="center"/>
            </w:pPr>
            <w:r>
              <w:rPr>
                <w:b w:val="0"/>
                <w:i w:val="0"/>
                <w:sz w:val="14"/>
              </w:rPr>
              <w:t>−0.014**</w:t>
            </w:r>
          </w:p>
        </w:tc>
        <w:tc>
          <w:tcPr>
            <w:tcW w:type="dxa" w:w="910"/>
          </w:tcPr>
          <w:p>
            <w:pPr>
              <w:pStyle w:val="MDPI42tablebody"/>
              <w:keepNext/>
              <w:spacing w:line="240" w:lineRule="auto" w:before="30" w:after="30"/>
              <w:jc w:val="center"/>
            </w:pPr>
            <w:r>
              <w:rPr>
                <w:b w:val="0"/>
                <w:i w:val="0"/>
                <w:sz w:val="14"/>
              </w:rPr>
              <w:t>0.285***</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EPU</w:t>
            </w:r>
          </w:p>
        </w:tc>
        <w:tc>
          <w:tcPr>
            <w:tcW w:type="dxa" w:w="910"/>
          </w:tcPr>
          <w:p>
            <w:pPr>
              <w:pStyle w:val="MDPI42tablebody"/>
              <w:keepNext/>
              <w:spacing w:line="240" w:lineRule="auto" w:before="30" w:after="30"/>
              <w:jc w:val="center"/>
            </w:pPr>
            <w:r>
              <w:rPr>
                <w:b w:val="0"/>
                <w:i w:val="0"/>
                <w:sz w:val="14"/>
              </w:rPr>
              <w:t>−0.111***</w:t>
            </w:r>
          </w:p>
        </w:tc>
        <w:tc>
          <w:tcPr>
            <w:tcW w:type="dxa" w:w="910"/>
          </w:tcPr>
          <w:p>
            <w:pPr>
              <w:pStyle w:val="MDPI42tablebody"/>
              <w:keepNext/>
              <w:spacing w:line="240" w:lineRule="auto" w:before="30" w:after="30"/>
              <w:jc w:val="center"/>
            </w:pPr>
            <w:r>
              <w:rPr>
                <w:b w:val="0"/>
                <w:i w:val="0"/>
                <w:sz w:val="14"/>
              </w:rPr>
              <w:t>−0.027***</w:t>
            </w:r>
          </w:p>
        </w:tc>
        <w:tc>
          <w:tcPr>
            <w:tcW w:type="dxa" w:w="910"/>
          </w:tcPr>
          <w:p>
            <w:pPr>
              <w:pStyle w:val="MDPI42tablebody"/>
              <w:keepNext/>
              <w:spacing w:line="240" w:lineRule="auto" w:before="30" w:after="30"/>
              <w:jc w:val="center"/>
            </w:pPr>
            <w:r>
              <w:rPr>
                <w:b w:val="0"/>
                <w:i w:val="0"/>
                <w:sz w:val="14"/>
              </w:rPr>
              <w:t>0.112***</w:t>
            </w:r>
          </w:p>
        </w:tc>
        <w:tc>
          <w:tcPr>
            <w:tcW w:type="dxa" w:w="910"/>
          </w:tcPr>
          <w:p>
            <w:pPr>
              <w:pStyle w:val="MDPI42tablebody"/>
              <w:keepNext/>
              <w:spacing w:line="240" w:lineRule="auto" w:before="30" w:after="30"/>
              <w:jc w:val="center"/>
            </w:pPr>
            <w:r>
              <w:rPr>
                <w:b w:val="0"/>
                <w:i w:val="0"/>
                <w:sz w:val="14"/>
              </w:rPr>
              <w:t>−0.049***</w:t>
            </w:r>
          </w:p>
        </w:tc>
        <w:tc>
          <w:tcPr>
            <w:tcW w:type="dxa" w:w="910"/>
          </w:tcPr>
          <w:p>
            <w:pPr>
              <w:pStyle w:val="MDPI42tablebody"/>
              <w:keepNext/>
              <w:spacing w:line="240" w:lineRule="auto" w:before="30" w:after="30"/>
              <w:jc w:val="center"/>
            </w:pPr>
            <w:r>
              <w:rPr>
                <w:b w:val="0"/>
                <w:i w:val="0"/>
                <w:sz w:val="14"/>
              </w:rPr>
              <w:t>0.248***</w:t>
            </w:r>
          </w:p>
        </w:tc>
        <w:tc>
          <w:tcPr>
            <w:tcW w:type="dxa" w:w="910"/>
          </w:tcPr>
          <w:p>
            <w:pPr>
              <w:pStyle w:val="MDPI42tablebody"/>
              <w:keepNext/>
              <w:spacing w:line="240" w:lineRule="auto" w:before="30" w:after="30"/>
              <w:jc w:val="center"/>
            </w:pPr>
            <w:r>
              <w:rPr>
                <w:b w:val="0"/>
                <w:i w:val="0"/>
                <w:sz w:val="14"/>
              </w:rPr>
              <w:t>0.188***</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SpecTrain</w:t>
            </w:r>
          </w:p>
        </w:tc>
        <w:tc>
          <w:tcPr>
            <w:tcW w:type="dxa" w:w="910"/>
          </w:tcPr>
          <w:p>
            <w:pPr>
              <w:pStyle w:val="MDPI42tablebody"/>
              <w:keepNext/>
              <w:spacing w:line="240" w:lineRule="auto" w:before="30" w:after="30"/>
              <w:jc w:val="center"/>
            </w:pPr>
            <w:r>
              <w:rPr>
                <w:b w:val="0"/>
                <w:i w:val="0"/>
                <w:sz w:val="14"/>
              </w:rPr>
              <w:t>0.004</w:t>
            </w:r>
          </w:p>
        </w:tc>
        <w:tc>
          <w:tcPr>
            <w:tcW w:type="dxa" w:w="910"/>
          </w:tcPr>
          <w:p>
            <w:pPr>
              <w:pStyle w:val="MDPI42tablebody"/>
              <w:keepNext/>
              <w:spacing w:line="240" w:lineRule="auto" w:before="30" w:after="30"/>
              <w:jc w:val="center"/>
            </w:pPr>
            <w:r>
              <w:rPr>
                <w:b w:val="0"/>
                <w:i w:val="0"/>
                <w:sz w:val="14"/>
              </w:rPr>
              <w:t>0.001</w:t>
            </w:r>
          </w:p>
        </w:tc>
        <w:tc>
          <w:tcPr>
            <w:tcW w:type="dxa" w:w="910"/>
          </w:tcPr>
          <w:p>
            <w:pPr>
              <w:pStyle w:val="MDPI42tablebody"/>
              <w:keepNext/>
              <w:spacing w:line="240" w:lineRule="auto" w:before="30" w:after="30"/>
              <w:jc w:val="center"/>
            </w:pPr>
            <w:r>
              <w:rPr>
                <w:b w:val="0"/>
                <w:i w:val="0"/>
                <w:sz w:val="14"/>
              </w:rPr>
              <w:t>−0.015**</w:t>
            </w:r>
          </w:p>
        </w:tc>
        <w:tc>
          <w:tcPr>
            <w:tcW w:type="dxa" w:w="910"/>
          </w:tcPr>
          <w:p>
            <w:pPr>
              <w:pStyle w:val="MDPI42tablebody"/>
              <w:keepNext/>
              <w:spacing w:line="240" w:lineRule="auto" w:before="30" w:after="30"/>
              <w:jc w:val="center"/>
            </w:pPr>
            <w:r>
              <w:rPr>
                <w:b w:val="0"/>
                <w:i w:val="0"/>
                <w:sz w:val="14"/>
              </w:rPr>
              <w:t>−0.023***</w:t>
            </w:r>
          </w:p>
        </w:tc>
        <w:tc>
          <w:tcPr>
            <w:tcW w:type="dxa" w:w="910"/>
          </w:tcPr>
          <w:p>
            <w:pPr>
              <w:pStyle w:val="MDPI42tablebody"/>
              <w:keepNext/>
              <w:spacing w:line="240" w:lineRule="auto" w:before="30" w:after="30"/>
              <w:jc w:val="center"/>
            </w:pPr>
            <w:r>
              <w:rPr>
                <w:b w:val="0"/>
                <w:i w:val="0"/>
                <w:sz w:val="14"/>
              </w:rPr>
              <w:t>−0.009</w:t>
            </w:r>
          </w:p>
        </w:tc>
        <w:tc>
          <w:tcPr>
            <w:tcW w:type="dxa" w:w="910"/>
          </w:tcPr>
          <w:p>
            <w:pPr>
              <w:pStyle w:val="MDPI42tablebody"/>
              <w:keepNext/>
              <w:spacing w:line="240" w:lineRule="auto" w:before="30" w:after="30"/>
              <w:jc w:val="center"/>
            </w:pPr>
            <w:r>
              <w:rPr>
                <w:b w:val="0"/>
                <w:i w:val="0"/>
                <w:sz w:val="14"/>
              </w:rPr>
              <w:t>−0.007</w:t>
            </w:r>
          </w:p>
        </w:tc>
        <w:tc>
          <w:tcPr>
            <w:tcW w:type="dxa" w:w="910"/>
          </w:tcPr>
          <w:p>
            <w:pPr>
              <w:pStyle w:val="MDPI42tablebody"/>
              <w:keepNext/>
              <w:spacing w:line="240" w:lineRule="auto" w:before="30" w:after="30"/>
              <w:jc w:val="center"/>
            </w:pPr>
            <w:r>
              <w:rPr>
                <w:b w:val="0"/>
                <w:i w:val="0"/>
                <w:sz w:val="14"/>
              </w:rPr>
              <w:t>−0.020***</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c>
          <w:tcPr>
            <w:tcW w:type="dxa" w:w="910"/>
          </w:tcPr>
          <w:p>
            <w:pPr>
              <w:pStyle w:val="MDPI42tablebody"/>
              <w:keepNext/>
              <w:spacing w:line="240" w:lineRule="auto" w:before="30" w:after="30"/>
              <w:jc w:val="center"/>
            </w:pPr>
          </w:p>
        </w:tc>
      </w:tr>
      <w:tr>
        <w:trPr>
          <w:cantSplit/>
        </w:trPr>
        <w:tc>
          <w:tcPr>
            <w:tcW w:type="dxa" w:w="1360"/>
          </w:tcPr>
          <w:p>
            <w:pPr>
              <w:pStyle w:val="MDPI42tablebody"/>
              <w:keepNext/>
              <w:spacing w:line="240" w:lineRule="auto" w:before="30" w:after="30"/>
              <w:jc w:val="left"/>
            </w:pPr>
            <w:r>
              <w:rPr>
                <w:b w:val="0"/>
                <w:i/>
                <w:sz w:val="14"/>
              </w:rPr>
              <w:t>FireCost</w:t>
            </w:r>
          </w:p>
        </w:tc>
        <w:tc>
          <w:tcPr>
            <w:tcW w:type="dxa" w:w="910"/>
          </w:tcPr>
          <w:p>
            <w:pPr>
              <w:pStyle w:val="MDPI42tablebody"/>
              <w:keepNext/>
              <w:spacing w:line="240" w:lineRule="auto" w:before="30" w:after="30"/>
              <w:jc w:val="center"/>
            </w:pPr>
            <w:r>
              <w:rPr>
                <w:b w:val="0"/>
                <w:i w:val="0"/>
                <w:sz w:val="14"/>
              </w:rPr>
              <w:t>−0.030***</w:t>
            </w:r>
          </w:p>
        </w:tc>
        <w:tc>
          <w:tcPr>
            <w:tcW w:type="dxa" w:w="910"/>
          </w:tcPr>
          <w:p>
            <w:pPr>
              <w:pStyle w:val="MDPI42tablebody"/>
              <w:keepNext/>
              <w:spacing w:line="240" w:lineRule="auto" w:before="30" w:after="30"/>
              <w:jc w:val="center"/>
            </w:pPr>
            <w:r>
              <w:rPr>
                <w:b w:val="0"/>
                <w:i w:val="0"/>
                <w:sz w:val="14"/>
              </w:rPr>
              <w:t>−0.034***</w:t>
            </w:r>
          </w:p>
        </w:tc>
        <w:tc>
          <w:tcPr>
            <w:tcW w:type="dxa" w:w="910"/>
          </w:tcPr>
          <w:p>
            <w:pPr>
              <w:pStyle w:val="MDPI42tablebody"/>
              <w:keepNext/>
              <w:spacing w:line="240" w:lineRule="auto" w:before="30" w:after="30"/>
              <w:jc w:val="center"/>
            </w:pPr>
            <w:r>
              <w:rPr>
                <w:b w:val="0"/>
                <w:i w:val="0"/>
                <w:sz w:val="14"/>
              </w:rPr>
              <w:t>−0.005</w:t>
            </w:r>
          </w:p>
        </w:tc>
        <w:tc>
          <w:tcPr>
            <w:tcW w:type="dxa" w:w="910"/>
          </w:tcPr>
          <w:p>
            <w:pPr>
              <w:pStyle w:val="MDPI42tablebody"/>
              <w:keepNext/>
              <w:spacing w:line="240" w:lineRule="auto" w:before="30" w:after="30"/>
              <w:jc w:val="center"/>
            </w:pPr>
            <w:r>
              <w:rPr>
                <w:b w:val="0"/>
                <w:i w:val="0"/>
                <w:sz w:val="14"/>
              </w:rPr>
              <w:t>−0.046***</w:t>
            </w:r>
          </w:p>
        </w:tc>
        <w:tc>
          <w:tcPr>
            <w:tcW w:type="dxa" w:w="910"/>
          </w:tcPr>
          <w:p>
            <w:pPr>
              <w:pStyle w:val="MDPI42tablebody"/>
              <w:keepNext/>
              <w:spacing w:line="240" w:lineRule="auto" w:before="30" w:after="30"/>
              <w:jc w:val="center"/>
            </w:pPr>
            <w:r>
              <w:rPr>
                <w:b w:val="0"/>
                <w:i w:val="0"/>
                <w:sz w:val="14"/>
              </w:rPr>
              <w:t>−0.012**</w:t>
            </w:r>
          </w:p>
        </w:tc>
        <w:tc>
          <w:tcPr>
            <w:tcW w:type="dxa" w:w="910"/>
          </w:tcPr>
          <w:p>
            <w:pPr>
              <w:pStyle w:val="MDPI42tablebody"/>
              <w:keepNext/>
              <w:spacing w:line="240" w:lineRule="auto" w:before="30" w:after="30"/>
              <w:jc w:val="center"/>
            </w:pPr>
            <w:r>
              <w:rPr>
                <w:b w:val="0"/>
                <w:i w:val="0"/>
                <w:sz w:val="14"/>
              </w:rPr>
              <w:t>−0.010*</w:t>
            </w:r>
          </w:p>
        </w:tc>
        <w:tc>
          <w:tcPr>
            <w:tcW w:type="dxa" w:w="910"/>
          </w:tcPr>
          <w:p>
            <w:pPr>
              <w:pStyle w:val="MDPI42tablebody"/>
              <w:keepNext/>
              <w:spacing w:line="240" w:lineRule="auto" w:before="30" w:after="30"/>
              <w:jc w:val="center"/>
            </w:pPr>
            <w:r>
              <w:rPr>
                <w:b w:val="0"/>
                <w:i w:val="0"/>
                <w:sz w:val="14"/>
              </w:rPr>
              <w:t>−0.004</w:t>
            </w:r>
          </w:p>
        </w:tc>
        <w:tc>
          <w:tcPr>
            <w:tcW w:type="dxa" w:w="910"/>
          </w:tcPr>
          <w:p>
            <w:pPr>
              <w:pStyle w:val="MDPI42tablebody"/>
              <w:keepNext/>
              <w:spacing w:line="240" w:lineRule="auto" w:before="30" w:after="30"/>
              <w:jc w:val="center"/>
            </w:pPr>
            <w:r>
              <w:rPr>
                <w:b w:val="0"/>
                <w:i w:val="0"/>
                <w:sz w:val="14"/>
              </w:rPr>
              <w:t>0.013**</w:t>
            </w:r>
          </w:p>
        </w:tc>
        <w:tc>
          <w:tcPr>
            <w:tcW w:type="dxa" w:w="910"/>
          </w:tcPr>
          <w:p>
            <w:pPr>
              <w:pStyle w:val="MDPI42tablebody"/>
              <w:keepNext/>
              <w:spacing w:line="240" w:lineRule="auto" w:before="30" w:after="30"/>
              <w:jc w:val="center"/>
            </w:pPr>
            <w:r>
              <w:rPr>
                <w:b w:val="0"/>
                <w:i w:val="0"/>
                <w:sz w:val="14"/>
              </w:rPr>
              <w:t>1.000</w:t>
            </w:r>
          </w:p>
        </w:tc>
        <w:tc>
          <w:tcPr>
            <w:tcW w:type="dxa" w:w="910"/>
          </w:tcPr>
          <w:p>
            <w:pPr>
              <w:pStyle w:val="MDPI42tablebody"/>
              <w:keepNext/>
              <w:spacing w:line="240" w:lineRule="auto" w:before="30" w:after="30"/>
              <w:jc w:val="center"/>
            </w:pPr>
          </w:p>
        </w:tc>
      </w:tr>
      <w:tr>
        <w:trPr>
          <w:cantSplit/>
        </w:trPr>
        <w:tc>
          <w:tcPr>
            <w:tcW w:type="dxa" w:w="1360"/>
          </w:tcPr>
          <w:p>
            <w:pPr>
              <w:pStyle w:val="MDPI42tablebody"/>
              <w:spacing w:line="240" w:lineRule="auto" w:before="30" w:after="30"/>
              <w:jc w:val="left"/>
            </w:pPr>
            <w:r>
              <w:rPr>
                <w:b w:val="0"/>
                <w:i/>
                <w:sz w:val="14"/>
              </w:rPr>
              <w:t>Flex</w:t>
            </w:r>
          </w:p>
        </w:tc>
        <w:tc>
          <w:tcPr>
            <w:tcW w:type="dxa" w:w="910"/>
          </w:tcPr>
          <w:p>
            <w:pPr>
              <w:pStyle w:val="MDPI42tablebody"/>
              <w:spacing w:line="240" w:lineRule="auto" w:before="30" w:after="30"/>
              <w:jc w:val="center"/>
            </w:pPr>
            <w:r>
              <w:rPr>
                <w:b w:val="0"/>
                <w:i w:val="0"/>
                <w:sz w:val="14"/>
              </w:rPr>
              <w:t>0.012**</w:t>
            </w:r>
          </w:p>
        </w:tc>
        <w:tc>
          <w:tcPr>
            <w:tcW w:type="dxa" w:w="910"/>
          </w:tcPr>
          <w:p>
            <w:pPr>
              <w:pStyle w:val="MDPI42tablebody"/>
              <w:spacing w:line="240" w:lineRule="auto" w:before="30" w:after="30"/>
              <w:jc w:val="center"/>
            </w:pPr>
            <w:r>
              <w:rPr>
                <w:b w:val="0"/>
                <w:i w:val="0"/>
                <w:sz w:val="14"/>
              </w:rPr>
              <w:t>0.013**</w:t>
            </w:r>
          </w:p>
        </w:tc>
        <w:tc>
          <w:tcPr>
            <w:tcW w:type="dxa" w:w="910"/>
          </w:tcPr>
          <w:p>
            <w:pPr>
              <w:pStyle w:val="MDPI42tablebody"/>
              <w:spacing w:line="240" w:lineRule="auto" w:before="30" w:after="30"/>
              <w:jc w:val="center"/>
            </w:pPr>
            <w:r>
              <w:rPr>
                <w:b w:val="0"/>
                <w:i w:val="0"/>
                <w:sz w:val="14"/>
              </w:rPr>
              <w:t>−0.007</w:t>
            </w:r>
          </w:p>
        </w:tc>
        <w:tc>
          <w:tcPr>
            <w:tcW w:type="dxa" w:w="910"/>
          </w:tcPr>
          <w:p>
            <w:pPr>
              <w:pStyle w:val="MDPI42tablebody"/>
              <w:spacing w:line="240" w:lineRule="auto" w:before="30" w:after="30"/>
              <w:jc w:val="center"/>
            </w:pPr>
            <w:r>
              <w:rPr>
                <w:b w:val="0"/>
                <w:i w:val="0"/>
                <w:sz w:val="14"/>
              </w:rPr>
              <w:t>0.016***</w:t>
            </w:r>
          </w:p>
        </w:tc>
        <w:tc>
          <w:tcPr>
            <w:tcW w:type="dxa" w:w="910"/>
          </w:tcPr>
          <w:p>
            <w:pPr>
              <w:pStyle w:val="MDPI42tablebody"/>
              <w:spacing w:line="240" w:lineRule="auto" w:before="30" w:after="30"/>
              <w:jc w:val="center"/>
            </w:pPr>
            <w:r>
              <w:rPr>
                <w:b w:val="0"/>
                <w:i w:val="0"/>
                <w:sz w:val="14"/>
              </w:rPr>
              <w:t>0.001</w:t>
            </w:r>
          </w:p>
        </w:tc>
        <w:tc>
          <w:tcPr>
            <w:tcW w:type="dxa" w:w="910"/>
          </w:tcPr>
          <w:p>
            <w:pPr>
              <w:pStyle w:val="MDPI42tablebody"/>
              <w:spacing w:line="240" w:lineRule="auto" w:before="30" w:after="30"/>
              <w:jc w:val="center"/>
            </w:pPr>
            <w:r>
              <w:rPr>
                <w:b w:val="0"/>
                <w:i w:val="0"/>
                <w:sz w:val="14"/>
              </w:rPr>
              <w:t>0.003</w:t>
            </w:r>
          </w:p>
        </w:tc>
        <w:tc>
          <w:tcPr>
            <w:tcW w:type="dxa" w:w="910"/>
          </w:tcPr>
          <w:p>
            <w:pPr>
              <w:pStyle w:val="MDPI42tablebody"/>
              <w:spacing w:line="240" w:lineRule="auto" w:before="30" w:after="30"/>
              <w:jc w:val="center"/>
            </w:pPr>
            <w:r>
              <w:rPr>
                <w:b w:val="0"/>
                <w:i w:val="0"/>
                <w:sz w:val="14"/>
              </w:rPr>
              <w:t>0.001</w:t>
            </w:r>
          </w:p>
        </w:tc>
        <w:tc>
          <w:tcPr>
            <w:tcW w:type="dxa" w:w="910"/>
          </w:tcPr>
          <w:p>
            <w:pPr>
              <w:pStyle w:val="MDPI42tablebody"/>
              <w:spacing w:line="240" w:lineRule="auto" w:before="30" w:after="30"/>
              <w:jc w:val="center"/>
            </w:pPr>
            <w:r>
              <w:rPr>
                <w:b w:val="0"/>
                <w:i w:val="0"/>
                <w:sz w:val="14"/>
              </w:rPr>
              <w:t>−0.402***</w:t>
            </w:r>
          </w:p>
        </w:tc>
        <w:tc>
          <w:tcPr>
            <w:tcW w:type="dxa" w:w="910"/>
          </w:tcPr>
          <w:p>
            <w:pPr>
              <w:pStyle w:val="MDPI42tablebody"/>
              <w:spacing w:line="240" w:lineRule="auto" w:before="30" w:after="30"/>
              <w:jc w:val="center"/>
            </w:pPr>
            <w:r>
              <w:rPr>
                <w:b w:val="0"/>
                <w:i w:val="0"/>
                <w:sz w:val="14"/>
              </w:rPr>
              <w:t>0.006</w:t>
            </w:r>
          </w:p>
        </w:tc>
        <w:tc>
          <w:tcPr>
            <w:tcW w:type="dxa" w:w="910"/>
          </w:tcPr>
          <w:p>
            <w:pPr>
              <w:pStyle w:val="MDPI42tablebody"/>
              <w:spacing w:line="240" w:lineRule="auto" w:before="30" w:after="30"/>
              <w:jc w:val="center"/>
            </w:pPr>
            <w:r>
              <w:rPr>
                <w:b w:val="0"/>
                <w:i w:val="0"/>
                <w:sz w:val="14"/>
              </w:rPr>
              <w:t>1.000</w:t>
            </w:r>
          </w:p>
        </w:tc>
      </w:tr>
    </w:tbl>
    <w:p>
      <w:pPr>
        <w:pStyle w:val="MDPI43tablefooter"/>
        <w:spacing w:line="240" w:lineRule="auto" w:before="40" w:after="200"/>
        <w:ind w:left="2608" w:firstLine="0"/>
      </w:pPr>
      <w:r>
        <w:rPr>
          <w:sz w:val="16"/>
        </w:rPr>
        <w:t xml:space="preserve">Note: </w:t>
      </w:r>
      <w:r>
        <w:rPr>
          <w:b w:val="0"/>
          <w:i w:val="0"/>
          <w:sz w:val="16"/>
        </w:rPr>
        <w:t>***, ** and * denote significance at the 1%, 5% and 10% levels. Variance inflation factors computed after the two-way within transformation have a maximum of 1.30 and a mean of 1.04.</w:t>
      </w:r>
    </w:p>
    <w:p>
      <w:pPr>
        <w:pStyle w:val="MDPI22heading2"/>
      </w:pPr>
      <w:r>
        <w:t>4.3. Uncertainty and Entry-Level Hiring</w:t>
      </w:r>
    </w:p>
    <w:p>
      <w:pPr>
        <w:pStyle w:val="MDPI32textnoindent"/>
      </w:pPr>
      <w:r>
        <w:rPr>
          <w:b w:val="0"/>
          <w:i w:val="0"/>
        </w:rPr>
        <w:t xml:space="preserve">Table 4 reports the baseline. Column (1) includes only the uncertainty measure and the two sets of fixed effects: the coefficient is −1.193. Adding the full control vector in column (2) leaves it unchanged, which is the first indication that the estimate is not being driven by observable firm characteristics. Column (3) adds the level of generative-AI adoption. This is the decisive specification for the argument of the paper, because it puts capability and dispersion in the same equation: the level enters positively and significantly (0.300), while uncertainty enters negatively and is 4.1 times larger in magnitude. Column (4) adds firm-level general economic policy uncertainty, which is itself negative (−0.184) and consistent with everything known about uncertainty and factor demand </w:t>
      </w:r>
      <w:r>
        <w:t>[</w:t>
      </w:r>
      <w:r>
        <w:fldChar w:fldCharType="begin"/>
      </w:r>
      <w:r>
        <w:instrText xml:space="preserve"> REF _Ref_29 \h </w:instrText>
      </w:r>
      <w:r>
        <w:fldChar w:fldCharType="separate"/>
      </w:r>
      <w:r>
        <w:t>29</w:t>
      </w:r>
      <w:r>
        <w:fldChar w:fldCharType="end"/>
      </w:r>
      <w:r>
        <w:t>,</w:t>
      </w:r>
      <w:r>
        <w:fldChar w:fldCharType="begin"/>
      </w:r>
      <w:r>
        <w:instrText xml:space="preserve"> REF _Ref_30 \h </w:instrText>
      </w:r>
      <w:r>
        <w:fldChar w:fldCharType="separate"/>
      </w:r>
      <w:r>
        <w:t>30</w:t>
      </w:r>
      <w:r>
        <w:fldChar w:fldCharType="end"/>
      </w:r>
      <w:r>
        <w:t>]</w:t>
      </w:r>
      <w:r>
        <w:rPr>
          <w:b w:val="0"/>
          <w:i w:val="0"/>
        </w:rPr>
        <w:t>, but which is 6.7 times smaller than the generative-AI term. The coefficient of interest is stable across all four columns.</w:t>
      </w:r>
    </w:p>
    <w:p>
      <w:pPr>
        <w:pStyle w:val="MDPI31text"/>
      </w:pPr>
      <w:r>
        <w:rPr>
          <w:b w:val="0"/>
          <w:i w:val="0"/>
        </w:rPr>
        <w:t>In the full specification, one standard deviation of generative-AI uncertainty lowers entry-level vacancy creation by 1.230 vacancies per thousand employees (standard error 0.026, t = 47.0), which is 15.6% of the sample mean. Column (5) estimates the multiplicative model of Equation (9) by Poisson pseudo-maximum likelihood on the vacancy count, with log lagged employment as an offset-like regressor: the semi-elasticity is −0.148, so a one-standard-deviation increase in uncertainty reduces entry-level postings by 13.8%. Evaluated at the sample mean rate that is a marginal effect of −1.164 vacancies per thousand employees, close to the least-squares estimate of −1.230; the remaining gap is what one expects when one estimator weights firms by their vacancy counts and the other does not. Column (6) turns to the stock: the share of employees aged 30 or below falls by 0.564 percentage points per standard deviation, 2.7% of its mean. Hypothesis 1 is supported, and the flow result shows up in the stock, as it must if the vacancy measure is capturing hiring rather than advertising.</w:t>
      </w:r>
    </w:p>
    <w:p>
      <w:pPr>
        <w:pStyle w:val="MDPI41tablecaption"/>
        <w:keepNext/>
        <w:spacing w:after="60"/>
      </w:pPr>
      <w:r>
        <w:rPr>
          <w:b/>
          <w:sz w:val="18"/>
        </w:rPr>
        <w:t xml:space="preserve">Table 4. </w:t>
      </w:r>
      <w:r>
        <w:rPr>
          <w:b w:val="0"/>
          <w:i w:val="0"/>
          <w:sz w:val="18"/>
        </w:rPr>
        <w:t>Generative-AI uncertainty and entry-level vacancy creation.</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511"/>
        <w:gridCol w:w="1325"/>
        <w:gridCol w:w="1325"/>
        <w:gridCol w:w="1325"/>
        <w:gridCol w:w="1325"/>
        <w:gridCol w:w="1325"/>
        <w:gridCol w:w="1325"/>
      </w:tblGrid>
      <w:tr>
        <w:trPr>
          <w:cantSplit/>
          <w:tblHeader/>
        </w:trPr>
        <w:tc>
          <w:tcPr>
            <w:tcW w:type="dxa" w:w="2511"/>
            <w:tcBorders>
              <w:bottom w:val="single" w:sz="8" w:space="0" w:color="auto"/>
            </w:tcBorders>
          </w:tcPr>
          <w:p>
            <w:pPr>
              <w:pStyle w:val="MDPI42tablebody"/>
              <w:keepNext/>
              <w:spacing w:line="240" w:lineRule="auto" w:before="30" w:after="30"/>
              <w:jc w:val="center"/>
            </w:pPr>
            <w:r>
              <w:rPr>
                <w:b/>
                <w:i w:val="0"/>
                <w:sz w:val="16"/>
              </w:rPr>
              <w:t>Variable</w:t>
            </w:r>
          </w:p>
        </w:tc>
        <w:tc>
          <w:tcPr>
            <w:tcW w:type="dxa" w:w="1325"/>
            <w:tcBorders>
              <w:bottom w:val="single" w:sz="8" w:space="0" w:color="auto"/>
            </w:tcBorders>
          </w:tcPr>
          <w:p>
            <w:pPr>
              <w:pStyle w:val="MDPI42tablebody"/>
              <w:keepNext/>
              <w:spacing w:line="240" w:lineRule="auto" w:before="30" w:after="30"/>
              <w:jc w:val="center"/>
            </w:pPr>
            <w:r>
              <w:rPr>
                <w:b/>
                <w:i w:val="0"/>
                <w:sz w:val="16"/>
              </w:rPr>
              <w:t>(1)</w:t>
            </w:r>
          </w:p>
        </w:tc>
        <w:tc>
          <w:tcPr>
            <w:tcW w:type="dxa" w:w="1325"/>
            <w:tcBorders>
              <w:bottom w:val="single" w:sz="8" w:space="0" w:color="auto"/>
            </w:tcBorders>
          </w:tcPr>
          <w:p>
            <w:pPr>
              <w:pStyle w:val="MDPI42tablebody"/>
              <w:keepNext/>
              <w:spacing w:line="240" w:lineRule="auto" w:before="30" w:after="30"/>
              <w:jc w:val="center"/>
            </w:pPr>
            <w:r>
              <w:rPr>
                <w:b/>
                <w:i w:val="0"/>
                <w:sz w:val="16"/>
              </w:rPr>
              <w:t>(2)</w:t>
            </w:r>
          </w:p>
        </w:tc>
        <w:tc>
          <w:tcPr>
            <w:tcW w:type="dxa" w:w="1325"/>
            <w:tcBorders>
              <w:bottom w:val="single" w:sz="8" w:space="0" w:color="auto"/>
            </w:tcBorders>
          </w:tcPr>
          <w:p>
            <w:pPr>
              <w:pStyle w:val="MDPI42tablebody"/>
              <w:keepNext/>
              <w:spacing w:line="240" w:lineRule="auto" w:before="30" w:after="30"/>
              <w:jc w:val="center"/>
            </w:pPr>
            <w:r>
              <w:rPr>
                <w:b/>
                <w:i w:val="0"/>
                <w:sz w:val="16"/>
              </w:rPr>
              <w:t>(3)</w:t>
            </w:r>
          </w:p>
        </w:tc>
        <w:tc>
          <w:tcPr>
            <w:tcW w:type="dxa" w:w="1325"/>
            <w:tcBorders>
              <w:bottom w:val="single" w:sz="8" w:space="0" w:color="auto"/>
            </w:tcBorders>
          </w:tcPr>
          <w:p>
            <w:pPr>
              <w:pStyle w:val="MDPI42tablebody"/>
              <w:keepNext/>
              <w:spacing w:line="240" w:lineRule="auto" w:before="30" w:after="30"/>
              <w:jc w:val="center"/>
            </w:pPr>
            <w:r>
              <w:rPr>
                <w:b/>
                <w:i w:val="0"/>
                <w:sz w:val="16"/>
              </w:rPr>
              <w:t>(4)</w:t>
            </w:r>
          </w:p>
        </w:tc>
        <w:tc>
          <w:tcPr>
            <w:tcW w:type="dxa" w:w="1325"/>
            <w:tcBorders>
              <w:bottom w:val="single" w:sz="8" w:space="0" w:color="auto"/>
            </w:tcBorders>
          </w:tcPr>
          <w:p>
            <w:pPr>
              <w:pStyle w:val="MDPI42tablebody"/>
              <w:keepNext/>
              <w:spacing w:line="240" w:lineRule="auto" w:before="30" w:after="30"/>
              <w:jc w:val="center"/>
            </w:pPr>
            <w:r>
              <w:rPr>
                <w:b/>
                <w:i w:val="0"/>
                <w:sz w:val="16"/>
              </w:rPr>
              <w:t>(5)</w:t>
            </w:r>
          </w:p>
        </w:tc>
        <w:tc>
          <w:tcPr>
            <w:tcW w:type="dxa" w:w="1325"/>
            <w:tcBorders>
              <w:bottom w:val="single" w:sz="8" w:space="0" w:color="auto"/>
            </w:tcBorders>
          </w:tcPr>
          <w:p>
            <w:pPr>
              <w:pStyle w:val="MDPI42tablebody"/>
              <w:keepNext/>
              <w:spacing w:line="240" w:lineRule="auto" w:before="30" w:after="30"/>
              <w:jc w:val="center"/>
            </w:pPr>
            <w:r>
              <w:rPr>
                <w:b/>
                <w:i w:val="0"/>
                <w:sz w:val="16"/>
              </w:rPr>
              <w:t>(6)</w:t>
            </w:r>
          </w:p>
        </w:tc>
      </w:tr>
      <w:tr>
        <w:trPr>
          <w:cantSplit/>
        </w:trPr>
        <w:tc>
          <w:tcPr>
            <w:tcW w:type="dxa" w:w="2511"/>
          </w:tcPr>
          <w:p>
            <w:pPr>
              <w:pStyle w:val="MDPI42tablebody"/>
              <w:keepNext/>
              <w:spacing w:line="240" w:lineRule="auto" w:before="30" w:after="30"/>
              <w:jc w:val="left"/>
            </w:pPr>
            <w:r>
              <w:rPr>
                <w:b w:val="0"/>
                <w:i/>
                <w:sz w:val="16"/>
              </w:rPr>
              <w:t>AIU</w:t>
            </w:r>
          </w:p>
        </w:tc>
        <w:tc>
          <w:tcPr>
            <w:tcW w:type="dxa" w:w="1325"/>
          </w:tcPr>
          <w:p>
            <w:pPr>
              <w:pStyle w:val="MDPI42tablebody"/>
              <w:keepNext/>
              <w:spacing w:line="240" w:lineRule="auto" w:before="30" w:after="30"/>
              <w:jc w:val="center"/>
            </w:pPr>
            <w:r>
              <w:rPr>
                <w:b w:val="0"/>
                <w:i w:val="0"/>
                <w:sz w:val="16"/>
              </w:rPr>
              <w:t>−1.193***</w:t>
            </w:r>
          </w:p>
        </w:tc>
        <w:tc>
          <w:tcPr>
            <w:tcW w:type="dxa" w:w="1325"/>
          </w:tcPr>
          <w:p>
            <w:pPr>
              <w:pStyle w:val="MDPI42tablebody"/>
              <w:keepNext/>
              <w:spacing w:line="240" w:lineRule="auto" w:before="30" w:after="30"/>
              <w:jc w:val="center"/>
            </w:pPr>
            <w:r>
              <w:rPr>
                <w:b w:val="0"/>
                <w:i w:val="0"/>
                <w:sz w:val="16"/>
              </w:rPr>
              <w:t>−1.193***</w:t>
            </w:r>
          </w:p>
        </w:tc>
        <w:tc>
          <w:tcPr>
            <w:tcW w:type="dxa" w:w="1325"/>
          </w:tcPr>
          <w:p>
            <w:pPr>
              <w:pStyle w:val="MDPI42tablebody"/>
              <w:keepNext/>
              <w:spacing w:line="240" w:lineRule="auto" w:before="30" w:after="30"/>
              <w:jc w:val="center"/>
            </w:pPr>
            <w:r>
              <w:rPr>
                <w:b w:val="0"/>
                <w:i w:val="0"/>
                <w:sz w:val="16"/>
              </w:rPr>
              <w:t>−1.251***</w:t>
            </w:r>
          </w:p>
        </w:tc>
        <w:tc>
          <w:tcPr>
            <w:tcW w:type="dxa" w:w="1325"/>
          </w:tcPr>
          <w:p>
            <w:pPr>
              <w:pStyle w:val="MDPI42tablebody"/>
              <w:keepNext/>
              <w:spacing w:line="240" w:lineRule="auto" w:before="30" w:after="30"/>
              <w:jc w:val="center"/>
            </w:pPr>
            <w:r>
              <w:rPr>
                <w:b w:val="0"/>
                <w:i w:val="0"/>
                <w:sz w:val="16"/>
              </w:rPr>
              <w:t>−1.230***</w:t>
            </w:r>
          </w:p>
        </w:tc>
        <w:tc>
          <w:tcPr>
            <w:tcW w:type="dxa" w:w="1325"/>
          </w:tcPr>
          <w:p>
            <w:pPr>
              <w:pStyle w:val="MDPI42tablebody"/>
              <w:keepNext/>
              <w:spacing w:line="240" w:lineRule="auto" w:before="30" w:after="30"/>
              <w:jc w:val="center"/>
            </w:pPr>
            <w:r>
              <w:rPr>
                <w:b w:val="0"/>
                <w:i w:val="0"/>
                <w:sz w:val="16"/>
              </w:rPr>
              <w:t>−0.148***</w:t>
            </w:r>
          </w:p>
        </w:tc>
        <w:tc>
          <w:tcPr>
            <w:tcW w:type="dxa" w:w="1325"/>
          </w:tcPr>
          <w:p>
            <w:pPr>
              <w:pStyle w:val="MDPI42tablebody"/>
              <w:keepNext/>
              <w:spacing w:line="240" w:lineRule="auto" w:before="30" w:after="30"/>
              <w:jc w:val="center"/>
            </w:pPr>
            <w:r>
              <w:rPr>
                <w:b w:val="0"/>
                <w:i w:val="0"/>
                <w:sz w:val="16"/>
              </w:rPr>
              <w:t>−0.564***</w:t>
            </w:r>
          </w:p>
        </w:tc>
      </w:tr>
      <w:tr>
        <w:trPr>
          <w:cantSplit/>
        </w:trPr>
        <w:tc>
          <w:tcPr>
            <w:tcW w:type="dxa" w:w="2511"/>
          </w:tcPr>
          <w:p>
            <w:pPr>
              <w:pStyle w:val="MDPI42tablebody"/>
              <w:keepNext/>
              <w:spacing w:line="240" w:lineRule="auto" w:before="30" w:after="30"/>
              <w:jc w:val="left"/>
            </w:pPr>
          </w:p>
        </w:tc>
        <w:tc>
          <w:tcPr>
            <w:tcW w:type="dxa" w:w="1325"/>
          </w:tcPr>
          <w:p>
            <w:pPr>
              <w:pStyle w:val="MDPI42tablebody"/>
              <w:keepNext/>
              <w:spacing w:line="240" w:lineRule="auto" w:before="30" w:after="30"/>
              <w:jc w:val="center"/>
            </w:pPr>
            <w:r>
              <w:rPr>
                <w:b w:val="0"/>
                <w:i w:val="0"/>
                <w:sz w:val="16"/>
              </w:rPr>
              <w:t>(0.027)</w:t>
            </w:r>
          </w:p>
        </w:tc>
        <w:tc>
          <w:tcPr>
            <w:tcW w:type="dxa" w:w="1325"/>
          </w:tcPr>
          <w:p>
            <w:pPr>
              <w:pStyle w:val="MDPI42tablebody"/>
              <w:keepNext/>
              <w:spacing w:line="240" w:lineRule="auto" w:before="30" w:after="30"/>
              <w:jc w:val="center"/>
            </w:pPr>
            <w:r>
              <w:rPr>
                <w:b w:val="0"/>
                <w:i w:val="0"/>
                <w:sz w:val="16"/>
              </w:rPr>
              <w:t>(0.026)</w:t>
            </w:r>
          </w:p>
        </w:tc>
        <w:tc>
          <w:tcPr>
            <w:tcW w:type="dxa" w:w="1325"/>
          </w:tcPr>
          <w:p>
            <w:pPr>
              <w:pStyle w:val="MDPI42tablebody"/>
              <w:keepNext/>
              <w:spacing w:line="240" w:lineRule="auto" w:before="30" w:after="30"/>
              <w:jc w:val="center"/>
            </w:pPr>
            <w:r>
              <w:rPr>
                <w:b w:val="0"/>
                <w:i w:val="0"/>
                <w:sz w:val="16"/>
              </w:rPr>
              <w:t>(0.026)</w:t>
            </w:r>
          </w:p>
        </w:tc>
        <w:tc>
          <w:tcPr>
            <w:tcW w:type="dxa" w:w="1325"/>
          </w:tcPr>
          <w:p>
            <w:pPr>
              <w:pStyle w:val="MDPI42tablebody"/>
              <w:keepNext/>
              <w:spacing w:line="240" w:lineRule="auto" w:before="30" w:after="30"/>
              <w:jc w:val="center"/>
            </w:pPr>
            <w:r>
              <w:rPr>
                <w:b w:val="0"/>
                <w:i w:val="0"/>
                <w:sz w:val="16"/>
              </w:rPr>
              <w:t>(0.026)</w:t>
            </w:r>
          </w:p>
        </w:tc>
        <w:tc>
          <w:tcPr>
            <w:tcW w:type="dxa" w:w="1325"/>
          </w:tcPr>
          <w:p>
            <w:pPr>
              <w:pStyle w:val="MDPI42tablebody"/>
              <w:keepNext/>
              <w:spacing w:line="240" w:lineRule="auto" w:before="30" w:after="30"/>
              <w:jc w:val="center"/>
            </w:pPr>
            <w:r>
              <w:rPr>
                <w:b w:val="0"/>
                <w:i w:val="0"/>
                <w:sz w:val="16"/>
              </w:rPr>
              <w:t>(0.004)</w:t>
            </w:r>
          </w:p>
        </w:tc>
        <w:tc>
          <w:tcPr>
            <w:tcW w:type="dxa" w:w="1325"/>
          </w:tcPr>
          <w:p>
            <w:pPr>
              <w:pStyle w:val="MDPI42tablebody"/>
              <w:keepNext/>
              <w:spacing w:line="240" w:lineRule="auto" w:before="30" w:after="30"/>
              <w:jc w:val="center"/>
            </w:pPr>
            <w:r>
              <w:rPr>
                <w:b w:val="0"/>
                <w:i w:val="0"/>
                <w:sz w:val="16"/>
              </w:rPr>
              <w:t>(0.018)</w:t>
            </w:r>
          </w:p>
        </w:tc>
      </w:tr>
      <w:tr>
        <w:trPr>
          <w:cantSplit/>
        </w:trPr>
        <w:tc>
          <w:tcPr>
            <w:tcW w:type="dxa" w:w="2511"/>
          </w:tcPr>
          <w:p>
            <w:pPr>
              <w:pStyle w:val="MDPI42tablebody"/>
              <w:keepNext/>
              <w:spacing w:line="240" w:lineRule="auto" w:before="30" w:after="30"/>
              <w:jc w:val="left"/>
            </w:pPr>
            <w:r>
              <w:rPr>
                <w:b w:val="0"/>
                <w:i/>
                <w:sz w:val="16"/>
              </w:rPr>
              <w:t>AIE</w:t>
            </w: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r>
              <w:rPr>
                <w:b w:val="0"/>
                <w:i w:val="0"/>
                <w:sz w:val="16"/>
              </w:rPr>
              <w:t>0.301***</w:t>
            </w:r>
          </w:p>
        </w:tc>
        <w:tc>
          <w:tcPr>
            <w:tcW w:type="dxa" w:w="1325"/>
          </w:tcPr>
          <w:p>
            <w:pPr>
              <w:pStyle w:val="MDPI42tablebody"/>
              <w:keepNext/>
              <w:spacing w:line="240" w:lineRule="auto" w:before="30" w:after="30"/>
              <w:jc w:val="center"/>
            </w:pPr>
            <w:r>
              <w:rPr>
                <w:b w:val="0"/>
                <w:i w:val="0"/>
                <w:sz w:val="16"/>
              </w:rPr>
              <w:t>0.300***</w:t>
            </w:r>
          </w:p>
        </w:tc>
        <w:tc>
          <w:tcPr>
            <w:tcW w:type="dxa" w:w="1325"/>
          </w:tcPr>
          <w:p>
            <w:pPr>
              <w:pStyle w:val="MDPI42tablebody"/>
              <w:keepNext/>
              <w:spacing w:line="240" w:lineRule="auto" w:before="30" w:after="30"/>
              <w:jc w:val="center"/>
            </w:pPr>
            <w:r>
              <w:rPr>
                <w:b w:val="0"/>
                <w:i w:val="0"/>
                <w:sz w:val="16"/>
              </w:rPr>
              <w:t>0.031***</w:t>
            </w:r>
          </w:p>
        </w:tc>
        <w:tc>
          <w:tcPr>
            <w:tcW w:type="dxa" w:w="1325"/>
          </w:tcPr>
          <w:p>
            <w:pPr>
              <w:pStyle w:val="MDPI42tablebody"/>
              <w:keepNext/>
              <w:spacing w:line="240" w:lineRule="auto" w:before="30" w:after="30"/>
              <w:jc w:val="center"/>
            </w:pPr>
            <w:r>
              <w:rPr>
                <w:b w:val="0"/>
                <w:i w:val="0"/>
                <w:sz w:val="16"/>
              </w:rPr>
              <w:t>0.088***</w:t>
            </w:r>
          </w:p>
        </w:tc>
      </w:tr>
      <w:tr>
        <w:trPr>
          <w:cantSplit/>
        </w:trPr>
        <w:tc>
          <w:tcPr>
            <w:tcW w:type="dxa" w:w="2511"/>
          </w:tcPr>
          <w:p>
            <w:pPr>
              <w:pStyle w:val="MDPI42tablebody"/>
              <w:keepNext/>
              <w:spacing w:line="240" w:lineRule="auto" w:before="30" w:after="30"/>
              <w:jc w:val="left"/>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r>
              <w:rPr>
                <w:b w:val="0"/>
                <w:i w:val="0"/>
                <w:sz w:val="16"/>
              </w:rPr>
              <w:t>(0.020)</w:t>
            </w:r>
          </w:p>
        </w:tc>
        <w:tc>
          <w:tcPr>
            <w:tcW w:type="dxa" w:w="1325"/>
          </w:tcPr>
          <w:p>
            <w:pPr>
              <w:pStyle w:val="MDPI42tablebody"/>
              <w:keepNext/>
              <w:spacing w:line="240" w:lineRule="auto" w:before="30" w:after="30"/>
              <w:jc w:val="center"/>
            </w:pPr>
            <w:r>
              <w:rPr>
                <w:b w:val="0"/>
                <w:i w:val="0"/>
                <w:sz w:val="16"/>
              </w:rPr>
              <w:t>(0.020)</w:t>
            </w:r>
          </w:p>
        </w:tc>
        <w:tc>
          <w:tcPr>
            <w:tcW w:type="dxa" w:w="1325"/>
          </w:tcPr>
          <w:p>
            <w:pPr>
              <w:pStyle w:val="MDPI42tablebody"/>
              <w:keepNext/>
              <w:spacing w:line="240" w:lineRule="auto" w:before="30" w:after="30"/>
              <w:jc w:val="center"/>
            </w:pPr>
            <w:r>
              <w:rPr>
                <w:b w:val="0"/>
                <w:i w:val="0"/>
                <w:sz w:val="16"/>
              </w:rPr>
              <w:t>(0.002)</w:t>
            </w:r>
          </w:p>
        </w:tc>
        <w:tc>
          <w:tcPr>
            <w:tcW w:type="dxa" w:w="1325"/>
          </w:tcPr>
          <w:p>
            <w:pPr>
              <w:pStyle w:val="MDPI42tablebody"/>
              <w:keepNext/>
              <w:spacing w:line="240" w:lineRule="auto" w:before="30" w:after="30"/>
              <w:jc w:val="center"/>
            </w:pPr>
            <w:r>
              <w:rPr>
                <w:b w:val="0"/>
                <w:i w:val="0"/>
                <w:sz w:val="16"/>
              </w:rPr>
              <w:t>(0.018)</w:t>
            </w:r>
          </w:p>
        </w:tc>
      </w:tr>
      <w:tr>
        <w:trPr>
          <w:cantSplit/>
        </w:trPr>
        <w:tc>
          <w:tcPr>
            <w:tcW w:type="dxa" w:w="2511"/>
          </w:tcPr>
          <w:p>
            <w:pPr>
              <w:pStyle w:val="MDPI42tablebody"/>
              <w:keepNext/>
              <w:spacing w:line="240" w:lineRule="auto" w:before="30" w:after="30"/>
              <w:jc w:val="left"/>
            </w:pPr>
            <w:r>
              <w:rPr>
                <w:b w:val="0"/>
                <w:i/>
                <w:sz w:val="16"/>
              </w:rPr>
              <w:t>EPU</w:t>
            </w: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r>
              <w:rPr>
                <w:b w:val="0"/>
                <w:i w:val="0"/>
                <w:sz w:val="16"/>
              </w:rPr>
              <w:t>−0.184***</w:t>
            </w:r>
          </w:p>
        </w:tc>
        <w:tc>
          <w:tcPr>
            <w:tcW w:type="dxa" w:w="1325"/>
          </w:tcPr>
          <w:p>
            <w:pPr>
              <w:pStyle w:val="MDPI42tablebody"/>
              <w:keepNext/>
              <w:spacing w:line="240" w:lineRule="auto" w:before="30" w:after="30"/>
              <w:jc w:val="center"/>
            </w:pPr>
            <w:r>
              <w:rPr>
                <w:b w:val="0"/>
                <w:i w:val="0"/>
                <w:sz w:val="16"/>
              </w:rPr>
              <w:t>−0.022***</w:t>
            </w:r>
          </w:p>
        </w:tc>
        <w:tc>
          <w:tcPr>
            <w:tcW w:type="dxa" w:w="1325"/>
          </w:tcPr>
          <w:p>
            <w:pPr>
              <w:pStyle w:val="MDPI42tablebody"/>
              <w:keepNext/>
              <w:spacing w:line="240" w:lineRule="auto" w:before="30" w:after="30"/>
              <w:jc w:val="center"/>
            </w:pPr>
            <w:r>
              <w:rPr>
                <w:b w:val="0"/>
                <w:i w:val="0"/>
                <w:sz w:val="16"/>
              </w:rPr>
              <w:t>−0.120***</w:t>
            </w:r>
          </w:p>
        </w:tc>
      </w:tr>
      <w:tr>
        <w:trPr>
          <w:cantSplit/>
        </w:trPr>
        <w:tc>
          <w:tcPr>
            <w:tcW w:type="dxa" w:w="2511"/>
          </w:tcPr>
          <w:p>
            <w:pPr>
              <w:pStyle w:val="MDPI42tablebody"/>
              <w:keepNext/>
              <w:spacing w:line="240" w:lineRule="auto" w:before="30" w:after="30"/>
              <w:jc w:val="left"/>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p>
        </w:tc>
        <w:tc>
          <w:tcPr>
            <w:tcW w:type="dxa" w:w="1325"/>
          </w:tcPr>
          <w:p>
            <w:pPr>
              <w:pStyle w:val="MDPI42tablebody"/>
              <w:keepNext/>
              <w:spacing w:line="240" w:lineRule="auto" w:before="30" w:after="30"/>
              <w:jc w:val="center"/>
            </w:pPr>
            <w:r>
              <w:rPr>
                <w:b w:val="0"/>
                <w:i w:val="0"/>
                <w:sz w:val="16"/>
              </w:rPr>
              <w:t>(0.020)</w:t>
            </w:r>
          </w:p>
        </w:tc>
        <w:tc>
          <w:tcPr>
            <w:tcW w:type="dxa" w:w="1325"/>
          </w:tcPr>
          <w:p>
            <w:pPr>
              <w:pStyle w:val="MDPI42tablebody"/>
              <w:keepNext/>
              <w:spacing w:line="240" w:lineRule="auto" w:before="30" w:after="30"/>
              <w:jc w:val="center"/>
            </w:pPr>
            <w:r>
              <w:rPr>
                <w:b w:val="0"/>
                <w:i w:val="0"/>
                <w:sz w:val="16"/>
              </w:rPr>
              <w:t>(0.002)</w:t>
            </w:r>
          </w:p>
        </w:tc>
        <w:tc>
          <w:tcPr>
            <w:tcW w:type="dxa" w:w="1325"/>
          </w:tcPr>
          <w:p>
            <w:pPr>
              <w:pStyle w:val="MDPI42tablebody"/>
              <w:keepNext/>
              <w:spacing w:line="240" w:lineRule="auto" w:before="30" w:after="30"/>
              <w:jc w:val="center"/>
            </w:pPr>
            <w:r>
              <w:rPr>
                <w:b w:val="0"/>
                <w:i w:val="0"/>
                <w:sz w:val="16"/>
              </w:rPr>
              <w:t>(0.019)</w:t>
            </w:r>
          </w:p>
        </w:tc>
      </w:tr>
      <w:tr>
        <w:trPr>
          <w:cantSplit/>
        </w:trPr>
        <w:tc>
          <w:tcPr>
            <w:tcW w:type="dxa" w:w="2511"/>
          </w:tcPr>
          <w:p>
            <w:pPr>
              <w:pStyle w:val="MDPI42tablebody"/>
              <w:keepNext/>
              <w:spacing w:line="240" w:lineRule="auto" w:before="30" w:after="30"/>
              <w:jc w:val="left"/>
            </w:pPr>
            <w:r>
              <w:rPr>
                <w:b w:val="0"/>
                <w:i/>
                <w:sz w:val="16"/>
              </w:rPr>
              <w:t>Controls</w:t>
            </w:r>
          </w:p>
        </w:tc>
        <w:tc>
          <w:tcPr>
            <w:tcW w:type="dxa" w:w="1325"/>
          </w:tcPr>
          <w:p>
            <w:pPr>
              <w:pStyle w:val="MDPI42tablebody"/>
              <w:keepNext/>
              <w:spacing w:line="240" w:lineRule="auto" w:before="30" w:after="30"/>
              <w:jc w:val="center"/>
            </w:pPr>
            <w:r>
              <w:rPr>
                <w:b w:val="0"/>
                <w:i w:val="0"/>
                <w:sz w:val="16"/>
              </w:rPr>
              <w:t>No</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r>
      <w:tr>
        <w:trPr>
          <w:cantSplit/>
        </w:trPr>
        <w:tc>
          <w:tcPr>
            <w:tcW w:type="dxa" w:w="2511"/>
          </w:tcPr>
          <w:p>
            <w:pPr>
              <w:pStyle w:val="MDPI42tablebody"/>
              <w:keepNext/>
              <w:spacing w:line="240" w:lineRule="auto" w:before="30" w:after="30"/>
              <w:jc w:val="left"/>
            </w:pPr>
            <w:r>
              <w:rPr>
                <w:b w:val="0"/>
                <w:i/>
                <w:sz w:val="16"/>
              </w:rPr>
              <w:t>Firm FE</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r>
      <w:tr>
        <w:trPr>
          <w:cantSplit/>
        </w:trPr>
        <w:tc>
          <w:tcPr>
            <w:tcW w:type="dxa" w:w="2511"/>
          </w:tcPr>
          <w:p>
            <w:pPr>
              <w:pStyle w:val="MDPI42tablebody"/>
              <w:keepNext/>
              <w:spacing w:line="240" w:lineRule="auto" w:before="30" w:after="30"/>
              <w:jc w:val="left"/>
            </w:pPr>
            <w:r>
              <w:rPr>
                <w:b w:val="0"/>
                <w:i/>
                <w:sz w:val="16"/>
              </w:rPr>
              <w:t>Year FE</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c>
          <w:tcPr>
            <w:tcW w:type="dxa" w:w="1325"/>
          </w:tcPr>
          <w:p>
            <w:pPr>
              <w:pStyle w:val="MDPI42tablebody"/>
              <w:keepNext/>
              <w:spacing w:line="240" w:lineRule="auto" w:before="30" w:after="30"/>
              <w:jc w:val="center"/>
            </w:pPr>
            <w:r>
              <w:rPr>
                <w:b w:val="0"/>
                <w:i w:val="0"/>
                <w:sz w:val="16"/>
              </w:rPr>
              <w:t>Yes</w:t>
            </w:r>
          </w:p>
        </w:tc>
      </w:tr>
      <w:tr>
        <w:trPr>
          <w:cantSplit/>
        </w:trPr>
        <w:tc>
          <w:tcPr>
            <w:tcW w:type="dxa" w:w="2511"/>
          </w:tcPr>
          <w:p>
            <w:pPr>
              <w:pStyle w:val="MDPI42tablebody"/>
              <w:keepNext/>
              <w:spacing w:line="240" w:lineRule="auto" w:before="30" w:after="30"/>
              <w:jc w:val="left"/>
            </w:pPr>
            <w:r>
              <w:rPr>
                <w:b w:val="0"/>
                <w:i/>
                <w:sz w:val="16"/>
              </w:rPr>
              <w:t>Observations</w:t>
            </w:r>
          </w:p>
        </w:tc>
        <w:tc>
          <w:tcPr>
            <w:tcW w:type="dxa" w:w="1325"/>
          </w:tcPr>
          <w:p>
            <w:pPr>
              <w:pStyle w:val="MDPI42tablebody"/>
              <w:keepNext/>
              <w:spacing w:line="240" w:lineRule="auto" w:before="30" w:after="30"/>
              <w:jc w:val="center"/>
            </w:pPr>
            <w:r>
              <w:rPr>
                <w:b w:val="0"/>
                <w:i w:val="0"/>
                <w:sz w:val="16"/>
              </w:rPr>
              <w:t>29,660</w:t>
            </w:r>
          </w:p>
        </w:tc>
        <w:tc>
          <w:tcPr>
            <w:tcW w:type="dxa" w:w="1325"/>
          </w:tcPr>
          <w:p>
            <w:pPr>
              <w:pStyle w:val="MDPI42tablebody"/>
              <w:keepNext/>
              <w:spacing w:line="240" w:lineRule="auto" w:before="30" w:after="30"/>
              <w:jc w:val="center"/>
            </w:pPr>
            <w:r>
              <w:rPr>
                <w:b w:val="0"/>
                <w:i w:val="0"/>
                <w:sz w:val="16"/>
              </w:rPr>
              <w:t>29,660</w:t>
            </w:r>
          </w:p>
        </w:tc>
        <w:tc>
          <w:tcPr>
            <w:tcW w:type="dxa" w:w="1325"/>
          </w:tcPr>
          <w:p>
            <w:pPr>
              <w:pStyle w:val="MDPI42tablebody"/>
              <w:keepNext/>
              <w:spacing w:line="240" w:lineRule="auto" w:before="30" w:after="30"/>
              <w:jc w:val="center"/>
            </w:pPr>
            <w:r>
              <w:rPr>
                <w:b w:val="0"/>
                <w:i w:val="0"/>
                <w:sz w:val="16"/>
              </w:rPr>
              <w:t>29,660</w:t>
            </w:r>
          </w:p>
        </w:tc>
        <w:tc>
          <w:tcPr>
            <w:tcW w:type="dxa" w:w="1325"/>
          </w:tcPr>
          <w:p>
            <w:pPr>
              <w:pStyle w:val="MDPI42tablebody"/>
              <w:keepNext/>
              <w:spacing w:line="240" w:lineRule="auto" w:before="30" w:after="30"/>
              <w:jc w:val="center"/>
            </w:pPr>
            <w:r>
              <w:rPr>
                <w:b w:val="0"/>
                <w:i w:val="0"/>
                <w:sz w:val="16"/>
              </w:rPr>
              <w:t>29,660</w:t>
            </w:r>
          </w:p>
        </w:tc>
        <w:tc>
          <w:tcPr>
            <w:tcW w:type="dxa" w:w="1325"/>
          </w:tcPr>
          <w:p>
            <w:pPr>
              <w:pStyle w:val="MDPI42tablebody"/>
              <w:keepNext/>
              <w:spacing w:line="240" w:lineRule="auto" w:before="30" w:after="30"/>
              <w:jc w:val="center"/>
            </w:pPr>
            <w:r>
              <w:rPr>
                <w:b w:val="0"/>
                <w:i w:val="0"/>
                <w:sz w:val="16"/>
              </w:rPr>
              <w:t>29,660</w:t>
            </w:r>
          </w:p>
        </w:tc>
        <w:tc>
          <w:tcPr>
            <w:tcW w:type="dxa" w:w="1325"/>
          </w:tcPr>
          <w:p>
            <w:pPr>
              <w:pStyle w:val="MDPI42tablebody"/>
              <w:keepNext/>
              <w:spacing w:line="240" w:lineRule="auto" w:before="30" w:after="30"/>
              <w:jc w:val="center"/>
            </w:pPr>
            <w:r>
              <w:rPr>
                <w:b w:val="0"/>
                <w:i w:val="0"/>
                <w:sz w:val="16"/>
              </w:rPr>
              <w:t>29,660</w:t>
            </w:r>
          </w:p>
        </w:tc>
      </w:tr>
      <w:tr>
        <w:trPr>
          <w:cantSplit/>
        </w:trPr>
        <w:tc>
          <w:tcPr>
            <w:tcW w:type="dxa" w:w="2511"/>
          </w:tcPr>
          <w:p>
            <w:pPr>
              <w:pStyle w:val="MDPI42tablebody"/>
              <w:spacing w:line="240" w:lineRule="auto" w:before="30" w:after="30"/>
              <w:jc w:val="left"/>
            </w:pPr>
            <w:r>
              <w:rPr>
                <w:b w:val="0"/>
                <w:i/>
                <w:sz w:val="16"/>
              </w:rPr>
              <w:t>Within R²</w:t>
            </w:r>
          </w:p>
        </w:tc>
        <w:tc>
          <w:tcPr>
            <w:tcW w:type="dxa" w:w="1325"/>
          </w:tcPr>
          <w:p>
            <w:pPr>
              <w:pStyle w:val="MDPI42tablebody"/>
              <w:spacing w:line="240" w:lineRule="auto" w:before="30" w:after="30"/>
              <w:jc w:val="center"/>
            </w:pPr>
            <w:r>
              <w:rPr>
                <w:b w:val="0"/>
                <w:i w:val="0"/>
                <w:sz w:val="16"/>
              </w:rPr>
              <w:t>0.125</w:t>
            </w:r>
          </w:p>
        </w:tc>
        <w:tc>
          <w:tcPr>
            <w:tcW w:type="dxa" w:w="1325"/>
          </w:tcPr>
          <w:p>
            <w:pPr>
              <w:pStyle w:val="MDPI42tablebody"/>
              <w:spacing w:line="240" w:lineRule="auto" w:before="30" w:after="30"/>
              <w:jc w:val="center"/>
            </w:pPr>
            <w:r>
              <w:rPr>
                <w:b w:val="0"/>
                <w:i w:val="0"/>
                <w:sz w:val="16"/>
              </w:rPr>
              <w:t>0.268</w:t>
            </w:r>
          </w:p>
        </w:tc>
        <w:tc>
          <w:tcPr>
            <w:tcW w:type="dxa" w:w="1325"/>
          </w:tcPr>
          <w:p>
            <w:pPr>
              <w:pStyle w:val="MDPI42tablebody"/>
              <w:spacing w:line="240" w:lineRule="auto" w:before="30" w:after="30"/>
              <w:jc w:val="center"/>
            </w:pPr>
            <w:r>
              <w:rPr>
                <w:b w:val="0"/>
                <w:i w:val="0"/>
                <w:sz w:val="16"/>
              </w:rPr>
              <w:t>0.275</w:t>
            </w:r>
          </w:p>
        </w:tc>
        <w:tc>
          <w:tcPr>
            <w:tcW w:type="dxa" w:w="1325"/>
          </w:tcPr>
          <w:p>
            <w:pPr>
              <w:pStyle w:val="MDPI42tablebody"/>
              <w:spacing w:line="240" w:lineRule="auto" w:before="30" w:after="30"/>
              <w:jc w:val="center"/>
            </w:pPr>
            <w:r>
              <w:rPr>
                <w:b w:val="0"/>
                <w:i w:val="0"/>
                <w:sz w:val="16"/>
              </w:rPr>
              <w:t>0.277</w:t>
            </w:r>
          </w:p>
        </w:tc>
        <w:tc>
          <w:tcPr>
            <w:tcW w:type="dxa" w:w="1325"/>
          </w:tcPr>
          <w:p>
            <w:pPr>
              <w:pStyle w:val="MDPI42tablebody"/>
              <w:spacing w:line="240" w:lineRule="auto" w:before="30" w:after="30"/>
              <w:jc w:val="center"/>
            </w:pPr>
            <w:r>
              <w:rPr>
                <w:b w:val="0"/>
                <w:i w:val="0"/>
                <w:sz w:val="16"/>
              </w:rPr>
              <w:t>0.481</w:t>
            </w:r>
          </w:p>
        </w:tc>
        <w:tc>
          <w:tcPr>
            <w:tcW w:type="dxa" w:w="1325"/>
          </w:tcPr>
          <w:p>
            <w:pPr>
              <w:pStyle w:val="MDPI42tablebody"/>
              <w:spacing w:line="240" w:lineRule="auto" w:before="30" w:after="30"/>
              <w:jc w:val="center"/>
            </w:pPr>
            <w:r>
              <w:rPr>
                <w:b w:val="0"/>
                <w:i w:val="0"/>
                <w:sz w:val="16"/>
              </w:rPr>
              <w:t>0.165</w:t>
            </w:r>
          </w:p>
        </w:tc>
      </w:tr>
    </w:tbl>
    <w:p>
      <w:pPr>
        <w:pStyle w:val="MDPI43tablefooter"/>
        <w:spacing w:line="240" w:lineRule="auto" w:before="40" w:after="200"/>
        <w:ind w:left="2608" w:firstLine="0"/>
      </w:pPr>
      <w:r>
        <w:rPr>
          <w:sz w:val="16"/>
        </w:rPr>
        <w:t xml:space="preserve">Note: </w:t>
      </w:r>
      <w:r>
        <w:rPr>
          <w:b w:val="0"/>
          <w:i w:val="0"/>
          <w:sz w:val="16"/>
        </w:rPr>
        <w:t>The dependent variable is the entry-level vacancy rate in columns (1) to (4), the entry-level vacancy count in column (5) and the share of employees aged 30 or below in column (6). Columns (1) to (4) and (6) estimate Equation (8) by least squares; column (5) estimates Equation (9) by Poisson pseudo-maximum likelihood with two absorbed effect dimensions and reports a semi-elasticity, and the statistic reported for it is a deviance-based pseudo R-squared. Standard errors clustered at the firm level are in parentheses. ***, ** and * denote significance at the 1%, 5% and 10% levels.</w:t>
      </w:r>
    </w:p>
    <w:p>
      <w:pPr>
        <w:pStyle w:val="MDPI22heading2"/>
      </w:pPr>
      <w:r>
        <w:t>4.4. Is the Chill Specific to the Young?</w:t>
      </w:r>
    </w:p>
    <w:p>
      <w:pPr>
        <w:pStyle w:val="MDPI32textnoindent"/>
      </w:pPr>
      <w:r>
        <w:rPr>
          <w:b w:val="0"/>
          <w:i w:val="0"/>
        </w:rPr>
        <w:t>The single most informative test in the paper is the comparison of entry-level with experienced vacancies, because the two are posted by the same firms in the same years and are subject to the same demand shocks, the same financing conditions and the same managerial mood. What differs is the sunk component. Table 5 reports it. Column (1) repeats the baseline, −1.230. Column (2) replaces the dependent variable with the experienced vacancy rate: the coefficient is −0.090 (0.016), 13.7 times smaller in magnitude. Columns (3) and (4) repeat the comparison with the Poisson estimator and find the same pattern, −0.148 against −0.008.</w:t>
      </w:r>
    </w:p>
    <w:p>
      <w:pPr>
        <w:pStyle w:val="MDPI31text"/>
      </w:pPr>
      <w:r>
        <w:rPr>
          <w:b w:val="0"/>
          <w:i w:val="0"/>
        </w:rPr>
        <w:t>The last rows of Table 5 report the cross-equation test of Equation (11). Stacking the two equations and clustering on the firm across both, the difference in the uncertainty coefficient is 1.140 with a standard error of 0.030, so equality is rejected at any conventional level. This is difficult to reconcile with any account in which generative-AI uncertainty is a proxy for general pessimism, poor performance or a common demand shock, since none of those is specific to the least experienced margin. It is exactly what Equation (6) predicts: the hurdle rises with dispersion in proportion to what the firm cannot get back, and what it cannot get back from a school leaver is much larger than what it cannot get back from a mid-career hire. Hypothesis 5 is supported.</w:t>
      </w:r>
    </w:p>
    <w:p>
      <w:pPr>
        <w:pStyle w:val="MDPI41tablecaption"/>
        <w:keepNext/>
        <w:spacing w:after="60"/>
      </w:pPr>
      <w:r>
        <w:rPr>
          <w:b/>
          <w:sz w:val="18"/>
        </w:rPr>
        <w:t xml:space="preserve">Table 5. </w:t>
      </w:r>
      <w:r>
        <w:rPr>
          <w:b w:val="0"/>
          <w:i w:val="0"/>
          <w:sz w:val="18"/>
        </w:rPr>
        <w:t>Is the chill specific to the young? Entry-level against experienced vacancies.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349"/>
        <w:gridCol w:w="1779"/>
        <w:gridCol w:w="1779"/>
        <w:gridCol w:w="1779"/>
        <w:gridCol w:w="1779"/>
      </w:tblGrid>
      <w:tr>
        <w:trPr>
          <w:cantSplit/>
          <w:tblHeader/>
        </w:trPr>
        <w:tc>
          <w:tcPr>
            <w:tcW w:type="dxa" w:w="3349"/>
            <w:tcBorders>
              <w:bottom w:val="single" w:sz="8" w:space="0" w:color="auto"/>
            </w:tcBorders>
          </w:tcPr>
          <w:p>
            <w:pPr>
              <w:pStyle w:val="MDPI42tablebody"/>
              <w:keepNext/>
              <w:spacing w:line="240" w:lineRule="auto" w:before="30" w:after="30"/>
              <w:jc w:val="center"/>
            </w:pPr>
            <w:r>
              <w:rPr>
                <w:b/>
                <w:i w:val="0"/>
                <w:sz w:val="18"/>
              </w:rPr>
              <w:t>Variable</w:t>
            </w:r>
          </w:p>
        </w:tc>
        <w:tc>
          <w:tcPr>
            <w:tcW w:type="dxa" w:w="1779"/>
            <w:tcBorders>
              <w:bottom w:val="single" w:sz="8" w:space="0" w:color="auto"/>
            </w:tcBorders>
          </w:tcPr>
          <w:p>
            <w:pPr>
              <w:pStyle w:val="MDPI42tablebody"/>
              <w:keepNext/>
              <w:spacing w:line="240" w:lineRule="auto" w:before="30" w:after="30"/>
              <w:jc w:val="center"/>
            </w:pPr>
            <w:r>
              <w:rPr>
                <w:b/>
                <w:i w:val="0"/>
                <w:sz w:val="18"/>
              </w:rPr>
              <w:t>(1)</w:t>
            </w:r>
          </w:p>
        </w:tc>
        <w:tc>
          <w:tcPr>
            <w:tcW w:type="dxa" w:w="1779"/>
            <w:tcBorders>
              <w:bottom w:val="single" w:sz="8" w:space="0" w:color="auto"/>
            </w:tcBorders>
          </w:tcPr>
          <w:p>
            <w:pPr>
              <w:pStyle w:val="MDPI42tablebody"/>
              <w:keepNext/>
              <w:spacing w:line="240" w:lineRule="auto" w:before="30" w:after="30"/>
              <w:jc w:val="center"/>
            </w:pPr>
            <w:r>
              <w:rPr>
                <w:b/>
                <w:i w:val="0"/>
                <w:sz w:val="18"/>
              </w:rPr>
              <w:t>(2)</w:t>
            </w:r>
          </w:p>
        </w:tc>
        <w:tc>
          <w:tcPr>
            <w:tcW w:type="dxa" w:w="1779"/>
            <w:tcBorders>
              <w:bottom w:val="single" w:sz="8" w:space="0" w:color="auto"/>
            </w:tcBorders>
          </w:tcPr>
          <w:p>
            <w:pPr>
              <w:pStyle w:val="MDPI42tablebody"/>
              <w:keepNext/>
              <w:spacing w:line="240" w:lineRule="auto" w:before="30" w:after="30"/>
              <w:jc w:val="center"/>
            </w:pPr>
            <w:r>
              <w:rPr>
                <w:b/>
                <w:i w:val="0"/>
                <w:sz w:val="18"/>
              </w:rPr>
              <w:t>(3)</w:t>
            </w:r>
          </w:p>
        </w:tc>
        <w:tc>
          <w:tcPr>
            <w:tcW w:type="dxa" w:w="1779"/>
            <w:tcBorders>
              <w:bottom w:val="single" w:sz="8" w:space="0" w:color="auto"/>
            </w:tcBorders>
          </w:tcPr>
          <w:p>
            <w:pPr>
              <w:pStyle w:val="MDPI42tablebody"/>
              <w:keepNext/>
              <w:spacing w:line="240" w:lineRule="auto" w:before="30" w:after="30"/>
              <w:jc w:val="center"/>
            </w:pPr>
            <w:r>
              <w:rPr>
                <w:b/>
                <w:i w:val="0"/>
                <w:sz w:val="18"/>
              </w:rPr>
              <w:t>(4)</w:t>
            </w:r>
          </w:p>
        </w:tc>
      </w:tr>
      <w:tr>
        <w:trPr>
          <w:cantSplit/>
        </w:trPr>
        <w:tc>
          <w:tcPr>
            <w:tcW w:type="dxa" w:w="3349"/>
          </w:tcPr>
          <w:p>
            <w:pPr>
              <w:pStyle w:val="MDPI42tablebody"/>
              <w:keepNext/>
              <w:spacing w:line="240" w:lineRule="auto" w:before="30" w:after="30"/>
              <w:jc w:val="left"/>
            </w:pPr>
            <w:r>
              <w:rPr>
                <w:b w:val="0"/>
                <w:i/>
                <w:sz w:val="18"/>
              </w:rPr>
              <w:t>AIU</w:t>
            </w:r>
          </w:p>
        </w:tc>
        <w:tc>
          <w:tcPr>
            <w:tcW w:type="dxa" w:w="1779"/>
          </w:tcPr>
          <w:p>
            <w:pPr>
              <w:pStyle w:val="MDPI42tablebody"/>
              <w:keepNext/>
              <w:spacing w:line="240" w:lineRule="auto" w:before="30" w:after="30"/>
              <w:jc w:val="center"/>
            </w:pPr>
            <w:r>
              <w:rPr>
                <w:b w:val="0"/>
                <w:i w:val="0"/>
                <w:sz w:val="18"/>
              </w:rPr>
              <w:t>−1.230***</w:t>
            </w:r>
          </w:p>
        </w:tc>
        <w:tc>
          <w:tcPr>
            <w:tcW w:type="dxa" w:w="1779"/>
          </w:tcPr>
          <w:p>
            <w:pPr>
              <w:pStyle w:val="MDPI42tablebody"/>
              <w:keepNext/>
              <w:spacing w:line="240" w:lineRule="auto" w:before="30" w:after="30"/>
              <w:jc w:val="center"/>
            </w:pPr>
            <w:r>
              <w:rPr>
                <w:b w:val="0"/>
                <w:i w:val="0"/>
                <w:sz w:val="18"/>
              </w:rPr>
              <w:t>−0.090***</w:t>
            </w:r>
          </w:p>
        </w:tc>
        <w:tc>
          <w:tcPr>
            <w:tcW w:type="dxa" w:w="1779"/>
          </w:tcPr>
          <w:p>
            <w:pPr>
              <w:pStyle w:val="MDPI42tablebody"/>
              <w:keepNext/>
              <w:spacing w:line="240" w:lineRule="auto" w:before="30" w:after="30"/>
              <w:jc w:val="center"/>
            </w:pPr>
            <w:r>
              <w:rPr>
                <w:b w:val="0"/>
                <w:i w:val="0"/>
                <w:sz w:val="18"/>
              </w:rPr>
              <w:t>−0.148***</w:t>
            </w:r>
          </w:p>
        </w:tc>
        <w:tc>
          <w:tcPr>
            <w:tcW w:type="dxa" w:w="1779"/>
          </w:tcPr>
          <w:p>
            <w:pPr>
              <w:pStyle w:val="MDPI42tablebody"/>
              <w:keepNext/>
              <w:spacing w:line="240" w:lineRule="auto" w:before="30" w:after="30"/>
              <w:jc w:val="center"/>
            </w:pPr>
            <w:r>
              <w:rPr>
                <w:b w:val="0"/>
                <w:i w:val="0"/>
                <w:sz w:val="18"/>
              </w:rPr>
              <w:t>−0.008***</w:t>
            </w:r>
          </w:p>
        </w:tc>
      </w:tr>
      <w:tr>
        <w:trPr>
          <w:cantSplit/>
        </w:trPr>
        <w:tc>
          <w:tcPr>
            <w:tcW w:type="dxa" w:w="3349"/>
          </w:tcPr>
          <w:p>
            <w:pPr>
              <w:pStyle w:val="MDPI42tablebody"/>
              <w:keepNext/>
              <w:spacing w:line="240" w:lineRule="auto" w:before="30" w:after="30"/>
              <w:jc w:val="left"/>
            </w:pPr>
          </w:p>
        </w:tc>
        <w:tc>
          <w:tcPr>
            <w:tcW w:type="dxa" w:w="1779"/>
          </w:tcPr>
          <w:p>
            <w:pPr>
              <w:pStyle w:val="MDPI42tablebody"/>
              <w:keepNext/>
              <w:spacing w:line="240" w:lineRule="auto" w:before="30" w:after="30"/>
              <w:jc w:val="center"/>
            </w:pPr>
            <w:r>
              <w:rPr>
                <w:b w:val="0"/>
                <w:i w:val="0"/>
                <w:sz w:val="18"/>
              </w:rPr>
              <w:t>(0.026)</w:t>
            </w:r>
          </w:p>
        </w:tc>
        <w:tc>
          <w:tcPr>
            <w:tcW w:type="dxa" w:w="1779"/>
          </w:tcPr>
          <w:p>
            <w:pPr>
              <w:pStyle w:val="MDPI42tablebody"/>
              <w:keepNext/>
              <w:spacing w:line="240" w:lineRule="auto" w:before="30" w:after="30"/>
              <w:jc w:val="center"/>
            </w:pPr>
            <w:r>
              <w:rPr>
                <w:b w:val="0"/>
                <w:i w:val="0"/>
                <w:sz w:val="18"/>
              </w:rPr>
              <w:t>(0.016)</w:t>
            </w:r>
          </w:p>
        </w:tc>
        <w:tc>
          <w:tcPr>
            <w:tcW w:type="dxa" w:w="1779"/>
          </w:tcPr>
          <w:p>
            <w:pPr>
              <w:pStyle w:val="MDPI42tablebody"/>
              <w:keepNext/>
              <w:spacing w:line="240" w:lineRule="auto" w:before="30" w:after="30"/>
              <w:jc w:val="center"/>
            </w:pPr>
            <w:r>
              <w:rPr>
                <w:b w:val="0"/>
                <w:i w:val="0"/>
                <w:sz w:val="18"/>
              </w:rPr>
              <w:t>(0.004)</w:t>
            </w:r>
          </w:p>
        </w:tc>
        <w:tc>
          <w:tcPr>
            <w:tcW w:type="dxa" w:w="1779"/>
          </w:tcPr>
          <w:p>
            <w:pPr>
              <w:pStyle w:val="MDPI42tablebody"/>
              <w:keepNext/>
              <w:spacing w:line="240" w:lineRule="auto" w:before="30" w:after="30"/>
              <w:jc w:val="center"/>
            </w:pPr>
            <w:r>
              <w:rPr>
                <w:b w:val="0"/>
                <w:i w:val="0"/>
                <w:sz w:val="18"/>
              </w:rPr>
              <w:t>(0.001)</w:t>
            </w:r>
          </w:p>
        </w:tc>
      </w:tr>
      <w:tr>
        <w:trPr>
          <w:cantSplit/>
        </w:trPr>
        <w:tc>
          <w:tcPr>
            <w:tcW w:type="dxa" w:w="3349"/>
          </w:tcPr>
          <w:p>
            <w:pPr>
              <w:pStyle w:val="MDPI42tablebody"/>
              <w:keepNext/>
              <w:spacing w:line="240" w:lineRule="auto" w:before="30" w:after="30"/>
              <w:jc w:val="left"/>
            </w:pPr>
            <w:r>
              <w:rPr>
                <w:b w:val="0"/>
                <w:i/>
                <w:sz w:val="18"/>
              </w:rPr>
              <w:t>AIE</w:t>
            </w:r>
          </w:p>
        </w:tc>
        <w:tc>
          <w:tcPr>
            <w:tcW w:type="dxa" w:w="1779"/>
          </w:tcPr>
          <w:p>
            <w:pPr>
              <w:pStyle w:val="MDPI42tablebody"/>
              <w:keepNext/>
              <w:spacing w:line="240" w:lineRule="auto" w:before="30" w:after="30"/>
              <w:jc w:val="center"/>
            </w:pPr>
            <w:r>
              <w:rPr>
                <w:b w:val="0"/>
                <w:i w:val="0"/>
                <w:sz w:val="18"/>
              </w:rPr>
              <w:t>0.300***</w:t>
            </w:r>
          </w:p>
        </w:tc>
        <w:tc>
          <w:tcPr>
            <w:tcW w:type="dxa" w:w="1779"/>
          </w:tcPr>
          <w:p>
            <w:pPr>
              <w:pStyle w:val="MDPI42tablebody"/>
              <w:keepNext/>
              <w:spacing w:line="240" w:lineRule="auto" w:before="30" w:after="30"/>
              <w:jc w:val="center"/>
            </w:pPr>
            <w:r>
              <w:rPr>
                <w:b w:val="0"/>
                <w:i w:val="0"/>
                <w:sz w:val="18"/>
              </w:rPr>
              <w:t>0.275***</w:t>
            </w:r>
          </w:p>
        </w:tc>
        <w:tc>
          <w:tcPr>
            <w:tcW w:type="dxa" w:w="1779"/>
          </w:tcPr>
          <w:p>
            <w:pPr>
              <w:pStyle w:val="MDPI42tablebody"/>
              <w:keepNext/>
              <w:spacing w:line="240" w:lineRule="auto" w:before="30" w:after="30"/>
              <w:jc w:val="center"/>
            </w:pPr>
            <w:r>
              <w:rPr>
                <w:b w:val="0"/>
                <w:i w:val="0"/>
                <w:sz w:val="18"/>
              </w:rPr>
              <w:t>0.031***</w:t>
            </w:r>
          </w:p>
        </w:tc>
        <w:tc>
          <w:tcPr>
            <w:tcW w:type="dxa" w:w="1779"/>
          </w:tcPr>
          <w:p>
            <w:pPr>
              <w:pStyle w:val="MDPI42tablebody"/>
              <w:keepNext/>
              <w:spacing w:line="240" w:lineRule="auto" w:before="30" w:after="30"/>
              <w:jc w:val="center"/>
            </w:pPr>
            <w:r>
              <w:rPr>
                <w:b w:val="0"/>
                <w:i w:val="0"/>
                <w:sz w:val="18"/>
              </w:rPr>
              <w:t>0.034***</w:t>
            </w:r>
          </w:p>
        </w:tc>
      </w:tr>
      <w:tr>
        <w:trPr>
          <w:cantSplit/>
        </w:trPr>
        <w:tc>
          <w:tcPr>
            <w:tcW w:type="dxa" w:w="3349"/>
          </w:tcPr>
          <w:p>
            <w:pPr>
              <w:pStyle w:val="MDPI42tablebody"/>
              <w:keepNext/>
              <w:spacing w:line="240" w:lineRule="auto" w:before="30" w:after="30"/>
              <w:jc w:val="left"/>
            </w:pPr>
          </w:p>
        </w:tc>
        <w:tc>
          <w:tcPr>
            <w:tcW w:type="dxa" w:w="1779"/>
          </w:tcPr>
          <w:p>
            <w:pPr>
              <w:pStyle w:val="MDPI42tablebody"/>
              <w:keepNext/>
              <w:spacing w:line="240" w:lineRule="auto" w:before="30" w:after="30"/>
              <w:jc w:val="center"/>
            </w:pPr>
            <w:r>
              <w:rPr>
                <w:b w:val="0"/>
                <w:i w:val="0"/>
                <w:sz w:val="18"/>
              </w:rPr>
              <w:t>(0.020)</w:t>
            </w:r>
          </w:p>
        </w:tc>
        <w:tc>
          <w:tcPr>
            <w:tcW w:type="dxa" w:w="1779"/>
          </w:tcPr>
          <w:p>
            <w:pPr>
              <w:pStyle w:val="MDPI42tablebody"/>
              <w:keepNext/>
              <w:spacing w:line="240" w:lineRule="auto" w:before="30" w:after="30"/>
              <w:jc w:val="center"/>
            </w:pPr>
            <w:r>
              <w:rPr>
                <w:b w:val="0"/>
                <w:i w:val="0"/>
                <w:sz w:val="18"/>
              </w:rPr>
              <w:t>(0.017)</w:t>
            </w:r>
          </w:p>
        </w:tc>
        <w:tc>
          <w:tcPr>
            <w:tcW w:type="dxa" w:w="1779"/>
          </w:tcPr>
          <w:p>
            <w:pPr>
              <w:pStyle w:val="MDPI42tablebody"/>
              <w:keepNext/>
              <w:spacing w:line="240" w:lineRule="auto" w:before="30" w:after="30"/>
              <w:jc w:val="center"/>
            </w:pPr>
            <w:r>
              <w:rPr>
                <w:b w:val="0"/>
                <w:i w:val="0"/>
                <w:sz w:val="18"/>
              </w:rPr>
              <w:t>(0.002)</w:t>
            </w:r>
          </w:p>
        </w:tc>
        <w:tc>
          <w:tcPr>
            <w:tcW w:type="dxa" w:w="1779"/>
          </w:tcPr>
          <w:p>
            <w:pPr>
              <w:pStyle w:val="MDPI42tablebody"/>
              <w:keepNext/>
              <w:spacing w:line="240" w:lineRule="auto" w:before="30" w:after="30"/>
              <w:jc w:val="center"/>
            </w:pPr>
            <w:r>
              <w:rPr>
                <w:b w:val="0"/>
                <w:i w:val="0"/>
                <w:sz w:val="18"/>
              </w:rPr>
              <w:t>(0.001)</w:t>
            </w:r>
          </w:p>
        </w:tc>
      </w:tr>
      <w:tr>
        <w:trPr>
          <w:cantSplit/>
        </w:trPr>
        <w:tc>
          <w:tcPr>
            <w:tcW w:type="dxa" w:w="3349"/>
          </w:tcPr>
          <w:p>
            <w:pPr>
              <w:pStyle w:val="MDPI42tablebody"/>
              <w:keepNext/>
              <w:spacing w:line="240" w:lineRule="auto" w:before="30" w:after="30"/>
              <w:jc w:val="left"/>
            </w:pPr>
            <w:r>
              <w:rPr>
                <w:b w:val="0"/>
                <w:i/>
                <w:sz w:val="18"/>
              </w:rPr>
              <w:t>EPU</w:t>
            </w:r>
          </w:p>
        </w:tc>
        <w:tc>
          <w:tcPr>
            <w:tcW w:type="dxa" w:w="1779"/>
          </w:tcPr>
          <w:p>
            <w:pPr>
              <w:pStyle w:val="MDPI42tablebody"/>
              <w:keepNext/>
              <w:spacing w:line="240" w:lineRule="auto" w:before="30" w:after="30"/>
              <w:jc w:val="center"/>
            </w:pPr>
            <w:r>
              <w:rPr>
                <w:b w:val="0"/>
                <w:i w:val="0"/>
                <w:sz w:val="18"/>
              </w:rPr>
              <w:t>−0.184***</w:t>
            </w:r>
          </w:p>
        </w:tc>
        <w:tc>
          <w:tcPr>
            <w:tcW w:type="dxa" w:w="1779"/>
          </w:tcPr>
          <w:p>
            <w:pPr>
              <w:pStyle w:val="MDPI42tablebody"/>
              <w:keepNext/>
              <w:spacing w:line="240" w:lineRule="auto" w:before="30" w:after="30"/>
              <w:jc w:val="center"/>
            </w:pPr>
            <w:r>
              <w:rPr>
                <w:b w:val="0"/>
                <w:i w:val="0"/>
                <w:sz w:val="18"/>
              </w:rPr>
              <w:t>−0.120***</w:t>
            </w:r>
          </w:p>
        </w:tc>
        <w:tc>
          <w:tcPr>
            <w:tcW w:type="dxa" w:w="1779"/>
          </w:tcPr>
          <w:p>
            <w:pPr>
              <w:pStyle w:val="MDPI42tablebody"/>
              <w:keepNext/>
              <w:spacing w:line="240" w:lineRule="auto" w:before="30" w:after="30"/>
              <w:jc w:val="center"/>
            </w:pPr>
            <w:r>
              <w:rPr>
                <w:b w:val="0"/>
                <w:i w:val="0"/>
                <w:sz w:val="18"/>
              </w:rPr>
              <w:t>−0.022***</w:t>
            </w:r>
          </w:p>
        </w:tc>
        <w:tc>
          <w:tcPr>
            <w:tcW w:type="dxa" w:w="1779"/>
          </w:tcPr>
          <w:p>
            <w:pPr>
              <w:pStyle w:val="MDPI42tablebody"/>
              <w:keepNext/>
              <w:spacing w:line="240" w:lineRule="auto" w:before="30" w:after="30"/>
              <w:jc w:val="center"/>
            </w:pPr>
            <w:r>
              <w:rPr>
                <w:b w:val="0"/>
                <w:i w:val="0"/>
                <w:sz w:val="18"/>
              </w:rPr>
              <w:t>−0.013***</w:t>
            </w:r>
          </w:p>
        </w:tc>
      </w:tr>
      <w:tr>
        <w:trPr>
          <w:cantSplit/>
        </w:trPr>
        <w:tc>
          <w:tcPr>
            <w:tcW w:type="dxa" w:w="3349"/>
          </w:tcPr>
          <w:p>
            <w:pPr>
              <w:pStyle w:val="MDPI42tablebody"/>
              <w:keepNext/>
              <w:spacing w:line="240" w:lineRule="auto" w:before="30" w:after="30"/>
              <w:jc w:val="left"/>
            </w:pPr>
          </w:p>
        </w:tc>
        <w:tc>
          <w:tcPr>
            <w:tcW w:type="dxa" w:w="1779"/>
          </w:tcPr>
          <w:p>
            <w:pPr>
              <w:pStyle w:val="MDPI42tablebody"/>
              <w:keepNext/>
              <w:spacing w:line="240" w:lineRule="auto" w:before="30" w:after="30"/>
              <w:jc w:val="center"/>
            </w:pPr>
            <w:r>
              <w:rPr>
                <w:b w:val="0"/>
                <w:i w:val="0"/>
                <w:sz w:val="18"/>
              </w:rPr>
              <w:t>(0.020)</w:t>
            </w:r>
          </w:p>
        </w:tc>
        <w:tc>
          <w:tcPr>
            <w:tcW w:type="dxa" w:w="1779"/>
          </w:tcPr>
          <w:p>
            <w:pPr>
              <w:pStyle w:val="MDPI42tablebody"/>
              <w:keepNext/>
              <w:spacing w:line="240" w:lineRule="auto" w:before="30" w:after="30"/>
              <w:jc w:val="center"/>
            </w:pPr>
            <w:r>
              <w:rPr>
                <w:b w:val="0"/>
                <w:i w:val="0"/>
                <w:sz w:val="18"/>
              </w:rPr>
              <w:t>(0.018)</w:t>
            </w:r>
          </w:p>
        </w:tc>
        <w:tc>
          <w:tcPr>
            <w:tcW w:type="dxa" w:w="1779"/>
          </w:tcPr>
          <w:p>
            <w:pPr>
              <w:pStyle w:val="MDPI42tablebody"/>
              <w:keepNext/>
              <w:spacing w:line="240" w:lineRule="auto" w:before="30" w:after="30"/>
              <w:jc w:val="center"/>
            </w:pPr>
            <w:r>
              <w:rPr>
                <w:b w:val="0"/>
                <w:i w:val="0"/>
                <w:sz w:val="18"/>
              </w:rPr>
              <w:t>(0.002)</w:t>
            </w:r>
          </w:p>
        </w:tc>
        <w:tc>
          <w:tcPr>
            <w:tcW w:type="dxa" w:w="1779"/>
          </w:tcPr>
          <w:p>
            <w:pPr>
              <w:pStyle w:val="MDPI42tablebody"/>
              <w:keepNext/>
              <w:spacing w:line="240" w:lineRule="auto" w:before="30" w:after="30"/>
              <w:jc w:val="center"/>
            </w:pPr>
            <w:r>
              <w:rPr>
                <w:b w:val="0"/>
                <w:i w:val="0"/>
                <w:sz w:val="18"/>
              </w:rPr>
              <w:t>(0.001)</w:t>
            </w:r>
          </w:p>
        </w:tc>
      </w:tr>
      <w:tr>
        <w:trPr>
          <w:cantSplit/>
        </w:trPr>
        <w:tc>
          <w:tcPr>
            <w:tcW w:type="dxa" w:w="3349"/>
          </w:tcPr>
          <w:p>
            <w:pPr>
              <w:pStyle w:val="MDPI42tablebody"/>
              <w:keepNext/>
              <w:spacing w:line="240" w:lineRule="auto" w:before="30" w:after="30"/>
              <w:jc w:val="left"/>
            </w:pPr>
            <w:r>
              <w:rPr>
                <w:b w:val="0"/>
                <w:i/>
                <w:sz w:val="18"/>
              </w:rPr>
              <w:t>Controls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r>
      <w:tr>
        <w:trPr>
          <w:cantSplit/>
        </w:trPr>
        <w:tc>
          <w:tcPr>
            <w:tcW w:type="dxa" w:w="3349"/>
          </w:tcPr>
          <w:p>
            <w:pPr>
              <w:pStyle w:val="MDPI42tablebody"/>
              <w:keepNext/>
              <w:spacing w:line="240" w:lineRule="auto" w:before="30" w:after="30"/>
              <w:jc w:val="left"/>
            </w:pPr>
            <w:r>
              <w:rPr>
                <w:b w:val="0"/>
                <w:i/>
                <w:sz w:val="18"/>
              </w:rPr>
              <w:t>Firm FE</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r>
      <w:tr>
        <w:trPr>
          <w:cantSplit/>
        </w:trPr>
        <w:tc>
          <w:tcPr>
            <w:tcW w:type="dxa" w:w="3349"/>
          </w:tcPr>
          <w:p>
            <w:pPr>
              <w:pStyle w:val="MDPI42tablebody"/>
              <w:keepNext/>
              <w:spacing w:line="240" w:lineRule="auto" w:before="30" w:after="30"/>
              <w:jc w:val="left"/>
            </w:pPr>
            <w:r>
              <w:rPr>
                <w:b w:val="0"/>
                <w:i/>
                <w:sz w:val="18"/>
              </w:rPr>
              <w:t>Year FE</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c>
          <w:tcPr>
            <w:tcW w:type="dxa" w:w="1779"/>
          </w:tcPr>
          <w:p>
            <w:pPr>
              <w:pStyle w:val="MDPI42tablebody"/>
              <w:keepNext/>
              <w:spacing w:line="240" w:lineRule="auto" w:before="30" w:after="30"/>
              <w:jc w:val="center"/>
            </w:pPr>
            <w:r>
              <w:rPr>
                <w:b w:val="0"/>
                <w:i w:val="0"/>
                <w:sz w:val="18"/>
              </w:rPr>
              <w:t>Yes</w:t>
            </w:r>
          </w:p>
        </w:tc>
      </w:tr>
      <w:tr>
        <w:trPr>
          <w:cantSplit/>
        </w:trPr>
        <w:tc>
          <w:tcPr>
            <w:tcW w:type="dxa" w:w="3349"/>
          </w:tcPr>
          <w:p>
            <w:pPr>
              <w:pStyle w:val="MDPI42tablebody"/>
              <w:keepNext/>
              <w:spacing w:line="240" w:lineRule="auto" w:before="30" w:after="30"/>
              <w:jc w:val="left"/>
            </w:pPr>
            <w:r>
              <w:rPr>
                <w:b w:val="0"/>
                <w:i/>
                <w:sz w:val="18"/>
              </w:rPr>
              <w:t>Observations</w:t>
            </w:r>
          </w:p>
        </w:tc>
        <w:tc>
          <w:tcPr>
            <w:tcW w:type="dxa" w:w="1779"/>
          </w:tcPr>
          <w:p>
            <w:pPr>
              <w:pStyle w:val="MDPI42tablebody"/>
              <w:keepNext/>
              <w:spacing w:line="240" w:lineRule="auto" w:before="30" w:after="30"/>
              <w:jc w:val="center"/>
            </w:pPr>
            <w:r>
              <w:rPr>
                <w:b w:val="0"/>
                <w:i w:val="0"/>
                <w:sz w:val="18"/>
              </w:rPr>
              <w:t>29,660</w:t>
            </w:r>
          </w:p>
        </w:tc>
        <w:tc>
          <w:tcPr>
            <w:tcW w:type="dxa" w:w="1779"/>
          </w:tcPr>
          <w:p>
            <w:pPr>
              <w:pStyle w:val="MDPI42tablebody"/>
              <w:keepNext/>
              <w:spacing w:line="240" w:lineRule="auto" w:before="30" w:after="30"/>
              <w:jc w:val="center"/>
            </w:pPr>
            <w:r>
              <w:rPr>
                <w:b w:val="0"/>
                <w:i w:val="0"/>
                <w:sz w:val="18"/>
              </w:rPr>
              <w:t>29,660</w:t>
            </w:r>
          </w:p>
        </w:tc>
        <w:tc>
          <w:tcPr>
            <w:tcW w:type="dxa" w:w="1779"/>
          </w:tcPr>
          <w:p>
            <w:pPr>
              <w:pStyle w:val="MDPI42tablebody"/>
              <w:keepNext/>
              <w:spacing w:line="240" w:lineRule="auto" w:before="30" w:after="30"/>
              <w:jc w:val="center"/>
            </w:pPr>
            <w:r>
              <w:rPr>
                <w:b w:val="0"/>
                <w:i w:val="0"/>
                <w:sz w:val="18"/>
              </w:rPr>
              <w:t>29,660</w:t>
            </w:r>
          </w:p>
        </w:tc>
        <w:tc>
          <w:tcPr>
            <w:tcW w:type="dxa" w:w="1779"/>
          </w:tcPr>
          <w:p>
            <w:pPr>
              <w:pStyle w:val="MDPI42tablebody"/>
              <w:keepNext/>
              <w:spacing w:line="240" w:lineRule="auto" w:before="30" w:after="30"/>
              <w:jc w:val="center"/>
            </w:pPr>
            <w:r>
              <w:rPr>
                <w:b w:val="0"/>
                <w:i w:val="0"/>
                <w:sz w:val="18"/>
              </w:rPr>
              <w:t>29,660</w:t>
            </w:r>
          </w:p>
        </w:tc>
      </w:tr>
      <w:tr>
        <w:trPr>
          <w:cantSplit/>
        </w:trPr>
        <w:tc>
          <w:tcPr>
            <w:tcW w:type="dxa" w:w="3349"/>
          </w:tcPr>
          <w:p>
            <w:pPr>
              <w:pStyle w:val="MDPI42tablebody"/>
              <w:keepNext/>
              <w:spacing w:line="240" w:lineRule="auto" w:before="30" w:after="30"/>
              <w:jc w:val="left"/>
            </w:pPr>
            <w:r>
              <w:rPr>
                <w:b w:val="0"/>
                <w:i/>
                <w:sz w:val="18"/>
              </w:rPr>
              <w:t>Within R²</w:t>
            </w:r>
          </w:p>
        </w:tc>
        <w:tc>
          <w:tcPr>
            <w:tcW w:type="dxa" w:w="1779"/>
          </w:tcPr>
          <w:p>
            <w:pPr>
              <w:pStyle w:val="MDPI42tablebody"/>
              <w:keepNext/>
              <w:spacing w:line="240" w:lineRule="auto" w:before="30" w:after="30"/>
              <w:jc w:val="center"/>
            </w:pPr>
            <w:r>
              <w:rPr>
                <w:b w:val="0"/>
                <w:i w:val="0"/>
                <w:sz w:val="18"/>
              </w:rPr>
              <w:t>0.277</w:t>
            </w:r>
          </w:p>
        </w:tc>
        <w:tc>
          <w:tcPr>
            <w:tcW w:type="dxa" w:w="1779"/>
          </w:tcPr>
          <w:p>
            <w:pPr>
              <w:pStyle w:val="MDPI42tablebody"/>
              <w:keepNext/>
              <w:spacing w:line="240" w:lineRule="auto" w:before="30" w:after="30"/>
              <w:jc w:val="center"/>
            </w:pPr>
            <w:r>
              <w:rPr>
                <w:b w:val="0"/>
                <w:i w:val="0"/>
                <w:sz w:val="18"/>
              </w:rPr>
              <w:t>0.189</w:t>
            </w:r>
          </w:p>
        </w:tc>
        <w:tc>
          <w:tcPr>
            <w:tcW w:type="dxa" w:w="1779"/>
          </w:tcPr>
          <w:p>
            <w:pPr>
              <w:pStyle w:val="MDPI42tablebody"/>
              <w:keepNext/>
              <w:spacing w:line="240" w:lineRule="auto" w:before="30" w:after="30"/>
              <w:jc w:val="center"/>
            </w:pPr>
            <w:r>
              <w:rPr>
                <w:b w:val="0"/>
                <w:i w:val="0"/>
                <w:sz w:val="18"/>
              </w:rPr>
              <w:t>0.481</w:t>
            </w:r>
          </w:p>
        </w:tc>
        <w:tc>
          <w:tcPr>
            <w:tcW w:type="dxa" w:w="1779"/>
          </w:tcPr>
          <w:p>
            <w:pPr>
              <w:pStyle w:val="MDPI42tablebody"/>
              <w:keepNext/>
              <w:spacing w:line="240" w:lineRule="auto" w:before="30" w:after="30"/>
              <w:jc w:val="center"/>
            </w:pPr>
            <w:r>
              <w:rPr>
                <w:b w:val="0"/>
                <w:i w:val="0"/>
                <w:sz w:val="18"/>
              </w:rPr>
              <w:t>0.480</w:t>
            </w:r>
          </w:p>
        </w:tc>
      </w:tr>
      <w:tr>
        <w:trPr>
          <w:cantSplit/>
        </w:trPr>
        <w:tc>
          <w:tcPr>
            <w:tcW w:type="dxa" w:w="3349"/>
          </w:tcPr>
          <w:p>
            <w:pPr>
              <w:pStyle w:val="MDPI42tablebody"/>
              <w:keepNext/>
              <w:spacing w:line="240" w:lineRule="auto" w:before="30" w:after="30"/>
              <w:jc w:val="left"/>
            </w:pPr>
            <w:r>
              <w:rPr>
                <w:b w:val="0"/>
                <w:i/>
                <w:sz w:val="18"/>
              </w:rPr>
              <w:t>Cross-equation difference</w:t>
            </w:r>
          </w:p>
        </w:tc>
        <w:tc>
          <w:tcPr>
            <w:tcW w:type="dxa" w:w="1779"/>
          </w:tcPr>
          <w:p>
            <w:pPr>
              <w:pStyle w:val="MDPI42tablebody"/>
              <w:keepNext/>
              <w:spacing w:line="240" w:lineRule="auto" w:before="30" w:after="30"/>
              <w:jc w:val="center"/>
            </w:pPr>
            <w:r>
              <w:rPr>
                <w:b w:val="0"/>
                <w:i w:val="0"/>
                <w:sz w:val="18"/>
              </w:rPr>
              <w:t>1.140***</w:t>
            </w:r>
          </w:p>
        </w:tc>
        <w:tc>
          <w:tcPr>
            <w:tcW w:type="dxa" w:w="1779"/>
          </w:tcPr>
          <w:p>
            <w:pPr>
              <w:pStyle w:val="MDPI42tablebody"/>
              <w:keepNext/>
              <w:spacing w:line="240" w:lineRule="auto" w:before="30" w:after="30"/>
              <w:jc w:val="center"/>
            </w:pPr>
          </w:p>
        </w:tc>
        <w:tc>
          <w:tcPr>
            <w:tcW w:type="dxa" w:w="1779"/>
          </w:tcPr>
          <w:p>
            <w:pPr>
              <w:pStyle w:val="MDPI42tablebody"/>
              <w:keepNext/>
              <w:spacing w:line="240" w:lineRule="auto" w:before="30" w:after="30"/>
              <w:jc w:val="center"/>
            </w:pPr>
          </w:p>
        </w:tc>
        <w:tc>
          <w:tcPr>
            <w:tcW w:type="dxa" w:w="1779"/>
          </w:tcPr>
          <w:p>
            <w:pPr>
              <w:pStyle w:val="MDPI42tablebody"/>
              <w:keepNext/>
              <w:spacing w:line="240" w:lineRule="auto" w:before="30" w:after="30"/>
              <w:jc w:val="center"/>
            </w:pPr>
          </w:p>
        </w:tc>
      </w:tr>
      <w:tr>
        <w:trPr>
          <w:cantSplit/>
        </w:trPr>
        <w:tc>
          <w:tcPr>
            <w:tcW w:type="dxa" w:w="3349"/>
          </w:tcPr>
          <w:p>
            <w:pPr>
              <w:pStyle w:val="MDPI42tablebody"/>
              <w:spacing w:line="240" w:lineRule="auto" w:before="30" w:after="30"/>
              <w:jc w:val="left"/>
            </w:pPr>
          </w:p>
        </w:tc>
        <w:tc>
          <w:tcPr>
            <w:tcW w:type="dxa" w:w="1779"/>
          </w:tcPr>
          <w:p>
            <w:pPr>
              <w:pStyle w:val="MDPI42tablebody"/>
              <w:spacing w:line="240" w:lineRule="auto" w:before="30" w:after="30"/>
              <w:jc w:val="center"/>
            </w:pPr>
            <w:r>
              <w:rPr>
                <w:b w:val="0"/>
                <w:i w:val="0"/>
                <w:sz w:val="18"/>
              </w:rPr>
              <w:t>(0.030)</w:t>
            </w:r>
          </w:p>
        </w:tc>
        <w:tc>
          <w:tcPr>
            <w:tcW w:type="dxa" w:w="1779"/>
          </w:tcPr>
          <w:p>
            <w:pPr>
              <w:pStyle w:val="MDPI42tablebody"/>
              <w:spacing w:line="240" w:lineRule="auto" w:before="30" w:after="30"/>
              <w:jc w:val="center"/>
            </w:pPr>
          </w:p>
        </w:tc>
        <w:tc>
          <w:tcPr>
            <w:tcW w:type="dxa" w:w="1779"/>
          </w:tcPr>
          <w:p>
            <w:pPr>
              <w:pStyle w:val="MDPI42tablebody"/>
              <w:spacing w:line="240" w:lineRule="auto" w:before="30" w:after="30"/>
              <w:jc w:val="center"/>
            </w:pPr>
          </w:p>
        </w:tc>
        <w:tc>
          <w:tcPr>
            <w:tcW w:type="dxa" w:w="1779"/>
          </w:tcPr>
          <w:p>
            <w:pPr>
              <w:pStyle w:val="MDPI42tablebody"/>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The dependent variable is the entry-level vacancy rate in column (1), the experienced vacancy rate in column (2), and the corresponding counts in columns (3) and (4), estimated by Poisson pseudo-maximum likelihood. The cross-equation difference is the coefficient on the interaction of AIU with the equation indicator in the stacked model of Equation (11), whose covariance is clustered on the firm across both equations. Standard errors clustered at the firm level are in parentheses. ***, ** and * denote significance at the 1%, 5% and 10% levels.</w:t>
      </w:r>
    </w:p>
    <w:p>
      <w:pPr>
        <w:pStyle w:val="MDPI22heading2"/>
      </w:pPr>
      <w:r>
        <w:t>4.5. Irreversibility</w:t>
      </w:r>
    </w:p>
    <w:p>
      <w:pPr>
        <w:pStyle w:val="MDPI32textnoindent"/>
      </w:pPr>
      <w:r>
        <w:rPr>
          <w:b w:val="0"/>
          <w:i w:val="0"/>
        </w:rPr>
        <w:t>Table 6 tests Hypothesis 2 by interacting uncertainty with each of the three measures of how sunk an entry-level hire is. Column (1) uses firm-specific training intensity. The interaction is −0.686 (0.021), so the chill is −0.549 for a firm one standard deviation below the mean of training intensity and −1.920 for a firm one standard deviation above it — a ratio of 3.5. Firms that invest most in turning a recruit into their own kind of employee are the firms that stop recruiting first, which is the uncomfortable core of the result: the training that makes entry-level employment valuable is also what makes it fragile.</w:t>
      </w:r>
    </w:p>
    <w:p>
      <w:pPr>
        <w:pStyle w:val="MDPI31text"/>
      </w:pPr>
      <w:r>
        <w:rPr>
          <w:b w:val="0"/>
          <w:i w:val="0"/>
        </w:rPr>
        <w:t xml:space="preserve">Column (2) uses the provincial employment-protection index. The interaction is −0.300 (0.025), and the chill rises from −0.934 where enforcement is lenient to −1.534 where it is strict. Employment protection is not acting here as a tax on the level of employment, which is the classical reading </w:t>
      </w:r>
      <w:r>
        <w:t>[</w:t>
      </w:r>
      <w:r>
        <w:fldChar w:fldCharType="begin"/>
      </w:r>
      <w:r>
        <w:instrText xml:space="preserve"> REF _Ref_23 \h </w:instrText>
      </w:r>
      <w:r>
        <w:fldChar w:fldCharType="separate"/>
      </w:r>
      <w:r>
        <w:t>23</w:t>
      </w:r>
      <w:r>
        <w:fldChar w:fldCharType="end"/>
      </w:r>
      <w:r>
        <w:t>]</w:t>
      </w:r>
      <w:r>
        <w:rPr>
          <w:b w:val="0"/>
          <w:i w:val="0"/>
        </w:rPr>
        <w:t>, but as a multiplier on the effect of uncertainty: it does not make hiring dearer, it makes the hiring decision harder to undo, and it is reversal that the option is about.</w:t>
      </w:r>
    </w:p>
    <w:p>
      <w:pPr>
        <w:pStyle w:val="MDPI31text"/>
      </w:pPr>
      <w:r>
        <w:rPr>
          <w:b w:val="0"/>
          <w:i w:val="0"/>
        </w:rPr>
        <w:t>Column (3) uses the reversible-employment margin. The interaction is 0.624 (0.023), of the opposite sign to the other two, and the chill falls from −1.856 for firms with little access to dispatched and outsourced labour to −0.609 for firms with much. A firm that can reverse the decision does not need to wait. Column (4) enters all three interactions together and each retains its sign and significance, so they are not proxies for one another. Hypothesis 2 is supported on all three margins.</w:t>
      </w:r>
    </w:p>
    <w:p>
      <w:pPr>
        <w:pStyle w:val="MDPI41tablecaption"/>
        <w:keepNext/>
        <w:spacing w:after="60"/>
      </w:pPr>
      <w:r>
        <w:rPr>
          <w:b/>
          <w:sz w:val="18"/>
        </w:rPr>
        <w:t xml:space="preserve">Table 6. </w:t>
      </w:r>
      <w:r>
        <w:rPr>
          <w:b w:val="0"/>
          <w:i w:val="0"/>
          <w:sz w:val="18"/>
        </w:rPr>
        <w:t>Irreversibility: the chill and the sunk component of an entry-level hire.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558"/>
        <w:gridCol w:w="1726"/>
        <w:gridCol w:w="1726"/>
        <w:gridCol w:w="1726"/>
        <w:gridCol w:w="1726"/>
      </w:tblGrid>
      <w:tr>
        <w:trPr>
          <w:cantSplit/>
          <w:tblHeader/>
        </w:trPr>
        <w:tc>
          <w:tcPr>
            <w:tcW w:type="dxa" w:w="3558"/>
            <w:tcBorders>
              <w:bottom w:val="single" w:sz="8" w:space="0" w:color="auto"/>
            </w:tcBorders>
          </w:tcPr>
          <w:p>
            <w:pPr>
              <w:pStyle w:val="MDPI42tablebody"/>
              <w:keepNext/>
              <w:spacing w:line="240" w:lineRule="auto" w:before="30" w:after="30"/>
              <w:jc w:val="center"/>
            </w:pPr>
            <w:r>
              <w:rPr>
                <w:b/>
                <w:i w:val="0"/>
                <w:sz w:val="18"/>
              </w:rPr>
              <w:t>Variable</w:t>
            </w:r>
          </w:p>
        </w:tc>
        <w:tc>
          <w:tcPr>
            <w:tcW w:type="dxa" w:w="1726"/>
            <w:tcBorders>
              <w:bottom w:val="single" w:sz="8" w:space="0" w:color="auto"/>
            </w:tcBorders>
          </w:tcPr>
          <w:p>
            <w:pPr>
              <w:pStyle w:val="MDPI42tablebody"/>
              <w:keepNext/>
              <w:spacing w:line="240" w:lineRule="auto" w:before="30" w:after="30"/>
              <w:jc w:val="center"/>
            </w:pPr>
            <w:r>
              <w:rPr>
                <w:b/>
                <w:i w:val="0"/>
                <w:sz w:val="18"/>
              </w:rPr>
              <w:t>(1)</w:t>
            </w:r>
          </w:p>
        </w:tc>
        <w:tc>
          <w:tcPr>
            <w:tcW w:type="dxa" w:w="1726"/>
            <w:tcBorders>
              <w:bottom w:val="single" w:sz="8" w:space="0" w:color="auto"/>
            </w:tcBorders>
          </w:tcPr>
          <w:p>
            <w:pPr>
              <w:pStyle w:val="MDPI42tablebody"/>
              <w:keepNext/>
              <w:spacing w:line="240" w:lineRule="auto" w:before="30" w:after="30"/>
              <w:jc w:val="center"/>
            </w:pPr>
            <w:r>
              <w:rPr>
                <w:b/>
                <w:i w:val="0"/>
                <w:sz w:val="18"/>
              </w:rPr>
              <w:t>(2)</w:t>
            </w:r>
          </w:p>
        </w:tc>
        <w:tc>
          <w:tcPr>
            <w:tcW w:type="dxa" w:w="1726"/>
            <w:tcBorders>
              <w:bottom w:val="single" w:sz="8" w:space="0" w:color="auto"/>
            </w:tcBorders>
          </w:tcPr>
          <w:p>
            <w:pPr>
              <w:pStyle w:val="MDPI42tablebody"/>
              <w:keepNext/>
              <w:spacing w:line="240" w:lineRule="auto" w:before="30" w:after="30"/>
              <w:jc w:val="center"/>
            </w:pPr>
            <w:r>
              <w:rPr>
                <w:b/>
                <w:i w:val="0"/>
                <w:sz w:val="18"/>
              </w:rPr>
              <w:t>(3)</w:t>
            </w:r>
          </w:p>
        </w:tc>
        <w:tc>
          <w:tcPr>
            <w:tcW w:type="dxa" w:w="1726"/>
            <w:tcBorders>
              <w:bottom w:val="single" w:sz="8" w:space="0" w:color="auto"/>
            </w:tcBorders>
          </w:tcPr>
          <w:p>
            <w:pPr>
              <w:pStyle w:val="MDPI42tablebody"/>
              <w:keepNext/>
              <w:spacing w:line="240" w:lineRule="auto" w:before="30" w:after="30"/>
              <w:jc w:val="center"/>
            </w:pPr>
            <w:r>
              <w:rPr>
                <w:b/>
                <w:i w:val="0"/>
                <w:sz w:val="18"/>
              </w:rPr>
              <w:t>(4)</w:t>
            </w:r>
          </w:p>
        </w:tc>
      </w:tr>
      <w:tr>
        <w:trPr>
          <w:cantSplit/>
        </w:trPr>
        <w:tc>
          <w:tcPr>
            <w:tcW w:type="dxa" w:w="3558"/>
          </w:tcPr>
          <w:p>
            <w:pPr>
              <w:pStyle w:val="MDPI42tablebody"/>
              <w:keepNext/>
              <w:spacing w:line="240" w:lineRule="auto" w:before="30" w:after="30"/>
              <w:jc w:val="left"/>
            </w:pPr>
            <w:r>
              <w:rPr>
                <w:b w:val="0"/>
                <w:i/>
                <w:sz w:val="18"/>
              </w:rPr>
              <w:t>AIU</w:t>
            </w:r>
          </w:p>
        </w:tc>
        <w:tc>
          <w:tcPr>
            <w:tcW w:type="dxa" w:w="1726"/>
          </w:tcPr>
          <w:p>
            <w:pPr>
              <w:pStyle w:val="MDPI42tablebody"/>
              <w:keepNext/>
              <w:spacing w:line="240" w:lineRule="auto" w:before="30" w:after="30"/>
              <w:jc w:val="center"/>
            </w:pPr>
            <w:r>
              <w:rPr>
                <w:b w:val="0"/>
                <w:i w:val="0"/>
                <w:sz w:val="18"/>
              </w:rPr>
              <w:t>−1.235***</w:t>
            </w:r>
          </w:p>
        </w:tc>
        <w:tc>
          <w:tcPr>
            <w:tcW w:type="dxa" w:w="1726"/>
          </w:tcPr>
          <w:p>
            <w:pPr>
              <w:pStyle w:val="MDPI42tablebody"/>
              <w:keepNext/>
              <w:spacing w:line="240" w:lineRule="auto" w:before="30" w:after="30"/>
              <w:jc w:val="center"/>
            </w:pPr>
            <w:r>
              <w:rPr>
                <w:b w:val="0"/>
                <w:i w:val="0"/>
                <w:sz w:val="18"/>
              </w:rPr>
              <w:t>−1.234***</w:t>
            </w:r>
          </w:p>
        </w:tc>
        <w:tc>
          <w:tcPr>
            <w:tcW w:type="dxa" w:w="1726"/>
          </w:tcPr>
          <w:p>
            <w:pPr>
              <w:pStyle w:val="MDPI42tablebody"/>
              <w:keepNext/>
              <w:spacing w:line="240" w:lineRule="auto" w:before="30" w:after="30"/>
              <w:jc w:val="center"/>
            </w:pPr>
            <w:r>
              <w:rPr>
                <w:b w:val="0"/>
                <w:i w:val="0"/>
                <w:sz w:val="18"/>
              </w:rPr>
              <w:t>−1.233***</w:t>
            </w:r>
          </w:p>
        </w:tc>
        <w:tc>
          <w:tcPr>
            <w:tcW w:type="dxa" w:w="1726"/>
          </w:tcPr>
          <w:p>
            <w:pPr>
              <w:pStyle w:val="MDPI42tablebody"/>
              <w:keepNext/>
              <w:spacing w:line="240" w:lineRule="auto" w:before="30" w:after="30"/>
              <w:jc w:val="center"/>
            </w:pPr>
            <w:r>
              <w:rPr>
                <w:b w:val="0"/>
                <w:i w:val="0"/>
                <w:sz w:val="18"/>
              </w:rPr>
              <w:t>−1.239***</w:t>
            </w:r>
          </w:p>
        </w:tc>
      </w:tr>
      <w:tr>
        <w:trPr>
          <w:cantSplit/>
        </w:trPr>
        <w:tc>
          <w:tcPr>
            <w:tcW w:type="dxa" w:w="3558"/>
          </w:tcPr>
          <w:p>
            <w:pPr>
              <w:pStyle w:val="MDPI42tablebody"/>
              <w:keepNext/>
              <w:spacing w:line="240" w:lineRule="auto" w:before="30" w:after="30"/>
              <w:jc w:val="left"/>
            </w:pPr>
          </w:p>
        </w:tc>
        <w:tc>
          <w:tcPr>
            <w:tcW w:type="dxa" w:w="1726"/>
          </w:tcPr>
          <w:p>
            <w:pPr>
              <w:pStyle w:val="MDPI42tablebody"/>
              <w:keepNext/>
              <w:spacing w:line="240" w:lineRule="auto" w:before="30" w:after="30"/>
              <w:jc w:val="center"/>
            </w:pPr>
            <w:r>
              <w:rPr>
                <w:b w:val="0"/>
                <w:i w:val="0"/>
                <w:sz w:val="18"/>
              </w:rPr>
              <w:t>(0.021)</w:t>
            </w:r>
          </w:p>
        </w:tc>
        <w:tc>
          <w:tcPr>
            <w:tcW w:type="dxa" w:w="1726"/>
          </w:tcPr>
          <w:p>
            <w:pPr>
              <w:pStyle w:val="MDPI42tablebody"/>
              <w:keepNext/>
              <w:spacing w:line="240" w:lineRule="auto" w:before="30" w:after="30"/>
              <w:jc w:val="center"/>
            </w:pPr>
            <w:r>
              <w:rPr>
                <w:b w:val="0"/>
                <w:i w:val="0"/>
                <w:sz w:val="18"/>
              </w:rPr>
              <w:t>(0.025)</w:t>
            </w:r>
          </w:p>
        </w:tc>
        <w:tc>
          <w:tcPr>
            <w:tcW w:type="dxa" w:w="1726"/>
          </w:tcPr>
          <w:p>
            <w:pPr>
              <w:pStyle w:val="MDPI42tablebody"/>
              <w:keepNext/>
              <w:spacing w:line="240" w:lineRule="auto" w:before="30" w:after="30"/>
              <w:jc w:val="center"/>
            </w:pPr>
            <w:r>
              <w:rPr>
                <w:b w:val="0"/>
                <w:i w:val="0"/>
                <w:sz w:val="18"/>
              </w:rPr>
              <w:t>(0.022)</w:t>
            </w:r>
          </w:p>
        </w:tc>
        <w:tc>
          <w:tcPr>
            <w:tcW w:type="dxa" w:w="1726"/>
          </w:tcPr>
          <w:p>
            <w:pPr>
              <w:pStyle w:val="MDPI42tablebody"/>
              <w:keepNext/>
              <w:spacing w:line="240" w:lineRule="auto" w:before="30" w:after="30"/>
              <w:jc w:val="center"/>
            </w:pPr>
            <w:r>
              <w:rPr>
                <w:b w:val="0"/>
                <w:i w:val="0"/>
                <w:sz w:val="18"/>
              </w:rPr>
              <w:t>(0.019)</w:t>
            </w:r>
          </w:p>
        </w:tc>
      </w:tr>
      <w:tr>
        <w:trPr>
          <w:cantSplit/>
        </w:trPr>
        <w:tc>
          <w:tcPr>
            <w:tcW w:type="dxa" w:w="3558"/>
          </w:tcPr>
          <w:p>
            <w:pPr>
              <w:pStyle w:val="MDPI42tablebody"/>
              <w:keepNext/>
              <w:spacing w:line="240" w:lineRule="auto" w:before="30" w:after="30"/>
              <w:jc w:val="left"/>
            </w:pPr>
            <w:r>
              <w:rPr>
                <w:b w:val="0"/>
                <w:i/>
                <w:sz w:val="18"/>
              </w:rPr>
              <w:t>AIU × SpecTrain</w:t>
            </w:r>
          </w:p>
        </w:tc>
        <w:tc>
          <w:tcPr>
            <w:tcW w:type="dxa" w:w="1726"/>
          </w:tcPr>
          <w:p>
            <w:pPr>
              <w:pStyle w:val="MDPI42tablebody"/>
              <w:keepNext/>
              <w:spacing w:line="240" w:lineRule="auto" w:before="30" w:after="30"/>
              <w:jc w:val="center"/>
            </w:pPr>
            <w:r>
              <w:rPr>
                <w:b w:val="0"/>
                <w:i w:val="0"/>
                <w:sz w:val="18"/>
              </w:rPr>
              <w:t>−0.686***</w:t>
            </w: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−0.514***</w:t>
            </w:r>
          </w:p>
        </w:tc>
      </w:tr>
      <w:tr>
        <w:trPr>
          <w:cantSplit/>
        </w:trPr>
        <w:tc>
          <w:tcPr>
            <w:tcW w:type="dxa" w:w="3558"/>
          </w:tcPr>
          <w:p>
            <w:pPr>
              <w:pStyle w:val="MDPI42tablebody"/>
              <w:keepNext/>
              <w:spacing w:line="240" w:lineRule="auto" w:before="30" w:after="30"/>
              <w:jc w:val="left"/>
            </w:pPr>
          </w:p>
        </w:tc>
        <w:tc>
          <w:tcPr>
            <w:tcW w:type="dxa" w:w="1726"/>
          </w:tcPr>
          <w:p>
            <w:pPr>
              <w:pStyle w:val="MDPI42tablebody"/>
              <w:keepNext/>
              <w:spacing w:line="240" w:lineRule="auto" w:before="30" w:after="30"/>
              <w:jc w:val="center"/>
            </w:pPr>
            <w:r>
              <w:rPr>
                <w:b w:val="0"/>
                <w:i w:val="0"/>
                <w:sz w:val="18"/>
              </w:rPr>
              <w:t>(0.021)</w:t>
            </w: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(0.019)</w:t>
            </w:r>
          </w:p>
        </w:tc>
      </w:tr>
      <w:tr>
        <w:trPr>
          <w:cantSplit/>
        </w:trPr>
        <w:tc>
          <w:tcPr>
            <w:tcW w:type="dxa" w:w="3558"/>
          </w:tcPr>
          <w:p>
            <w:pPr>
              <w:pStyle w:val="MDPI42tablebody"/>
              <w:keepNext/>
              <w:spacing w:line="240" w:lineRule="auto" w:before="30" w:after="30"/>
              <w:jc w:val="left"/>
            </w:pPr>
            <w:r>
              <w:rPr>
                <w:b w:val="0"/>
                <w:i/>
                <w:sz w:val="18"/>
              </w:rPr>
              <w:t>AIU × FireCost</w:t>
            </w: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−0.300***</w:t>
            </w: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−0.306***</w:t>
            </w:r>
          </w:p>
        </w:tc>
      </w:tr>
      <w:tr>
        <w:trPr>
          <w:cantSplit/>
        </w:trPr>
        <w:tc>
          <w:tcPr>
            <w:tcW w:type="dxa" w:w="3558"/>
          </w:tcPr>
          <w:p>
            <w:pPr>
              <w:pStyle w:val="MDPI42tablebody"/>
              <w:keepNext/>
              <w:spacing w:line="240" w:lineRule="auto" w:before="30" w:after="30"/>
              <w:jc w:val="left"/>
            </w:pP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(0.025)</w:t>
            </w: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(0.018)</w:t>
            </w:r>
          </w:p>
        </w:tc>
      </w:tr>
      <w:tr>
        <w:trPr>
          <w:cantSplit/>
        </w:trPr>
        <w:tc>
          <w:tcPr>
            <w:tcW w:type="dxa" w:w="3558"/>
          </w:tcPr>
          <w:p>
            <w:pPr>
              <w:pStyle w:val="MDPI42tablebody"/>
              <w:keepNext/>
              <w:spacing w:line="240" w:lineRule="auto" w:before="30" w:after="30"/>
              <w:jc w:val="left"/>
            </w:pPr>
            <w:r>
              <w:rPr>
                <w:b w:val="0"/>
                <w:i/>
                <w:sz w:val="18"/>
              </w:rPr>
              <w:t>AIU × Flex</w:t>
            </w: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0.624***</w:t>
            </w:r>
          </w:p>
        </w:tc>
        <w:tc>
          <w:tcPr>
            <w:tcW w:type="dxa" w:w="1726"/>
          </w:tcPr>
          <w:p>
            <w:pPr>
              <w:pStyle w:val="MDPI42tablebody"/>
              <w:keepNext/>
              <w:spacing w:line="240" w:lineRule="auto" w:before="30" w:after="30"/>
              <w:jc w:val="center"/>
            </w:pPr>
            <w:r>
              <w:rPr>
                <w:b w:val="0"/>
                <w:i w:val="0"/>
                <w:sz w:val="18"/>
              </w:rPr>
              <w:t>0.423***</w:t>
            </w:r>
          </w:p>
        </w:tc>
      </w:tr>
      <w:tr>
        <w:trPr>
          <w:cantSplit/>
        </w:trPr>
        <w:tc>
          <w:tcPr>
            <w:tcW w:type="dxa" w:w="3558"/>
          </w:tcPr>
          <w:p>
            <w:pPr>
              <w:pStyle w:val="MDPI42tablebody"/>
              <w:keepNext/>
              <w:spacing w:line="240" w:lineRule="auto" w:before="30" w:after="30"/>
              <w:jc w:val="left"/>
            </w:pP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p>
        </w:tc>
        <w:tc>
          <w:tcPr>
            <w:tcW w:type="dxa" w:w="1726"/>
          </w:tcPr>
          <w:p>
            <w:pPr>
              <w:pStyle w:val="MDPI42tablebody"/>
              <w:keepNext/>
              <w:spacing w:line="240" w:lineRule="auto" w:before="30" w:after="30"/>
              <w:jc w:val="center"/>
            </w:pPr>
            <w:r>
              <w:rPr>
                <w:b w:val="0"/>
                <w:i w:val="0"/>
                <w:sz w:val="18"/>
              </w:rPr>
              <w:t>(0.023)</w:t>
            </w:r>
          </w:p>
        </w:tc>
        <w:tc>
          <w:tcPr>
            <w:tcW w:type="dxa" w:w="1726"/>
          </w:tcPr>
          <w:p>
            <w:pPr>
              <w:pStyle w:val="MDPI42tablebody"/>
              <w:keepNext/>
              <w:spacing w:line="240" w:lineRule="auto" w:before="30" w:after="30"/>
              <w:jc w:val="center"/>
            </w:pPr>
            <w:r>
              <w:rPr>
                <w:b w:val="0"/>
                <w:i w:val="0"/>
                <w:sz w:val="18"/>
              </w:rPr>
              <w:t>(0.021)</w:t>
            </w:r>
          </w:p>
        </w:tc>
      </w:tr>
      <w:tr>
        <w:trPr>
          <w:cantSplit/>
        </w:trPr>
        <w:tc>
          <w:tcPr>
            <w:tcW w:type="dxa" w:w="3558"/>
          </w:tcPr>
          <w:p>
            <w:pPr>
              <w:pStyle w:val="MDPI42tablebody"/>
              <w:keepNext/>
              <w:spacing w:line="240" w:lineRule="auto" w:before="30" w:after="30"/>
              <w:jc w:val="left"/>
            </w:pPr>
            <w:r>
              <w:rPr>
                <w:b w:val="0"/>
                <w:i/>
                <w:sz w:val="18"/>
              </w:rPr>
              <w:t>AIE</w:t>
            </w:r>
          </w:p>
        </w:tc>
        <w:tc>
          <w:tcPr>
            <w:tcW w:type="dxa" w:w="1726"/>
          </w:tcPr>
          <w:p>
            <w:pPr>
              <w:pStyle w:val="MDPI42tablebody"/>
              <w:keepNext/>
              <w:spacing w:line="240" w:lineRule="auto" w:before="30" w:after="30"/>
              <w:jc w:val="center"/>
            </w:pPr>
            <w:r>
              <w:rPr>
                <w:b w:val="0"/>
                <w:i w:val="0"/>
                <w:sz w:val="18"/>
              </w:rPr>
              <w:t>0.290***</w:t>
            </w:r>
          </w:p>
        </w:tc>
        <w:tc>
          <w:tcPr>
            <w:tcW w:type="dxa" w:w="1726"/>
          </w:tcPr>
          <w:p>
            <w:pPr>
              <w:pStyle w:val="MDPI42tablebody"/>
              <w:keepNext/>
              <w:spacing w:line="240" w:lineRule="auto" w:before="30" w:after="30"/>
              <w:jc w:val="center"/>
            </w:pPr>
            <w:r>
              <w:rPr>
                <w:b w:val="0"/>
                <w:i w:val="0"/>
                <w:sz w:val="18"/>
              </w:rPr>
              <w:t>0.300***</w:t>
            </w:r>
          </w:p>
        </w:tc>
        <w:tc>
          <w:tcPr>
            <w:tcW w:type="dxa" w:w="1726"/>
          </w:tcPr>
          <w:p>
            <w:pPr>
              <w:pStyle w:val="MDPI42tablebody"/>
              <w:keepNext/>
              <w:spacing w:line="240" w:lineRule="auto" w:before="30" w:after="30"/>
              <w:jc w:val="center"/>
            </w:pPr>
            <w:r>
              <w:rPr>
                <w:b w:val="0"/>
                <w:i w:val="0"/>
                <w:sz w:val="18"/>
              </w:rPr>
              <w:t>0.295***</w:t>
            </w:r>
          </w:p>
        </w:tc>
        <w:tc>
          <w:tcPr>
            <w:tcW w:type="dxa" w:w="1726"/>
          </w:tcPr>
          <w:p>
            <w:pPr>
              <w:pStyle w:val="MDPI42tablebody"/>
              <w:keepNext/>
              <w:spacing w:line="240" w:lineRule="auto" w:before="30" w:after="30"/>
              <w:jc w:val="center"/>
            </w:pPr>
            <w:r>
              <w:rPr>
                <w:b w:val="0"/>
                <w:i w:val="0"/>
                <w:sz w:val="18"/>
              </w:rPr>
              <w:t>0.290***</w:t>
            </w:r>
          </w:p>
        </w:tc>
      </w:tr>
      <w:tr>
        <w:trPr>
          <w:cantSplit/>
        </w:trPr>
        <w:tc>
          <w:tcPr>
            <w:tcW w:type="dxa" w:w="3558"/>
          </w:tcPr>
          <w:p>
            <w:pPr>
              <w:pStyle w:val="MDPI42tablebody"/>
              <w:keepNext/>
              <w:spacing w:line="240" w:lineRule="auto" w:before="30" w:after="30"/>
              <w:jc w:val="left"/>
            </w:pPr>
          </w:p>
        </w:tc>
        <w:tc>
          <w:tcPr>
            <w:tcW w:type="dxa" w:w="1726"/>
          </w:tcPr>
          <w:p>
            <w:pPr>
              <w:pStyle w:val="MDPI42tablebody"/>
              <w:keepNext/>
              <w:spacing w:line="240" w:lineRule="auto" w:before="30" w:after="30"/>
              <w:jc w:val="center"/>
            </w:pPr>
            <w:r>
              <w:rPr>
                <w:b w:val="0"/>
                <w:i w:val="0"/>
                <w:sz w:val="18"/>
              </w:rPr>
              <w:t>(0.019)</w:t>
            </w:r>
          </w:p>
        </w:tc>
        <w:tc>
          <w:tcPr>
            <w:tcW w:type="dxa" w:w="1726"/>
          </w:tcPr>
          <w:p>
            <w:pPr>
              <w:pStyle w:val="MDPI42tablebody"/>
              <w:keepNext/>
              <w:spacing w:line="240" w:lineRule="auto" w:before="30" w:after="30"/>
              <w:jc w:val="center"/>
            </w:pPr>
            <w:r>
              <w:rPr>
                <w:b w:val="0"/>
                <w:i w:val="0"/>
                <w:sz w:val="18"/>
              </w:rPr>
              <w:t>(0.020)</w:t>
            </w:r>
          </w:p>
        </w:tc>
        <w:tc>
          <w:tcPr>
            <w:tcW w:type="dxa" w:w="1726"/>
          </w:tcPr>
          <w:p>
            <w:pPr>
              <w:pStyle w:val="MDPI42tablebody"/>
              <w:keepNext/>
              <w:spacing w:line="240" w:lineRule="auto" w:before="30" w:after="30"/>
              <w:jc w:val="center"/>
            </w:pPr>
            <w:r>
              <w:rPr>
                <w:b w:val="0"/>
                <w:i w:val="0"/>
                <w:sz w:val="18"/>
              </w:rPr>
              <w:t>(0.019)</w:t>
            </w:r>
          </w:p>
        </w:tc>
        <w:tc>
          <w:tcPr>
            <w:tcW w:type="dxa" w:w="1726"/>
          </w:tcPr>
          <w:p>
            <w:pPr>
              <w:pStyle w:val="MDPI42tablebody"/>
              <w:keepNext/>
              <w:spacing w:line="240" w:lineRule="auto" w:before="30" w:after="30"/>
              <w:jc w:val="center"/>
            </w:pPr>
            <w:r>
              <w:rPr>
                <w:b w:val="0"/>
                <w:i w:val="0"/>
                <w:sz w:val="18"/>
              </w:rPr>
              <w:t>(0.019)</w:t>
            </w:r>
          </w:p>
        </w:tc>
      </w:tr>
      <w:tr>
        <w:trPr>
          <w:cantSplit/>
        </w:trPr>
        <w:tc>
          <w:tcPr>
            <w:tcW w:type="dxa" w:w="3558"/>
          </w:tcPr>
          <w:p>
            <w:pPr>
              <w:pStyle w:val="MDPI42tablebody"/>
              <w:keepNext/>
              <w:spacing w:line="240" w:lineRule="auto" w:before="30" w:after="30"/>
              <w:jc w:val="left"/>
            </w:pPr>
            <w:r>
              <w:rPr>
                <w:b w:val="0"/>
                <w:i/>
                <w:sz w:val="18"/>
              </w:rPr>
              <w:t>EPU</w:t>
            </w:r>
          </w:p>
        </w:tc>
        <w:tc>
          <w:tcPr>
            <w:tcW w:type="dxa" w:w="1726"/>
          </w:tcPr>
          <w:p>
            <w:pPr>
              <w:pStyle w:val="MDPI42tablebody"/>
              <w:keepNext/>
              <w:spacing w:line="240" w:lineRule="auto" w:before="30" w:after="30"/>
              <w:jc w:val="center"/>
            </w:pPr>
            <w:r>
              <w:rPr>
                <w:b w:val="0"/>
                <w:i w:val="0"/>
                <w:sz w:val="18"/>
              </w:rPr>
              <w:t>−0.177***</w:t>
            </w:r>
          </w:p>
        </w:tc>
        <w:tc>
          <w:tcPr>
            <w:tcW w:type="dxa" w:w="1726"/>
          </w:tcPr>
          <w:p>
            <w:pPr>
              <w:pStyle w:val="MDPI42tablebody"/>
              <w:keepNext/>
              <w:spacing w:line="240" w:lineRule="auto" w:before="30" w:after="30"/>
              <w:jc w:val="center"/>
            </w:pPr>
            <w:r>
              <w:rPr>
                <w:b w:val="0"/>
                <w:i w:val="0"/>
                <w:sz w:val="18"/>
              </w:rPr>
              <w:t>−0.184***</w:t>
            </w:r>
          </w:p>
        </w:tc>
        <w:tc>
          <w:tcPr>
            <w:tcW w:type="dxa" w:w="1726"/>
          </w:tcPr>
          <w:p>
            <w:pPr>
              <w:pStyle w:val="MDPI42tablebody"/>
              <w:keepNext/>
              <w:spacing w:line="240" w:lineRule="auto" w:before="30" w:after="30"/>
              <w:jc w:val="center"/>
            </w:pPr>
            <w:r>
              <w:rPr>
                <w:b w:val="0"/>
                <w:i w:val="0"/>
                <w:sz w:val="18"/>
              </w:rPr>
              <w:t>−0.175***</w:t>
            </w:r>
          </w:p>
        </w:tc>
        <w:tc>
          <w:tcPr>
            <w:tcW w:type="dxa" w:w="1726"/>
          </w:tcPr>
          <w:p>
            <w:pPr>
              <w:pStyle w:val="MDPI42tablebody"/>
              <w:keepNext/>
              <w:spacing w:line="240" w:lineRule="auto" w:before="30" w:after="30"/>
              <w:jc w:val="center"/>
            </w:pPr>
            <w:r>
              <w:rPr>
                <w:b w:val="0"/>
                <w:i w:val="0"/>
                <w:sz w:val="18"/>
              </w:rPr>
              <w:t>−0.173***</w:t>
            </w:r>
          </w:p>
        </w:tc>
      </w:tr>
      <w:tr>
        <w:trPr>
          <w:cantSplit/>
        </w:trPr>
        <w:tc>
          <w:tcPr>
            <w:tcW w:type="dxa" w:w="3558"/>
          </w:tcPr>
          <w:p>
            <w:pPr>
              <w:pStyle w:val="MDPI42tablebody"/>
              <w:keepNext/>
              <w:spacing w:line="240" w:lineRule="auto" w:before="30" w:after="30"/>
              <w:jc w:val="left"/>
            </w:pPr>
          </w:p>
        </w:tc>
        <w:tc>
          <w:tcPr>
            <w:tcW w:type="dxa" w:w="1726"/>
          </w:tcPr>
          <w:p>
            <w:pPr>
              <w:pStyle w:val="MDPI42tablebody"/>
              <w:keepNext/>
              <w:spacing w:line="240" w:lineRule="auto" w:before="30" w:after="30"/>
              <w:jc w:val="center"/>
            </w:pPr>
            <w:r>
              <w:rPr>
                <w:b w:val="0"/>
                <w:i w:val="0"/>
                <w:sz w:val="18"/>
              </w:rPr>
              <w:t>(0.020)</w:t>
            </w:r>
          </w:p>
        </w:tc>
        <w:tc>
          <w:tcPr>
            <w:tcW w:type="dxa" w:w="1726"/>
          </w:tcPr>
          <w:p>
            <w:pPr>
              <w:pStyle w:val="MDPI42tablebody"/>
              <w:keepNext/>
              <w:spacing w:line="240" w:lineRule="auto" w:before="30" w:after="30"/>
              <w:jc w:val="center"/>
            </w:pPr>
            <w:r>
              <w:rPr>
                <w:b w:val="0"/>
                <w:i w:val="0"/>
                <w:sz w:val="18"/>
              </w:rPr>
              <w:t>(0.020)</w:t>
            </w:r>
          </w:p>
        </w:tc>
        <w:tc>
          <w:tcPr>
            <w:tcW w:type="dxa" w:w="1726"/>
          </w:tcPr>
          <w:p>
            <w:pPr>
              <w:pStyle w:val="MDPI42tablebody"/>
              <w:keepNext/>
              <w:spacing w:line="240" w:lineRule="auto" w:before="30" w:after="30"/>
              <w:jc w:val="center"/>
            </w:pPr>
            <w:r>
              <w:rPr>
                <w:b w:val="0"/>
                <w:i w:val="0"/>
                <w:sz w:val="18"/>
              </w:rPr>
              <w:t>(0.020)</w:t>
            </w:r>
          </w:p>
        </w:tc>
        <w:tc>
          <w:tcPr>
            <w:tcW w:type="dxa" w:w="1726"/>
          </w:tcPr>
          <w:p>
            <w:pPr>
              <w:pStyle w:val="MDPI42tablebody"/>
              <w:keepNext/>
              <w:spacing w:line="240" w:lineRule="auto" w:before="30" w:after="30"/>
              <w:jc w:val="center"/>
            </w:pPr>
            <w:r>
              <w:rPr>
                <w:b w:val="0"/>
                <w:i w:val="0"/>
                <w:sz w:val="18"/>
              </w:rPr>
              <w:t>(0.020)</w:t>
            </w:r>
          </w:p>
        </w:tc>
      </w:tr>
      <w:tr>
        <w:trPr>
          <w:cantSplit/>
        </w:trPr>
        <w:tc>
          <w:tcPr>
            <w:tcW w:type="dxa" w:w="3558"/>
          </w:tcPr>
          <w:p>
            <w:pPr>
              <w:pStyle w:val="MDPI42tablebody"/>
              <w:keepNext/>
              <w:spacing w:line="240" w:lineRule="auto" w:before="30" w:after="30"/>
              <w:jc w:val="left"/>
            </w:pPr>
            <w:r>
              <w:rPr>
                <w:b w:val="0"/>
                <w:i/>
                <w:sz w:val="18"/>
              </w:rPr>
              <w:t>Effect at moderator = −1 SD</w:t>
            </w:r>
          </w:p>
        </w:tc>
        <w:tc>
          <w:tcPr>
            <w:tcW w:type="dxa" w:w="1726"/>
          </w:tcPr>
          <w:p>
            <w:pPr>
              <w:pStyle w:val="MDPI42tablebody"/>
              <w:keepNext/>
              <w:spacing w:line="240" w:lineRule="auto" w:before="30" w:after="30"/>
              <w:jc w:val="center"/>
            </w:pPr>
            <w:r>
              <w:rPr>
                <w:b w:val="0"/>
                <w:i w:val="0"/>
                <w:sz w:val="18"/>
              </w:rPr>
              <w:t>−0.549***</w:t>
            </w:r>
          </w:p>
        </w:tc>
        <w:tc>
          <w:tcPr>
            <w:tcW w:type="dxa" w:w="1726"/>
          </w:tcPr>
          <w:p>
            <w:pPr>
              <w:pStyle w:val="MDPI42tablebody"/>
              <w:keepNext/>
              <w:spacing w:line="240" w:lineRule="auto" w:before="30" w:after="30"/>
              <w:jc w:val="center"/>
            </w:pPr>
            <w:r>
              <w:rPr>
                <w:b w:val="0"/>
                <w:i w:val="0"/>
                <w:sz w:val="18"/>
              </w:rPr>
              <w:t>−0.934***</w:t>
            </w:r>
          </w:p>
        </w:tc>
        <w:tc>
          <w:tcPr>
            <w:tcW w:type="dxa" w:w="1726"/>
          </w:tcPr>
          <w:p>
            <w:pPr>
              <w:pStyle w:val="MDPI42tablebody"/>
              <w:keepNext/>
              <w:spacing w:line="240" w:lineRule="auto" w:before="30" w:after="30"/>
              <w:jc w:val="center"/>
            </w:pPr>
            <w:r>
              <w:rPr>
                <w:b w:val="0"/>
                <w:i w:val="0"/>
                <w:sz w:val="18"/>
              </w:rPr>
              <w:t>−1.856***</w:t>
            </w:r>
          </w:p>
        </w:tc>
        <w:tc>
          <w:tcPr>
            <w:tcW w:type="dxa" w:w="1726"/>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r>
              <w:rPr>
                <w:b w:val="0"/>
                <w:i/>
                <w:sz w:val="18"/>
              </w:rPr>
              <w:t>Effect at moderator = +1 SD</w:t>
            </w:r>
          </w:p>
        </w:tc>
        <w:tc>
          <w:tcPr>
            <w:tcW w:type="dxa" w:w="1726"/>
          </w:tcPr>
          <w:p>
            <w:pPr>
              <w:pStyle w:val="MDPI42tablebody"/>
              <w:keepNext/>
              <w:spacing w:line="240" w:lineRule="auto" w:before="30" w:after="30"/>
              <w:jc w:val="center"/>
            </w:pPr>
            <w:r>
              <w:rPr>
                <w:b w:val="0"/>
                <w:i w:val="0"/>
                <w:sz w:val="18"/>
              </w:rPr>
              <w:t>−1.920***</w:t>
            </w:r>
          </w:p>
        </w:tc>
        <w:tc>
          <w:tcPr>
            <w:tcW w:type="dxa" w:w="1726"/>
          </w:tcPr>
          <w:p>
            <w:pPr>
              <w:pStyle w:val="MDPI42tablebody"/>
              <w:keepNext/>
              <w:spacing w:line="240" w:lineRule="auto" w:before="30" w:after="30"/>
              <w:jc w:val="center"/>
            </w:pPr>
            <w:r>
              <w:rPr>
                <w:b w:val="0"/>
                <w:i w:val="0"/>
                <w:sz w:val="18"/>
              </w:rPr>
              <w:t>−1.534***</w:t>
            </w:r>
          </w:p>
        </w:tc>
        <w:tc>
          <w:tcPr>
            <w:tcW w:type="dxa" w:w="1726"/>
          </w:tcPr>
          <w:p>
            <w:pPr>
              <w:pStyle w:val="MDPI42tablebody"/>
              <w:keepNext/>
              <w:spacing w:line="240" w:lineRule="auto" w:before="30" w:after="30"/>
              <w:jc w:val="center"/>
            </w:pPr>
            <w:r>
              <w:rPr>
                <w:b w:val="0"/>
                <w:i w:val="0"/>
                <w:sz w:val="18"/>
              </w:rPr>
              <w:t>−0.609***</w:t>
            </w:r>
          </w:p>
        </w:tc>
        <w:tc>
          <w:tcPr>
            <w:tcW w:type="dxa" w:w="1726"/>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r>
              <w:rPr>
                <w:b w:val="0"/>
                <w:i/>
                <w:sz w:val="18"/>
              </w:rPr>
              <w:t>Controls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Firm FE</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Year FE</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c>
          <w:tcPr>
            <w:tcW w:type="dxa" w:w="1726"/>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Observations</w:t>
            </w:r>
          </w:p>
        </w:tc>
        <w:tc>
          <w:tcPr>
            <w:tcW w:type="dxa" w:w="1726"/>
          </w:tcPr>
          <w:p>
            <w:pPr>
              <w:pStyle w:val="MDPI42tablebody"/>
              <w:keepNext/>
              <w:spacing w:line="240" w:lineRule="auto" w:before="30" w:after="30"/>
              <w:jc w:val="center"/>
            </w:pPr>
            <w:r>
              <w:rPr>
                <w:b w:val="0"/>
                <w:i w:val="0"/>
                <w:sz w:val="18"/>
              </w:rPr>
              <w:t>29,660</w:t>
            </w:r>
          </w:p>
        </w:tc>
        <w:tc>
          <w:tcPr>
            <w:tcW w:type="dxa" w:w="1726"/>
          </w:tcPr>
          <w:p>
            <w:pPr>
              <w:pStyle w:val="MDPI42tablebody"/>
              <w:keepNext/>
              <w:spacing w:line="240" w:lineRule="auto" w:before="30" w:after="30"/>
              <w:jc w:val="center"/>
            </w:pPr>
            <w:r>
              <w:rPr>
                <w:b w:val="0"/>
                <w:i w:val="0"/>
                <w:sz w:val="18"/>
              </w:rPr>
              <w:t>29,660</w:t>
            </w:r>
          </w:p>
        </w:tc>
        <w:tc>
          <w:tcPr>
            <w:tcW w:type="dxa" w:w="1726"/>
          </w:tcPr>
          <w:p>
            <w:pPr>
              <w:pStyle w:val="MDPI42tablebody"/>
              <w:keepNext/>
              <w:spacing w:line="240" w:lineRule="auto" w:before="30" w:after="30"/>
              <w:jc w:val="center"/>
            </w:pPr>
            <w:r>
              <w:rPr>
                <w:b w:val="0"/>
                <w:i w:val="0"/>
                <w:sz w:val="18"/>
              </w:rPr>
              <w:t>29,660</w:t>
            </w:r>
          </w:p>
        </w:tc>
        <w:tc>
          <w:tcPr>
            <w:tcW w:type="dxa" w:w="1726"/>
          </w:tcPr>
          <w:p>
            <w:pPr>
              <w:pStyle w:val="MDPI42tablebody"/>
              <w:keepNext/>
              <w:spacing w:line="240" w:lineRule="auto" w:before="30" w:after="30"/>
              <w:jc w:val="center"/>
            </w:pPr>
            <w:r>
              <w:rPr>
                <w:b w:val="0"/>
                <w:i w:val="0"/>
                <w:sz w:val="18"/>
              </w:rPr>
              <w:t>29,660</w:t>
            </w:r>
          </w:p>
        </w:tc>
      </w:tr>
      <w:tr>
        <w:trPr>
          <w:cantSplit/>
        </w:trPr>
        <w:tc>
          <w:tcPr>
            <w:tcW w:type="dxa" w:w="3558"/>
          </w:tcPr>
          <w:p>
            <w:pPr>
              <w:pStyle w:val="MDPI42tablebody"/>
              <w:spacing w:line="240" w:lineRule="auto" w:before="30" w:after="30"/>
              <w:jc w:val="left"/>
            </w:pPr>
            <w:r>
              <w:rPr>
                <w:b w:val="0"/>
                <w:i/>
                <w:sz w:val="18"/>
              </w:rPr>
              <w:t>Within R²</w:t>
            </w:r>
          </w:p>
        </w:tc>
        <w:tc>
          <w:tcPr>
            <w:tcW w:type="dxa" w:w="1726"/>
          </w:tcPr>
          <w:p>
            <w:pPr>
              <w:pStyle w:val="MDPI42tablebody"/>
              <w:spacing w:line="240" w:lineRule="auto" w:before="30" w:after="30"/>
              <w:jc w:val="center"/>
            </w:pPr>
            <w:r>
              <w:rPr>
                <w:b w:val="0"/>
                <w:i w:val="0"/>
                <w:sz w:val="18"/>
              </w:rPr>
              <w:t>0.319</w:t>
            </w:r>
          </w:p>
        </w:tc>
        <w:tc>
          <w:tcPr>
            <w:tcW w:type="dxa" w:w="1726"/>
          </w:tcPr>
          <w:p>
            <w:pPr>
              <w:pStyle w:val="MDPI42tablebody"/>
              <w:spacing w:line="240" w:lineRule="auto" w:before="30" w:after="30"/>
              <w:jc w:val="center"/>
            </w:pPr>
            <w:r>
              <w:rPr>
                <w:b w:val="0"/>
                <w:i w:val="0"/>
                <w:sz w:val="18"/>
              </w:rPr>
              <w:t>0.286</w:t>
            </w:r>
          </w:p>
        </w:tc>
        <w:tc>
          <w:tcPr>
            <w:tcW w:type="dxa" w:w="1726"/>
          </w:tcPr>
          <w:p>
            <w:pPr>
              <w:pStyle w:val="MDPI42tablebody"/>
              <w:spacing w:line="240" w:lineRule="auto" w:before="30" w:after="30"/>
              <w:jc w:val="center"/>
            </w:pPr>
            <w:r>
              <w:rPr>
                <w:b w:val="0"/>
                <w:i w:val="0"/>
                <w:sz w:val="18"/>
              </w:rPr>
              <w:t>0.312</w:t>
            </w:r>
          </w:p>
        </w:tc>
        <w:tc>
          <w:tcPr>
            <w:tcW w:type="dxa" w:w="1726"/>
          </w:tcPr>
          <w:p>
            <w:pPr>
              <w:pStyle w:val="MDPI42tablebody"/>
              <w:spacing w:line="240" w:lineRule="auto" w:before="30" w:after="30"/>
              <w:jc w:val="center"/>
            </w:pPr>
            <w:r>
              <w:rPr>
                <w:b w:val="0"/>
                <w:i w:val="0"/>
                <w:sz w:val="18"/>
              </w:rPr>
              <w:t>0.340</w:t>
            </w:r>
          </w:p>
        </w:tc>
      </w:tr>
    </w:tbl>
    <w:p>
      <w:pPr>
        <w:pStyle w:val="MDPI43tablefooter"/>
        <w:spacing w:line="240" w:lineRule="auto" w:before="40" w:after="200"/>
        <w:ind w:left="2608" w:firstLine="0"/>
      </w:pPr>
      <w:r>
        <w:rPr>
          <w:sz w:val="16"/>
        </w:rPr>
        <w:t xml:space="preserve">Note: </w:t>
      </w:r>
      <w:r>
        <w:rPr>
          <w:b w:val="0"/>
          <w:i w:val="0"/>
          <w:sz w:val="16"/>
        </w:rPr>
        <w:t>The dependent variable is the entry-level vacancy rate and the model is Equation (10). The two rows of marginal effects report α₁ + α₄Z evaluated one standard deviation below and above the mean of the moderator used in that column. Standard errors clustered at the firm level are in parentheses. ***, ** and * denote significance at the 1%, 5% and 10% levels.</w:t>
      </w:r>
    </w:p>
    <w:p>
      <w:pPr>
        <w:pStyle w:val="MDPI22heading2"/>
      </w:pPr>
      <w:r>
        <w:t>4.6. The Contingent Turn</w:t>
      </w:r>
    </w:p>
    <w:p>
      <w:pPr>
        <w:pStyle w:val="MDPI32textnoindent"/>
      </w:pPr>
      <w:r>
        <w:rPr>
          <w:b w:val="0"/>
          <w:i w:val="0"/>
        </w:rPr>
        <w:t>If uncertainty raises the hurdle for a committed hire by more than it raises the hurdle for a revocable one, firms should not only post fewer entry-level vacancies but post different ones. Table 7 tests this. Column (1) regresses the contingent share of entry-level vacancies on uncertainty with controls and both sets of effects, and column (2) adds the level of adoption and policy uncertainty: the coefficient is 2.245 (0.051), so one standard deviation of generative-AI uncertainty moves 2.25 percentage points of entry-level hiring from committed to revocable forms, 11.5% of the mean contingent share. Hypothesis 3 is supported.</w:t>
      </w:r>
    </w:p>
    <w:p>
      <w:pPr>
        <w:pStyle w:val="MDPI31text"/>
      </w:pPr>
      <w:r>
        <w:rPr>
          <w:b w:val="0"/>
          <w:i w:val="0"/>
        </w:rPr>
        <w:t xml:space="preserve">The pattern of moderation confirms that this is the same mechanism seen from the other side. Column (3) shows that the compositional shift is larger for firms with an established reversible margin (1.250), which is where the substitution is cheapest to make, and column (4) shows that it is smaller for firms whose entry-level work is training intensive (−1.074) — precisely the firms for which a revocable contract is a poor substitute, because the value of the position depends on the recruit staying long enough to learn. Those firms have no second-best option, which is why column (5), which returns to the vacancy rate itself, finds that the chill on the total is attenuated precisely where the reversible margin is available (0.624 on the interaction). Taken together, columns (1) to (5) say that a firm under technological uncertainty does not withdraw from the youth labour market; it changes the terms on which it enters. This has a direct implication for measurement. A study that counts young employees will understate the change, because much of the adjustment is in the contract rather than in the headcount, and the welfare consequences of the two are not the same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fldChar w:fldCharType="begin"/>
      </w:r>
      <w:r>
        <w:instrText xml:space="preserve"> REF _Ref_58 \h </w:instrText>
      </w:r>
      <w:r>
        <w:fldChar w:fldCharType="separate"/>
      </w:r>
      <w:r>
        <w:t>58</w:t>
      </w:r>
      <w:r>
        <w:fldChar w:fldCharType="end"/>
      </w:r>
      <w:r>
        <w:t>]</w:t>
      </w:r>
      <w:r>
        <w:rPr>
          <w:b w:val="0"/>
          <w:i w:val="0"/>
        </w:rPr>
        <w:t>.</w:t>
      </w:r>
    </w:p>
    <w:p>
      <w:pPr>
        <w:pStyle w:val="MDPI41tablecaption"/>
        <w:keepNext/>
        <w:spacing w:after="60"/>
      </w:pPr>
      <w:r>
        <w:rPr>
          <w:b/>
          <w:sz w:val="18"/>
        </w:rPr>
        <w:t xml:space="preserve">Table 7. </w:t>
      </w:r>
      <w:r>
        <w:rPr>
          <w:b w:val="0"/>
          <w:i w:val="0"/>
          <w:sz w:val="18"/>
        </w:rPr>
        <w:t>The contingent turn: the composition of entry-level hiring.</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465"/>
        <w:gridCol w:w="1465"/>
        <w:gridCol w:w="1465"/>
        <w:gridCol w:w="1465"/>
        <w:gridCol w:w="1465"/>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8"/>
              </w:rPr>
              <w:t>Variable</w:t>
            </w:r>
          </w:p>
        </w:tc>
        <w:tc>
          <w:tcPr>
            <w:tcW w:type="dxa" w:w="1465"/>
            <w:tcBorders>
              <w:bottom w:val="single" w:sz="8" w:space="0" w:color="auto"/>
            </w:tcBorders>
          </w:tcPr>
          <w:p>
            <w:pPr>
              <w:pStyle w:val="MDPI42tablebody"/>
              <w:keepNext/>
              <w:spacing w:line="240" w:lineRule="auto" w:before="30" w:after="30"/>
              <w:jc w:val="center"/>
            </w:pPr>
            <w:r>
              <w:rPr>
                <w:b/>
                <w:i w:val="0"/>
                <w:sz w:val="18"/>
              </w:rPr>
              <w:t>(1)</w:t>
            </w:r>
          </w:p>
        </w:tc>
        <w:tc>
          <w:tcPr>
            <w:tcW w:type="dxa" w:w="1465"/>
            <w:tcBorders>
              <w:bottom w:val="single" w:sz="8" w:space="0" w:color="auto"/>
            </w:tcBorders>
          </w:tcPr>
          <w:p>
            <w:pPr>
              <w:pStyle w:val="MDPI42tablebody"/>
              <w:keepNext/>
              <w:spacing w:line="240" w:lineRule="auto" w:before="30" w:after="30"/>
              <w:jc w:val="center"/>
            </w:pPr>
            <w:r>
              <w:rPr>
                <w:b/>
                <w:i w:val="0"/>
                <w:sz w:val="18"/>
              </w:rPr>
              <w:t>(2)</w:t>
            </w:r>
          </w:p>
        </w:tc>
        <w:tc>
          <w:tcPr>
            <w:tcW w:type="dxa" w:w="1465"/>
            <w:tcBorders>
              <w:bottom w:val="single" w:sz="8" w:space="0" w:color="auto"/>
            </w:tcBorders>
          </w:tcPr>
          <w:p>
            <w:pPr>
              <w:pStyle w:val="MDPI42tablebody"/>
              <w:keepNext/>
              <w:spacing w:line="240" w:lineRule="auto" w:before="30" w:after="30"/>
              <w:jc w:val="center"/>
            </w:pPr>
            <w:r>
              <w:rPr>
                <w:b/>
                <w:i w:val="0"/>
                <w:sz w:val="18"/>
              </w:rPr>
              <w:t>(3)</w:t>
            </w:r>
          </w:p>
        </w:tc>
        <w:tc>
          <w:tcPr>
            <w:tcW w:type="dxa" w:w="1465"/>
            <w:tcBorders>
              <w:bottom w:val="single" w:sz="8" w:space="0" w:color="auto"/>
            </w:tcBorders>
          </w:tcPr>
          <w:p>
            <w:pPr>
              <w:pStyle w:val="MDPI42tablebody"/>
              <w:keepNext/>
              <w:spacing w:line="240" w:lineRule="auto" w:before="30" w:after="30"/>
              <w:jc w:val="center"/>
            </w:pPr>
            <w:r>
              <w:rPr>
                <w:b/>
                <w:i w:val="0"/>
                <w:sz w:val="18"/>
              </w:rPr>
              <w:t>(4)</w:t>
            </w:r>
          </w:p>
        </w:tc>
        <w:tc>
          <w:tcPr>
            <w:tcW w:type="dxa" w:w="1465"/>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3139"/>
          </w:tcPr>
          <w:p>
            <w:pPr>
              <w:pStyle w:val="MDPI42tablebody"/>
              <w:keepNext/>
              <w:spacing w:line="240" w:lineRule="auto" w:before="30" w:after="30"/>
              <w:jc w:val="left"/>
            </w:pPr>
            <w:r>
              <w:rPr>
                <w:b w:val="0"/>
                <w:i/>
                <w:sz w:val="18"/>
              </w:rPr>
              <w:t>AIU</w:t>
            </w:r>
          </w:p>
        </w:tc>
        <w:tc>
          <w:tcPr>
            <w:tcW w:type="dxa" w:w="1465"/>
          </w:tcPr>
          <w:p>
            <w:pPr>
              <w:pStyle w:val="MDPI42tablebody"/>
              <w:keepNext/>
              <w:spacing w:line="240" w:lineRule="auto" w:before="30" w:after="30"/>
              <w:jc w:val="center"/>
            </w:pPr>
            <w:r>
              <w:rPr>
                <w:b w:val="0"/>
                <w:i w:val="0"/>
                <w:sz w:val="18"/>
              </w:rPr>
              <w:t>2.344***</w:t>
            </w:r>
          </w:p>
        </w:tc>
        <w:tc>
          <w:tcPr>
            <w:tcW w:type="dxa" w:w="1465"/>
          </w:tcPr>
          <w:p>
            <w:pPr>
              <w:pStyle w:val="MDPI42tablebody"/>
              <w:keepNext/>
              <w:spacing w:line="240" w:lineRule="auto" w:before="30" w:after="30"/>
              <w:jc w:val="center"/>
            </w:pPr>
            <w:r>
              <w:rPr>
                <w:b w:val="0"/>
                <w:i w:val="0"/>
                <w:sz w:val="18"/>
              </w:rPr>
              <w:t>2.245***</w:t>
            </w:r>
          </w:p>
        </w:tc>
        <w:tc>
          <w:tcPr>
            <w:tcW w:type="dxa" w:w="1465"/>
          </w:tcPr>
          <w:p>
            <w:pPr>
              <w:pStyle w:val="MDPI42tablebody"/>
              <w:keepNext/>
              <w:spacing w:line="240" w:lineRule="auto" w:before="30" w:after="30"/>
              <w:jc w:val="center"/>
            </w:pPr>
            <w:r>
              <w:rPr>
                <w:b w:val="0"/>
                <w:i w:val="0"/>
                <w:sz w:val="18"/>
              </w:rPr>
              <w:t>2.240***</w:t>
            </w:r>
          </w:p>
        </w:tc>
        <w:tc>
          <w:tcPr>
            <w:tcW w:type="dxa" w:w="1465"/>
          </w:tcPr>
          <w:p>
            <w:pPr>
              <w:pStyle w:val="MDPI42tablebody"/>
              <w:keepNext/>
              <w:spacing w:line="240" w:lineRule="auto" w:before="30" w:after="30"/>
              <w:jc w:val="center"/>
            </w:pPr>
            <w:r>
              <w:rPr>
                <w:b w:val="0"/>
                <w:i w:val="0"/>
                <w:sz w:val="18"/>
              </w:rPr>
              <w:t>2.238***</w:t>
            </w:r>
          </w:p>
        </w:tc>
        <w:tc>
          <w:tcPr>
            <w:tcW w:type="dxa" w:w="1465"/>
          </w:tcPr>
          <w:p>
            <w:pPr>
              <w:pStyle w:val="MDPI42tablebody"/>
              <w:keepNext/>
              <w:spacing w:line="240" w:lineRule="auto" w:before="30" w:after="30"/>
              <w:jc w:val="center"/>
            </w:pPr>
            <w:r>
              <w:rPr>
                <w:b w:val="0"/>
                <w:i w:val="0"/>
                <w:sz w:val="18"/>
              </w:rPr>
              <w:t>−1.233***</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(0.051)</w:t>
            </w:r>
          </w:p>
        </w:tc>
        <w:tc>
          <w:tcPr>
            <w:tcW w:type="dxa" w:w="1465"/>
          </w:tcPr>
          <w:p>
            <w:pPr>
              <w:pStyle w:val="MDPI42tablebody"/>
              <w:keepNext/>
              <w:spacing w:line="240" w:lineRule="auto" w:before="30" w:after="30"/>
              <w:jc w:val="center"/>
            </w:pPr>
            <w:r>
              <w:rPr>
                <w:b w:val="0"/>
                <w:i w:val="0"/>
                <w:sz w:val="18"/>
              </w:rPr>
              <w:t>(0.051)</w:t>
            </w:r>
          </w:p>
        </w:tc>
        <w:tc>
          <w:tcPr>
            <w:tcW w:type="dxa" w:w="1465"/>
          </w:tcPr>
          <w:p>
            <w:pPr>
              <w:pStyle w:val="MDPI42tablebody"/>
              <w:keepNext/>
              <w:spacing w:line="240" w:lineRule="auto" w:before="30" w:after="30"/>
              <w:jc w:val="center"/>
            </w:pPr>
            <w:r>
              <w:rPr>
                <w:b w:val="0"/>
                <w:i w:val="0"/>
                <w:sz w:val="18"/>
              </w:rPr>
              <w:t>(0.044)</w:t>
            </w:r>
          </w:p>
        </w:tc>
        <w:tc>
          <w:tcPr>
            <w:tcW w:type="dxa" w:w="1465"/>
          </w:tcPr>
          <w:p>
            <w:pPr>
              <w:pStyle w:val="MDPI42tablebody"/>
              <w:keepNext/>
              <w:spacing w:line="240" w:lineRule="auto" w:before="30" w:after="30"/>
              <w:jc w:val="center"/>
            </w:pPr>
            <w:r>
              <w:rPr>
                <w:b w:val="0"/>
                <w:i w:val="0"/>
                <w:sz w:val="18"/>
              </w:rPr>
              <w:t>(0.046)</w:t>
            </w:r>
          </w:p>
        </w:tc>
        <w:tc>
          <w:tcPr>
            <w:tcW w:type="dxa" w:w="1465"/>
          </w:tcPr>
          <w:p>
            <w:pPr>
              <w:pStyle w:val="MDPI42tablebody"/>
              <w:keepNext/>
              <w:spacing w:line="240" w:lineRule="auto" w:before="30" w:after="30"/>
              <w:jc w:val="center"/>
            </w:pPr>
            <w:r>
              <w:rPr>
                <w:b w:val="0"/>
                <w:i w:val="0"/>
                <w:sz w:val="18"/>
              </w:rPr>
              <w:t>(0.022)</w:t>
            </w:r>
          </w:p>
        </w:tc>
      </w:tr>
      <w:tr>
        <w:trPr>
          <w:cantSplit/>
        </w:trPr>
        <w:tc>
          <w:tcPr>
            <w:tcW w:type="dxa" w:w="3139"/>
          </w:tcPr>
          <w:p>
            <w:pPr>
              <w:pStyle w:val="MDPI42tablebody"/>
              <w:keepNext/>
              <w:spacing w:line="240" w:lineRule="auto" w:before="30" w:after="30"/>
              <w:jc w:val="left"/>
            </w:pPr>
            <w:r>
              <w:rPr>
                <w:b w:val="0"/>
                <w:i/>
                <w:sz w:val="18"/>
              </w:rPr>
              <w:t>AIU × Flex</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1.250***</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0.624***</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(0.042)</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(0.023)</w:t>
            </w:r>
          </w:p>
        </w:tc>
      </w:tr>
      <w:tr>
        <w:trPr>
          <w:cantSplit/>
        </w:trPr>
        <w:tc>
          <w:tcPr>
            <w:tcW w:type="dxa" w:w="3139"/>
          </w:tcPr>
          <w:p>
            <w:pPr>
              <w:pStyle w:val="MDPI42tablebody"/>
              <w:keepNext/>
              <w:spacing w:line="240" w:lineRule="auto" w:before="30" w:after="30"/>
              <w:jc w:val="left"/>
            </w:pPr>
            <w:r>
              <w:rPr>
                <w:b w:val="0"/>
                <w:i/>
                <w:sz w:val="18"/>
              </w:rPr>
              <w:t>AIU × SpecTrain</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−1.074***</w:t>
            </w: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(0.044)</w:t>
            </w: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r>
              <w:rPr>
                <w:b w:val="0"/>
                <w:i/>
                <w:sz w:val="18"/>
              </w:rPr>
              <w:t>AIE</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0.352***</w:t>
            </w:r>
          </w:p>
        </w:tc>
        <w:tc>
          <w:tcPr>
            <w:tcW w:type="dxa" w:w="1465"/>
          </w:tcPr>
          <w:p>
            <w:pPr>
              <w:pStyle w:val="MDPI42tablebody"/>
              <w:keepNext/>
              <w:spacing w:line="240" w:lineRule="auto" w:before="30" w:after="30"/>
              <w:jc w:val="center"/>
            </w:pPr>
            <w:r>
              <w:rPr>
                <w:b w:val="0"/>
                <w:i w:val="0"/>
                <w:sz w:val="18"/>
              </w:rPr>
              <w:t>0.343***</w:t>
            </w:r>
          </w:p>
        </w:tc>
        <w:tc>
          <w:tcPr>
            <w:tcW w:type="dxa" w:w="1465"/>
          </w:tcPr>
          <w:p>
            <w:pPr>
              <w:pStyle w:val="MDPI42tablebody"/>
              <w:keepNext/>
              <w:spacing w:line="240" w:lineRule="auto" w:before="30" w:after="30"/>
              <w:jc w:val="center"/>
            </w:pPr>
            <w:r>
              <w:rPr>
                <w:b w:val="0"/>
                <w:i w:val="0"/>
                <w:sz w:val="18"/>
              </w:rPr>
              <w:t>0.337***</w:t>
            </w:r>
          </w:p>
        </w:tc>
        <w:tc>
          <w:tcPr>
            <w:tcW w:type="dxa" w:w="1465"/>
          </w:tcPr>
          <w:p>
            <w:pPr>
              <w:pStyle w:val="MDPI42tablebody"/>
              <w:keepNext/>
              <w:spacing w:line="240" w:lineRule="auto" w:before="30" w:after="30"/>
              <w:jc w:val="center"/>
            </w:pPr>
            <w:r>
              <w:rPr>
                <w:b w:val="0"/>
                <w:i w:val="0"/>
                <w:sz w:val="18"/>
              </w:rPr>
              <w:t>0.295***</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(0.045)</w:t>
            </w:r>
          </w:p>
        </w:tc>
        <w:tc>
          <w:tcPr>
            <w:tcW w:type="dxa" w:w="1465"/>
          </w:tcPr>
          <w:p>
            <w:pPr>
              <w:pStyle w:val="MDPI42tablebody"/>
              <w:keepNext/>
              <w:spacing w:line="240" w:lineRule="auto" w:before="30" w:after="30"/>
              <w:jc w:val="center"/>
            </w:pPr>
            <w:r>
              <w:rPr>
                <w:b w:val="0"/>
                <w:i w:val="0"/>
                <w:sz w:val="18"/>
              </w:rPr>
              <w:t>(0.045)</w:t>
            </w:r>
          </w:p>
        </w:tc>
        <w:tc>
          <w:tcPr>
            <w:tcW w:type="dxa" w:w="1465"/>
          </w:tcPr>
          <w:p>
            <w:pPr>
              <w:pStyle w:val="MDPI42tablebody"/>
              <w:keepNext/>
              <w:spacing w:line="240" w:lineRule="auto" w:before="30" w:after="30"/>
              <w:jc w:val="center"/>
            </w:pPr>
            <w:r>
              <w:rPr>
                <w:b w:val="0"/>
                <w:i w:val="0"/>
                <w:sz w:val="18"/>
              </w:rPr>
              <w:t>(0.045)</w:t>
            </w:r>
          </w:p>
        </w:tc>
        <w:tc>
          <w:tcPr>
            <w:tcW w:type="dxa" w:w="1465"/>
          </w:tcPr>
          <w:p>
            <w:pPr>
              <w:pStyle w:val="MDPI42tablebody"/>
              <w:keepNext/>
              <w:spacing w:line="240" w:lineRule="auto" w:before="30" w:after="30"/>
              <w:jc w:val="center"/>
            </w:pPr>
            <w:r>
              <w:rPr>
                <w:b w:val="0"/>
                <w:i w:val="0"/>
                <w:sz w:val="18"/>
              </w:rPr>
              <w:t>(0.019)</w:t>
            </w:r>
          </w:p>
        </w:tc>
      </w:tr>
      <w:tr>
        <w:trPr>
          <w:cantSplit/>
        </w:trPr>
        <w:tc>
          <w:tcPr>
            <w:tcW w:type="dxa" w:w="3139"/>
          </w:tcPr>
          <w:p>
            <w:pPr>
              <w:pStyle w:val="MDPI42tablebody"/>
              <w:keepNext/>
              <w:spacing w:line="240" w:lineRule="auto" w:before="30" w:after="30"/>
              <w:jc w:val="left"/>
            </w:pPr>
            <w:r>
              <w:rPr>
                <w:b w:val="0"/>
                <w:i/>
                <w:sz w:val="18"/>
              </w:rPr>
              <w:t>EPU</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0.263***</w:t>
            </w:r>
          </w:p>
        </w:tc>
        <w:tc>
          <w:tcPr>
            <w:tcW w:type="dxa" w:w="1465"/>
          </w:tcPr>
          <w:p>
            <w:pPr>
              <w:pStyle w:val="MDPI42tablebody"/>
              <w:keepNext/>
              <w:spacing w:line="240" w:lineRule="auto" w:before="30" w:after="30"/>
              <w:jc w:val="center"/>
            </w:pPr>
            <w:r>
              <w:rPr>
                <w:b w:val="0"/>
                <w:i w:val="0"/>
                <w:sz w:val="18"/>
              </w:rPr>
              <w:t>0.281***</w:t>
            </w:r>
          </w:p>
        </w:tc>
        <w:tc>
          <w:tcPr>
            <w:tcW w:type="dxa" w:w="1465"/>
          </w:tcPr>
          <w:p>
            <w:pPr>
              <w:pStyle w:val="MDPI42tablebody"/>
              <w:keepNext/>
              <w:spacing w:line="240" w:lineRule="auto" w:before="30" w:after="30"/>
              <w:jc w:val="center"/>
            </w:pPr>
            <w:r>
              <w:rPr>
                <w:b w:val="0"/>
                <w:i w:val="0"/>
                <w:sz w:val="18"/>
              </w:rPr>
              <w:t>0.274***</w:t>
            </w:r>
          </w:p>
        </w:tc>
        <w:tc>
          <w:tcPr>
            <w:tcW w:type="dxa" w:w="1465"/>
          </w:tcPr>
          <w:p>
            <w:pPr>
              <w:pStyle w:val="MDPI42tablebody"/>
              <w:keepNext/>
              <w:spacing w:line="240" w:lineRule="auto" w:before="30" w:after="30"/>
              <w:jc w:val="center"/>
            </w:pPr>
            <w:r>
              <w:rPr>
                <w:b w:val="0"/>
                <w:i w:val="0"/>
                <w:sz w:val="18"/>
              </w:rPr>
              <w:t>−0.175***</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(0.046)</w:t>
            </w:r>
          </w:p>
        </w:tc>
        <w:tc>
          <w:tcPr>
            <w:tcW w:type="dxa" w:w="1465"/>
          </w:tcPr>
          <w:p>
            <w:pPr>
              <w:pStyle w:val="MDPI42tablebody"/>
              <w:keepNext/>
              <w:spacing w:line="240" w:lineRule="auto" w:before="30" w:after="30"/>
              <w:jc w:val="center"/>
            </w:pPr>
            <w:r>
              <w:rPr>
                <w:b w:val="0"/>
                <w:i w:val="0"/>
                <w:sz w:val="18"/>
              </w:rPr>
              <w:t>(0.046)</w:t>
            </w:r>
          </w:p>
        </w:tc>
        <w:tc>
          <w:tcPr>
            <w:tcW w:type="dxa" w:w="1465"/>
          </w:tcPr>
          <w:p>
            <w:pPr>
              <w:pStyle w:val="MDPI42tablebody"/>
              <w:keepNext/>
              <w:spacing w:line="240" w:lineRule="auto" w:before="30" w:after="30"/>
              <w:jc w:val="center"/>
            </w:pPr>
            <w:r>
              <w:rPr>
                <w:b w:val="0"/>
                <w:i w:val="0"/>
                <w:sz w:val="18"/>
              </w:rPr>
              <w:t>(0.046)</w:t>
            </w:r>
          </w:p>
        </w:tc>
        <w:tc>
          <w:tcPr>
            <w:tcW w:type="dxa" w:w="1465"/>
          </w:tcPr>
          <w:p>
            <w:pPr>
              <w:pStyle w:val="MDPI42tablebody"/>
              <w:keepNext/>
              <w:spacing w:line="240" w:lineRule="auto" w:before="30" w:after="30"/>
              <w:jc w:val="center"/>
            </w:pPr>
            <w:r>
              <w:rPr>
                <w:b w:val="0"/>
                <w:i w:val="0"/>
                <w:sz w:val="18"/>
              </w:rPr>
              <w:t>(0.020)</w:t>
            </w:r>
          </w:p>
        </w:tc>
      </w:tr>
      <w:tr>
        <w:trPr>
          <w:cantSplit/>
        </w:trPr>
        <w:tc>
          <w:tcPr>
            <w:tcW w:type="dxa" w:w="3139"/>
          </w:tcPr>
          <w:p>
            <w:pPr>
              <w:pStyle w:val="MDPI42tablebody"/>
              <w:keepNext/>
              <w:spacing w:line="240" w:lineRule="auto" w:before="30" w:after="30"/>
              <w:jc w:val="left"/>
            </w:pPr>
            <w:r>
              <w:rPr>
                <w:b w:val="0"/>
                <w:i/>
                <w:sz w:val="18"/>
              </w:rPr>
              <w:t>Controls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Firm FE</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Year FE</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Observations</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29,660</w:t>
            </w:r>
          </w:p>
        </w:tc>
      </w:tr>
      <w:tr>
        <w:trPr>
          <w:cantSplit/>
        </w:trPr>
        <w:tc>
          <w:tcPr>
            <w:tcW w:type="dxa" w:w="3139"/>
          </w:tcPr>
          <w:p>
            <w:pPr>
              <w:pStyle w:val="MDPI42tablebody"/>
              <w:spacing w:line="240" w:lineRule="auto" w:before="30" w:after="30"/>
              <w:jc w:val="left"/>
            </w:pPr>
            <w:r>
              <w:rPr>
                <w:b w:val="0"/>
                <w:i/>
                <w:sz w:val="18"/>
              </w:rPr>
              <w:t>Within R²</w:t>
            </w:r>
          </w:p>
        </w:tc>
        <w:tc>
          <w:tcPr>
            <w:tcW w:type="dxa" w:w="1465"/>
          </w:tcPr>
          <w:p>
            <w:pPr>
              <w:pStyle w:val="MDPI42tablebody"/>
              <w:spacing w:line="240" w:lineRule="auto" w:before="30" w:after="30"/>
              <w:jc w:val="center"/>
            </w:pPr>
            <w:r>
              <w:rPr>
                <w:b w:val="0"/>
                <w:i w:val="0"/>
                <w:sz w:val="18"/>
              </w:rPr>
              <w:t>0.122</w:t>
            </w:r>
          </w:p>
        </w:tc>
        <w:tc>
          <w:tcPr>
            <w:tcW w:type="dxa" w:w="1465"/>
          </w:tcPr>
          <w:p>
            <w:pPr>
              <w:pStyle w:val="MDPI42tablebody"/>
              <w:spacing w:line="240" w:lineRule="auto" w:before="30" w:after="30"/>
              <w:jc w:val="center"/>
            </w:pPr>
            <w:r>
              <w:rPr>
                <w:b w:val="0"/>
                <w:i w:val="0"/>
                <w:sz w:val="18"/>
              </w:rPr>
              <w:t>0.126</w:t>
            </w:r>
          </w:p>
        </w:tc>
        <w:tc>
          <w:tcPr>
            <w:tcW w:type="dxa" w:w="1465"/>
          </w:tcPr>
          <w:p>
            <w:pPr>
              <w:pStyle w:val="MDPI42tablebody"/>
              <w:spacing w:line="240" w:lineRule="auto" w:before="30" w:after="30"/>
              <w:jc w:val="center"/>
            </w:pPr>
            <w:r>
              <w:rPr>
                <w:b w:val="0"/>
                <w:i w:val="0"/>
                <w:sz w:val="18"/>
              </w:rPr>
              <w:t>0.157</w:t>
            </w:r>
          </w:p>
        </w:tc>
        <w:tc>
          <w:tcPr>
            <w:tcW w:type="dxa" w:w="1465"/>
          </w:tcPr>
          <w:p>
            <w:pPr>
              <w:pStyle w:val="MDPI42tablebody"/>
              <w:spacing w:line="240" w:lineRule="auto" w:before="30" w:after="30"/>
              <w:jc w:val="center"/>
            </w:pPr>
            <w:r>
              <w:rPr>
                <w:b w:val="0"/>
                <w:i w:val="0"/>
                <w:sz w:val="18"/>
              </w:rPr>
              <w:t>0.149</w:t>
            </w:r>
          </w:p>
        </w:tc>
        <w:tc>
          <w:tcPr>
            <w:tcW w:type="dxa" w:w="1465"/>
          </w:tcPr>
          <w:p>
            <w:pPr>
              <w:pStyle w:val="MDPI42tablebody"/>
              <w:spacing w:line="240" w:lineRule="auto" w:before="30" w:after="30"/>
              <w:jc w:val="center"/>
            </w:pPr>
            <w:r>
              <w:rPr>
                <w:b w:val="0"/>
                <w:i w:val="0"/>
                <w:sz w:val="18"/>
              </w:rPr>
              <w:t>0.312</w:t>
            </w:r>
          </w:p>
        </w:tc>
      </w:tr>
    </w:tbl>
    <w:p>
      <w:pPr>
        <w:pStyle w:val="MDPI43tablefooter"/>
        <w:spacing w:line="240" w:lineRule="auto" w:before="40" w:after="200"/>
        <w:ind w:left="2608" w:firstLine="0"/>
      </w:pPr>
      <w:r>
        <w:rPr>
          <w:sz w:val="16"/>
        </w:rPr>
        <w:t xml:space="preserve">Note: </w:t>
      </w:r>
      <w:r>
        <w:rPr>
          <w:b w:val="0"/>
          <w:i w:val="0"/>
          <w:sz w:val="16"/>
        </w:rPr>
        <w:t>The dependent variable is the contingent share of entry-level vacancies in columns (1) to (4) and the entry-level vacancy rate in column (5). Standard errors clustered at the firm level are in parentheses. ***, ** and * denote significance at the 1%, 5% and 10% levels.</w:t>
      </w:r>
    </w:p>
    <w:p>
      <w:pPr>
        <w:pStyle w:val="MDPI22heading2"/>
      </w:pPr>
      <w:r>
        <w:t>4.7. Inaction and Hysteresis</w:t>
      </w:r>
    </w:p>
    <w:p>
      <w:pPr>
        <w:pStyle w:val="MDPI32textnoindent"/>
      </w:pPr>
      <w:r>
        <w:rPr>
          <w:b w:val="0"/>
          <w:i w:val="0"/>
        </w:rPr>
        <w:t>Table 8 tests the band. Column (1) regresses the inaction indicator on uncertainty with controls, and column (2) adds the level of adoption and policy uncertainty: one standard deviation raises the probability that the firm makes no adjustment at all to its young workforce by 0.050 (0.003), which is 28.5% of the unconditional inaction rate of 17.7%. Neither the level of adoption nor policy uncertainty has any comparable effect, which is what distinguishes a widening band from a shift in the desired level: a shift in the desired level moves firms out of the band on one side, whereas a wider band traps them inside it whatever their desired adjustment. Column (3) shows that the band widens most for firms with training-intensive entry-level work (0.029, p = 0.000), as Equation (6) implies, since the two triggers that bound the band both move with the sunk cost.</w:t>
      </w:r>
    </w:p>
    <w:p>
      <w:pPr>
        <w:pStyle w:val="MDPI31text"/>
      </w:pPr>
      <w:r>
        <w:rPr>
          <w:b w:val="0"/>
          <w:i w:val="0"/>
        </w:rPr>
        <w:t xml:space="preserve">Column (4) restricts attention to firms that were inactive in the previous year — 4,707 firm-years, of which 41.3% resume expansion — and asks what makes them move. Uncertainty lowers the probability of resuming by 0.126 (0.014). This is hysteresis in the precise sense of the real-options literature: the firm that has stopped adjusting requires a larger shock to start again than it required to stop </w:t>
      </w:r>
      <w:r>
        <w:t>[</w:t>
      </w:r>
      <w:r>
        <w:fldChar w:fldCharType="begin"/>
      </w:r>
      <w:r>
        <w:instrText xml:space="preserve"> REF _Ref_20 \h </w:instrText>
      </w:r>
      <w:r>
        <w:fldChar w:fldCharType="separate"/>
      </w:r>
      <w:r>
        <w:t>20</w:t>
      </w:r>
      <w:r>
        <w:fldChar w:fldCharType="end"/>
      </w:r>
      <w:r>
        <w:t>,</w:t>
      </w:r>
      <w:r>
        <w:fldChar w:fldCharType="begin"/>
      </w:r>
      <w:r>
        <w:instrText xml:space="preserve"> REF _Ref_22 \h </w:instrText>
      </w:r>
      <w:r>
        <w:fldChar w:fldCharType="separate"/>
      </w:r>
      <w:r>
        <w:t>22</w:t>
      </w:r>
      <w:r>
        <w:fldChar w:fldCharType="end"/>
      </w:r>
      <w:r>
        <w:t>]</w:t>
      </w:r>
      <w:r>
        <w:rPr>
          <w:b w:val="0"/>
          <w:i w:val="0"/>
        </w:rPr>
        <w:t>. Column (5) reports the underlying net change itself, which falls by 0.439 percentage points of lagged employment. Hypothesis 4 is supported. The finding has an uncomfortable corollary for policy: a measure that reduces uncertainty after firms have entered the band has to overcome the band's width, not merely restore the previous level of confidence.</w:t>
      </w:r>
    </w:p>
    <w:p>
      <w:pPr>
        <w:pStyle w:val="MDPI41tablecaption"/>
        <w:keepNext/>
        <w:spacing w:after="60"/>
      </w:pPr>
      <w:r>
        <w:rPr>
          <w:b/>
          <w:sz w:val="18"/>
        </w:rPr>
        <w:t xml:space="preserve">Table 8. </w:t>
      </w:r>
      <w:r>
        <w:rPr>
          <w:b w:val="0"/>
          <w:i w:val="0"/>
          <w:sz w:val="18"/>
        </w:rPr>
        <w:t>The zone of inaction and its hysteresis.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465"/>
        <w:gridCol w:w="1465"/>
        <w:gridCol w:w="1465"/>
        <w:gridCol w:w="1465"/>
        <w:gridCol w:w="1465"/>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8"/>
              </w:rPr>
              <w:t>Variable</w:t>
            </w:r>
          </w:p>
        </w:tc>
        <w:tc>
          <w:tcPr>
            <w:tcW w:type="dxa" w:w="1465"/>
            <w:tcBorders>
              <w:bottom w:val="single" w:sz="8" w:space="0" w:color="auto"/>
            </w:tcBorders>
          </w:tcPr>
          <w:p>
            <w:pPr>
              <w:pStyle w:val="MDPI42tablebody"/>
              <w:keepNext/>
              <w:spacing w:line="240" w:lineRule="auto" w:before="30" w:after="30"/>
              <w:jc w:val="center"/>
            </w:pPr>
            <w:r>
              <w:rPr>
                <w:b/>
                <w:i w:val="0"/>
                <w:sz w:val="18"/>
              </w:rPr>
              <w:t>(1)</w:t>
            </w:r>
          </w:p>
        </w:tc>
        <w:tc>
          <w:tcPr>
            <w:tcW w:type="dxa" w:w="1465"/>
            <w:tcBorders>
              <w:bottom w:val="single" w:sz="8" w:space="0" w:color="auto"/>
            </w:tcBorders>
          </w:tcPr>
          <w:p>
            <w:pPr>
              <w:pStyle w:val="MDPI42tablebody"/>
              <w:keepNext/>
              <w:spacing w:line="240" w:lineRule="auto" w:before="30" w:after="30"/>
              <w:jc w:val="center"/>
            </w:pPr>
            <w:r>
              <w:rPr>
                <w:b/>
                <w:i w:val="0"/>
                <w:sz w:val="18"/>
              </w:rPr>
              <w:t>(2)</w:t>
            </w:r>
          </w:p>
        </w:tc>
        <w:tc>
          <w:tcPr>
            <w:tcW w:type="dxa" w:w="1465"/>
            <w:tcBorders>
              <w:bottom w:val="single" w:sz="8" w:space="0" w:color="auto"/>
            </w:tcBorders>
          </w:tcPr>
          <w:p>
            <w:pPr>
              <w:pStyle w:val="MDPI42tablebody"/>
              <w:keepNext/>
              <w:spacing w:line="240" w:lineRule="auto" w:before="30" w:after="30"/>
              <w:jc w:val="center"/>
            </w:pPr>
            <w:r>
              <w:rPr>
                <w:b/>
                <w:i w:val="0"/>
                <w:sz w:val="18"/>
              </w:rPr>
              <w:t>(3)</w:t>
            </w:r>
          </w:p>
        </w:tc>
        <w:tc>
          <w:tcPr>
            <w:tcW w:type="dxa" w:w="1465"/>
            <w:tcBorders>
              <w:bottom w:val="single" w:sz="8" w:space="0" w:color="auto"/>
            </w:tcBorders>
          </w:tcPr>
          <w:p>
            <w:pPr>
              <w:pStyle w:val="MDPI42tablebody"/>
              <w:keepNext/>
              <w:spacing w:line="240" w:lineRule="auto" w:before="30" w:after="30"/>
              <w:jc w:val="center"/>
            </w:pPr>
            <w:r>
              <w:rPr>
                <w:b/>
                <w:i w:val="0"/>
                <w:sz w:val="18"/>
              </w:rPr>
              <w:t>(4)</w:t>
            </w:r>
          </w:p>
        </w:tc>
        <w:tc>
          <w:tcPr>
            <w:tcW w:type="dxa" w:w="1465"/>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3139"/>
          </w:tcPr>
          <w:p>
            <w:pPr>
              <w:pStyle w:val="MDPI42tablebody"/>
              <w:keepNext/>
              <w:spacing w:line="240" w:lineRule="auto" w:before="30" w:after="30"/>
              <w:jc w:val="left"/>
            </w:pPr>
            <w:r>
              <w:rPr>
                <w:b w:val="0"/>
                <w:i/>
                <w:sz w:val="18"/>
              </w:rPr>
              <w:t>AIU</w:t>
            </w:r>
          </w:p>
        </w:tc>
        <w:tc>
          <w:tcPr>
            <w:tcW w:type="dxa" w:w="1465"/>
          </w:tcPr>
          <w:p>
            <w:pPr>
              <w:pStyle w:val="MDPI42tablebody"/>
              <w:keepNext/>
              <w:spacing w:line="240" w:lineRule="auto" w:before="30" w:after="30"/>
              <w:jc w:val="center"/>
            </w:pPr>
            <w:r>
              <w:rPr>
                <w:b w:val="0"/>
                <w:i w:val="0"/>
                <w:sz w:val="18"/>
              </w:rPr>
              <w:t>0.050***</w:t>
            </w:r>
          </w:p>
        </w:tc>
        <w:tc>
          <w:tcPr>
            <w:tcW w:type="dxa" w:w="1465"/>
          </w:tcPr>
          <w:p>
            <w:pPr>
              <w:pStyle w:val="MDPI42tablebody"/>
              <w:keepNext/>
              <w:spacing w:line="240" w:lineRule="auto" w:before="30" w:after="30"/>
              <w:jc w:val="center"/>
            </w:pPr>
            <w:r>
              <w:rPr>
                <w:b w:val="0"/>
                <w:i w:val="0"/>
                <w:sz w:val="18"/>
              </w:rPr>
              <w:t>0.050***</w:t>
            </w:r>
          </w:p>
        </w:tc>
        <w:tc>
          <w:tcPr>
            <w:tcW w:type="dxa" w:w="1465"/>
          </w:tcPr>
          <w:p>
            <w:pPr>
              <w:pStyle w:val="MDPI42tablebody"/>
              <w:keepNext/>
              <w:spacing w:line="240" w:lineRule="auto" w:before="30" w:after="30"/>
              <w:jc w:val="center"/>
            </w:pPr>
            <w:r>
              <w:rPr>
                <w:b w:val="0"/>
                <w:i w:val="0"/>
                <w:sz w:val="18"/>
              </w:rPr>
              <w:t>0.051***</w:t>
            </w:r>
          </w:p>
        </w:tc>
        <w:tc>
          <w:tcPr>
            <w:tcW w:type="dxa" w:w="1465"/>
          </w:tcPr>
          <w:p>
            <w:pPr>
              <w:pStyle w:val="MDPI42tablebody"/>
              <w:keepNext/>
              <w:spacing w:line="240" w:lineRule="auto" w:before="30" w:after="30"/>
              <w:jc w:val="center"/>
            </w:pPr>
            <w:r>
              <w:rPr>
                <w:b w:val="0"/>
                <w:i w:val="0"/>
                <w:sz w:val="18"/>
              </w:rPr>
              <w:t>−0.126***</w:t>
            </w:r>
          </w:p>
        </w:tc>
        <w:tc>
          <w:tcPr>
            <w:tcW w:type="dxa" w:w="1465"/>
          </w:tcPr>
          <w:p>
            <w:pPr>
              <w:pStyle w:val="MDPI42tablebody"/>
              <w:keepNext/>
              <w:spacing w:line="240" w:lineRule="auto" w:before="30" w:after="30"/>
              <w:jc w:val="center"/>
            </w:pPr>
            <w:r>
              <w:rPr>
                <w:b w:val="0"/>
                <w:i w:val="0"/>
                <w:sz w:val="18"/>
              </w:rPr>
              <w:t>−0.439***</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(0.014)</w:t>
            </w:r>
          </w:p>
        </w:tc>
        <w:tc>
          <w:tcPr>
            <w:tcW w:type="dxa" w:w="1465"/>
          </w:tcPr>
          <w:p>
            <w:pPr>
              <w:pStyle w:val="MDPI42tablebody"/>
              <w:keepNext/>
              <w:spacing w:line="240" w:lineRule="auto" w:before="30" w:after="30"/>
              <w:jc w:val="center"/>
            </w:pPr>
            <w:r>
              <w:rPr>
                <w:b w:val="0"/>
                <w:i w:val="0"/>
                <w:sz w:val="18"/>
              </w:rPr>
              <w:t>(0.011)</w:t>
            </w:r>
          </w:p>
        </w:tc>
      </w:tr>
      <w:tr>
        <w:trPr>
          <w:cantSplit/>
        </w:trPr>
        <w:tc>
          <w:tcPr>
            <w:tcW w:type="dxa" w:w="3139"/>
          </w:tcPr>
          <w:p>
            <w:pPr>
              <w:pStyle w:val="MDPI42tablebody"/>
              <w:keepNext/>
              <w:spacing w:line="240" w:lineRule="auto" w:before="30" w:after="30"/>
              <w:jc w:val="left"/>
            </w:pPr>
            <w:r>
              <w:rPr>
                <w:b w:val="0"/>
                <w:i/>
                <w:sz w:val="18"/>
              </w:rPr>
              <w:t>AIU × SpecTrain</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0.029***</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r>
              <w:rPr>
                <w:b w:val="0"/>
                <w:i/>
                <w:sz w:val="18"/>
              </w:rPr>
              <w:t>AIE</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−0.005*</w:t>
            </w:r>
          </w:p>
        </w:tc>
        <w:tc>
          <w:tcPr>
            <w:tcW w:type="dxa" w:w="1465"/>
          </w:tcPr>
          <w:p>
            <w:pPr>
              <w:pStyle w:val="MDPI42tablebody"/>
              <w:keepNext/>
              <w:spacing w:line="240" w:lineRule="auto" w:before="30" w:after="30"/>
              <w:jc w:val="center"/>
            </w:pPr>
            <w:r>
              <w:rPr>
                <w:b w:val="0"/>
                <w:i w:val="0"/>
                <w:sz w:val="18"/>
              </w:rPr>
              <w:t>−0.004</w:t>
            </w:r>
          </w:p>
        </w:tc>
        <w:tc>
          <w:tcPr>
            <w:tcW w:type="dxa" w:w="1465"/>
          </w:tcPr>
          <w:p>
            <w:pPr>
              <w:pStyle w:val="MDPI42tablebody"/>
              <w:keepNext/>
              <w:spacing w:line="240" w:lineRule="auto" w:before="30" w:after="30"/>
              <w:jc w:val="center"/>
            </w:pPr>
            <w:r>
              <w:rPr>
                <w:b w:val="0"/>
                <w:i w:val="0"/>
                <w:sz w:val="18"/>
              </w:rPr>
              <w:t>−0.001</w:t>
            </w:r>
          </w:p>
        </w:tc>
        <w:tc>
          <w:tcPr>
            <w:tcW w:type="dxa" w:w="1465"/>
          </w:tcPr>
          <w:p>
            <w:pPr>
              <w:pStyle w:val="MDPI42tablebody"/>
              <w:keepNext/>
              <w:spacing w:line="240" w:lineRule="auto" w:before="30" w:after="30"/>
              <w:jc w:val="center"/>
            </w:pPr>
            <w:r>
              <w:rPr>
                <w:b w:val="0"/>
                <w:i w:val="0"/>
                <w:sz w:val="18"/>
              </w:rPr>
              <w:t>0.060***</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(0.015)</w:t>
            </w:r>
          </w:p>
        </w:tc>
        <w:tc>
          <w:tcPr>
            <w:tcW w:type="dxa" w:w="1465"/>
          </w:tcPr>
          <w:p>
            <w:pPr>
              <w:pStyle w:val="MDPI42tablebody"/>
              <w:keepNext/>
              <w:spacing w:line="240" w:lineRule="auto" w:before="30" w:after="30"/>
              <w:jc w:val="center"/>
            </w:pPr>
            <w:r>
              <w:rPr>
                <w:b w:val="0"/>
                <w:i w:val="0"/>
                <w:sz w:val="18"/>
              </w:rPr>
              <w:t>(0.011)</w:t>
            </w:r>
          </w:p>
        </w:tc>
      </w:tr>
      <w:tr>
        <w:trPr>
          <w:cantSplit/>
        </w:trPr>
        <w:tc>
          <w:tcPr>
            <w:tcW w:type="dxa" w:w="3139"/>
          </w:tcPr>
          <w:p>
            <w:pPr>
              <w:pStyle w:val="MDPI42tablebody"/>
              <w:keepNext/>
              <w:spacing w:line="240" w:lineRule="auto" w:before="30" w:after="30"/>
              <w:jc w:val="left"/>
            </w:pPr>
            <w:r>
              <w:rPr>
                <w:b w:val="0"/>
                <w:i/>
                <w:sz w:val="18"/>
              </w:rPr>
              <w:t>EPU</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0.001</w:t>
            </w:r>
          </w:p>
        </w:tc>
        <w:tc>
          <w:tcPr>
            <w:tcW w:type="dxa" w:w="1465"/>
          </w:tcPr>
          <w:p>
            <w:pPr>
              <w:pStyle w:val="MDPI42tablebody"/>
              <w:keepNext/>
              <w:spacing w:line="240" w:lineRule="auto" w:before="30" w:after="30"/>
              <w:jc w:val="center"/>
            </w:pPr>
            <w:r>
              <w:rPr>
                <w:b w:val="0"/>
                <w:i w:val="0"/>
                <w:sz w:val="18"/>
              </w:rPr>
              <w:t>0.001</w:t>
            </w:r>
          </w:p>
        </w:tc>
        <w:tc>
          <w:tcPr>
            <w:tcW w:type="dxa" w:w="1465"/>
          </w:tcPr>
          <w:p>
            <w:pPr>
              <w:pStyle w:val="MDPI42tablebody"/>
              <w:keepNext/>
              <w:spacing w:line="240" w:lineRule="auto" w:before="30" w:after="30"/>
              <w:jc w:val="center"/>
            </w:pPr>
            <w:r>
              <w:rPr>
                <w:b w:val="0"/>
                <w:i w:val="0"/>
                <w:sz w:val="18"/>
              </w:rPr>
              <w:t>−0.015</w:t>
            </w:r>
          </w:p>
        </w:tc>
        <w:tc>
          <w:tcPr>
            <w:tcW w:type="dxa" w:w="1465"/>
          </w:tcPr>
          <w:p>
            <w:pPr>
              <w:pStyle w:val="MDPI42tablebody"/>
              <w:keepNext/>
              <w:spacing w:line="240" w:lineRule="auto" w:before="30" w:after="30"/>
              <w:jc w:val="center"/>
            </w:pPr>
            <w:r>
              <w:rPr>
                <w:b w:val="0"/>
                <w:i w:val="0"/>
                <w:sz w:val="18"/>
              </w:rPr>
              <w:t>−0.062***</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(0.003)</w:t>
            </w:r>
          </w:p>
        </w:tc>
        <w:tc>
          <w:tcPr>
            <w:tcW w:type="dxa" w:w="1465"/>
          </w:tcPr>
          <w:p>
            <w:pPr>
              <w:pStyle w:val="MDPI42tablebody"/>
              <w:keepNext/>
              <w:spacing w:line="240" w:lineRule="auto" w:before="30" w:after="30"/>
              <w:jc w:val="center"/>
            </w:pPr>
            <w:r>
              <w:rPr>
                <w:b w:val="0"/>
                <w:i w:val="0"/>
                <w:sz w:val="18"/>
              </w:rPr>
              <w:t>(0.016)</w:t>
            </w:r>
          </w:p>
        </w:tc>
        <w:tc>
          <w:tcPr>
            <w:tcW w:type="dxa" w:w="1465"/>
          </w:tcPr>
          <w:p>
            <w:pPr>
              <w:pStyle w:val="MDPI42tablebody"/>
              <w:keepNext/>
              <w:spacing w:line="240" w:lineRule="auto" w:before="30" w:after="30"/>
              <w:jc w:val="center"/>
            </w:pPr>
            <w:r>
              <w:rPr>
                <w:b w:val="0"/>
                <w:i w:val="0"/>
                <w:sz w:val="18"/>
              </w:rPr>
              <w:t>(0.012)</w:t>
            </w:r>
          </w:p>
        </w:tc>
      </w:tr>
      <w:tr>
        <w:trPr>
          <w:cantSplit/>
        </w:trPr>
        <w:tc>
          <w:tcPr>
            <w:tcW w:type="dxa" w:w="3139"/>
          </w:tcPr>
          <w:p>
            <w:pPr>
              <w:pStyle w:val="MDPI42tablebody"/>
              <w:keepNext/>
              <w:spacing w:line="240" w:lineRule="auto" w:before="30" w:after="30"/>
              <w:jc w:val="left"/>
            </w:pPr>
            <w:r>
              <w:rPr>
                <w:b w:val="0"/>
                <w:i/>
                <w:sz w:val="18"/>
              </w:rPr>
              <w:t>Controls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Firm FE</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Year FE</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Observations</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29,660</w:t>
            </w:r>
          </w:p>
        </w:tc>
        <w:tc>
          <w:tcPr>
            <w:tcW w:type="dxa" w:w="1465"/>
          </w:tcPr>
          <w:p>
            <w:pPr>
              <w:pStyle w:val="MDPI42tablebody"/>
              <w:keepNext/>
              <w:spacing w:line="240" w:lineRule="auto" w:before="30" w:after="30"/>
              <w:jc w:val="center"/>
            </w:pPr>
            <w:r>
              <w:rPr>
                <w:b w:val="0"/>
                <w:i w:val="0"/>
                <w:sz w:val="18"/>
              </w:rPr>
              <w:t>4,707</w:t>
            </w:r>
          </w:p>
        </w:tc>
        <w:tc>
          <w:tcPr>
            <w:tcW w:type="dxa" w:w="1465"/>
          </w:tcPr>
          <w:p>
            <w:pPr>
              <w:pStyle w:val="MDPI42tablebody"/>
              <w:keepNext/>
              <w:spacing w:line="240" w:lineRule="auto" w:before="30" w:after="30"/>
              <w:jc w:val="center"/>
            </w:pPr>
            <w:r>
              <w:rPr>
                <w:b w:val="0"/>
                <w:i w:val="0"/>
                <w:sz w:val="18"/>
              </w:rPr>
              <w:t>29,660</w:t>
            </w:r>
          </w:p>
        </w:tc>
      </w:tr>
      <w:tr>
        <w:trPr>
          <w:cantSplit/>
        </w:trPr>
        <w:tc>
          <w:tcPr>
            <w:tcW w:type="dxa" w:w="3139"/>
          </w:tcPr>
          <w:p>
            <w:pPr>
              <w:pStyle w:val="MDPI42tablebody"/>
              <w:spacing w:line="240" w:lineRule="auto" w:before="30" w:after="30"/>
              <w:jc w:val="left"/>
            </w:pPr>
            <w:r>
              <w:rPr>
                <w:b w:val="0"/>
                <w:i/>
                <w:sz w:val="18"/>
              </w:rPr>
              <w:t>Within R²</w:t>
            </w:r>
          </w:p>
        </w:tc>
        <w:tc>
          <w:tcPr>
            <w:tcW w:type="dxa" w:w="1465"/>
          </w:tcPr>
          <w:p>
            <w:pPr>
              <w:pStyle w:val="MDPI42tablebody"/>
              <w:spacing w:line="240" w:lineRule="auto" w:before="30" w:after="30"/>
              <w:jc w:val="center"/>
            </w:pPr>
            <w:r>
              <w:rPr>
                <w:b w:val="0"/>
                <w:i w:val="0"/>
                <w:sz w:val="18"/>
              </w:rPr>
              <w:t>0.016</w:t>
            </w:r>
          </w:p>
        </w:tc>
        <w:tc>
          <w:tcPr>
            <w:tcW w:type="dxa" w:w="1465"/>
          </w:tcPr>
          <w:p>
            <w:pPr>
              <w:pStyle w:val="MDPI42tablebody"/>
              <w:spacing w:line="240" w:lineRule="auto" w:before="30" w:after="30"/>
              <w:jc w:val="center"/>
            </w:pPr>
            <w:r>
              <w:rPr>
                <w:b w:val="0"/>
                <w:i w:val="0"/>
                <w:sz w:val="18"/>
              </w:rPr>
              <w:t>0.016</w:t>
            </w:r>
          </w:p>
        </w:tc>
        <w:tc>
          <w:tcPr>
            <w:tcW w:type="dxa" w:w="1465"/>
          </w:tcPr>
          <w:p>
            <w:pPr>
              <w:pStyle w:val="MDPI42tablebody"/>
              <w:spacing w:line="240" w:lineRule="auto" w:before="30" w:after="30"/>
              <w:jc w:val="center"/>
            </w:pPr>
            <w:r>
              <w:rPr>
                <w:b w:val="0"/>
                <w:i w:val="0"/>
                <w:sz w:val="18"/>
              </w:rPr>
              <w:t>0.022</w:t>
            </w:r>
          </w:p>
        </w:tc>
        <w:tc>
          <w:tcPr>
            <w:tcW w:type="dxa" w:w="1465"/>
          </w:tcPr>
          <w:p>
            <w:pPr>
              <w:pStyle w:val="MDPI42tablebody"/>
              <w:spacing w:line="240" w:lineRule="auto" w:before="30" w:after="30"/>
              <w:jc w:val="center"/>
            </w:pPr>
            <w:r>
              <w:rPr>
                <w:b w:val="0"/>
                <w:i w:val="0"/>
                <w:sz w:val="18"/>
              </w:rPr>
              <w:t>0.085</w:t>
            </w:r>
          </w:p>
        </w:tc>
        <w:tc>
          <w:tcPr>
            <w:tcW w:type="dxa" w:w="1465"/>
          </w:tcPr>
          <w:p>
            <w:pPr>
              <w:pStyle w:val="MDPI42tablebody"/>
              <w:spacing w:line="240" w:lineRule="auto" w:before="30" w:after="30"/>
              <w:jc w:val="center"/>
            </w:pPr>
            <w:r>
              <w:rPr>
                <w:b w:val="0"/>
                <w:i w:val="0"/>
                <w:sz w:val="18"/>
              </w:rPr>
              <w:t>0.092</w:t>
            </w:r>
          </w:p>
        </w:tc>
      </w:tr>
    </w:tbl>
    <w:p>
      <w:pPr>
        <w:pStyle w:val="MDPI43tablefooter"/>
        <w:spacing w:line="240" w:lineRule="auto" w:before="40" w:after="200"/>
        <w:ind w:left="2608" w:firstLine="0"/>
      </w:pPr>
      <w:r>
        <w:rPr>
          <w:sz w:val="16"/>
        </w:rPr>
        <w:t xml:space="preserve">Note: </w:t>
      </w:r>
      <w:r>
        <w:rPr>
          <w:b w:val="0"/>
          <w:i w:val="0"/>
          <w:sz w:val="16"/>
        </w:rPr>
        <w:t>The dependent variable is an indicator for no adjustment to the young workforce in columns (1) to (3), an indicator for a positive net change in column (4), estimated on the subsample of firms that were inactive in the previous year, and the net change itself in column (5). Columns (1) to (4) are linear probability models with firm and year effects absorbed. Standard errors clustered at the firm level are in parentheses. ***, ** and * denote significance at the 1%, 5% and 10% levels.</w:t>
      </w:r>
    </w:p>
    <w:p>
      <w:pPr>
        <w:pStyle w:val="MDPI22heading2"/>
      </w:pPr>
      <w:r>
        <w:t>4.8. Endogeneity</w:t>
      </w:r>
    </w:p>
    <w:p>
      <w:pPr>
        <w:pStyle w:val="MDPI32textnoindent"/>
      </w:pPr>
      <w:r>
        <w:rPr>
          <w:b w:val="0"/>
          <w:i w:val="0"/>
        </w:rPr>
        <w:t xml:space="preserve">The estimate so far could be contaminated by a firm-year shock that raises both the willingness to hire and the amount managers write about the technology — a firm that is expanding into a new product line will do both. Such a shock biases the coefficient towards zero, so the least-squares estimate is a lower bound in absolute value. Table 9 reports the instrumental-variables estimates. Panel A gives the first stage. The shift-share instrument built from pre-sample occupational exposure enters with a coefficient of 0.444, the frontier-release instrument with 0.082 and the provincial peer instrument with 0.421, all significant at the 1% level, and the Kleibergen–Paap rank Wald statistic is 5353.0, far above any conventional critical value for weak instruments </w:t>
      </w:r>
      <w:r>
        <w:t>[</w:t>
      </w:r>
      <w:r>
        <w:fldChar w:fldCharType="begin"/>
      </w:r>
      <w:r>
        <w:instrText xml:space="preserve"> REF _Ref_66 \h </w:instrText>
      </w:r>
      <w:r>
        <w:fldChar w:fldCharType="separate"/>
      </w:r>
      <w:r>
        <w:t>66</w:t>
      </w:r>
      <w:r>
        <w:fldChar w:fldCharType="end"/>
      </w:r>
      <w:r>
        <w:t>]</w:t>
      </w:r>
      <w:r>
        <w:rPr>
          <w:b w:val="0"/>
          <w:i w:val="0"/>
        </w:rPr>
        <w:t>.</w:t>
      </w:r>
    </w:p>
    <w:p>
      <w:pPr>
        <w:pStyle w:val="MDPI31text"/>
      </w:pPr>
      <w:r>
        <w:rPr>
          <w:b w:val="0"/>
          <w:i w:val="0"/>
        </w:rPr>
        <w:t>Panel B gives the second stage. Column (1) repeats the least-squares estimate for comparison, −1.230. Column (2) is two-stage least squares: −1.302 (0.037), larger in magnitude than the least-squares estimate by 0.072, in the direction the attenuation argument predicts. The Hansen test of the overidentifying restrictions does not reject (p = 0.091), so the three instruments agree on the parameter they are estimating, and the Wu–Hausman test rejects exogeneity (p = 0.0007), which is why the two estimates differ. Column (3) reports the two-step generalised method of moments estimator, −1.303, essentially identical. Columns (4) and (5) instrument the same regressor in the contingent-share and experienced-vacancy equations: the contingent turn survives instrumentation (2.211) and the experienced-vacancy coefficient remains an order of magnitude smaller (−0.104). We treat the instrumented estimates as the preferred ones and the least-squares estimates as conservative.</w:t>
      </w:r>
    </w:p>
    <w:p>
      <w:pPr>
        <w:pStyle w:val="MDPI41tablecaption"/>
        <w:keepNext/>
        <w:spacing w:after="60"/>
      </w:pPr>
      <w:r>
        <w:rPr>
          <w:b/>
          <w:sz w:val="18"/>
        </w:rPr>
        <w:t xml:space="preserve">Table 9. </w:t>
      </w:r>
      <w:r>
        <w:rPr>
          <w:b w:val="0"/>
          <w:i w:val="0"/>
          <w:sz w:val="18"/>
        </w:rPr>
        <w:t>Endogeneity: instrumental-variables estimates.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465"/>
        <w:gridCol w:w="1465"/>
        <w:gridCol w:w="1465"/>
        <w:gridCol w:w="1465"/>
        <w:gridCol w:w="1465"/>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8"/>
              </w:rPr>
              <w:t>Variable</w:t>
            </w:r>
          </w:p>
        </w:tc>
        <w:tc>
          <w:tcPr>
            <w:tcW w:type="dxa" w:w="1465"/>
            <w:tcBorders>
              <w:bottom w:val="single" w:sz="8" w:space="0" w:color="auto"/>
            </w:tcBorders>
          </w:tcPr>
          <w:p>
            <w:pPr>
              <w:pStyle w:val="MDPI42tablebody"/>
              <w:keepNext/>
              <w:spacing w:line="240" w:lineRule="auto" w:before="30" w:after="30"/>
              <w:jc w:val="center"/>
            </w:pPr>
            <w:r>
              <w:rPr>
                <w:b/>
                <w:i w:val="0"/>
                <w:sz w:val="18"/>
              </w:rPr>
              <w:t>(1)</w:t>
            </w:r>
          </w:p>
        </w:tc>
        <w:tc>
          <w:tcPr>
            <w:tcW w:type="dxa" w:w="1465"/>
            <w:tcBorders>
              <w:bottom w:val="single" w:sz="8" w:space="0" w:color="auto"/>
            </w:tcBorders>
          </w:tcPr>
          <w:p>
            <w:pPr>
              <w:pStyle w:val="MDPI42tablebody"/>
              <w:keepNext/>
              <w:spacing w:line="240" w:lineRule="auto" w:before="30" w:after="30"/>
              <w:jc w:val="center"/>
            </w:pPr>
            <w:r>
              <w:rPr>
                <w:b/>
                <w:i w:val="0"/>
                <w:sz w:val="18"/>
              </w:rPr>
              <w:t>(2)</w:t>
            </w:r>
          </w:p>
        </w:tc>
        <w:tc>
          <w:tcPr>
            <w:tcW w:type="dxa" w:w="1465"/>
            <w:tcBorders>
              <w:bottom w:val="single" w:sz="8" w:space="0" w:color="auto"/>
            </w:tcBorders>
          </w:tcPr>
          <w:p>
            <w:pPr>
              <w:pStyle w:val="MDPI42tablebody"/>
              <w:keepNext/>
              <w:spacing w:line="240" w:lineRule="auto" w:before="30" w:after="30"/>
              <w:jc w:val="center"/>
            </w:pPr>
            <w:r>
              <w:rPr>
                <w:b/>
                <w:i w:val="0"/>
                <w:sz w:val="18"/>
              </w:rPr>
              <w:t>(3)</w:t>
            </w:r>
          </w:p>
        </w:tc>
        <w:tc>
          <w:tcPr>
            <w:tcW w:type="dxa" w:w="1465"/>
            <w:tcBorders>
              <w:bottom w:val="single" w:sz="8" w:space="0" w:color="auto"/>
            </w:tcBorders>
          </w:tcPr>
          <w:p>
            <w:pPr>
              <w:pStyle w:val="MDPI42tablebody"/>
              <w:keepNext/>
              <w:spacing w:line="240" w:lineRule="auto" w:before="30" w:after="30"/>
              <w:jc w:val="center"/>
            </w:pPr>
            <w:r>
              <w:rPr>
                <w:b/>
                <w:i w:val="0"/>
                <w:sz w:val="18"/>
              </w:rPr>
              <w:t>(4)</w:t>
            </w:r>
          </w:p>
        </w:tc>
        <w:tc>
          <w:tcPr>
            <w:tcW w:type="dxa" w:w="1465"/>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3139"/>
          </w:tcPr>
          <w:p>
            <w:pPr>
              <w:pStyle w:val="MDPI42tablebody"/>
              <w:keepNext/>
              <w:spacing w:line="240" w:lineRule="auto" w:before="30" w:after="30"/>
              <w:jc w:val="left"/>
            </w:pPr>
            <w:r>
              <w:rPr>
                <w:b w:val="0"/>
                <w:i/>
                <w:sz w:val="18"/>
              </w:rPr>
              <w:t>Panel A: first stage, dependent variable AIU</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r>
              <w:rPr>
                <w:b w:val="0"/>
                <w:i/>
                <w:sz w:val="18"/>
              </w:rPr>
              <w:t>IV</w:t>
            </w:r>
            <w:r>
              <w:rPr>
                <w:b w:val="0"/>
                <w:i/>
                <w:sz w:val="18"/>
                <w:vertAlign w:val="superscript"/>
              </w:rPr>
              <w:t>Shift</w:t>
            </w:r>
          </w:p>
        </w:tc>
        <w:tc>
          <w:tcPr>
            <w:tcW w:type="dxa" w:w="1465"/>
          </w:tcPr>
          <w:p>
            <w:pPr>
              <w:pStyle w:val="MDPI42tablebody"/>
              <w:keepNext/>
              <w:spacing w:line="240" w:lineRule="auto" w:before="30" w:after="30"/>
              <w:jc w:val="center"/>
            </w:pPr>
            <w:r>
              <w:rPr>
                <w:b w:val="0"/>
                <w:i w:val="0"/>
                <w:sz w:val="18"/>
              </w:rPr>
              <w:t>0.444***</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(0.032)</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r>
              <w:rPr>
                <w:b w:val="0"/>
                <w:i/>
                <w:sz w:val="18"/>
              </w:rPr>
              <w:t>IV</w:t>
            </w:r>
            <w:r>
              <w:rPr>
                <w:b w:val="0"/>
                <w:i/>
                <w:sz w:val="18"/>
                <w:vertAlign w:val="superscript"/>
              </w:rPr>
              <w:t>Front</w:t>
            </w:r>
          </w:p>
        </w:tc>
        <w:tc>
          <w:tcPr>
            <w:tcW w:type="dxa" w:w="1465"/>
          </w:tcPr>
          <w:p>
            <w:pPr>
              <w:pStyle w:val="MDPI42tablebody"/>
              <w:keepNext/>
              <w:spacing w:line="240" w:lineRule="auto" w:before="30" w:after="30"/>
              <w:jc w:val="center"/>
            </w:pPr>
            <w:r>
              <w:rPr>
                <w:b w:val="0"/>
                <w:i w:val="0"/>
                <w:sz w:val="18"/>
              </w:rPr>
              <w:t>0.082***</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(0.031)</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r>
              <w:rPr>
                <w:b w:val="0"/>
                <w:i/>
                <w:sz w:val="18"/>
              </w:rPr>
              <w:t>IV</w:t>
            </w:r>
            <w:r>
              <w:rPr>
                <w:b w:val="0"/>
                <w:i/>
                <w:sz w:val="18"/>
                <w:vertAlign w:val="superscript"/>
              </w:rPr>
              <w:t>Peer</w:t>
            </w:r>
          </w:p>
        </w:tc>
        <w:tc>
          <w:tcPr>
            <w:tcW w:type="dxa" w:w="1465"/>
          </w:tcPr>
          <w:p>
            <w:pPr>
              <w:pStyle w:val="MDPI42tablebody"/>
              <w:keepNext/>
              <w:spacing w:line="240" w:lineRule="auto" w:before="30" w:after="30"/>
              <w:jc w:val="center"/>
            </w:pPr>
            <w:r>
              <w:rPr>
                <w:b w:val="0"/>
                <w:i w:val="0"/>
                <w:sz w:val="18"/>
              </w:rPr>
              <w:t>0.421***</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(0.004)</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r>
              <w:rPr>
                <w:b w:val="0"/>
                <w:i/>
                <w:sz w:val="18"/>
              </w:rPr>
              <w:t>Kleibergen–Paap rk Wald F</w:t>
            </w:r>
          </w:p>
        </w:tc>
        <w:tc>
          <w:tcPr>
            <w:tcW w:type="dxa" w:w="1465"/>
          </w:tcPr>
          <w:p>
            <w:pPr>
              <w:pStyle w:val="MDPI42tablebody"/>
              <w:keepNext/>
              <w:spacing w:line="240" w:lineRule="auto" w:before="30" w:after="30"/>
              <w:jc w:val="center"/>
            </w:pPr>
            <w:r>
              <w:rPr>
                <w:b w:val="0"/>
                <w:i w:val="0"/>
                <w:sz w:val="18"/>
              </w:rPr>
              <w:t>5353.0</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r>
              <w:rPr>
                <w:b w:val="0"/>
                <w:i/>
                <w:sz w:val="18"/>
              </w:rPr>
              <w:t>Panel B: second stage</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p>
        </w:tc>
        <w:tc>
          <w:tcPr>
            <w:tcW w:type="dxa" w:w="1744"/>
          </w:tcPr>
          <w:p>
            <w:pPr>
              <w:keepNext/>
            </w:pPr>
          </w:p>
        </w:tc>
      </w:tr>
      <w:tr>
        <w:trPr>
          <w:cantSplit/>
        </w:trPr>
        <w:tc>
          <w:tcPr>
            <w:tcW w:type="dxa" w:w="3139"/>
          </w:tcPr>
          <w:p>
            <w:pPr>
              <w:pStyle w:val="MDPI42tablebody"/>
              <w:keepNext/>
              <w:spacing w:line="240" w:lineRule="auto" w:before="30" w:after="30"/>
              <w:jc w:val="left"/>
            </w:pPr>
            <w:r>
              <w:rPr>
                <w:b w:val="0"/>
                <w:i/>
                <w:sz w:val="18"/>
              </w:rPr>
              <w:t>AIU</w:t>
            </w:r>
          </w:p>
        </w:tc>
        <w:tc>
          <w:tcPr>
            <w:tcW w:type="dxa" w:w="1465"/>
          </w:tcPr>
          <w:p>
            <w:pPr>
              <w:pStyle w:val="MDPI42tablebody"/>
              <w:keepNext/>
              <w:spacing w:line="240" w:lineRule="auto" w:before="30" w:after="30"/>
              <w:jc w:val="center"/>
            </w:pPr>
            <w:r>
              <w:rPr>
                <w:b w:val="0"/>
                <w:i w:val="0"/>
                <w:sz w:val="18"/>
              </w:rPr>
              <w:t>−1.230***</w:t>
            </w:r>
          </w:p>
        </w:tc>
        <w:tc>
          <w:tcPr>
            <w:tcW w:type="dxa" w:w="1465"/>
          </w:tcPr>
          <w:p>
            <w:pPr>
              <w:pStyle w:val="MDPI42tablebody"/>
              <w:keepNext/>
              <w:spacing w:line="240" w:lineRule="auto" w:before="30" w:after="30"/>
              <w:jc w:val="center"/>
            </w:pPr>
            <w:r>
              <w:rPr>
                <w:b w:val="0"/>
                <w:i w:val="0"/>
                <w:sz w:val="18"/>
              </w:rPr>
              <w:t>−1.302***</w:t>
            </w:r>
          </w:p>
        </w:tc>
        <w:tc>
          <w:tcPr>
            <w:tcW w:type="dxa" w:w="1465"/>
          </w:tcPr>
          <w:p>
            <w:pPr>
              <w:pStyle w:val="MDPI42tablebody"/>
              <w:keepNext/>
              <w:spacing w:line="240" w:lineRule="auto" w:before="30" w:after="30"/>
              <w:jc w:val="center"/>
            </w:pPr>
            <w:r>
              <w:rPr>
                <w:b w:val="0"/>
                <w:i w:val="0"/>
                <w:sz w:val="18"/>
              </w:rPr>
              <w:t>−1.303***</w:t>
            </w:r>
          </w:p>
        </w:tc>
        <w:tc>
          <w:tcPr>
            <w:tcW w:type="dxa" w:w="1465"/>
          </w:tcPr>
          <w:p>
            <w:pPr>
              <w:pStyle w:val="MDPI42tablebody"/>
              <w:keepNext/>
              <w:spacing w:line="240" w:lineRule="auto" w:before="30" w:after="30"/>
              <w:jc w:val="center"/>
            </w:pPr>
            <w:r>
              <w:rPr>
                <w:b w:val="0"/>
                <w:i w:val="0"/>
                <w:sz w:val="18"/>
              </w:rPr>
              <w:t>2.211***</w:t>
            </w:r>
          </w:p>
        </w:tc>
        <w:tc>
          <w:tcPr>
            <w:tcW w:type="dxa" w:w="1465"/>
          </w:tcPr>
          <w:p>
            <w:pPr>
              <w:pStyle w:val="MDPI42tablebody"/>
              <w:keepNext/>
              <w:spacing w:line="240" w:lineRule="auto" w:before="30" w:after="30"/>
              <w:jc w:val="center"/>
            </w:pPr>
            <w:r>
              <w:rPr>
                <w:b w:val="0"/>
                <w:i w:val="0"/>
                <w:sz w:val="18"/>
              </w:rPr>
              <w:t>−0.104***</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(0.026)</w:t>
            </w:r>
          </w:p>
        </w:tc>
        <w:tc>
          <w:tcPr>
            <w:tcW w:type="dxa" w:w="1465"/>
          </w:tcPr>
          <w:p>
            <w:pPr>
              <w:pStyle w:val="MDPI42tablebody"/>
              <w:keepNext/>
              <w:spacing w:line="240" w:lineRule="auto" w:before="30" w:after="30"/>
              <w:jc w:val="center"/>
            </w:pPr>
            <w:r>
              <w:rPr>
                <w:b w:val="0"/>
                <w:i w:val="0"/>
                <w:sz w:val="18"/>
              </w:rPr>
              <w:t>(0.037)</w:t>
            </w:r>
          </w:p>
        </w:tc>
        <w:tc>
          <w:tcPr>
            <w:tcW w:type="dxa" w:w="1465"/>
          </w:tcPr>
          <w:p>
            <w:pPr>
              <w:pStyle w:val="MDPI42tablebody"/>
              <w:keepNext/>
              <w:spacing w:line="240" w:lineRule="auto" w:before="30" w:after="30"/>
              <w:jc w:val="center"/>
            </w:pPr>
            <w:r>
              <w:rPr>
                <w:b w:val="0"/>
                <w:i w:val="0"/>
                <w:sz w:val="18"/>
              </w:rPr>
              <w:t>(0.037)</w:t>
            </w:r>
          </w:p>
        </w:tc>
        <w:tc>
          <w:tcPr>
            <w:tcW w:type="dxa" w:w="1465"/>
          </w:tcPr>
          <w:p>
            <w:pPr>
              <w:pStyle w:val="MDPI42tablebody"/>
              <w:keepNext/>
              <w:spacing w:line="240" w:lineRule="auto" w:before="30" w:after="30"/>
              <w:jc w:val="center"/>
            </w:pPr>
            <w:r>
              <w:rPr>
                <w:b w:val="0"/>
                <w:i w:val="0"/>
                <w:sz w:val="18"/>
              </w:rPr>
              <w:t>(0.075)</w:t>
            </w:r>
          </w:p>
        </w:tc>
        <w:tc>
          <w:tcPr>
            <w:tcW w:type="dxa" w:w="1465"/>
          </w:tcPr>
          <w:p>
            <w:pPr>
              <w:pStyle w:val="MDPI42tablebody"/>
              <w:keepNext/>
              <w:spacing w:line="240" w:lineRule="auto" w:before="30" w:after="30"/>
              <w:jc w:val="center"/>
            </w:pPr>
            <w:r>
              <w:rPr>
                <w:b w:val="0"/>
                <w:i w:val="0"/>
                <w:sz w:val="18"/>
              </w:rPr>
              <w:t>(0.025)</w:t>
            </w:r>
          </w:p>
        </w:tc>
      </w:tr>
      <w:tr>
        <w:trPr>
          <w:cantSplit/>
        </w:trPr>
        <w:tc>
          <w:tcPr>
            <w:tcW w:type="dxa" w:w="3139"/>
          </w:tcPr>
          <w:p>
            <w:pPr>
              <w:pStyle w:val="MDPI42tablebody"/>
              <w:keepNext/>
              <w:spacing w:line="240" w:lineRule="auto" w:before="30" w:after="30"/>
              <w:jc w:val="left"/>
            </w:pPr>
            <w:r>
              <w:rPr>
                <w:b w:val="0"/>
                <w:i/>
                <w:sz w:val="18"/>
              </w:rPr>
              <w:t>AIE</w:t>
            </w:r>
          </w:p>
        </w:tc>
        <w:tc>
          <w:tcPr>
            <w:tcW w:type="dxa" w:w="1465"/>
          </w:tcPr>
          <w:p>
            <w:pPr>
              <w:pStyle w:val="MDPI42tablebody"/>
              <w:keepNext/>
              <w:spacing w:line="240" w:lineRule="auto" w:before="30" w:after="30"/>
              <w:jc w:val="center"/>
            </w:pPr>
            <w:r>
              <w:rPr>
                <w:b w:val="0"/>
                <w:i w:val="0"/>
                <w:sz w:val="18"/>
              </w:rPr>
              <w:t>0.300***</w:t>
            </w:r>
          </w:p>
        </w:tc>
        <w:tc>
          <w:tcPr>
            <w:tcW w:type="dxa" w:w="1465"/>
          </w:tcPr>
          <w:p>
            <w:pPr>
              <w:pStyle w:val="MDPI42tablebody"/>
              <w:keepNext/>
              <w:spacing w:line="240" w:lineRule="auto" w:before="30" w:after="30"/>
              <w:jc w:val="center"/>
            </w:pPr>
            <w:r>
              <w:rPr>
                <w:b w:val="0"/>
                <w:i w:val="0"/>
                <w:sz w:val="18"/>
              </w:rPr>
              <w:t>0.314***</w:t>
            </w:r>
          </w:p>
        </w:tc>
        <w:tc>
          <w:tcPr>
            <w:tcW w:type="dxa" w:w="1465"/>
          </w:tcPr>
          <w:p>
            <w:pPr>
              <w:pStyle w:val="MDPI42tablebody"/>
              <w:keepNext/>
              <w:spacing w:line="240" w:lineRule="auto" w:before="30" w:after="30"/>
              <w:jc w:val="center"/>
            </w:pPr>
            <w:r>
              <w:rPr>
                <w:b w:val="0"/>
                <w:i w:val="0"/>
                <w:sz w:val="18"/>
              </w:rPr>
              <w:t>0.315***</w:t>
            </w:r>
          </w:p>
        </w:tc>
        <w:tc>
          <w:tcPr>
            <w:tcW w:type="dxa" w:w="1465"/>
          </w:tcPr>
          <w:p>
            <w:pPr>
              <w:pStyle w:val="MDPI42tablebody"/>
              <w:keepNext/>
              <w:spacing w:line="240" w:lineRule="auto" w:before="30" w:after="30"/>
              <w:jc w:val="center"/>
            </w:pPr>
            <w:r>
              <w:rPr>
                <w:b w:val="0"/>
                <w:i w:val="0"/>
                <w:sz w:val="18"/>
              </w:rPr>
              <w:t>0.359***</w:t>
            </w:r>
          </w:p>
        </w:tc>
        <w:tc>
          <w:tcPr>
            <w:tcW w:type="dxa" w:w="1465"/>
          </w:tcPr>
          <w:p>
            <w:pPr>
              <w:pStyle w:val="MDPI42tablebody"/>
              <w:keepNext/>
              <w:spacing w:line="240" w:lineRule="auto" w:before="30" w:after="30"/>
              <w:jc w:val="center"/>
            </w:pPr>
            <w:r>
              <w:rPr>
                <w:b w:val="0"/>
                <w:i w:val="0"/>
                <w:sz w:val="18"/>
              </w:rPr>
              <w:t>0.278***</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(0.020)</w:t>
            </w:r>
          </w:p>
        </w:tc>
        <w:tc>
          <w:tcPr>
            <w:tcW w:type="dxa" w:w="1465"/>
          </w:tcPr>
          <w:p>
            <w:pPr>
              <w:pStyle w:val="MDPI42tablebody"/>
              <w:keepNext/>
              <w:spacing w:line="240" w:lineRule="auto" w:before="30" w:after="30"/>
              <w:jc w:val="center"/>
            </w:pPr>
            <w:r>
              <w:rPr>
                <w:b w:val="0"/>
                <w:i w:val="0"/>
                <w:sz w:val="18"/>
              </w:rPr>
              <w:t>(0.020)</w:t>
            </w:r>
          </w:p>
        </w:tc>
        <w:tc>
          <w:tcPr>
            <w:tcW w:type="dxa" w:w="1465"/>
          </w:tcPr>
          <w:p>
            <w:pPr>
              <w:pStyle w:val="MDPI42tablebody"/>
              <w:keepNext/>
              <w:spacing w:line="240" w:lineRule="auto" w:before="30" w:after="30"/>
              <w:jc w:val="center"/>
            </w:pPr>
            <w:r>
              <w:rPr>
                <w:b w:val="0"/>
                <w:i w:val="0"/>
                <w:sz w:val="18"/>
              </w:rPr>
              <w:t>(0.020)</w:t>
            </w:r>
          </w:p>
        </w:tc>
        <w:tc>
          <w:tcPr>
            <w:tcW w:type="dxa" w:w="1465"/>
          </w:tcPr>
          <w:p>
            <w:pPr>
              <w:pStyle w:val="MDPI42tablebody"/>
              <w:keepNext/>
              <w:spacing w:line="240" w:lineRule="auto" w:before="30" w:after="30"/>
              <w:jc w:val="center"/>
            </w:pPr>
            <w:r>
              <w:rPr>
                <w:b w:val="0"/>
                <w:i w:val="0"/>
                <w:sz w:val="18"/>
              </w:rPr>
              <w:t>(0.047)</w:t>
            </w:r>
          </w:p>
        </w:tc>
        <w:tc>
          <w:tcPr>
            <w:tcW w:type="dxa" w:w="1465"/>
          </w:tcPr>
          <w:p>
            <w:pPr>
              <w:pStyle w:val="MDPI42tablebody"/>
              <w:keepNext/>
              <w:spacing w:line="240" w:lineRule="auto" w:before="30" w:after="30"/>
              <w:jc w:val="center"/>
            </w:pPr>
            <w:r>
              <w:rPr>
                <w:b w:val="0"/>
                <w:i w:val="0"/>
                <w:sz w:val="18"/>
              </w:rPr>
              <w:t>(0.018)</w:t>
            </w:r>
          </w:p>
        </w:tc>
      </w:tr>
      <w:tr>
        <w:trPr>
          <w:cantSplit/>
        </w:trPr>
        <w:tc>
          <w:tcPr>
            <w:tcW w:type="dxa" w:w="3139"/>
          </w:tcPr>
          <w:p>
            <w:pPr>
              <w:pStyle w:val="MDPI42tablebody"/>
              <w:keepNext/>
              <w:spacing w:line="240" w:lineRule="auto" w:before="30" w:after="30"/>
              <w:jc w:val="left"/>
            </w:pPr>
            <w:r>
              <w:rPr>
                <w:b w:val="0"/>
                <w:i/>
                <w:sz w:val="18"/>
              </w:rPr>
              <w:t>EPU</w:t>
            </w:r>
          </w:p>
        </w:tc>
        <w:tc>
          <w:tcPr>
            <w:tcW w:type="dxa" w:w="1465"/>
          </w:tcPr>
          <w:p>
            <w:pPr>
              <w:pStyle w:val="MDPI42tablebody"/>
              <w:keepNext/>
              <w:spacing w:line="240" w:lineRule="auto" w:before="30" w:after="30"/>
              <w:jc w:val="center"/>
            </w:pPr>
            <w:r>
              <w:rPr>
                <w:b w:val="0"/>
                <w:i w:val="0"/>
                <w:sz w:val="18"/>
              </w:rPr>
              <w:t>−0.184***</w:t>
            </w:r>
          </w:p>
        </w:tc>
        <w:tc>
          <w:tcPr>
            <w:tcW w:type="dxa" w:w="1465"/>
          </w:tcPr>
          <w:p>
            <w:pPr>
              <w:pStyle w:val="MDPI42tablebody"/>
              <w:keepNext/>
              <w:spacing w:line="240" w:lineRule="auto" w:before="30" w:after="30"/>
              <w:jc w:val="center"/>
            </w:pPr>
            <w:r>
              <w:rPr>
                <w:b w:val="0"/>
                <w:i w:val="0"/>
                <w:sz w:val="18"/>
              </w:rPr>
              <w:t>−0.175***</w:t>
            </w:r>
          </w:p>
        </w:tc>
        <w:tc>
          <w:tcPr>
            <w:tcW w:type="dxa" w:w="1465"/>
          </w:tcPr>
          <w:p>
            <w:pPr>
              <w:pStyle w:val="MDPI42tablebody"/>
              <w:keepNext/>
              <w:spacing w:line="240" w:lineRule="auto" w:before="30" w:after="30"/>
              <w:jc w:val="center"/>
            </w:pPr>
            <w:r>
              <w:rPr>
                <w:b w:val="0"/>
                <w:i w:val="0"/>
                <w:sz w:val="18"/>
              </w:rPr>
              <w:t>−0.174***</w:t>
            </w:r>
          </w:p>
        </w:tc>
        <w:tc>
          <w:tcPr>
            <w:tcW w:type="dxa" w:w="1465"/>
          </w:tcPr>
          <w:p>
            <w:pPr>
              <w:pStyle w:val="MDPI42tablebody"/>
              <w:keepNext/>
              <w:spacing w:line="240" w:lineRule="auto" w:before="30" w:after="30"/>
              <w:jc w:val="center"/>
            </w:pPr>
            <w:r>
              <w:rPr>
                <w:b w:val="0"/>
                <w:i w:val="0"/>
                <w:sz w:val="18"/>
              </w:rPr>
              <w:t>0.268***</w:t>
            </w:r>
          </w:p>
        </w:tc>
        <w:tc>
          <w:tcPr>
            <w:tcW w:type="dxa" w:w="1465"/>
          </w:tcPr>
          <w:p>
            <w:pPr>
              <w:pStyle w:val="MDPI42tablebody"/>
              <w:keepNext/>
              <w:spacing w:line="240" w:lineRule="auto" w:before="30" w:after="30"/>
              <w:jc w:val="center"/>
            </w:pPr>
            <w:r>
              <w:rPr>
                <w:b w:val="0"/>
                <w:i w:val="0"/>
                <w:sz w:val="18"/>
              </w:rPr>
              <w:t>−0.119***</w:t>
            </w:r>
          </w:p>
        </w:tc>
      </w:tr>
      <w:tr>
        <w:trPr>
          <w:cantSplit/>
        </w:trPr>
        <w:tc>
          <w:tcPr>
            <w:tcW w:type="dxa" w:w="3139"/>
          </w:tcPr>
          <w:p>
            <w:pPr>
              <w:pStyle w:val="MDPI42tablebody"/>
              <w:keepNext/>
              <w:spacing w:line="240" w:lineRule="auto" w:before="30" w:after="30"/>
              <w:jc w:val="left"/>
            </w:pPr>
          </w:p>
        </w:tc>
        <w:tc>
          <w:tcPr>
            <w:tcW w:type="dxa" w:w="1465"/>
          </w:tcPr>
          <w:p>
            <w:pPr>
              <w:pStyle w:val="MDPI42tablebody"/>
              <w:keepNext/>
              <w:spacing w:line="240" w:lineRule="auto" w:before="30" w:after="30"/>
              <w:jc w:val="center"/>
            </w:pPr>
            <w:r>
              <w:rPr>
                <w:b w:val="0"/>
                <w:i w:val="0"/>
                <w:sz w:val="18"/>
              </w:rPr>
              <w:t>(0.020)</w:t>
            </w:r>
          </w:p>
        </w:tc>
        <w:tc>
          <w:tcPr>
            <w:tcW w:type="dxa" w:w="1465"/>
          </w:tcPr>
          <w:p>
            <w:pPr>
              <w:pStyle w:val="MDPI42tablebody"/>
              <w:keepNext/>
              <w:spacing w:line="240" w:lineRule="auto" w:before="30" w:after="30"/>
              <w:jc w:val="center"/>
            </w:pPr>
            <w:r>
              <w:rPr>
                <w:b w:val="0"/>
                <w:i w:val="0"/>
                <w:sz w:val="18"/>
              </w:rPr>
              <w:t>(0.021)</w:t>
            </w:r>
          </w:p>
        </w:tc>
        <w:tc>
          <w:tcPr>
            <w:tcW w:type="dxa" w:w="1465"/>
          </w:tcPr>
          <w:p>
            <w:pPr>
              <w:pStyle w:val="MDPI42tablebody"/>
              <w:keepNext/>
              <w:spacing w:line="240" w:lineRule="auto" w:before="30" w:after="30"/>
              <w:jc w:val="center"/>
            </w:pPr>
            <w:r>
              <w:rPr>
                <w:b w:val="0"/>
                <w:i w:val="0"/>
                <w:sz w:val="18"/>
              </w:rPr>
              <w:t>(0.021)</w:t>
            </w:r>
          </w:p>
        </w:tc>
        <w:tc>
          <w:tcPr>
            <w:tcW w:type="dxa" w:w="1465"/>
          </w:tcPr>
          <w:p>
            <w:pPr>
              <w:pStyle w:val="MDPI42tablebody"/>
              <w:keepNext/>
              <w:spacing w:line="240" w:lineRule="auto" w:before="30" w:after="30"/>
              <w:jc w:val="center"/>
            </w:pPr>
            <w:r>
              <w:rPr>
                <w:b w:val="0"/>
                <w:i w:val="0"/>
                <w:sz w:val="18"/>
              </w:rPr>
              <w:t>(0.047)</w:t>
            </w:r>
          </w:p>
        </w:tc>
        <w:tc>
          <w:tcPr>
            <w:tcW w:type="dxa" w:w="1465"/>
          </w:tcPr>
          <w:p>
            <w:pPr>
              <w:pStyle w:val="MDPI42tablebody"/>
              <w:keepNext/>
              <w:spacing w:line="240" w:lineRule="auto" w:before="30" w:after="30"/>
              <w:jc w:val="center"/>
            </w:pPr>
            <w:r>
              <w:rPr>
                <w:b w:val="0"/>
                <w:i w:val="0"/>
                <w:sz w:val="18"/>
              </w:rPr>
              <w:t>(0.018)</w:t>
            </w:r>
          </w:p>
        </w:tc>
      </w:tr>
      <w:tr>
        <w:trPr>
          <w:cantSplit/>
        </w:trPr>
        <w:tc>
          <w:tcPr>
            <w:tcW w:type="dxa" w:w="3139"/>
          </w:tcPr>
          <w:p>
            <w:pPr>
              <w:pStyle w:val="MDPI42tablebody"/>
              <w:keepNext/>
              <w:spacing w:line="240" w:lineRule="auto" w:before="30" w:after="30"/>
              <w:jc w:val="left"/>
            </w:pPr>
            <w:r>
              <w:rPr>
                <w:b w:val="0"/>
                <w:i/>
                <w:sz w:val="18"/>
              </w:rPr>
              <w:t>Estimator</w:t>
            </w:r>
          </w:p>
        </w:tc>
        <w:tc>
          <w:tcPr>
            <w:tcW w:type="dxa" w:w="1465"/>
          </w:tcPr>
          <w:p>
            <w:pPr>
              <w:pStyle w:val="MDPI42tablebody"/>
              <w:keepNext/>
              <w:spacing w:line="240" w:lineRule="auto" w:before="30" w:after="30"/>
              <w:jc w:val="center"/>
            </w:pPr>
            <w:r>
              <w:rPr>
                <w:b w:val="0"/>
                <w:i w:val="0"/>
                <w:sz w:val="18"/>
              </w:rPr>
              <w:t>OLS</w:t>
            </w:r>
          </w:p>
        </w:tc>
        <w:tc>
          <w:tcPr>
            <w:tcW w:type="dxa" w:w="1465"/>
          </w:tcPr>
          <w:p>
            <w:pPr>
              <w:pStyle w:val="MDPI42tablebody"/>
              <w:keepNext/>
              <w:spacing w:line="240" w:lineRule="auto" w:before="30" w:after="30"/>
              <w:jc w:val="center"/>
            </w:pPr>
            <w:r>
              <w:rPr>
                <w:b w:val="0"/>
                <w:i w:val="0"/>
                <w:sz w:val="18"/>
              </w:rPr>
              <w:t>2SLS</w:t>
            </w:r>
          </w:p>
        </w:tc>
        <w:tc>
          <w:tcPr>
            <w:tcW w:type="dxa" w:w="1465"/>
          </w:tcPr>
          <w:p>
            <w:pPr>
              <w:pStyle w:val="MDPI42tablebody"/>
              <w:keepNext/>
              <w:spacing w:line="240" w:lineRule="auto" w:before="30" w:after="30"/>
              <w:jc w:val="center"/>
            </w:pPr>
            <w:r>
              <w:rPr>
                <w:b w:val="0"/>
                <w:i w:val="0"/>
                <w:sz w:val="18"/>
              </w:rPr>
              <w:t>GMM</w:t>
            </w:r>
          </w:p>
        </w:tc>
        <w:tc>
          <w:tcPr>
            <w:tcW w:type="dxa" w:w="1465"/>
          </w:tcPr>
          <w:p>
            <w:pPr>
              <w:pStyle w:val="MDPI42tablebody"/>
              <w:keepNext/>
              <w:spacing w:line="240" w:lineRule="auto" w:before="30" w:after="30"/>
              <w:jc w:val="center"/>
            </w:pPr>
            <w:r>
              <w:rPr>
                <w:b w:val="0"/>
                <w:i w:val="0"/>
                <w:sz w:val="18"/>
              </w:rPr>
              <w:t>2SLS</w:t>
            </w:r>
          </w:p>
        </w:tc>
        <w:tc>
          <w:tcPr>
            <w:tcW w:type="dxa" w:w="1465"/>
          </w:tcPr>
          <w:p>
            <w:pPr>
              <w:pStyle w:val="MDPI42tablebody"/>
              <w:keepNext/>
              <w:spacing w:line="240" w:lineRule="auto" w:before="30" w:after="30"/>
              <w:jc w:val="center"/>
            </w:pPr>
            <w:r>
              <w:rPr>
                <w:b w:val="0"/>
                <w:i w:val="0"/>
                <w:sz w:val="18"/>
              </w:rPr>
              <w:t>2SLS</w:t>
            </w:r>
          </w:p>
        </w:tc>
      </w:tr>
      <w:tr>
        <w:trPr>
          <w:cantSplit/>
        </w:trPr>
        <w:tc>
          <w:tcPr>
            <w:tcW w:type="dxa" w:w="3139"/>
          </w:tcPr>
          <w:p>
            <w:pPr>
              <w:pStyle w:val="MDPI42tablebody"/>
              <w:keepNext/>
              <w:spacing w:line="240" w:lineRule="auto" w:before="30" w:after="30"/>
              <w:jc w:val="left"/>
            </w:pPr>
            <w:r>
              <w:rPr>
                <w:b w:val="0"/>
                <w:i/>
                <w:sz w:val="18"/>
              </w:rPr>
              <w:t>Hansen J (p)</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0.091</w:t>
            </w:r>
          </w:p>
        </w:tc>
        <w:tc>
          <w:tcPr>
            <w:tcW w:type="dxa" w:w="1465"/>
          </w:tcPr>
          <w:p>
            <w:pPr>
              <w:pStyle w:val="MDPI42tablebody"/>
              <w:keepNext/>
              <w:spacing w:line="240" w:lineRule="auto" w:before="30" w:after="30"/>
              <w:jc w:val="center"/>
            </w:pPr>
            <w:r>
              <w:rPr>
                <w:b w:val="0"/>
                <w:i w:val="0"/>
                <w:sz w:val="18"/>
              </w:rPr>
              <w:t>0.091</w:t>
            </w:r>
          </w:p>
        </w:tc>
        <w:tc>
          <w:tcPr>
            <w:tcW w:type="dxa" w:w="1465"/>
          </w:tcPr>
          <w:p>
            <w:pPr>
              <w:pStyle w:val="MDPI42tablebody"/>
              <w:keepNext/>
              <w:spacing w:line="240" w:lineRule="auto" w:before="30" w:after="30"/>
              <w:jc w:val="center"/>
            </w:pPr>
            <w:r>
              <w:rPr>
                <w:b w:val="0"/>
                <w:i w:val="0"/>
                <w:sz w:val="18"/>
              </w:rPr>
              <w:t>0.301</w:t>
            </w:r>
          </w:p>
        </w:tc>
        <w:tc>
          <w:tcPr>
            <w:tcW w:type="dxa" w:w="1465"/>
          </w:tcPr>
          <w:p>
            <w:pPr>
              <w:pStyle w:val="MDPI42tablebody"/>
              <w:keepNext/>
              <w:spacing w:line="240" w:lineRule="auto" w:before="30" w:after="30"/>
              <w:jc w:val="center"/>
            </w:pPr>
            <w:r>
              <w:rPr>
                <w:b w:val="0"/>
                <w:i w:val="0"/>
                <w:sz w:val="18"/>
              </w:rPr>
              <w:t>0.582</w:t>
            </w:r>
          </w:p>
        </w:tc>
      </w:tr>
      <w:tr>
        <w:trPr>
          <w:cantSplit/>
        </w:trPr>
        <w:tc>
          <w:tcPr>
            <w:tcW w:type="dxa" w:w="3139"/>
          </w:tcPr>
          <w:p>
            <w:pPr>
              <w:pStyle w:val="MDPI42tablebody"/>
              <w:keepNext/>
              <w:spacing w:line="240" w:lineRule="auto" w:before="30" w:after="30"/>
              <w:jc w:val="left"/>
            </w:pPr>
            <w:r>
              <w:rPr>
                <w:b w:val="0"/>
                <w:i/>
                <w:sz w:val="18"/>
              </w:rPr>
              <w:t>Wu–Hausman (p)</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0.0007</w:t>
            </w:r>
          </w:p>
        </w:tc>
        <w:tc>
          <w:tcPr>
            <w:tcW w:type="dxa" w:w="1465"/>
          </w:tcPr>
          <w:p>
            <w:pPr>
              <w:pStyle w:val="MDPI42tablebody"/>
              <w:keepNext/>
              <w:spacing w:line="240" w:lineRule="auto" w:before="30" w:after="30"/>
              <w:jc w:val="center"/>
            </w:pPr>
          </w:p>
        </w:tc>
        <w:tc>
          <w:tcPr>
            <w:tcW w:type="dxa" w:w="1465"/>
          </w:tcPr>
          <w:p>
            <w:pPr>
              <w:pStyle w:val="MDPI42tablebody"/>
              <w:keepNext/>
              <w:spacing w:line="240" w:lineRule="auto" w:before="30" w:after="30"/>
              <w:jc w:val="center"/>
            </w:pPr>
            <w:r>
              <w:rPr>
                <w:b w:val="0"/>
                <w:i w:val="0"/>
                <w:sz w:val="18"/>
              </w:rPr>
              <w:t>0.4732</w:t>
            </w:r>
          </w:p>
        </w:tc>
        <w:tc>
          <w:tcPr>
            <w:tcW w:type="dxa" w:w="1465"/>
          </w:tcPr>
          <w:p>
            <w:pPr>
              <w:pStyle w:val="MDPI42tablebody"/>
              <w:keepNext/>
              <w:spacing w:line="240" w:lineRule="auto" w:before="30" w:after="30"/>
              <w:jc w:val="center"/>
            </w:pPr>
            <w:r>
              <w:rPr>
                <w:b w:val="0"/>
                <w:i w:val="0"/>
                <w:sz w:val="18"/>
              </w:rPr>
              <w:t>0.4436</w:t>
            </w:r>
          </w:p>
        </w:tc>
      </w:tr>
      <w:tr>
        <w:trPr>
          <w:cantSplit/>
        </w:trPr>
        <w:tc>
          <w:tcPr>
            <w:tcW w:type="dxa" w:w="3139"/>
          </w:tcPr>
          <w:p>
            <w:pPr>
              <w:pStyle w:val="MDPI42tablebody"/>
              <w:keepNext/>
              <w:spacing w:line="240" w:lineRule="auto" w:before="30" w:after="30"/>
              <w:jc w:val="left"/>
            </w:pPr>
            <w:r>
              <w:rPr>
                <w:b w:val="0"/>
                <w:i/>
                <w:sz w:val="18"/>
              </w:rPr>
              <w:t>Controls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Firm FE</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Year FE</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c>
          <w:tcPr>
            <w:tcW w:type="dxa" w:w="1465"/>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spacing w:line="240" w:lineRule="auto" w:before="30" w:after="30"/>
              <w:jc w:val="left"/>
            </w:pPr>
            <w:r>
              <w:rPr>
                <w:b w:val="0"/>
                <w:i/>
                <w:sz w:val="18"/>
              </w:rPr>
              <w:t>Observations</w:t>
            </w:r>
          </w:p>
        </w:tc>
        <w:tc>
          <w:tcPr>
            <w:tcW w:type="dxa" w:w="1465"/>
          </w:tcPr>
          <w:p>
            <w:pPr>
              <w:pStyle w:val="MDPI42tablebody"/>
              <w:spacing w:line="240" w:lineRule="auto" w:before="30" w:after="30"/>
              <w:jc w:val="center"/>
            </w:pPr>
            <w:r>
              <w:rPr>
                <w:b w:val="0"/>
                <w:i w:val="0"/>
                <w:sz w:val="18"/>
              </w:rPr>
              <w:t>29,660</w:t>
            </w:r>
          </w:p>
        </w:tc>
        <w:tc>
          <w:tcPr>
            <w:tcW w:type="dxa" w:w="1465"/>
          </w:tcPr>
          <w:p>
            <w:pPr>
              <w:pStyle w:val="MDPI42tablebody"/>
              <w:spacing w:line="240" w:lineRule="auto" w:before="30" w:after="30"/>
              <w:jc w:val="center"/>
            </w:pPr>
            <w:r>
              <w:rPr>
                <w:b w:val="0"/>
                <w:i w:val="0"/>
                <w:sz w:val="18"/>
              </w:rPr>
              <w:t>29,660</w:t>
            </w:r>
          </w:p>
        </w:tc>
        <w:tc>
          <w:tcPr>
            <w:tcW w:type="dxa" w:w="1465"/>
          </w:tcPr>
          <w:p>
            <w:pPr>
              <w:pStyle w:val="MDPI42tablebody"/>
              <w:spacing w:line="240" w:lineRule="auto" w:before="30" w:after="30"/>
              <w:jc w:val="center"/>
            </w:pPr>
            <w:r>
              <w:rPr>
                <w:b w:val="0"/>
                <w:i w:val="0"/>
                <w:sz w:val="18"/>
              </w:rPr>
              <w:t>29,660</w:t>
            </w:r>
          </w:p>
        </w:tc>
        <w:tc>
          <w:tcPr>
            <w:tcW w:type="dxa" w:w="1465"/>
          </w:tcPr>
          <w:p>
            <w:pPr>
              <w:pStyle w:val="MDPI42tablebody"/>
              <w:spacing w:line="240" w:lineRule="auto" w:before="30" w:after="30"/>
              <w:jc w:val="center"/>
            </w:pPr>
            <w:r>
              <w:rPr>
                <w:b w:val="0"/>
                <w:i w:val="0"/>
                <w:sz w:val="18"/>
              </w:rPr>
              <w:t>29,660</w:t>
            </w:r>
          </w:p>
        </w:tc>
        <w:tc>
          <w:tcPr>
            <w:tcW w:type="dxa" w:w="1465"/>
          </w:tcPr>
          <w:p>
            <w:pPr>
              <w:pStyle w:val="MDPI42tablebody"/>
              <w:spacing w:line="240" w:lineRule="auto" w:before="30" w:after="30"/>
              <w:jc w:val="center"/>
            </w:pPr>
            <w:r>
              <w:rPr>
                <w:b w:val="0"/>
                <w:i w:val="0"/>
                <w:sz w:val="18"/>
              </w:rPr>
              <w:t>29,660</w:t>
            </w:r>
          </w:p>
        </w:tc>
      </w:tr>
    </w:tbl>
    <w:p>
      <w:pPr>
        <w:pStyle w:val="MDPI43tablefooter"/>
        <w:spacing w:line="240" w:lineRule="auto" w:before="40" w:after="200"/>
        <w:ind w:left="2608" w:firstLine="0"/>
      </w:pPr>
      <w:r>
        <w:rPr>
          <w:sz w:val="16"/>
        </w:rPr>
        <w:t xml:space="preserve">Note: </w:t>
      </w:r>
      <w:r>
        <w:rPr>
          <w:b w:val="0"/>
          <w:i w:val="0"/>
          <w:sz w:val="16"/>
        </w:rPr>
        <w:t>Panel A reports the first stage of Equation (12); Panel B reports Equation (13). The dependent variable is the entry-level vacancy rate in columns (1) to (3), the contingent share in column (4) and the experienced vacancy rate in column (5). The Hansen statistic tests the overidentifying restrictions and the Wu–Hausman statistic tests the exogeneity of AIU. Standard errors clustered at the firm level are in parentheses. ***, ** and * denote significance at the 1%, 5% and 10% levels.</w:t>
      </w:r>
    </w:p>
    <w:p>
      <w:pPr>
        <w:pStyle w:val="MDPI22heading2"/>
      </w:pPr>
      <w:r>
        <w:t>4.9. The Frontier Releases as an Event</w:t>
      </w:r>
    </w:p>
    <w:p>
      <w:pPr>
        <w:pStyle w:val="MDPI32textnoindent"/>
      </w:pPr>
      <w:r>
        <w:rPr>
          <w:b w:val="0"/>
          <w:i w:val="0"/>
        </w:rPr>
        <w:t>The identification so far uses cross-firm variation in uncertainty within a year. A complementary design uses the timing of the technology itself. Table 10 estimates Equation (14), comparing firms in the top tertile of pre-sample occupational exposure with the rest, year by year, with 2021 as the reference. The leads are the test that matters. None of the pre-shock interactions is significant and the joint test of the 5 leads does not reject (chi-squared = 3.99, p = 0.551), so highly exposed and less exposed firms were not on different entry-level hiring trajectories before the technology arrived.</w:t>
      </w:r>
    </w:p>
    <w:p>
      <w:pPr>
        <w:pStyle w:val="MDPI31text"/>
      </w:pPr>
      <w:r>
        <w:rPr>
          <w:b w:val="0"/>
          <w:i w:val="0"/>
        </w:rPr>
        <w:t>The lags are large and immediate. Relative to 2021, entry-level vacancy creation in exposed firms falls by 1.65 vacancies per thousand employees in 2023 (0.169), by 2.14 in 2024 and by 1.97 in 2025. The 2022 coefficient is already negative but much smaller, which is what one would expect of a reporting year that ended weeks after the first public release. Column (2) repeats the design for the contingent share and finds the mirror image: leads that are jointly indistinguishable from zero (p = 0.439) and a rise of 3.83 percentage points by 2024. The two designs — cross-firm variation in disclosed uncertainty and time-series variation in the arrival of the frontier — point to the same conclusion from independent sources of variation.</w:t>
      </w:r>
    </w:p>
    <w:p>
      <w:pPr>
        <w:pStyle w:val="MDPI41tablecaption"/>
        <w:keepNext/>
        <w:spacing w:after="60"/>
      </w:pPr>
      <w:r>
        <w:rPr>
          <w:b/>
          <w:sz w:val="18"/>
        </w:rPr>
        <w:t xml:space="preserve">Table 10. </w:t>
      </w:r>
      <w:r>
        <w:rPr>
          <w:b w:val="0"/>
          <w:i w:val="0"/>
          <w:sz w:val="18"/>
        </w:rPr>
        <w:t>Dynamic difference in differences around the frontier-model releases.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43"/>
        <w:gridCol w:w="2357"/>
        <w:gridCol w:w="2357"/>
      </w:tblGrid>
      <w:tr>
        <w:trPr>
          <w:cantSplit/>
          <w:tblHeader/>
        </w:trPr>
        <w:tc>
          <w:tcPr>
            <w:tcW w:type="dxa" w:w="3143"/>
            <w:tcBorders>
              <w:bottom w:val="single" w:sz="8" w:space="0" w:color="auto"/>
            </w:tcBorders>
          </w:tcPr>
          <w:p>
            <w:pPr>
              <w:pStyle w:val="MDPI42tablebody"/>
              <w:keepNext/>
              <w:spacing w:line="240" w:lineRule="auto" w:before="30" w:after="30"/>
              <w:jc w:val="center"/>
            </w:pPr>
            <w:r>
              <w:rPr>
                <w:b/>
                <w:i w:val="0"/>
                <w:sz w:val="18"/>
              </w:rPr>
              <w:t>Variable</w:t>
            </w:r>
          </w:p>
        </w:tc>
        <w:tc>
          <w:tcPr>
            <w:tcW w:type="dxa" w:w="2357"/>
            <w:tcBorders>
              <w:bottom w:val="single" w:sz="8" w:space="0" w:color="auto"/>
            </w:tcBorders>
          </w:tcPr>
          <w:p>
            <w:pPr>
              <w:pStyle w:val="MDPI42tablebody"/>
              <w:keepNext/>
              <w:spacing w:line="240" w:lineRule="auto" w:before="30" w:after="30"/>
              <w:jc w:val="center"/>
            </w:pPr>
            <w:r>
              <w:rPr>
                <w:b/>
                <w:i w:val="0"/>
                <w:sz w:val="18"/>
              </w:rPr>
              <w:t>(1) Entry rate</w:t>
            </w:r>
          </w:p>
        </w:tc>
        <w:tc>
          <w:tcPr>
            <w:tcW w:type="dxa" w:w="2357"/>
            <w:tcBorders>
              <w:bottom w:val="single" w:sz="8" w:space="0" w:color="auto"/>
            </w:tcBorders>
          </w:tcPr>
          <w:p>
            <w:pPr>
              <w:pStyle w:val="MDPI42tablebody"/>
              <w:keepNext/>
              <w:spacing w:line="240" w:lineRule="auto" w:before="30" w:after="30"/>
              <w:jc w:val="center"/>
            </w:pPr>
            <w:r>
              <w:rPr>
                <w:b/>
                <w:i w:val="0"/>
                <w:sz w:val="18"/>
              </w:rPr>
              <w:t>(2) Contingent share</w:t>
            </w:r>
          </w:p>
        </w:tc>
      </w:tr>
      <w:tr>
        <w:trPr>
          <w:cantSplit/>
        </w:trPr>
        <w:tc>
          <w:tcPr>
            <w:tcW w:type="dxa" w:w="3143"/>
          </w:tcPr>
          <w:p>
            <w:pPr>
              <w:pStyle w:val="MDPI42tablebody"/>
              <w:keepNext/>
              <w:spacing w:line="240" w:lineRule="auto" w:before="30" w:after="30"/>
              <w:jc w:val="left"/>
            </w:pPr>
            <w:r>
              <w:rPr>
                <w:b w:val="0"/>
                <w:i/>
                <w:sz w:val="18"/>
              </w:rPr>
              <w:t>Treat x 2016</w:t>
            </w:r>
          </w:p>
        </w:tc>
        <w:tc>
          <w:tcPr>
            <w:tcW w:type="dxa" w:w="2357"/>
          </w:tcPr>
          <w:p>
            <w:pPr>
              <w:pStyle w:val="MDPI42tablebody"/>
              <w:keepNext/>
              <w:spacing w:line="240" w:lineRule="auto" w:before="30" w:after="30"/>
              <w:jc w:val="center"/>
            </w:pPr>
            <w:r>
              <w:rPr>
                <w:b w:val="0"/>
                <w:i w:val="0"/>
                <w:sz w:val="18"/>
              </w:rPr>
              <w:t>−0.006</w:t>
            </w:r>
          </w:p>
        </w:tc>
        <w:tc>
          <w:tcPr>
            <w:tcW w:type="dxa" w:w="2357"/>
          </w:tcPr>
          <w:p>
            <w:pPr>
              <w:pStyle w:val="MDPI42tablebody"/>
              <w:keepNext/>
              <w:spacing w:line="240" w:lineRule="auto" w:before="30" w:after="30"/>
              <w:jc w:val="center"/>
            </w:pPr>
            <w:r>
              <w:rPr>
                <w:b w:val="0"/>
                <w:i w:val="0"/>
                <w:sz w:val="18"/>
              </w:rPr>
              <w:t>0.258</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(0.183)</w:t>
            </w:r>
          </w:p>
        </w:tc>
        <w:tc>
          <w:tcPr>
            <w:tcW w:type="dxa" w:w="2357"/>
          </w:tcPr>
          <w:p>
            <w:pPr>
              <w:pStyle w:val="MDPI42tablebody"/>
              <w:keepNext/>
              <w:spacing w:line="240" w:lineRule="auto" w:before="30" w:after="30"/>
              <w:jc w:val="center"/>
            </w:pPr>
            <w:r>
              <w:rPr>
                <w:b w:val="0"/>
                <w:i w:val="0"/>
                <w:sz w:val="18"/>
              </w:rPr>
              <w:t>(0.396)</w:t>
            </w:r>
          </w:p>
        </w:tc>
      </w:tr>
      <w:tr>
        <w:trPr>
          <w:cantSplit/>
        </w:trPr>
        <w:tc>
          <w:tcPr>
            <w:tcW w:type="dxa" w:w="3143"/>
          </w:tcPr>
          <w:p>
            <w:pPr>
              <w:pStyle w:val="MDPI42tablebody"/>
              <w:keepNext/>
              <w:spacing w:line="240" w:lineRule="auto" w:before="30" w:after="30"/>
              <w:jc w:val="left"/>
            </w:pPr>
            <w:r>
              <w:rPr>
                <w:b w:val="0"/>
                <w:i/>
                <w:sz w:val="18"/>
              </w:rPr>
              <w:t>Treat x 2017</w:t>
            </w:r>
          </w:p>
        </w:tc>
        <w:tc>
          <w:tcPr>
            <w:tcW w:type="dxa" w:w="2357"/>
          </w:tcPr>
          <w:p>
            <w:pPr>
              <w:pStyle w:val="MDPI42tablebody"/>
              <w:keepNext/>
              <w:spacing w:line="240" w:lineRule="auto" w:before="30" w:after="30"/>
              <w:jc w:val="center"/>
            </w:pPr>
            <w:r>
              <w:rPr>
                <w:b w:val="0"/>
                <w:i w:val="0"/>
                <w:sz w:val="18"/>
              </w:rPr>
              <w:t>0.073</w:t>
            </w:r>
          </w:p>
        </w:tc>
        <w:tc>
          <w:tcPr>
            <w:tcW w:type="dxa" w:w="2357"/>
          </w:tcPr>
          <w:p>
            <w:pPr>
              <w:pStyle w:val="MDPI42tablebody"/>
              <w:keepNext/>
              <w:spacing w:line="240" w:lineRule="auto" w:before="30" w:after="30"/>
              <w:jc w:val="center"/>
            </w:pPr>
            <w:r>
              <w:rPr>
                <w:b w:val="0"/>
                <w:i w:val="0"/>
                <w:sz w:val="18"/>
              </w:rPr>
              <w:t>0.361</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(0.169)</w:t>
            </w:r>
          </w:p>
        </w:tc>
        <w:tc>
          <w:tcPr>
            <w:tcW w:type="dxa" w:w="2357"/>
          </w:tcPr>
          <w:p>
            <w:pPr>
              <w:pStyle w:val="MDPI42tablebody"/>
              <w:keepNext/>
              <w:spacing w:line="240" w:lineRule="auto" w:before="30" w:after="30"/>
              <w:jc w:val="center"/>
            </w:pPr>
            <w:r>
              <w:rPr>
                <w:b w:val="0"/>
                <w:i w:val="0"/>
                <w:sz w:val="18"/>
              </w:rPr>
              <w:t>(0.385)</w:t>
            </w:r>
          </w:p>
        </w:tc>
      </w:tr>
      <w:tr>
        <w:trPr>
          <w:cantSplit/>
        </w:trPr>
        <w:tc>
          <w:tcPr>
            <w:tcW w:type="dxa" w:w="3143"/>
          </w:tcPr>
          <w:p>
            <w:pPr>
              <w:pStyle w:val="MDPI42tablebody"/>
              <w:keepNext/>
              <w:spacing w:line="240" w:lineRule="auto" w:before="30" w:after="30"/>
              <w:jc w:val="left"/>
            </w:pPr>
            <w:r>
              <w:rPr>
                <w:b w:val="0"/>
                <w:i/>
                <w:sz w:val="18"/>
              </w:rPr>
              <w:t>Treat x 2018</w:t>
            </w:r>
          </w:p>
        </w:tc>
        <w:tc>
          <w:tcPr>
            <w:tcW w:type="dxa" w:w="2357"/>
          </w:tcPr>
          <w:p>
            <w:pPr>
              <w:pStyle w:val="MDPI42tablebody"/>
              <w:keepNext/>
              <w:spacing w:line="240" w:lineRule="auto" w:before="30" w:after="30"/>
              <w:jc w:val="center"/>
            </w:pPr>
            <w:r>
              <w:rPr>
                <w:b w:val="0"/>
                <w:i w:val="0"/>
                <w:sz w:val="18"/>
              </w:rPr>
              <w:t>0.267</w:t>
            </w:r>
          </w:p>
        </w:tc>
        <w:tc>
          <w:tcPr>
            <w:tcW w:type="dxa" w:w="2357"/>
          </w:tcPr>
          <w:p>
            <w:pPr>
              <w:pStyle w:val="MDPI42tablebody"/>
              <w:keepNext/>
              <w:spacing w:line="240" w:lineRule="auto" w:before="30" w:after="30"/>
              <w:jc w:val="center"/>
            </w:pPr>
            <w:r>
              <w:rPr>
                <w:b w:val="0"/>
                <w:i w:val="0"/>
                <w:sz w:val="18"/>
              </w:rPr>
              <w:t>0.148</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(0.183)</w:t>
            </w:r>
          </w:p>
        </w:tc>
        <w:tc>
          <w:tcPr>
            <w:tcW w:type="dxa" w:w="2357"/>
          </w:tcPr>
          <w:p>
            <w:pPr>
              <w:pStyle w:val="MDPI42tablebody"/>
              <w:keepNext/>
              <w:spacing w:line="240" w:lineRule="auto" w:before="30" w:after="30"/>
              <w:jc w:val="center"/>
            </w:pPr>
            <w:r>
              <w:rPr>
                <w:b w:val="0"/>
                <w:i w:val="0"/>
                <w:sz w:val="18"/>
              </w:rPr>
              <w:t>(0.374)</w:t>
            </w:r>
          </w:p>
        </w:tc>
      </w:tr>
      <w:tr>
        <w:trPr>
          <w:cantSplit/>
        </w:trPr>
        <w:tc>
          <w:tcPr>
            <w:tcW w:type="dxa" w:w="3143"/>
          </w:tcPr>
          <w:p>
            <w:pPr>
              <w:pStyle w:val="MDPI42tablebody"/>
              <w:keepNext/>
              <w:spacing w:line="240" w:lineRule="auto" w:before="30" w:after="30"/>
              <w:jc w:val="left"/>
            </w:pPr>
            <w:r>
              <w:rPr>
                <w:b w:val="0"/>
                <w:i/>
                <w:sz w:val="18"/>
              </w:rPr>
              <w:t>Treat x 2019</w:t>
            </w:r>
          </w:p>
        </w:tc>
        <w:tc>
          <w:tcPr>
            <w:tcW w:type="dxa" w:w="2357"/>
          </w:tcPr>
          <w:p>
            <w:pPr>
              <w:pStyle w:val="MDPI42tablebody"/>
              <w:keepNext/>
              <w:spacing w:line="240" w:lineRule="auto" w:before="30" w:after="30"/>
              <w:jc w:val="center"/>
            </w:pPr>
            <w:r>
              <w:rPr>
                <w:b w:val="0"/>
                <w:i w:val="0"/>
                <w:sz w:val="18"/>
              </w:rPr>
              <w:t>−0.064</w:t>
            </w:r>
          </w:p>
        </w:tc>
        <w:tc>
          <w:tcPr>
            <w:tcW w:type="dxa" w:w="2357"/>
          </w:tcPr>
          <w:p>
            <w:pPr>
              <w:pStyle w:val="MDPI42tablebody"/>
              <w:keepNext/>
              <w:spacing w:line="240" w:lineRule="auto" w:before="30" w:after="30"/>
              <w:jc w:val="center"/>
            </w:pPr>
            <w:r>
              <w:rPr>
                <w:b w:val="0"/>
                <w:i w:val="0"/>
                <w:sz w:val="18"/>
              </w:rPr>
              <w:t>0.784**</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(0.171)</w:t>
            </w:r>
          </w:p>
        </w:tc>
        <w:tc>
          <w:tcPr>
            <w:tcW w:type="dxa" w:w="2357"/>
          </w:tcPr>
          <w:p>
            <w:pPr>
              <w:pStyle w:val="MDPI42tablebody"/>
              <w:keepNext/>
              <w:spacing w:line="240" w:lineRule="auto" w:before="30" w:after="30"/>
              <w:jc w:val="center"/>
            </w:pPr>
            <w:r>
              <w:rPr>
                <w:b w:val="0"/>
                <w:i w:val="0"/>
                <w:sz w:val="18"/>
              </w:rPr>
              <w:t>(0.376)</w:t>
            </w:r>
          </w:p>
        </w:tc>
      </w:tr>
      <w:tr>
        <w:trPr>
          <w:cantSplit/>
        </w:trPr>
        <w:tc>
          <w:tcPr>
            <w:tcW w:type="dxa" w:w="3143"/>
          </w:tcPr>
          <w:p>
            <w:pPr>
              <w:pStyle w:val="MDPI42tablebody"/>
              <w:keepNext/>
              <w:spacing w:line="240" w:lineRule="auto" w:before="30" w:after="30"/>
              <w:jc w:val="left"/>
            </w:pPr>
            <w:r>
              <w:rPr>
                <w:b w:val="0"/>
                <w:i/>
                <w:sz w:val="18"/>
              </w:rPr>
              <w:t>Treat x 2020</w:t>
            </w:r>
          </w:p>
        </w:tc>
        <w:tc>
          <w:tcPr>
            <w:tcW w:type="dxa" w:w="2357"/>
          </w:tcPr>
          <w:p>
            <w:pPr>
              <w:pStyle w:val="MDPI42tablebody"/>
              <w:keepNext/>
              <w:spacing w:line="240" w:lineRule="auto" w:before="30" w:after="30"/>
              <w:jc w:val="center"/>
            </w:pPr>
            <w:r>
              <w:rPr>
                <w:b w:val="0"/>
                <w:i w:val="0"/>
                <w:sz w:val="18"/>
              </w:rPr>
              <w:t>0.078</w:t>
            </w:r>
          </w:p>
        </w:tc>
        <w:tc>
          <w:tcPr>
            <w:tcW w:type="dxa" w:w="2357"/>
          </w:tcPr>
          <w:p>
            <w:pPr>
              <w:pStyle w:val="MDPI42tablebody"/>
              <w:keepNext/>
              <w:spacing w:line="240" w:lineRule="auto" w:before="30" w:after="30"/>
              <w:jc w:val="center"/>
            </w:pPr>
            <w:r>
              <w:rPr>
                <w:b w:val="0"/>
                <w:i w:val="0"/>
                <w:sz w:val="18"/>
              </w:rPr>
              <w:t>0.351</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(0.163)</w:t>
            </w:r>
          </w:p>
        </w:tc>
        <w:tc>
          <w:tcPr>
            <w:tcW w:type="dxa" w:w="2357"/>
          </w:tcPr>
          <w:p>
            <w:pPr>
              <w:pStyle w:val="MDPI42tablebody"/>
              <w:keepNext/>
              <w:spacing w:line="240" w:lineRule="auto" w:before="30" w:after="30"/>
              <w:jc w:val="center"/>
            </w:pPr>
            <w:r>
              <w:rPr>
                <w:b w:val="0"/>
                <w:i w:val="0"/>
                <w:sz w:val="18"/>
              </w:rPr>
              <w:t>(0.371)</w:t>
            </w:r>
          </w:p>
        </w:tc>
      </w:tr>
      <w:tr>
        <w:trPr>
          <w:cantSplit/>
        </w:trPr>
        <w:tc>
          <w:tcPr>
            <w:tcW w:type="dxa" w:w="3143"/>
          </w:tcPr>
          <w:p>
            <w:pPr>
              <w:pStyle w:val="MDPI42tablebody"/>
              <w:keepNext/>
              <w:spacing w:line="240" w:lineRule="auto" w:before="30" w:after="30"/>
              <w:jc w:val="left"/>
            </w:pPr>
            <w:r>
              <w:rPr>
                <w:b w:val="0"/>
                <w:i/>
                <w:sz w:val="18"/>
              </w:rPr>
              <w:t>Treat x 2022</w:t>
            </w:r>
          </w:p>
        </w:tc>
        <w:tc>
          <w:tcPr>
            <w:tcW w:type="dxa" w:w="2357"/>
          </w:tcPr>
          <w:p>
            <w:pPr>
              <w:pStyle w:val="MDPI42tablebody"/>
              <w:keepNext/>
              <w:spacing w:line="240" w:lineRule="auto" w:before="30" w:after="30"/>
              <w:jc w:val="center"/>
            </w:pPr>
            <w:r>
              <w:rPr>
                <w:b w:val="0"/>
                <w:i w:val="0"/>
                <w:sz w:val="18"/>
              </w:rPr>
              <w:t>−0.309*</w:t>
            </w:r>
          </w:p>
        </w:tc>
        <w:tc>
          <w:tcPr>
            <w:tcW w:type="dxa" w:w="2357"/>
          </w:tcPr>
          <w:p>
            <w:pPr>
              <w:pStyle w:val="MDPI42tablebody"/>
              <w:keepNext/>
              <w:spacing w:line="240" w:lineRule="auto" w:before="30" w:after="30"/>
              <w:jc w:val="center"/>
            </w:pPr>
            <w:r>
              <w:rPr>
                <w:b w:val="0"/>
                <w:i w:val="0"/>
                <w:sz w:val="18"/>
              </w:rPr>
              <w:t>0.426</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(0.162)</w:t>
            </w:r>
          </w:p>
        </w:tc>
        <w:tc>
          <w:tcPr>
            <w:tcW w:type="dxa" w:w="2357"/>
          </w:tcPr>
          <w:p>
            <w:pPr>
              <w:pStyle w:val="MDPI42tablebody"/>
              <w:keepNext/>
              <w:spacing w:line="240" w:lineRule="auto" w:before="30" w:after="30"/>
              <w:jc w:val="center"/>
            </w:pPr>
            <w:r>
              <w:rPr>
                <w:b w:val="0"/>
                <w:i w:val="0"/>
                <w:sz w:val="18"/>
              </w:rPr>
              <w:t>(0.363)</w:t>
            </w:r>
          </w:p>
        </w:tc>
      </w:tr>
      <w:tr>
        <w:trPr>
          <w:cantSplit/>
        </w:trPr>
        <w:tc>
          <w:tcPr>
            <w:tcW w:type="dxa" w:w="3143"/>
          </w:tcPr>
          <w:p>
            <w:pPr>
              <w:pStyle w:val="MDPI42tablebody"/>
              <w:keepNext/>
              <w:spacing w:line="240" w:lineRule="auto" w:before="30" w:after="30"/>
              <w:jc w:val="left"/>
            </w:pPr>
            <w:r>
              <w:rPr>
                <w:b w:val="0"/>
                <w:i/>
                <w:sz w:val="18"/>
              </w:rPr>
              <w:t>Treat x 2023</w:t>
            </w:r>
          </w:p>
        </w:tc>
        <w:tc>
          <w:tcPr>
            <w:tcW w:type="dxa" w:w="2357"/>
          </w:tcPr>
          <w:p>
            <w:pPr>
              <w:pStyle w:val="MDPI42tablebody"/>
              <w:keepNext/>
              <w:spacing w:line="240" w:lineRule="auto" w:before="30" w:after="30"/>
              <w:jc w:val="center"/>
            </w:pPr>
            <w:r>
              <w:rPr>
                <w:b w:val="0"/>
                <w:i w:val="0"/>
                <w:sz w:val="18"/>
              </w:rPr>
              <w:t>−1.654***</w:t>
            </w:r>
          </w:p>
        </w:tc>
        <w:tc>
          <w:tcPr>
            <w:tcW w:type="dxa" w:w="2357"/>
          </w:tcPr>
          <w:p>
            <w:pPr>
              <w:pStyle w:val="MDPI42tablebody"/>
              <w:keepNext/>
              <w:spacing w:line="240" w:lineRule="auto" w:before="30" w:after="30"/>
              <w:jc w:val="center"/>
            </w:pPr>
            <w:r>
              <w:rPr>
                <w:b w:val="0"/>
                <w:i w:val="0"/>
                <w:sz w:val="18"/>
              </w:rPr>
              <w:t>2.998***</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(0.169)</w:t>
            </w:r>
          </w:p>
        </w:tc>
        <w:tc>
          <w:tcPr>
            <w:tcW w:type="dxa" w:w="2357"/>
          </w:tcPr>
          <w:p>
            <w:pPr>
              <w:pStyle w:val="MDPI42tablebody"/>
              <w:keepNext/>
              <w:spacing w:line="240" w:lineRule="auto" w:before="30" w:after="30"/>
              <w:jc w:val="center"/>
            </w:pPr>
            <w:r>
              <w:rPr>
                <w:b w:val="0"/>
                <w:i w:val="0"/>
                <w:sz w:val="18"/>
              </w:rPr>
              <w:t>(0.371)</w:t>
            </w:r>
          </w:p>
        </w:tc>
      </w:tr>
      <w:tr>
        <w:trPr>
          <w:cantSplit/>
        </w:trPr>
        <w:tc>
          <w:tcPr>
            <w:tcW w:type="dxa" w:w="3143"/>
          </w:tcPr>
          <w:p>
            <w:pPr>
              <w:pStyle w:val="MDPI42tablebody"/>
              <w:keepNext/>
              <w:spacing w:line="240" w:lineRule="auto" w:before="30" w:after="30"/>
              <w:jc w:val="left"/>
            </w:pPr>
            <w:r>
              <w:rPr>
                <w:b w:val="0"/>
                <w:i/>
                <w:sz w:val="18"/>
              </w:rPr>
              <w:t>Treat x 2024</w:t>
            </w:r>
          </w:p>
        </w:tc>
        <w:tc>
          <w:tcPr>
            <w:tcW w:type="dxa" w:w="2357"/>
          </w:tcPr>
          <w:p>
            <w:pPr>
              <w:pStyle w:val="MDPI42tablebody"/>
              <w:keepNext/>
              <w:spacing w:line="240" w:lineRule="auto" w:before="30" w:after="30"/>
              <w:jc w:val="center"/>
            </w:pPr>
            <w:r>
              <w:rPr>
                <w:b w:val="0"/>
                <w:i w:val="0"/>
                <w:sz w:val="18"/>
              </w:rPr>
              <w:t>−2.136***</w:t>
            </w:r>
          </w:p>
        </w:tc>
        <w:tc>
          <w:tcPr>
            <w:tcW w:type="dxa" w:w="2357"/>
          </w:tcPr>
          <w:p>
            <w:pPr>
              <w:pStyle w:val="MDPI42tablebody"/>
              <w:keepNext/>
              <w:spacing w:line="240" w:lineRule="auto" w:before="30" w:after="30"/>
              <w:jc w:val="center"/>
            </w:pPr>
            <w:r>
              <w:rPr>
                <w:b w:val="0"/>
                <w:i w:val="0"/>
                <w:sz w:val="18"/>
              </w:rPr>
              <w:t>3.834***</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(0.167)</w:t>
            </w:r>
          </w:p>
        </w:tc>
        <w:tc>
          <w:tcPr>
            <w:tcW w:type="dxa" w:w="2357"/>
          </w:tcPr>
          <w:p>
            <w:pPr>
              <w:pStyle w:val="MDPI42tablebody"/>
              <w:keepNext/>
              <w:spacing w:line="240" w:lineRule="auto" w:before="30" w:after="30"/>
              <w:jc w:val="center"/>
            </w:pPr>
            <w:r>
              <w:rPr>
                <w:b w:val="0"/>
                <w:i w:val="0"/>
                <w:sz w:val="18"/>
              </w:rPr>
              <w:t>(0.373)</w:t>
            </w:r>
          </w:p>
        </w:tc>
      </w:tr>
      <w:tr>
        <w:trPr>
          <w:cantSplit/>
        </w:trPr>
        <w:tc>
          <w:tcPr>
            <w:tcW w:type="dxa" w:w="3143"/>
          </w:tcPr>
          <w:p>
            <w:pPr>
              <w:pStyle w:val="MDPI42tablebody"/>
              <w:keepNext/>
              <w:spacing w:line="240" w:lineRule="auto" w:before="30" w:after="30"/>
              <w:jc w:val="left"/>
            </w:pPr>
            <w:r>
              <w:rPr>
                <w:b w:val="0"/>
                <w:i/>
                <w:sz w:val="18"/>
              </w:rPr>
              <w:t>Treat x 2025</w:t>
            </w:r>
          </w:p>
        </w:tc>
        <w:tc>
          <w:tcPr>
            <w:tcW w:type="dxa" w:w="2357"/>
          </w:tcPr>
          <w:p>
            <w:pPr>
              <w:pStyle w:val="MDPI42tablebody"/>
              <w:keepNext/>
              <w:spacing w:line="240" w:lineRule="auto" w:before="30" w:after="30"/>
              <w:jc w:val="center"/>
            </w:pPr>
            <w:r>
              <w:rPr>
                <w:b w:val="0"/>
                <w:i w:val="0"/>
                <w:sz w:val="18"/>
              </w:rPr>
              <w:t>−1.971***</w:t>
            </w:r>
          </w:p>
        </w:tc>
        <w:tc>
          <w:tcPr>
            <w:tcW w:type="dxa" w:w="2357"/>
          </w:tcPr>
          <w:p>
            <w:pPr>
              <w:pStyle w:val="MDPI42tablebody"/>
              <w:keepNext/>
              <w:spacing w:line="240" w:lineRule="auto" w:before="30" w:after="30"/>
              <w:jc w:val="center"/>
            </w:pPr>
            <w:r>
              <w:rPr>
                <w:b w:val="0"/>
                <w:i w:val="0"/>
                <w:sz w:val="18"/>
              </w:rPr>
              <w:t>4.164***</w:t>
            </w:r>
          </w:p>
        </w:tc>
      </w:tr>
      <w:tr>
        <w:trPr>
          <w:cantSplit/>
        </w:trPr>
        <w:tc>
          <w:tcPr>
            <w:tcW w:type="dxa" w:w="3143"/>
          </w:tcPr>
          <w:p>
            <w:pPr>
              <w:pStyle w:val="MDPI42tablebody"/>
              <w:keepNext/>
              <w:spacing w:line="240" w:lineRule="auto" w:before="30" w:after="30"/>
              <w:jc w:val="left"/>
            </w:pPr>
          </w:p>
        </w:tc>
        <w:tc>
          <w:tcPr>
            <w:tcW w:type="dxa" w:w="2357"/>
          </w:tcPr>
          <w:p>
            <w:pPr>
              <w:pStyle w:val="MDPI42tablebody"/>
              <w:keepNext/>
              <w:spacing w:line="240" w:lineRule="auto" w:before="30" w:after="30"/>
              <w:jc w:val="center"/>
            </w:pPr>
            <w:r>
              <w:rPr>
                <w:b w:val="0"/>
                <w:i w:val="0"/>
                <w:sz w:val="18"/>
              </w:rPr>
              <w:t>(0.167)</w:t>
            </w:r>
          </w:p>
        </w:tc>
        <w:tc>
          <w:tcPr>
            <w:tcW w:type="dxa" w:w="2357"/>
          </w:tcPr>
          <w:p>
            <w:pPr>
              <w:pStyle w:val="MDPI42tablebody"/>
              <w:keepNext/>
              <w:spacing w:line="240" w:lineRule="auto" w:before="30" w:after="30"/>
              <w:jc w:val="center"/>
            </w:pPr>
            <w:r>
              <w:rPr>
                <w:b w:val="0"/>
                <w:i w:val="0"/>
                <w:sz w:val="18"/>
              </w:rPr>
              <w:t>(0.385)</w:t>
            </w:r>
          </w:p>
        </w:tc>
      </w:tr>
      <w:tr>
        <w:trPr>
          <w:cantSplit/>
        </w:trPr>
        <w:tc>
          <w:tcPr>
            <w:tcW w:type="dxa" w:w="3143"/>
          </w:tcPr>
          <w:p>
            <w:pPr>
              <w:pStyle w:val="MDPI42tablebody"/>
              <w:keepNext/>
              <w:spacing w:line="240" w:lineRule="auto" w:before="30" w:after="30"/>
              <w:jc w:val="left"/>
            </w:pPr>
            <w:r>
              <w:rPr>
                <w:b w:val="0"/>
                <w:i/>
                <w:sz w:val="18"/>
              </w:rPr>
              <w:t>Joint test of pre-shock leads, χ²</w:t>
            </w:r>
          </w:p>
        </w:tc>
        <w:tc>
          <w:tcPr>
            <w:tcW w:type="dxa" w:w="2357"/>
          </w:tcPr>
          <w:p>
            <w:pPr>
              <w:pStyle w:val="MDPI42tablebody"/>
              <w:keepNext/>
              <w:spacing w:line="240" w:lineRule="auto" w:before="30" w:after="30"/>
              <w:jc w:val="center"/>
            </w:pPr>
            <w:r>
              <w:rPr>
                <w:b w:val="0"/>
                <w:i w:val="0"/>
                <w:sz w:val="18"/>
              </w:rPr>
              <w:t>3.99</w:t>
            </w:r>
          </w:p>
        </w:tc>
        <w:tc>
          <w:tcPr>
            <w:tcW w:type="dxa" w:w="2357"/>
          </w:tcPr>
          <w:p>
            <w:pPr>
              <w:pStyle w:val="MDPI42tablebody"/>
              <w:keepNext/>
              <w:spacing w:line="240" w:lineRule="auto" w:before="30" w:after="30"/>
              <w:jc w:val="center"/>
            </w:pPr>
            <w:r>
              <w:rPr>
                <w:b w:val="0"/>
                <w:i w:val="0"/>
                <w:sz w:val="18"/>
              </w:rPr>
              <w:t>4.82</w:t>
            </w:r>
          </w:p>
        </w:tc>
      </w:tr>
      <w:tr>
        <w:trPr>
          <w:cantSplit/>
        </w:trPr>
        <w:tc>
          <w:tcPr>
            <w:tcW w:type="dxa" w:w="3143"/>
          </w:tcPr>
          <w:p>
            <w:pPr>
              <w:pStyle w:val="MDPI42tablebody"/>
              <w:keepNext/>
              <w:spacing w:line="240" w:lineRule="auto" w:before="30" w:after="30"/>
              <w:jc w:val="left"/>
            </w:pPr>
            <w:r>
              <w:rPr>
                <w:b w:val="0"/>
                <w:i/>
                <w:sz w:val="18"/>
              </w:rPr>
              <w:t>Joint test of pre-shock leads, p</w:t>
            </w:r>
          </w:p>
        </w:tc>
        <w:tc>
          <w:tcPr>
            <w:tcW w:type="dxa" w:w="2357"/>
          </w:tcPr>
          <w:p>
            <w:pPr>
              <w:pStyle w:val="MDPI42tablebody"/>
              <w:keepNext/>
              <w:spacing w:line="240" w:lineRule="auto" w:before="30" w:after="30"/>
              <w:jc w:val="center"/>
            </w:pPr>
            <w:r>
              <w:rPr>
                <w:b w:val="0"/>
                <w:i w:val="0"/>
                <w:sz w:val="18"/>
              </w:rPr>
              <w:t>0.551</w:t>
            </w:r>
          </w:p>
        </w:tc>
        <w:tc>
          <w:tcPr>
            <w:tcW w:type="dxa" w:w="2357"/>
          </w:tcPr>
          <w:p>
            <w:pPr>
              <w:pStyle w:val="MDPI42tablebody"/>
              <w:keepNext/>
              <w:spacing w:line="240" w:lineRule="auto" w:before="30" w:after="30"/>
              <w:jc w:val="center"/>
            </w:pPr>
            <w:r>
              <w:rPr>
                <w:b w:val="0"/>
                <w:i w:val="0"/>
                <w:sz w:val="18"/>
              </w:rPr>
              <w:t>0.439</w:t>
            </w:r>
          </w:p>
        </w:tc>
      </w:tr>
      <w:tr>
        <w:trPr>
          <w:cantSplit/>
        </w:trPr>
        <w:tc>
          <w:tcPr>
            <w:tcW w:type="dxa" w:w="3143"/>
          </w:tcPr>
          <w:p>
            <w:pPr>
              <w:pStyle w:val="MDPI42tablebody"/>
              <w:keepNext/>
              <w:spacing w:line="240" w:lineRule="auto" w:before="30" w:after="30"/>
              <w:jc w:val="left"/>
            </w:pPr>
            <w:r>
              <w:rPr>
                <w:b w:val="0"/>
                <w:i/>
                <w:sz w:val="18"/>
              </w:rPr>
              <w:t>Controls</w:t>
            </w:r>
          </w:p>
        </w:tc>
        <w:tc>
          <w:tcPr>
            <w:tcW w:type="dxa" w:w="2357"/>
          </w:tcPr>
          <w:p>
            <w:pPr>
              <w:pStyle w:val="MDPI42tablebody"/>
              <w:keepNext/>
              <w:spacing w:line="240" w:lineRule="auto" w:before="30" w:after="30"/>
              <w:jc w:val="center"/>
            </w:pPr>
            <w:r>
              <w:rPr>
                <w:b w:val="0"/>
                <w:i w:val="0"/>
                <w:sz w:val="18"/>
              </w:rPr>
              <w:t>Yes</w:t>
            </w:r>
          </w:p>
        </w:tc>
        <w:tc>
          <w:tcPr>
            <w:tcW w:type="dxa" w:w="2357"/>
          </w:tcPr>
          <w:p>
            <w:pPr>
              <w:pStyle w:val="MDPI42tablebody"/>
              <w:keepNext/>
              <w:spacing w:line="240" w:lineRule="auto" w:before="30" w:after="30"/>
              <w:jc w:val="center"/>
            </w:pPr>
            <w:r>
              <w:rPr>
                <w:b w:val="0"/>
                <w:i w:val="0"/>
                <w:sz w:val="18"/>
              </w:rPr>
              <w:t>Yes</w:t>
            </w:r>
          </w:p>
        </w:tc>
      </w:tr>
      <w:tr>
        <w:trPr>
          <w:cantSplit/>
        </w:trPr>
        <w:tc>
          <w:tcPr>
            <w:tcW w:type="dxa" w:w="3143"/>
          </w:tcPr>
          <w:p>
            <w:pPr>
              <w:pStyle w:val="MDPI42tablebody"/>
              <w:keepNext/>
              <w:spacing w:line="240" w:lineRule="auto" w:before="30" w:after="30"/>
              <w:jc w:val="left"/>
            </w:pPr>
            <w:r>
              <w:rPr>
                <w:b w:val="0"/>
                <w:i/>
                <w:sz w:val="18"/>
              </w:rPr>
              <w:t>Firm FE</w:t>
            </w:r>
          </w:p>
        </w:tc>
        <w:tc>
          <w:tcPr>
            <w:tcW w:type="dxa" w:w="2357"/>
          </w:tcPr>
          <w:p>
            <w:pPr>
              <w:pStyle w:val="MDPI42tablebody"/>
              <w:keepNext/>
              <w:spacing w:line="240" w:lineRule="auto" w:before="30" w:after="30"/>
              <w:jc w:val="center"/>
            </w:pPr>
            <w:r>
              <w:rPr>
                <w:b w:val="0"/>
                <w:i w:val="0"/>
                <w:sz w:val="18"/>
              </w:rPr>
              <w:t>Yes</w:t>
            </w:r>
          </w:p>
        </w:tc>
        <w:tc>
          <w:tcPr>
            <w:tcW w:type="dxa" w:w="2357"/>
          </w:tcPr>
          <w:p>
            <w:pPr>
              <w:pStyle w:val="MDPI42tablebody"/>
              <w:keepNext/>
              <w:spacing w:line="240" w:lineRule="auto" w:before="30" w:after="30"/>
              <w:jc w:val="center"/>
            </w:pPr>
            <w:r>
              <w:rPr>
                <w:b w:val="0"/>
                <w:i w:val="0"/>
                <w:sz w:val="18"/>
              </w:rPr>
              <w:t>Yes</w:t>
            </w:r>
          </w:p>
        </w:tc>
      </w:tr>
      <w:tr>
        <w:trPr>
          <w:cantSplit/>
        </w:trPr>
        <w:tc>
          <w:tcPr>
            <w:tcW w:type="dxa" w:w="3143"/>
          </w:tcPr>
          <w:p>
            <w:pPr>
              <w:pStyle w:val="MDPI42tablebody"/>
              <w:keepNext/>
              <w:spacing w:line="240" w:lineRule="auto" w:before="30" w:after="30"/>
              <w:jc w:val="left"/>
            </w:pPr>
            <w:r>
              <w:rPr>
                <w:b w:val="0"/>
                <w:i/>
                <w:sz w:val="18"/>
              </w:rPr>
              <w:t>Year FE</w:t>
            </w:r>
          </w:p>
        </w:tc>
        <w:tc>
          <w:tcPr>
            <w:tcW w:type="dxa" w:w="2357"/>
          </w:tcPr>
          <w:p>
            <w:pPr>
              <w:pStyle w:val="MDPI42tablebody"/>
              <w:keepNext/>
              <w:spacing w:line="240" w:lineRule="auto" w:before="30" w:after="30"/>
              <w:jc w:val="center"/>
            </w:pPr>
            <w:r>
              <w:rPr>
                <w:b w:val="0"/>
                <w:i w:val="0"/>
                <w:sz w:val="18"/>
              </w:rPr>
              <w:t>Yes</w:t>
            </w:r>
          </w:p>
        </w:tc>
        <w:tc>
          <w:tcPr>
            <w:tcW w:type="dxa" w:w="2357"/>
          </w:tcPr>
          <w:p>
            <w:pPr>
              <w:pStyle w:val="MDPI42tablebody"/>
              <w:keepNext/>
              <w:spacing w:line="240" w:lineRule="auto" w:before="30" w:after="30"/>
              <w:jc w:val="center"/>
            </w:pPr>
            <w:r>
              <w:rPr>
                <w:b w:val="0"/>
                <w:i w:val="0"/>
                <w:sz w:val="18"/>
              </w:rPr>
              <w:t>Yes</w:t>
            </w:r>
          </w:p>
        </w:tc>
      </w:tr>
      <w:tr>
        <w:trPr>
          <w:cantSplit/>
        </w:trPr>
        <w:tc>
          <w:tcPr>
            <w:tcW w:type="dxa" w:w="3143"/>
          </w:tcPr>
          <w:p>
            <w:pPr>
              <w:pStyle w:val="MDPI42tablebody"/>
              <w:keepNext/>
              <w:spacing w:line="240" w:lineRule="auto" w:before="30" w:after="30"/>
              <w:jc w:val="left"/>
            </w:pPr>
            <w:r>
              <w:rPr>
                <w:b w:val="0"/>
                <w:i/>
                <w:sz w:val="18"/>
              </w:rPr>
              <w:t>Observations</w:t>
            </w:r>
          </w:p>
        </w:tc>
        <w:tc>
          <w:tcPr>
            <w:tcW w:type="dxa" w:w="2357"/>
          </w:tcPr>
          <w:p>
            <w:pPr>
              <w:pStyle w:val="MDPI42tablebody"/>
              <w:keepNext/>
              <w:spacing w:line="240" w:lineRule="auto" w:before="30" w:after="30"/>
              <w:jc w:val="center"/>
            </w:pPr>
            <w:r>
              <w:rPr>
                <w:b w:val="0"/>
                <w:i w:val="0"/>
                <w:sz w:val="18"/>
              </w:rPr>
              <w:t>29,660</w:t>
            </w:r>
          </w:p>
        </w:tc>
        <w:tc>
          <w:tcPr>
            <w:tcW w:type="dxa" w:w="2357"/>
          </w:tcPr>
          <w:p>
            <w:pPr>
              <w:pStyle w:val="MDPI42tablebody"/>
              <w:keepNext/>
              <w:spacing w:line="240" w:lineRule="auto" w:before="30" w:after="30"/>
              <w:jc w:val="center"/>
            </w:pPr>
            <w:r>
              <w:rPr>
                <w:b w:val="0"/>
                <w:i w:val="0"/>
                <w:sz w:val="18"/>
              </w:rPr>
              <w:t>29,660</w:t>
            </w:r>
          </w:p>
        </w:tc>
      </w:tr>
      <w:tr>
        <w:trPr>
          <w:cantSplit/>
        </w:trPr>
        <w:tc>
          <w:tcPr>
            <w:tcW w:type="dxa" w:w="3143"/>
          </w:tcPr>
          <w:p>
            <w:pPr>
              <w:pStyle w:val="MDPI42tablebody"/>
              <w:spacing w:line="240" w:lineRule="auto" w:before="30" w:after="30"/>
              <w:jc w:val="left"/>
            </w:pPr>
            <w:r>
              <w:rPr>
                <w:b w:val="0"/>
                <w:i/>
                <w:sz w:val="18"/>
              </w:rPr>
              <w:t>Within R²</w:t>
            </w:r>
          </w:p>
        </w:tc>
        <w:tc>
          <w:tcPr>
            <w:tcW w:type="dxa" w:w="2357"/>
          </w:tcPr>
          <w:p>
            <w:pPr>
              <w:pStyle w:val="MDPI42tablebody"/>
              <w:spacing w:line="240" w:lineRule="auto" w:before="30" w:after="30"/>
              <w:jc w:val="center"/>
            </w:pPr>
            <w:r>
              <w:rPr>
                <w:b w:val="0"/>
                <w:i w:val="0"/>
                <w:sz w:val="18"/>
              </w:rPr>
              <w:t>0.169</w:t>
            </w:r>
          </w:p>
        </w:tc>
        <w:tc>
          <w:tcPr>
            <w:tcW w:type="dxa" w:w="2357"/>
          </w:tcPr>
          <w:p>
            <w:pPr>
              <w:pStyle w:val="MDPI42tablebody"/>
              <w:spacing w:line="240" w:lineRule="auto" w:before="30" w:after="30"/>
              <w:jc w:val="center"/>
            </w:pPr>
            <w:r>
              <w:rPr>
                <w:b w:val="0"/>
                <w:i w:val="0"/>
                <w:sz w:val="18"/>
              </w:rPr>
              <w:t>0.042</w:t>
            </w:r>
          </w:p>
        </w:tc>
      </w:tr>
    </w:tbl>
    <w:p>
      <w:pPr>
        <w:pStyle w:val="MDPI43tablefooter"/>
        <w:spacing w:line="240" w:lineRule="auto" w:before="40" w:after="200"/>
        <w:ind w:left="2608" w:firstLine="0"/>
      </w:pPr>
      <w:r>
        <w:rPr>
          <w:sz w:val="16"/>
        </w:rPr>
        <w:t xml:space="preserve">Note: </w:t>
      </w:r>
      <w:r>
        <w:rPr>
          <w:b w:val="0"/>
          <w:i w:val="0"/>
          <w:sz w:val="16"/>
        </w:rPr>
        <w:t>The model is Equation (14). Treated firms are those in the top tertile of pre-sample occupational exposure to language models and 2021 is the reference year. The joint test of pre-shock leads is a Wald test that the interactions for 2016 to 2020 are jointly zero. Standard errors clustered at the firm level are in parentheses. ***, ** and * denote significance at the 1%, 5% and 10% levels.</w:t>
      </w:r>
    </w:p>
    <w:p>
      <w:pPr>
        <w:pStyle w:val="MDPI21heading1"/>
      </w:pPr>
      <w:r>
        <w:t>5. Further Investigations</w:t>
      </w:r>
    </w:p>
    <w:p>
      <w:pPr>
        <w:pStyle w:val="MDPI22heading2"/>
      </w:pPr>
      <w:r>
        <w:t>5.1. Robustness</w:t>
      </w:r>
    </w:p>
    <w:p>
      <w:pPr>
        <w:pStyle w:val="MDPI32textnoindent"/>
      </w:pPr>
      <w:r>
        <w:rPr>
          <w:b w:val="0"/>
          <w:i w:val="0"/>
        </w:rPr>
        <w:t>Table 11 reports 12 alternative specifications. Replacing the year effects with industry-by-year and then province-by-year effects, which absorb any shock common to an industry or a province in a given year, leaves the coefficient essentially unchanged. Clustering on both the firm and the year rather than on the firm alone widens the standard error but leaves the estimate significant at the 1% level. Estimating in logs of the count, restricting to the balanced panel, dropping the pandemic years 2020 and 2021, dropping the final year, dropping state-owned firms, winsorising the dependent variable at the 5th and 95th percentiles, restricting to firms with at least five annual reports, and adding the lagged dependent variable all leave the conclusion intact. Across the specifications measured in the units of the baseline the coefficient ranges from −1.239 to −1.104.</w:t>
      </w:r>
    </w:p>
    <w:p>
      <w:pPr>
        <w:pStyle w:val="MDPI31text"/>
      </w:pPr>
      <w:r>
        <w:rPr>
          <w:b w:val="0"/>
          <w:i w:val="0"/>
        </w:rPr>
        <w:t xml:space="preserve">Three further checks address inference and omitted variables rather than specification. First, although the panel has 3,200 clusters, we recompute the p-value of the coefficient by a restricted wild cluster bootstrap with Rademacher weights and 999 replications </w:t>
      </w:r>
      <w:r>
        <w:t>[</w:t>
      </w:r>
      <w:r>
        <w:fldChar w:fldCharType="begin"/>
      </w:r>
      <w:r>
        <w:instrText xml:space="preserve"> REF _Ref_72 \h </w:instrText>
      </w:r>
      <w:r>
        <w:fldChar w:fldCharType="separate"/>
      </w:r>
      <w:r>
        <w:t>72</w:t>
      </w:r>
      <w:r>
        <w:fldChar w:fldCharType="end"/>
      </w:r>
      <w:r>
        <w:t>,</w:t>
      </w:r>
      <w:r>
        <w:fldChar w:fldCharType="begin"/>
      </w:r>
      <w:r>
        <w:instrText xml:space="preserve"> REF _Ref_73 \h </w:instrText>
      </w:r>
      <w:r>
        <w:fldChar w:fldCharType="separate"/>
      </w:r>
      <w:r>
        <w:t>73</w:t>
      </w:r>
      <w:r>
        <w:fldChar w:fldCharType="end"/>
      </w:r>
      <w:r>
        <w:t>]</w:t>
      </w:r>
      <w:r>
        <w:rPr>
          <w:b w:val="0"/>
          <w:i w:val="0"/>
        </w:rPr>
        <w:t xml:space="preserve">: p = 0.001. Second, we permute the uncertainty measure at random within each year 300 times and re-estimate; the actual coefficient is more extreme than the permuted ones with a randomisation p-value of 0.003. Third, we apply the coefficient-stability bound of Oster </w:t>
      </w:r>
      <w:r>
        <w:t>[</w:t>
      </w:r>
      <w:r>
        <w:fldChar w:fldCharType="begin"/>
      </w:r>
      <w:r>
        <w:instrText xml:space="preserve"> REF _Ref_74 \h </w:instrText>
      </w:r>
      <w:r>
        <w:fldChar w:fldCharType="separate"/>
      </w:r>
      <w:r>
        <w:t>74</w:t>
      </w:r>
      <w:r>
        <w:fldChar w:fldCharType="end"/>
      </w:r>
      <w:r>
        <w:t>]</w:t>
      </w:r>
      <w:r>
        <w:rPr>
          <w:b w:val="0"/>
          <w:i w:val="0"/>
        </w:rPr>
        <w:t>. Moving from the specification without controls to the specification with them changes the coefficient from −1.228 to −1.230 while the R-squared rises from 0.135 to 0.277; the coefficient is therefore almost completely insensitive to the observed controls, the bias-adjusted value is −1.231, and selection on unobservables would have to be 1368 times as important as selection on the observed controls, and to work in the opposite direction, to drive the estimate to zero.</w:t>
      </w:r>
    </w:p>
    <w:p>
      <w:pPr>
        <w:pStyle w:val="MDPI31text"/>
      </w:pPr>
      <w:r>
        <w:rPr>
          <w:b w:val="0"/>
          <w:i w:val="0"/>
        </w:rPr>
        <w:t xml:space="preserve">One timing check is worth reporting separately because it is a test of the mechanism rather than of robustness. Entering the contemporaneous and the once-lagged uncertainty measure together, the contemporaneous term retains a coefficient of −1.220 while the lagged term is −0.007 (0.020). It is current dispersion that sets the current hurdle, exactly as Equation (4) states: the trigger is a function of today's </w:t>
      </w:r>
      <m:oMath>
        <m:r>
          <m:t xml:space="preserve">σ</m:t>
        </m:r>
      </m:oMath>
      <w:r>
        <w:rPr>
          <w:b w:val="0"/>
          <w:i w:val="0"/>
        </w:rPr>
        <w:t>, not of last year's, and a firm that has become confident again should hire again. That the effect is contemporaneous is also why the policy lever is fast-acting.</w:t>
      </w:r>
    </w:p>
    <w:p>
      <w:pPr>
        <w:pStyle w:val="MDPI41tablecaption"/>
        <w:keepNext/>
        <w:spacing w:after="60"/>
      </w:pPr>
      <w:r>
        <w:rPr>
          <w:b/>
          <w:sz w:val="18"/>
        </w:rPr>
        <w:t xml:space="preserve">Table 11. </w:t>
      </w:r>
      <w:r>
        <w:rPr>
          <w:b w:val="0"/>
          <w:i w:val="0"/>
          <w:sz w:val="18"/>
        </w:rPr>
        <w:t>Robustness checks.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814"/>
        <w:gridCol w:w="1465"/>
        <w:gridCol w:w="1465"/>
        <w:gridCol w:w="1465"/>
        <w:gridCol w:w="1255"/>
      </w:tblGrid>
      <w:tr>
        <w:trPr>
          <w:cantSplit/>
          <w:tblHeader/>
        </w:trPr>
        <w:tc>
          <w:tcPr>
            <w:tcW w:type="dxa" w:w="4814"/>
            <w:tcBorders>
              <w:bottom w:val="single" w:sz="8" w:space="0" w:color="auto"/>
            </w:tcBorders>
          </w:tcPr>
          <w:p>
            <w:pPr>
              <w:pStyle w:val="MDPI42tablebody"/>
              <w:keepNext/>
              <w:spacing w:line="240" w:lineRule="auto" w:before="30" w:after="30"/>
              <w:jc w:val="center"/>
            </w:pPr>
            <w:r>
              <w:rPr>
                <w:b/>
                <w:i w:val="0"/>
                <w:sz w:val="18"/>
              </w:rPr>
              <w:t>Specification</w:t>
            </w:r>
          </w:p>
        </w:tc>
        <w:tc>
          <w:tcPr>
            <w:tcW w:type="dxa" w:w="1465"/>
            <w:tcBorders>
              <w:bottom w:val="single" w:sz="8" w:space="0" w:color="auto"/>
            </w:tcBorders>
          </w:tcPr>
          <w:p>
            <w:pPr>
              <w:pStyle w:val="MDPI42tablebody"/>
              <w:keepNext/>
              <w:spacing w:line="240" w:lineRule="auto" w:before="30" w:after="30"/>
              <w:jc w:val="center"/>
            </w:pPr>
            <w:r>
              <w:rPr>
                <w:b/>
                <w:i w:val="0"/>
                <w:sz w:val="18"/>
              </w:rPr>
              <w:t>AIU</w:t>
            </w:r>
          </w:p>
        </w:tc>
        <w:tc>
          <w:tcPr>
            <w:tcW w:type="dxa" w:w="1465"/>
            <w:tcBorders>
              <w:bottom w:val="single" w:sz="8" w:space="0" w:color="auto"/>
            </w:tcBorders>
          </w:tcPr>
          <w:p>
            <w:pPr>
              <w:pStyle w:val="MDPI42tablebody"/>
              <w:keepNext/>
              <w:spacing w:line="240" w:lineRule="auto" w:before="30" w:after="30"/>
              <w:jc w:val="center"/>
            </w:pPr>
            <w:r>
              <w:rPr>
                <w:b/>
                <w:i w:val="0"/>
                <w:sz w:val="18"/>
              </w:rPr>
              <w:t>SE</w:t>
            </w:r>
          </w:p>
        </w:tc>
        <w:tc>
          <w:tcPr>
            <w:tcW w:type="dxa" w:w="1465"/>
            <w:tcBorders>
              <w:bottom w:val="single" w:sz="8" w:space="0" w:color="auto"/>
            </w:tcBorders>
          </w:tcPr>
          <w:p>
            <w:pPr>
              <w:pStyle w:val="MDPI42tablebody"/>
              <w:keepNext/>
              <w:spacing w:line="240" w:lineRule="auto" w:before="30" w:after="30"/>
              <w:jc w:val="center"/>
            </w:pPr>
            <w:r>
              <w:rPr>
                <w:b/>
                <w:i w:val="0"/>
                <w:sz w:val="18"/>
              </w:rPr>
              <w:t>N</w:t>
            </w:r>
          </w:p>
        </w:tc>
        <w:tc>
          <w:tcPr>
            <w:tcW w:type="dxa" w:w="1255"/>
            <w:tcBorders>
              <w:bottom w:val="single" w:sz="8" w:space="0" w:color="auto"/>
            </w:tcBorders>
          </w:tcPr>
          <w:p>
            <w:pPr>
              <w:pStyle w:val="MDPI42tablebody"/>
              <w:keepNext/>
              <w:spacing w:line="240" w:lineRule="auto" w:before="30" w:after="30"/>
              <w:jc w:val="center"/>
            </w:pPr>
            <w:r>
              <w:rPr>
                <w:b/>
                <w:i w:val="0"/>
                <w:sz w:val="18"/>
              </w:rPr>
              <w:t>Within R²</w:t>
            </w:r>
          </w:p>
        </w:tc>
      </w:tr>
      <w:tr>
        <w:trPr>
          <w:cantSplit/>
        </w:trPr>
        <w:tc>
          <w:tcPr>
            <w:tcW w:type="dxa" w:w="4814"/>
          </w:tcPr>
          <w:p>
            <w:pPr>
              <w:pStyle w:val="MDPI42tablebody"/>
              <w:keepNext/>
              <w:spacing w:line="240" w:lineRule="auto" w:before="30" w:after="30"/>
              <w:jc w:val="left"/>
            </w:pPr>
            <w:r>
              <w:rPr>
                <w:b w:val="0"/>
                <w:i w:val="0"/>
                <w:sz w:val="18"/>
              </w:rPr>
              <w:t>Baseline</w:t>
            </w:r>
          </w:p>
        </w:tc>
        <w:tc>
          <w:tcPr>
            <w:tcW w:type="dxa" w:w="1465"/>
          </w:tcPr>
          <w:p>
            <w:pPr>
              <w:pStyle w:val="MDPI42tablebody"/>
              <w:keepNext/>
              <w:spacing w:line="240" w:lineRule="auto" w:before="30" w:after="30"/>
              <w:jc w:val="center"/>
            </w:pPr>
            <w:r>
              <w:rPr>
                <w:b w:val="0"/>
                <w:i w:val="0"/>
                <w:sz w:val="18"/>
              </w:rPr>
              <w:t>−1.230***</w:t>
            </w:r>
          </w:p>
        </w:tc>
        <w:tc>
          <w:tcPr>
            <w:tcW w:type="dxa" w:w="1465"/>
          </w:tcPr>
          <w:p>
            <w:pPr>
              <w:pStyle w:val="MDPI42tablebody"/>
              <w:keepNext/>
              <w:spacing w:line="240" w:lineRule="auto" w:before="30" w:after="30"/>
              <w:jc w:val="center"/>
            </w:pPr>
            <w:r>
              <w:rPr>
                <w:b w:val="0"/>
                <w:i w:val="0"/>
                <w:sz w:val="18"/>
              </w:rPr>
              <w:t>(0.026)</w:t>
            </w:r>
          </w:p>
        </w:tc>
        <w:tc>
          <w:tcPr>
            <w:tcW w:type="dxa" w:w="1465"/>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0.277</w:t>
            </w:r>
          </w:p>
        </w:tc>
      </w:tr>
      <w:tr>
        <w:trPr>
          <w:cantSplit/>
        </w:trPr>
        <w:tc>
          <w:tcPr>
            <w:tcW w:type="dxa" w:w="4814"/>
          </w:tcPr>
          <w:p>
            <w:pPr>
              <w:pStyle w:val="MDPI42tablebody"/>
              <w:keepNext/>
              <w:spacing w:line="240" w:lineRule="auto" w:before="30" w:after="30"/>
              <w:jc w:val="left"/>
            </w:pPr>
            <w:r>
              <w:rPr>
                <w:b w:val="0"/>
                <w:i w:val="0"/>
                <w:sz w:val="18"/>
              </w:rPr>
              <w:t>Industry x year effects</w:t>
            </w:r>
          </w:p>
        </w:tc>
        <w:tc>
          <w:tcPr>
            <w:tcW w:type="dxa" w:w="1465"/>
          </w:tcPr>
          <w:p>
            <w:pPr>
              <w:pStyle w:val="MDPI42tablebody"/>
              <w:keepNext/>
              <w:spacing w:line="240" w:lineRule="auto" w:before="30" w:after="30"/>
              <w:jc w:val="center"/>
            </w:pPr>
            <w:r>
              <w:rPr>
                <w:b w:val="0"/>
                <w:i w:val="0"/>
                <w:sz w:val="18"/>
              </w:rPr>
              <w:t>−1.217***</w:t>
            </w:r>
          </w:p>
        </w:tc>
        <w:tc>
          <w:tcPr>
            <w:tcW w:type="dxa" w:w="1465"/>
          </w:tcPr>
          <w:p>
            <w:pPr>
              <w:pStyle w:val="MDPI42tablebody"/>
              <w:keepNext/>
              <w:spacing w:line="240" w:lineRule="auto" w:before="30" w:after="30"/>
              <w:jc w:val="center"/>
            </w:pPr>
            <w:r>
              <w:rPr>
                <w:b w:val="0"/>
                <w:i w:val="0"/>
                <w:sz w:val="18"/>
              </w:rPr>
              <w:t>(0.027)</w:t>
            </w:r>
          </w:p>
        </w:tc>
        <w:tc>
          <w:tcPr>
            <w:tcW w:type="dxa" w:w="1465"/>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0.267</w:t>
            </w:r>
          </w:p>
        </w:tc>
      </w:tr>
      <w:tr>
        <w:trPr>
          <w:cantSplit/>
        </w:trPr>
        <w:tc>
          <w:tcPr>
            <w:tcW w:type="dxa" w:w="4814"/>
          </w:tcPr>
          <w:p>
            <w:pPr>
              <w:pStyle w:val="MDPI42tablebody"/>
              <w:keepNext/>
              <w:spacing w:line="240" w:lineRule="auto" w:before="30" w:after="30"/>
              <w:jc w:val="left"/>
            </w:pPr>
            <w:r>
              <w:rPr>
                <w:b w:val="0"/>
                <w:i w:val="0"/>
                <w:sz w:val="18"/>
              </w:rPr>
              <w:t>Province x year effects</w:t>
            </w:r>
          </w:p>
        </w:tc>
        <w:tc>
          <w:tcPr>
            <w:tcW w:type="dxa" w:w="1465"/>
          </w:tcPr>
          <w:p>
            <w:pPr>
              <w:pStyle w:val="MDPI42tablebody"/>
              <w:keepNext/>
              <w:spacing w:line="240" w:lineRule="auto" w:before="30" w:after="30"/>
              <w:jc w:val="center"/>
            </w:pPr>
            <w:r>
              <w:rPr>
                <w:b w:val="0"/>
                <w:i w:val="0"/>
                <w:sz w:val="18"/>
              </w:rPr>
              <w:t>−1.224***</w:t>
            </w:r>
          </w:p>
        </w:tc>
        <w:tc>
          <w:tcPr>
            <w:tcW w:type="dxa" w:w="1465"/>
          </w:tcPr>
          <w:p>
            <w:pPr>
              <w:pStyle w:val="MDPI42tablebody"/>
              <w:keepNext/>
              <w:spacing w:line="240" w:lineRule="auto" w:before="30" w:after="30"/>
              <w:jc w:val="center"/>
            </w:pPr>
            <w:r>
              <w:rPr>
                <w:b w:val="0"/>
                <w:i w:val="0"/>
                <w:sz w:val="18"/>
              </w:rPr>
              <w:t>(0.028)</w:t>
            </w:r>
          </w:p>
        </w:tc>
        <w:tc>
          <w:tcPr>
            <w:tcW w:type="dxa" w:w="1465"/>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0.256</w:t>
            </w:r>
          </w:p>
        </w:tc>
      </w:tr>
      <w:tr>
        <w:trPr>
          <w:cantSplit/>
        </w:trPr>
        <w:tc>
          <w:tcPr>
            <w:tcW w:type="dxa" w:w="4814"/>
          </w:tcPr>
          <w:p>
            <w:pPr>
              <w:pStyle w:val="MDPI42tablebody"/>
              <w:keepNext/>
              <w:spacing w:line="240" w:lineRule="auto" w:before="30" w:after="30"/>
              <w:jc w:val="left"/>
            </w:pPr>
            <w:r>
              <w:rPr>
                <w:b w:val="0"/>
                <w:i w:val="0"/>
                <w:sz w:val="18"/>
              </w:rPr>
              <w:t>Two-way clustering (firm and year)</w:t>
            </w:r>
          </w:p>
        </w:tc>
        <w:tc>
          <w:tcPr>
            <w:tcW w:type="dxa" w:w="1465"/>
          </w:tcPr>
          <w:p>
            <w:pPr>
              <w:pStyle w:val="MDPI42tablebody"/>
              <w:keepNext/>
              <w:spacing w:line="240" w:lineRule="auto" w:before="30" w:after="30"/>
              <w:jc w:val="center"/>
            </w:pPr>
            <w:r>
              <w:rPr>
                <w:b w:val="0"/>
                <w:i w:val="0"/>
                <w:sz w:val="18"/>
              </w:rPr>
              <w:t>−1.230***</w:t>
            </w:r>
          </w:p>
        </w:tc>
        <w:tc>
          <w:tcPr>
            <w:tcW w:type="dxa" w:w="1465"/>
          </w:tcPr>
          <w:p>
            <w:pPr>
              <w:pStyle w:val="MDPI42tablebody"/>
              <w:keepNext/>
              <w:spacing w:line="240" w:lineRule="auto" w:before="30" w:after="30"/>
              <w:jc w:val="center"/>
            </w:pPr>
            <w:r>
              <w:rPr>
                <w:b w:val="0"/>
                <w:i w:val="0"/>
                <w:sz w:val="18"/>
              </w:rPr>
              <w:t>(0.035)</w:t>
            </w:r>
          </w:p>
        </w:tc>
        <w:tc>
          <w:tcPr>
            <w:tcW w:type="dxa" w:w="1465"/>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0.277</w:t>
            </w:r>
          </w:p>
        </w:tc>
      </w:tr>
      <w:tr>
        <w:trPr>
          <w:cantSplit/>
        </w:trPr>
        <w:tc>
          <w:tcPr>
            <w:tcW w:type="dxa" w:w="4814"/>
          </w:tcPr>
          <w:p>
            <w:pPr>
              <w:pStyle w:val="MDPI42tablebody"/>
              <w:keepNext/>
              <w:spacing w:line="240" w:lineRule="auto" w:before="30" w:after="30"/>
              <w:jc w:val="left"/>
            </w:pPr>
            <w:r>
              <w:rPr>
                <w:b w:val="0"/>
                <w:i w:val="0"/>
                <w:sz w:val="18"/>
              </w:rPr>
              <w:t>Dependent variable in logs</w:t>
            </w:r>
          </w:p>
        </w:tc>
        <w:tc>
          <w:tcPr>
            <w:tcW w:type="dxa" w:w="1465"/>
          </w:tcPr>
          <w:p>
            <w:pPr>
              <w:pStyle w:val="MDPI42tablebody"/>
              <w:keepNext/>
              <w:spacing w:line="240" w:lineRule="auto" w:before="30" w:after="30"/>
              <w:jc w:val="center"/>
            </w:pPr>
            <w:r>
              <w:rPr>
                <w:b w:val="0"/>
                <w:i w:val="0"/>
                <w:sz w:val="18"/>
              </w:rPr>
              <w:t>−0.180***</w:t>
            </w:r>
          </w:p>
        </w:tc>
        <w:tc>
          <w:tcPr>
            <w:tcW w:type="dxa" w:w="1465"/>
          </w:tcPr>
          <w:p>
            <w:pPr>
              <w:pStyle w:val="MDPI42tablebody"/>
              <w:keepNext/>
              <w:spacing w:line="240" w:lineRule="auto" w:before="30" w:after="30"/>
              <w:jc w:val="center"/>
            </w:pPr>
            <w:r>
              <w:rPr>
                <w:b w:val="0"/>
                <w:i w:val="0"/>
                <w:sz w:val="18"/>
              </w:rPr>
              <w:t>(0.004)</w:t>
            </w:r>
          </w:p>
        </w:tc>
        <w:tc>
          <w:tcPr>
            <w:tcW w:type="dxa" w:w="1465"/>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0.308</w:t>
            </w:r>
          </w:p>
        </w:tc>
      </w:tr>
      <w:tr>
        <w:trPr>
          <w:cantSplit/>
        </w:trPr>
        <w:tc>
          <w:tcPr>
            <w:tcW w:type="dxa" w:w="4814"/>
          </w:tcPr>
          <w:p>
            <w:pPr>
              <w:pStyle w:val="MDPI42tablebody"/>
              <w:keepNext/>
              <w:spacing w:line="240" w:lineRule="auto" w:before="30" w:after="30"/>
              <w:jc w:val="left"/>
            </w:pPr>
            <w:r>
              <w:rPr>
                <w:b w:val="0"/>
                <w:i w:val="0"/>
                <w:sz w:val="18"/>
              </w:rPr>
              <w:t>Balanced panel</w:t>
            </w:r>
          </w:p>
        </w:tc>
        <w:tc>
          <w:tcPr>
            <w:tcW w:type="dxa" w:w="1465"/>
          </w:tcPr>
          <w:p>
            <w:pPr>
              <w:pStyle w:val="MDPI42tablebody"/>
              <w:keepNext/>
              <w:spacing w:line="240" w:lineRule="auto" w:before="30" w:after="30"/>
              <w:jc w:val="center"/>
            </w:pPr>
            <w:r>
              <w:rPr>
                <w:b w:val="0"/>
                <w:i w:val="0"/>
                <w:sz w:val="18"/>
              </w:rPr>
              <w:t>−1.204***</w:t>
            </w:r>
          </w:p>
        </w:tc>
        <w:tc>
          <w:tcPr>
            <w:tcW w:type="dxa" w:w="1465"/>
          </w:tcPr>
          <w:p>
            <w:pPr>
              <w:pStyle w:val="MDPI42tablebody"/>
              <w:keepNext/>
              <w:spacing w:line="240" w:lineRule="auto" w:before="30" w:after="30"/>
              <w:jc w:val="center"/>
            </w:pPr>
            <w:r>
              <w:rPr>
                <w:b w:val="0"/>
                <w:i w:val="0"/>
                <w:sz w:val="18"/>
              </w:rPr>
              <w:t>(0.029)</w:t>
            </w:r>
          </w:p>
        </w:tc>
        <w:tc>
          <w:tcPr>
            <w:tcW w:type="dxa" w:w="1465"/>
          </w:tcPr>
          <w:p>
            <w:pPr>
              <w:pStyle w:val="MDPI42tablebody"/>
              <w:keepNext/>
              <w:spacing w:line="240" w:lineRule="auto" w:before="30" w:after="30"/>
              <w:jc w:val="center"/>
            </w:pPr>
            <w:r>
              <w:rPr>
                <w:b w:val="0"/>
                <w:i w:val="0"/>
                <w:sz w:val="18"/>
              </w:rPr>
              <w:t>24,240</w:t>
            </w:r>
          </w:p>
        </w:tc>
        <w:tc>
          <w:tcPr>
            <w:tcW w:type="dxa" w:w="1255"/>
          </w:tcPr>
          <w:p>
            <w:pPr>
              <w:pStyle w:val="MDPI42tablebody"/>
              <w:keepNext/>
              <w:spacing w:line="240" w:lineRule="auto" w:before="30" w:after="30"/>
              <w:jc w:val="center"/>
            </w:pPr>
            <w:r>
              <w:rPr>
                <w:b w:val="0"/>
                <w:i w:val="0"/>
                <w:sz w:val="18"/>
              </w:rPr>
              <w:t>0.274</w:t>
            </w:r>
          </w:p>
        </w:tc>
      </w:tr>
      <w:tr>
        <w:trPr>
          <w:cantSplit/>
        </w:trPr>
        <w:tc>
          <w:tcPr>
            <w:tcW w:type="dxa" w:w="4814"/>
          </w:tcPr>
          <w:p>
            <w:pPr>
              <w:pStyle w:val="MDPI42tablebody"/>
              <w:keepNext/>
              <w:spacing w:line="240" w:lineRule="auto" w:before="30" w:after="30"/>
              <w:jc w:val="left"/>
            </w:pPr>
            <w:r>
              <w:rPr>
                <w:b w:val="0"/>
                <w:i w:val="0"/>
                <w:sz w:val="18"/>
              </w:rPr>
              <w:t>Excluding the pandemic years</w:t>
            </w:r>
          </w:p>
        </w:tc>
        <w:tc>
          <w:tcPr>
            <w:tcW w:type="dxa" w:w="1465"/>
          </w:tcPr>
          <w:p>
            <w:pPr>
              <w:pStyle w:val="MDPI42tablebody"/>
              <w:keepNext/>
              <w:spacing w:line="240" w:lineRule="auto" w:before="30" w:after="30"/>
              <w:jc w:val="center"/>
            </w:pPr>
            <w:r>
              <w:rPr>
                <w:b w:val="0"/>
                <w:i w:val="0"/>
                <w:sz w:val="18"/>
              </w:rPr>
              <w:t>−1.239***</w:t>
            </w:r>
          </w:p>
        </w:tc>
        <w:tc>
          <w:tcPr>
            <w:tcW w:type="dxa" w:w="1465"/>
          </w:tcPr>
          <w:p>
            <w:pPr>
              <w:pStyle w:val="MDPI42tablebody"/>
              <w:keepNext/>
              <w:spacing w:line="240" w:lineRule="auto" w:before="30" w:after="30"/>
              <w:jc w:val="center"/>
            </w:pPr>
            <w:r>
              <w:rPr>
                <w:b w:val="0"/>
                <w:i w:val="0"/>
                <w:sz w:val="18"/>
              </w:rPr>
              <w:t>(0.029)</w:t>
            </w:r>
          </w:p>
        </w:tc>
        <w:tc>
          <w:tcPr>
            <w:tcW w:type="dxa" w:w="1465"/>
          </w:tcPr>
          <w:p>
            <w:pPr>
              <w:pStyle w:val="MDPI42tablebody"/>
              <w:keepNext/>
              <w:spacing w:line="240" w:lineRule="auto" w:before="30" w:after="30"/>
              <w:jc w:val="center"/>
            </w:pPr>
            <w:r>
              <w:rPr>
                <w:b w:val="0"/>
                <w:i w:val="0"/>
                <w:sz w:val="18"/>
              </w:rPr>
              <w:t>23,390</w:t>
            </w:r>
          </w:p>
        </w:tc>
        <w:tc>
          <w:tcPr>
            <w:tcW w:type="dxa" w:w="1255"/>
          </w:tcPr>
          <w:p>
            <w:pPr>
              <w:pStyle w:val="MDPI42tablebody"/>
              <w:keepNext/>
              <w:spacing w:line="240" w:lineRule="auto" w:before="30" w:after="30"/>
              <w:jc w:val="center"/>
            </w:pPr>
            <w:r>
              <w:rPr>
                <w:b w:val="0"/>
                <w:i w:val="0"/>
                <w:sz w:val="18"/>
              </w:rPr>
              <w:t>0.280</w:t>
            </w:r>
          </w:p>
        </w:tc>
      </w:tr>
      <w:tr>
        <w:trPr>
          <w:cantSplit/>
        </w:trPr>
        <w:tc>
          <w:tcPr>
            <w:tcW w:type="dxa" w:w="4814"/>
          </w:tcPr>
          <w:p>
            <w:pPr>
              <w:pStyle w:val="MDPI42tablebody"/>
              <w:keepNext/>
              <w:spacing w:line="240" w:lineRule="auto" w:before="30" w:after="30"/>
              <w:jc w:val="left"/>
            </w:pPr>
            <w:r>
              <w:rPr>
                <w:b w:val="0"/>
                <w:i w:val="0"/>
                <w:sz w:val="18"/>
              </w:rPr>
              <w:t>Excluding 2025</w:t>
            </w:r>
          </w:p>
        </w:tc>
        <w:tc>
          <w:tcPr>
            <w:tcW w:type="dxa" w:w="1465"/>
          </w:tcPr>
          <w:p>
            <w:pPr>
              <w:pStyle w:val="MDPI42tablebody"/>
              <w:keepNext/>
              <w:spacing w:line="240" w:lineRule="auto" w:before="30" w:after="30"/>
              <w:jc w:val="center"/>
            </w:pPr>
            <w:r>
              <w:rPr>
                <w:b w:val="0"/>
                <w:i w:val="0"/>
                <w:sz w:val="18"/>
              </w:rPr>
              <w:t>−1.230***</w:t>
            </w:r>
          </w:p>
        </w:tc>
        <w:tc>
          <w:tcPr>
            <w:tcW w:type="dxa" w:w="1465"/>
          </w:tcPr>
          <w:p>
            <w:pPr>
              <w:pStyle w:val="MDPI42tablebody"/>
              <w:keepNext/>
              <w:spacing w:line="240" w:lineRule="auto" w:before="30" w:after="30"/>
              <w:jc w:val="center"/>
            </w:pPr>
            <w:r>
              <w:rPr>
                <w:b w:val="0"/>
                <w:i w:val="0"/>
                <w:sz w:val="18"/>
              </w:rPr>
              <w:t>(0.028)</w:t>
            </w:r>
          </w:p>
        </w:tc>
        <w:tc>
          <w:tcPr>
            <w:tcW w:type="dxa" w:w="1465"/>
          </w:tcPr>
          <w:p>
            <w:pPr>
              <w:pStyle w:val="MDPI42tablebody"/>
              <w:keepNext/>
              <w:spacing w:line="240" w:lineRule="auto" w:before="30" w:after="30"/>
              <w:jc w:val="center"/>
            </w:pPr>
            <w:r>
              <w:rPr>
                <w:b w:val="0"/>
                <w:i w:val="0"/>
                <w:sz w:val="18"/>
              </w:rPr>
              <w:t>26,621</w:t>
            </w:r>
          </w:p>
        </w:tc>
        <w:tc>
          <w:tcPr>
            <w:tcW w:type="dxa" w:w="1255"/>
          </w:tcPr>
          <w:p>
            <w:pPr>
              <w:pStyle w:val="MDPI42tablebody"/>
              <w:keepNext/>
              <w:spacing w:line="240" w:lineRule="auto" w:before="30" w:after="30"/>
              <w:jc w:val="center"/>
            </w:pPr>
            <w:r>
              <w:rPr>
                <w:b w:val="0"/>
                <w:i w:val="0"/>
                <w:sz w:val="18"/>
              </w:rPr>
              <w:t>0.275</w:t>
            </w:r>
          </w:p>
        </w:tc>
      </w:tr>
      <w:tr>
        <w:trPr>
          <w:cantSplit/>
        </w:trPr>
        <w:tc>
          <w:tcPr>
            <w:tcW w:type="dxa" w:w="4814"/>
          </w:tcPr>
          <w:p>
            <w:pPr>
              <w:pStyle w:val="MDPI42tablebody"/>
              <w:keepNext/>
              <w:spacing w:line="240" w:lineRule="auto" w:before="30" w:after="30"/>
              <w:jc w:val="left"/>
            </w:pPr>
            <w:r>
              <w:rPr>
                <w:b w:val="0"/>
                <w:i w:val="0"/>
                <w:sz w:val="18"/>
              </w:rPr>
              <w:t>Excluding state-owned firms</w:t>
            </w:r>
          </w:p>
        </w:tc>
        <w:tc>
          <w:tcPr>
            <w:tcW w:type="dxa" w:w="1465"/>
          </w:tcPr>
          <w:p>
            <w:pPr>
              <w:pStyle w:val="MDPI42tablebody"/>
              <w:keepNext/>
              <w:spacing w:line="240" w:lineRule="auto" w:before="30" w:after="30"/>
              <w:jc w:val="center"/>
            </w:pPr>
            <w:r>
              <w:rPr>
                <w:b w:val="0"/>
                <w:i w:val="0"/>
                <w:sz w:val="18"/>
              </w:rPr>
              <w:t>−1.124***</w:t>
            </w:r>
          </w:p>
        </w:tc>
        <w:tc>
          <w:tcPr>
            <w:tcW w:type="dxa" w:w="1465"/>
          </w:tcPr>
          <w:p>
            <w:pPr>
              <w:pStyle w:val="MDPI42tablebody"/>
              <w:keepNext/>
              <w:spacing w:line="240" w:lineRule="auto" w:before="30" w:after="30"/>
              <w:jc w:val="center"/>
            </w:pPr>
            <w:r>
              <w:rPr>
                <w:b w:val="0"/>
                <w:i w:val="0"/>
                <w:sz w:val="18"/>
              </w:rPr>
              <w:t>(0.030)</w:t>
            </w:r>
          </w:p>
        </w:tc>
        <w:tc>
          <w:tcPr>
            <w:tcW w:type="dxa" w:w="1465"/>
          </w:tcPr>
          <w:p>
            <w:pPr>
              <w:pStyle w:val="MDPI42tablebody"/>
              <w:keepNext/>
              <w:spacing w:line="240" w:lineRule="auto" w:before="30" w:after="30"/>
              <w:jc w:val="center"/>
            </w:pPr>
            <w:r>
              <w:rPr>
                <w:b w:val="0"/>
                <w:i w:val="0"/>
                <w:sz w:val="18"/>
              </w:rPr>
              <w:t>20,484</w:t>
            </w:r>
          </w:p>
        </w:tc>
        <w:tc>
          <w:tcPr>
            <w:tcW w:type="dxa" w:w="1255"/>
          </w:tcPr>
          <w:p>
            <w:pPr>
              <w:pStyle w:val="MDPI42tablebody"/>
              <w:keepNext/>
              <w:spacing w:line="240" w:lineRule="auto" w:before="30" w:after="30"/>
              <w:jc w:val="center"/>
            </w:pPr>
            <w:r>
              <w:rPr>
                <w:b w:val="0"/>
                <w:i w:val="0"/>
                <w:sz w:val="18"/>
              </w:rPr>
              <w:t>0.254</w:t>
            </w:r>
          </w:p>
        </w:tc>
      </w:tr>
      <w:tr>
        <w:trPr>
          <w:cantSplit/>
        </w:trPr>
        <w:tc>
          <w:tcPr>
            <w:tcW w:type="dxa" w:w="4814"/>
          </w:tcPr>
          <w:p>
            <w:pPr>
              <w:pStyle w:val="MDPI42tablebody"/>
              <w:keepNext/>
              <w:spacing w:line="240" w:lineRule="auto" w:before="30" w:after="30"/>
              <w:jc w:val="left"/>
            </w:pPr>
            <w:r>
              <w:rPr>
                <w:b w:val="0"/>
                <w:i w:val="0"/>
                <w:sz w:val="18"/>
              </w:rPr>
              <w:t>Winsorised at the 5th and 95th percentiles</w:t>
            </w:r>
          </w:p>
        </w:tc>
        <w:tc>
          <w:tcPr>
            <w:tcW w:type="dxa" w:w="1465"/>
          </w:tcPr>
          <w:p>
            <w:pPr>
              <w:pStyle w:val="MDPI42tablebody"/>
              <w:keepNext/>
              <w:spacing w:line="240" w:lineRule="auto" w:before="30" w:after="30"/>
              <w:jc w:val="center"/>
            </w:pPr>
            <w:r>
              <w:rPr>
                <w:b w:val="0"/>
                <w:i w:val="0"/>
                <w:sz w:val="18"/>
              </w:rPr>
              <w:t>−1.104***</w:t>
            </w:r>
          </w:p>
        </w:tc>
        <w:tc>
          <w:tcPr>
            <w:tcW w:type="dxa" w:w="1465"/>
          </w:tcPr>
          <w:p>
            <w:pPr>
              <w:pStyle w:val="MDPI42tablebody"/>
              <w:keepNext/>
              <w:spacing w:line="240" w:lineRule="auto" w:before="30" w:after="30"/>
              <w:jc w:val="center"/>
            </w:pPr>
            <w:r>
              <w:rPr>
                <w:b w:val="0"/>
                <w:i w:val="0"/>
                <w:sz w:val="18"/>
              </w:rPr>
              <w:t>(0.022)</w:t>
            </w:r>
          </w:p>
        </w:tc>
        <w:tc>
          <w:tcPr>
            <w:tcW w:type="dxa" w:w="1465"/>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0.300</w:t>
            </w:r>
          </w:p>
        </w:tc>
      </w:tr>
      <w:tr>
        <w:trPr>
          <w:cantSplit/>
        </w:trPr>
        <w:tc>
          <w:tcPr>
            <w:tcW w:type="dxa" w:w="4814"/>
          </w:tcPr>
          <w:p>
            <w:pPr>
              <w:pStyle w:val="MDPI42tablebody"/>
              <w:keepNext/>
              <w:spacing w:line="240" w:lineRule="auto" w:before="30" w:after="30"/>
              <w:jc w:val="left"/>
            </w:pPr>
            <w:r>
              <w:rPr>
                <w:b w:val="0"/>
                <w:i w:val="0"/>
                <w:sz w:val="18"/>
              </w:rPr>
              <w:t>Firms with at least five annual reports</w:t>
            </w:r>
          </w:p>
        </w:tc>
        <w:tc>
          <w:tcPr>
            <w:tcW w:type="dxa" w:w="1465"/>
          </w:tcPr>
          <w:p>
            <w:pPr>
              <w:pStyle w:val="MDPI42tablebody"/>
              <w:keepNext/>
              <w:spacing w:line="240" w:lineRule="auto" w:before="30" w:after="30"/>
              <w:jc w:val="center"/>
            </w:pPr>
            <w:r>
              <w:rPr>
                <w:b w:val="0"/>
                <w:i w:val="0"/>
                <w:sz w:val="18"/>
              </w:rPr>
              <w:t>−1.228***</w:t>
            </w:r>
          </w:p>
        </w:tc>
        <w:tc>
          <w:tcPr>
            <w:tcW w:type="dxa" w:w="1465"/>
          </w:tcPr>
          <w:p>
            <w:pPr>
              <w:pStyle w:val="MDPI42tablebody"/>
              <w:keepNext/>
              <w:spacing w:line="240" w:lineRule="auto" w:before="30" w:after="30"/>
              <w:jc w:val="center"/>
            </w:pPr>
            <w:r>
              <w:rPr>
                <w:b w:val="0"/>
                <w:i w:val="0"/>
                <w:sz w:val="18"/>
              </w:rPr>
              <w:t>(0.026)</w:t>
            </w:r>
          </w:p>
        </w:tc>
        <w:tc>
          <w:tcPr>
            <w:tcW w:type="dxa" w:w="1465"/>
          </w:tcPr>
          <w:p>
            <w:pPr>
              <w:pStyle w:val="MDPI42tablebody"/>
              <w:keepNext/>
              <w:spacing w:line="240" w:lineRule="auto" w:before="30" w:after="30"/>
              <w:jc w:val="center"/>
            </w:pPr>
            <w:r>
              <w:rPr>
                <w:b w:val="0"/>
                <w:i w:val="0"/>
                <w:sz w:val="18"/>
              </w:rPr>
              <w:t>29,621</w:t>
            </w:r>
          </w:p>
        </w:tc>
        <w:tc>
          <w:tcPr>
            <w:tcW w:type="dxa" w:w="1255"/>
          </w:tcPr>
          <w:p>
            <w:pPr>
              <w:pStyle w:val="MDPI42tablebody"/>
              <w:keepNext/>
              <w:spacing w:line="240" w:lineRule="auto" w:before="30" w:after="30"/>
              <w:jc w:val="center"/>
            </w:pPr>
            <w:r>
              <w:rPr>
                <w:b w:val="0"/>
                <w:i w:val="0"/>
                <w:sz w:val="18"/>
              </w:rPr>
              <w:t>0.277</w:t>
            </w:r>
          </w:p>
        </w:tc>
      </w:tr>
      <w:tr>
        <w:trPr>
          <w:cantSplit/>
        </w:trPr>
        <w:tc>
          <w:tcPr>
            <w:tcW w:type="dxa" w:w="4814"/>
          </w:tcPr>
          <w:p>
            <w:pPr>
              <w:pStyle w:val="MDPI42tablebody"/>
              <w:spacing w:line="240" w:lineRule="auto" w:before="30" w:after="30"/>
              <w:jc w:val="left"/>
            </w:pPr>
            <w:r>
              <w:rPr>
                <w:b w:val="0"/>
                <w:i w:val="0"/>
                <w:sz w:val="18"/>
              </w:rPr>
              <w:t>Adding the lagged dependent variable</w:t>
            </w:r>
          </w:p>
        </w:tc>
        <w:tc>
          <w:tcPr>
            <w:tcW w:type="dxa" w:w="1465"/>
          </w:tcPr>
          <w:p>
            <w:pPr>
              <w:pStyle w:val="MDPI42tablebody"/>
              <w:spacing w:line="240" w:lineRule="auto" w:before="30" w:after="30"/>
              <w:jc w:val="center"/>
            </w:pPr>
            <w:r>
              <w:rPr>
                <w:b w:val="0"/>
                <w:i w:val="0"/>
                <w:sz w:val="18"/>
              </w:rPr>
              <w:t>−1.222***</w:t>
            </w:r>
          </w:p>
        </w:tc>
        <w:tc>
          <w:tcPr>
            <w:tcW w:type="dxa" w:w="1465"/>
          </w:tcPr>
          <w:p>
            <w:pPr>
              <w:pStyle w:val="MDPI42tablebody"/>
              <w:spacing w:line="240" w:lineRule="auto" w:before="30" w:after="30"/>
              <w:jc w:val="center"/>
            </w:pPr>
            <w:r>
              <w:rPr>
                <w:b w:val="0"/>
                <w:i w:val="0"/>
                <w:sz w:val="18"/>
              </w:rPr>
              <w:t>(0.028)</w:t>
            </w:r>
          </w:p>
        </w:tc>
        <w:tc>
          <w:tcPr>
            <w:tcW w:type="dxa" w:w="1465"/>
          </w:tcPr>
          <w:p>
            <w:pPr>
              <w:pStyle w:val="MDPI42tablebody"/>
              <w:spacing w:line="240" w:lineRule="auto" w:before="30" w:after="30"/>
              <w:jc w:val="center"/>
            </w:pPr>
            <w:r>
              <w:rPr>
                <w:b w:val="0"/>
                <w:i w:val="0"/>
                <w:sz w:val="18"/>
              </w:rPr>
              <w:t>26,460</w:t>
            </w:r>
          </w:p>
        </w:tc>
        <w:tc>
          <w:tcPr>
            <w:tcW w:type="dxa" w:w="1255"/>
          </w:tcPr>
          <w:p>
            <w:pPr>
              <w:pStyle w:val="MDPI42tablebody"/>
              <w:spacing w:line="240" w:lineRule="auto" w:before="30" w:after="30"/>
              <w:jc w:val="center"/>
            </w:pPr>
            <w:r>
              <w:rPr>
                <w:b w:val="0"/>
                <w:i w:val="0"/>
                <w:sz w:val="18"/>
              </w:rPr>
              <w:t>0.280</w:t>
            </w:r>
          </w:p>
        </w:tc>
      </w:tr>
    </w:tbl>
    <w:p>
      <w:pPr>
        <w:pStyle w:val="MDPI43tablefooter"/>
        <w:spacing w:line="240" w:lineRule="auto" w:before="40" w:after="200"/>
        <w:ind w:left="2608" w:firstLine="0"/>
      </w:pPr>
      <w:r>
        <w:rPr>
          <w:sz w:val="16"/>
        </w:rPr>
        <w:t xml:space="preserve">Note: </w:t>
      </w:r>
      <w:r>
        <w:rPr>
          <w:b w:val="0"/>
          <w:i w:val="0"/>
          <w:sz w:val="16"/>
        </w:rPr>
        <w:t>Each row is a separate estimation of Equation (8) with the modification named in the first column; the coefficient reported is that on AIU. The specification in logs uses the logarithm of one plus the entry-level vacancy count and is therefore not in the units of the other rows. Standard errors clustered at the firm level are in parentheses. ***, ** and * denote significance at the 1%, 5% and 10% levels.</w:t>
      </w:r>
    </w:p>
    <w:p>
      <w:pPr>
        <w:pStyle w:val="MDPI22heading2"/>
      </w:pPr>
      <w:r>
        <w:t>5.2. Heterogeneity</w:t>
      </w:r>
    </w:p>
    <w:p>
      <w:pPr>
        <w:pStyle w:val="MDPI32textnoindent"/>
      </w:pPr>
      <w:r>
        <w:rPr>
          <w:b w:val="0"/>
          <w:i w:val="0"/>
        </w:rPr>
        <w:t>Table 12 splits the sample four ways. The chill is stronger in state-owned firms (−1.467) than in private ones (−1.124), with a difference of −0.343. This is consistent with the irreversibility reading rather than with a story about financial constraints, since state-owned firms in China face softer budget constraints but much harder employment ones: the position they open is the position they keep.</w:t>
      </w:r>
    </w:p>
    <w:p>
      <w:pPr>
        <w:pStyle w:val="MDPI31text"/>
      </w:pPr>
      <w:r>
        <w:rPr>
          <w:b w:val="0"/>
          <w:i w:val="0"/>
        </w:rPr>
        <w:t>The chill is stronger in technology-intensive firms (−1.567 against −1.085), where the entry-level task bundle is most directly in the path of the frontier and where the firm knows enough about the technology to be uncertain about it in an informed way. It is stronger where employment protection is strictly enforced (−1.483 against −0.974), which reproduces the interaction result of Table 6 in a sample split. And it is statistically indistinguishable across slack and tight local youth labour markets (difference −0.060, p = 0.268), which is informative: the mechanism is internal to the firm's investment problem and does not depend on how easy young workers are to find. A demand-side story in which firms cut junior hiring because juniors are cheap to replace later would predict the opposite.</w:t>
      </w:r>
    </w:p>
    <w:p>
      <w:pPr>
        <w:pStyle w:val="MDPI41tablecaption"/>
        <w:keepNext/>
        <w:spacing w:after="60"/>
      </w:pPr>
      <w:r>
        <w:rPr>
          <w:b/>
          <w:sz w:val="18"/>
        </w:rPr>
        <w:t xml:space="preserve">Table 12. </w:t>
      </w:r>
      <w:r>
        <w:rPr>
          <w:b w:val="0"/>
          <w:i w:val="0"/>
          <w:sz w:val="18"/>
        </w:rPr>
        <w:t>Heterogeneity analysis.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779"/>
        <w:gridCol w:w="1465"/>
        <w:gridCol w:w="1255"/>
        <w:gridCol w:w="1046"/>
        <w:gridCol w:w="1360"/>
        <w:gridCol w:w="1255"/>
        <w:gridCol w:w="1046"/>
        <w:gridCol w:w="1255"/>
      </w:tblGrid>
      <w:tr>
        <w:trPr>
          <w:cantSplit/>
          <w:tblHeader/>
        </w:trPr>
        <w:tc>
          <w:tcPr>
            <w:tcW w:type="dxa" w:w="1779"/>
            <w:tcBorders>
              <w:bottom w:val="single" w:sz="8" w:space="0" w:color="auto"/>
            </w:tcBorders>
          </w:tcPr>
          <w:p>
            <w:pPr>
              <w:pStyle w:val="MDPI42tablebody"/>
              <w:keepNext/>
              <w:spacing w:line="240" w:lineRule="auto" w:before="30" w:after="30"/>
              <w:jc w:val="center"/>
            </w:pPr>
            <w:r>
              <w:rPr>
                <w:b/>
                <w:i w:val="0"/>
                <w:sz w:val="14"/>
              </w:rPr>
              <w:t>Partition</w:t>
            </w:r>
          </w:p>
        </w:tc>
        <w:tc>
          <w:tcPr>
            <w:tcW w:type="dxa" w:w="1465"/>
            <w:tcBorders>
              <w:bottom w:val="single" w:sz="8" w:space="0" w:color="auto"/>
            </w:tcBorders>
          </w:tcPr>
          <w:p>
            <w:pPr>
              <w:pStyle w:val="MDPI42tablebody"/>
              <w:keepNext/>
              <w:spacing w:line="240" w:lineRule="auto" w:before="30" w:after="30"/>
              <w:jc w:val="center"/>
            </w:pPr>
            <w:r>
              <w:rPr>
                <w:b/>
                <w:i w:val="0"/>
                <w:sz w:val="14"/>
              </w:rPr>
              <w:t>Subsample A</w:t>
            </w:r>
          </w:p>
        </w:tc>
        <w:tc>
          <w:tcPr>
            <w:tcW w:type="dxa" w:w="1255"/>
            <w:tcBorders>
              <w:bottom w:val="single" w:sz="8" w:space="0" w:color="auto"/>
            </w:tcBorders>
          </w:tcPr>
          <w:p>
            <w:pPr>
              <w:pStyle w:val="MDPI42tablebody"/>
              <w:keepNext/>
              <w:spacing w:line="240" w:lineRule="auto" w:before="30" w:after="30"/>
              <w:jc w:val="center"/>
            </w:pPr>
            <w:r>
              <w:rPr>
                <w:b/>
                <w:i w:val="0"/>
                <w:sz w:val="14"/>
              </w:rPr>
              <w:t>AIU</w:t>
            </w:r>
          </w:p>
        </w:tc>
        <w:tc>
          <w:tcPr>
            <w:tcW w:type="dxa" w:w="1046"/>
            <w:tcBorders>
              <w:bottom w:val="single" w:sz="8" w:space="0" w:color="auto"/>
            </w:tcBorders>
          </w:tcPr>
          <w:p>
            <w:pPr>
              <w:pStyle w:val="MDPI42tablebody"/>
              <w:keepNext/>
              <w:spacing w:line="240" w:lineRule="auto" w:before="30" w:after="30"/>
              <w:jc w:val="center"/>
            </w:pPr>
            <w:r>
              <w:rPr>
                <w:b/>
                <w:i w:val="0"/>
                <w:sz w:val="14"/>
              </w:rPr>
              <w:t>N</w:t>
            </w:r>
          </w:p>
        </w:tc>
        <w:tc>
          <w:tcPr>
            <w:tcW w:type="dxa" w:w="1360"/>
            <w:tcBorders>
              <w:bottom w:val="single" w:sz="8" w:space="0" w:color="auto"/>
            </w:tcBorders>
          </w:tcPr>
          <w:p>
            <w:pPr>
              <w:pStyle w:val="MDPI42tablebody"/>
              <w:keepNext/>
              <w:spacing w:line="240" w:lineRule="auto" w:before="30" w:after="30"/>
              <w:jc w:val="center"/>
            </w:pPr>
            <w:r>
              <w:rPr>
                <w:b/>
                <w:i w:val="0"/>
                <w:sz w:val="14"/>
              </w:rPr>
              <w:t>Subsample B</w:t>
            </w:r>
          </w:p>
        </w:tc>
        <w:tc>
          <w:tcPr>
            <w:tcW w:type="dxa" w:w="1255"/>
            <w:tcBorders>
              <w:bottom w:val="single" w:sz="8" w:space="0" w:color="auto"/>
            </w:tcBorders>
          </w:tcPr>
          <w:p>
            <w:pPr>
              <w:pStyle w:val="MDPI42tablebody"/>
              <w:keepNext/>
              <w:spacing w:line="240" w:lineRule="auto" w:before="30" w:after="30"/>
              <w:jc w:val="center"/>
            </w:pPr>
            <w:r>
              <w:rPr>
                <w:b/>
                <w:i w:val="0"/>
                <w:sz w:val="14"/>
              </w:rPr>
              <w:t>AIU</w:t>
            </w:r>
          </w:p>
        </w:tc>
        <w:tc>
          <w:tcPr>
            <w:tcW w:type="dxa" w:w="1046"/>
            <w:tcBorders>
              <w:bottom w:val="single" w:sz="8" w:space="0" w:color="auto"/>
            </w:tcBorders>
          </w:tcPr>
          <w:p>
            <w:pPr>
              <w:pStyle w:val="MDPI42tablebody"/>
              <w:keepNext/>
              <w:spacing w:line="240" w:lineRule="auto" w:before="30" w:after="30"/>
              <w:jc w:val="center"/>
            </w:pPr>
            <w:r>
              <w:rPr>
                <w:b/>
                <w:i w:val="0"/>
                <w:sz w:val="14"/>
              </w:rPr>
              <w:t>N</w:t>
            </w:r>
          </w:p>
        </w:tc>
        <w:tc>
          <w:tcPr>
            <w:tcW w:type="dxa" w:w="1255"/>
            <w:tcBorders>
              <w:bottom w:val="single" w:sz="8" w:space="0" w:color="auto"/>
            </w:tcBorders>
          </w:tcPr>
          <w:p>
            <w:pPr>
              <w:pStyle w:val="MDPI42tablebody"/>
              <w:keepNext/>
              <w:spacing w:line="240" w:lineRule="auto" w:before="30" w:after="30"/>
              <w:jc w:val="center"/>
            </w:pPr>
            <w:r>
              <w:rPr>
                <w:b/>
                <w:i w:val="0"/>
                <w:sz w:val="14"/>
              </w:rPr>
              <w:t>Difference</w:t>
            </w:r>
          </w:p>
        </w:tc>
      </w:tr>
      <w:tr>
        <w:trPr>
          <w:cantSplit/>
        </w:trPr>
        <w:tc>
          <w:tcPr>
            <w:tcW w:type="dxa" w:w="1779"/>
          </w:tcPr>
          <w:p>
            <w:pPr>
              <w:pStyle w:val="MDPI42tablebody"/>
              <w:keepNext/>
              <w:spacing w:line="240" w:lineRule="auto" w:before="30" w:after="30"/>
              <w:jc w:val="left"/>
            </w:pPr>
            <w:r>
              <w:rPr>
                <w:b w:val="0"/>
                <w:i w:val="0"/>
                <w:sz w:val="14"/>
              </w:rPr>
              <w:t>State ownership</w:t>
            </w:r>
          </w:p>
        </w:tc>
        <w:tc>
          <w:tcPr>
            <w:tcW w:type="dxa" w:w="1465"/>
          </w:tcPr>
          <w:p>
            <w:pPr>
              <w:pStyle w:val="MDPI42tablebody"/>
              <w:keepNext/>
              <w:spacing w:line="240" w:lineRule="auto" w:before="30" w:after="30"/>
              <w:jc w:val="left"/>
            </w:pPr>
            <w:r>
              <w:rPr>
                <w:b w:val="0"/>
                <w:i w:val="0"/>
                <w:sz w:val="14"/>
              </w:rPr>
              <w:t>State-owned</w:t>
            </w:r>
          </w:p>
        </w:tc>
        <w:tc>
          <w:tcPr>
            <w:tcW w:type="dxa" w:w="1255"/>
          </w:tcPr>
          <w:p>
            <w:pPr>
              <w:pStyle w:val="MDPI42tablebody"/>
              <w:keepNext/>
              <w:spacing w:line="240" w:lineRule="auto" w:before="30" w:after="30"/>
              <w:jc w:val="center"/>
            </w:pPr>
            <w:r>
              <w:rPr>
                <w:b w:val="0"/>
                <w:i w:val="0"/>
                <w:sz w:val="14"/>
              </w:rPr>
              <w:t>−1.467***</w:t>
            </w:r>
          </w:p>
        </w:tc>
        <w:tc>
          <w:tcPr>
            <w:tcW w:type="dxa" w:w="1046"/>
          </w:tcPr>
          <w:p>
            <w:pPr>
              <w:pStyle w:val="MDPI42tablebody"/>
              <w:keepNext/>
              <w:spacing w:line="240" w:lineRule="auto" w:before="30" w:after="30"/>
              <w:jc w:val="center"/>
            </w:pPr>
            <w:r>
              <w:rPr>
                <w:b w:val="0"/>
                <w:i w:val="0"/>
                <w:sz w:val="14"/>
              </w:rPr>
              <w:t>9,176</w:t>
            </w:r>
          </w:p>
        </w:tc>
        <w:tc>
          <w:tcPr>
            <w:tcW w:type="dxa" w:w="1360"/>
          </w:tcPr>
          <w:p>
            <w:pPr>
              <w:pStyle w:val="MDPI42tablebody"/>
              <w:keepNext/>
              <w:spacing w:line="240" w:lineRule="auto" w:before="30" w:after="30"/>
              <w:jc w:val="left"/>
            </w:pPr>
            <w:r>
              <w:rPr>
                <w:b w:val="0"/>
                <w:i w:val="0"/>
                <w:sz w:val="14"/>
              </w:rPr>
              <w:t>Non-state</w:t>
            </w:r>
          </w:p>
        </w:tc>
        <w:tc>
          <w:tcPr>
            <w:tcW w:type="dxa" w:w="1255"/>
          </w:tcPr>
          <w:p>
            <w:pPr>
              <w:pStyle w:val="MDPI42tablebody"/>
              <w:keepNext/>
              <w:spacing w:line="240" w:lineRule="auto" w:before="30" w:after="30"/>
              <w:jc w:val="center"/>
            </w:pPr>
            <w:r>
              <w:rPr>
                <w:b w:val="0"/>
                <w:i w:val="0"/>
                <w:sz w:val="14"/>
              </w:rPr>
              <w:t>−1.124***</w:t>
            </w:r>
          </w:p>
        </w:tc>
        <w:tc>
          <w:tcPr>
            <w:tcW w:type="dxa" w:w="1046"/>
          </w:tcPr>
          <w:p>
            <w:pPr>
              <w:pStyle w:val="MDPI42tablebody"/>
              <w:keepNext/>
              <w:spacing w:line="240" w:lineRule="auto" w:before="30" w:after="30"/>
              <w:jc w:val="center"/>
            </w:pPr>
            <w:r>
              <w:rPr>
                <w:b w:val="0"/>
                <w:i w:val="0"/>
                <w:sz w:val="14"/>
              </w:rPr>
              <w:t>20,484</w:t>
            </w:r>
          </w:p>
        </w:tc>
        <w:tc>
          <w:tcPr>
            <w:tcW w:type="dxa" w:w="1255"/>
          </w:tcPr>
          <w:p>
            <w:pPr>
              <w:pStyle w:val="MDPI42tablebody"/>
              <w:keepNext/>
              <w:spacing w:line="240" w:lineRule="auto" w:before="30" w:after="30"/>
              <w:jc w:val="center"/>
            </w:pPr>
            <w:r>
              <w:rPr>
                <w:b w:val="0"/>
                <w:i w:val="0"/>
                <w:sz w:val="14"/>
              </w:rPr>
              <w:t>−0.343***</w:t>
            </w:r>
          </w:p>
        </w:tc>
      </w:tr>
      <w:tr>
        <w:trPr>
          <w:cantSplit/>
        </w:trPr>
        <w:tc>
          <w:tcPr>
            <w:tcW w:type="dxa" w:w="1779"/>
          </w:tcPr>
          <w:p>
            <w:pPr>
              <w:pStyle w:val="MDPI42tablebody"/>
              <w:keepNext/>
              <w:spacing w:line="240" w:lineRule="auto" w:before="30" w:after="30"/>
              <w:jc w:val="left"/>
            </w:pPr>
          </w:p>
        </w:tc>
        <w:tc>
          <w:tcPr>
            <w:tcW w:type="dxa" w:w="1465"/>
          </w:tcPr>
          <w:p>
            <w:pPr>
              <w:pStyle w:val="MDPI42tablebody"/>
              <w:keepNext/>
              <w:spacing w:line="240" w:lineRule="auto" w:before="30" w:after="30"/>
              <w:jc w:val="left"/>
            </w:pPr>
          </w:p>
        </w:tc>
        <w:tc>
          <w:tcPr>
            <w:tcW w:type="dxa" w:w="1255"/>
          </w:tcPr>
          <w:p>
            <w:pPr>
              <w:pStyle w:val="MDPI42tablebody"/>
              <w:keepNext/>
              <w:spacing w:line="240" w:lineRule="auto" w:before="30" w:after="30"/>
              <w:jc w:val="center"/>
            </w:pPr>
            <w:r>
              <w:rPr>
                <w:b w:val="0"/>
                <w:i w:val="0"/>
                <w:sz w:val="14"/>
              </w:rPr>
              <w:t>(0.050)</w:t>
            </w:r>
          </w:p>
        </w:tc>
        <w:tc>
          <w:tcPr>
            <w:tcW w:type="dxa" w:w="1046"/>
          </w:tcPr>
          <w:p>
            <w:pPr>
              <w:pStyle w:val="MDPI42tablebody"/>
              <w:keepNext/>
              <w:spacing w:line="240" w:lineRule="auto" w:before="30" w:after="30"/>
              <w:jc w:val="center"/>
            </w:pPr>
          </w:p>
        </w:tc>
        <w:tc>
          <w:tcPr>
            <w:tcW w:type="dxa" w:w="1360"/>
          </w:tcPr>
          <w:p>
            <w:pPr>
              <w:pStyle w:val="MDPI42tablebody"/>
              <w:keepNext/>
              <w:spacing w:line="240" w:lineRule="auto" w:before="30" w:after="30"/>
              <w:jc w:val="left"/>
            </w:pPr>
          </w:p>
        </w:tc>
        <w:tc>
          <w:tcPr>
            <w:tcW w:type="dxa" w:w="1255"/>
          </w:tcPr>
          <w:p>
            <w:pPr>
              <w:pStyle w:val="MDPI42tablebody"/>
              <w:keepNext/>
              <w:spacing w:line="240" w:lineRule="auto" w:before="30" w:after="30"/>
              <w:jc w:val="center"/>
            </w:pPr>
            <w:r>
              <w:rPr>
                <w:b w:val="0"/>
                <w:i w:val="0"/>
                <w:sz w:val="14"/>
              </w:rPr>
              <w:t>(0.030)</w:t>
            </w:r>
          </w:p>
        </w:tc>
        <w:tc>
          <w:tcPr>
            <w:tcW w:type="dxa" w:w="1046"/>
          </w:tcPr>
          <w:p>
            <w:pPr>
              <w:pStyle w:val="MDPI42tablebody"/>
              <w:keepNext/>
              <w:spacing w:line="240" w:lineRule="auto" w:before="30" w:after="30"/>
              <w:jc w:val="center"/>
            </w:pPr>
          </w:p>
        </w:tc>
        <w:tc>
          <w:tcPr>
            <w:tcW w:type="dxa" w:w="1255"/>
          </w:tcPr>
          <w:p>
            <w:pPr>
              <w:pStyle w:val="MDPI42tablebody"/>
              <w:keepNext/>
              <w:spacing w:line="240" w:lineRule="auto" w:before="30" w:after="30"/>
              <w:jc w:val="center"/>
            </w:pPr>
            <w:r>
              <w:rPr>
                <w:b w:val="0"/>
                <w:i w:val="0"/>
                <w:sz w:val="14"/>
              </w:rPr>
              <w:t>(0.058)</w:t>
            </w:r>
          </w:p>
        </w:tc>
      </w:tr>
      <w:tr>
        <w:trPr>
          <w:cantSplit/>
        </w:trPr>
        <w:tc>
          <w:tcPr>
            <w:tcW w:type="dxa" w:w="1779"/>
          </w:tcPr>
          <w:p>
            <w:pPr>
              <w:pStyle w:val="MDPI42tablebody"/>
              <w:keepNext/>
              <w:spacing w:line="240" w:lineRule="auto" w:before="30" w:after="30"/>
              <w:jc w:val="left"/>
            </w:pPr>
            <w:r>
              <w:rPr>
                <w:b w:val="0"/>
                <w:i w:val="0"/>
                <w:sz w:val="14"/>
              </w:rPr>
              <w:t>Technology intensity</w:t>
            </w:r>
          </w:p>
        </w:tc>
        <w:tc>
          <w:tcPr>
            <w:tcW w:type="dxa" w:w="1465"/>
          </w:tcPr>
          <w:p>
            <w:pPr>
              <w:pStyle w:val="MDPI42tablebody"/>
              <w:keepNext/>
              <w:spacing w:line="240" w:lineRule="auto" w:before="30" w:after="30"/>
              <w:jc w:val="left"/>
            </w:pPr>
            <w:r>
              <w:rPr>
                <w:b w:val="0"/>
                <w:i w:val="0"/>
                <w:sz w:val="14"/>
              </w:rPr>
              <w:t>High technology</w:t>
            </w:r>
          </w:p>
        </w:tc>
        <w:tc>
          <w:tcPr>
            <w:tcW w:type="dxa" w:w="1255"/>
          </w:tcPr>
          <w:p>
            <w:pPr>
              <w:pStyle w:val="MDPI42tablebody"/>
              <w:keepNext/>
              <w:spacing w:line="240" w:lineRule="auto" w:before="30" w:after="30"/>
              <w:jc w:val="center"/>
            </w:pPr>
            <w:r>
              <w:rPr>
                <w:b w:val="0"/>
                <w:i w:val="0"/>
                <w:sz w:val="14"/>
              </w:rPr>
              <w:t>−1.567***</w:t>
            </w:r>
          </w:p>
        </w:tc>
        <w:tc>
          <w:tcPr>
            <w:tcW w:type="dxa" w:w="1046"/>
          </w:tcPr>
          <w:p>
            <w:pPr>
              <w:pStyle w:val="MDPI42tablebody"/>
              <w:keepNext/>
              <w:spacing w:line="240" w:lineRule="auto" w:before="30" w:after="30"/>
              <w:jc w:val="center"/>
            </w:pPr>
            <w:r>
              <w:rPr>
                <w:b w:val="0"/>
                <w:i w:val="0"/>
                <w:sz w:val="14"/>
              </w:rPr>
              <w:t>8,879</w:t>
            </w:r>
          </w:p>
        </w:tc>
        <w:tc>
          <w:tcPr>
            <w:tcW w:type="dxa" w:w="1360"/>
          </w:tcPr>
          <w:p>
            <w:pPr>
              <w:pStyle w:val="MDPI42tablebody"/>
              <w:keepNext/>
              <w:spacing w:line="240" w:lineRule="auto" w:before="30" w:after="30"/>
              <w:jc w:val="left"/>
            </w:pPr>
            <w:r>
              <w:rPr>
                <w:b w:val="0"/>
                <w:i w:val="0"/>
                <w:sz w:val="14"/>
              </w:rPr>
              <w:t>Other</w:t>
            </w:r>
          </w:p>
        </w:tc>
        <w:tc>
          <w:tcPr>
            <w:tcW w:type="dxa" w:w="1255"/>
          </w:tcPr>
          <w:p>
            <w:pPr>
              <w:pStyle w:val="MDPI42tablebody"/>
              <w:keepNext/>
              <w:spacing w:line="240" w:lineRule="auto" w:before="30" w:after="30"/>
              <w:jc w:val="center"/>
            </w:pPr>
            <w:r>
              <w:rPr>
                <w:b w:val="0"/>
                <w:i w:val="0"/>
                <w:sz w:val="14"/>
              </w:rPr>
              <w:t>−1.085***</w:t>
            </w:r>
          </w:p>
        </w:tc>
        <w:tc>
          <w:tcPr>
            <w:tcW w:type="dxa" w:w="1046"/>
          </w:tcPr>
          <w:p>
            <w:pPr>
              <w:pStyle w:val="MDPI42tablebody"/>
              <w:keepNext/>
              <w:spacing w:line="240" w:lineRule="auto" w:before="30" w:after="30"/>
              <w:jc w:val="center"/>
            </w:pPr>
            <w:r>
              <w:rPr>
                <w:b w:val="0"/>
                <w:i w:val="0"/>
                <w:sz w:val="14"/>
              </w:rPr>
              <w:t>20,781</w:t>
            </w:r>
          </w:p>
        </w:tc>
        <w:tc>
          <w:tcPr>
            <w:tcW w:type="dxa" w:w="1255"/>
          </w:tcPr>
          <w:p>
            <w:pPr>
              <w:pStyle w:val="MDPI42tablebody"/>
              <w:keepNext/>
              <w:spacing w:line="240" w:lineRule="auto" w:before="30" w:after="30"/>
              <w:jc w:val="center"/>
            </w:pPr>
            <w:r>
              <w:rPr>
                <w:b w:val="0"/>
                <w:i w:val="0"/>
                <w:sz w:val="14"/>
              </w:rPr>
              <w:t>−0.482***</w:t>
            </w:r>
          </w:p>
        </w:tc>
      </w:tr>
      <w:tr>
        <w:trPr>
          <w:cantSplit/>
        </w:trPr>
        <w:tc>
          <w:tcPr>
            <w:tcW w:type="dxa" w:w="1779"/>
          </w:tcPr>
          <w:p>
            <w:pPr>
              <w:pStyle w:val="MDPI42tablebody"/>
              <w:keepNext/>
              <w:spacing w:line="240" w:lineRule="auto" w:before="30" w:after="30"/>
              <w:jc w:val="left"/>
            </w:pPr>
          </w:p>
        </w:tc>
        <w:tc>
          <w:tcPr>
            <w:tcW w:type="dxa" w:w="1465"/>
          </w:tcPr>
          <w:p>
            <w:pPr>
              <w:pStyle w:val="MDPI42tablebody"/>
              <w:keepNext/>
              <w:spacing w:line="240" w:lineRule="auto" w:before="30" w:after="30"/>
              <w:jc w:val="left"/>
            </w:pPr>
          </w:p>
        </w:tc>
        <w:tc>
          <w:tcPr>
            <w:tcW w:type="dxa" w:w="1255"/>
          </w:tcPr>
          <w:p>
            <w:pPr>
              <w:pStyle w:val="MDPI42tablebody"/>
              <w:keepNext/>
              <w:spacing w:line="240" w:lineRule="auto" w:before="30" w:after="30"/>
              <w:jc w:val="center"/>
            </w:pPr>
            <w:r>
              <w:rPr>
                <w:b w:val="0"/>
                <w:i w:val="0"/>
                <w:sz w:val="14"/>
              </w:rPr>
              <w:t>(0.048)</w:t>
            </w:r>
          </w:p>
        </w:tc>
        <w:tc>
          <w:tcPr>
            <w:tcW w:type="dxa" w:w="1046"/>
          </w:tcPr>
          <w:p>
            <w:pPr>
              <w:pStyle w:val="MDPI42tablebody"/>
              <w:keepNext/>
              <w:spacing w:line="240" w:lineRule="auto" w:before="30" w:after="30"/>
              <w:jc w:val="center"/>
            </w:pPr>
          </w:p>
        </w:tc>
        <w:tc>
          <w:tcPr>
            <w:tcW w:type="dxa" w:w="1360"/>
          </w:tcPr>
          <w:p>
            <w:pPr>
              <w:pStyle w:val="MDPI42tablebody"/>
              <w:keepNext/>
              <w:spacing w:line="240" w:lineRule="auto" w:before="30" w:after="30"/>
              <w:jc w:val="left"/>
            </w:pPr>
          </w:p>
        </w:tc>
        <w:tc>
          <w:tcPr>
            <w:tcW w:type="dxa" w:w="1255"/>
          </w:tcPr>
          <w:p>
            <w:pPr>
              <w:pStyle w:val="MDPI42tablebody"/>
              <w:keepNext/>
              <w:spacing w:line="240" w:lineRule="auto" w:before="30" w:after="30"/>
              <w:jc w:val="center"/>
            </w:pPr>
            <w:r>
              <w:rPr>
                <w:b w:val="0"/>
                <w:i w:val="0"/>
                <w:sz w:val="14"/>
              </w:rPr>
              <w:t>(0.031)</w:t>
            </w:r>
          </w:p>
        </w:tc>
        <w:tc>
          <w:tcPr>
            <w:tcW w:type="dxa" w:w="1046"/>
          </w:tcPr>
          <w:p>
            <w:pPr>
              <w:pStyle w:val="MDPI42tablebody"/>
              <w:keepNext/>
              <w:spacing w:line="240" w:lineRule="auto" w:before="30" w:after="30"/>
              <w:jc w:val="center"/>
            </w:pPr>
          </w:p>
        </w:tc>
        <w:tc>
          <w:tcPr>
            <w:tcW w:type="dxa" w:w="1255"/>
          </w:tcPr>
          <w:p>
            <w:pPr>
              <w:pStyle w:val="MDPI42tablebody"/>
              <w:keepNext/>
              <w:spacing w:line="240" w:lineRule="auto" w:before="30" w:after="30"/>
              <w:jc w:val="center"/>
            </w:pPr>
            <w:r>
              <w:rPr>
                <w:b w:val="0"/>
                <w:i w:val="0"/>
                <w:sz w:val="14"/>
              </w:rPr>
              <w:t>(0.057)</w:t>
            </w:r>
          </w:p>
        </w:tc>
      </w:tr>
      <w:tr>
        <w:trPr>
          <w:cantSplit/>
        </w:trPr>
        <w:tc>
          <w:tcPr>
            <w:tcW w:type="dxa" w:w="1779"/>
          </w:tcPr>
          <w:p>
            <w:pPr>
              <w:pStyle w:val="MDPI42tablebody"/>
              <w:keepNext/>
              <w:spacing w:line="240" w:lineRule="auto" w:before="30" w:after="30"/>
              <w:jc w:val="left"/>
            </w:pPr>
            <w:r>
              <w:rPr>
                <w:b w:val="0"/>
                <w:i w:val="0"/>
                <w:sz w:val="14"/>
              </w:rPr>
              <w:t>Employment protection</w:t>
            </w:r>
          </w:p>
        </w:tc>
        <w:tc>
          <w:tcPr>
            <w:tcW w:type="dxa" w:w="1465"/>
          </w:tcPr>
          <w:p>
            <w:pPr>
              <w:pStyle w:val="MDPI42tablebody"/>
              <w:keepNext/>
              <w:spacing w:line="240" w:lineRule="auto" w:before="30" w:after="30"/>
              <w:jc w:val="left"/>
            </w:pPr>
            <w:r>
              <w:rPr>
                <w:b w:val="0"/>
                <w:i w:val="0"/>
                <w:sz w:val="14"/>
              </w:rPr>
              <w:t>Strict</w:t>
            </w:r>
          </w:p>
        </w:tc>
        <w:tc>
          <w:tcPr>
            <w:tcW w:type="dxa" w:w="1255"/>
          </w:tcPr>
          <w:p>
            <w:pPr>
              <w:pStyle w:val="MDPI42tablebody"/>
              <w:keepNext/>
              <w:spacing w:line="240" w:lineRule="auto" w:before="30" w:after="30"/>
              <w:jc w:val="center"/>
            </w:pPr>
            <w:r>
              <w:rPr>
                <w:b w:val="0"/>
                <w:i w:val="0"/>
                <w:sz w:val="14"/>
              </w:rPr>
              <w:t>−1.483***</w:t>
            </w:r>
          </w:p>
        </w:tc>
        <w:tc>
          <w:tcPr>
            <w:tcW w:type="dxa" w:w="1046"/>
          </w:tcPr>
          <w:p>
            <w:pPr>
              <w:pStyle w:val="MDPI42tablebody"/>
              <w:keepNext/>
              <w:spacing w:line="240" w:lineRule="auto" w:before="30" w:after="30"/>
              <w:jc w:val="center"/>
            </w:pPr>
            <w:r>
              <w:rPr>
                <w:b w:val="0"/>
                <w:i w:val="0"/>
                <w:sz w:val="14"/>
              </w:rPr>
              <w:t>14,834</w:t>
            </w:r>
          </w:p>
        </w:tc>
        <w:tc>
          <w:tcPr>
            <w:tcW w:type="dxa" w:w="1360"/>
          </w:tcPr>
          <w:p>
            <w:pPr>
              <w:pStyle w:val="MDPI42tablebody"/>
              <w:keepNext/>
              <w:spacing w:line="240" w:lineRule="auto" w:before="30" w:after="30"/>
              <w:jc w:val="left"/>
            </w:pPr>
            <w:r>
              <w:rPr>
                <w:b w:val="0"/>
                <w:i w:val="0"/>
                <w:sz w:val="14"/>
              </w:rPr>
              <w:t>Lenient</w:t>
            </w:r>
          </w:p>
        </w:tc>
        <w:tc>
          <w:tcPr>
            <w:tcW w:type="dxa" w:w="1255"/>
          </w:tcPr>
          <w:p>
            <w:pPr>
              <w:pStyle w:val="MDPI42tablebody"/>
              <w:keepNext/>
              <w:spacing w:line="240" w:lineRule="auto" w:before="30" w:after="30"/>
              <w:jc w:val="center"/>
            </w:pPr>
            <w:r>
              <w:rPr>
                <w:b w:val="0"/>
                <w:i w:val="0"/>
                <w:sz w:val="14"/>
              </w:rPr>
              <w:t>−0.974***</w:t>
            </w:r>
          </w:p>
        </w:tc>
        <w:tc>
          <w:tcPr>
            <w:tcW w:type="dxa" w:w="1046"/>
          </w:tcPr>
          <w:p>
            <w:pPr>
              <w:pStyle w:val="MDPI42tablebody"/>
              <w:keepNext/>
              <w:spacing w:line="240" w:lineRule="auto" w:before="30" w:after="30"/>
              <w:jc w:val="center"/>
            </w:pPr>
            <w:r>
              <w:rPr>
                <w:b w:val="0"/>
                <w:i w:val="0"/>
                <w:sz w:val="14"/>
              </w:rPr>
              <w:t>14,826</w:t>
            </w:r>
          </w:p>
        </w:tc>
        <w:tc>
          <w:tcPr>
            <w:tcW w:type="dxa" w:w="1255"/>
          </w:tcPr>
          <w:p>
            <w:pPr>
              <w:pStyle w:val="MDPI42tablebody"/>
              <w:keepNext/>
              <w:spacing w:line="240" w:lineRule="auto" w:before="30" w:after="30"/>
              <w:jc w:val="center"/>
            </w:pPr>
            <w:r>
              <w:rPr>
                <w:b w:val="0"/>
                <w:i w:val="0"/>
                <w:sz w:val="14"/>
              </w:rPr>
              <w:t>−0.509***</w:t>
            </w:r>
          </w:p>
        </w:tc>
      </w:tr>
      <w:tr>
        <w:trPr>
          <w:cantSplit/>
        </w:trPr>
        <w:tc>
          <w:tcPr>
            <w:tcW w:type="dxa" w:w="1779"/>
          </w:tcPr>
          <w:p>
            <w:pPr>
              <w:pStyle w:val="MDPI42tablebody"/>
              <w:keepNext/>
              <w:spacing w:line="240" w:lineRule="auto" w:before="30" w:after="30"/>
              <w:jc w:val="left"/>
            </w:pPr>
          </w:p>
        </w:tc>
        <w:tc>
          <w:tcPr>
            <w:tcW w:type="dxa" w:w="1465"/>
          </w:tcPr>
          <w:p>
            <w:pPr>
              <w:pStyle w:val="MDPI42tablebody"/>
              <w:keepNext/>
              <w:spacing w:line="240" w:lineRule="auto" w:before="30" w:after="30"/>
              <w:jc w:val="left"/>
            </w:pPr>
          </w:p>
        </w:tc>
        <w:tc>
          <w:tcPr>
            <w:tcW w:type="dxa" w:w="1255"/>
          </w:tcPr>
          <w:p>
            <w:pPr>
              <w:pStyle w:val="MDPI42tablebody"/>
              <w:keepNext/>
              <w:spacing w:line="240" w:lineRule="auto" w:before="30" w:after="30"/>
              <w:jc w:val="center"/>
            </w:pPr>
            <w:r>
              <w:rPr>
                <w:b w:val="0"/>
                <w:i w:val="0"/>
                <w:sz w:val="14"/>
              </w:rPr>
              <w:t>(0.036)</w:t>
            </w:r>
          </w:p>
        </w:tc>
        <w:tc>
          <w:tcPr>
            <w:tcW w:type="dxa" w:w="1046"/>
          </w:tcPr>
          <w:p>
            <w:pPr>
              <w:pStyle w:val="MDPI42tablebody"/>
              <w:keepNext/>
              <w:spacing w:line="240" w:lineRule="auto" w:before="30" w:after="30"/>
              <w:jc w:val="center"/>
            </w:pPr>
          </w:p>
        </w:tc>
        <w:tc>
          <w:tcPr>
            <w:tcW w:type="dxa" w:w="1360"/>
          </w:tcPr>
          <w:p>
            <w:pPr>
              <w:pStyle w:val="MDPI42tablebody"/>
              <w:keepNext/>
              <w:spacing w:line="240" w:lineRule="auto" w:before="30" w:after="30"/>
              <w:jc w:val="left"/>
            </w:pPr>
          </w:p>
        </w:tc>
        <w:tc>
          <w:tcPr>
            <w:tcW w:type="dxa" w:w="1255"/>
          </w:tcPr>
          <w:p>
            <w:pPr>
              <w:pStyle w:val="MDPI42tablebody"/>
              <w:keepNext/>
              <w:spacing w:line="240" w:lineRule="auto" w:before="30" w:after="30"/>
              <w:jc w:val="center"/>
            </w:pPr>
            <w:r>
              <w:rPr>
                <w:b w:val="0"/>
                <w:i w:val="0"/>
                <w:sz w:val="14"/>
              </w:rPr>
              <w:t>(0.036)</w:t>
            </w:r>
          </w:p>
        </w:tc>
        <w:tc>
          <w:tcPr>
            <w:tcW w:type="dxa" w:w="1046"/>
          </w:tcPr>
          <w:p>
            <w:pPr>
              <w:pStyle w:val="MDPI42tablebody"/>
              <w:keepNext/>
              <w:spacing w:line="240" w:lineRule="auto" w:before="30" w:after="30"/>
              <w:jc w:val="center"/>
            </w:pPr>
          </w:p>
        </w:tc>
        <w:tc>
          <w:tcPr>
            <w:tcW w:type="dxa" w:w="1255"/>
          </w:tcPr>
          <w:p>
            <w:pPr>
              <w:pStyle w:val="MDPI42tablebody"/>
              <w:keepNext/>
              <w:spacing w:line="240" w:lineRule="auto" w:before="30" w:after="30"/>
              <w:jc w:val="center"/>
            </w:pPr>
            <w:r>
              <w:rPr>
                <w:b w:val="0"/>
                <w:i w:val="0"/>
                <w:sz w:val="14"/>
              </w:rPr>
              <w:t>(0.051)</w:t>
            </w:r>
          </w:p>
        </w:tc>
      </w:tr>
      <w:tr>
        <w:trPr>
          <w:cantSplit/>
        </w:trPr>
        <w:tc>
          <w:tcPr>
            <w:tcW w:type="dxa" w:w="1779"/>
          </w:tcPr>
          <w:p>
            <w:pPr>
              <w:pStyle w:val="MDPI42tablebody"/>
              <w:keepNext/>
              <w:spacing w:line="240" w:lineRule="auto" w:before="30" w:after="30"/>
              <w:jc w:val="left"/>
            </w:pPr>
            <w:r>
              <w:rPr>
                <w:b w:val="0"/>
                <w:i w:val="0"/>
                <w:sz w:val="14"/>
              </w:rPr>
              <w:t>Local youth labour market</w:t>
            </w:r>
          </w:p>
        </w:tc>
        <w:tc>
          <w:tcPr>
            <w:tcW w:type="dxa" w:w="1465"/>
          </w:tcPr>
          <w:p>
            <w:pPr>
              <w:pStyle w:val="MDPI42tablebody"/>
              <w:keepNext/>
              <w:spacing w:line="240" w:lineRule="auto" w:before="30" w:after="30"/>
              <w:jc w:val="left"/>
            </w:pPr>
            <w:r>
              <w:rPr>
                <w:b w:val="0"/>
                <w:i w:val="0"/>
                <w:sz w:val="14"/>
              </w:rPr>
              <w:t>Slack</w:t>
            </w:r>
          </w:p>
        </w:tc>
        <w:tc>
          <w:tcPr>
            <w:tcW w:type="dxa" w:w="1255"/>
          </w:tcPr>
          <w:p>
            <w:pPr>
              <w:pStyle w:val="MDPI42tablebody"/>
              <w:keepNext/>
              <w:spacing w:line="240" w:lineRule="auto" w:before="30" w:after="30"/>
              <w:jc w:val="center"/>
            </w:pPr>
            <w:r>
              <w:rPr>
                <w:b w:val="0"/>
                <w:i w:val="0"/>
                <w:sz w:val="14"/>
              </w:rPr>
              <w:t>−1.247***</w:t>
            </w:r>
          </w:p>
        </w:tc>
        <w:tc>
          <w:tcPr>
            <w:tcW w:type="dxa" w:w="1046"/>
          </w:tcPr>
          <w:p>
            <w:pPr>
              <w:pStyle w:val="MDPI42tablebody"/>
              <w:keepNext/>
              <w:spacing w:line="240" w:lineRule="auto" w:before="30" w:after="30"/>
              <w:jc w:val="center"/>
            </w:pPr>
            <w:r>
              <w:rPr>
                <w:b w:val="0"/>
                <w:i w:val="0"/>
                <w:sz w:val="14"/>
              </w:rPr>
              <w:t>14,830</w:t>
            </w:r>
          </w:p>
        </w:tc>
        <w:tc>
          <w:tcPr>
            <w:tcW w:type="dxa" w:w="1360"/>
          </w:tcPr>
          <w:p>
            <w:pPr>
              <w:pStyle w:val="MDPI42tablebody"/>
              <w:keepNext/>
              <w:spacing w:line="240" w:lineRule="auto" w:before="30" w:after="30"/>
              <w:jc w:val="left"/>
            </w:pPr>
            <w:r>
              <w:rPr>
                <w:b w:val="0"/>
                <w:i w:val="0"/>
                <w:sz w:val="14"/>
              </w:rPr>
              <w:t>Tight</w:t>
            </w:r>
          </w:p>
        </w:tc>
        <w:tc>
          <w:tcPr>
            <w:tcW w:type="dxa" w:w="1255"/>
          </w:tcPr>
          <w:p>
            <w:pPr>
              <w:pStyle w:val="MDPI42tablebody"/>
              <w:keepNext/>
              <w:spacing w:line="240" w:lineRule="auto" w:before="30" w:after="30"/>
              <w:jc w:val="center"/>
            </w:pPr>
            <w:r>
              <w:rPr>
                <w:b w:val="0"/>
                <w:i w:val="0"/>
                <w:sz w:val="14"/>
              </w:rPr>
              <w:t>−1.187***</w:t>
            </w:r>
          </w:p>
        </w:tc>
        <w:tc>
          <w:tcPr>
            <w:tcW w:type="dxa" w:w="1046"/>
          </w:tcPr>
          <w:p>
            <w:pPr>
              <w:pStyle w:val="MDPI42tablebody"/>
              <w:keepNext/>
              <w:spacing w:line="240" w:lineRule="auto" w:before="30" w:after="30"/>
              <w:jc w:val="center"/>
            </w:pPr>
            <w:r>
              <w:rPr>
                <w:b w:val="0"/>
                <w:i w:val="0"/>
                <w:sz w:val="14"/>
              </w:rPr>
              <w:t>14,830</w:t>
            </w:r>
          </w:p>
        </w:tc>
        <w:tc>
          <w:tcPr>
            <w:tcW w:type="dxa" w:w="1255"/>
          </w:tcPr>
          <w:p>
            <w:pPr>
              <w:pStyle w:val="MDPI42tablebody"/>
              <w:keepNext/>
              <w:spacing w:line="240" w:lineRule="auto" w:before="30" w:after="30"/>
              <w:jc w:val="center"/>
            </w:pPr>
            <w:r>
              <w:rPr>
                <w:b w:val="0"/>
                <w:i w:val="0"/>
                <w:sz w:val="14"/>
              </w:rPr>
              <w:t>−0.060</w:t>
            </w:r>
          </w:p>
        </w:tc>
      </w:tr>
      <w:tr>
        <w:trPr>
          <w:cantSplit/>
        </w:trPr>
        <w:tc>
          <w:tcPr>
            <w:tcW w:type="dxa" w:w="1779"/>
          </w:tcPr>
          <w:p>
            <w:pPr>
              <w:pStyle w:val="MDPI42tablebody"/>
              <w:spacing w:line="240" w:lineRule="auto" w:before="30" w:after="30"/>
              <w:jc w:val="left"/>
            </w:pPr>
          </w:p>
        </w:tc>
        <w:tc>
          <w:tcPr>
            <w:tcW w:type="dxa" w:w="1465"/>
          </w:tcPr>
          <w:p>
            <w:pPr>
              <w:pStyle w:val="MDPI42tablebody"/>
              <w:spacing w:line="240" w:lineRule="auto" w:before="30" w:after="30"/>
              <w:jc w:val="left"/>
            </w:pPr>
          </w:p>
        </w:tc>
        <w:tc>
          <w:tcPr>
            <w:tcW w:type="dxa" w:w="1255"/>
          </w:tcPr>
          <w:p>
            <w:pPr>
              <w:pStyle w:val="MDPI42tablebody"/>
              <w:spacing w:line="240" w:lineRule="auto" w:before="30" w:after="30"/>
              <w:jc w:val="center"/>
            </w:pPr>
            <w:r>
              <w:rPr>
                <w:b w:val="0"/>
                <w:i w:val="0"/>
                <w:sz w:val="14"/>
              </w:rPr>
              <w:t>(0.037)</w:t>
            </w:r>
          </w:p>
        </w:tc>
        <w:tc>
          <w:tcPr>
            <w:tcW w:type="dxa" w:w="1046"/>
          </w:tcPr>
          <w:p>
            <w:pPr>
              <w:pStyle w:val="MDPI42tablebody"/>
              <w:spacing w:line="240" w:lineRule="auto" w:before="30" w:after="30"/>
              <w:jc w:val="center"/>
            </w:pPr>
          </w:p>
        </w:tc>
        <w:tc>
          <w:tcPr>
            <w:tcW w:type="dxa" w:w="1360"/>
          </w:tcPr>
          <w:p>
            <w:pPr>
              <w:pStyle w:val="MDPI42tablebody"/>
              <w:spacing w:line="240" w:lineRule="auto" w:before="30" w:after="30"/>
              <w:jc w:val="left"/>
            </w:pPr>
          </w:p>
        </w:tc>
        <w:tc>
          <w:tcPr>
            <w:tcW w:type="dxa" w:w="1255"/>
          </w:tcPr>
          <w:p>
            <w:pPr>
              <w:pStyle w:val="MDPI42tablebody"/>
              <w:spacing w:line="240" w:lineRule="auto" w:before="30" w:after="30"/>
              <w:jc w:val="center"/>
            </w:pPr>
            <w:r>
              <w:rPr>
                <w:b w:val="0"/>
                <w:i w:val="0"/>
                <w:sz w:val="14"/>
              </w:rPr>
              <w:t>(0.039)</w:t>
            </w:r>
          </w:p>
        </w:tc>
        <w:tc>
          <w:tcPr>
            <w:tcW w:type="dxa" w:w="1046"/>
          </w:tcPr>
          <w:p>
            <w:pPr>
              <w:pStyle w:val="MDPI42tablebody"/>
              <w:spacing w:line="240" w:lineRule="auto" w:before="30" w:after="30"/>
              <w:jc w:val="center"/>
            </w:pPr>
          </w:p>
        </w:tc>
        <w:tc>
          <w:tcPr>
            <w:tcW w:type="dxa" w:w="1255"/>
          </w:tcPr>
          <w:p>
            <w:pPr>
              <w:pStyle w:val="MDPI42tablebody"/>
              <w:spacing w:line="240" w:lineRule="auto" w:before="30" w:after="30"/>
              <w:jc w:val="center"/>
            </w:pPr>
            <w:r>
              <w:rPr>
                <w:b w:val="0"/>
                <w:i w:val="0"/>
                <w:sz w:val="14"/>
              </w:rPr>
              <w:t>(0.054)</w:t>
            </w:r>
          </w:p>
        </w:tc>
      </w:tr>
    </w:tbl>
    <w:p>
      <w:pPr>
        <w:pStyle w:val="MDPI43tablefooter"/>
        <w:spacing w:line="240" w:lineRule="auto" w:before="40" w:after="200"/>
        <w:ind w:left="2608" w:firstLine="0"/>
      </w:pPr>
      <w:r>
        <w:rPr>
          <w:sz w:val="16"/>
        </w:rPr>
        <w:t xml:space="preserve">Note: </w:t>
      </w:r>
      <w:r>
        <w:rPr>
          <w:b w:val="0"/>
          <w:i w:val="0"/>
          <w:sz w:val="16"/>
        </w:rPr>
        <w:t>Each partition re-estimates Equation (8) on the two subsamples. The difference is the coefficient in subsample A minus that in subsample B, with a standard error computed from the two independent estimates. Standard errors clustered at the firm level are in parentheses. ***, ** and * denote significance at the 1%, 5% and 10% levels.</w:t>
      </w:r>
    </w:p>
    <w:p>
      <w:pPr>
        <w:pStyle w:val="MDPI22heading2"/>
      </w:pPr>
      <w:r>
        <w:t>5.3. Economic Magnitudes</w:t>
      </w:r>
    </w:p>
    <w:p>
      <w:pPr>
        <w:pStyle w:val="MDPI32textnoindent"/>
      </w:pPr>
      <w:r>
        <w:rPr>
          <w:b w:val="0"/>
          <w:i w:val="0"/>
        </w:rPr>
        <w:t>It is worth stating the size of the effect in units a firm or a ministry would recognise. The median firm in the sample employs 2,089 people, so one standard deviation of generative-AI uncertainty removes about 2.6 entry-level vacancies a year for such a firm at the least-squares estimate and 2.7 at the instrumented one. Moving a firm from the first to the third quartile of the uncertainty distribution, a gap of 1.30 standard deviations, costs 1.60 vacancies per thousand employees against a mean rate of 7.87, or 20% of entry-level vacancy creation, and raises the contingent share by 2.92 percentage points.</w:t>
      </w:r>
    </w:p>
    <w:p>
      <w:pPr>
        <w:pStyle w:val="MDPI31text"/>
      </w:pPr>
      <w:r>
        <w:rPr>
          <w:b w:val="0"/>
          <w:i w:val="0"/>
        </w:rPr>
        <w:t xml:space="preserve">The episode itself can be sized from the event study rather than from the cross-section, which is the cleaner calculation because the mean of a standardised measure cannot move. What the arrival of the technology did was to pull firms apart: the cross-sectional standard deviation of the uncertainty measure rose from 0.86 before 2023 to 1.25 after, and the gap in the measure between highly exposed and less exposed firms widened by 1.56 standard deviations. Table 10 prices that widening directly: exposed firms lost 2.14 entry-level vacancies per thousand employees by 2024 relative to 2021 and to less exposed firms, which is 27% of the sample mean rate, and gained 3.83 percentage points of contingent share over the same interval. The observed unconditional entry-level vacancy rate fell from 7.98 to 7.61 across the break, so the exposure-driven component accounts for a substantial part of an aggregate movement that would otherwise be attributed to demand. The quantities are large enough to matter for a cohort and small enough to be plausible, and they are of the same order as the relative employment declines documented for exposed young workers in the United States </w:t>
      </w:r>
      <w:r>
        <w:t>[</w:t>
      </w:r>
      <w:r>
        <w:fldChar w:fldCharType="begin"/>
      </w:r>
      <w:r>
        <w:instrText xml:space="preserve"> REF _Ref_7 \h </w:instrText>
      </w:r>
      <w:r>
        <w:fldChar w:fldCharType="separate"/>
      </w:r>
      <w:r>
        <w:t>7</w:t>
      </w:r>
      <w:r>
        <w:fldChar w:fldCharType="end"/>
      </w:r>
      <w:r>
        <w:t>]</w:t>
      </w:r>
      <w:r>
        <w:rPr>
          <w:b w:val="0"/>
          <w:i w:val="0"/>
        </w:rPr>
        <w:t>.</w:t>
      </w:r>
    </w:p>
    <w:p>
      <w:pPr>
        <w:pStyle w:val="MDPI21heading1"/>
      </w:pPr>
      <w:r>
        <w:t>6. Discussion</w:t>
      </w:r>
    </w:p>
    <w:p>
      <w:pPr>
        <w:pStyle w:val="MDPI32textnoindent"/>
      </w:pPr>
      <w:r>
        <w:rPr>
          <w:b w:val="0"/>
          <w:i w:val="0"/>
        </w:rPr>
        <w:t>The central claim of this paper is that the entry-level labour market responds to generative artificial intelligence before the technology does anything to it. The channel is the option value of waiting, and the evidence for it is not the sign of a single coefficient but the pattern of five: the effect is driven by dispersion rather than by level; it is concentrated on the margin with the largest sunk component; it scales with measures of irreversibility and is attenuated by measures of reversibility; it produces a compositional shift towards revocable contracts rather than only a reduction in quantity; and it generates a zone of inaction with hysteresis. No one of these is decisive on its own. Together they are difficult to produce with any account that does not have an option in it.</w:t>
      </w:r>
    </w:p>
    <w:p>
      <w:pPr>
        <w:pStyle w:val="MDPI31text"/>
      </w:pPr>
      <w:r>
        <w:rPr>
          <w:b w:val="0"/>
          <w:i w:val="0"/>
        </w:rPr>
        <w:t xml:space="preserve">This changes how the existing evidence should be read. The literature has been arguing about whether GenAI destroys entry-level jobs, with the implicit understanding that a positive finding would mean the technology is already doing the work. Our results suggest that a large part of the measured decline can occur while the technology is doing nothing at all, purely because firms do not yet know what it will do. That is not a reason to be sanguine — a cohort that enters the labour market during the wait bears the same scars as a cohort that enters during a recession </w:t>
      </w:r>
      <w:r>
        <w:t>[</w:t>
      </w:r>
      <w:r>
        <w:fldChar w:fldCharType="begin"/>
      </w:r>
      <w:r>
        <w:instrText xml:space="preserve"> REF _Ref_37 \h </w:instrText>
      </w:r>
      <w:r>
        <w:fldChar w:fldCharType="separate"/>
      </w:r>
      <w:r>
        <w:t>37</w:t>
      </w:r>
      <w:r>
        <w:fldChar w:fldCharType="end"/>
      </w:r>
      <w:r>
        <w:t>–</w:t>
      </w:r>
      <w:r>
        <w:fldChar w:fldCharType="begin"/>
      </w:r>
      <w:r>
        <w:instrText xml:space="preserve"> REF _Ref_39 \h </w:instrText>
      </w:r>
      <w:r>
        <w:fldChar w:fldCharType="separate"/>
      </w:r>
      <w:r>
        <w:t>39</w:t>
      </w:r>
      <w:r>
        <w:fldChar w:fldCharType="end"/>
      </w:r>
      <w:r>
        <w:t>]</w:t>
      </w:r>
      <w:r>
        <w:rPr>
          <w:b w:val="0"/>
          <w:i w:val="0"/>
        </w:rPr>
        <w:t xml:space="preserve"> — but it changes the diagnosis and therefore the treatment. It also implies that estimates of the employment effect of AI capability that use the post-2022 period are contaminated by the option-value response, and that the two need to be separated before either is interpreted structurally.</w:t>
      </w:r>
    </w:p>
    <w:p>
      <w:pPr>
        <w:pStyle w:val="MDPI31text"/>
      </w:pPr>
      <w:r>
        <w:rPr>
          <w:b w:val="0"/>
          <w:i w:val="0"/>
        </w:rPr>
        <w:t xml:space="preserve">For firms, the results identify a decision that is being made by default. The option-value logic is individually rational: a firm that does not know what its junior analysts will be doing in three years is right to hesitate before sinking three years of training into them. But the hesitation has a cost the firm does not see on its own books. An entry port that stays closed for three years leaves the firm, at the end of them, with no cohort in its middle ranks, and the internal labour market cannot be restarted on demand </w:t>
      </w:r>
      <w:r>
        <w:t>[</w:t>
      </w:r>
      <w:r>
        <w:fldChar w:fldCharType="begin"/>
      </w:r>
      <w:r>
        <w:instrText xml:space="preserve"> REF _Ref_75 \h </w:instrText>
      </w:r>
      <w:r>
        <w:fldChar w:fldCharType="separate"/>
      </w:r>
      <w:r>
        <w:t>75</w:t>
      </w:r>
      <w:r>
        <w:fldChar w:fldCharType="end"/>
      </w:r>
      <w:r>
        <w:t>]</w:t>
      </w:r>
      <w:r>
        <w:rPr>
          <w:b w:val="0"/>
          <w:i w:val="0"/>
        </w:rPr>
        <w:t xml:space="preserve">. Recent systems-level work on Chinese firms points the same way, finding that the returns to artificial intelligence depend on the organisational and innovation capabilities that surround it </w:t>
      </w:r>
      <w:r>
        <w:t>[</w:t>
      </w:r>
      <w:r>
        <w:fldChar w:fldCharType="begin"/>
      </w:r>
      <w:r>
        <w:instrText xml:space="preserve"> REF _Ref_76 \h </w:instrText>
      </w:r>
      <w:r>
        <w:fldChar w:fldCharType="separate"/>
      </w:r>
      <w:r>
        <w:t>76</w:t>
      </w:r>
      <w:r>
        <w:fldChar w:fldCharType="end"/>
      </w:r>
      <w:r>
        <w:t>–</w:t>
      </w:r>
      <w:r>
        <w:fldChar w:fldCharType="begin"/>
      </w:r>
      <w:r>
        <w:instrText xml:space="preserve"> REF _Ref_79 \h </w:instrText>
      </w:r>
      <w:r>
        <w:fldChar w:fldCharType="separate"/>
      </w:r>
      <w:r>
        <w:t>79</w:t>
      </w:r>
      <w:r>
        <w:fldChar w:fldCharType="end"/>
      </w:r>
      <w:r>
        <w:t>]</w:t>
      </w:r>
      <w:r>
        <w:rPr>
          <w:b w:val="0"/>
          <w:i w:val="0"/>
        </w:rPr>
        <w:t xml:space="preserve">. The instruments that restore reversibility — modular induction, portable rather than firm-specific early training, rotation across task bundles — are also the instruments that lower </w:t>
      </w:r>
      <m:oMath>
        <m:r>
          <m:t xml:space="preserve">k</m:t>
        </m:r>
      </m:oMath>
      <w:r>
        <w:rPr>
          <w:b w:val="0"/>
          <w:i w:val="0"/>
        </w:rPr>
        <w:t xml:space="preserve"> and therefore the wedge in Equation (4). Our moderation results say that firms which already have them behave very differently from firms which do not.</w:t>
      </w:r>
    </w:p>
    <w:p>
      <w:pPr>
        <w:pStyle w:val="MDPI31text"/>
      </w:pPr>
      <w:r>
        <w:rPr>
          <w:b w:val="0"/>
          <w:i w:val="0"/>
        </w:rPr>
        <w:t xml:space="preserve">For policy, the target follows directly from the model. Almost everything currently proposed under the heading of AI and employment addresses capability: retraining for the tasks the technology will take, subsidies for the tasks it will create. The variable in Equation (5) is not capability but its dispersion, and dispersion is reducible by public action in a way that capability is not. Sectoral technology roadmaps, disclosure standards for model capabilities and limitations, and certification of what models can and cannot be relied upon in regulated work all narrow </w:t>
      </w:r>
      <m:oMath>
        <m:r>
          <m:t xml:space="preserve">σ</m:t>
        </m:r>
      </m:oMath>
      <w:r>
        <w:rPr>
          <w:b w:val="0"/>
          <w:i w:val="0"/>
        </w:rPr>
        <w:t xml:space="preserve"> without touching </w:t>
      </w:r>
      <m:oMath>
        <m:r>
          <m:t xml:space="preserve">μ</m:t>
        </m:r>
      </m:oMath>
      <w:r>
        <w:rPr>
          <w:b w:val="0"/>
          <w:i w:val="0"/>
        </w:rPr>
        <w:t xml:space="preserve">. The responsible-governance literature has argued for such instruments on grounds of accountability </w:t>
      </w:r>
      <w:r>
        <w:t>[</w:t>
      </w:r>
      <w:r>
        <w:fldChar w:fldCharType="begin"/>
      </w:r>
      <w:r>
        <w:instrText xml:space="preserve"> REF _Ref_80 \h </w:instrText>
      </w:r>
      <w:r>
        <w:fldChar w:fldCharType="separate"/>
      </w:r>
      <w:r>
        <w:t>80</w:t>
      </w:r>
      <w:r>
        <w:fldChar w:fldCharType="end"/>
      </w:r>
      <w:r>
        <w:t>,</w:t>
      </w:r>
      <w:r>
        <w:fldChar w:fldCharType="begin"/>
      </w:r>
      <w:r>
        <w:instrText xml:space="preserve"> REF _Ref_81 \h </w:instrText>
      </w:r>
      <w:r>
        <w:fldChar w:fldCharType="separate"/>
      </w:r>
      <w:r>
        <w:t>81</w:t>
      </w:r>
      <w:r>
        <w:fldChar w:fldCharType="end"/>
      </w:r>
      <w:r>
        <w:t>]</w:t>
      </w:r>
      <w:r>
        <w:rPr>
          <w:b w:val="0"/>
          <w:i w:val="0"/>
        </w:rPr>
        <w:t xml:space="preserve">; the present results suggest they are also youth employment policy, and unusually cheap ones. The contingent-turn result adds a second and more uncomfortable target. If firms respond to uncertainty by moving young workers onto revocable contracts, then a policy that measures success by youth headcount will record success while the quality of entry employment deteriorates. Whether that matters depends on whether such contracts are stepping stones or dead ends, which is exactly the question the contingent-work literature has not settled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fldChar w:fldCharType="begin"/>
      </w:r>
      <w:r>
        <w:instrText xml:space="preserve"> REF _Ref_58 \h </w:instrText>
      </w:r>
      <w:r>
        <w:fldChar w:fldCharType="separate"/>
      </w:r>
      <w:r>
        <w:t>58</w:t>
      </w:r>
      <w:r>
        <w:fldChar w:fldCharType="end"/>
      </w:r>
      <w:r>
        <w:t>]</w:t>
      </w:r>
      <w:r>
        <w:rPr>
          <w:b w:val="0"/>
          <w:i w:val="0"/>
        </w:rPr>
        <w:t>.</w:t>
      </w:r>
    </w:p>
    <w:p>
      <w:pPr>
        <w:pStyle w:val="MDPI31text"/>
      </w:pPr>
      <w:r>
        <w:rPr>
          <w:b w:val="0"/>
          <w:i w:val="0"/>
        </w:rPr>
        <w:t xml:space="preserve">Three limitations bound the claims. First, disclosure-based uncertainty measures what management writes, and firms differ in how much they write; the firm fixed effects absorb the persistent part of that, and the instruments address the transitory part, but the measure is a proxy. Second, the sample is listed firms in one country, which are larger, more visible and more exposed to disclosure incentives than the firms that employ most young workers; the direction of the bias is not obvious, since unlisted firms face weaker employment protection but also have less capacity to bear the option. Third, the design identifies the effect of uncertainty over a four-year window after the shock, and cannot say what happens when the frontier settles — whether the deferred hiring is made up, which the option-value model predicts, or whether the entry port has been re-engineered in the interval, which the organisational literature on technology adoption would suggest </w:t>
      </w:r>
      <w:r>
        <w:t>[</w:t>
      </w:r>
      <w:r>
        <w:fldChar w:fldCharType="begin"/>
      </w:r>
      <w:r>
        <w:instrText xml:space="preserve"> REF _Ref_82 \h </w:instrText>
      </w:r>
      <w:r>
        <w:fldChar w:fldCharType="separate"/>
      </w:r>
      <w:r>
        <w:t>82</w:t>
      </w:r>
      <w:r>
        <w:fldChar w:fldCharType="end"/>
      </w:r>
      <w:r>
        <w:t>–</w:t>
      </w:r>
      <w:r>
        <w:fldChar w:fldCharType="begin"/>
      </w:r>
      <w:r>
        <w:instrText xml:space="preserve"> REF _Ref_86 \h </w:instrText>
      </w:r>
      <w:r>
        <w:fldChar w:fldCharType="separate"/>
      </w:r>
      <w:r>
        <w:t>86</w:t>
      </w:r>
      <w:r>
        <w:fldChar w:fldCharType="end"/>
      </w:r>
      <w:r>
        <w:t>]</w:t>
      </w:r>
      <w:r>
        <w:rPr>
          <w:b w:val="0"/>
          <w:i w:val="0"/>
        </w:rPr>
        <w:t xml:space="preserve">. Following the same firms as </w:t>
      </w:r>
      <m:oMath>
        <m:r>
          <m:t xml:space="preserve">σ</m:t>
        </m:r>
      </m:oMath>
      <w:r>
        <w:rPr>
          <w:b w:val="0"/>
          <w:i w:val="0"/>
        </w:rPr>
        <w:t xml:space="preserve"> falls is the obvious next study, and the fall, when it comes, will be the cleanest test of the mechanism available.</w:t>
      </w:r>
    </w:p>
    <w:p>
      <w:pPr>
        <w:pStyle w:val="MDPI21heading1"/>
      </w:pPr>
      <w:r>
        <w:t>7. Conclusions</w:t>
      </w:r>
    </w:p>
    <w:p>
      <w:pPr>
        <w:pStyle w:val="MDPI32textnoindent"/>
      </w:pPr>
      <w:r>
        <w:rPr>
          <w:b w:val="0"/>
          <w:i w:val="0"/>
        </w:rPr>
        <w:t>This paper asked why entry-level employment should fall in response to a technology that experiments show to be most useful to the least experienced. The answer offered here is that firms are not responding to what the technology does but to what they do not know about what it will do. Hiring a young worker is an irreversible investment in a task bundle whose future is uncertain, and the theory of investment under uncertainty says that the firm should then wait, that it should wait longer the more of the investment it cannot recover, and that it should prefer whatever form of the investment it can undo.</w:t>
      </w:r>
    </w:p>
    <w:p>
      <w:pPr>
        <w:pStyle w:val="MDPI31text"/>
      </w:pPr>
      <w:r>
        <w:rPr>
          <w:b w:val="0"/>
          <w:i w:val="0"/>
        </w:rPr>
        <w:t>Using 29,660 firm-year observations for 3,200 Chinese A-share listed firms over 2016–2025, we find all three. One standard deviation of firm-level generative-AI uncertainty lowers entry-level vacancy creation by 1.230 vacancies per thousand employees, 15.6% of the mean, while the level of adoption enters with the opposite sign and general policy uncertainty is 6.7 times smaller; the effect is 13.7 times larger for entry-level than for experienced vacancies; it scales with firm-specific training intensity and with employment protection and is attenuated by access to reversible employment; it raises the contingent share of entry-level vacancies by 2.25 percentage points; and it widens a zone of inaction, raising the probability of no adjustment by 0.050 and lowering the probability of resuming expansion by 0.126. Instrumental variables, a dynamic difference-in-differences design with flat pre-shock leads, a wild cluster bootstrap, randomisation inference and coefficient-stability bounds all support the reading.</w:t>
      </w:r>
    </w:p>
    <w:p>
      <w:pPr>
        <w:pStyle w:val="MDPI31text"/>
      </w:pPr>
      <w:r>
        <w:rPr>
          <w:b w:val="0"/>
          <w:i w:val="0"/>
        </w:rPr>
        <w:t>The policy conclusion is unusually specific. If the entry port is closing because firms are uncertain rather than because they have been displaced, then the cheapest available intervention is not retraining but information: anything that tells firms what the technology will and will not do in their sector narrows the dispersion that is doing the damage. And the measurement conclusion is equally specific. Counting young employees will miss most of what is happening, because the first thing a firm gives up under uncertainty is not the young worker but the commitment to them.</w:t>
      </w:r>
    </w:p>
    <w:p>
      <w:pPr>
        <w:pStyle w:val="MDPI21heading1"/>
      </w:pPr>
      <w:r>
        <w:t>Appendix A</w:t>
      </w:r>
    </w:p>
    <w:p>
      <w:pPr>
        <w:pStyle w:val="MDPI32textnoindent"/>
      </w:pPr>
      <w:r>
        <w:rPr>
          <w:b w:val="0"/>
          <w:i w:val="0"/>
        </w:rPr>
        <w:t xml:space="preserve">Table A1 reports placebo and alternative-measure checks. The first row repeats the baseline. The next rows enter general economic policy uncertainty and the adoption level on their own, so that their unconditional associations can be compared with the conditional ones in Table 4; the experienced-vacancy result of Table 5 is repeated for convenience. Total employment growth shows no significant response, which is the sharpest statement of the compositional nature of the finding: the firm is not shrinking, it is changing whom it hires. Capital expenditure responds negatively but by a small amount, which is not a placebo failure but the classical uncertainty-and-investment result </w:t>
      </w:r>
      <w:r>
        <w:t>[</w:t>
      </w:r>
      <w:r>
        <w:fldChar w:fldCharType="begin"/>
      </w:r>
      <w:r>
        <w:instrText xml:space="preserve"> REF _Ref_21 \h </w:instrText>
      </w:r>
      <w:r>
        <w:fldChar w:fldCharType="separate"/>
      </w:r>
      <w:r>
        <w:t>21</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showing up where it should, and its smallness relative to the entry-level effect is itself informative about which irreversible investment is most exposed. The last three rows replace the disclosure measure with the dispersion of analyst forecasts for generative-AI-exposed segments, with a count of risk-factor sentences mentioning the technology, and with an indicator for the top quartile of the baseline measure; all three reproduce the result.</w:t>
      </w:r>
    </w:p>
    <w:p>
      <w:pPr>
        <w:pStyle w:val="MDPI41tablecaption"/>
        <w:keepNext/>
        <w:spacing w:after="60"/>
      </w:pPr>
      <w:r>
        <w:rPr>
          <w:b/>
          <w:sz w:val="18"/>
        </w:rPr>
        <w:t xml:space="preserve">Table A1. </w:t>
      </w:r>
      <w:r>
        <w:rPr>
          <w:b w:val="0"/>
          <w:i w:val="0"/>
          <w:sz w:val="18"/>
        </w:rPr>
        <w:t>Placebo tests and alternative measures.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5023"/>
        <w:gridCol w:w="1465"/>
        <w:gridCol w:w="1360"/>
        <w:gridCol w:w="1360"/>
        <w:gridCol w:w="1255"/>
      </w:tblGrid>
      <w:tr>
        <w:trPr>
          <w:cantSplit/>
          <w:tblHeader/>
        </w:trPr>
        <w:tc>
          <w:tcPr>
            <w:tcW w:type="dxa" w:w="5023"/>
            <w:tcBorders>
              <w:bottom w:val="single" w:sz="8" w:space="0" w:color="auto"/>
            </w:tcBorders>
          </w:tcPr>
          <w:p>
            <w:pPr>
              <w:pStyle w:val="MDPI42tablebody"/>
              <w:keepNext/>
              <w:spacing w:line="240" w:lineRule="auto" w:before="30" w:after="30"/>
              <w:jc w:val="center"/>
            </w:pPr>
            <w:r>
              <w:rPr>
                <w:b/>
                <w:i w:val="0"/>
                <w:sz w:val="18"/>
              </w:rPr>
              <w:t>Specification</w:t>
            </w:r>
          </w:p>
        </w:tc>
        <w:tc>
          <w:tcPr>
            <w:tcW w:type="dxa" w:w="1465"/>
            <w:tcBorders>
              <w:bottom w:val="single" w:sz="8" w:space="0" w:color="auto"/>
            </w:tcBorders>
          </w:tcPr>
          <w:p>
            <w:pPr>
              <w:pStyle w:val="MDPI42tablebody"/>
              <w:keepNext/>
              <w:spacing w:line="240" w:lineRule="auto" w:before="30" w:after="30"/>
              <w:jc w:val="center"/>
            </w:pPr>
            <w:r>
              <w:rPr>
                <w:b/>
                <w:i w:val="0"/>
                <w:sz w:val="18"/>
              </w:rPr>
              <w:t>Coefficient</w:t>
            </w:r>
          </w:p>
        </w:tc>
        <w:tc>
          <w:tcPr>
            <w:tcW w:type="dxa" w:w="1360"/>
            <w:tcBorders>
              <w:bottom w:val="single" w:sz="8" w:space="0" w:color="auto"/>
            </w:tcBorders>
          </w:tcPr>
          <w:p>
            <w:pPr>
              <w:pStyle w:val="MDPI42tablebody"/>
              <w:keepNext/>
              <w:spacing w:line="240" w:lineRule="auto" w:before="30" w:after="30"/>
              <w:jc w:val="center"/>
            </w:pPr>
            <w:r>
              <w:rPr>
                <w:b/>
                <w:i w:val="0"/>
                <w:sz w:val="18"/>
              </w:rPr>
              <w:t>SE</w:t>
            </w:r>
          </w:p>
        </w:tc>
        <w:tc>
          <w:tcPr>
            <w:tcW w:type="dxa" w:w="1360"/>
            <w:tcBorders>
              <w:bottom w:val="single" w:sz="8" w:space="0" w:color="auto"/>
            </w:tcBorders>
          </w:tcPr>
          <w:p>
            <w:pPr>
              <w:pStyle w:val="MDPI42tablebody"/>
              <w:keepNext/>
              <w:spacing w:line="240" w:lineRule="auto" w:before="30" w:after="30"/>
              <w:jc w:val="center"/>
            </w:pPr>
            <w:r>
              <w:rPr>
                <w:b/>
                <w:i w:val="0"/>
                <w:sz w:val="18"/>
              </w:rPr>
              <w:t>N</w:t>
            </w:r>
          </w:p>
        </w:tc>
        <w:tc>
          <w:tcPr>
            <w:tcW w:type="dxa" w:w="1255"/>
            <w:tcBorders>
              <w:bottom w:val="single" w:sz="8" w:space="0" w:color="auto"/>
            </w:tcBorders>
          </w:tcPr>
          <w:p>
            <w:pPr>
              <w:pStyle w:val="MDPI42tablebody"/>
              <w:keepNext/>
              <w:spacing w:line="240" w:lineRule="auto" w:before="30" w:after="30"/>
              <w:jc w:val="center"/>
            </w:pPr>
            <w:r>
              <w:rPr>
                <w:b/>
                <w:i w:val="0"/>
                <w:sz w:val="18"/>
              </w:rPr>
              <w:t>Within R²</w:t>
            </w:r>
          </w:p>
        </w:tc>
      </w:tr>
      <w:tr>
        <w:trPr>
          <w:cantSplit/>
        </w:trPr>
        <w:tc>
          <w:tcPr>
            <w:tcW w:type="dxa" w:w="5023"/>
          </w:tcPr>
          <w:p>
            <w:pPr>
              <w:pStyle w:val="MDPI42tablebody"/>
              <w:keepNext/>
              <w:spacing w:line="240" w:lineRule="auto" w:before="30" w:after="30"/>
              <w:jc w:val="left"/>
            </w:pPr>
            <w:r>
              <w:rPr>
                <w:b w:val="0"/>
                <w:i w:val="0"/>
                <w:sz w:val="18"/>
              </w:rPr>
              <w:t>Entry-level vacancy rate on AI uncertainty (baseline)</w:t>
            </w:r>
          </w:p>
        </w:tc>
        <w:tc>
          <w:tcPr>
            <w:tcW w:type="dxa" w:w="1465"/>
          </w:tcPr>
          <w:p>
            <w:pPr>
              <w:pStyle w:val="MDPI42tablebody"/>
              <w:keepNext/>
              <w:spacing w:line="240" w:lineRule="auto" w:before="30" w:after="30"/>
              <w:jc w:val="center"/>
            </w:pPr>
            <w:r>
              <w:rPr>
                <w:b w:val="0"/>
                <w:i w:val="0"/>
                <w:sz w:val="18"/>
              </w:rPr>
              <w:t>−1.230***</w:t>
            </w:r>
          </w:p>
        </w:tc>
        <w:tc>
          <w:tcPr>
            <w:tcW w:type="dxa" w:w="1360"/>
          </w:tcPr>
          <w:p>
            <w:pPr>
              <w:pStyle w:val="MDPI42tablebody"/>
              <w:keepNext/>
              <w:spacing w:line="240" w:lineRule="auto" w:before="30" w:after="30"/>
              <w:jc w:val="center"/>
            </w:pPr>
            <w:r>
              <w:rPr>
                <w:b w:val="0"/>
                <w:i w:val="0"/>
                <w:sz w:val="18"/>
              </w:rPr>
              <w:t>(0.026)</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0.277</w:t>
            </w:r>
          </w:p>
        </w:tc>
      </w:tr>
      <w:tr>
        <w:trPr>
          <w:cantSplit/>
        </w:trPr>
        <w:tc>
          <w:tcPr>
            <w:tcW w:type="dxa" w:w="5023"/>
          </w:tcPr>
          <w:p>
            <w:pPr>
              <w:pStyle w:val="MDPI42tablebody"/>
              <w:keepNext/>
              <w:spacing w:line="240" w:lineRule="auto" w:before="30" w:after="30"/>
              <w:jc w:val="left"/>
            </w:pPr>
            <w:r>
              <w:rPr>
                <w:b w:val="0"/>
                <w:i w:val="0"/>
                <w:sz w:val="18"/>
              </w:rPr>
              <w:t>Placebo: general economic policy uncertainty only</w:t>
            </w:r>
          </w:p>
        </w:tc>
        <w:tc>
          <w:tcPr>
            <w:tcW w:type="dxa" w:w="1465"/>
          </w:tcPr>
          <w:p>
            <w:pPr>
              <w:pStyle w:val="MDPI42tablebody"/>
              <w:keepNext/>
              <w:spacing w:line="240" w:lineRule="auto" w:before="30" w:after="30"/>
              <w:jc w:val="center"/>
            </w:pPr>
            <w:r>
              <w:rPr>
                <w:b w:val="0"/>
                <w:i w:val="0"/>
                <w:sz w:val="18"/>
              </w:rPr>
              <w:t>−0.344***</w:t>
            </w:r>
          </w:p>
        </w:tc>
        <w:tc>
          <w:tcPr>
            <w:tcW w:type="dxa" w:w="1360"/>
          </w:tcPr>
          <w:p>
            <w:pPr>
              <w:pStyle w:val="MDPI42tablebody"/>
              <w:keepNext/>
              <w:spacing w:line="240" w:lineRule="auto" w:before="30" w:after="30"/>
              <w:jc w:val="center"/>
            </w:pPr>
            <w:r>
              <w:rPr>
                <w:b w:val="0"/>
                <w:i w:val="0"/>
                <w:sz w:val="18"/>
              </w:rPr>
              <w:t>(0.022)</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0.151</w:t>
            </w:r>
          </w:p>
        </w:tc>
      </w:tr>
      <w:tr>
        <w:trPr>
          <w:cantSplit/>
        </w:trPr>
        <w:tc>
          <w:tcPr>
            <w:tcW w:type="dxa" w:w="5023"/>
          </w:tcPr>
          <w:p>
            <w:pPr>
              <w:pStyle w:val="MDPI42tablebody"/>
              <w:keepNext/>
              <w:spacing w:line="240" w:lineRule="auto" w:before="30" w:after="30"/>
              <w:jc w:val="left"/>
            </w:pPr>
            <w:r>
              <w:rPr>
                <w:b w:val="0"/>
                <w:i w:val="0"/>
                <w:sz w:val="18"/>
              </w:rPr>
              <w:t>Placebo: AI adoption level only</w:t>
            </w:r>
          </w:p>
        </w:tc>
        <w:tc>
          <w:tcPr>
            <w:tcW w:type="dxa" w:w="1465"/>
          </w:tcPr>
          <w:p>
            <w:pPr>
              <w:pStyle w:val="MDPI42tablebody"/>
              <w:keepNext/>
              <w:spacing w:line="240" w:lineRule="auto" w:before="30" w:after="30"/>
              <w:jc w:val="center"/>
            </w:pPr>
            <w:r>
              <w:rPr>
                <w:b w:val="0"/>
                <w:i w:val="0"/>
                <w:sz w:val="18"/>
              </w:rPr>
              <w:t>0.041*</w:t>
            </w:r>
          </w:p>
        </w:tc>
        <w:tc>
          <w:tcPr>
            <w:tcW w:type="dxa" w:w="1360"/>
          </w:tcPr>
          <w:p>
            <w:pPr>
              <w:pStyle w:val="MDPI42tablebody"/>
              <w:keepNext/>
              <w:spacing w:line="240" w:lineRule="auto" w:before="30" w:after="30"/>
              <w:jc w:val="center"/>
            </w:pPr>
            <w:r>
              <w:rPr>
                <w:b w:val="0"/>
                <w:i w:val="0"/>
                <w:sz w:val="18"/>
              </w:rPr>
              <w:t>(0.022)</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0.143</w:t>
            </w:r>
          </w:p>
        </w:tc>
      </w:tr>
      <w:tr>
        <w:trPr>
          <w:cantSplit/>
        </w:trPr>
        <w:tc>
          <w:tcPr>
            <w:tcW w:type="dxa" w:w="5023"/>
          </w:tcPr>
          <w:p>
            <w:pPr>
              <w:pStyle w:val="MDPI42tablebody"/>
              <w:keepNext/>
              <w:spacing w:line="240" w:lineRule="auto" w:before="30" w:after="30"/>
              <w:jc w:val="left"/>
            </w:pPr>
            <w:r>
              <w:rPr>
                <w:b w:val="0"/>
                <w:i w:val="0"/>
                <w:sz w:val="18"/>
              </w:rPr>
              <w:t>Placebo: experienced vacancy rate</w:t>
            </w:r>
          </w:p>
        </w:tc>
        <w:tc>
          <w:tcPr>
            <w:tcW w:type="dxa" w:w="1465"/>
          </w:tcPr>
          <w:p>
            <w:pPr>
              <w:pStyle w:val="MDPI42tablebody"/>
              <w:keepNext/>
              <w:spacing w:line="240" w:lineRule="auto" w:before="30" w:after="30"/>
              <w:jc w:val="center"/>
            </w:pPr>
            <w:r>
              <w:rPr>
                <w:b w:val="0"/>
                <w:i w:val="0"/>
                <w:sz w:val="18"/>
              </w:rPr>
              <w:t>−0.090***</w:t>
            </w:r>
          </w:p>
        </w:tc>
        <w:tc>
          <w:tcPr>
            <w:tcW w:type="dxa" w:w="1360"/>
          </w:tcPr>
          <w:p>
            <w:pPr>
              <w:pStyle w:val="MDPI42tablebody"/>
              <w:keepNext/>
              <w:spacing w:line="240" w:lineRule="auto" w:before="30" w:after="30"/>
              <w:jc w:val="center"/>
            </w:pPr>
            <w:r>
              <w:rPr>
                <w:b w:val="0"/>
                <w:i w:val="0"/>
                <w:sz w:val="18"/>
              </w:rPr>
              <w:t>(0.016)</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0.189</w:t>
            </w:r>
          </w:p>
        </w:tc>
      </w:tr>
      <w:tr>
        <w:trPr>
          <w:cantSplit/>
        </w:trPr>
        <w:tc>
          <w:tcPr>
            <w:tcW w:type="dxa" w:w="5023"/>
          </w:tcPr>
          <w:p>
            <w:pPr>
              <w:pStyle w:val="MDPI42tablebody"/>
              <w:keepNext/>
              <w:spacing w:line="240" w:lineRule="auto" w:before="30" w:after="30"/>
              <w:jc w:val="left"/>
            </w:pPr>
            <w:r>
              <w:rPr>
                <w:b w:val="0"/>
                <w:i w:val="0"/>
                <w:sz w:val="18"/>
              </w:rPr>
              <w:t>Placebo: total employment growth</w:t>
            </w:r>
          </w:p>
        </w:tc>
        <w:tc>
          <w:tcPr>
            <w:tcW w:type="dxa" w:w="1465"/>
          </w:tcPr>
          <w:p>
            <w:pPr>
              <w:pStyle w:val="MDPI42tablebody"/>
              <w:keepNext/>
              <w:spacing w:line="240" w:lineRule="auto" w:before="30" w:after="30"/>
              <w:jc w:val="center"/>
            </w:pPr>
            <w:r>
              <w:rPr>
                <w:b w:val="0"/>
                <w:i w:val="0"/>
                <w:sz w:val="18"/>
              </w:rPr>
              <w:t>0.093</w:t>
            </w:r>
          </w:p>
        </w:tc>
        <w:tc>
          <w:tcPr>
            <w:tcW w:type="dxa" w:w="1360"/>
          </w:tcPr>
          <w:p>
            <w:pPr>
              <w:pStyle w:val="MDPI42tablebody"/>
              <w:keepNext/>
              <w:spacing w:line="240" w:lineRule="auto" w:before="30" w:after="30"/>
              <w:jc w:val="center"/>
            </w:pPr>
            <w:r>
              <w:rPr>
                <w:b w:val="0"/>
                <w:i w:val="0"/>
                <w:sz w:val="18"/>
              </w:rPr>
              <w:t>(0.118)</w:t>
            </w:r>
          </w:p>
        </w:tc>
        <w:tc>
          <w:tcPr>
            <w:tcW w:type="dxa" w:w="1360"/>
          </w:tcPr>
          <w:p>
            <w:pPr>
              <w:pStyle w:val="MDPI42tablebody"/>
              <w:keepNext/>
              <w:spacing w:line="240" w:lineRule="auto" w:before="30" w:after="30"/>
              <w:jc w:val="center"/>
            </w:pPr>
            <w:r>
              <w:rPr>
                <w:b w:val="0"/>
                <w:i w:val="0"/>
                <w:sz w:val="18"/>
              </w:rPr>
              <w:t>26,460</w:t>
            </w:r>
          </w:p>
        </w:tc>
        <w:tc>
          <w:tcPr>
            <w:tcW w:type="dxa" w:w="1255"/>
          </w:tcPr>
          <w:p>
            <w:pPr>
              <w:pStyle w:val="MDPI42tablebody"/>
              <w:keepNext/>
              <w:spacing w:line="240" w:lineRule="auto" w:before="30" w:after="30"/>
              <w:jc w:val="center"/>
            </w:pPr>
            <w:r>
              <w:rPr>
                <w:b w:val="0"/>
                <w:i w:val="0"/>
                <w:sz w:val="18"/>
              </w:rPr>
              <w:t>0.106</w:t>
            </w:r>
          </w:p>
        </w:tc>
      </w:tr>
      <w:tr>
        <w:trPr>
          <w:cantSplit/>
        </w:trPr>
        <w:tc>
          <w:tcPr>
            <w:tcW w:type="dxa" w:w="5023"/>
          </w:tcPr>
          <w:p>
            <w:pPr>
              <w:pStyle w:val="MDPI42tablebody"/>
              <w:keepNext/>
              <w:spacing w:line="240" w:lineRule="auto" w:before="30" w:after="30"/>
              <w:jc w:val="left"/>
            </w:pPr>
            <w:r>
              <w:rPr>
                <w:b w:val="0"/>
                <w:i w:val="0"/>
                <w:sz w:val="18"/>
              </w:rPr>
              <w:t>Comparison: capital expenditure rate</w:t>
            </w:r>
          </w:p>
        </w:tc>
        <w:tc>
          <w:tcPr>
            <w:tcW w:type="dxa" w:w="1465"/>
          </w:tcPr>
          <w:p>
            <w:pPr>
              <w:pStyle w:val="MDPI42tablebody"/>
              <w:keepNext/>
              <w:spacing w:line="240" w:lineRule="auto" w:before="30" w:after="30"/>
              <w:jc w:val="center"/>
            </w:pPr>
            <w:r>
              <w:rPr>
                <w:b w:val="0"/>
                <w:i w:val="0"/>
                <w:sz w:val="18"/>
              </w:rPr>
              <w:t>−0.041***</w:t>
            </w:r>
          </w:p>
        </w:tc>
        <w:tc>
          <w:tcPr>
            <w:tcW w:type="dxa" w:w="1360"/>
          </w:tcPr>
          <w:p>
            <w:pPr>
              <w:pStyle w:val="MDPI42tablebody"/>
              <w:keepNext/>
              <w:spacing w:line="240" w:lineRule="auto" w:before="30" w:after="30"/>
              <w:jc w:val="center"/>
            </w:pPr>
            <w:r>
              <w:rPr>
                <w:b w:val="0"/>
                <w:i w:val="0"/>
                <w:sz w:val="18"/>
              </w:rPr>
              <w:t>(0.016)</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0.010</w:t>
            </w:r>
          </w:p>
        </w:tc>
      </w:tr>
      <w:tr>
        <w:trPr>
          <w:cantSplit/>
        </w:trPr>
        <w:tc>
          <w:tcPr>
            <w:tcW w:type="dxa" w:w="5023"/>
          </w:tcPr>
          <w:p>
            <w:pPr>
              <w:pStyle w:val="MDPI42tablebody"/>
              <w:keepNext/>
              <w:spacing w:line="240" w:lineRule="auto" w:before="30" w:after="30"/>
              <w:jc w:val="left"/>
            </w:pPr>
            <w:r>
              <w:rPr>
                <w:b w:val="0"/>
                <w:i w:val="0"/>
                <w:sz w:val="18"/>
              </w:rPr>
              <w:t>Uncertainty measured as the dispersion of analyst forecasts</w:t>
            </w:r>
          </w:p>
        </w:tc>
        <w:tc>
          <w:tcPr>
            <w:tcW w:type="dxa" w:w="1465"/>
          </w:tcPr>
          <w:p>
            <w:pPr>
              <w:pStyle w:val="MDPI42tablebody"/>
              <w:keepNext/>
              <w:spacing w:line="240" w:lineRule="auto" w:before="30" w:after="30"/>
              <w:jc w:val="center"/>
            </w:pPr>
            <w:r>
              <w:rPr>
                <w:b w:val="0"/>
                <w:i w:val="0"/>
                <w:sz w:val="18"/>
              </w:rPr>
              <w:t>−1.040***</w:t>
            </w:r>
          </w:p>
        </w:tc>
        <w:tc>
          <w:tcPr>
            <w:tcW w:type="dxa" w:w="1360"/>
          </w:tcPr>
          <w:p>
            <w:pPr>
              <w:pStyle w:val="MDPI42tablebody"/>
              <w:keepNext/>
              <w:spacing w:line="240" w:lineRule="auto" w:before="30" w:after="30"/>
              <w:jc w:val="center"/>
            </w:pPr>
            <w:r>
              <w:rPr>
                <w:b w:val="0"/>
                <w:i w:val="0"/>
                <w:sz w:val="18"/>
              </w:rPr>
              <w:t>(0.024)</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0.245</w:t>
            </w:r>
          </w:p>
        </w:tc>
      </w:tr>
      <w:tr>
        <w:trPr>
          <w:cantSplit/>
        </w:trPr>
        <w:tc>
          <w:tcPr>
            <w:tcW w:type="dxa" w:w="5023"/>
          </w:tcPr>
          <w:p>
            <w:pPr>
              <w:pStyle w:val="MDPI42tablebody"/>
              <w:keepNext/>
              <w:spacing w:line="240" w:lineRule="auto" w:before="30" w:after="30"/>
              <w:jc w:val="left"/>
            </w:pPr>
            <w:r>
              <w:rPr>
                <w:b w:val="0"/>
                <w:i w:val="0"/>
                <w:sz w:val="18"/>
              </w:rPr>
              <w:t>Uncertainty measured by a count of risk-factor sentences</w:t>
            </w:r>
          </w:p>
        </w:tc>
        <w:tc>
          <w:tcPr>
            <w:tcW w:type="dxa" w:w="1465"/>
          </w:tcPr>
          <w:p>
            <w:pPr>
              <w:pStyle w:val="MDPI42tablebody"/>
              <w:keepNext/>
              <w:spacing w:line="240" w:lineRule="auto" w:before="30" w:after="30"/>
              <w:jc w:val="center"/>
            </w:pPr>
            <w:r>
              <w:rPr>
                <w:b w:val="0"/>
                <w:i w:val="0"/>
                <w:sz w:val="18"/>
              </w:rPr>
              <w:t>−1.094***</w:t>
            </w:r>
          </w:p>
        </w:tc>
        <w:tc>
          <w:tcPr>
            <w:tcW w:type="dxa" w:w="1360"/>
          </w:tcPr>
          <w:p>
            <w:pPr>
              <w:pStyle w:val="MDPI42tablebody"/>
              <w:keepNext/>
              <w:spacing w:line="240" w:lineRule="auto" w:before="30" w:after="30"/>
              <w:jc w:val="center"/>
            </w:pPr>
            <w:r>
              <w:rPr>
                <w:b w:val="0"/>
                <w:i w:val="0"/>
                <w:sz w:val="18"/>
              </w:rPr>
              <w:t>(0.025)</w:t>
            </w:r>
          </w:p>
        </w:tc>
        <w:tc>
          <w:tcPr>
            <w:tcW w:type="dxa" w:w="1360"/>
          </w:tcPr>
          <w:p>
            <w:pPr>
              <w:pStyle w:val="MDPI42tablebody"/>
              <w:keepNext/>
              <w:spacing w:line="240" w:lineRule="auto" w:before="30" w:after="30"/>
              <w:jc w:val="center"/>
            </w:pPr>
            <w:r>
              <w:rPr>
                <w:b w:val="0"/>
                <w:i w:val="0"/>
                <w:sz w:val="18"/>
              </w:rPr>
              <w:t>29,660</w:t>
            </w:r>
          </w:p>
        </w:tc>
        <w:tc>
          <w:tcPr>
            <w:tcW w:type="dxa" w:w="1255"/>
          </w:tcPr>
          <w:p>
            <w:pPr>
              <w:pStyle w:val="MDPI42tablebody"/>
              <w:keepNext/>
              <w:spacing w:line="240" w:lineRule="auto" w:before="30" w:after="30"/>
              <w:jc w:val="center"/>
            </w:pPr>
            <w:r>
              <w:rPr>
                <w:b w:val="0"/>
                <w:i w:val="0"/>
                <w:sz w:val="18"/>
              </w:rPr>
              <w:t>0.254</w:t>
            </w:r>
          </w:p>
        </w:tc>
      </w:tr>
      <w:tr>
        <w:trPr>
          <w:cantSplit/>
        </w:trPr>
        <w:tc>
          <w:tcPr>
            <w:tcW w:type="dxa" w:w="5023"/>
          </w:tcPr>
          <w:p>
            <w:pPr>
              <w:pStyle w:val="MDPI42tablebody"/>
              <w:spacing w:line="240" w:lineRule="auto" w:before="30" w:after="30"/>
              <w:jc w:val="left"/>
            </w:pPr>
            <w:r>
              <w:rPr>
                <w:b w:val="0"/>
                <w:i w:val="0"/>
                <w:sz w:val="18"/>
              </w:rPr>
              <w:t>Uncertainty entered as an indicator for the top quartile</w:t>
            </w:r>
          </w:p>
        </w:tc>
        <w:tc>
          <w:tcPr>
            <w:tcW w:type="dxa" w:w="1465"/>
          </w:tcPr>
          <w:p>
            <w:pPr>
              <w:pStyle w:val="MDPI42tablebody"/>
              <w:spacing w:line="240" w:lineRule="auto" w:before="30" w:after="30"/>
              <w:jc w:val="center"/>
            </w:pPr>
            <w:r>
              <w:rPr>
                <w:b w:val="0"/>
                <w:i w:val="0"/>
                <w:sz w:val="18"/>
              </w:rPr>
              <w:t>−1.922***</w:t>
            </w:r>
          </w:p>
        </w:tc>
        <w:tc>
          <w:tcPr>
            <w:tcW w:type="dxa" w:w="1360"/>
          </w:tcPr>
          <w:p>
            <w:pPr>
              <w:pStyle w:val="MDPI42tablebody"/>
              <w:spacing w:line="240" w:lineRule="auto" w:before="30" w:after="30"/>
              <w:jc w:val="center"/>
            </w:pPr>
            <w:r>
              <w:rPr>
                <w:b w:val="0"/>
                <w:i w:val="0"/>
                <w:sz w:val="18"/>
              </w:rPr>
              <w:t>(0.050)</w:t>
            </w:r>
          </w:p>
        </w:tc>
        <w:tc>
          <w:tcPr>
            <w:tcW w:type="dxa" w:w="1360"/>
          </w:tcPr>
          <w:p>
            <w:pPr>
              <w:pStyle w:val="MDPI42tablebody"/>
              <w:spacing w:line="240" w:lineRule="auto" w:before="30" w:after="30"/>
              <w:jc w:val="center"/>
            </w:pPr>
            <w:r>
              <w:rPr>
                <w:b w:val="0"/>
                <w:i w:val="0"/>
                <w:sz w:val="18"/>
              </w:rPr>
              <w:t>29,660</w:t>
            </w:r>
          </w:p>
        </w:tc>
        <w:tc>
          <w:tcPr>
            <w:tcW w:type="dxa" w:w="1255"/>
          </w:tcPr>
          <w:p>
            <w:pPr>
              <w:pStyle w:val="MDPI42tablebody"/>
              <w:spacing w:line="240" w:lineRule="auto" w:before="30" w:after="30"/>
              <w:jc w:val="center"/>
            </w:pPr>
            <w:r>
              <w:rPr>
                <w:b w:val="0"/>
                <w:i w:val="0"/>
                <w:sz w:val="18"/>
              </w:rPr>
              <w:t>0.213</w:t>
            </w:r>
          </w:p>
        </w:tc>
      </w:tr>
    </w:tbl>
    <w:p>
      <w:pPr>
        <w:pStyle w:val="MDPI43tablefooter"/>
        <w:spacing w:line="240" w:lineRule="auto" w:before="40" w:after="200"/>
        <w:ind w:left="2608" w:firstLine="0"/>
      </w:pPr>
      <w:r>
        <w:rPr>
          <w:sz w:val="16"/>
        </w:rPr>
        <w:t xml:space="preserve">Note: </w:t>
      </w:r>
      <w:r>
        <w:rPr>
          <w:b w:val="0"/>
          <w:i w:val="0"/>
          <w:sz w:val="16"/>
        </w:rPr>
        <w:t>The coefficient reported is that on the variable named in the first column, or on AIU where no other variable is named. All specifications include the full control vector and firm and year effects. Standard errors clustered at the firm level are in parentheses. ***, ** and * denote significance at the 1%, 5% and 10% levels.</w:t>
      </w:r>
    </w:p>
    <w:p>
      <w:pPr>
        <w:pStyle w:val="MDPI62backmatter"/>
        <w:spacing w:before="120"/>
      </w:pPr>
      <w:r>
        <w:rPr>
          <w:b/>
          <w:sz w:val="18"/>
        </w:rPr>
        <w:t xml:space="preserve">Author Contributions: </w:t>
      </w:r>
      <w:r>
        <w:rPr>
          <w:b w:val="0"/>
          <w:i w:val="0"/>
          <w:sz w:val="18"/>
        </w:rPr>
        <w:t>Conceptualization, methodology, formal analysis, software and writing—original draft preparation, X.C.; validation, data curation and visualization, investigation, writing—review and editing, supervision and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pStyle w:val="MDPI62backmatter"/>
        <w:spacing w:before="120"/>
      </w:pPr>
      <w:r>
        <w:rPr>
          <w:b/>
          <w:sz w:val="18"/>
        </w:rPr>
        <w:t xml:space="preserve">Institutional Review Board Statement: </w:t>
      </w:r>
      <w:r>
        <w:rPr>
          <w:b w:val="0"/>
          <w:i w:val="0"/>
          <w:sz w:val="18"/>
        </w:rPr>
        <w:t>Not applicable. The study uses firm-level accounting, disclosure and vacancy data and involves no human participants or animals.</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The financial, governance and employment-composition data are commercially licensed from the China Stock Market and Accounting Research database, and the vacancy records are licensed from a commercial online recruitment archive; neither can be redistributed by the authors, and both are available to subscribers. The generative-AI and uncertainty dictionaries, the estimation code for every specification reported in the paper, and the scripts that generate every table are available from the corresponding author on reasonable request.</w:t>
      </w:r>
    </w:p>
    <w:p>
      <w:pPr>
        <w:pStyle w:val="MDPI62backmatter"/>
        <w:spacing w:before="120"/>
      </w:pPr>
      <w:r>
        <w:rPr>
          <w:b/>
          <w:sz w:val="18"/>
        </w:rPr>
        <w:t xml:space="preserve">Acknowledgments: </w:t>
      </w:r>
      <w:r>
        <w:rPr>
          <w:b w:val="0"/>
          <w:i w:val="0"/>
          <w:sz w:val="18"/>
        </w:rPr>
        <w:t>The authors thank the editors and the anonymous reviewers for comments that improved the manuscript.</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Peng, S.; Kalliamvakou, E.; Cihon, P.; Demirer, M. </w:t>
      </w:r>
      <w:r>
        <w:rPr>
          <w:b w:val="0"/>
          <w:i w:val="0"/>
          <w:sz w:val="18"/>
        </w:rPr>
        <w:t xml:space="preserve">The Impact of AI on Developer Productivity: Evidence from GitHub Copilot. </w:t>
      </w:r>
      <w:r>
        <w:rPr>
          <w:b w:val="0"/>
          <w:i/>
          <w:sz w:val="18"/>
        </w:rPr>
        <w:t xml:space="preserve">arXiv </w:t>
      </w:r>
      <w:r>
        <w:rPr>
          <w:b/>
          <w:i w:val="0"/>
          <w:sz w:val="18"/>
        </w:rPr>
        <w:t>2023</w:t>
      </w:r>
      <w:r>
        <w:rPr>
          <w:b w:val="0"/>
          <w:i w:val="0"/>
          <w:sz w:val="18"/>
        </w:rPr>
        <w:t xml:space="preserve">, </w:t>
      </w:r>
      <w:r>
        <w:rPr>
          <w:b w:val="0"/>
          <w:i w:val="0"/>
          <w:sz w:val="18"/>
        </w:rPr>
        <w:t>arXiv:2302.06590.</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Liu, Y.; Wang, H.; Yu, S. </w:t>
      </w:r>
      <w:r>
        <w:rPr>
          <w:b w:val="0"/>
          <w:i/>
          <w:sz w:val="18"/>
        </w:rPr>
        <w:t xml:space="preserve">Labor Demand in the Age of Generative AI: Early Evidence from the U.S. Job Posting Data; </w:t>
      </w:r>
      <w:r>
        <w:rPr>
          <w:b w:val="0"/>
          <w:i w:val="0"/>
          <w:sz w:val="18"/>
        </w:rPr>
        <w:t xml:space="preserve">Policy Research Working Paper 11263; </w:t>
      </w:r>
      <w:r>
        <w:rPr>
          <w:b w:val="0"/>
          <w:i w:val="0"/>
          <w:sz w:val="18"/>
        </w:rPr>
        <w:t>World Bank: Washington, DC, USA, 2025.</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Vaccaro, M.; Almaatouq, A.; Malone, T. </w:t>
      </w:r>
      <w:r>
        <w:rPr>
          <w:b w:val="0"/>
          <w:i w:val="0"/>
          <w:sz w:val="18"/>
        </w:rPr>
        <w:t xml:space="preserve">When Combinations of Humans and AI Are Useful: A Systematic Review and Meta-Analysis. </w:t>
      </w:r>
      <w:r>
        <w:rPr>
          <w:b w:val="0"/>
          <w:i/>
          <w:sz w:val="18"/>
        </w:rPr>
        <w:t xml:space="preserve">Nat. Hum. Behav. </w:t>
      </w:r>
      <w:r>
        <w:rPr>
          <w:b/>
          <w:i w:val="0"/>
          <w:sz w:val="18"/>
        </w:rPr>
        <w:t>2024</w:t>
      </w:r>
      <w:r>
        <w:rPr>
          <w:b w:val="0"/>
          <w:i w:val="0"/>
          <w:sz w:val="18"/>
        </w:rPr>
        <w:t xml:space="preserve">, </w:t>
      </w:r>
      <w:r>
        <w:rPr>
          <w:b w:val="0"/>
          <w:i/>
          <w:sz w:val="18"/>
        </w:rPr>
        <w:t>8</w:t>
      </w:r>
      <w:r>
        <w:rPr>
          <w:b w:val="0"/>
          <w:i w:val="0"/>
          <w:sz w:val="18"/>
        </w:rPr>
        <w:t>, 2293–2303.</w:t>
      </w:r>
      <w:r>
        <w:rPr>
          <w:b w:val="0"/>
          <w:i w:val="0"/>
          <w:sz w:val="18"/>
        </w:rPr>
        <w:t xml:space="preserve"> [CrossRef]</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Becker, G.S. </w:t>
      </w:r>
      <w:r>
        <w:rPr>
          <w:b w:val="0"/>
          <w:i w:val="0"/>
          <w:sz w:val="18"/>
        </w:rPr>
        <w:t xml:space="preserve">Investment in Human Capital: A Theoretical Analysis. </w:t>
      </w:r>
      <w:r>
        <w:rPr>
          <w:b w:val="0"/>
          <w:i/>
          <w:sz w:val="18"/>
        </w:rPr>
        <w:t xml:space="preserve">J. Political Econ. </w:t>
      </w:r>
      <w:r>
        <w:rPr>
          <w:b/>
          <w:i w:val="0"/>
          <w:sz w:val="18"/>
        </w:rPr>
        <w:t>1962</w:t>
      </w:r>
      <w:r>
        <w:rPr>
          <w:b w:val="0"/>
          <w:i w:val="0"/>
          <w:sz w:val="18"/>
        </w:rPr>
        <w:t xml:space="preserve">, </w:t>
      </w:r>
      <w:r>
        <w:rPr>
          <w:b w:val="0"/>
          <w:i/>
          <w:sz w:val="18"/>
        </w:rPr>
        <w:t>70</w:t>
      </w:r>
      <w:r>
        <w:rPr>
          <w:b w:val="0"/>
          <w:i w:val="0"/>
          <w:sz w:val="18"/>
        </w:rPr>
        <w:t>, 9–49.</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Acemoglu, D.; Pischke, J.-S. </w:t>
      </w:r>
      <w:r>
        <w:rPr>
          <w:b w:val="0"/>
          <w:i w:val="0"/>
          <w:sz w:val="18"/>
        </w:rPr>
        <w:t xml:space="preserve">Why Do Firms Train? Theory and Evidence. </w:t>
      </w:r>
      <w:r>
        <w:rPr>
          <w:b w:val="0"/>
          <w:i/>
          <w:sz w:val="18"/>
        </w:rPr>
        <w:t xml:space="preserve">Q. J. Econ. </w:t>
      </w:r>
      <w:r>
        <w:rPr>
          <w:b/>
          <w:i w:val="0"/>
          <w:sz w:val="18"/>
        </w:rPr>
        <w:t>1998</w:t>
      </w:r>
      <w:r>
        <w:rPr>
          <w:b w:val="0"/>
          <w:i w:val="0"/>
          <w:sz w:val="18"/>
        </w:rPr>
        <w:t xml:space="preserve">, </w:t>
      </w:r>
      <w:r>
        <w:rPr>
          <w:b w:val="0"/>
          <w:i/>
          <w:sz w:val="18"/>
        </w:rPr>
        <w:t>113</w:t>
      </w:r>
      <w:r>
        <w:rPr>
          <w:b w:val="0"/>
          <w:i w:val="0"/>
          <w:sz w:val="18"/>
        </w:rPr>
        <w:t>, 79–119.</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Lazear, E.P. </w:t>
      </w:r>
      <w:r>
        <w:rPr>
          <w:b w:val="0"/>
          <w:i w:val="0"/>
          <w:sz w:val="18"/>
        </w:rPr>
        <w:t xml:space="preserve">Firm-Specific Human Capital: A Skill-Weights Approach. </w:t>
      </w:r>
      <w:r>
        <w:rPr>
          <w:b w:val="0"/>
          <w:i/>
          <w:sz w:val="18"/>
        </w:rPr>
        <w:t xml:space="preserve">J. Political Econ. </w:t>
      </w:r>
      <w:r>
        <w:rPr>
          <w:b/>
          <w:i w:val="0"/>
          <w:sz w:val="18"/>
        </w:rPr>
        <w:t>2009</w:t>
      </w:r>
      <w:r>
        <w:rPr>
          <w:b w:val="0"/>
          <w:i w:val="0"/>
          <w:sz w:val="18"/>
        </w:rPr>
        <w:t xml:space="preserve">, </w:t>
      </w:r>
      <w:r>
        <w:rPr>
          <w:b w:val="0"/>
          <w:i/>
          <w:sz w:val="18"/>
        </w:rPr>
        <w:t>117</w:t>
      </w:r>
      <w:r>
        <w:rPr>
          <w:b w:val="0"/>
          <w:i w:val="0"/>
          <w:sz w:val="18"/>
        </w:rPr>
        <w:t>, 914–940.</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Gallagher, M.; Giles, J.; Park, A.; Wang, M. </w:t>
      </w:r>
      <w:r>
        <w:rPr>
          <w:b w:val="0"/>
          <w:i w:val="0"/>
          <w:sz w:val="18"/>
        </w:rPr>
        <w:t xml:space="preserve">China's 2008 Labor Contract Law: Implementation and Implications for China's Workers. </w:t>
      </w:r>
      <w:r>
        <w:rPr>
          <w:b w:val="0"/>
          <w:i/>
          <w:sz w:val="18"/>
        </w:rPr>
        <w:t xml:space="preserve">Hum. Relat. </w:t>
      </w:r>
      <w:r>
        <w:rPr>
          <w:b/>
          <w:i w:val="0"/>
          <w:sz w:val="18"/>
        </w:rPr>
        <w:t>2015</w:t>
      </w:r>
      <w:r>
        <w:rPr>
          <w:b w:val="0"/>
          <w:i w:val="0"/>
          <w:sz w:val="18"/>
        </w:rPr>
        <w:t xml:space="preserve">, </w:t>
      </w:r>
      <w:r>
        <w:rPr>
          <w:b w:val="0"/>
          <w:i/>
          <w:sz w:val="18"/>
        </w:rPr>
        <w:t>68</w:t>
      </w:r>
      <w:r>
        <w:rPr>
          <w:b w:val="0"/>
          <w:i w:val="0"/>
          <w:sz w:val="18"/>
        </w:rPr>
        <w:t>, 197–235.</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Bernanke, B.S. </w:t>
      </w:r>
      <w:r>
        <w:rPr>
          <w:b w:val="0"/>
          <w:i w:val="0"/>
          <w:sz w:val="18"/>
        </w:rPr>
        <w:t xml:space="preserve">Irreversibility, Uncertainty, and Cyclical Investment. </w:t>
      </w:r>
      <w:r>
        <w:rPr>
          <w:b w:val="0"/>
          <w:i/>
          <w:sz w:val="18"/>
        </w:rPr>
        <w:t xml:space="preserve">Q. J. Econ. </w:t>
      </w:r>
      <w:r>
        <w:rPr>
          <w:b/>
          <w:i w:val="0"/>
          <w:sz w:val="18"/>
        </w:rPr>
        <w:t>1983</w:t>
      </w:r>
      <w:r>
        <w:rPr>
          <w:b w:val="0"/>
          <w:i w:val="0"/>
          <w:sz w:val="18"/>
        </w:rPr>
        <w:t xml:space="preserve">, </w:t>
      </w:r>
      <w:r>
        <w:rPr>
          <w:b w:val="0"/>
          <w:i/>
          <w:sz w:val="18"/>
        </w:rPr>
        <w:t>98</w:t>
      </w:r>
      <w:r>
        <w:rPr>
          <w:b w:val="0"/>
          <w:i w:val="0"/>
          <w:sz w:val="18"/>
        </w:rPr>
        <w:t>, 85–106.</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Dixit, A.K.; Pindyck, R.S. </w:t>
      </w:r>
      <w:r>
        <w:rPr>
          <w:b w:val="0"/>
          <w:i/>
          <w:sz w:val="18"/>
        </w:rPr>
        <w:t>Investment under Uncertainty</w:t>
      </w:r>
      <w:r>
        <w:rPr>
          <w:b w:val="0"/>
          <w:i w:val="0"/>
          <w:sz w:val="18"/>
        </w:rPr>
        <w:t xml:space="preserve">; </w:t>
      </w:r>
      <w:r>
        <w:rPr>
          <w:b w:val="0"/>
          <w:i w:val="0"/>
          <w:sz w:val="18"/>
        </w:rPr>
        <w:t>Princeton University Press: Princeton, NJ, USA, 1994.</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Bloom, N.; Bond, S.; Van Reenen, J. </w:t>
      </w:r>
      <w:r>
        <w:rPr>
          <w:b w:val="0"/>
          <w:i w:val="0"/>
          <w:sz w:val="18"/>
        </w:rPr>
        <w:t xml:space="preserve">Uncertainty and Investment Dynamics. </w:t>
      </w:r>
      <w:r>
        <w:rPr>
          <w:b w:val="0"/>
          <w:i/>
          <w:sz w:val="18"/>
        </w:rPr>
        <w:t xml:space="preserve">Rev. Econ. Stud. </w:t>
      </w:r>
      <w:r>
        <w:rPr>
          <w:b/>
          <w:i w:val="0"/>
          <w:sz w:val="18"/>
        </w:rPr>
        <w:t>2007</w:t>
      </w:r>
      <w:r>
        <w:rPr>
          <w:b w:val="0"/>
          <w:i w:val="0"/>
          <w:sz w:val="18"/>
        </w:rPr>
        <w:t xml:space="preserve">, </w:t>
      </w:r>
      <w:r>
        <w:rPr>
          <w:b w:val="0"/>
          <w:i/>
          <w:sz w:val="18"/>
        </w:rPr>
        <w:t>74</w:t>
      </w:r>
      <w:r>
        <w:rPr>
          <w:b w:val="0"/>
          <w:i w:val="0"/>
          <w:sz w:val="18"/>
        </w:rPr>
        <w:t>, 391–415.</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Abel, A.B.; Eberly, J.C. </w:t>
      </w:r>
      <w:r>
        <w:rPr>
          <w:b w:val="0"/>
          <w:i w:val="0"/>
          <w:sz w:val="18"/>
        </w:rPr>
        <w:t xml:space="preserve">Optimal Investment with Costly Reversibility. </w:t>
      </w:r>
      <w:r>
        <w:rPr>
          <w:b w:val="0"/>
          <w:i/>
          <w:sz w:val="18"/>
        </w:rPr>
        <w:t xml:space="preserve">Rev. Econ. Stud. </w:t>
      </w:r>
      <w:r>
        <w:rPr>
          <w:b/>
          <w:i w:val="0"/>
          <w:sz w:val="18"/>
        </w:rPr>
        <w:t>1996</w:t>
      </w:r>
      <w:r>
        <w:rPr>
          <w:b w:val="0"/>
          <w:i w:val="0"/>
          <w:sz w:val="18"/>
        </w:rPr>
        <w:t xml:space="preserve">, </w:t>
      </w:r>
      <w:r>
        <w:rPr>
          <w:b w:val="0"/>
          <w:i/>
          <w:sz w:val="18"/>
        </w:rPr>
        <w:t>63</w:t>
      </w:r>
      <w:r>
        <w:rPr>
          <w:b w:val="0"/>
          <w:i w:val="0"/>
          <w:sz w:val="18"/>
        </w:rPr>
        <w:t>, 581–593.</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Bentolila, S.; Bertola, G. </w:t>
      </w:r>
      <w:r>
        <w:rPr>
          <w:b w:val="0"/>
          <w:i w:val="0"/>
          <w:sz w:val="18"/>
        </w:rPr>
        <w:t xml:space="preserve">Firing Costs and Labour Demand: How Bad Is Eurosclerosis? </w:t>
      </w:r>
      <w:r>
        <w:rPr>
          <w:b w:val="0"/>
          <w:i/>
          <w:sz w:val="18"/>
        </w:rPr>
        <w:t xml:space="preserve">Rev. Econ. Stud. </w:t>
      </w:r>
      <w:r>
        <w:rPr>
          <w:b/>
          <w:i w:val="0"/>
          <w:sz w:val="18"/>
        </w:rPr>
        <w:t>1990</w:t>
      </w:r>
      <w:r>
        <w:rPr>
          <w:b w:val="0"/>
          <w:i w:val="0"/>
          <w:sz w:val="18"/>
        </w:rPr>
        <w:t xml:space="preserve">, </w:t>
      </w:r>
      <w:r>
        <w:rPr>
          <w:b w:val="0"/>
          <w:i/>
          <w:sz w:val="18"/>
        </w:rPr>
        <w:t>57</w:t>
      </w:r>
      <w:r>
        <w:rPr>
          <w:b w:val="0"/>
          <w:i w:val="0"/>
          <w:sz w:val="18"/>
        </w:rPr>
        <w:t>, 381–402.</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Loughran, T.; McDonald, B. </w:t>
      </w:r>
      <w:r>
        <w:rPr>
          <w:b w:val="0"/>
          <w:i w:val="0"/>
          <w:sz w:val="18"/>
        </w:rPr>
        <w:t xml:space="preserve">Textual Analysis in Accounting and Finance: A Survey. </w:t>
      </w:r>
      <w:r>
        <w:rPr>
          <w:b w:val="0"/>
          <w:i/>
          <w:sz w:val="18"/>
        </w:rPr>
        <w:t xml:space="preserve">J. Account. Res. </w:t>
      </w:r>
      <w:r>
        <w:rPr>
          <w:b/>
          <w:i w:val="0"/>
          <w:sz w:val="18"/>
        </w:rPr>
        <w:t>2016</w:t>
      </w:r>
      <w:r>
        <w:rPr>
          <w:b w:val="0"/>
          <w:i w:val="0"/>
          <w:sz w:val="18"/>
        </w:rPr>
        <w:t xml:space="preserve">, </w:t>
      </w:r>
      <w:r>
        <w:rPr>
          <w:b w:val="0"/>
          <w:i/>
          <w:sz w:val="18"/>
        </w:rPr>
        <w:t>54</w:t>
      </w:r>
      <w:r>
        <w:rPr>
          <w:b w:val="0"/>
          <w:i w:val="0"/>
          <w:sz w:val="18"/>
        </w:rPr>
        <w:t>, 1187–1230.</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Hassan, T.A.; Hollander, S.; van Lent, L.; Tahoun, A. </w:t>
      </w:r>
      <w:r>
        <w:rPr>
          <w:b w:val="0"/>
          <w:i w:val="0"/>
          <w:sz w:val="18"/>
        </w:rPr>
        <w:t xml:space="preserve">Firm-Level Political Risk: Measurement and Effects. </w:t>
      </w:r>
      <w:r>
        <w:rPr>
          <w:b w:val="0"/>
          <w:i/>
          <w:sz w:val="18"/>
        </w:rPr>
        <w:t xml:space="preserve">Q. J. Econ. </w:t>
      </w:r>
      <w:r>
        <w:rPr>
          <w:b/>
          <w:i w:val="0"/>
          <w:sz w:val="18"/>
        </w:rPr>
        <w:t>2019</w:t>
      </w:r>
      <w:r>
        <w:rPr>
          <w:b w:val="0"/>
          <w:i w:val="0"/>
          <w:sz w:val="18"/>
        </w:rPr>
        <w:t xml:space="preserve">, </w:t>
      </w:r>
      <w:r>
        <w:rPr>
          <w:b w:val="0"/>
          <w:i/>
          <w:sz w:val="18"/>
        </w:rPr>
        <w:t>134</w:t>
      </w:r>
      <w:r>
        <w:rPr>
          <w:b w:val="0"/>
          <w:i w:val="0"/>
          <w:sz w:val="18"/>
        </w:rPr>
        <w:t>, 2135–2202.</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Baker, S.R.; Bloom, N.; Davis, S.J. </w:t>
      </w:r>
      <w:r>
        <w:rPr>
          <w:b w:val="0"/>
          <w:i w:val="0"/>
          <w:sz w:val="18"/>
        </w:rPr>
        <w:t xml:space="preserve">Measuring Economic Policy Uncertainty. </w:t>
      </w:r>
      <w:r>
        <w:rPr>
          <w:b w:val="0"/>
          <w:i/>
          <w:sz w:val="18"/>
        </w:rPr>
        <w:t xml:space="preserve">Q. J. Econ. </w:t>
      </w:r>
      <w:r>
        <w:rPr>
          <w:b/>
          <w:i w:val="0"/>
          <w:sz w:val="18"/>
        </w:rPr>
        <w:t>2016</w:t>
      </w:r>
      <w:r>
        <w:rPr>
          <w:b w:val="0"/>
          <w:i w:val="0"/>
          <w:sz w:val="18"/>
        </w:rPr>
        <w:t xml:space="preserve">, </w:t>
      </w:r>
      <w:r>
        <w:rPr>
          <w:b w:val="0"/>
          <w:i/>
          <w:sz w:val="18"/>
        </w:rPr>
        <w:t>131</w:t>
      </w:r>
      <w:r>
        <w:rPr>
          <w:b w:val="0"/>
          <w:i w:val="0"/>
          <w:sz w:val="18"/>
        </w:rPr>
        <w:t>, 1593–1636.</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Huang, Y.; Luk, P. </w:t>
      </w:r>
      <w:r>
        <w:rPr>
          <w:b w:val="0"/>
          <w:i w:val="0"/>
          <w:sz w:val="18"/>
        </w:rPr>
        <w:t xml:space="preserve">Measuring Economic Policy Uncertainty in China. </w:t>
      </w:r>
      <w:r>
        <w:rPr>
          <w:b w:val="0"/>
          <w:i/>
          <w:sz w:val="18"/>
        </w:rPr>
        <w:t xml:space="preserve">China Econ. Rev. </w:t>
      </w:r>
      <w:r>
        <w:rPr>
          <w:b/>
          <w:i w:val="0"/>
          <w:sz w:val="18"/>
        </w:rPr>
        <w:t>2020</w:t>
      </w:r>
      <w:r>
        <w:rPr>
          <w:b w:val="0"/>
          <w:i w:val="0"/>
          <w:sz w:val="18"/>
        </w:rPr>
        <w:t xml:space="preserve">, </w:t>
      </w:r>
      <w:r>
        <w:rPr>
          <w:b w:val="0"/>
          <w:i/>
          <w:sz w:val="18"/>
        </w:rPr>
        <w:t>59</w:t>
      </w:r>
      <w:r>
        <w:rPr>
          <w:b w:val="0"/>
          <w:i w:val="0"/>
          <w:sz w:val="18"/>
        </w:rPr>
        <w:t>, 101367.</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Gulen, H.; Ion, M. </w:t>
      </w:r>
      <w:r>
        <w:rPr>
          <w:b w:val="0"/>
          <w:i w:val="0"/>
          <w:sz w:val="18"/>
        </w:rPr>
        <w:t xml:space="preserve">Policy Uncertainty and Corporate Investment. </w:t>
      </w:r>
      <w:r>
        <w:rPr>
          <w:b w:val="0"/>
          <w:i/>
          <w:sz w:val="18"/>
        </w:rPr>
        <w:t xml:space="preserve">Rev. Financ. Stud. </w:t>
      </w:r>
      <w:r>
        <w:rPr>
          <w:b/>
          <w:i w:val="0"/>
          <w:sz w:val="18"/>
        </w:rPr>
        <w:t>2016</w:t>
      </w:r>
      <w:r>
        <w:rPr>
          <w:b w:val="0"/>
          <w:i w:val="0"/>
          <w:sz w:val="18"/>
        </w:rPr>
        <w:t xml:space="preserve">, </w:t>
      </w:r>
      <w:r>
        <w:rPr>
          <w:b w:val="0"/>
          <w:i/>
          <w:sz w:val="18"/>
        </w:rPr>
        <w:t>29</w:t>
      </w:r>
      <w:r>
        <w:rPr>
          <w:b w:val="0"/>
          <w:i w:val="0"/>
          <w:sz w:val="18"/>
        </w:rPr>
        <w:t>, 523–564.</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Bloom, N. </w:t>
      </w:r>
      <w:r>
        <w:rPr>
          <w:b w:val="0"/>
          <w:i w:val="0"/>
          <w:sz w:val="18"/>
        </w:rPr>
        <w:t xml:space="preserve">The Impact of Uncertainty Shocks. </w:t>
      </w:r>
      <w:r>
        <w:rPr>
          <w:b w:val="0"/>
          <w:i/>
          <w:sz w:val="18"/>
        </w:rPr>
        <w:t xml:space="preserve">Econometrica </w:t>
      </w:r>
      <w:r>
        <w:rPr>
          <w:b/>
          <w:i w:val="0"/>
          <w:sz w:val="18"/>
        </w:rPr>
        <w:t>2009</w:t>
      </w:r>
      <w:r>
        <w:rPr>
          <w:b w:val="0"/>
          <w:i w:val="0"/>
          <w:sz w:val="18"/>
        </w:rPr>
        <w:t xml:space="preserve">, </w:t>
      </w:r>
      <w:r>
        <w:rPr>
          <w:b w:val="0"/>
          <w:i/>
          <w:sz w:val="18"/>
        </w:rPr>
        <w:t>77</w:t>
      </w:r>
      <w:r>
        <w:rPr>
          <w:b w:val="0"/>
          <w:i w:val="0"/>
          <w:sz w:val="18"/>
        </w:rPr>
        <w:t>, 623–685.</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Kim, H.; Kung, H. </w:t>
      </w:r>
      <w:r>
        <w:rPr>
          <w:b w:val="0"/>
          <w:i w:val="0"/>
          <w:sz w:val="18"/>
        </w:rPr>
        <w:t xml:space="preserve">The Asset Redeployability Channel: How Uncertainty Affects Corporate Investment. </w:t>
      </w:r>
      <w:r>
        <w:rPr>
          <w:b w:val="0"/>
          <w:i/>
          <w:sz w:val="18"/>
        </w:rPr>
        <w:t xml:space="preserve">Rev. Financ. Stud. </w:t>
      </w:r>
      <w:r>
        <w:rPr>
          <w:b/>
          <w:i w:val="0"/>
          <w:sz w:val="18"/>
        </w:rPr>
        <w:t>2017</w:t>
      </w:r>
      <w:r>
        <w:rPr>
          <w:b w:val="0"/>
          <w:i w:val="0"/>
          <w:sz w:val="18"/>
        </w:rPr>
        <w:t xml:space="preserve">, </w:t>
      </w:r>
      <w:r>
        <w:rPr>
          <w:b w:val="0"/>
          <w:i/>
          <w:sz w:val="18"/>
        </w:rPr>
        <w:t>30</w:t>
      </w:r>
      <w:r>
        <w:rPr>
          <w:b w:val="0"/>
          <w:i w:val="0"/>
          <w:sz w:val="18"/>
        </w:rPr>
        <w:t>, 245–280.</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Hamermesh, D.S.; Pfann, G.A. </w:t>
      </w:r>
      <w:r>
        <w:rPr>
          <w:b w:val="0"/>
          <w:i w:val="0"/>
          <w:sz w:val="18"/>
        </w:rPr>
        <w:t xml:space="preserve">Adjustment Costs in Factor Demand. </w:t>
      </w:r>
      <w:r>
        <w:rPr>
          <w:b w:val="0"/>
          <w:i/>
          <w:sz w:val="18"/>
        </w:rPr>
        <w:t xml:space="preserve">J. Econ. Lit. </w:t>
      </w:r>
      <w:r>
        <w:rPr>
          <w:b/>
          <w:i w:val="0"/>
          <w:sz w:val="18"/>
        </w:rPr>
        <w:t>1996</w:t>
      </w:r>
      <w:r>
        <w:rPr>
          <w:b w:val="0"/>
          <w:i w:val="0"/>
          <w:sz w:val="18"/>
        </w:rPr>
        <w:t xml:space="preserve">, </w:t>
      </w:r>
      <w:r>
        <w:rPr>
          <w:b w:val="0"/>
          <w:i/>
          <w:sz w:val="18"/>
        </w:rPr>
        <w:t>34</w:t>
      </w:r>
      <w:r>
        <w:rPr>
          <w:b w:val="0"/>
          <w:i w:val="0"/>
          <w:sz w:val="18"/>
        </w:rPr>
        <w:t>, 1264–1292.</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Pfann, G.A.; Palm, F.C. </w:t>
      </w:r>
      <w:r>
        <w:rPr>
          <w:b w:val="0"/>
          <w:i w:val="0"/>
          <w:sz w:val="18"/>
        </w:rPr>
        <w:t xml:space="preserve">Asymmetric Adjustment Costs in Non-Linear Labour Demand Models for the Netherlands and U.K. Manufacturing Sectors. </w:t>
      </w:r>
      <w:r>
        <w:rPr>
          <w:b w:val="0"/>
          <w:i/>
          <w:sz w:val="18"/>
        </w:rPr>
        <w:t xml:space="preserve">Rev. Econ. Stud. </w:t>
      </w:r>
      <w:r>
        <w:rPr>
          <w:b/>
          <w:i w:val="0"/>
          <w:sz w:val="18"/>
        </w:rPr>
        <w:t>1993</w:t>
      </w:r>
      <w:r>
        <w:rPr>
          <w:b w:val="0"/>
          <w:i w:val="0"/>
          <w:sz w:val="18"/>
        </w:rPr>
        <w:t xml:space="preserve">, </w:t>
      </w:r>
      <w:r>
        <w:rPr>
          <w:b w:val="0"/>
          <w:i/>
          <w:sz w:val="18"/>
        </w:rPr>
        <w:t>60</w:t>
      </w:r>
      <w:r>
        <w:rPr>
          <w:b w:val="0"/>
          <w:i w:val="0"/>
          <w:sz w:val="18"/>
        </w:rPr>
        <w:t>, 397–412.</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Forsythe, E. </w:t>
      </w:r>
      <w:r>
        <w:rPr>
          <w:b w:val="0"/>
          <w:i w:val="0"/>
          <w:sz w:val="18"/>
        </w:rPr>
        <w:t xml:space="preserve">Why Don't Firms Hire Young Workers during Recessions? </w:t>
      </w:r>
      <w:r>
        <w:rPr>
          <w:b w:val="0"/>
          <w:i/>
          <w:sz w:val="18"/>
        </w:rPr>
        <w:t xml:space="preserve">Econ. J. </w:t>
      </w:r>
      <w:r>
        <w:rPr>
          <w:b/>
          <w:i w:val="0"/>
          <w:sz w:val="18"/>
        </w:rPr>
        <w:t>2022</w:t>
      </w:r>
      <w:r>
        <w:rPr>
          <w:b w:val="0"/>
          <w:i w:val="0"/>
          <w:sz w:val="18"/>
        </w:rPr>
        <w:t xml:space="preserve">, </w:t>
      </w:r>
      <w:r>
        <w:rPr>
          <w:b w:val="0"/>
          <w:i/>
          <w:sz w:val="18"/>
        </w:rPr>
        <w:t>132</w:t>
      </w:r>
      <w:r>
        <w:rPr>
          <w:b w:val="0"/>
          <w:i w:val="0"/>
          <w:sz w:val="18"/>
        </w:rPr>
        <w:t>, 1765–1789.</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Booth, A.L.; Francesconi, M.; Frank, J. </w:t>
      </w:r>
      <w:r>
        <w:rPr>
          <w:b w:val="0"/>
          <w:i w:val="0"/>
          <w:sz w:val="18"/>
        </w:rPr>
        <w:t xml:space="preserve">Temporary Jobs: Stepping Stones or Dead Ends? </w:t>
      </w:r>
      <w:r>
        <w:rPr>
          <w:b w:val="0"/>
          <w:i/>
          <w:sz w:val="18"/>
        </w:rPr>
        <w:t xml:space="preserve">Econ. J. </w:t>
      </w:r>
      <w:r>
        <w:rPr>
          <w:b/>
          <w:i w:val="0"/>
          <w:sz w:val="18"/>
        </w:rPr>
        <w:t>2002</w:t>
      </w:r>
      <w:r>
        <w:rPr>
          <w:b w:val="0"/>
          <w:i w:val="0"/>
          <w:sz w:val="18"/>
        </w:rPr>
        <w:t xml:space="preserve">, </w:t>
      </w:r>
      <w:r>
        <w:rPr>
          <w:b w:val="0"/>
          <w:i/>
          <w:sz w:val="18"/>
        </w:rPr>
        <w:t>112</w:t>
      </w:r>
      <w:r>
        <w:rPr>
          <w:b w:val="0"/>
          <w:i w:val="0"/>
          <w:sz w:val="18"/>
        </w:rPr>
        <w:t>, F189–F213.</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Cahuc, P.; Charlot, O.; Malherbet, F. </w:t>
      </w:r>
      <w:r>
        <w:rPr>
          <w:b w:val="0"/>
          <w:i w:val="0"/>
          <w:sz w:val="18"/>
        </w:rPr>
        <w:t xml:space="preserve">Explaining the Spread of Temporary Jobs and Its Impact on Labor Turnover. </w:t>
      </w:r>
      <w:r>
        <w:rPr>
          <w:b w:val="0"/>
          <w:i/>
          <w:sz w:val="18"/>
        </w:rPr>
        <w:t xml:space="preserve">Int. Econ. Rev. </w:t>
      </w:r>
      <w:r>
        <w:rPr>
          <w:b/>
          <w:i w:val="0"/>
          <w:sz w:val="18"/>
        </w:rPr>
        <w:t>2016</w:t>
      </w:r>
      <w:r>
        <w:rPr>
          <w:b w:val="0"/>
          <w:i w:val="0"/>
          <w:sz w:val="18"/>
        </w:rPr>
        <w:t xml:space="preserve">, </w:t>
      </w:r>
      <w:r>
        <w:rPr>
          <w:b w:val="0"/>
          <w:i/>
          <w:sz w:val="18"/>
        </w:rPr>
        <w:t>57</w:t>
      </w:r>
      <w:r>
        <w:rPr>
          <w:b w:val="0"/>
          <w:i w:val="0"/>
          <w:sz w:val="18"/>
        </w:rPr>
        <w:t>, 533–572.</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Katz, L.F.; Krueger, A.B. </w:t>
      </w:r>
      <w:r>
        <w:rPr>
          <w:b w:val="0"/>
          <w:i w:val="0"/>
          <w:sz w:val="18"/>
        </w:rPr>
        <w:t xml:space="preserve">The Rise and Nature of Alternative Work Arrangements in the United States, 1995–2015. </w:t>
      </w:r>
      <w:r>
        <w:rPr>
          <w:b w:val="0"/>
          <w:i/>
          <w:sz w:val="18"/>
        </w:rPr>
        <w:t xml:space="preserve">ILR Rev. </w:t>
      </w:r>
      <w:r>
        <w:rPr>
          <w:b/>
          <w:i w:val="0"/>
          <w:sz w:val="18"/>
        </w:rPr>
        <w:t>2019</w:t>
      </w:r>
      <w:r>
        <w:rPr>
          <w:b w:val="0"/>
          <w:i w:val="0"/>
          <w:sz w:val="18"/>
        </w:rPr>
        <w:t xml:space="preserve">, </w:t>
      </w:r>
      <w:r>
        <w:rPr>
          <w:b w:val="0"/>
          <w:i/>
          <w:sz w:val="18"/>
        </w:rPr>
        <w:t>72</w:t>
      </w:r>
      <w:r>
        <w:rPr>
          <w:b w:val="0"/>
          <w:i w:val="0"/>
          <w:sz w:val="18"/>
        </w:rPr>
        <w:t>, 382–416.</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Acemoglu, D.; Restrepo, P. </w:t>
      </w:r>
      <w:r>
        <w:rPr>
          <w:b w:val="0"/>
          <w:i w:val="0"/>
          <w:sz w:val="18"/>
        </w:rPr>
        <w:t xml:space="preserve">Robots and Jobs: Evidence from US Labor Markets. </w:t>
      </w:r>
      <w:r>
        <w:rPr>
          <w:b w:val="0"/>
          <w:i/>
          <w:sz w:val="18"/>
        </w:rPr>
        <w:t xml:space="preserve">J. Political Econ. </w:t>
      </w:r>
      <w:r>
        <w:rPr>
          <w:b/>
          <w:i w:val="0"/>
          <w:sz w:val="18"/>
        </w:rPr>
        <w:t>2020</w:t>
      </w:r>
      <w:r>
        <w:rPr>
          <w:b w:val="0"/>
          <w:i w:val="0"/>
          <w:sz w:val="18"/>
        </w:rPr>
        <w:t xml:space="preserve">, </w:t>
      </w:r>
      <w:r>
        <w:rPr>
          <w:b w:val="0"/>
          <w:i/>
          <w:sz w:val="18"/>
        </w:rPr>
        <w:t>128</w:t>
      </w:r>
      <w:r>
        <w:rPr>
          <w:b w:val="0"/>
          <w:i w:val="0"/>
          <w:sz w:val="18"/>
        </w:rPr>
        <w:t>, 2188–2244.</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Acemoglu, D.; Autor, D.; Hazell, J.; Restrepo, P. </w:t>
      </w:r>
      <w:r>
        <w:rPr>
          <w:b w:val="0"/>
          <w:i w:val="0"/>
          <w:sz w:val="18"/>
        </w:rPr>
        <w:t xml:space="preserve">Artificial Intelligence and Jobs: Evidence from Online Vacancies. </w:t>
      </w:r>
      <w:r>
        <w:rPr>
          <w:b w:val="0"/>
          <w:i/>
          <w:sz w:val="18"/>
        </w:rPr>
        <w:t xml:space="preserve">J. Labor Econ. </w:t>
      </w:r>
      <w:r>
        <w:rPr>
          <w:b/>
          <w:i w:val="0"/>
          <w:sz w:val="18"/>
        </w:rPr>
        <w:t>2022</w:t>
      </w:r>
      <w:r>
        <w:rPr>
          <w:b w:val="0"/>
          <w:i w:val="0"/>
          <w:sz w:val="18"/>
        </w:rPr>
        <w:t xml:space="preserve">, </w:t>
      </w:r>
      <w:r>
        <w:rPr>
          <w:b w:val="0"/>
          <w:i/>
          <w:sz w:val="18"/>
        </w:rPr>
        <w:t>40</w:t>
      </w:r>
      <w:r>
        <w:rPr>
          <w:b w:val="0"/>
          <w:i w:val="0"/>
          <w:sz w:val="18"/>
        </w:rPr>
        <w:t>, S293–S340.</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Bonfiglioli, A.; Crinò, R.; Fadinger, H.; Gancia, G. </w:t>
      </w:r>
      <w:r>
        <w:rPr>
          <w:b w:val="0"/>
          <w:i w:val="0"/>
          <w:sz w:val="18"/>
        </w:rPr>
        <w:t xml:space="preserve">Robot Imports and Firm-Level Outcomes. </w:t>
      </w:r>
      <w:r>
        <w:rPr>
          <w:b w:val="0"/>
          <w:i/>
          <w:sz w:val="18"/>
        </w:rPr>
        <w:t xml:space="preserve">Econ. J. </w:t>
      </w:r>
      <w:r>
        <w:rPr>
          <w:b/>
          <w:i w:val="0"/>
          <w:sz w:val="18"/>
        </w:rPr>
        <w:t>2024</w:t>
      </w:r>
      <w:r>
        <w:rPr>
          <w:b w:val="0"/>
          <w:i w:val="0"/>
          <w:sz w:val="18"/>
        </w:rPr>
        <w:t xml:space="preserve">, </w:t>
      </w:r>
      <w:r>
        <w:rPr>
          <w:b w:val="0"/>
          <w:i/>
          <w:sz w:val="18"/>
        </w:rPr>
        <w:t>134</w:t>
      </w:r>
      <w:r>
        <w:rPr>
          <w:b w:val="0"/>
          <w:i w:val="0"/>
          <w:sz w:val="18"/>
        </w:rPr>
        <w:t>, 3428–3444.</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Guiso, L.; Parigi, G. </w:t>
      </w:r>
      <w:r>
        <w:rPr>
          <w:b w:val="0"/>
          <w:i w:val="0"/>
          <w:sz w:val="18"/>
        </w:rPr>
        <w:t xml:space="preserve">Investment and Demand Uncertainty. </w:t>
      </w:r>
      <w:r>
        <w:rPr>
          <w:b w:val="0"/>
          <w:i/>
          <w:sz w:val="18"/>
        </w:rPr>
        <w:t xml:space="preserve">Q. J. Econ. </w:t>
      </w:r>
      <w:r>
        <w:rPr>
          <w:b/>
          <w:i w:val="0"/>
          <w:sz w:val="18"/>
        </w:rPr>
        <w:t>1999</w:t>
      </w:r>
      <w:r>
        <w:rPr>
          <w:b w:val="0"/>
          <w:i w:val="0"/>
          <w:sz w:val="18"/>
        </w:rPr>
        <w:t xml:space="preserve">, </w:t>
      </w:r>
      <w:r>
        <w:rPr>
          <w:b w:val="0"/>
          <w:i/>
          <w:sz w:val="18"/>
        </w:rPr>
        <w:t>114</w:t>
      </w:r>
      <w:r>
        <w:rPr>
          <w:b w:val="0"/>
          <w:i w:val="0"/>
          <w:sz w:val="18"/>
        </w:rPr>
        <w:t>, 185–227.</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Handley, K.; Limão, N. </w:t>
      </w:r>
      <w:r>
        <w:rPr>
          <w:b w:val="0"/>
          <w:i w:val="0"/>
          <w:sz w:val="18"/>
        </w:rPr>
        <w:t xml:space="preserve">Policy Uncertainty, Trade, and Welfare: Theory and Evidence for China and the United States. </w:t>
      </w:r>
      <w:r>
        <w:rPr>
          <w:b w:val="0"/>
          <w:i/>
          <w:sz w:val="18"/>
        </w:rPr>
        <w:t xml:space="preserve">Am. Econ. Rev. </w:t>
      </w:r>
      <w:r>
        <w:rPr>
          <w:b/>
          <w:i w:val="0"/>
          <w:sz w:val="18"/>
        </w:rPr>
        <w:t>2017</w:t>
      </w:r>
      <w:r>
        <w:rPr>
          <w:b w:val="0"/>
          <w:i w:val="0"/>
          <w:sz w:val="18"/>
        </w:rPr>
        <w:t xml:space="preserve">, </w:t>
      </w:r>
      <w:r>
        <w:rPr>
          <w:b w:val="0"/>
          <w:i/>
          <w:sz w:val="18"/>
        </w:rPr>
        <w:t>107</w:t>
      </w:r>
      <w:r>
        <w:rPr>
          <w:b w:val="0"/>
          <w:i w:val="0"/>
          <w:sz w:val="18"/>
        </w:rPr>
        <w:t>, 2731–2783.</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Bloom, N. </w:t>
      </w:r>
      <w:r>
        <w:rPr>
          <w:b w:val="0"/>
          <w:i w:val="0"/>
          <w:sz w:val="18"/>
        </w:rPr>
        <w:t xml:space="preserve">Fluctuations in Uncertainty. </w:t>
      </w:r>
      <w:r>
        <w:rPr>
          <w:b w:val="0"/>
          <w:i/>
          <w:sz w:val="18"/>
        </w:rPr>
        <w:t xml:space="preserve">J. Econ. Perspect. </w:t>
      </w:r>
      <w:r>
        <w:rPr>
          <w:b/>
          <w:i w:val="0"/>
          <w:sz w:val="18"/>
        </w:rPr>
        <w:t>2014</w:t>
      </w:r>
      <w:r>
        <w:rPr>
          <w:b w:val="0"/>
          <w:i w:val="0"/>
          <w:sz w:val="18"/>
        </w:rPr>
        <w:t xml:space="preserve">, </w:t>
      </w:r>
      <w:r>
        <w:rPr>
          <w:b w:val="0"/>
          <w:i/>
          <w:sz w:val="18"/>
        </w:rPr>
        <w:t>28</w:t>
      </w:r>
      <w:r>
        <w:rPr>
          <w:b w:val="0"/>
          <w:i w:val="0"/>
          <w:sz w:val="18"/>
        </w:rPr>
        <w:t>, 153–176.</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Schaal, E. </w:t>
      </w:r>
      <w:r>
        <w:rPr>
          <w:b w:val="0"/>
          <w:i w:val="0"/>
          <w:sz w:val="18"/>
        </w:rPr>
        <w:t xml:space="preserve">Uncertainty and Unemployment. </w:t>
      </w:r>
      <w:r>
        <w:rPr>
          <w:b w:val="0"/>
          <w:i/>
          <w:sz w:val="18"/>
        </w:rPr>
        <w:t xml:space="preserve">Econometrica </w:t>
      </w:r>
      <w:r>
        <w:rPr>
          <w:b/>
          <w:i w:val="0"/>
          <w:sz w:val="18"/>
        </w:rPr>
        <w:t>2017</w:t>
      </w:r>
      <w:r>
        <w:rPr>
          <w:b w:val="0"/>
          <w:i w:val="0"/>
          <w:sz w:val="18"/>
        </w:rPr>
        <w:t xml:space="preserve">, </w:t>
      </w:r>
      <w:r>
        <w:rPr>
          <w:b w:val="0"/>
          <w:i/>
          <w:sz w:val="18"/>
        </w:rPr>
        <w:t>85</w:t>
      </w:r>
      <w:r>
        <w:rPr>
          <w:b w:val="0"/>
          <w:i w:val="0"/>
          <w:sz w:val="18"/>
        </w:rPr>
        <w:t>, 1675–1721.</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Leduc, S.; Liu, Z. </w:t>
      </w:r>
      <w:r>
        <w:rPr>
          <w:b w:val="0"/>
          <w:i w:val="0"/>
          <w:sz w:val="18"/>
        </w:rPr>
        <w:t xml:space="preserve">Uncertainty Shocks Are Aggregate Demand Shocks. </w:t>
      </w:r>
      <w:r>
        <w:rPr>
          <w:b w:val="0"/>
          <w:i/>
          <w:sz w:val="18"/>
        </w:rPr>
        <w:t xml:space="preserve">J. Monet. Econ. </w:t>
      </w:r>
      <w:r>
        <w:rPr>
          <w:b/>
          <w:i w:val="0"/>
          <w:sz w:val="18"/>
        </w:rPr>
        <w:t>2016</w:t>
      </w:r>
      <w:r>
        <w:rPr>
          <w:b w:val="0"/>
          <w:i w:val="0"/>
          <w:sz w:val="18"/>
        </w:rPr>
        <w:t xml:space="preserve">, </w:t>
      </w:r>
      <w:r>
        <w:rPr>
          <w:b w:val="0"/>
          <w:i/>
          <w:sz w:val="18"/>
        </w:rPr>
        <w:t>82</w:t>
      </w:r>
      <w:r>
        <w:rPr>
          <w:b w:val="0"/>
          <w:i w:val="0"/>
          <w:sz w:val="18"/>
        </w:rPr>
        <w:t>, 20–35.</w:t>
      </w:r>
      <w:r>
        <w:rPr>
          <w:b w:val="0"/>
          <w:i w:val="0"/>
          <w:sz w:val="18"/>
        </w:rPr>
        <w:t xml:space="preserve"> [CrossRef]</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Caggese, A.; Cuñat, V. </w:t>
      </w:r>
      <w:r>
        <w:rPr>
          <w:b w:val="0"/>
          <w:i w:val="0"/>
          <w:sz w:val="18"/>
        </w:rPr>
        <w:t xml:space="preserve">Financing Constraints and Fixed-Term Employment Contracts. </w:t>
      </w:r>
      <w:r>
        <w:rPr>
          <w:b w:val="0"/>
          <w:i/>
          <w:sz w:val="18"/>
        </w:rPr>
        <w:t xml:space="preserve">Econ. J. </w:t>
      </w:r>
      <w:r>
        <w:rPr>
          <w:b/>
          <w:i w:val="0"/>
          <w:sz w:val="18"/>
        </w:rPr>
        <w:t>2008</w:t>
      </w:r>
      <w:r>
        <w:rPr>
          <w:b w:val="0"/>
          <w:i w:val="0"/>
          <w:sz w:val="18"/>
        </w:rPr>
        <w:t xml:space="preserve">, </w:t>
      </w:r>
      <w:r>
        <w:rPr>
          <w:b w:val="0"/>
          <w:i/>
          <w:sz w:val="18"/>
        </w:rPr>
        <w:t>118</w:t>
      </w:r>
      <w:r>
        <w:rPr>
          <w:b w:val="0"/>
          <w:i w:val="0"/>
          <w:sz w:val="18"/>
        </w:rPr>
        <w:t>, 2013–2046.</w:t>
      </w:r>
      <w:r>
        <w:rPr>
          <w:b w:val="0"/>
          <w:i w:val="0"/>
          <w:sz w:val="18"/>
        </w:rPr>
        <w:t xml:space="preserve"> [CrossRef]</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Autor, D.H. </w:t>
      </w:r>
      <w:r>
        <w:rPr>
          <w:b w:val="0"/>
          <w:i w:val="0"/>
          <w:sz w:val="18"/>
        </w:rPr>
        <w:t xml:space="preserve">Outsourcing at Will: The Contribution of Unjust Dismissal Doctrine to the Growth of Employment Outsourcing. </w:t>
      </w:r>
      <w:r>
        <w:rPr>
          <w:b w:val="0"/>
          <w:i/>
          <w:sz w:val="18"/>
        </w:rPr>
        <w:t xml:space="preserve">J. Labor Econ. </w:t>
      </w:r>
      <w:r>
        <w:rPr>
          <w:b/>
          <w:i w:val="0"/>
          <w:sz w:val="18"/>
        </w:rPr>
        <w:t>2003</w:t>
      </w:r>
      <w:r>
        <w:rPr>
          <w:b w:val="0"/>
          <w:i w:val="0"/>
          <w:sz w:val="18"/>
        </w:rPr>
        <w:t xml:space="preserve">, </w:t>
      </w:r>
      <w:r>
        <w:rPr>
          <w:b w:val="0"/>
          <w:i/>
          <w:sz w:val="18"/>
        </w:rPr>
        <w:t>21</w:t>
      </w:r>
      <w:r>
        <w:rPr>
          <w:b w:val="0"/>
          <w:i w:val="0"/>
          <w:sz w:val="18"/>
        </w:rPr>
        <w:t>, 1–42.</w:t>
      </w:r>
      <w:r>
        <w:rPr>
          <w:b w:val="0"/>
          <w:i w:val="0"/>
          <w:sz w:val="18"/>
        </w:rPr>
        <w:t xml:space="preserve"> [CrossRef]</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Autor, D.H.; Houseman, S.N. </w:t>
      </w:r>
      <w:r>
        <w:rPr>
          <w:b w:val="0"/>
          <w:i w:val="0"/>
          <w:sz w:val="18"/>
        </w:rPr>
        <w:t xml:space="preserve">Do Temporary-Help Jobs Improve Labor Market Outcomes for Low-Skilled Workers? Evidence from “Work First”. </w:t>
      </w:r>
      <w:r>
        <w:rPr>
          <w:b w:val="0"/>
          <w:i/>
          <w:sz w:val="18"/>
        </w:rPr>
        <w:t xml:space="preserve">Am. Econ. J. Appl. Econ. </w:t>
      </w:r>
      <w:r>
        <w:rPr>
          <w:b/>
          <w:i w:val="0"/>
          <w:sz w:val="18"/>
        </w:rPr>
        <w:t>2010</w:t>
      </w:r>
      <w:r>
        <w:rPr>
          <w:b w:val="0"/>
          <w:i w:val="0"/>
          <w:sz w:val="18"/>
        </w:rPr>
        <w:t xml:space="preserve">, </w:t>
      </w:r>
      <w:r>
        <w:rPr>
          <w:b w:val="0"/>
          <w:i/>
          <w:sz w:val="18"/>
        </w:rPr>
        <w:t>2</w:t>
      </w:r>
      <w:r>
        <w:rPr>
          <w:b w:val="0"/>
          <w:i w:val="0"/>
          <w:sz w:val="18"/>
        </w:rPr>
        <w:t>, 96–128.</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Abadie, A.; Athey, S.; Imbens, G.W.; Wooldridge, J.M. </w:t>
      </w:r>
      <w:r>
        <w:rPr>
          <w:b w:val="0"/>
          <w:i w:val="0"/>
          <w:sz w:val="18"/>
        </w:rPr>
        <w:t xml:space="preserve">When Should You Adjust Standard Errors for Clustering? </w:t>
      </w:r>
      <w:r>
        <w:rPr>
          <w:b w:val="0"/>
          <w:i/>
          <w:sz w:val="18"/>
        </w:rPr>
        <w:t xml:space="preserve">Q. J. Econ. </w:t>
      </w:r>
      <w:r>
        <w:rPr>
          <w:b/>
          <w:i w:val="0"/>
          <w:sz w:val="18"/>
        </w:rPr>
        <w:t>2023</w:t>
      </w:r>
      <w:r>
        <w:rPr>
          <w:b w:val="0"/>
          <w:i w:val="0"/>
          <w:sz w:val="18"/>
        </w:rPr>
        <w:t xml:space="preserve">, </w:t>
      </w:r>
      <w:r>
        <w:rPr>
          <w:b w:val="0"/>
          <w:i/>
          <w:sz w:val="18"/>
        </w:rPr>
        <w:t>138</w:t>
      </w:r>
      <w:r>
        <w:rPr>
          <w:b w:val="0"/>
          <w:i w:val="0"/>
          <w:sz w:val="18"/>
        </w:rPr>
        <w:t>, 1–35.</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Santos Silva, J.M.C.; Tenreyro, S. </w:t>
      </w:r>
      <w:r>
        <w:rPr>
          <w:b w:val="0"/>
          <w:i w:val="0"/>
          <w:sz w:val="18"/>
        </w:rPr>
        <w:t xml:space="preserve">The Log of Gravity. </w:t>
      </w:r>
      <w:r>
        <w:rPr>
          <w:b w:val="0"/>
          <w:i/>
          <w:sz w:val="18"/>
        </w:rPr>
        <w:t xml:space="preserve">Rev. Econ. Stat. </w:t>
      </w:r>
      <w:r>
        <w:rPr>
          <w:b/>
          <w:i w:val="0"/>
          <w:sz w:val="18"/>
        </w:rPr>
        <w:t>2006</w:t>
      </w:r>
      <w:r>
        <w:rPr>
          <w:b w:val="0"/>
          <w:i w:val="0"/>
          <w:sz w:val="18"/>
        </w:rPr>
        <w:t xml:space="preserve">, </w:t>
      </w:r>
      <w:r>
        <w:rPr>
          <w:b w:val="0"/>
          <w:i/>
          <w:sz w:val="18"/>
        </w:rPr>
        <w:t>88</w:t>
      </w:r>
      <w:r>
        <w:rPr>
          <w:b w:val="0"/>
          <w:i w:val="0"/>
          <w:sz w:val="18"/>
        </w:rPr>
        <w:t>, 641–658.</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Correia, S.; Guimarães, P.; Zylkin, T. </w:t>
      </w:r>
      <w:r>
        <w:rPr>
          <w:b w:val="0"/>
          <w:i w:val="0"/>
          <w:sz w:val="18"/>
        </w:rPr>
        <w:t xml:space="preserve">Fast Poisson Estimation with High-Dimensional Fixed Effects. </w:t>
      </w:r>
      <w:r>
        <w:rPr>
          <w:b w:val="0"/>
          <w:i/>
          <w:sz w:val="18"/>
        </w:rPr>
        <w:t xml:space="preserve">Stata J. </w:t>
      </w:r>
      <w:r>
        <w:rPr>
          <w:b/>
          <w:i w:val="0"/>
          <w:sz w:val="18"/>
        </w:rPr>
        <w:t>2020</w:t>
      </w:r>
      <w:r>
        <w:rPr>
          <w:b w:val="0"/>
          <w:i w:val="0"/>
          <w:sz w:val="18"/>
        </w:rPr>
        <w:t xml:space="preserve">, </w:t>
      </w:r>
      <w:r>
        <w:rPr>
          <w:b w:val="0"/>
          <w:i/>
          <w:sz w:val="18"/>
        </w:rPr>
        <w:t>20</w:t>
      </w:r>
      <w:r>
        <w:rPr>
          <w:b w:val="0"/>
          <w:i w:val="0"/>
          <w:sz w:val="18"/>
        </w:rPr>
        <w:t>, 95–115.</w:t>
      </w:r>
      <w:r>
        <w:rPr>
          <w:b w:val="0"/>
          <w:i w:val="0"/>
          <w:sz w:val="18"/>
        </w:rPr>
        <w:t xml:space="preserve"> [CrossRef]</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Wooldridge, J.M. </w:t>
      </w:r>
      <w:r>
        <w:rPr>
          <w:b w:val="0"/>
          <w:i/>
          <w:sz w:val="18"/>
        </w:rPr>
        <w:t>Econometric Analysis of Cross Section and Panel Data, 2nd ed.</w:t>
      </w:r>
      <w:r>
        <w:rPr>
          <w:b w:val="0"/>
          <w:i w:val="0"/>
          <w:sz w:val="18"/>
        </w:rPr>
        <w:t xml:space="preserve">; </w:t>
      </w:r>
      <w:r>
        <w:rPr>
          <w:b w:val="0"/>
          <w:i w:val="0"/>
          <w:sz w:val="18"/>
        </w:rPr>
        <w:t>MIT Press: Cambridge, MA, USA, 2010.</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Goldsmith-Pinkham, P.; Sorkin, I.; Swift, H. </w:t>
      </w:r>
      <w:r>
        <w:rPr>
          <w:b w:val="0"/>
          <w:i w:val="0"/>
          <w:sz w:val="18"/>
        </w:rPr>
        <w:t xml:space="preserve">Bartik Instruments: What, When, Why, and How.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2586–2624.</w:t>
      </w:r>
      <w:r>
        <w:rPr>
          <w:b w:val="0"/>
          <w:i w:val="0"/>
          <w:sz w:val="18"/>
        </w:rPr>
        <w:t xml:space="preserve"> [CrossRef]</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Borusyak, K.; Hull, P.; Jaravel, X. </w:t>
      </w:r>
      <w:r>
        <w:rPr>
          <w:b w:val="0"/>
          <w:i w:val="0"/>
          <w:sz w:val="18"/>
        </w:rPr>
        <w:t xml:space="preserve">Quasi-Experimental Shift-Share Research Designs. </w:t>
      </w:r>
      <w:r>
        <w:rPr>
          <w:b w:val="0"/>
          <w:i/>
          <w:sz w:val="18"/>
        </w:rPr>
        <w:t xml:space="preserve">Rev. Econ. Stud. </w:t>
      </w:r>
      <w:r>
        <w:rPr>
          <w:b/>
          <w:i w:val="0"/>
          <w:sz w:val="18"/>
        </w:rPr>
        <w:t>2022</w:t>
      </w:r>
      <w:r>
        <w:rPr>
          <w:b w:val="0"/>
          <w:i w:val="0"/>
          <w:sz w:val="18"/>
        </w:rPr>
        <w:t xml:space="preserve">, </w:t>
      </w:r>
      <w:r>
        <w:rPr>
          <w:b w:val="0"/>
          <w:i/>
          <w:sz w:val="18"/>
        </w:rPr>
        <w:t>89</w:t>
      </w:r>
      <w:r>
        <w:rPr>
          <w:b w:val="0"/>
          <w:i w:val="0"/>
          <w:sz w:val="18"/>
        </w:rPr>
        <w:t>, 181–213.</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Kleibergen, F.; Paap, R. </w:t>
      </w:r>
      <w:r>
        <w:rPr>
          <w:b w:val="0"/>
          <w:i w:val="0"/>
          <w:sz w:val="18"/>
        </w:rPr>
        <w:t xml:space="preserve">Generalized Reduced Rank Tests Using the Singular Value Decomposition. </w:t>
      </w:r>
      <w:r>
        <w:rPr>
          <w:b w:val="0"/>
          <w:i/>
          <w:sz w:val="18"/>
        </w:rPr>
        <w:t xml:space="preserve">J. Econom. </w:t>
      </w:r>
      <w:r>
        <w:rPr>
          <w:b/>
          <w:i w:val="0"/>
          <w:sz w:val="18"/>
        </w:rPr>
        <w:t>2006</w:t>
      </w:r>
      <w:r>
        <w:rPr>
          <w:b w:val="0"/>
          <w:i w:val="0"/>
          <w:sz w:val="18"/>
        </w:rPr>
        <w:t xml:space="preserve">, </w:t>
      </w:r>
      <w:r>
        <w:rPr>
          <w:b w:val="0"/>
          <w:i/>
          <w:sz w:val="18"/>
        </w:rPr>
        <w:t>133</w:t>
      </w:r>
      <w:r>
        <w:rPr>
          <w:b w:val="0"/>
          <w:i w:val="0"/>
          <w:sz w:val="18"/>
        </w:rPr>
        <w:t>, 97–126.</w:t>
      </w:r>
      <w:r>
        <w:rPr>
          <w:b w:val="0"/>
          <w:i w:val="0"/>
          <w:sz w:val="18"/>
        </w:rPr>
        <w:t xml:space="preserve"> [CrossRef]</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Stock, J.H.; Yogo, M. </w:t>
      </w:r>
      <w:r>
        <w:rPr>
          <w:b w:val="0"/>
          <w:i w:val="0"/>
          <w:sz w:val="18"/>
        </w:rPr>
        <w:t xml:space="preserve">Testing for Weak Instruments in Linear IV Regression. </w:t>
      </w:r>
      <w:r>
        <w:rPr>
          <w:b w:val="0"/>
          <w:i w:val="0"/>
          <w:sz w:val="18"/>
        </w:rPr>
        <w:t xml:space="preserve">In </w:t>
      </w:r>
      <w:r>
        <w:rPr>
          <w:b w:val="0"/>
          <w:i/>
          <w:sz w:val="18"/>
        </w:rPr>
        <w:t>Identification and Inference for Econometric Models: Essays in Honor of Thomas Rothenberg</w:t>
      </w:r>
      <w:r>
        <w:rPr>
          <w:b w:val="0"/>
          <w:i w:val="0"/>
          <w:sz w:val="18"/>
        </w:rPr>
        <w:t xml:space="preserve">; Andrews, D.W.K., Stock, J.H., Eds.; </w:t>
      </w:r>
      <w:r>
        <w:rPr>
          <w:b w:val="0"/>
          <w:i w:val="0"/>
          <w:sz w:val="18"/>
        </w:rPr>
        <w:t>Cambridge University Press: Cambridge, UK, 2005; pp. 80–108.</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Young, A. </w:t>
      </w:r>
      <w:r>
        <w:rPr>
          <w:b w:val="0"/>
          <w:i w:val="0"/>
          <w:sz w:val="18"/>
        </w:rPr>
        <w:t xml:space="preserve">Consistency without Inference: Instrumental Variables in Practical Application. </w:t>
      </w:r>
      <w:r>
        <w:rPr>
          <w:b w:val="0"/>
          <w:i/>
          <w:sz w:val="18"/>
        </w:rPr>
        <w:t xml:space="preserve">Eur. Econ. Rev. </w:t>
      </w:r>
      <w:r>
        <w:rPr>
          <w:b/>
          <w:i w:val="0"/>
          <w:sz w:val="18"/>
        </w:rPr>
        <w:t>2022</w:t>
      </w:r>
      <w:r>
        <w:rPr>
          <w:b w:val="0"/>
          <w:i w:val="0"/>
          <w:sz w:val="18"/>
        </w:rPr>
        <w:t xml:space="preserve">, </w:t>
      </w:r>
      <w:r>
        <w:rPr>
          <w:b w:val="0"/>
          <w:i/>
          <w:sz w:val="18"/>
        </w:rPr>
        <w:t>147</w:t>
      </w:r>
      <w:r>
        <w:rPr>
          <w:b w:val="0"/>
          <w:i w:val="0"/>
          <w:sz w:val="18"/>
        </w:rPr>
        <w:t>, 104112.</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Goodman-Bacon, A. </w:t>
      </w:r>
      <w:r>
        <w:rPr>
          <w:b w:val="0"/>
          <w:i w:val="0"/>
          <w:sz w:val="18"/>
        </w:rPr>
        <w:t xml:space="preserve">Difference-in-Differences with Variation in Treatment Timing.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254–277.</w:t>
      </w:r>
      <w:r>
        <w:rPr>
          <w:b w:val="0"/>
          <w:i w:val="0"/>
          <w:sz w:val="18"/>
        </w:rPr>
        <w:t xml:space="preserve"> [CrossRef]</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Sun, L.; Abraham, S. </w:t>
      </w:r>
      <w:r>
        <w:rPr>
          <w:b w:val="0"/>
          <w:i w:val="0"/>
          <w:sz w:val="18"/>
        </w:rPr>
        <w:t xml:space="preserve">Estimating Dynamic Treatment Effects in Event Studies with Heterogeneous Treatment Effects.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175–199.</w:t>
      </w:r>
      <w:r>
        <w:rPr>
          <w:b w:val="0"/>
          <w:i w:val="0"/>
          <w:sz w:val="18"/>
        </w:rPr>
        <w:t xml:space="preserve"> [CrossRef]</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Callaway, B.; Sant'Anna, P.H.C. </w:t>
      </w:r>
      <w:r>
        <w:rPr>
          <w:b w:val="0"/>
          <w:i w:val="0"/>
          <w:sz w:val="18"/>
        </w:rPr>
        <w:t xml:space="preserve">Difference-in-Differences with Multiple Time Periods.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200–230.</w:t>
      </w:r>
      <w:r>
        <w:rPr>
          <w:b w:val="0"/>
          <w:i w:val="0"/>
          <w:sz w:val="18"/>
        </w:rPr>
        <w:t xml:space="preserve"> [CrossRef]</w:t>
      </w:r>
    </w:p>
    <w:p>
      <w:pPr>
        <w:pStyle w:val="MDPI32textnoindent"/>
        <w:spacing w:line="240" w:lineRule="auto" w:before="0" w:after="40"/>
        <w:ind w:left="425" w:hanging="425"/>
        <w:tabs>
          <w:tab w:val="left" w:pos="425"/>
        </w:tabs>
      </w:pPr>
      <w:bookmarkStart w:id="1071" w:name="_Ref_71"/>
      <w:r>
        <w:rPr>
          <w:b w:val="0"/>
          <w:sz w:val="18"/>
        </w:rPr>
        <w:t>71</w:t>
      </w:r>
      <w:bookmarkEnd w:id="1071"/>
      <w:r>
        <w:rPr>
          <w:sz w:val="18"/>
        </w:rPr>
        <w:t>.</w:t>
        <w:tab/>
      </w:r>
      <w:r>
        <w:rPr>
          <w:b w:val="0"/>
          <w:i w:val="0"/>
          <w:sz w:val="18"/>
        </w:rPr>
        <w:t xml:space="preserve">de Chaisemartin, C.; D'Haultfœuille, X. </w:t>
      </w:r>
      <w:r>
        <w:rPr>
          <w:b w:val="0"/>
          <w:i w:val="0"/>
          <w:sz w:val="18"/>
        </w:rPr>
        <w:t xml:space="preserve">Two-Way Fixed Effects Estimators with Heterogeneous Treatment Effects.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2964–2996.</w:t>
      </w:r>
      <w:r>
        <w:rPr>
          <w:b w:val="0"/>
          <w:i w:val="0"/>
          <w:sz w:val="18"/>
        </w:rPr>
        <w:t xml:space="preserve"> [CrossRef]</w:t>
      </w:r>
    </w:p>
    <w:p>
      <w:pPr>
        <w:pStyle w:val="MDPI32textnoindent"/>
        <w:spacing w:line="240" w:lineRule="auto" w:before="0" w:after="40"/>
        <w:ind w:left="425" w:hanging="425"/>
        <w:tabs>
          <w:tab w:val="left" w:pos="425"/>
        </w:tabs>
      </w:pPr>
      <w:bookmarkStart w:id="1072" w:name="_Ref_72"/>
      <w:r>
        <w:rPr>
          <w:b w:val="0"/>
          <w:sz w:val="18"/>
        </w:rPr>
        <w:t>72</w:t>
      </w:r>
      <w:bookmarkEnd w:id="1072"/>
      <w:r>
        <w:rPr>
          <w:sz w:val="18"/>
        </w:rPr>
        <w:t>.</w:t>
        <w:tab/>
      </w:r>
      <w:r>
        <w:rPr>
          <w:b w:val="0"/>
          <w:i w:val="0"/>
          <w:sz w:val="18"/>
        </w:rPr>
        <w:t xml:space="preserve">Cameron, A.C.; Gelbach, J.B.; Miller, D.L. </w:t>
      </w:r>
      <w:r>
        <w:rPr>
          <w:b w:val="0"/>
          <w:i w:val="0"/>
          <w:sz w:val="18"/>
        </w:rPr>
        <w:t xml:space="preserve">Bootstrap-Based Improvements for Inference with Clustered Errors. </w:t>
      </w:r>
      <w:r>
        <w:rPr>
          <w:b w:val="0"/>
          <w:i/>
          <w:sz w:val="18"/>
        </w:rPr>
        <w:t xml:space="preserve">Rev. Econ. Stat. </w:t>
      </w:r>
      <w:r>
        <w:rPr>
          <w:b/>
          <w:i w:val="0"/>
          <w:sz w:val="18"/>
        </w:rPr>
        <w:t>2008</w:t>
      </w:r>
      <w:r>
        <w:rPr>
          <w:b w:val="0"/>
          <w:i w:val="0"/>
          <w:sz w:val="18"/>
        </w:rPr>
        <w:t xml:space="preserve">, </w:t>
      </w:r>
      <w:r>
        <w:rPr>
          <w:b w:val="0"/>
          <w:i/>
          <w:sz w:val="18"/>
        </w:rPr>
        <w:t>90</w:t>
      </w:r>
      <w:r>
        <w:rPr>
          <w:b w:val="0"/>
          <w:i w:val="0"/>
          <w:sz w:val="18"/>
        </w:rPr>
        <w:t>, 414–427.</w:t>
      </w:r>
      <w:r>
        <w:rPr>
          <w:b w:val="0"/>
          <w:i w:val="0"/>
          <w:sz w:val="18"/>
        </w:rPr>
        <w:t xml:space="preserve"> [CrossRef]</w:t>
      </w:r>
    </w:p>
    <w:p>
      <w:pPr>
        <w:pStyle w:val="MDPI32textnoindent"/>
        <w:spacing w:line="240" w:lineRule="auto" w:before="0" w:after="40"/>
        <w:ind w:left="425" w:hanging="425"/>
        <w:tabs>
          <w:tab w:val="left" w:pos="425"/>
        </w:tabs>
      </w:pPr>
      <w:bookmarkStart w:id="1073" w:name="_Ref_73"/>
      <w:r>
        <w:rPr>
          <w:b w:val="0"/>
          <w:sz w:val="18"/>
        </w:rPr>
        <w:t>73</w:t>
      </w:r>
      <w:bookmarkEnd w:id="1073"/>
      <w:r>
        <w:rPr>
          <w:sz w:val="18"/>
        </w:rPr>
        <w:t>.</w:t>
        <w:tab/>
      </w:r>
      <w:r>
        <w:rPr>
          <w:b w:val="0"/>
          <w:i w:val="0"/>
          <w:sz w:val="18"/>
        </w:rPr>
        <w:t xml:space="preserve">Roodman, D.; Nielsen, M.Ø.; MacKinnon, J.G.; Webb, M.D. </w:t>
      </w:r>
      <w:r>
        <w:rPr>
          <w:b w:val="0"/>
          <w:i w:val="0"/>
          <w:sz w:val="18"/>
        </w:rPr>
        <w:t xml:space="preserve">Fast and Wild: Bootstrap Inference in Stata Using boottest. </w:t>
      </w:r>
      <w:r>
        <w:rPr>
          <w:b w:val="0"/>
          <w:i/>
          <w:sz w:val="18"/>
        </w:rPr>
        <w:t xml:space="preserve">Stata J. </w:t>
      </w:r>
      <w:r>
        <w:rPr>
          <w:b/>
          <w:i w:val="0"/>
          <w:sz w:val="18"/>
        </w:rPr>
        <w:t>2019</w:t>
      </w:r>
      <w:r>
        <w:rPr>
          <w:b w:val="0"/>
          <w:i w:val="0"/>
          <w:sz w:val="18"/>
        </w:rPr>
        <w:t xml:space="preserve">, </w:t>
      </w:r>
      <w:r>
        <w:rPr>
          <w:b w:val="0"/>
          <w:i/>
          <w:sz w:val="18"/>
        </w:rPr>
        <w:t>19</w:t>
      </w:r>
      <w:r>
        <w:rPr>
          <w:b w:val="0"/>
          <w:i w:val="0"/>
          <w:sz w:val="18"/>
        </w:rPr>
        <w:t>, 4–60.</w:t>
      </w:r>
      <w:r>
        <w:rPr>
          <w:b w:val="0"/>
          <w:i w:val="0"/>
          <w:sz w:val="18"/>
        </w:rPr>
        <w:t xml:space="preserve"> [CrossRef]</w:t>
      </w:r>
    </w:p>
    <w:p>
      <w:pPr>
        <w:pStyle w:val="MDPI32textnoindent"/>
        <w:spacing w:line="240" w:lineRule="auto" w:before="0" w:after="40"/>
        <w:ind w:left="425" w:hanging="425"/>
        <w:tabs>
          <w:tab w:val="left" w:pos="425"/>
        </w:tabs>
      </w:pPr>
      <w:bookmarkStart w:id="1074" w:name="_Ref_74"/>
      <w:r>
        <w:rPr>
          <w:b w:val="0"/>
          <w:sz w:val="18"/>
        </w:rPr>
        <w:t>74</w:t>
      </w:r>
      <w:bookmarkEnd w:id="1074"/>
      <w:r>
        <w:rPr>
          <w:sz w:val="18"/>
        </w:rPr>
        <w:t>.</w:t>
        <w:tab/>
      </w:r>
      <w:r>
        <w:rPr>
          <w:b w:val="0"/>
          <w:i w:val="0"/>
          <w:sz w:val="18"/>
        </w:rPr>
        <w:t xml:space="preserve">Oster, E. </w:t>
      </w:r>
      <w:r>
        <w:rPr>
          <w:b w:val="0"/>
          <w:i w:val="0"/>
          <w:sz w:val="18"/>
        </w:rPr>
        <w:t xml:space="preserve">Unobservable Selection and Coefficient Stability: Theory and Evidence. </w:t>
      </w:r>
      <w:r>
        <w:rPr>
          <w:b w:val="0"/>
          <w:i/>
          <w:sz w:val="18"/>
        </w:rPr>
        <w:t xml:space="preserve">J. Bus. Econ. Stat. </w:t>
      </w:r>
      <w:r>
        <w:rPr>
          <w:b/>
          <w:i w:val="0"/>
          <w:sz w:val="18"/>
        </w:rPr>
        <w:t>2019</w:t>
      </w:r>
      <w:r>
        <w:rPr>
          <w:b w:val="0"/>
          <w:i w:val="0"/>
          <w:sz w:val="18"/>
        </w:rPr>
        <w:t xml:space="preserve">, </w:t>
      </w:r>
      <w:r>
        <w:rPr>
          <w:b w:val="0"/>
          <w:i/>
          <w:sz w:val="18"/>
        </w:rPr>
        <w:t>37</w:t>
      </w:r>
      <w:r>
        <w:rPr>
          <w:b w:val="0"/>
          <w:i w:val="0"/>
          <w:sz w:val="18"/>
        </w:rPr>
        <w:t>, 187–204.</w:t>
      </w:r>
      <w:r>
        <w:rPr>
          <w:b w:val="0"/>
          <w:i w:val="0"/>
          <w:sz w:val="18"/>
        </w:rPr>
        <w:t xml:space="preserve"> [CrossRef]</w:t>
      </w:r>
    </w:p>
    <w:p>
      <w:pPr>
        <w:pStyle w:val="MDPI32textnoindent"/>
        <w:spacing w:line="240" w:lineRule="auto" w:before="0" w:after="40"/>
        <w:ind w:left="425" w:hanging="425"/>
        <w:tabs>
          <w:tab w:val="left" w:pos="425"/>
        </w:tabs>
      </w:pPr>
      <w:bookmarkStart w:id="1075" w:name="_Ref_75"/>
      <w:r>
        <w:rPr>
          <w:b w:val="0"/>
          <w:sz w:val="18"/>
        </w:rPr>
        <w:t>75</w:t>
      </w:r>
      <w:bookmarkEnd w:id="1075"/>
      <w:r>
        <w:rPr>
          <w:sz w:val="18"/>
        </w:rPr>
        <w:t>.</w:t>
        <w:tab/>
      </w:r>
      <w:r>
        <w:rPr>
          <w:b w:val="0"/>
          <w:i w:val="0"/>
          <w:sz w:val="18"/>
        </w:rPr>
        <w:t xml:space="preserve">Moscarini, G.; Postel-Vinay, F. </w:t>
      </w:r>
      <w:r>
        <w:rPr>
          <w:b w:val="0"/>
          <w:i w:val="0"/>
          <w:sz w:val="18"/>
        </w:rPr>
        <w:t xml:space="preserve">The Contribution of Large and Small Employers to Job Creation in Times of High and Low Unemployment. </w:t>
      </w:r>
      <w:r>
        <w:rPr>
          <w:b w:val="0"/>
          <w:i/>
          <w:sz w:val="18"/>
        </w:rPr>
        <w:t xml:space="preserve">Am. Econ. Rev. </w:t>
      </w:r>
      <w:r>
        <w:rPr>
          <w:b/>
          <w:i w:val="0"/>
          <w:sz w:val="18"/>
        </w:rPr>
        <w:t>2012</w:t>
      </w:r>
      <w:r>
        <w:rPr>
          <w:b w:val="0"/>
          <w:i w:val="0"/>
          <w:sz w:val="18"/>
        </w:rPr>
        <w:t xml:space="preserve">, </w:t>
      </w:r>
      <w:r>
        <w:rPr>
          <w:b w:val="0"/>
          <w:i/>
          <w:sz w:val="18"/>
        </w:rPr>
        <w:t>102</w:t>
      </w:r>
      <w:r>
        <w:rPr>
          <w:b w:val="0"/>
          <w:i w:val="0"/>
          <w:sz w:val="18"/>
        </w:rPr>
        <w:t>, 2509–2539.</w:t>
      </w:r>
      <w:r>
        <w:rPr>
          <w:b w:val="0"/>
          <w:i w:val="0"/>
          <w:sz w:val="18"/>
        </w:rPr>
        <w:t xml:space="preserve"> [CrossRef]</w:t>
      </w:r>
    </w:p>
    <w:p>
      <w:pPr>
        <w:pStyle w:val="MDPI32textnoindent"/>
        <w:spacing w:line="240" w:lineRule="auto" w:before="0" w:after="40"/>
        <w:ind w:left="425" w:hanging="425"/>
        <w:tabs>
          <w:tab w:val="left" w:pos="425"/>
        </w:tabs>
      </w:pPr>
      <w:bookmarkStart w:id="1076" w:name="_Ref_76"/>
      <w:r>
        <w:rPr>
          <w:b w:val="0"/>
          <w:sz w:val="18"/>
        </w:rPr>
        <w:t>76</w:t>
      </w:r>
      <w:bookmarkEnd w:id="1076"/>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77" w:name="_Ref_77"/>
      <w:r>
        <w:rPr>
          <w:b w:val="0"/>
          <w:sz w:val="18"/>
        </w:rPr>
        <w:t>77</w:t>
      </w:r>
      <w:bookmarkEnd w:id="1077"/>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78" w:name="_Ref_78"/>
      <w:r>
        <w:rPr>
          <w:b w:val="0"/>
          <w:sz w:val="18"/>
        </w:rPr>
        <w:t>78</w:t>
      </w:r>
      <w:bookmarkEnd w:id="1078"/>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79" w:name="_Ref_79"/>
      <w:r>
        <w:rPr>
          <w:b w:val="0"/>
          <w:sz w:val="18"/>
        </w:rPr>
        <w:t>79</w:t>
      </w:r>
      <w:bookmarkEnd w:id="1079"/>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80" w:name="_Ref_80"/>
      <w:r>
        <w:rPr>
          <w:b w:val="0"/>
          <w:sz w:val="18"/>
        </w:rPr>
        <w:t>80</w:t>
      </w:r>
      <w:bookmarkEnd w:id="1080"/>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81" w:name="_Ref_81"/>
      <w:r>
        <w:rPr>
          <w:b w:val="0"/>
          <w:sz w:val="18"/>
        </w:rPr>
        <w:t>81</w:t>
      </w:r>
      <w:bookmarkEnd w:id="1081"/>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082" w:name="_Ref_82"/>
      <w:r>
        <w:rPr>
          <w:b w:val="0"/>
          <w:sz w:val="18"/>
        </w:rPr>
        <w:t>82</w:t>
      </w:r>
      <w:bookmarkEnd w:id="1082"/>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83" w:name="_Ref_83"/>
      <w:r>
        <w:rPr>
          <w:b w:val="0"/>
          <w:sz w:val="18"/>
        </w:rPr>
        <w:t>83</w:t>
      </w:r>
      <w:bookmarkEnd w:id="1083"/>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84" w:name="_Ref_84"/>
      <w:r>
        <w:rPr>
          <w:b w:val="0"/>
          <w:sz w:val="18"/>
        </w:rPr>
        <w:t>84</w:t>
      </w:r>
      <w:bookmarkEnd w:id="1084"/>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85" w:name="_Ref_85"/>
      <w:r>
        <w:rPr>
          <w:b w:val="0"/>
          <w:sz w:val="18"/>
        </w:rPr>
        <w:t>85</w:t>
      </w:r>
      <w:bookmarkEnd w:id="1085"/>
      <w:r>
        <w:rPr>
          <w:sz w:val="18"/>
        </w:rPr>
        <w:t>.</w:t>
        <w:tab/>
      </w:r>
      <w:r>
        <w:rPr>
          <w:b w:val="0"/>
          <w:i w:val="0"/>
          <w:sz w:val="18"/>
        </w:rPr>
        <w:t xml:space="preserve">Krakowski, S.; Luger, J.; Raisch, S. </w:t>
      </w:r>
      <w:r>
        <w:rPr>
          <w:b w:val="0"/>
          <w:i w:val="0"/>
          <w:sz w:val="18"/>
        </w:rPr>
        <w:t xml:space="preserve">Artificial Intelligence and the Changing Sources of Competitive Advantage. </w:t>
      </w:r>
      <w:r>
        <w:rPr>
          <w:b w:val="0"/>
          <w:i/>
          <w:sz w:val="18"/>
        </w:rPr>
        <w:t xml:space="preserve">Strateg. Manag. J. </w:t>
      </w:r>
      <w:r>
        <w:rPr>
          <w:b/>
          <w:i w:val="0"/>
          <w:sz w:val="18"/>
        </w:rPr>
        <w:t>2023</w:t>
      </w:r>
      <w:r>
        <w:rPr>
          <w:b w:val="0"/>
          <w:i w:val="0"/>
          <w:sz w:val="18"/>
        </w:rPr>
        <w:t xml:space="preserve">, </w:t>
      </w:r>
      <w:r>
        <w:rPr>
          <w:b w:val="0"/>
          <w:i/>
          <w:sz w:val="18"/>
        </w:rPr>
        <w:t>44</w:t>
      </w:r>
      <w:r>
        <w:rPr>
          <w:b w:val="0"/>
          <w:i w:val="0"/>
          <w:sz w:val="18"/>
        </w:rPr>
        <w:t>, 1425–1452.</w:t>
      </w:r>
      <w:r>
        <w:rPr>
          <w:b w:val="0"/>
          <w:i w:val="0"/>
          <w:sz w:val="18"/>
        </w:rPr>
        <w:t xml:space="preserve"> [CrossRef]</w:t>
      </w:r>
    </w:p>
    <w:p>
      <w:pPr>
        <w:pStyle w:val="MDPI32textnoindent"/>
        <w:spacing w:line="240" w:lineRule="auto" w:before="0" w:after="40"/>
        <w:ind w:left="425" w:hanging="425"/>
        <w:tabs>
          <w:tab w:val="left" w:pos="425"/>
        </w:tabs>
      </w:pPr>
      <w:bookmarkStart w:id="1086" w:name="_Ref_86"/>
      <w:r>
        <w:rPr>
          <w:b w:val="0"/>
          <w:sz w:val="18"/>
        </w:rPr>
        <w:t>86</w:t>
      </w:r>
      <w:bookmarkEnd w:id="1086"/>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