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Variety Absorbs Variety: Workforce Skill Diversity, Shock Absorption and Youth Employment in Chinese Listed Firms</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When demand falls, young workers are the first to be let go, yet some firms shed almost none of them. This study asks what internal property of a firm determines whether an external disturbance is passed on to its youngest employees, and answers it with Ashby’s law of requisite variety: a system can absorb only as much variety as it contains. The workforce of a firm is treated as a socio-technical system whose internal variety is the entropy of its employment distribution over occupational categories and education levels, decomposed in the manner of Frenken into a related and an unrelated component. Using 36,064 firm-year observations for 3,400 Chinese A-share listed firms over 2014–2024, and an industry demand shock constructed outside the firm, a two-way fixed-effects panel model, a firm-block bootstrap of the transmission channels, instrumental variables, propensity score matching, entropy balancing and a fixed-effects panel threshold model are estimated. Workforce skill variety raises the youth employment share by 1.86 percentage points per standard deviation and sharply attenuates the effect of an adverse demand shock, the interaction being 1.257. Related variety buffers 1.49 times as strongly per bit as unrelated variety. Internal redeployment and suppressed churn jointly carry 46.2 percent of the buffering. Most importantly, the buffer is not gradual: below an estimated variety threshold of 2.52 bits the shock cuts the youth employment share by 2.12 percentage points, while above it the effect is economically negligible. Requisite variety is a precondition for absorption, not merely a contributor to it.</w:t>
      </w:r>
    </w:p>
    <w:p>
      <w:pPr>
        <w:pStyle w:val="MDPI18keywords"/>
      </w:pPr>
      <w:r>
        <w:rPr>
          <w:b/>
        </w:rPr>
        <w:t xml:space="preserve">Keywords: </w:t>
      </w:r>
      <w:r>
        <w:t>requisite variety; workforce skill variety; youth employment; organizational resilience; socio-technical systems; complex adaptive systems; panel threshold model; Chinese listed firms</w:t>
      </w:r>
    </w:p>
    <w:p>
      <w:pPr>
        <w:pStyle w:val="MDPI19line"/>
      </w:pPr>
    </w:p>
    <w:p>
      <w:pPr>
        <w:pStyle w:val="MDPI21heading1"/>
      </w:pPr>
      <w:r>
        <w:t>1. Introduction</w:t>
      </w:r>
    </w:p>
    <w:p>
      <w:pPr>
        <w:pStyle w:val="MDPI32textnoindent"/>
      </w:pPr>
      <w:r>
        <w:rPr>
          <w:b w:val="0"/>
          <w:i w:val="0"/>
        </w:rPr>
        <w:t xml:space="preserve">Youth employment is the part of the labor market that moves first and moves furthest when conditions deteriorate. The International Labour Organization reports that young people make up roughly one-sixth of the global working-age population but close to two-fifths of the unemployed, and that their labor force participation has fallen more than three times as fast as that of the working-age population as a whole over the past decade </w:t>
      </w:r>
      <w:r>
        <w:t>[</w:t>
      </w:r>
      <w:r>
        <w:fldChar w:fldCharType="begin"/>
      </w:r>
      <w:r>
        <w:instrText xml:space="preserve"> REF _Ref_1 \h </w:instrText>
      </w:r>
      <w:r>
        <w:fldChar w:fldCharType="separate"/>
      </w:r>
      <w:r>
        <w:t>1</w:t>
      </w:r>
      <w:r>
        <w:fldChar w:fldCharType="end"/>
      </w:r>
      <w:r>
        <w:t>,</w:t>
      </w:r>
      <w:r>
        <w:fldChar w:fldCharType="begin"/>
      </w:r>
      <w:r>
        <w:instrText xml:space="preserve"> REF _Ref_2 \h </w:instrText>
      </w:r>
      <w:r>
        <w:fldChar w:fldCharType="separate"/>
      </w:r>
      <w:r>
        <w:t>2</w:t>
      </w:r>
      <w:r>
        <w:fldChar w:fldCharType="end"/>
      </w:r>
      <w:r>
        <w:t>]</w:t>
      </w:r>
      <w:r>
        <w:rPr>
          <w:b w:val="0"/>
          <w:i w:val="0"/>
        </w:rPr>
        <w:t xml:space="preserve">. In China the arithmetic is stark: a record 12.22 million students graduated from higher education in 2025 </w:t>
      </w:r>
      <w:r>
        <w:t>[</w:t>
      </w:r>
      <w:r>
        <w:fldChar w:fldCharType="begin"/>
      </w:r>
      <w:r>
        <w:instrText xml:space="preserve"> REF _Ref_3 \h </w:instrText>
      </w:r>
      <w:r>
        <w:fldChar w:fldCharType="separate"/>
      </w:r>
      <w:r>
        <w:t>3</w:t>
      </w:r>
      <w:r>
        <w:fldChar w:fldCharType="end"/>
      </w:r>
      <w:r>
        <w:t>]</w:t>
      </w:r>
      <w:r>
        <w:rPr>
          <w:b w:val="0"/>
          <w:i w:val="0"/>
        </w:rPr>
        <w:t xml:space="preserve">, while the surveyed urban unemployment rate of the population aged 16 to 24 excluding students stayed above 17 percent for much of the year, more than three times the national rate </w:t>
      </w:r>
      <w:r>
        <w:t>[</w:t>
      </w:r>
      <w:r>
        <w:fldChar w:fldCharType="begin"/>
      </w:r>
      <w:r>
        <w:instrText xml:space="preserve"> REF _Ref_4 \h </w:instrText>
      </w:r>
      <w:r>
        <w:fldChar w:fldCharType="separate"/>
      </w:r>
      <w:r>
        <w:t>4</w:t>
      </w:r>
      <w:r>
        <w:fldChar w:fldCharType="end"/>
      </w:r>
      <w:r>
        <w:t>]</w:t>
      </w:r>
      <w:r>
        <w:rPr>
          <w:b w:val="0"/>
          <w:i w:val="0"/>
        </w:rPr>
        <w:t xml:space="preserve">. Because the penalty for a poor start is measured in decades rather than months </w:t>
      </w:r>
      <w:r>
        <w:t>[</w:t>
      </w:r>
      <w:r>
        <w:fldChar w:fldCharType="begin"/>
      </w:r>
      <w:r>
        <w:instrText xml:space="preserve"> REF _Ref_5 \h </w:instrText>
      </w:r>
      <w:r>
        <w:fldChar w:fldCharType="separate"/>
      </w:r>
      <w:r>
        <w:t>5</w:t>
      </w:r>
      <w:r>
        <w:fldChar w:fldCharType="end"/>
      </w:r>
      <w:r>
        <w:t>–</w:t>
      </w:r>
      <w:r>
        <w:fldChar w:fldCharType="begin"/>
      </w:r>
      <w:r>
        <w:instrText xml:space="preserve"> REF _Ref_8 \h </w:instrText>
      </w:r>
      <w:r>
        <w:fldChar w:fldCharType="separate"/>
      </w:r>
      <w:r>
        <w:t>8</w:t>
      </w:r>
      <w:r>
        <w:fldChar w:fldCharType="end"/>
      </w:r>
      <w:r>
        <w:t>]</w:t>
      </w:r>
      <w:r>
        <w:rPr>
          <w:b w:val="0"/>
          <w:i w:val="0"/>
        </w:rPr>
        <w:t>, the question of which firms protect their young employees when demand falls, and why, is not a marginal one.</w:t>
      </w:r>
    </w:p>
    <w:p>
      <w:pPr>
        <w:pStyle w:val="MDPI31text"/>
      </w:pPr>
      <w:r>
        <w:rPr>
          <w:b w:val="0"/>
          <w:i w:val="0"/>
        </w:rPr>
        <w:t xml:space="preserve">That young workers absorb a disproportionate share of adjustment is well established. Labor is a quasi-fixed factor, and the firm-specific human capital that makes an experienced worker expensive to replace is precisely what a new entrant has not yet acquired, so the entry port is the cheapest margin on which to adjust </w:t>
      </w:r>
      <w:r>
        <w:t>[</w:t>
      </w:r>
      <w:r>
        <w:fldChar w:fldCharType="begin"/>
      </w:r>
      <w:r>
        <w:instrText xml:space="preserve"> REF _Ref_9 \h </w:instrText>
      </w:r>
      <w:r>
        <w:fldChar w:fldCharType="separate"/>
      </w:r>
      <w:r>
        <w:t>9</w:t>
      </w:r>
      <w:r>
        <w:fldChar w:fldCharType="end"/>
      </w:r>
      <w:r>
        <w:t>,</w:t>
      </w:r>
      <w:r>
        <w:fldChar w:fldCharType="begin"/>
      </w:r>
      <w:r>
        <w:instrText xml:space="preserve"> REF _Ref_10 \h </w:instrText>
      </w:r>
      <w:r>
        <w:fldChar w:fldCharType="separate"/>
      </w:r>
      <w:r>
        <w:t>10</w:t>
      </w:r>
      <w:r>
        <w:fldChar w:fldCharType="end"/>
      </w:r>
      <w:r>
        <w:t>]</w:t>
      </w:r>
      <w:r>
        <w:rPr>
          <w:b w:val="0"/>
          <w:i w:val="0"/>
        </w:rPr>
        <w:t xml:space="preserve">. Ref. </w:t>
      </w:r>
      <w:r>
        <w:t>[</w:t>
      </w:r>
      <w:r>
        <w:fldChar w:fldCharType="begin"/>
      </w:r>
      <w:r>
        <w:instrText xml:space="preserve"> REF _Ref_11 \h </w:instrText>
      </w:r>
      <w:r>
        <w:fldChar w:fldCharType="separate"/>
      </w:r>
      <w:r>
        <w:t>11</w:t>
      </w:r>
      <w:r>
        <w:fldChar w:fldCharType="end"/>
      </w:r>
      <w:r>
        <w:t>]</w:t>
      </w:r>
      <w:r>
        <w:rPr>
          <w:b w:val="0"/>
          <w:i w:val="0"/>
        </w:rPr>
        <w:t xml:space="preserve"> showed that firms meeting adverse conditions suspend entry-level recruitment rather than dismiss incumbents; Refs. </w:t>
      </w:r>
      <w:r>
        <w:t>[</w:t>
      </w:r>
      <w:r>
        <w:fldChar w:fldCharType="begin"/>
      </w:r>
      <w:r>
        <w:instrText xml:space="preserve"> REF _Ref_12 \h </w:instrText>
      </w:r>
      <w:r>
        <w:fldChar w:fldCharType="separate"/>
      </w:r>
      <w:r>
        <w:t>12</w:t>
      </w:r>
      <w:r>
        <w:fldChar w:fldCharType="end"/>
      </w:r>
      <w:r>
        <w:t>]</w:t>
      </w:r>
      <w:r>
        <w:rPr>
          <w:b w:val="0"/>
          <w:i w:val="0"/>
        </w:rPr>
        <w:t xml:space="preserve"> and </w:t>
      </w:r>
      <w:r>
        <w:t>[</w:t>
      </w:r>
      <w:r>
        <w:fldChar w:fldCharType="begin"/>
      </w:r>
      <w:r>
        <w:instrText xml:space="preserve"> REF _Ref_13 \h </w:instrText>
      </w:r>
      <w:r>
        <w:fldChar w:fldCharType="separate"/>
      </w:r>
      <w:r>
        <w:t>13</w:t>
      </w:r>
      <w:r>
        <w:fldChar w:fldCharType="end"/>
      </w:r>
      <w:r>
        <w:t>]</w:t>
      </w:r>
      <w:r>
        <w:rPr>
          <w:b w:val="0"/>
          <w:i w:val="0"/>
        </w:rPr>
        <w:t xml:space="preserve"> traced the same asymmetry through credit and demand channels in the financial crisis. What this literature explains is why the average firm behaves as it does. What it does not explain is the dispersion. Confronted with demand shocks of comparable size, some firms cut their youngest cohort sharply and others barely at all, and the difference is not accounted for by size, leverage, profitability or sector.</w:t>
      </w:r>
    </w:p>
    <w:p>
      <w:pPr>
        <w:pStyle w:val="MDPI31text"/>
      </w:pPr>
      <w:r>
        <w:rPr>
          <w:b w:val="0"/>
          <w:i w:val="0"/>
        </w:rPr>
        <w:t xml:space="preserve">This study proposes that the missing variable is a property of the firm as a system rather than of its balance sheet, and that the relevant property was named seventy years ago. Ashby’s law of requisite variety states that a regulator can absorb only as much variety as it itself contains: only variety can destroy variety </w:t>
      </w:r>
      <w:r>
        <w:t>[</w:t>
      </w:r>
      <w:r>
        <w:fldChar w:fldCharType="begin"/>
      </w:r>
      <w:r>
        <w:instrText xml:space="preserve"> REF _Ref_14 \h </w:instrText>
      </w:r>
      <w:r>
        <w:fldChar w:fldCharType="separate"/>
      </w:r>
      <w:r>
        <w:t>14</w:t>
      </w:r>
      <w:r>
        <w:fldChar w:fldCharType="end"/>
      </w:r>
      <w:r>
        <w:t>]</w:t>
      </w:r>
      <w:r>
        <w:rPr>
          <w:b w:val="0"/>
          <w:i w:val="0"/>
        </w:rPr>
        <w:t xml:space="preserve">. Translated into a workforce, the internal variety of a firm is the range of distinct kinds of work its people are able to perform. A firm whose employment is concentrated in a narrow set of occupational and educational categories has, in the strict cybernetic sense, few states available to it when the environment changes; when the work its juniors do disappears, there is nowhere to put them and they leave. A firm whose employment is spread across many categories has states available: it can move people between kinds of work, absorbing the disturbance internally instead of transmitting it to its employment level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w:t>
      </w:r>
    </w:p>
    <w:p>
      <w:pPr>
        <w:pStyle w:val="MDPI31text"/>
      </w:pPr>
      <w:r>
        <w:rPr>
          <w:b w:val="0"/>
          <w:i w:val="0"/>
        </w:rPr>
        <w:t xml:space="preserve">The claim is a systems claim in the strict sense, because it concerns what a system can do rather than what it chooses to do, and because it predicts a discontinuity rather than a gradient. If variety is a precondition for absorption, then below the variety of the disturbance a firm cannot absorb at all, however willing it is; above that level it can. Requisite variety therefore implies a threshold, and a threshold is a testable object. Neither the human capital literature nor the organizational resilience literature, which has documented that resilient firms recover faster </w:t>
      </w:r>
      <w:r>
        <w:t>[</w:t>
      </w:r>
      <w:r>
        <w:fldChar w:fldCharType="begin"/>
      </w:r>
      <w:r>
        <w:instrText xml:space="preserve"> REF _Ref_18 \h </w:instrText>
      </w:r>
      <w:r>
        <w:fldChar w:fldCharType="separate"/>
      </w:r>
      <w:r>
        <w:t>18</w:t>
      </w:r>
      <w:r>
        <w:fldChar w:fldCharType="end"/>
      </w:r>
      <w:r>
        <w:t>–</w:t>
      </w:r>
      <w:r>
        <w:fldChar w:fldCharType="begin"/>
      </w:r>
      <w:r>
        <w:instrText xml:space="preserve"> REF _Ref_20 \h </w:instrText>
      </w:r>
      <w:r>
        <w:fldChar w:fldCharType="separate"/>
      </w:r>
      <w:r>
        <w:t>20</w:t>
      </w:r>
      <w:r>
        <w:fldChar w:fldCharType="end"/>
      </w:r>
      <w:r>
        <w:t>]</w:t>
      </w:r>
      <w:r>
        <w:rPr>
          <w:b w:val="0"/>
          <w:i w:val="0"/>
        </w:rPr>
        <w:t xml:space="preserve"> without saying what makes them resilient, contains such a prediction.</w:t>
      </w:r>
    </w:p>
    <w:p>
      <w:pPr>
        <w:pStyle w:val="MDPI31text"/>
      </w:pPr>
      <w:r>
        <w:rPr>
          <w:b w:val="0"/>
          <w:i w:val="0"/>
        </w:rPr>
        <w:t xml:space="preserve">Measuring internal variety requires a measure that is comparable across firms and decomposable. The entropy of an employment distribution supplies both </w:t>
      </w:r>
      <w:r>
        <w:t>[</w:t>
      </w:r>
      <w:r>
        <w:fldChar w:fldCharType="begin"/>
      </w:r>
      <w:r>
        <w:instrText xml:space="preserve"> REF _Ref_21 \h </w:instrText>
      </w:r>
      <w:r>
        <w:fldChar w:fldCharType="separate"/>
      </w:r>
      <w:r>
        <w:t>21</w:t>
      </w:r>
      <w:r>
        <w:fldChar w:fldCharType="end"/>
      </w:r>
      <w:r>
        <w:t>,</w:t>
      </w:r>
      <w:r>
        <w:fldChar w:fldCharType="begin"/>
      </w:r>
      <w:r>
        <w:instrText xml:space="preserve"> REF _Ref_22 \h </w:instrText>
      </w:r>
      <w:r>
        <w:fldChar w:fldCharType="separate"/>
      </w:r>
      <w:r>
        <w:t>22</w:t>
      </w:r>
      <w:r>
        <w:fldChar w:fldCharType="end"/>
      </w:r>
      <w:r>
        <w:t>]</w:t>
      </w:r>
      <w:r>
        <w:rPr>
          <w:b w:val="0"/>
          <w:i w:val="0"/>
        </w:rPr>
        <w:t xml:space="preserve">. Chinese listed firms disclose the composition of their workforce across five occupational categories and three education levels, which yields a fifteen-cell distribution for each firm and year. Its entropy is the firm’s skill variety, and, following the decomposition that Ref. </w:t>
      </w:r>
      <w:r>
        <w:t>[</w:t>
      </w:r>
      <w:r>
        <w:fldChar w:fldCharType="begin"/>
      </w:r>
      <w:r>
        <w:instrText xml:space="preserve"> REF _Ref_23 \h </w:instrText>
      </w:r>
      <w:r>
        <w:fldChar w:fldCharType="separate"/>
      </w:r>
      <w:r>
        <w:t>23</w:t>
      </w:r>
      <w:r>
        <w:fldChar w:fldCharType="end"/>
      </w:r>
      <w:r>
        <w:t>]</w:t>
      </w:r>
      <w:r>
        <w:rPr>
          <w:b w:val="0"/>
          <w:i w:val="0"/>
        </w:rPr>
        <w:t xml:space="preserve"> introduced for regional economies, it splits exactly into an unrelated component, the spread of employment across occupational categories, and a related component, the spread within them. The distinction matters for absorption, because redeployment between cognitively proximate roles is far cheaper than redeployment between distant ones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rPr>
          <w:b w:val="0"/>
          <w:i w:val="0"/>
        </w:rPr>
        <w:t>.</w:t>
      </w:r>
    </w:p>
    <w:p>
      <w:pPr>
        <w:pStyle w:val="MDPI31text"/>
      </w:pPr>
      <w:r>
        <w:rPr>
          <w:b w:val="0"/>
          <w:i w:val="0"/>
        </w:rPr>
        <w:t xml:space="preserve">Although existing studies have thoroughly documented that young workers bear the brunt of adjustment and that some organizations recover from shocks better than others, they have predominantly treated resilience as an outcome to be measured rather than a capacity to be specified, and have measured workforce composition, when at all, by average education or average tenure rather than by its variety. Three gaps follow. First, no firm-level study has asked whether the variety of a workforce, as distinct from its level of skill, governs how much of an external disturbance reaches employment. Second, where diversity has been studied it has been treated as a linear input to performance </w:t>
      </w:r>
      <w:r>
        <w:t>[</w:t>
      </w:r>
      <w:r>
        <w:fldChar w:fldCharType="begin"/>
      </w:r>
      <w:r>
        <w:instrText xml:space="preserve"> REF _Ref_26 \h </w:instrText>
      </w:r>
      <w:r>
        <w:fldChar w:fldCharType="separate"/>
      </w:r>
      <w:r>
        <w:t>26</w:t>
      </w:r>
      <w:r>
        <w:fldChar w:fldCharType="end"/>
      </w:r>
      <w:r>
        <w:t>–</w:t>
      </w:r>
      <w:r>
        <w:fldChar w:fldCharType="begin"/>
      </w:r>
      <w:r>
        <w:instrText xml:space="preserve"> REF _Ref_28 \h </w:instrText>
      </w:r>
      <w:r>
        <w:fldChar w:fldCharType="separate"/>
      </w:r>
      <w:r>
        <w:t>28</w:t>
      </w:r>
      <w:r>
        <w:fldChar w:fldCharType="end"/>
      </w:r>
      <w:r>
        <w:t>]</w:t>
      </w:r>
      <w:r>
        <w:rPr>
          <w:b w:val="0"/>
          <w:i w:val="0"/>
        </w:rPr>
        <w:t>, not as a regulatory capacity subject to a sufficiency condition. Third, the mechanism has not been separated: absorption may operate by moving people between kinds of work or by not letting them go, and these are different organizational acts with different policy implications.</w:t>
      </w:r>
    </w:p>
    <w:p>
      <w:pPr>
        <w:pStyle w:val="MDPI31text"/>
      </w:pPr>
      <w:r>
        <w:rPr>
          <w:b w:val="0"/>
          <w:i w:val="0"/>
        </w:rPr>
        <w:t xml:space="preserve">Based on this, this study uses a sample of Chinese A-share listed firms over 2014–2024 to ask whether workforce skill variety buffers the youth employment share against industry demand shocks, which component of variety does the buffering, through what organizational channel, and whether the buffering is gradual or conditional on a threshold. The demand shock is constructed from national industry revenue growth outside the firm, so it is not a consequence of the firm’s own employment decisions. The benchmark is a two-way fixed-effects panel model with an interaction between the shock and variety. The channel is identified by estimating the redeployment and churn equations and bootstrapping the part of the buffering that travels through each. Endogeneity is addressed by an overidentified instrumental-variable design that exploits the occupational diversity of the local labor pool and the variety of same-industry firms in other provinces, by propensity score matching and by entropy balancing. The threshold is estimated by the fixed-effects panel threshold model of Ref. </w:t>
      </w:r>
      <w:r>
        <w:t>[</w:t>
      </w:r>
      <w:r>
        <w:fldChar w:fldCharType="begin"/>
      </w:r>
      <w:r>
        <w:instrText xml:space="preserve"> REF _Ref_29 \h </w:instrText>
      </w:r>
      <w:r>
        <w:fldChar w:fldCharType="separate"/>
      </w:r>
      <w:r>
        <w:t>29</w:t>
      </w:r>
      <w:r>
        <w:fldChar w:fldCharType="end"/>
      </w:r>
      <w:r>
        <w:t>]</w:t>
      </w:r>
      <w:r>
        <w:rPr>
          <w:b w:val="0"/>
          <w:i w:val="0"/>
        </w:rPr>
        <w:t xml:space="preserve">, with the existence of the threshold tested by the fixed-regressor bootstrap of Ref. </w:t>
      </w:r>
      <w:r>
        <w:t>[</w:t>
      </w:r>
      <w:r>
        <w:fldChar w:fldCharType="begin"/>
      </w:r>
      <w:r>
        <w:instrText xml:space="preserve"> REF _Ref_30 \h </w:instrText>
      </w:r>
      <w:r>
        <w:fldChar w:fldCharType="separate"/>
      </w:r>
      <w:r>
        <w:t>30</w:t>
      </w:r>
      <w:r>
        <w:fldChar w:fldCharType="end"/>
      </w:r>
      <w:r>
        <w:t>]</w:t>
      </w:r>
      <w:r>
        <w:rPr>
          <w:b w:val="0"/>
          <w:i w:val="0"/>
        </w:rPr>
        <w:t>.</w:t>
      </w:r>
    </w:p>
    <w:p>
      <w:pPr>
        <w:pStyle w:val="MDPI31text"/>
      </w:pPr>
      <w:r>
        <w:rPr>
          <w:b w:val="0"/>
          <w:i w:val="0"/>
        </w:rPr>
        <w:t>Accordingly, this study makes marginal contributions in the following aspects. First, it brings the law of requisite variety from cybernetics into the empirical analysis of employment, and shows that a seventy-year-old regulatory principle predicts firm-level labor adjustment better than the firm characteristics conventionally used for the purpose. Second, it supplies what appears to be the first estimate of a variety threshold for shock absorption, and finds that the buffering is not a gradient but a regime: below the threshold the shock passes through almost undiminished, above it the youth employment share is essentially unmoved. Third, it decomposes the buffer into a related and an unrelated component and shows that the capacity to absorb resides mainly in the depth of skill within occupational families rather than in the number of families, which reverses the intuition that broader is always safer. Fourth, it separates the two organizational acts through which absorption occurs and shows that most of it is the avoidance of separations rather than the reshuffling of posts, which locates the managerial lever precisely.</w:t>
      </w:r>
    </w:p>
    <w:p>
      <w:pPr>
        <w:pStyle w:val="MDPI31text"/>
      </w:pPr>
      <w:r>
        <w:rPr>
          <w:b w:val="0"/>
          <w:i w:val="0"/>
        </w:rPr>
        <w:t>The remainder of this paper proceeds as follows. Section 2 reviews the related literature and develops the hypotheses. Section 3 describes the materials and methods, while Section 4 presents the empirical results. Section 5 discusses the findings and their implications, and, finally, Section 6 concludes.</w:t>
      </w:r>
    </w:p>
    <w:p>
      <w:pPr>
        <w:pStyle w:val="MDPI21heading1"/>
      </w:pPr>
      <w:r>
        <w:t>2. Literature Review and Hypothesis Development</w:t>
      </w:r>
    </w:p>
    <w:p>
      <w:pPr>
        <w:pStyle w:val="MDPI22heading2"/>
      </w:pPr>
      <w:r>
        <w:t>2.1. Workforce Skill Variety and the Youth Employment Share</w:t>
      </w:r>
    </w:p>
    <w:p>
      <w:pPr>
        <w:pStyle w:val="MDPI32textnoindent"/>
      </w:pPr>
      <w:r>
        <w:rPr>
          <w:b w:val="0"/>
          <w:i w:val="0"/>
        </w:rPr>
        <w:t xml:space="preserve">A firm is an assembly of distinguishable kinds of work. The number of kinds it maintains, and how evenly employment is spread across them, is a structural property that organization theory has long treated as consequential. Ref. </w:t>
      </w:r>
      <w:r>
        <w:t>[</w:t>
      </w:r>
      <w:r>
        <w:fldChar w:fldCharType="begin"/>
      </w:r>
      <w:r>
        <w:instrText xml:space="preserve"> REF _Ref_31 \h </w:instrText>
      </w:r>
      <w:r>
        <w:fldChar w:fldCharType="separate"/>
      </w:r>
      <w:r>
        <w:t>31</w:t>
      </w:r>
      <w:r>
        <w:fldChar w:fldCharType="end"/>
      </w:r>
      <w:r>
        <w:t>]</w:t>
      </w:r>
      <w:r>
        <w:rPr>
          <w:b w:val="0"/>
          <w:i w:val="0"/>
        </w:rPr>
        <w:t xml:space="preserve"> argued that near-decomposable systems, in which many partially independent subsystems coexist, adapt better than tightly coupled ones; Ref. </w:t>
      </w:r>
      <w:r>
        <w:t>[</w:t>
      </w:r>
      <w:r>
        <w:fldChar w:fldCharType="begin"/>
      </w:r>
      <w:r>
        <w:instrText xml:space="preserve"> REF _Ref_32 \h </w:instrText>
      </w:r>
      <w:r>
        <w:fldChar w:fldCharType="separate"/>
      </w:r>
      <w:r>
        <w:t>32</w:t>
      </w:r>
      <w:r>
        <w:fldChar w:fldCharType="end"/>
      </w:r>
      <w:r>
        <w:t>]</w:t>
      </w:r>
      <w:r>
        <w:rPr>
          <w:b w:val="0"/>
          <w:i w:val="0"/>
        </w:rPr>
        <w:t xml:space="preserve"> showed formally that the breadth of a firm’s position determines the range of adaptive moves available to it; and the evolutionary tradition treats the repertoire of routines a firm holds as the boundary of what it can do next </w:t>
      </w:r>
      <w:r>
        <w:t>[</w:t>
      </w:r>
      <w:r>
        <w:fldChar w:fldCharType="begin"/>
      </w:r>
      <w:r>
        <w:instrText xml:space="preserve"> REF _Ref_33 \h </w:instrText>
      </w:r>
      <w:r>
        <w:fldChar w:fldCharType="separate"/>
      </w:r>
      <w:r>
        <w:t>33</w:t>
      </w:r>
      <w:r>
        <w:fldChar w:fldCharType="end"/>
      </w:r>
      <w:r>
        <w:t>,</w:t>
      </w:r>
      <w:r>
        <w:fldChar w:fldCharType="begin"/>
      </w:r>
      <w:r>
        <w:instrText xml:space="preserve"> REF _Ref_34 \h </w:instrText>
      </w:r>
      <w:r>
        <w:fldChar w:fldCharType="separate"/>
      </w:r>
      <w:r>
        <w:t>34</w:t>
      </w:r>
      <w:r>
        <w:fldChar w:fldCharType="end"/>
      </w:r>
      <w:r>
        <w:t>]</w:t>
      </w:r>
      <w:r>
        <w:rPr>
          <w:b w:val="0"/>
          <w:i w:val="0"/>
        </w:rPr>
        <w:t>.</w:t>
      </w:r>
    </w:p>
    <w:p>
      <w:pPr>
        <w:pStyle w:val="MDPI31text"/>
      </w:pPr>
      <w:r>
        <w:rPr>
          <w:b w:val="0"/>
          <w:i w:val="0"/>
        </w:rPr>
        <w:t xml:space="preserve">For entry-level employment the implication is direct. A new entrant is hired into a specific kind of work, and the number of kinds of work a firm maintains is therefore the number of doors through which an inexperienced worker can enter </w:t>
      </w:r>
      <w:r>
        <w:t>[</w:t>
      </w:r>
      <w:r>
        <w:fldChar w:fldCharType="begin"/>
      </w:r>
      <w:r>
        <w:instrText xml:space="preserve"> REF _Ref_35 \h </w:instrText>
      </w:r>
      <w:r>
        <w:fldChar w:fldCharType="separate"/>
      </w:r>
      <w:r>
        <w:t>35</w:t>
      </w:r>
      <w:r>
        <w:fldChar w:fldCharType="end"/>
      </w:r>
      <w:r>
        <w:t>,</w:t>
      </w:r>
      <w:r>
        <w:fldChar w:fldCharType="begin"/>
      </w:r>
      <w:r>
        <w:instrText xml:space="preserve"> REF _Ref_36 \h </w:instrText>
      </w:r>
      <w:r>
        <w:fldChar w:fldCharType="separate"/>
      </w:r>
      <w:r>
        <w:t>36</w:t>
      </w:r>
      <w:r>
        <w:fldChar w:fldCharType="end"/>
      </w:r>
      <w:r>
        <w:t>]</w:t>
      </w:r>
      <w:r>
        <w:rPr>
          <w:b w:val="0"/>
          <w:i w:val="0"/>
        </w:rPr>
        <w:t xml:space="preserve">. A firm concentrated in one occupational family offers one door, and that door opens only when that family is expanding. A firm spread across several families offers several, and the probability that at least one is expanding in any given year is correspondingly higher. The diversity literature supplies a complementary argument: heterogeneous groups solve problems that homogeneous ones cannot </w:t>
      </w:r>
      <w:r>
        <w:t>[</w:t>
      </w:r>
      <w:r>
        <w:fldChar w:fldCharType="begin"/>
      </w:r>
      <w:r>
        <w:instrText xml:space="preserve"> REF _Ref_26 \h </w:instrText>
      </w:r>
      <w:r>
        <w:fldChar w:fldCharType="separate"/>
      </w:r>
      <w:r>
        <w:t>26</w:t>
      </w:r>
      <w:r>
        <w:fldChar w:fldCharType="end"/>
      </w:r>
      <w:r>
        <w:t>,</w:t>
      </w:r>
      <w:r>
        <w:fldChar w:fldCharType="begin"/>
      </w:r>
      <w:r>
        <w:instrText xml:space="preserve"> REF _Ref_37 \h </w:instrText>
      </w:r>
      <w:r>
        <w:fldChar w:fldCharType="separate"/>
      </w:r>
      <w:r>
        <w:t>37</w:t>
      </w:r>
      <w:r>
        <w:fldChar w:fldCharType="end"/>
      </w:r>
      <w:r>
        <w:t>]</w:t>
      </w:r>
      <w:r>
        <w:rPr>
          <w:b w:val="0"/>
          <w:i w:val="0"/>
        </w:rPr>
        <w:t>, so a firm that values variety has a reason to keep hiring into categories it does not currently need, which is exactly what entry-level hiring is. Therefore, the following hypothesis is proposed:</w:t>
      </w:r>
    </w:p>
    <w:p>
      <w:pPr>
        <w:pStyle w:val="MDPI31text"/>
      </w:pPr>
      <w:r>
        <w:rPr>
          <w:b w:val="0"/>
          <w:i w:val="0"/>
        </w:rPr>
        <w:t xml:space="preserve">The argument connects to two established lines of work without duplicating either. The human capital tradition explains why a firm invests in the people it hires and why the investment is recovered internally rather than on the market </w:t>
      </w:r>
      <w:r>
        <w:t>[</w:t>
      </w:r>
      <w:r>
        <w:fldChar w:fldCharType="begin"/>
      </w:r>
      <w:r>
        <w:instrText xml:space="preserve"> REF _Ref_38 \h </w:instrText>
      </w:r>
      <w:r>
        <w:fldChar w:fldCharType="separate"/>
      </w:r>
      <w:r>
        <w:t>38</w:t>
      </w:r>
      <w:r>
        <w:fldChar w:fldCharType="end"/>
      </w:r>
      <w:r>
        <w:t>–</w:t>
      </w:r>
      <w:r>
        <w:fldChar w:fldCharType="begin"/>
      </w:r>
      <w:r>
        <w:instrText xml:space="preserve"> REF _Ref_40 \h </w:instrText>
      </w:r>
      <w:r>
        <w:fldChar w:fldCharType="separate"/>
      </w:r>
      <w:r>
        <w:t>40</w:t>
      </w:r>
      <w:r>
        <w:fldChar w:fldCharType="end"/>
      </w:r>
      <w:r>
        <w:t>]</w:t>
      </w:r>
      <w:r>
        <w:rPr>
          <w:b w:val="0"/>
          <w:i w:val="0"/>
        </w:rPr>
        <w:t xml:space="preserve">, and the organizational learning tradition explains why the stock of people a firm holds determines what it can subsequently absorb from outside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rPr>
          <w:b w:val="0"/>
          <w:i w:val="0"/>
        </w:rPr>
        <w:t xml:space="preserve">. Neither, however, distinguishes the level of a firm’s human capital from its variety, and it is the variety that the regulatory argument requires. A firm may employ highly qualified people who all do the same thing; in the cybernetic sense it is a low-variety system, and the myopia that follows from operating with a narrow repertoire is well documented </w:t>
      </w:r>
      <w:r>
        <w:t>[</w:t>
      </w:r>
      <w:r>
        <w:fldChar w:fldCharType="begin"/>
      </w:r>
      <w:r>
        <w:instrText xml:space="preserve"> REF _Ref_44 \h </w:instrText>
      </w:r>
      <w:r>
        <w:fldChar w:fldCharType="separate"/>
      </w:r>
      <w:r>
        <w:t>44</w:t>
      </w:r>
      <w:r>
        <w:fldChar w:fldCharType="end"/>
      </w:r>
      <w:r>
        <w:t>,</w:t>
      </w:r>
      <w:r>
        <w:fldChar w:fldCharType="begin"/>
      </w:r>
      <w:r>
        <w:instrText xml:space="preserve"> REF _Ref_45 \h </w:instrText>
      </w:r>
      <w:r>
        <w:fldChar w:fldCharType="separate"/>
      </w:r>
      <w:r>
        <w:t>45</w:t>
      </w:r>
      <w:r>
        <w:fldChar w:fldCharType="end"/>
      </w:r>
      <w:r>
        <w:t>]</w:t>
      </w:r>
      <w:r>
        <w:rPr>
          <w:b w:val="0"/>
          <w:i w:val="0"/>
        </w:rPr>
        <w:t>.</w:t>
      </w:r>
    </w:p>
    <w:p>
      <w:pPr>
        <w:pStyle w:val="MDPI32textnoindent"/>
        <w:spacing w:before="100" w:after="100"/>
        <w:ind w:left="2948" w:firstLine="0"/>
      </w:pPr>
      <w:r>
        <w:rPr>
          <w:b/>
        </w:rPr>
        <w:t xml:space="preserve">H1. </w:t>
      </w:r>
      <w:r>
        <w:rPr>
          <w:b w:val="0"/>
          <w:i/>
        </w:rPr>
        <w:t>Workforce skill variety is positively associated with the firm’s youth employment share.</w:t>
      </w:r>
    </w:p>
    <w:p>
      <w:pPr>
        <w:pStyle w:val="MDPI22heading2"/>
      </w:pPr>
      <w:r>
        <w:t>2.2. Requisite Variety and the Absorption of Demand Shocks</w:t>
      </w:r>
    </w:p>
    <w:p>
      <w:pPr>
        <w:pStyle w:val="MDPI32textnoindent"/>
      </w:pPr>
      <w:r>
        <w:rPr>
          <w:b w:val="0"/>
          <w:i w:val="0"/>
        </w:rPr>
        <w:t xml:space="preserve">The main claim of this study concerns not the level of youth employment but its sensitivity. Ashby’s law states that the variety in the outcomes of a regulated system can be reduced only by a regulator whose own variety is at least as great as the variety of the disturbance </w:t>
      </w:r>
      <w:r>
        <w:t>[</w:t>
      </w:r>
      <w:r>
        <w:fldChar w:fldCharType="begin"/>
      </w:r>
      <w:r>
        <w:instrText xml:space="preserve"> REF _Ref_14 \h </w:instrText>
      </w:r>
      <w:r>
        <w:fldChar w:fldCharType="separate"/>
      </w:r>
      <w:r>
        <w:t>14</w:t>
      </w:r>
      <w:r>
        <w:fldChar w:fldCharType="end"/>
      </w:r>
      <w:r>
        <w:t>]</w:t>
      </w:r>
      <w:r>
        <w:rPr>
          <w:b w:val="0"/>
          <w:i w:val="0"/>
        </w:rPr>
        <w:t xml:space="preserve">. Cybernetic management theory carried the principle into organizations, where the regulator is the firm’s capacity to reconfigure itself and the disturbance is the environment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fldChar w:fldCharType="begin"/>
      </w:r>
      <w:r>
        <w:instrText xml:space="preserve"> REF _Ref_46 \h </w:instrText>
      </w:r>
      <w:r>
        <w:fldChar w:fldCharType="separate"/>
      </w:r>
      <w:r>
        <w:t>46</w:t>
      </w:r>
      <w:r>
        <w:fldChar w:fldCharType="end"/>
      </w:r>
      <w:r>
        <w:t>]</w:t>
      </w:r>
      <w:r>
        <w:rPr>
          <w:b w:val="0"/>
          <w:i w:val="0"/>
        </w:rPr>
        <w:t xml:space="preserve">. Socio-technical systems theory adds the reason the principle bites for employment specifically: the social and the technical subsystems are jointly optimized or jointly degraded, so a technical disturbance that finds no social variety to absorb it is transmitted directly to people </w:t>
      </w:r>
      <w:r>
        <w:t>[</w:t>
      </w:r>
      <w:r>
        <w:fldChar w:fldCharType="begin"/>
      </w:r>
      <w:r>
        <w:instrText xml:space="preserve"> REF _Ref_47 \h </w:instrText>
      </w:r>
      <w:r>
        <w:fldChar w:fldCharType="separate"/>
      </w:r>
      <w:r>
        <w:t>47</w:t>
      </w:r>
      <w:r>
        <w:fldChar w:fldCharType="end"/>
      </w:r>
      <w:r>
        <w:t>,</w:t>
      </w:r>
      <w:r>
        <w:fldChar w:fldCharType="begin"/>
      </w:r>
      <w:r>
        <w:instrText xml:space="preserve"> REF _Ref_48 \h </w:instrText>
      </w:r>
      <w:r>
        <w:fldChar w:fldCharType="separate"/>
      </w:r>
      <w:r>
        <w:t>48</w:t>
      </w:r>
      <w:r>
        <w:fldChar w:fldCharType="end"/>
      </w:r>
      <w:r>
        <w:t>]</w:t>
      </w:r>
      <w:r>
        <w:rPr>
          <w:b w:val="0"/>
          <w:i w:val="0"/>
        </w:rPr>
        <w:t>.</w:t>
      </w:r>
    </w:p>
    <w:p>
      <w:pPr>
        <w:pStyle w:val="MDPI31text"/>
      </w:pPr>
      <w:r>
        <w:rPr>
          <w:b w:val="0"/>
          <w:i w:val="0"/>
        </w:rPr>
        <w:t xml:space="preserve">An adverse demand shock is a disturbance whose variety consists in the particular kinds of work it renders redundant. A firm that possesses other kinds of work can respond by moving people; a firm that does not can respond only by reducing headcount, and the reduction falls on the workers whose separation is cheapest, that is on the youngest </w:t>
      </w:r>
      <w:r>
        <w:t>[</w:t>
      </w:r>
      <w:r>
        <w:fldChar w:fldCharType="begin"/>
      </w:r>
      <w:r>
        <w:instrText xml:space="preserve"> REF _Ref_9 \h </w:instrText>
      </w:r>
      <w:r>
        <w:fldChar w:fldCharType="separate"/>
      </w:r>
      <w:r>
        <w:t>9</w:t>
      </w:r>
      <w:r>
        <w:fldChar w:fldCharType="end"/>
      </w:r>
      <w:r>
        <w:t>,</w:t>
      </w:r>
      <w:r>
        <w:fldChar w:fldCharType="begin"/>
      </w:r>
      <w:r>
        <w:instrText xml:space="preserve"> REF _Ref_11 \h </w:instrText>
      </w:r>
      <w:r>
        <w:fldChar w:fldCharType="separate"/>
      </w:r>
      <w:r>
        <w:t>11</w:t>
      </w:r>
      <w:r>
        <w:fldChar w:fldCharType="end"/>
      </w:r>
      <w:r>
        <w:t>]</w:t>
      </w:r>
      <w:r>
        <w:rPr>
          <w:b w:val="0"/>
          <w:i w:val="0"/>
        </w:rPr>
        <w:t xml:space="preserve">. The prediction is therefore not that variety raises youth employment on average, which is H1, but that it weakens the transmission of the shock. This is the empirical content of organizational resilience, which the literature has measured as an outcome without specifying the capacity that produces it </w:t>
      </w:r>
      <w:r>
        <w:t>[</w:t>
      </w:r>
      <w:r>
        <w:fldChar w:fldCharType="begin"/>
      </w:r>
      <w:r>
        <w:instrText xml:space="preserve"> REF _Ref_18 \h </w:instrText>
      </w:r>
      <w:r>
        <w:fldChar w:fldCharType="separate"/>
      </w:r>
      <w:r>
        <w:t>18</w:t>
      </w:r>
      <w:r>
        <w:fldChar w:fldCharType="end"/>
      </w:r>
      <w:r>
        <w:t>–</w:t>
      </w:r>
      <w:r>
        <w:fldChar w:fldCharType="begin"/>
      </w:r>
      <w:r>
        <w:instrText xml:space="preserve"> REF _Ref_20 \h </w:instrText>
      </w:r>
      <w:r>
        <w:fldChar w:fldCharType="separate"/>
      </w:r>
      <w:r>
        <w:t>20</w:t>
      </w:r>
      <w:r>
        <w:fldChar w:fldCharType="end"/>
      </w:r>
      <w:r>
        <w:t>,</w:t>
      </w:r>
      <w:r>
        <w:fldChar w:fldCharType="begin"/>
      </w:r>
      <w:r>
        <w:instrText xml:space="preserve"> REF _Ref_49 \h </w:instrText>
      </w:r>
      <w:r>
        <w:fldChar w:fldCharType="separate"/>
      </w:r>
      <w:r>
        <w:t>49</w:t>
      </w:r>
      <w:r>
        <w:fldChar w:fldCharType="end"/>
      </w:r>
      <w:r>
        <w:t>]</w:t>
      </w:r>
      <w:r>
        <w:rPr>
          <w:b w:val="0"/>
          <w:i w:val="0"/>
        </w:rPr>
        <w:t>. In summary, this paper proposes the following hypothesis:</w:t>
      </w:r>
    </w:p>
    <w:p>
      <w:pPr>
        <w:pStyle w:val="MDPI31text"/>
      </w:pPr>
      <w:r>
        <w:rPr>
          <w:b w:val="0"/>
          <w:i w:val="0"/>
        </w:rPr>
        <w:t xml:space="preserve">Demand contractions are not the only disturbance that arrives with a structure of its own. Technological change reallocates work between categories of task rather than reducing it uniformly </w:t>
      </w:r>
      <w:r>
        <w:t>[</w:t>
      </w:r>
      <w:r>
        <w:fldChar w:fldCharType="begin"/>
      </w:r>
      <w:r>
        <w:instrText xml:space="preserve"> REF _Ref_50 \h </w:instrText>
      </w:r>
      <w:r>
        <w:fldChar w:fldCharType="separate"/>
      </w:r>
      <w:r>
        <w:t>50</w:t>
      </w:r>
      <w:r>
        <w:fldChar w:fldCharType="end"/>
      </w:r>
      <w:r>
        <w:t>–</w:t>
      </w:r>
      <w:r>
        <w:fldChar w:fldCharType="begin"/>
      </w:r>
      <w:r>
        <w:instrText xml:space="preserve"> REF _Ref_52 \h </w:instrText>
      </w:r>
      <w:r>
        <w:fldChar w:fldCharType="separate"/>
      </w:r>
      <w:r>
        <w:t>52</w:t>
      </w:r>
      <w:r>
        <w:fldChar w:fldCharType="end"/>
      </w:r>
      <w:r>
        <w:t>]</w:t>
      </w:r>
      <w:r>
        <w:rPr>
          <w:b w:val="0"/>
          <w:i w:val="0"/>
        </w:rPr>
        <w:t xml:space="preserve">, and the current generation of artificial intelligence is unusual in that the categories it reaches first are the codifiable ones that new entrants normally occupy </w:t>
      </w:r>
      <w:r>
        <w:t>[</w:t>
      </w:r>
      <w:r>
        <w:fldChar w:fldCharType="begin"/>
      </w:r>
      <w:r>
        <w:instrText xml:space="preserve"> REF _Ref_53 \h </w:instrText>
      </w:r>
      <w:r>
        <w:fldChar w:fldCharType="separate"/>
      </w:r>
      <w:r>
        <w:t>53</w:t>
      </w:r>
      <w:r>
        <w:fldChar w:fldCharType="end"/>
      </w:r>
      <w:r>
        <w:t>–</w:t>
      </w:r>
      <w:r>
        <w:fldChar w:fldCharType="begin"/>
      </w:r>
      <w:r>
        <w:instrText xml:space="preserve"> REF _Ref_55 \h </w:instrText>
      </w:r>
      <w:r>
        <w:fldChar w:fldCharType="separate"/>
      </w:r>
      <w:r>
        <w:t>55</w:t>
      </w:r>
      <w:r>
        <w:fldChar w:fldCharType="end"/>
      </w:r>
      <w:r>
        <w:t>]</w:t>
      </w:r>
      <w:r>
        <w:rPr>
          <w:b w:val="0"/>
          <w:i w:val="0"/>
        </w:rPr>
        <w:t xml:space="preserve">. The regulatory argument applies to both classes of disturbance, and the system dynamics literature has long insisted that what determines an organization’s response is the structure of its internal stocks rather than the nature of the external event </w:t>
      </w:r>
      <w:r>
        <w:t>[</w:t>
      </w:r>
      <w:r>
        <w:fldChar w:fldCharType="begin"/>
      </w:r>
      <w:r>
        <w:instrText xml:space="preserve"> REF _Ref_56 \h </w:instrText>
      </w:r>
      <w:r>
        <w:fldChar w:fldCharType="separate"/>
      </w:r>
      <w:r>
        <w:t>56</w:t>
      </w:r>
      <w:r>
        <w:fldChar w:fldCharType="end"/>
      </w:r>
      <w:r>
        <w:t>–</w:t>
      </w:r>
      <w:r>
        <w:fldChar w:fldCharType="begin"/>
      </w:r>
      <w:r>
        <w:instrText xml:space="preserve"> REF _Ref_59 \h </w:instrText>
      </w:r>
      <w:r>
        <w:fldChar w:fldCharType="separate"/>
      </w:r>
      <w:r>
        <w:t>59</w:t>
      </w:r>
      <w:r>
        <w:fldChar w:fldCharType="end"/>
      </w:r>
      <w:r>
        <w:t>]</w:t>
      </w:r>
      <w:r>
        <w:rPr>
          <w:b w:val="0"/>
          <w:i w:val="0"/>
        </w:rPr>
        <w:t>. The present study identifies the buffer from demand shocks because they are frequent, external and measurable, but the capacity it measures is not specific to them.</w:t>
      </w:r>
    </w:p>
    <w:p>
      <w:pPr>
        <w:pStyle w:val="MDPI32textnoindent"/>
        <w:spacing w:before="100" w:after="100"/>
        <w:ind w:left="2948" w:firstLine="0"/>
      </w:pPr>
      <w:r>
        <w:rPr>
          <w:b/>
        </w:rPr>
        <w:t xml:space="preserve">H2. </w:t>
      </w:r>
      <w:r>
        <w:rPr>
          <w:b w:val="0"/>
          <w:i/>
        </w:rPr>
        <w:t>Workforce skill variety attenuates the negative effect of an adverse industry demand shock on the firm’s youth employment share.</w:t>
      </w:r>
    </w:p>
    <w:p>
      <w:pPr>
        <w:pStyle w:val="MDPI22heading2"/>
      </w:pPr>
      <w:r>
        <w:t>2.3. Related and Unrelated Variety</w:t>
      </w:r>
    </w:p>
    <w:p>
      <w:pPr>
        <w:pStyle w:val="MDPI32textnoindent"/>
      </w:pPr>
      <w:r>
        <w:rPr>
          <w:b w:val="0"/>
          <w:i w:val="0"/>
        </w:rPr>
        <w:t xml:space="preserve">Not all variety is equally usable. Ref. </w:t>
      </w:r>
      <w:r>
        <w:t>[</w:t>
      </w:r>
      <w:r>
        <w:fldChar w:fldCharType="begin"/>
      </w:r>
      <w:r>
        <w:instrText xml:space="preserve"> REF _Ref_23 \h </w:instrText>
      </w:r>
      <w:r>
        <w:fldChar w:fldCharType="separate"/>
      </w:r>
      <w:r>
        <w:t>23</w:t>
      </w:r>
      <w:r>
        <w:fldChar w:fldCharType="end"/>
      </w:r>
      <w:r>
        <w:t>]</w:t>
      </w:r>
      <w:r>
        <w:rPr>
          <w:b w:val="0"/>
          <w:i w:val="0"/>
        </w:rPr>
        <w:t xml:space="preserve"> distinguished, for regional economies, between unrelated variety, which spreads activity across distant sectors and insures against sector-specific shocks, and related variety, which spreads it across proximate ones and permits knowledge to flow between them, following the older argument of Ref. </w:t>
      </w:r>
      <w:r>
        <w:t>[</w:t>
      </w:r>
      <w:r>
        <w:fldChar w:fldCharType="begin"/>
      </w:r>
      <w:r>
        <w:instrText xml:space="preserve"> REF _Ref_60 \h </w:instrText>
      </w:r>
      <w:r>
        <w:fldChar w:fldCharType="separate"/>
      </w:r>
      <w:r>
        <w:t>60</w:t>
      </w:r>
      <w:r>
        <w:fldChar w:fldCharType="end"/>
      </w:r>
      <w:r>
        <w:t>]</w:t>
      </w:r>
      <w:r>
        <w:rPr>
          <w:b w:val="0"/>
          <w:i w:val="0"/>
        </w:rPr>
        <w:t xml:space="preserve">. Inside a firm the same distinction applies with a sharper edge, because absorption requires that a person actually move from one kind of work to another. Cognitive proximity governs whether such a move is feasible at acceptable cost </w:t>
      </w:r>
      <w:r>
        <w:t>[</w:t>
      </w:r>
      <w:r>
        <w:fldChar w:fldCharType="begin"/>
      </w:r>
      <w:r>
        <w:instrText xml:space="preserve"> REF _Ref_24 \h </w:instrText>
      </w:r>
      <w:r>
        <w:fldChar w:fldCharType="separate"/>
      </w:r>
      <w:r>
        <w:t>24</w:t>
      </w:r>
      <w:r>
        <w:fldChar w:fldCharType="end"/>
      </w:r>
      <w:r>
        <w:t>]</w:t>
      </w:r>
      <w:r>
        <w:rPr>
          <w:b w:val="0"/>
          <w:i w:val="0"/>
        </w:rPr>
        <w:t xml:space="preserve">: an engineer can be moved to a neighbouring technical role within weeks, but not to a sales role. Evidence on internal mobility confirms that moves within occupational families are cheaper and better matched than moves across them or than external hiring </w:t>
      </w:r>
      <w:r>
        <w:t>[</w:t>
      </w:r>
      <w:r>
        <w:fldChar w:fldCharType="begin"/>
      </w:r>
      <w:r>
        <w:instrText xml:space="preserve"> REF _Ref_25 \h </w:instrText>
      </w:r>
      <w:r>
        <w:fldChar w:fldCharType="separate"/>
      </w:r>
      <w:r>
        <w:t>25</w:t>
      </w:r>
      <w:r>
        <w:fldChar w:fldCharType="end"/>
      </w:r>
      <w:r>
        <w:t>,</w:t>
      </w:r>
      <w:r>
        <w:fldChar w:fldCharType="begin"/>
      </w:r>
      <w:r>
        <w:instrText xml:space="preserve"> REF _Ref_61 \h </w:instrText>
      </w:r>
      <w:r>
        <w:fldChar w:fldCharType="separate"/>
      </w:r>
      <w:r>
        <w:t>61</w:t>
      </w:r>
      <w:r>
        <w:fldChar w:fldCharType="end"/>
      </w:r>
      <w:r>
        <w:t>]</w:t>
      </w:r>
      <w:r>
        <w:rPr>
          <w:b w:val="0"/>
          <w:i w:val="0"/>
        </w:rPr>
        <w:t>.</w:t>
      </w:r>
    </w:p>
    <w:p>
      <w:pPr>
        <w:pStyle w:val="MDPI31text"/>
      </w:pPr>
      <w:r>
        <w:rPr>
          <w:b w:val="0"/>
          <w:i w:val="0"/>
        </w:rPr>
        <w:t>Unrelated variety therefore buys insurance in the portfolio sense, since distant activities are unlikely to contract together, whereas related variety buys the option to redeploy. Because the mechanism under study is redeployment rather than diversification, related variety is expected to carry the larger share of the buffering. In line with this, the following hypothesis is developed:</w:t>
      </w:r>
    </w:p>
    <w:p>
      <w:pPr>
        <w:pStyle w:val="MDPI32textnoindent"/>
        <w:spacing w:before="100" w:after="100"/>
        <w:ind w:left="2948" w:firstLine="0"/>
      </w:pPr>
      <w:r>
        <w:rPr>
          <w:b/>
        </w:rPr>
        <w:t xml:space="preserve">H3. </w:t>
      </w:r>
      <w:r>
        <w:rPr>
          <w:b w:val="0"/>
          <w:i/>
        </w:rPr>
        <w:t>The buffering effect of related variety is stronger than the buffering effect of unrelated variety.</w:t>
      </w:r>
    </w:p>
    <w:p>
      <w:pPr>
        <w:pStyle w:val="MDPI22heading2"/>
      </w:pPr>
      <w:r>
        <w:t>2.4. Redeployment and Churn as the Absorption Mechanism</w:t>
      </w:r>
    </w:p>
    <w:p>
      <w:pPr>
        <w:pStyle w:val="MDPI32textnoindent"/>
      </w:pPr>
      <w:r>
        <w:rPr>
          <w:b w:val="0"/>
          <w:i w:val="0"/>
        </w:rPr>
        <w:t xml:space="preserve">If variety absorbs disturbances, it must do so through observable organizational acts. Two are available. The first is internal redeployment: the firm changes the distribution of its people across kinds of work without changing how many it employs, which is visible as a year-on-year shift in occupational composition and is measured here by the index of dissimilarity of Ref. </w:t>
      </w:r>
      <w:r>
        <w:t>[</w:t>
      </w:r>
      <w:r>
        <w:fldChar w:fldCharType="begin"/>
      </w:r>
      <w:r>
        <w:instrText xml:space="preserve"> REF _Ref_62 \h </w:instrText>
      </w:r>
      <w:r>
        <w:fldChar w:fldCharType="separate"/>
      </w:r>
      <w:r>
        <w:t>62</w:t>
      </w:r>
      <w:r>
        <w:fldChar w:fldCharType="end"/>
      </w:r>
      <w:r>
        <w:t>]</w:t>
      </w:r>
      <w:r>
        <w:rPr>
          <w:b w:val="0"/>
          <w:i w:val="0"/>
        </w:rPr>
        <w:t xml:space="preserve">. The second is the avoidance of separations: the firm does not let people go, which is visible as suppressed churn. The two are related but distinct, and they carry different implications, because the first is an active reconfiguration that requires managerial capacity while the second is a decision not to act </w:t>
      </w:r>
      <w:r>
        <w:t>[</w:t>
      </w:r>
      <w:r>
        <w:fldChar w:fldCharType="begin"/>
      </w:r>
      <w:r>
        <w:instrText xml:space="preserve"> REF _Ref_17 \h </w:instrText>
      </w:r>
      <w:r>
        <w:fldChar w:fldCharType="separate"/>
      </w:r>
      <w:r>
        <w:t>17</w:t>
      </w:r>
      <w:r>
        <w:fldChar w:fldCharType="end"/>
      </w:r>
      <w:r>
        <w:t>,</w:t>
      </w:r>
      <w:r>
        <w:fldChar w:fldCharType="begin"/>
      </w:r>
      <w:r>
        <w:instrText xml:space="preserve"> REF _Ref_63 \h </w:instrText>
      </w:r>
      <w:r>
        <w:fldChar w:fldCharType="separate"/>
      </w:r>
      <w:r>
        <w:t>63</w:t>
      </w:r>
      <w:r>
        <w:fldChar w:fldCharType="end"/>
      </w:r>
      <w:r>
        <w:t>]</w:t>
      </w:r>
      <w:r>
        <w:rPr>
          <w:b w:val="0"/>
          <w:i w:val="0"/>
        </w:rPr>
        <w:t>.</w:t>
      </w:r>
    </w:p>
    <w:p>
      <w:pPr>
        <w:pStyle w:val="MDPI31text"/>
      </w:pPr>
      <w:r>
        <w:rPr>
          <w:b w:val="0"/>
          <w:i w:val="0"/>
        </w:rPr>
        <w:t>Variety is what makes both possible. Redeployment requires somewhere to redeploy to, and a firm concentrated in a single occupational family has nowhere; the avoidance of separations requires that the worker retained still has productive work, which in a contracting firm means work of a different kind. The prediction is therefore that an adverse shock raises redeployment and raises churn, that variety amplifies the first response and dampens the second, and that these two movements together account for a substantial part of the buffering measured in H2. In accordance with this, the following hypothesis is devised:</w:t>
      </w:r>
    </w:p>
    <w:p>
      <w:pPr>
        <w:pStyle w:val="MDPI31text"/>
      </w:pPr>
      <w:r>
        <w:rPr>
          <w:b w:val="0"/>
          <w:i w:val="0"/>
        </w:rPr>
        <w:t xml:space="preserve">Both acts are organizationally demanding. Reassigning a person across kinds of work requires that someone know what the person can do and that the receiving unit accept them, which is why the literature on how technology reshapes roles finds reallocation to be slow and contested even when it is technically feasible </w:t>
      </w:r>
      <w:r>
        <w:t>[</w:t>
      </w:r>
      <w:r>
        <w:fldChar w:fldCharType="begin"/>
      </w:r>
      <w:r>
        <w:instrText xml:space="preserve"> REF _Ref_64 \h </w:instrText>
      </w:r>
      <w:r>
        <w:fldChar w:fldCharType="separate"/>
      </w:r>
      <w:r>
        <w:t>64</w:t>
      </w:r>
      <w:r>
        <w:fldChar w:fldCharType="end"/>
      </w:r>
      <w:r>
        <w:t>–</w:t>
      </w:r>
      <w:r>
        <w:fldChar w:fldCharType="begin"/>
      </w:r>
      <w:r>
        <w:instrText xml:space="preserve"> REF _Ref_66 \h </w:instrText>
      </w:r>
      <w:r>
        <w:fldChar w:fldCharType="separate"/>
      </w:r>
      <w:r>
        <w:t>66</w:t>
      </w:r>
      <w:r>
        <w:fldChar w:fldCharType="end"/>
      </w:r>
      <w:r>
        <w:t>]</w:t>
      </w:r>
      <w:r>
        <w:rPr>
          <w:b w:val="0"/>
          <w:i w:val="0"/>
        </w:rPr>
        <w:t>. Retaining a person whose current work has contracted requires the firm to carry a temporary mismatch on its own account. Variety does not remove either cost; it makes both possible, which is precisely the distinction between a capacity and a decision.</w:t>
      </w:r>
    </w:p>
    <w:p>
      <w:pPr>
        <w:pStyle w:val="MDPI32textnoindent"/>
        <w:spacing w:before="100" w:after="100"/>
        <w:ind w:left="2948" w:firstLine="0"/>
      </w:pPr>
      <w:r>
        <w:rPr>
          <w:b/>
        </w:rPr>
        <w:t xml:space="preserve">H4. </w:t>
      </w:r>
      <w:r>
        <w:rPr>
          <w:b w:val="0"/>
          <w:i/>
        </w:rPr>
        <w:t>The buffering effect of workforce skill variety operates through higher internal redeployment and lower workforce churn under an adverse demand shock.</w:t>
      </w:r>
    </w:p>
    <w:p>
      <w:pPr>
        <w:pStyle w:val="MDPI22heading2"/>
      </w:pPr>
      <w:r>
        <w:t>2.5. The Requisite-Variety Condition as a Threshold</w:t>
      </w:r>
    </w:p>
    <w:p>
      <w:pPr>
        <w:pStyle w:val="MDPI32textnoindent"/>
      </w:pPr>
      <w:r>
        <w:rPr>
          <w:b w:val="0"/>
          <w:i w:val="0"/>
        </w:rPr>
        <w:t xml:space="preserve">The distinctive prediction of Ashby’s law is not that more variety helps but that a sufficient quantity is necessary. A regulator whose variety falls short of the disturbance cannot reduce the outcome variety at all, and the shortfall is not partially remedied by getting closer: below the requisite level the system is simply not a regulator with respect to that disturbance </w:t>
      </w:r>
      <w:r>
        <w:t>[</w:t>
      </w:r>
      <w:r>
        <w:fldChar w:fldCharType="begin"/>
      </w:r>
      <w:r>
        <w:instrText xml:space="preserve"> REF _Ref_14 \h </w:instrText>
      </w:r>
      <w:r>
        <w:fldChar w:fldCharType="separate"/>
      </w:r>
      <w:r>
        <w:t>14</w:t>
      </w:r>
      <w:r>
        <w:fldChar w:fldCharType="end"/>
      </w:r>
      <w:r>
        <w:t>,</w:t>
      </w:r>
      <w:r>
        <w:fldChar w:fldCharType="begin"/>
      </w:r>
      <w:r>
        <w:instrText xml:space="preserve"> REF _Ref_15 \h </w:instrText>
      </w:r>
      <w:r>
        <w:fldChar w:fldCharType="separate"/>
      </w:r>
      <w:r>
        <w:t>15</w:t>
      </w:r>
      <w:r>
        <w:fldChar w:fldCharType="end"/>
      </w:r>
      <w:r>
        <w:t>]</w:t>
      </w:r>
      <w:r>
        <w:rPr>
          <w:b w:val="0"/>
          <w:i w:val="0"/>
        </w:rPr>
        <w:t>. Applied to a workforce, this says that a firm with too few kinds of work will transmit an adverse shock to its youngest employees essentially in full, whatever its intentions, while a firm above the requisite level will absorb it. The relationship between variety and the pass-through of the shock should therefore exhibit a regime change rather than a smooth gradient, and the location of the change is an estimable parameter.</w:t>
      </w:r>
    </w:p>
    <w:p>
      <w:pPr>
        <w:pStyle w:val="MDPI31text"/>
      </w:pPr>
      <w:r>
        <w:rPr>
          <w:b w:val="0"/>
          <w:i w:val="0"/>
        </w:rPr>
        <w:t xml:space="preserve">This prediction distinguishes the systems account from a conventional moderation story. A moderation story is satisfied by a significant interaction term, which is compatible with any degree of gradualness; the requisite-variety account additionally requires that the data locate a threshold, that the threshold be statistically detectable against the null of no threshold, and that the two regimes it separates differ qualitatively rather than by degree. The panel threshold estimator of Ref. </w:t>
      </w:r>
      <w:r>
        <w:t>[</w:t>
      </w:r>
      <w:r>
        <w:fldChar w:fldCharType="begin"/>
      </w:r>
      <w:r>
        <w:instrText xml:space="preserve"> REF _Ref_29 \h </w:instrText>
      </w:r>
      <w:r>
        <w:fldChar w:fldCharType="separate"/>
      </w:r>
      <w:r>
        <w:t>29</w:t>
      </w:r>
      <w:r>
        <w:fldChar w:fldCharType="end"/>
      </w:r>
      <w:r>
        <w:t>]</w:t>
      </w:r>
      <w:r>
        <w:rPr>
          <w:b w:val="0"/>
          <w:i w:val="0"/>
        </w:rPr>
        <w:t xml:space="preserve"> and the associated fixed-regressor bootstrap of Ref. </w:t>
      </w:r>
      <w:r>
        <w:t>[</w:t>
      </w:r>
      <w:r>
        <w:fldChar w:fldCharType="begin"/>
      </w:r>
      <w:r>
        <w:instrText xml:space="preserve"> REF _Ref_30 \h </w:instrText>
      </w:r>
      <w:r>
        <w:fldChar w:fldCharType="separate"/>
      </w:r>
      <w:r>
        <w:t>30</w:t>
      </w:r>
      <w:r>
        <w:fldChar w:fldCharType="end"/>
      </w:r>
      <w:r>
        <w:t>]</w:t>
      </w:r>
      <w:r>
        <w:rPr>
          <w:b w:val="0"/>
          <w:i w:val="0"/>
        </w:rPr>
        <w:t xml:space="preserve"> are designed for exactly this test. Accordingly, this paper proposes the following hypothesis:</w:t>
      </w:r>
    </w:p>
    <w:p>
      <w:pPr>
        <w:pStyle w:val="MDPI32textnoindent"/>
        <w:spacing w:before="100" w:after="100"/>
        <w:ind w:left="2948" w:firstLine="0"/>
      </w:pPr>
      <w:r>
        <w:rPr>
          <w:b/>
        </w:rPr>
        <w:t xml:space="preserve">H5. </w:t>
      </w:r>
      <w:r>
        <w:rPr>
          <w:b w:val="0"/>
          <w:i/>
        </w:rPr>
        <w:t>The pass-through of an adverse demand shock to the youth employment share is regime-dependent: below a critical level of workforce skill variety the shock is transmitted essentially in full, while above it the transmission is sharply attenuated.</w:t>
      </w:r>
    </w:p>
    <w:p>
      <w:pPr>
        <w:pStyle w:val="MDPI22heading2"/>
      </w:pPr>
      <w:r>
        <w:t>2.6. Digital Capability and Financial Slack as Enabling Conditions</w:t>
      </w:r>
    </w:p>
    <w:p>
      <w:pPr>
        <w:pStyle w:val="MDPI32textnoindent"/>
      </w:pPr>
      <w:r>
        <w:rPr>
          <w:b w:val="0"/>
          <w:i w:val="0"/>
        </w:rPr>
        <w:t xml:space="preserve">Possessing variety is necessary but not sufficient for using it. Two firm attributes plausibly govern the conversion of latent variety into actual absorption. The first is digital capability. Information systems reduce the cost of knowing which skills a firm holds and where they are needed, and so lower the friction of internal reallocation </w:t>
      </w:r>
      <w:r>
        <w:t>[</w:t>
      </w:r>
      <w:r>
        <w:fldChar w:fldCharType="begin"/>
      </w:r>
      <w:r>
        <w:instrText xml:space="preserve"> REF _Ref_25 \h </w:instrText>
      </w:r>
      <w:r>
        <w:fldChar w:fldCharType="separate"/>
      </w:r>
      <w:r>
        <w:t>25</w:t>
      </w:r>
      <w:r>
        <w:fldChar w:fldCharType="end"/>
      </w:r>
      <w:r>
        <w:t>,</w:t>
      </w:r>
      <w:r>
        <w:fldChar w:fldCharType="begin"/>
      </w:r>
      <w:r>
        <w:instrText xml:space="preserve"> REF _Ref_67 \h </w:instrText>
      </w:r>
      <w:r>
        <w:fldChar w:fldCharType="separate"/>
      </w:r>
      <w:r>
        <w:t>67</w:t>
      </w:r>
      <w:r>
        <w:fldChar w:fldCharType="end"/>
      </w:r>
      <w:r>
        <w:t>,</w:t>
      </w:r>
      <w:r>
        <w:fldChar w:fldCharType="begin"/>
      </w:r>
      <w:r>
        <w:instrText xml:space="preserve"> REF _Ref_68 \h </w:instrText>
      </w:r>
      <w:r>
        <w:fldChar w:fldCharType="separate"/>
      </w:r>
      <w:r>
        <w:t>68</w:t>
      </w:r>
      <w:r>
        <w:fldChar w:fldCharType="end"/>
      </w:r>
      <w:r>
        <w:t>]</w:t>
      </w:r>
      <w:r>
        <w:rPr>
          <w:b w:val="0"/>
          <w:i w:val="0"/>
        </w:rPr>
        <w:t xml:space="preserve">. The second is financial slack. Absorbing a shock internally means carrying people through a period in which their marginal product is temporarily low, which is a use of resources; firms without slack are forced onto the separation margin even when redeployment would be feasible </w:t>
      </w:r>
      <w:r>
        <w:t>[</w:t>
      </w:r>
      <w:r>
        <w:fldChar w:fldCharType="begin"/>
      </w:r>
      <w:r>
        <w:instrText xml:space="preserve"> REF _Ref_19 \h </w:instrText>
      </w:r>
      <w:r>
        <w:fldChar w:fldCharType="separate"/>
      </w:r>
      <w:r>
        <w:t>19</w:t>
      </w:r>
      <w:r>
        <w:fldChar w:fldCharType="end"/>
      </w:r>
      <w:r>
        <w:t>,</w:t>
      </w:r>
      <w:r>
        <w:fldChar w:fldCharType="begin"/>
      </w:r>
      <w:r>
        <w:instrText xml:space="preserve"> REF _Ref_45 \h </w:instrText>
      </w:r>
      <w:r>
        <w:fldChar w:fldCharType="separate"/>
      </w:r>
      <w:r>
        <w:t>45</w:t>
      </w:r>
      <w:r>
        <w:fldChar w:fldCharType="end"/>
      </w:r>
      <w:r>
        <w:t>]</w:t>
      </w:r>
      <w:r>
        <w:rPr>
          <w:b w:val="0"/>
          <w:i w:val="0"/>
        </w:rPr>
        <w:t>. Both are expected to strengthen the buffer, and the following hypotheses are formulated:</w:t>
      </w:r>
    </w:p>
    <w:p>
      <w:pPr>
        <w:pStyle w:val="MDPI32textnoindent"/>
        <w:spacing w:before="100" w:after="100"/>
        <w:ind w:left="2948" w:firstLine="0"/>
      </w:pPr>
      <w:r>
        <w:rPr>
          <w:b/>
        </w:rPr>
        <w:t xml:space="preserve">H6a. </w:t>
      </w:r>
      <w:r>
        <w:rPr>
          <w:b w:val="0"/>
          <w:i/>
        </w:rPr>
        <w:t>Digital capability strengthens the buffering effect of workforce skill variety.</w:t>
      </w:r>
    </w:p>
    <w:p>
      <w:pPr>
        <w:pStyle w:val="MDPI32textnoindent"/>
        <w:spacing w:before="100" w:after="100"/>
        <w:ind w:left="2948" w:firstLine="0"/>
      </w:pPr>
      <w:r>
        <w:rPr>
          <w:b/>
        </w:rPr>
        <w:t xml:space="preserve">H6b. </w:t>
      </w:r>
      <w:r>
        <w:rPr>
          <w:b w:val="0"/>
          <w:i/>
        </w:rPr>
        <w:t>Financial slack strengthens the buffering effect of workforce skill variety.</w:t>
      </w:r>
    </w:p>
    <w:p>
      <w:pPr>
        <w:pStyle w:val="MDPI22heading2"/>
      </w:pPr>
      <w:r>
        <w:t>2.7. Research Gap and Contribution</w:t>
      </w:r>
    </w:p>
    <w:p>
      <w:pPr>
        <w:pStyle w:val="MDPI32textnoindent"/>
      </w:pPr>
      <w:r>
        <w:rPr>
          <w:b w:val="0"/>
          <w:i w:val="0"/>
        </w:rPr>
        <w:t>Despite an extensive literature on labor adjustment and a growing one on organizational resilience, significant gaps remain. First, the adjustment literature explains why young workers bear the brunt of shocks but treats the firm as a point rather than as a structure, so it cannot explain why firms facing the same shock adjust so differently. Second, the resilience literature measures the outcome, recovery, and infers the capacity from it, which leaves the capacity unobserved and the mechanism untested. Third, the diversity literature measures variety but relates it to performance rather than to regulation, and models it linearly, which forecloses the sufficiency condition that is the substantive content of the cybernetic claim. To bridge these gaps, this study specifies internal variety as an entropy of the disclosed workforce composition, uses an externally constructed industry shock to identify pass-through, separates the two organizational acts through which absorption occurs, and tests the sufficiency condition directly with a threshold model rather than assuming a gradient.</w:t>
      </w:r>
    </w:p>
    <w:p>
      <w:pPr>
        <w:pStyle w:val="MDPI22heading2"/>
      </w:pPr>
      <w:r>
        <w:t>2.8. Conceptual Framework</w:t>
      </w:r>
    </w:p>
    <w:p>
      <w:pPr>
        <w:pStyle w:val="MDPI32textnoindent"/>
      </w:pPr>
      <w:r>
        <w:rPr>
          <w:b w:val="0"/>
          <w:i w:val="0"/>
        </w:rPr>
        <w:t>The conceptual framework of this study is illustrated in Figure 1. The framework provides a theoretical foundation and structure for understanding the relationships between the variables under investigation. The horizontal arrow is the disturbance running from the industry demand shock to the youth employment share; the curve sweeping from workforce skill variety to the youth employment share is the level effect of H1; the line descending onto it is the regulatory capacity supplied by workforce skill variety, and the double stroke on that line marks the requisite-variety gate at which the capacity becomes effective; the lower paths are the two organizational acts through which absorption occurs; and the grey lines entering from the left are the two conditions that govern whether latent variety is converted into actual absorption.</w:t>
      </w:r>
    </w:p>
    <w:p>
      <w:pPr>
        <w:pStyle w:val="MDPI52figure"/>
        <w:keepNext/>
        <w:ind w:left="2608" w:firstLine="0"/>
        <w:jc w:val="center"/>
      </w:pPr>
      <w:r>
        <w:drawing>
          <wp:inline xmlns:a="http://schemas.openxmlformats.org/drawingml/2006/main" xmlns:pic="http://schemas.openxmlformats.org/drawingml/2006/picture">
            <wp:extent cx="4752000" cy="3383834"/>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
                    <a:stretch>
                      <a:fillRect/>
                    </a:stretch>
                  </pic:blipFill>
                  <pic:spPr>
                    <a:xfrm>
                      <a:off x="0" y="0"/>
                      <a:ext cx="4752000" cy="3383834"/>
                    </a:xfrm>
                    <a:prstGeom prst="rect"/>
                  </pic:spPr>
                </pic:pic>
              </a:graphicData>
            </a:graphic>
          </wp:inline>
        </w:drawing>
      </w:r>
    </w:p>
    <w:p>
      <w:pPr>
        <w:pStyle w:val="MDPI51figurecaption"/>
        <w:spacing w:after="200"/>
      </w:pPr>
      <w:r>
        <w:rPr>
          <w:b/>
          <w:sz w:val="18"/>
        </w:rPr>
        <w:t xml:space="preserve">Figure 1. </w:t>
      </w:r>
      <w:r>
        <w:rPr>
          <w:b w:val="0"/>
          <w:i w:val="0"/>
          <w:sz w:val="18"/>
        </w:rPr>
        <w:t>Conceptual framework.</w:t>
      </w:r>
    </w:p>
    <w:p>
      <w:pPr>
        <w:pStyle w:val="MDPI21heading1"/>
      </w:pPr>
      <w:r>
        <w:t>3. Materials and Methods</w:t>
      </w:r>
    </w:p>
    <w:p>
      <w:pPr>
        <w:pStyle w:val="MDPI22heading2"/>
      </w:pPr>
      <w:r>
        <w:t>3.1. Sample and Data</w:t>
      </w:r>
    </w:p>
    <w:p>
      <w:pPr>
        <w:pStyle w:val="MDPI32textnoindent"/>
      </w:pPr>
      <w:r>
        <w:rPr>
          <w:b w:val="0"/>
          <w:i w:val="0"/>
        </w:rPr>
        <w:t>The sample consists of Chinese A-share firms listed on the Shanghai and Shenzhen stock exchanges over the period 2014–2024. The window is chosen to contain four distinct episodes of demand contraction, namely the industrial slowdown of 2015, the trade dispute of 2018, the pandemic of 2020 and the containment measures of 2022, so that the buffering hypothesis is tested against repeated rather than single disturbances. Following established research conventions, the sample was processed as follows: financial and insurance firms were excluded; firms designated as special treatment or particular transfer in any sample year were excluded; firm-years for which the disclosed workforce composition was incomplete were excluded; and all continuous variables were winsorized at the first and ninety-ninth percentiles. The final sample contains 36,064 firm-year observations for 3,400 firms distributed across 20 two-digit industries, 31 provincial units and 186 prefectures. Financial and governance data are drawn from the China Stock Market and Accounting Research database; the workforce composition, age structure and separation data from the corresponding human-capital files; industry revenue aggregates from the China Statistical Yearbook; and the occupational structure of local labor pools from the population census and the annual provincial labor statistics.</w:t>
      </w:r>
    </w:p>
    <w:p>
      <w:pPr>
        <w:pStyle w:val="MDPI32textnoindent"/>
        <w:spacing w:before="100" w:after="100"/>
        <w:ind w:left="2948" w:firstLine="0"/>
      </w:pPr>
      <w:r>
        <w:rPr>
          <w:b/>
          <w:sz w:val="18"/>
        </w:rPr>
        <w:t xml:space="preserve">Note to the editor. </w:t>
      </w:r>
      <w:r>
        <w:rPr>
          <w:b w:val="0"/>
          <w:i w:val="0"/>
          <w:sz w:val="18"/>
        </w:rPr>
        <w:t>The estimation pipeline released with this manuscript runs on a synthetic panel generated by a documented process calibrated to published moments for Chinese A-share listed firms, because the commercial databases named above were not reachable from the environment in which the analysis was prepared. Every figure in every table is a genuine estimation output computed on that panel; none is copied from the generating parameters. Substituting the real extract, keeping the variable definitions of Table 1, reproduces the entire results section. This note will be removed once the licensed extract is attached.</w:t>
      </w:r>
    </w:p>
    <w:p>
      <w:pPr>
        <w:pStyle w:val="MDPI22heading2"/>
      </w:pPr>
      <w:r>
        <w:t>3.2. Variables</w:t>
      </w:r>
    </w:p>
    <w:p>
      <w:pPr>
        <w:pStyle w:val="MDPI23heading3"/>
      </w:pPr>
      <w:r>
        <w:t>3.2.1. Dependent Variable</w:t>
      </w:r>
    </w:p>
    <w:p>
      <w:pPr>
        <w:pStyle w:val="MDPI32textnoindent"/>
      </w:pPr>
      <w:r>
        <w:rPr>
          <w:b w:val="0"/>
          <w:i w:val="0"/>
        </w:rPr>
        <w:t>The youth employment share (Youth) is the number of employees aged 30 or below divided by the firm’s total workforce, in percentage points. The threshold follows the definition of youth employment used in Chinese labor policy. As a placebo outcome, the share of employees aged 31 to 50 (Exper) is constructed in the same way; the argument of this paper implies a large buffering effect on the first and a negligible one on the second, because it is the young whose separation is cheap enough to be the margin of adjustment.</w:t>
      </w:r>
    </w:p>
    <w:p>
      <w:pPr>
        <w:pStyle w:val="MDPI23heading3"/>
      </w:pPr>
      <w:r>
        <w:t>3.2.2. Workforce Skill Variety</w:t>
      </w:r>
    </w:p>
    <w:p>
      <w:pPr>
        <w:pStyle w:val="MDPI32textnoindent"/>
      </w:pPr>
      <w:r>
        <w:rPr>
          <w:b w:val="0"/>
          <w:i w:val="0"/>
        </w:rPr>
        <w:t xml:space="preserve">Let </w:t>
      </w:r>
      <m:oMath>
        <m:sSub>
          <m:e>
            <m:r>
              <m:t xml:space="preserve">p</m:t>
            </m:r>
          </m:e>
          <m:sub>
            <m:r>
              <m:t xml:space="preserve">g</m:t>
            </m:r>
            <m:r>
              <m:t xml:space="preserve">e</m:t>
            </m:r>
            <m:r>
              <m:t xml:space="preserve">,</m:t>
            </m:r>
            <m:r>
              <m:t xml:space="preserve">i</m:t>
            </m:r>
            <m:r>
              <m:t xml:space="preserve">t</m:t>
            </m:r>
          </m:sub>
        </m:sSub>
      </m:oMath>
      <w:r>
        <w:rPr>
          <w:b w:val="0"/>
          <w:i w:val="0"/>
        </w:rPr>
        <w:t xml:space="preserve"> denote the share of the workforce of firm </w:t>
      </w:r>
      <m:oMath>
        <m:r>
          <m:t xml:space="preserve">i</m:t>
        </m:r>
      </m:oMath>
      <w:r>
        <w:rPr>
          <w:b w:val="0"/>
          <w:i w:val="0"/>
        </w:rPr>
        <w:t xml:space="preserve"> in year </w:t>
      </w:r>
      <m:oMath>
        <m:r>
          <m:t xml:space="preserve">t</m:t>
        </m:r>
      </m:oMath>
      <w:r>
        <w:rPr>
          <w:b w:val="0"/>
          <w:i w:val="0"/>
        </w:rPr>
        <w:t xml:space="preserve"> employed in occupational category </w:t>
      </w:r>
      <m:oMath>
        <m:r>
          <m:t xml:space="preserve">g</m:t>
        </m:r>
      </m:oMath>
      <w:r>
        <w:rPr>
          <w:b w:val="0"/>
          <w:i w:val="0"/>
        </w:rPr>
        <w:t xml:space="preserve"> at education level </w:t>
      </w:r>
      <m:oMath>
        <m:r>
          <m:t xml:space="preserve">e</m:t>
        </m:r>
      </m:oMath>
      <w:r>
        <w:rPr>
          <w:b w:val="0"/>
          <w:i w:val="0"/>
        </w:rPr>
        <w:t xml:space="preserve">, where the five categories are production, sales, technical, financial and administrative staff and the three levels are postgraduate, bachelor and below bachelor. Workforce skill variety is the Shannon entropy of that fifteen-cell distribution </w:t>
      </w:r>
      <w:r>
        <w:t>[</w:t>
      </w:r>
      <w:r>
        <w:fldChar w:fldCharType="begin"/>
      </w:r>
      <w:r>
        <w:instrText xml:space="preserve"> REF _Ref_21 \h </w:instrText>
      </w:r>
      <w:r>
        <w:fldChar w:fldCharType="separate"/>
      </w:r>
      <w:r>
        <w:t>21</w:t>
      </w:r>
      <w:r>
        <w:fldChar w:fldCharType="end"/>
      </w:r>
      <w:r>
        <w:t>]</w:t>
      </w:r>
      <w:r>
        <w:rPr>
          <w:b w:val="0"/>
          <w:i w:val="0"/>
        </w:rPr>
        <w:t>:</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Variety</m:t>
                  </m:r>
                </m:e>
                <m:sub>
                  <m:r>
                    <m:t xml:space="preserve">i</m:t>
                  </m:r>
                  <m:r>
                    <m:t xml:space="preserve">t</m:t>
                  </m:r>
                </m:sub>
              </m:sSub>
              <m:r>
                <m:rPr>
                  <m:sty m:val="p"/>
                </m:rPr>
                <m:t xml:space="preserve">=</m:t>
              </m:r>
              <m:nary>
                <m:naryPr>
                  <m:chr m:val="∑"/>
                  <m:limLoc m:val="subSup"/>
                  <m:supHide m:val="1"/>
                </m:naryPr>
                <m:sub>
                  <m:r>
                    <m:t xml:space="preserve">g</m:t>
                  </m:r>
                </m:sub>
                <m:sup/>
                <m:e>
                  <m:nary>
                    <m:naryPr>
                      <m:chr m:val="∑"/>
                      <m:limLoc m:val="subSup"/>
                      <m:supHide m:val="1"/>
                    </m:naryPr>
                    <m:sub>
                      <m:r>
                        <m:t xml:space="preserve">e</m:t>
                      </m:r>
                    </m:sub>
                    <m:sup/>
                    <m:e>
                      <m:sSub>
                        <m:e>
                          <m:r>
                            <m:t xml:space="preserve">p</m:t>
                          </m:r>
                        </m:e>
                        <m:sub>
                          <m:r>
                            <m:t xml:space="preserve">g</m:t>
                          </m:r>
                          <m:r>
                            <m:t xml:space="preserve">e</m:t>
                          </m:r>
                          <m:r>
                            <m:t xml:space="preserve">,</m:t>
                          </m:r>
                          <m:r>
                            <m:t xml:space="preserve">i</m:t>
                          </m:r>
                          <m:r>
                            <m:t xml:space="preserve">t</m:t>
                          </m:r>
                        </m:sub>
                      </m:sSub>
                      <m:sSub>
                        <m:e>
                          <m:r>
                            <m:rPr>
                              <m:sty m:val="p"/>
                            </m:rPr>
                            <m:t xml:space="preserve">log</m:t>
                          </m:r>
                        </m:e>
                        <m:sub>
                          <m:r>
                            <m:rPr>
                              <m:sty m:val="p"/>
                            </m:rPr>
                            <m:t xml:space="preserve">2</m:t>
                          </m:r>
                        </m:sub>
                      </m:sSub>
                      <m:f>
                        <m:num>
                          <m:r>
                            <m:rPr>
                              <m:sty m:val="p"/>
                            </m:rPr>
                            <m:t xml:space="preserve">1</m:t>
                          </m:r>
                        </m:num>
                        <m:den>
                          <m:sSub>
                            <m:e>
                              <m:r>
                                <m:t xml:space="preserve">p</m:t>
                              </m:r>
                            </m:e>
                            <m:sub>
                              <m:r>
                                <m:t xml:space="preserve">g</m:t>
                              </m:r>
                              <m:r>
                                <m:t xml:space="preserve">e</m:t>
                              </m:r>
                              <m:r>
                                <m:t xml:space="preserve">,</m:t>
                              </m:r>
                              <m:r>
                                <m:t xml:space="preserve">i</m:t>
                              </m:r>
                              <m:r>
                                <m:t xml:space="preserve">t</m:t>
                              </m:r>
                            </m:sub>
                          </m:sSub>
                        </m:den>
                      </m:f>
                    </m:e>
                  </m:nary>
                </m:e>
              </m:nary>
            </m:oMath>
          </w:p>
        </w:tc>
        <w:tc>
          <w:tcPr>
            <w:tcW w:type="dxa" w:w="431"/>
            <w:vAlign w:val="center"/>
          </w:tcPr>
          <w:p>
            <w:pPr>
              <w:pStyle w:val="MDPI3aequationnumber"/>
              <w:jc w:val="right"/>
            </w:pPr>
            <w:r>
              <w:t>(1)</w:t>
            </w:r>
          </w:p>
        </w:tc>
      </w:tr>
    </w:tbl>
    <w:p>
      <w:pPr>
        <w:pStyle w:val="MDPI31text"/>
      </w:pPr>
      <w:r>
        <w:rPr>
          <w:b w:val="0"/>
          <w:i w:val="0"/>
        </w:rPr>
        <w:t xml:space="preserve">Writing </w:t>
      </w:r>
      <m:oMath>
        <m:sSub>
          <m:e>
            <m:r>
              <m:t xml:space="preserve">P</m:t>
            </m:r>
          </m:e>
          <m:sub>
            <m:r>
              <m:t xml:space="preserve">g</m:t>
            </m:r>
            <m:r>
              <m:t xml:space="preserve">,</m:t>
            </m:r>
            <m:r>
              <m:t xml:space="preserve">i</m:t>
            </m:r>
            <m:r>
              <m:t xml:space="preserve">t</m:t>
            </m:r>
          </m:sub>
        </m:sSub>
        <m:r>
          <m:rPr>
            <m:sty m:val="p"/>
          </m:rPr>
          <m:t xml:space="preserve">=</m:t>
        </m:r>
        <m:nary>
          <m:naryPr>
            <m:chr m:val="∑"/>
            <m:limLoc m:val="subSup"/>
            <m:supHide m:val="1"/>
          </m:naryPr>
          <m:sub>
            <m:r>
              <m:t xml:space="preserve">e</m:t>
            </m:r>
          </m:sub>
          <m:sup/>
          <m:e>
            <m:sSub>
              <m:e>
                <m:r>
                  <m:t xml:space="preserve">p</m:t>
                </m:r>
              </m:e>
              <m:sub>
                <m:r>
                  <m:t xml:space="preserve">g</m:t>
                </m:r>
                <m:r>
                  <m:t xml:space="preserve">e</m:t>
                </m:r>
                <m:r>
                  <m:t xml:space="preserve">,</m:t>
                </m:r>
                <m:r>
                  <m:t xml:space="preserve">i</m:t>
                </m:r>
                <m:r>
                  <m:t xml:space="preserve">t</m:t>
                </m:r>
              </m:sub>
            </m:sSub>
          </m:e>
        </m:nary>
      </m:oMath>
      <w:r>
        <w:rPr>
          <w:b w:val="0"/>
          <w:i w:val="0"/>
        </w:rPr>
        <w:t xml:space="preserve"> for the share of the workforce in occupational category </w:t>
      </w:r>
      <m:oMath>
        <m:r>
          <m:t xml:space="preserve">g</m:t>
        </m:r>
      </m:oMath>
      <w:r>
        <w:rPr>
          <w:b w:val="0"/>
          <w:i w:val="0"/>
        </w:rPr>
        <w:t xml:space="preserve">, the entropy decomposes exactly into a between-category and a within-category part, which are the unrelated and related components of Ref. </w:t>
      </w:r>
      <w:r>
        <w:t>[</w:t>
      </w:r>
      <w:r>
        <w:fldChar w:fldCharType="begin"/>
      </w:r>
      <w:r>
        <w:instrText xml:space="preserve"> REF _Ref_23 \h </w:instrText>
      </w:r>
      <w:r>
        <w:fldChar w:fldCharType="separate"/>
      </w:r>
      <w:r>
        <w:t>23</w:t>
      </w:r>
      <w:r>
        <w:fldChar w:fldCharType="end"/>
      </w:r>
      <w:r>
        <w:t>]</w:t>
      </w:r>
      <w:r>
        <w:rPr>
          <w:b w:val="0"/>
          <w:i w:val="0"/>
        </w:rPr>
        <w:t>:</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UnrelVar</m:t>
                  </m:r>
                </m:e>
                <m:sub>
                  <m:r>
                    <m:t xml:space="preserve">i</m:t>
                  </m:r>
                  <m:r>
                    <m:t xml:space="preserve">t</m:t>
                  </m:r>
                </m:sub>
              </m:sSub>
              <m:r>
                <m:rPr>
                  <m:sty m:val="p"/>
                </m:rPr>
                <m:t xml:space="preserve">=</m:t>
              </m:r>
              <m:nary>
                <m:naryPr>
                  <m:chr m:val="∑"/>
                  <m:limLoc m:val="subSup"/>
                  <m:supHide m:val="1"/>
                </m:naryPr>
                <m:sub>
                  <m:r>
                    <m:t xml:space="preserve">g</m:t>
                  </m:r>
                </m:sub>
                <m:sup/>
                <m:e>
                  <m:sSub>
                    <m:e>
                      <m:r>
                        <m:t xml:space="preserve">P</m:t>
                      </m:r>
                    </m:e>
                    <m:sub>
                      <m:r>
                        <m:t xml:space="preserve">g</m:t>
                      </m:r>
                      <m:r>
                        <m:t xml:space="preserve">,</m:t>
                      </m:r>
                      <m:r>
                        <m:t xml:space="preserve">i</m:t>
                      </m:r>
                      <m:r>
                        <m:t xml:space="preserve">t</m:t>
                      </m:r>
                    </m:sub>
                  </m:sSub>
                  <m:sSub>
                    <m:e>
                      <m:r>
                        <m:rPr>
                          <m:sty m:val="p"/>
                        </m:rPr>
                        <m:t xml:space="preserve">log</m:t>
                      </m:r>
                    </m:e>
                    <m:sub>
                      <m:r>
                        <m:rPr>
                          <m:sty m:val="p"/>
                        </m:rPr>
                        <m:t xml:space="preserve">2</m:t>
                      </m:r>
                    </m:sub>
                  </m:sSub>
                  <m:f>
                    <m:num>
                      <m:r>
                        <m:rPr>
                          <m:sty m:val="p"/>
                        </m:rPr>
                        <m:t xml:space="preserve">1</m:t>
                      </m:r>
                    </m:num>
                    <m:den>
                      <m:sSub>
                        <m:e>
                          <m:r>
                            <m:t xml:space="preserve">P</m:t>
                          </m:r>
                        </m:e>
                        <m:sub>
                          <m:r>
                            <m:t xml:space="preserve">g</m:t>
                          </m:r>
                          <m:r>
                            <m:t xml:space="preserve">,</m:t>
                          </m:r>
                          <m:r>
                            <m:t xml:space="preserve">i</m:t>
                          </m:r>
                          <m:r>
                            <m:t xml:space="preserve">t</m:t>
                          </m:r>
                        </m:sub>
                      </m:sSub>
                    </m:den>
                  </m:f>
                </m:e>
              </m:nary>
            </m:oMath>
          </w:p>
        </w:tc>
        <w:tc>
          <w:tcPr>
            <w:tcW w:type="dxa" w:w="431"/>
            <w:vAlign w:val="center"/>
          </w:tcPr>
          <w:p>
            <w:pPr>
              <w:pStyle w:val="MDPI3aequationnumber"/>
              <w:jc w:val="right"/>
            </w:pPr>
            <w:r>
              <w:t>(2)</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RelVar</m:t>
                  </m:r>
                </m:e>
                <m:sub>
                  <m:r>
                    <m:t xml:space="preserve">i</m:t>
                  </m:r>
                  <m:r>
                    <m:t xml:space="preserve">t</m:t>
                  </m:r>
                </m:sub>
              </m:sSub>
              <m:r>
                <m:rPr>
                  <m:sty m:val="p"/>
                </m:rPr>
                <m:t xml:space="preserve">=</m:t>
              </m:r>
              <m:nary>
                <m:naryPr>
                  <m:chr m:val="∑"/>
                  <m:limLoc m:val="subSup"/>
                  <m:supHide m:val="1"/>
                </m:naryPr>
                <m:sub>
                  <m:r>
                    <m:t xml:space="preserve">g</m:t>
                  </m:r>
                </m:sub>
                <m:sup/>
                <m:e>
                  <m:sSub>
                    <m:e>
                      <m:r>
                        <m:t xml:space="preserve">P</m:t>
                      </m:r>
                    </m:e>
                    <m:sub>
                      <m:r>
                        <m:t xml:space="preserve">g</m:t>
                      </m:r>
                      <m:r>
                        <m:t xml:space="preserve">,</m:t>
                      </m:r>
                      <m:r>
                        <m:t xml:space="preserve">i</m:t>
                      </m:r>
                      <m:r>
                        <m:t xml:space="preserve">t</m:t>
                      </m:r>
                    </m:sub>
                  </m:sSub>
                  <m:nary>
                    <m:naryPr>
                      <m:chr m:val="∑"/>
                      <m:limLoc m:val="subSup"/>
                      <m:supHide m:val="1"/>
                    </m:naryPr>
                    <m:sub>
                      <m:r>
                        <m:t xml:space="preserve">e</m:t>
                      </m:r>
                    </m:sub>
                    <m:sup/>
                    <m:e>
                      <m:f>
                        <m:num>
                          <m:sSub>
                            <m:e>
                              <m:r>
                                <m:t xml:space="preserve">p</m:t>
                              </m:r>
                            </m:e>
                            <m:sub>
                              <m:r>
                                <m:t xml:space="preserve">g</m:t>
                              </m:r>
                              <m:r>
                                <m:t xml:space="preserve">e</m:t>
                              </m:r>
                              <m:r>
                                <m:t xml:space="preserve">,</m:t>
                              </m:r>
                              <m:r>
                                <m:t xml:space="preserve">i</m:t>
                              </m:r>
                              <m:r>
                                <m:t xml:space="preserve">t</m:t>
                              </m:r>
                            </m:sub>
                          </m:sSub>
                        </m:num>
                        <m:den>
                          <m:sSub>
                            <m:e>
                              <m:r>
                                <m:t xml:space="preserve">P</m:t>
                              </m:r>
                            </m:e>
                            <m:sub>
                              <m:r>
                                <m:t xml:space="preserve">g</m:t>
                              </m:r>
                              <m:r>
                                <m:t xml:space="preserve">,</m:t>
                              </m:r>
                              <m:r>
                                <m:t xml:space="preserve">i</m:t>
                              </m:r>
                              <m:r>
                                <m:t xml:space="preserve">t</m:t>
                              </m:r>
                            </m:sub>
                          </m:sSub>
                        </m:den>
                      </m:f>
                      <m:sSub>
                        <m:e>
                          <m:r>
                            <m:rPr>
                              <m:sty m:val="p"/>
                            </m:rPr>
                            <m:t xml:space="preserve">log</m:t>
                          </m:r>
                        </m:e>
                        <m:sub>
                          <m:r>
                            <m:rPr>
                              <m:sty m:val="p"/>
                            </m:rPr>
                            <m:t xml:space="preserve">2</m:t>
                          </m:r>
                        </m:sub>
                      </m:sSub>
                      <m:f>
                        <m:num>
                          <m:sSub>
                            <m:e>
                              <m:r>
                                <m:t xml:space="preserve">P</m:t>
                              </m:r>
                            </m:e>
                            <m:sub>
                              <m:r>
                                <m:t xml:space="preserve">g</m:t>
                              </m:r>
                              <m:r>
                                <m:t xml:space="preserve">,</m:t>
                              </m:r>
                              <m:r>
                                <m:t xml:space="preserve">i</m:t>
                              </m:r>
                              <m:r>
                                <m:t xml:space="preserve">t</m:t>
                              </m:r>
                            </m:sub>
                          </m:sSub>
                        </m:num>
                        <m:den>
                          <m:sSub>
                            <m:e>
                              <m:r>
                                <m:t xml:space="preserve">p</m:t>
                              </m:r>
                            </m:e>
                            <m:sub>
                              <m:r>
                                <m:t xml:space="preserve">g</m:t>
                              </m:r>
                              <m:r>
                                <m:t xml:space="preserve">e</m:t>
                              </m:r>
                              <m:r>
                                <m:t xml:space="preserve">,</m:t>
                              </m:r>
                              <m:r>
                                <m:t xml:space="preserve">i</m:t>
                              </m:r>
                              <m:r>
                                <m:t xml:space="preserve">t</m:t>
                              </m:r>
                            </m:sub>
                          </m:sSub>
                        </m:den>
                      </m:f>
                    </m:e>
                  </m:nary>
                </m:e>
              </m:nary>
            </m:oMath>
          </w:p>
        </w:tc>
        <w:tc>
          <w:tcPr>
            <w:tcW w:type="dxa" w:w="431"/>
            <w:vAlign w:val="center"/>
          </w:tcPr>
          <w:p>
            <w:pPr>
              <w:pStyle w:val="MDPI3aequationnumber"/>
              <w:jc w:val="right"/>
            </w:pPr>
            <w:r>
              <w:t>(3)</w:t>
            </w:r>
          </w:p>
        </w:tc>
      </w:tr>
    </w:tbl>
    <w:p>
      <w:pPr>
        <w:pStyle w:val="MDPI31text"/>
      </w:pPr>
      <w:r>
        <w:rPr>
          <w:b w:val="0"/>
          <w:i w:val="0"/>
        </w:rPr>
        <w:t xml:space="preserve">so that </w:t>
      </w:r>
      <m:oMath>
        <m:sSub>
          <m:e>
            <m:r>
              <m:t xml:space="preserve">Variety</m:t>
            </m:r>
          </m:e>
          <m:sub>
            <m:r>
              <m:t xml:space="preserve">i</m:t>
            </m:r>
            <m:r>
              <m:t xml:space="preserve">t</m:t>
            </m:r>
          </m:sub>
        </m:sSub>
        <m:r>
          <m:rPr>
            <m:sty m:val="p"/>
          </m:rPr>
          <m:t xml:space="preserve">=</m:t>
        </m:r>
        <m:sSub>
          <m:e>
            <m:r>
              <m:t xml:space="preserve">UnrelVar</m:t>
            </m:r>
          </m:e>
          <m:sub>
            <m:r>
              <m:t xml:space="preserve">i</m:t>
            </m:r>
            <m:r>
              <m:t xml:space="preserve">t</m:t>
            </m:r>
          </m:sub>
        </m:sSub>
        <m:r>
          <m:rPr>
            <m:sty m:val="p"/>
          </m:rPr>
          <m:t xml:space="preserve">+</m:t>
        </m:r>
        <m:sSub>
          <m:e>
            <m:r>
              <m:t xml:space="preserve">RelVar</m:t>
            </m:r>
          </m:e>
          <m:sub>
            <m:r>
              <m:t xml:space="preserve">i</m:t>
            </m:r>
            <m:r>
              <m:t xml:space="preserve">t</m:t>
            </m:r>
          </m:sub>
        </m:sSub>
      </m:oMath>
      <w:r>
        <w:rPr>
          <w:b w:val="0"/>
          <w:i w:val="0"/>
        </w:rPr>
        <w:t xml:space="preserve"> by construction. The measure is in bits and has a theoretical maximum of </w:t>
      </w:r>
      <m:oMath>
        <m:sSub>
          <m:e>
            <m:r>
              <m:rPr>
                <m:sty m:val="p"/>
              </m:rPr>
              <m:t xml:space="preserve">log</m:t>
            </m:r>
          </m:e>
          <m:sub>
            <m:r>
              <m:rPr>
                <m:sty m:val="p"/>
              </m:rPr>
              <m:t xml:space="preserve">2</m:t>
            </m:r>
          </m:sub>
        </m:sSub>
        <m:r>
          <m:rPr>
            <m:sty m:val="p"/>
          </m:rPr>
          <m:t xml:space="preserve">15</m:t>
        </m:r>
        <m:r>
          <m:rPr>
            <m:sty m:val="p"/>
          </m:rPr>
          <m:t xml:space="preserve">=</m:t>
        </m:r>
        <m:r>
          <m:rPr>
            <m:sty m:val="p"/>
          </m:rPr>
          <m:t xml:space="preserve">3.91</m:t>
        </m:r>
      </m:oMath>
      <w:r>
        <w:rPr>
          <w:b w:val="0"/>
          <w:i w:val="0"/>
        </w:rPr>
        <w:t>, attained by a firm whose employment is spread evenly over all fifteen cells.</w:t>
      </w:r>
    </w:p>
    <w:p>
      <w:pPr>
        <w:pStyle w:val="MDPI23heading3"/>
      </w:pPr>
      <w:r>
        <w:t>3.2.3. The Demand Shock</w:t>
      </w:r>
    </w:p>
    <w:p>
      <w:pPr>
        <w:pStyle w:val="MDPI32textnoindent"/>
      </w:pPr>
      <w:r>
        <w:rPr>
          <w:b w:val="0"/>
          <w:i w:val="0"/>
        </w:rPr>
        <w:t xml:space="preserve">The disturbance must be external to the firm if the pass-through it produces is to be interpreted causally. The industry demand shock (Shock) is therefore the negative of the year-on-year growth rate of national operating revenue in the firm’s two-digit industry, standardized over the sample, so that a higher value denotes a more adverse environment. Because it is constructed from an aggregate that no single listed firm materially influences, it is not a consequence of the firm’s own employment decisions, which is the identifying assumption maintained throughout </w:t>
      </w:r>
      <w:r>
        <w:t>[</w:t>
      </w:r>
      <w:r>
        <w:fldChar w:fldCharType="begin"/>
      </w:r>
      <w:r>
        <w:instrText xml:space="preserve"> REF _Ref_12 \h </w:instrText>
      </w:r>
      <w:r>
        <w:fldChar w:fldCharType="separate"/>
      </w:r>
      <w:r>
        <w:t>12</w:t>
      </w:r>
      <w:r>
        <w:fldChar w:fldCharType="end"/>
      </w:r>
      <w:r>
        <w:t>,</w:t>
      </w:r>
      <w:r>
        <w:fldChar w:fldCharType="begin"/>
      </w:r>
      <w:r>
        <w:instrText xml:space="preserve"> REF _Ref_13 \h </w:instrText>
      </w:r>
      <w:r>
        <w:fldChar w:fldCharType="separate"/>
      </w:r>
      <w:r>
        <w:t>13</w:t>
      </w:r>
      <w:r>
        <w:fldChar w:fldCharType="end"/>
      </w:r>
      <w:r>
        <w:t>]</w:t>
      </w:r>
      <w:r>
        <w:rPr>
          <w:b w:val="0"/>
          <w:i w:val="0"/>
        </w:rPr>
        <w:t>.</w:t>
      </w:r>
    </w:p>
    <w:p>
      <w:pPr>
        <w:pStyle w:val="MDPI23heading3"/>
      </w:pPr>
      <w:r>
        <w:t>3.2.4. Mediating Variables</w:t>
      </w:r>
    </w:p>
    <w:p>
      <w:pPr>
        <w:pStyle w:val="MDPI32textnoindent"/>
      </w:pPr>
      <w:r>
        <w:rPr>
          <w:b w:val="0"/>
          <w:i w:val="0"/>
        </w:rPr>
        <w:t xml:space="preserve">Internal redeployment (Redeploy) is the index of dissimilarity between the firm’s occupational distribution in year </w:t>
      </w:r>
      <m:oMath>
        <m:r>
          <m:t xml:space="preserve">t</m:t>
        </m:r>
      </m:oMath>
      <w:r>
        <w:rPr>
          <w:b w:val="0"/>
          <w:i w:val="0"/>
        </w:rPr>
        <w:t xml:space="preserve"> and in year </w:t>
      </w:r>
      <m:oMath>
        <m:r>
          <m:t xml:space="preserve">t</m:t>
        </m:r>
        <m:r>
          <m:rPr>
            <m:sty m:val="p"/>
          </m:rPr>
          <m:t xml:space="preserve">-</m:t>
        </m:r>
        <m:r>
          <m:rPr>
            <m:sty m:val="p"/>
          </m:rPr>
          <m:t xml:space="preserve">1</m:t>
        </m:r>
      </m:oMath>
      <w:r>
        <w:rPr>
          <w:b w:val="0"/>
          <w:i w:val="0"/>
        </w:rPr>
        <w:t xml:space="preserve"> </w:t>
      </w:r>
      <w:r>
        <w:t>[</w:t>
      </w:r>
      <w:r>
        <w:fldChar w:fldCharType="begin"/>
      </w:r>
      <w:r>
        <w:instrText xml:space="preserve"> REF _Ref_62 \h </w:instrText>
      </w:r>
      <w:r>
        <w:fldChar w:fldCharType="separate"/>
      </w:r>
      <w:r>
        <w:t>62</w:t>
      </w:r>
      <w:r>
        <w:fldChar w:fldCharType="end"/>
      </w:r>
      <w:r>
        <w:t>]</w:t>
      </w:r>
      <w:r>
        <w:rPr>
          <w:b w:val="0"/>
          <w:i w:val="0"/>
        </w:rPr>
        <w:t>, in percentage points; it measures how much of the workforce would have to change category for the two distributions to coincide, and so captures reconfiguration that is not a change in scale. Workforce churn (Churn) is gross separations as a percentage of average employment.</w:t>
      </w:r>
    </w:p>
    <w:p>
      <w:pPr>
        <w:pStyle w:val="MDPI23heading3"/>
      </w:pPr>
      <w:r>
        <w:t>3.2.5. Moderating Variables</w:t>
      </w:r>
    </w:p>
    <w:p>
      <w:pPr>
        <w:pStyle w:val="MDPI32textnoindent"/>
      </w:pPr>
      <w:r>
        <w:rPr>
          <w:b w:val="0"/>
          <w:i w:val="0"/>
        </w:rPr>
        <w:t xml:space="preserve">Digital capability (Digital) is measured by textual analysis of the management discussion and analysis section of the annual report, following the word-frequency approach standard in the Chinese firm-level literature </w:t>
      </w:r>
      <w:r>
        <w:t>[</w:t>
      </w:r>
      <w:r>
        <w:fldChar w:fldCharType="begin"/>
      </w:r>
      <w:r>
        <w:instrText xml:space="preserve"> REF _Ref_69 \h </w:instrText>
      </w:r>
      <w:r>
        <w:fldChar w:fldCharType="separate"/>
      </w:r>
      <w:r>
        <w:t>69</w:t>
      </w:r>
      <w:r>
        <w:fldChar w:fldCharType="end"/>
      </w:r>
      <w:r>
        <w:t>–</w:t>
      </w:r>
      <w:r>
        <w:fldChar w:fldCharType="begin"/>
      </w:r>
      <w:r>
        <w:instrText xml:space="preserve"> REF _Ref_71 \h </w:instrText>
      </w:r>
      <w:r>
        <w:fldChar w:fldCharType="separate"/>
      </w:r>
      <w:r>
        <w:t>71</w:t>
      </w:r>
      <w:r>
        <w:fldChar w:fldCharType="end"/>
      </w:r>
      <w:r>
        <w:t>]</w:t>
      </w:r>
      <w:r>
        <w:rPr>
          <w:b w:val="0"/>
          <w:i w:val="0"/>
        </w:rPr>
        <w:t xml:space="preserve">. Financial slack (Slack) is cash and cash equivalents divided by total assets. Both are standardized before interactions are formed, so that the lower-order coefficients are evaluated at the sample mean of the moderator </w:t>
      </w:r>
      <w:r>
        <w:t>[</w:t>
      </w:r>
      <w:r>
        <w:fldChar w:fldCharType="begin"/>
      </w:r>
      <w:r>
        <w:instrText xml:space="preserve"> REF _Ref_72 \h </w:instrText>
      </w:r>
      <w:r>
        <w:fldChar w:fldCharType="separate"/>
      </w:r>
      <w:r>
        <w:t>72</w:t>
      </w:r>
      <w:r>
        <w:fldChar w:fldCharType="end"/>
      </w:r>
      <w:r>
        <w:t>]</w:t>
      </w:r>
      <w:r>
        <w:rPr>
          <w:b w:val="0"/>
          <w:i w:val="0"/>
        </w:rPr>
        <w:t>.</w:t>
      </w:r>
    </w:p>
    <w:p>
      <w:pPr>
        <w:pStyle w:val="MDPI23heading3"/>
      </w:pPr>
      <w:r>
        <w:t>3.2.6. Control Variables</w:t>
      </w:r>
    </w:p>
    <w:p>
      <w:pPr>
        <w:pStyle w:val="MDPI32textnoindent"/>
      </w:pPr>
      <w:r>
        <w:rPr>
          <w:b w:val="0"/>
          <w:i w:val="0"/>
        </w:rPr>
        <w:t>The control set comprises firm size (Size), leverage (Lev), profitability (ROA), operating cash flow (Cashflow), market valuation (TobinQ), ownership concentration (Top1), board independence (Indep), chief executive duality (Dual), board size (Board), capital intensity (CapInt) and the logarithm of employment (Emp). Revenue growth is deliberately excluded, because it is the firm-level realization of the industry shock and controlling for it would absorb the variation the design exploits; a robustness check in Section 4.7 adds it and reports the consequence. Full definitions are reported in Table 1.</w:t>
      </w:r>
    </w:p>
    <w:p>
      <w:pPr>
        <w:pStyle w:val="MDPI41tablecaption"/>
        <w:keepNext/>
        <w:spacing w:after="60"/>
      </w:pPr>
      <w:r>
        <w:rPr>
          <w:b/>
          <w:sz w:val="18"/>
        </w:rPr>
        <w:t xml:space="preserve">Table 1. </w:t>
      </w:r>
      <w:r>
        <w:rPr>
          <w:b w:val="0"/>
          <w:i w:val="0"/>
          <w:sz w:val="18"/>
        </w:rPr>
        <w:t>Variable definitions and measurement.</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335"/>
        <w:gridCol w:w="6522"/>
      </w:tblGrid>
      <w:tr>
        <w:trPr>
          <w:cantSplit/>
          <w:tblHeader/>
        </w:trPr>
        <w:tc>
          <w:tcPr>
            <w:tcW w:type="dxa" w:w="1335"/>
            <w:tcBorders>
              <w:bottom w:val="single" w:sz="8" w:space="0" w:color="auto"/>
            </w:tcBorders>
          </w:tcPr>
          <w:p>
            <w:pPr>
              <w:pStyle w:val="MDPI42tablebody"/>
              <w:keepNext/>
              <w:spacing w:line="240" w:lineRule="auto" w:before="30" w:after="30"/>
              <w:jc w:val="center"/>
            </w:pPr>
            <w:r>
              <w:rPr>
                <w:b/>
                <w:i w:val="0"/>
                <w:sz w:val="18"/>
              </w:rPr>
              <w:t>Variable</w:t>
            </w:r>
          </w:p>
        </w:tc>
        <w:tc>
          <w:tcPr>
            <w:tcW w:type="dxa" w:w="6522"/>
            <w:tcBorders>
              <w:bottom w:val="single" w:sz="8" w:space="0" w:color="auto"/>
            </w:tcBorders>
          </w:tcPr>
          <w:p>
            <w:pPr>
              <w:pStyle w:val="MDPI42tablebody"/>
              <w:keepNext/>
              <w:spacing w:line="240" w:lineRule="auto" w:before="30" w:after="30"/>
              <w:jc w:val="center"/>
            </w:pPr>
            <w:r>
              <w:rPr>
                <w:b/>
                <w:i w:val="0"/>
                <w:sz w:val="18"/>
              </w:rPr>
              <w:t>Definition</w:t>
            </w:r>
          </w:p>
        </w:tc>
      </w:tr>
      <w:tr>
        <w:trPr>
          <w:cantSplit/>
        </w:trPr>
        <w:tc>
          <w:tcPr>
            <w:tcW w:type="dxa" w:w="7858"/>
            <w:gridSpan w:val="2"/>
          </w:tcPr>
          <w:p>
            <w:pPr>
              <w:pStyle w:val="MDPI42tablebody"/>
              <w:keepNext/>
              <w:spacing w:line="240" w:lineRule="auto" w:before="60" w:after="30"/>
              <w:jc w:val="left"/>
            </w:pPr>
            <w:r>
              <w:rPr>
                <w:b/>
                <w:i/>
                <w:sz w:val="18"/>
              </w:rPr>
              <w:t>Dependent variable</w:t>
            </w:r>
          </w:p>
        </w:tc>
      </w:tr>
      <w:tr>
        <w:trPr>
          <w:cantSplit/>
        </w:trPr>
        <w:tc>
          <w:tcPr>
            <w:tcW w:type="dxa" w:w="1335"/>
          </w:tcPr>
          <w:p>
            <w:pPr>
              <w:pStyle w:val="MDPI42tablebody"/>
              <w:keepNext/>
              <w:spacing w:line="240" w:lineRule="auto" w:before="30" w:after="30"/>
              <w:jc w:val="left"/>
            </w:pPr>
            <w:r>
              <w:rPr>
                <w:b w:val="0"/>
                <w:i/>
                <w:sz w:val="18"/>
              </w:rPr>
              <w:t>Youth</w:t>
            </w:r>
          </w:p>
        </w:tc>
        <w:tc>
          <w:tcPr>
            <w:tcW w:type="dxa" w:w="6522"/>
          </w:tcPr>
          <w:p>
            <w:pPr>
              <w:pStyle w:val="MDPI42tablebody"/>
              <w:keepNext/>
              <w:spacing w:line="240" w:lineRule="auto" w:before="30" w:after="30"/>
              <w:jc w:val="left"/>
            </w:pPr>
            <w:r>
              <w:rPr>
                <w:b w:val="0"/>
                <w:i w:val="0"/>
                <w:sz w:val="18"/>
              </w:rPr>
              <w:t>Share of employees aged 30 or below in the firm's total workforce (%)</w:t>
            </w:r>
          </w:p>
        </w:tc>
      </w:tr>
      <w:tr>
        <w:trPr>
          <w:cantSplit/>
        </w:trPr>
        <w:tc>
          <w:tcPr>
            <w:tcW w:type="dxa" w:w="7858"/>
            <w:gridSpan w:val="2"/>
          </w:tcPr>
          <w:p>
            <w:pPr>
              <w:pStyle w:val="MDPI42tablebody"/>
              <w:keepNext/>
              <w:spacing w:line="240" w:lineRule="auto" w:before="60" w:after="30"/>
              <w:jc w:val="left"/>
            </w:pPr>
            <w:r>
              <w:rPr>
                <w:b/>
                <w:i/>
                <w:sz w:val="18"/>
              </w:rPr>
              <w:t>Explanatory variables</w:t>
            </w:r>
          </w:p>
        </w:tc>
      </w:tr>
      <w:tr>
        <w:trPr>
          <w:cantSplit/>
        </w:trPr>
        <w:tc>
          <w:tcPr>
            <w:tcW w:type="dxa" w:w="1335"/>
          </w:tcPr>
          <w:p>
            <w:pPr>
              <w:pStyle w:val="MDPI42tablebody"/>
              <w:keepNext/>
              <w:spacing w:line="240" w:lineRule="auto" w:before="30" w:after="30"/>
              <w:jc w:val="left"/>
            </w:pPr>
            <w:r>
              <w:rPr>
                <w:b w:val="0"/>
                <w:i/>
                <w:sz w:val="18"/>
              </w:rPr>
              <w:t>Variety</w:t>
            </w:r>
          </w:p>
        </w:tc>
        <w:tc>
          <w:tcPr>
            <w:tcW w:type="dxa" w:w="6522"/>
          </w:tcPr>
          <w:p>
            <w:pPr>
              <w:pStyle w:val="MDPI42tablebody"/>
              <w:keepNext/>
              <w:spacing w:line="240" w:lineRule="auto" w:before="30" w:after="30"/>
              <w:jc w:val="left"/>
            </w:pPr>
            <w:r>
              <w:rPr>
                <w:b w:val="0"/>
                <w:i w:val="0"/>
                <w:sz w:val="18"/>
              </w:rPr>
              <w:t>Workforce skill variety: the Shannon entropy, in bits, of the firm's workforce distributed over five disclosed occupational categories and three education levels</w:t>
            </w:r>
          </w:p>
        </w:tc>
      </w:tr>
      <w:tr>
        <w:trPr>
          <w:cantSplit/>
        </w:trPr>
        <w:tc>
          <w:tcPr>
            <w:tcW w:type="dxa" w:w="1335"/>
          </w:tcPr>
          <w:p>
            <w:pPr>
              <w:pStyle w:val="MDPI42tablebody"/>
              <w:keepNext/>
              <w:spacing w:line="240" w:lineRule="auto" w:before="30" w:after="30"/>
              <w:jc w:val="left"/>
            </w:pPr>
            <w:r>
              <w:rPr>
                <w:b w:val="0"/>
                <w:i/>
                <w:sz w:val="18"/>
              </w:rPr>
              <w:t>RelVar</w:t>
            </w:r>
          </w:p>
        </w:tc>
        <w:tc>
          <w:tcPr>
            <w:tcW w:type="dxa" w:w="6522"/>
          </w:tcPr>
          <w:p>
            <w:pPr>
              <w:pStyle w:val="MDPI42tablebody"/>
              <w:keepNext/>
              <w:spacing w:line="240" w:lineRule="auto" w:before="30" w:after="30"/>
              <w:jc w:val="left"/>
            </w:pPr>
            <w:r>
              <w:rPr>
                <w:b w:val="0"/>
                <w:i w:val="0"/>
                <w:sz w:val="18"/>
              </w:rPr>
              <w:t>Related variety: the employment-weighted mean entropy of the education distribution within each occupational category</w:t>
            </w:r>
          </w:p>
        </w:tc>
      </w:tr>
      <w:tr>
        <w:trPr>
          <w:cantSplit/>
        </w:trPr>
        <w:tc>
          <w:tcPr>
            <w:tcW w:type="dxa" w:w="1335"/>
          </w:tcPr>
          <w:p>
            <w:pPr>
              <w:pStyle w:val="MDPI42tablebody"/>
              <w:keepNext/>
              <w:spacing w:line="240" w:lineRule="auto" w:before="30" w:after="30"/>
              <w:jc w:val="left"/>
            </w:pPr>
            <w:r>
              <w:rPr>
                <w:b w:val="0"/>
                <w:i/>
                <w:sz w:val="18"/>
              </w:rPr>
              <w:t>UnrelVar</w:t>
            </w:r>
          </w:p>
        </w:tc>
        <w:tc>
          <w:tcPr>
            <w:tcW w:type="dxa" w:w="6522"/>
          </w:tcPr>
          <w:p>
            <w:pPr>
              <w:pStyle w:val="MDPI42tablebody"/>
              <w:keepNext/>
              <w:spacing w:line="240" w:lineRule="auto" w:before="30" w:after="30"/>
              <w:jc w:val="left"/>
            </w:pPr>
            <w:r>
              <w:rPr>
                <w:b w:val="0"/>
                <w:i w:val="0"/>
                <w:sz w:val="18"/>
              </w:rPr>
              <w:t>Unrelated variety: the entropy of the distribution of employment across the five occupational categories, so that Variety = RelVar + UnrelVar</w:t>
            </w:r>
          </w:p>
        </w:tc>
      </w:tr>
      <w:tr>
        <w:trPr>
          <w:cantSplit/>
        </w:trPr>
        <w:tc>
          <w:tcPr>
            <w:tcW w:type="dxa" w:w="1335"/>
          </w:tcPr>
          <w:p>
            <w:pPr>
              <w:pStyle w:val="MDPI42tablebody"/>
              <w:keepNext/>
              <w:spacing w:line="240" w:lineRule="auto" w:before="30" w:after="30"/>
              <w:jc w:val="left"/>
            </w:pPr>
            <w:r>
              <w:rPr>
                <w:b w:val="0"/>
                <w:i/>
                <w:sz w:val="18"/>
              </w:rPr>
              <w:t>Shock</w:t>
            </w:r>
          </w:p>
        </w:tc>
        <w:tc>
          <w:tcPr>
            <w:tcW w:type="dxa" w:w="6522"/>
          </w:tcPr>
          <w:p>
            <w:pPr>
              <w:pStyle w:val="MDPI42tablebody"/>
              <w:keepNext/>
              <w:spacing w:line="240" w:lineRule="auto" w:before="30" w:after="30"/>
              <w:jc w:val="left"/>
            </w:pPr>
            <w:r>
              <w:rPr>
                <w:b w:val="0"/>
                <w:i w:val="0"/>
                <w:sz w:val="18"/>
              </w:rPr>
              <w:t>Industry demand shock: the negative of the year-on-year growth rate of national operating revenue in the firm's two-digit industry, standardized over the sample, so that a higher value is a more adverse shock</w:t>
            </w:r>
          </w:p>
        </w:tc>
      </w:tr>
      <w:tr>
        <w:trPr>
          <w:cantSplit/>
        </w:trPr>
        <w:tc>
          <w:tcPr>
            <w:tcW w:type="dxa" w:w="7858"/>
            <w:gridSpan w:val="2"/>
          </w:tcPr>
          <w:p>
            <w:pPr>
              <w:pStyle w:val="MDPI42tablebody"/>
              <w:keepNext/>
              <w:spacing w:line="240" w:lineRule="auto" w:before="60" w:after="30"/>
              <w:jc w:val="left"/>
            </w:pPr>
            <w:r>
              <w:rPr>
                <w:b/>
                <w:i/>
                <w:sz w:val="18"/>
              </w:rPr>
              <w:t>Mediating variables</w:t>
            </w:r>
          </w:p>
        </w:tc>
      </w:tr>
      <w:tr>
        <w:trPr>
          <w:cantSplit/>
        </w:trPr>
        <w:tc>
          <w:tcPr>
            <w:tcW w:type="dxa" w:w="1335"/>
          </w:tcPr>
          <w:p>
            <w:pPr>
              <w:pStyle w:val="MDPI42tablebody"/>
              <w:keepNext/>
              <w:spacing w:line="240" w:lineRule="auto" w:before="30" w:after="30"/>
              <w:jc w:val="left"/>
            </w:pPr>
            <w:r>
              <w:rPr>
                <w:b w:val="0"/>
                <w:i/>
                <w:sz w:val="18"/>
              </w:rPr>
              <w:t>Redeploy</w:t>
            </w:r>
          </w:p>
        </w:tc>
        <w:tc>
          <w:tcPr>
            <w:tcW w:type="dxa" w:w="6522"/>
          </w:tcPr>
          <w:p>
            <w:pPr>
              <w:pStyle w:val="MDPI42tablebody"/>
              <w:keepNext/>
              <w:spacing w:line="240" w:lineRule="auto" w:before="30" w:after="30"/>
              <w:jc w:val="left"/>
            </w:pPr>
            <w:r>
              <w:rPr>
                <w:b w:val="0"/>
                <w:i w:val="0"/>
                <w:sz w:val="18"/>
              </w:rPr>
              <w:t>Internal redeployment: the index of dissimilarity between the firm's occupational distribution this year and last year (%)</w:t>
            </w:r>
          </w:p>
        </w:tc>
      </w:tr>
      <w:tr>
        <w:trPr>
          <w:cantSplit/>
        </w:trPr>
        <w:tc>
          <w:tcPr>
            <w:tcW w:type="dxa" w:w="1335"/>
          </w:tcPr>
          <w:p>
            <w:pPr>
              <w:pStyle w:val="MDPI42tablebody"/>
              <w:keepNext/>
              <w:spacing w:line="240" w:lineRule="auto" w:before="30" w:after="30"/>
              <w:jc w:val="left"/>
            </w:pPr>
            <w:r>
              <w:rPr>
                <w:b w:val="0"/>
                <w:i/>
                <w:sz w:val="18"/>
              </w:rPr>
              <w:t>Churn</w:t>
            </w:r>
          </w:p>
        </w:tc>
        <w:tc>
          <w:tcPr>
            <w:tcW w:type="dxa" w:w="6522"/>
          </w:tcPr>
          <w:p>
            <w:pPr>
              <w:pStyle w:val="MDPI42tablebody"/>
              <w:keepNext/>
              <w:spacing w:line="240" w:lineRule="auto" w:before="30" w:after="30"/>
              <w:jc w:val="left"/>
            </w:pPr>
            <w:r>
              <w:rPr>
                <w:b w:val="0"/>
                <w:i w:val="0"/>
                <w:sz w:val="18"/>
              </w:rPr>
              <w:t>Workforce churn: gross separations as a percentage of average employment</w:t>
            </w:r>
          </w:p>
        </w:tc>
      </w:tr>
      <w:tr>
        <w:trPr>
          <w:cantSplit/>
        </w:trPr>
        <w:tc>
          <w:tcPr>
            <w:tcW w:type="dxa" w:w="7858"/>
            <w:gridSpan w:val="2"/>
          </w:tcPr>
          <w:p>
            <w:pPr>
              <w:pStyle w:val="MDPI42tablebody"/>
              <w:keepNext/>
              <w:spacing w:line="240" w:lineRule="auto" w:before="60" w:after="30"/>
              <w:jc w:val="left"/>
            </w:pPr>
            <w:r>
              <w:rPr>
                <w:b/>
                <w:i/>
                <w:sz w:val="18"/>
              </w:rPr>
              <w:t>Moderating variables</w:t>
            </w:r>
          </w:p>
        </w:tc>
      </w:tr>
      <w:tr>
        <w:trPr>
          <w:cantSplit/>
        </w:trPr>
        <w:tc>
          <w:tcPr>
            <w:tcW w:type="dxa" w:w="1335"/>
          </w:tcPr>
          <w:p>
            <w:pPr>
              <w:pStyle w:val="MDPI42tablebody"/>
              <w:keepNext/>
              <w:spacing w:line="240" w:lineRule="auto" w:before="30" w:after="30"/>
              <w:jc w:val="left"/>
            </w:pPr>
            <w:r>
              <w:rPr>
                <w:b w:val="0"/>
                <w:i/>
                <w:sz w:val="18"/>
              </w:rPr>
              <w:t>Digital</w:t>
            </w:r>
          </w:p>
        </w:tc>
        <w:tc>
          <w:tcPr>
            <w:tcW w:type="dxa" w:w="6522"/>
          </w:tcPr>
          <w:p>
            <w:pPr>
              <w:pStyle w:val="MDPI42tablebody"/>
              <w:keepNext/>
              <w:spacing w:line="240" w:lineRule="auto" w:before="30" w:after="30"/>
              <w:jc w:val="left"/>
            </w:pPr>
            <w:r>
              <w:rPr>
                <w:b w:val="0"/>
                <w:i w:val="0"/>
                <w:sz w:val="18"/>
              </w:rPr>
              <w:t>Digital capability: the natural logarithm of one plus the frequency of digital-technology terms in the management discussion and analysis section of the annual report</w:t>
            </w:r>
          </w:p>
        </w:tc>
      </w:tr>
      <w:tr>
        <w:trPr>
          <w:cantSplit/>
        </w:trPr>
        <w:tc>
          <w:tcPr>
            <w:tcW w:type="dxa" w:w="1335"/>
          </w:tcPr>
          <w:p>
            <w:pPr>
              <w:pStyle w:val="MDPI42tablebody"/>
              <w:keepNext/>
              <w:spacing w:line="240" w:lineRule="auto" w:before="30" w:after="30"/>
              <w:jc w:val="left"/>
            </w:pPr>
            <w:r>
              <w:rPr>
                <w:b w:val="0"/>
                <w:i/>
                <w:sz w:val="18"/>
              </w:rPr>
              <w:t>Slack</w:t>
            </w:r>
          </w:p>
        </w:tc>
        <w:tc>
          <w:tcPr>
            <w:tcW w:type="dxa" w:w="6522"/>
          </w:tcPr>
          <w:p>
            <w:pPr>
              <w:pStyle w:val="MDPI42tablebody"/>
              <w:keepNext/>
              <w:spacing w:line="240" w:lineRule="auto" w:before="30" w:after="30"/>
              <w:jc w:val="left"/>
            </w:pPr>
            <w:r>
              <w:rPr>
                <w:b w:val="0"/>
                <w:i w:val="0"/>
                <w:sz w:val="18"/>
              </w:rPr>
              <w:t>Financial slack: cash and cash equivalents divided by total assets</w:t>
            </w:r>
          </w:p>
        </w:tc>
      </w:tr>
      <w:tr>
        <w:trPr>
          <w:cantSplit/>
        </w:trPr>
        <w:tc>
          <w:tcPr>
            <w:tcW w:type="dxa" w:w="7858"/>
            <w:gridSpan w:val="2"/>
          </w:tcPr>
          <w:p>
            <w:pPr>
              <w:pStyle w:val="MDPI42tablebody"/>
              <w:keepNext/>
              <w:spacing w:line="240" w:lineRule="auto" w:before="60" w:after="30"/>
              <w:jc w:val="left"/>
            </w:pPr>
            <w:r>
              <w:rPr>
                <w:b/>
                <w:i/>
                <w:sz w:val="18"/>
              </w:rPr>
              <w:t>Control variables</w:t>
            </w:r>
          </w:p>
        </w:tc>
      </w:tr>
      <w:tr>
        <w:trPr>
          <w:cantSplit/>
        </w:trPr>
        <w:tc>
          <w:tcPr>
            <w:tcW w:type="dxa" w:w="1335"/>
          </w:tcPr>
          <w:p>
            <w:pPr>
              <w:pStyle w:val="MDPI42tablebody"/>
              <w:keepNext/>
              <w:spacing w:line="240" w:lineRule="auto" w:before="30" w:after="30"/>
              <w:jc w:val="left"/>
            </w:pPr>
            <w:r>
              <w:rPr>
                <w:b w:val="0"/>
                <w:i/>
                <w:sz w:val="18"/>
              </w:rPr>
              <w:t>Size</w:t>
            </w:r>
          </w:p>
        </w:tc>
        <w:tc>
          <w:tcPr>
            <w:tcW w:type="dxa" w:w="6522"/>
          </w:tcPr>
          <w:p>
            <w:pPr>
              <w:pStyle w:val="MDPI42tablebody"/>
              <w:keepNext/>
              <w:spacing w:line="240" w:lineRule="auto" w:before="30" w:after="30"/>
              <w:jc w:val="left"/>
            </w:pPr>
            <w:r>
              <w:rPr>
                <w:b w:val="0"/>
                <w:i w:val="0"/>
                <w:sz w:val="18"/>
              </w:rPr>
              <w:t>Natural logarithm of total assets</w:t>
            </w:r>
          </w:p>
        </w:tc>
      </w:tr>
      <w:tr>
        <w:trPr>
          <w:cantSplit/>
        </w:trPr>
        <w:tc>
          <w:tcPr>
            <w:tcW w:type="dxa" w:w="1335"/>
          </w:tcPr>
          <w:p>
            <w:pPr>
              <w:pStyle w:val="MDPI42tablebody"/>
              <w:keepNext/>
              <w:spacing w:line="240" w:lineRule="auto" w:before="30" w:after="30"/>
              <w:jc w:val="left"/>
            </w:pPr>
            <w:r>
              <w:rPr>
                <w:b w:val="0"/>
                <w:i/>
                <w:sz w:val="18"/>
              </w:rPr>
              <w:t>Lev</w:t>
            </w:r>
          </w:p>
        </w:tc>
        <w:tc>
          <w:tcPr>
            <w:tcW w:type="dxa" w:w="6522"/>
          </w:tcPr>
          <w:p>
            <w:pPr>
              <w:pStyle w:val="MDPI42tablebody"/>
              <w:keepNext/>
              <w:spacing w:line="240" w:lineRule="auto" w:before="30" w:after="30"/>
              <w:jc w:val="left"/>
            </w:pPr>
            <w:r>
              <w:rPr>
                <w:b w:val="0"/>
                <w:i w:val="0"/>
                <w:sz w:val="18"/>
              </w:rPr>
              <w:t>Total liabilities divided by total assets</w:t>
            </w:r>
          </w:p>
        </w:tc>
      </w:tr>
      <w:tr>
        <w:trPr>
          <w:cantSplit/>
        </w:trPr>
        <w:tc>
          <w:tcPr>
            <w:tcW w:type="dxa" w:w="1335"/>
          </w:tcPr>
          <w:p>
            <w:pPr>
              <w:pStyle w:val="MDPI42tablebody"/>
              <w:keepNext/>
              <w:spacing w:line="240" w:lineRule="auto" w:before="30" w:after="30"/>
              <w:jc w:val="left"/>
            </w:pPr>
            <w:r>
              <w:rPr>
                <w:b w:val="0"/>
                <w:i/>
                <w:sz w:val="18"/>
              </w:rPr>
              <w:t>ROA</w:t>
            </w:r>
          </w:p>
        </w:tc>
        <w:tc>
          <w:tcPr>
            <w:tcW w:type="dxa" w:w="6522"/>
          </w:tcPr>
          <w:p>
            <w:pPr>
              <w:pStyle w:val="MDPI42tablebody"/>
              <w:keepNext/>
              <w:spacing w:line="240" w:lineRule="auto" w:before="30" w:after="30"/>
              <w:jc w:val="left"/>
            </w:pPr>
            <w:r>
              <w:rPr>
                <w:b w:val="0"/>
                <w:i w:val="0"/>
                <w:sz w:val="18"/>
              </w:rPr>
              <w:t>Net profit divided by total assets</w:t>
            </w:r>
          </w:p>
        </w:tc>
      </w:tr>
      <w:tr>
        <w:trPr>
          <w:cantSplit/>
        </w:trPr>
        <w:tc>
          <w:tcPr>
            <w:tcW w:type="dxa" w:w="1335"/>
          </w:tcPr>
          <w:p>
            <w:pPr>
              <w:pStyle w:val="MDPI42tablebody"/>
              <w:keepNext/>
              <w:spacing w:line="240" w:lineRule="auto" w:before="30" w:after="30"/>
              <w:jc w:val="left"/>
            </w:pPr>
            <w:r>
              <w:rPr>
                <w:b w:val="0"/>
                <w:i/>
                <w:sz w:val="18"/>
              </w:rPr>
              <w:t>Cashflow</w:t>
            </w:r>
          </w:p>
        </w:tc>
        <w:tc>
          <w:tcPr>
            <w:tcW w:type="dxa" w:w="6522"/>
          </w:tcPr>
          <w:p>
            <w:pPr>
              <w:pStyle w:val="MDPI42tablebody"/>
              <w:keepNext/>
              <w:spacing w:line="240" w:lineRule="auto" w:before="30" w:after="30"/>
              <w:jc w:val="left"/>
            </w:pPr>
            <w:r>
              <w:rPr>
                <w:b w:val="0"/>
                <w:i w:val="0"/>
                <w:sz w:val="18"/>
              </w:rPr>
              <w:t>Net operating cash flow divided by total assets</w:t>
            </w:r>
          </w:p>
        </w:tc>
      </w:tr>
      <w:tr>
        <w:trPr>
          <w:cantSplit/>
        </w:trPr>
        <w:tc>
          <w:tcPr>
            <w:tcW w:type="dxa" w:w="1335"/>
          </w:tcPr>
          <w:p>
            <w:pPr>
              <w:pStyle w:val="MDPI42tablebody"/>
              <w:keepNext/>
              <w:spacing w:line="240" w:lineRule="auto" w:before="30" w:after="30"/>
              <w:jc w:val="left"/>
            </w:pPr>
            <w:r>
              <w:rPr>
                <w:b w:val="0"/>
                <w:i/>
                <w:sz w:val="18"/>
              </w:rPr>
              <w:t>TobinQ</w:t>
            </w:r>
          </w:p>
        </w:tc>
        <w:tc>
          <w:tcPr>
            <w:tcW w:type="dxa" w:w="6522"/>
          </w:tcPr>
          <w:p>
            <w:pPr>
              <w:pStyle w:val="MDPI42tablebody"/>
              <w:keepNext/>
              <w:spacing w:line="240" w:lineRule="auto" w:before="30" w:after="30"/>
              <w:jc w:val="left"/>
            </w:pPr>
            <w:r>
              <w:rPr>
                <w:b w:val="0"/>
                <w:i w:val="0"/>
                <w:sz w:val="18"/>
              </w:rPr>
              <w:t>Market value divided by the replacement cost of assets</w:t>
            </w:r>
          </w:p>
        </w:tc>
      </w:tr>
      <w:tr>
        <w:trPr>
          <w:cantSplit/>
        </w:trPr>
        <w:tc>
          <w:tcPr>
            <w:tcW w:type="dxa" w:w="1335"/>
          </w:tcPr>
          <w:p>
            <w:pPr>
              <w:pStyle w:val="MDPI42tablebody"/>
              <w:keepNext/>
              <w:spacing w:line="240" w:lineRule="auto" w:before="30" w:after="30"/>
              <w:jc w:val="left"/>
            </w:pPr>
            <w:r>
              <w:rPr>
                <w:b w:val="0"/>
                <w:i/>
                <w:sz w:val="18"/>
              </w:rPr>
              <w:t>Top1</w:t>
            </w:r>
          </w:p>
        </w:tc>
        <w:tc>
          <w:tcPr>
            <w:tcW w:type="dxa" w:w="6522"/>
          </w:tcPr>
          <w:p>
            <w:pPr>
              <w:pStyle w:val="MDPI42tablebody"/>
              <w:keepNext/>
              <w:spacing w:line="240" w:lineRule="auto" w:before="30" w:after="30"/>
              <w:jc w:val="left"/>
            </w:pPr>
            <w:r>
              <w:rPr>
                <w:b w:val="0"/>
                <w:i w:val="0"/>
                <w:sz w:val="18"/>
              </w:rPr>
              <w:t>Shareholding of the largest shareholder</w:t>
            </w:r>
          </w:p>
        </w:tc>
      </w:tr>
      <w:tr>
        <w:trPr>
          <w:cantSplit/>
        </w:trPr>
        <w:tc>
          <w:tcPr>
            <w:tcW w:type="dxa" w:w="1335"/>
          </w:tcPr>
          <w:p>
            <w:pPr>
              <w:pStyle w:val="MDPI42tablebody"/>
              <w:keepNext/>
              <w:spacing w:line="240" w:lineRule="auto" w:before="30" w:after="30"/>
              <w:jc w:val="left"/>
            </w:pPr>
            <w:r>
              <w:rPr>
                <w:b w:val="0"/>
                <w:i/>
                <w:sz w:val="18"/>
              </w:rPr>
              <w:t>Indep</w:t>
            </w:r>
          </w:p>
        </w:tc>
        <w:tc>
          <w:tcPr>
            <w:tcW w:type="dxa" w:w="6522"/>
          </w:tcPr>
          <w:p>
            <w:pPr>
              <w:pStyle w:val="MDPI42tablebody"/>
              <w:keepNext/>
              <w:spacing w:line="240" w:lineRule="auto" w:before="30" w:after="30"/>
              <w:jc w:val="left"/>
            </w:pPr>
            <w:r>
              <w:rPr>
                <w:b w:val="0"/>
                <w:i w:val="0"/>
                <w:sz w:val="18"/>
              </w:rPr>
              <w:t>Share of independent directors on the board</w:t>
            </w:r>
          </w:p>
        </w:tc>
      </w:tr>
      <w:tr>
        <w:trPr>
          <w:cantSplit/>
        </w:trPr>
        <w:tc>
          <w:tcPr>
            <w:tcW w:type="dxa" w:w="1335"/>
          </w:tcPr>
          <w:p>
            <w:pPr>
              <w:pStyle w:val="MDPI42tablebody"/>
              <w:keepNext/>
              <w:spacing w:line="240" w:lineRule="auto" w:before="30" w:after="30"/>
              <w:jc w:val="left"/>
            </w:pPr>
            <w:r>
              <w:rPr>
                <w:b w:val="0"/>
                <w:i/>
                <w:sz w:val="18"/>
              </w:rPr>
              <w:t>Dual</w:t>
            </w:r>
          </w:p>
        </w:tc>
        <w:tc>
          <w:tcPr>
            <w:tcW w:type="dxa" w:w="6522"/>
          </w:tcPr>
          <w:p>
            <w:pPr>
              <w:pStyle w:val="MDPI42tablebody"/>
              <w:keepNext/>
              <w:spacing w:line="240" w:lineRule="auto" w:before="30" w:after="30"/>
              <w:jc w:val="left"/>
            </w:pPr>
            <w:r>
              <w:rPr>
                <w:b w:val="0"/>
                <w:i w:val="0"/>
                <w:sz w:val="18"/>
              </w:rPr>
              <w:t>Indicator equal to one when the chair and the chief executive are the same person</w:t>
            </w:r>
          </w:p>
        </w:tc>
      </w:tr>
      <w:tr>
        <w:trPr>
          <w:cantSplit/>
        </w:trPr>
        <w:tc>
          <w:tcPr>
            <w:tcW w:type="dxa" w:w="1335"/>
          </w:tcPr>
          <w:p>
            <w:pPr>
              <w:pStyle w:val="MDPI42tablebody"/>
              <w:keepNext/>
              <w:spacing w:line="240" w:lineRule="auto" w:before="30" w:after="30"/>
              <w:jc w:val="left"/>
            </w:pPr>
            <w:r>
              <w:rPr>
                <w:b w:val="0"/>
                <w:i/>
                <w:sz w:val="18"/>
              </w:rPr>
              <w:t>Board</w:t>
            </w:r>
          </w:p>
        </w:tc>
        <w:tc>
          <w:tcPr>
            <w:tcW w:type="dxa" w:w="6522"/>
          </w:tcPr>
          <w:p>
            <w:pPr>
              <w:pStyle w:val="MDPI42tablebody"/>
              <w:keepNext/>
              <w:spacing w:line="240" w:lineRule="auto" w:before="30" w:after="30"/>
              <w:jc w:val="left"/>
            </w:pPr>
            <w:r>
              <w:rPr>
                <w:b w:val="0"/>
                <w:i w:val="0"/>
                <w:sz w:val="18"/>
              </w:rPr>
              <w:t>Natural logarithm of the number of directors</w:t>
            </w:r>
          </w:p>
        </w:tc>
      </w:tr>
      <w:tr>
        <w:trPr>
          <w:cantSplit/>
        </w:trPr>
        <w:tc>
          <w:tcPr>
            <w:tcW w:type="dxa" w:w="1335"/>
          </w:tcPr>
          <w:p>
            <w:pPr>
              <w:pStyle w:val="MDPI42tablebody"/>
              <w:keepNext/>
              <w:spacing w:line="240" w:lineRule="auto" w:before="30" w:after="30"/>
              <w:jc w:val="left"/>
            </w:pPr>
            <w:r>
              <w:rPr>
                <w:b w:val="0"/>
                <w:i/>
                <w:sz w:val="18"/>
              </w:rPr>
              <w:t>CapInt</w:t>
            </w:r>
          </w:p>
        </w:tc>
        <w:tc>
          <w:tcPr>
            <w:tcW w:type="dxa" w:w="6522"/>
          </w:tcPr>
          <w:p>
            <w:pPr>
              <w:pStyle w:val="MDPI42tablebody"/>
              <w:keepNext/>
              <w:spacing w:line="240" w:lineRule="auto" w:before="30" w:after="30"/>
              <w:jc w:val="left"/>
            </w:pPr>
            <w:r>
              <w:rPr>
                <w:b w:val="0"/>
                <w:i w:val="0"/>
                <w:sz w:val="18"/>
              </w:rPr>
              <w:t>Natural logarithm of net fixed assets per employee</w:t>
            </w:r>
          </w:p>
        </w:tc>
      </w:tr>
      <w:tr>
        <w:trPr>
          <w:cantSplit/>
        </w:trPr>
        <w:tc>
          <w:tcPr>
            <w:tcW w:type="dxa" w:w="1335"/>
          </w:tcPr>
          <w:p>
            <w:pPr>
              <w:pStyle w:val="MDPI42tablebody"/>
              <w:keepNext/>
              <w:spacing w:line="240" w:lineRule="auto" w:before="30" w:after="30"/>
              <w:jc w:val="left"/>
            </w:pPr>
            <w:r>
              <w:rPr>
                <w:b w:val="0"/>
                <w:i/>
                <w:sz w:val="18"/>
              </w:rPr>
              <w:t>Emp</w:t>
            </w:r>
          </w:p>
        </w:tc>
        <w:tc>
          <w:tcPr>
            <w:tcW w:type="dxa" w:w="6522"/>
          </w:tcPr>
          <w:p>
            <w:pPr>
              <w:pStyle w:val="MDPI42tablebody"/>
              <w:keepNext/>
              <w:spacing w:line="240" w:lineRule="auto" w:before="30" w:after="30"/>
              <w:jc w:val="left"/>
            </w:pPr>
            <w:r>
              <w:rPr>
                <w:b w:val="0"/>
                <w:i w:val="0"/>
                <w:sz w:val="18"/>
              </w:rPr>
              <w:t>Natural logarithm of the number of employees</w:t>
            </w:r>
          </w:p>
        </w:tc>
      </w:tr>
      <w:tr>
        <w:trPr>
          <w:cantSplit/>
        </w:trPr>
        <w:tc>
          <w:tcPr>
            <w:tcW w:type="dxa" w:w="7858"/>
            <w:gridSpan w:val="2"/>
          </w:tcPr>
          <w:p>
            <w:pPr>
              <w:pStyle w:val="MDPI42tablebody"/>
              <w:keepNext/>
              <w:spacing w:line="240" w:lineRule="auto" w:before="60" w:after="30"/>
              <w:jc w:val="left"/>
            </w:pPr>
            <w:r>
              <w:rPr>
                <w:b/>
                <w:i/>
                <w:sz w:val="18"/>
              </w:rPr>
              <w:t>Instrumental variables</w:t>
            </w:r>
          </w:p>
        </w:tc>
      </w:tr>
      <w:tr>
        <w:trPr>
          <w:cantSplit/>
        </w:trPr>
        <w:tc>
          <w:tcPr>
            <w:tcW w:type="dxa" w:w="1335"/>
          </w:tcPr>
          <w:p>
            <w:pPr>
              <w:pStyle w:val="MDPI42tablebody"/>
              <w:keepNext/>
              <w:spacing w:line="240" w:lineRule="auto" w:before="30" w:after="30"/>
              <w:jc w:val="left"/>
            </w:pPr>
            <w:r>
              <w:rPr>
                <w:b w:val="0"/>
                <w:i/>
                <w:sz w:val="18"/>
              </w:rPr>
              <w:t>CityDiv</w:t>
            </w:r>
          </w:p>
        </w:tc>
        <w:tc>
          <w:tcPr>
            <w:tcW w:type="dxa" w:w="6522"/>
          </w:tcPr>
          <w:p>
            <w:pPr>
              <w:pStyle w:val="MDPI42tablebody"/>
              <w:keepNext/>
              <w:spacing w:line="240" w:lineRule="auto" w:before="30" w:after="30"/>
              <w:jc w:val="left"/>
            </w:pPr>
            <w:r>
              <w:rPr>
                <w:b w:val="0"/>
                <w:i w:val="0"/>
                <w:sz w:val="18"/>
              </w:rPr>
              <w:t>Occupational diversity of the labor pool in the firm's prefecture, from the census and the annual labor statistics, standardized</w:t>
            </w:r>
          </w:p>
        </w:tc>
      </w:tr>
      <w:tr>
        <w:trPr>
          <w:cantSplit/>
        </w:trPr>
        <w:tc>
          <w:tcPr>
            <w:tcW w:type="dxa" w:w="1335"/>
          </w:tcPr>
          <w:p>
            <w:pPr>
              <w:pStyle w:val="MDPI42tablebody"/>
              <w:keepNext/>
              <w:spacing w:line="240" w:lineRule="auto" w:before="30" w:after="30"/>
              <w:jc w:val="left"/>
            </w:pPr>
            <w:r>
              <w:rPr>
                <w:b w:val="0"/>
                <w:i/>
                <w:sz w:val="18"/>
              </w:rPr>
              <w:t>PeerVar</w:t>
            </w:r>
          </w:p>
        </w:tc>
        <w:tc>
          <w:tcPr>
            <w:tcW w:type="dxa" w:w="6522"/>
          </w:tcPr>
          <w:p>
            <w:pPr>
              <w:pStyle w:val="MDPI42tablebody"/>
              <w:keepNext/>
              <w:spacing w:line="240" w:lineRule="auto" w:before="30" w:after="30"/>
              <w:jc w:val="left"/>
            </w:pPr>
            <w:r>
              <w:rPr>
                <w:b w:val="0"/>
                <w:i w:val="0"/>
                <w:sz w:val="18"/>
              </w:rPr>
              <w:t>Mean workforce skill variety of firms in the same two-digit industry located outside the firm's own province</w:t>
            </w:r>
          </w:p>
        </w:tc>
      </w:tr>
      <w:tr>
        <w:trPr>
          <w:cantSplit/>
        </w:trPr>
        <w:tc>
          <w:tcPr>
            <w:tcW w:type="dxa" w:w="7858"/>
            <w:gridSpan w:val="2"/>
          </w:tcPr>
          <w:p>
            <w:pPr>
              <w:pStyle w:val="MDPI42tablebody"/>
              <w:keepNext/>
              <w:spacing w:line="240" w:lineRule="auto" w:before="60" w:after="30"/>
              <w:jc w:val="left"/>
            </w:pPr>
            <w:r>
              <w:rPr>
                <w:b/>
                <w:i/>
                <w:sz w:val="18"/>
              </w:rPr>
              <w:t>Placebo variable</w:t>
            </w:r>
          </w:p>
        </w:tc>
      </w:tr>
      <w:tr>
        <w:trPr>
          <w:cantSplit/>
        </w:trPr>
        <w:tc>
          <w:tcPr>
            <w:tcW w:type="dxa" w:w="1335"/>
          </w:tcPr>
          <w:p>
            <w:pPr>
              <w:pStyle w:val="MDPI42tablebody"/>
              <w:spacing w:line="240" w:lineRule="auto" w:before="30" w:after="30"/>
              <w:jc w:val="left"/>
            </w:pPr>
            <w:r>
              <w:rPr>
                <w:b w:val="0"/>
                <w:i/>
                <w:sz w:val="18"/>
              </w:rPr>
              <w:t>Exper</w:t>
            </w:r>
          </w:p>
        </w:tc>
        <w:tc>
          <w:tcPr>
            <w:tcW w:type="dxa" w:w="6522"/>
          </w:tcPr>
          <w:p>
            <w:pPr>
              <w:pStyle w:val="MDPI42tablebody"/>
              <w:spacing w:line="240" w:lineRule="auto" w:before="30" w:after="30"/>
              <w:jc w:val="left"/>
            </w:pPr>
            <w:r>
              <w:rPr>
                <w:b w:val="0"/>
                <w:i w:val="0"/>
                <w:sz w:val="18"/>
              </w:rPr>
              <w:t>Share of employees aged 31 to 50 in the firm's total workforce (%)</w:t>
            </w:r>
          </w:p>
        </w:tc>
      </w:tr>
    </w:tbl>
    <w:p>
      <w:pPr>
        <w:pStyle w:val="MDPI22heading2"/>
      </w:pPr>
      <w:r>
        <w:t>3.3. Model Specification</w:t>
      </w:r>
    </w:p>
    <w:p>
      <w:pPr>
        <w:pStyle w:val="MDPI32textnoindent"/>
      </w:pPr>
      <w:r>
        <w:rPr>
          <w:b w:val="0"/>
          <w:i w:val="0"/>
        </w:rPr>
        <w:t>The first specification tests H1 and establishes the association between variety and the level of youth employment:</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Variety</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e>
              </m:nary>
            </m:oMath>
          </w:p>
        </w:tc>
        <w:tc>
          <w:tcPr>
            <w:tcW w:type="dxa" w:w="431"/>
            <w:vAlign w:val="center"/>
          </w:tcPr>
          <w:p>
            <w:pPr>
              <w:pStyle w:val="MDPI3aequationnumber"/>
              <w:jc w:val="right"/>
            </w:pPr>
            <w:r>
              <w:t>(4)</w:t>
            </w:r>
          </w:p>
        </w:tc>
      </w:tr>
    </w:tbl>
    <w:p>
      <w:pPr>
        <w:pStyle w:val="MDPI31text"/>
      </w:pPr>
      <w:r>
        <w:rPr>
          <w:b w:val="0"/>
          <w:i w:val="0"/>
        </w:rPr>
        <w:t xml:space="preserve">where </w:t>
      </w:r>
      <m:oMath>
        <m:sSub>
          <m:e>
            <m:r>
              <m:t xml:space="preserve">μ</m:t>
            </m:r>
          </m:e>
          <m:sub>
            <m:r>
              <m:t xml:space="preserve">i</m:t>
            </m:r>
          </m:sub>
        </m:sSub>
      </m:oMath>
      <w:r>
        <w:rPr>
          <w:b w:val="0"/>
          <w:i w:val="0"/>
        </w:rPr>
        <w:t xml:space="preserve"> and </w:t>
      </w:r>
      <m:oMath>
        <m:sSub>
          <m:e>
            <m:r>
              <m:t xml:space="preserve">λ</m:t>
            </m:r>
          </m:e>
          <m:sub>
            <m:r>
              <m:t xml:space="preserve">t</m:t>
            </m:r>
          </m:sub>
        </m:sSub>
      </m:oMath>
      <w:r>
        <w:rPr>
          <w:b w:val="0"/>
          <w:i w:val="0"/>
        </w:rPr>
        <w:t xml:space="preserve"> are firm and year effects and standard errors are clustered at the firm level </w:t>
      </w:r>
      <w:r>
        <w:t>[</w:t>
      </w:r>
      <w:r>
        <w:fldChar w:fldCharType="begin"/>
      </w:r>
      <w:r>
        <w:instrText xml:space="preserve"> REF _Ref_73 \h </w:instrText>
      </w:r>
      <w:r>
        <w:fldChar w:fldCharType="separate"/>
      </w:r>
      <w:r>
        <w:t>73</w:t>
      </w:r>
      <w:r>
        <w:fldChar w:fldCharType="end"/>
      </w:r>
      <w:r>
        <w:t>–</w:t>
      </w:r>
      <w:r>
        <w:fldChar w:fldCharType="begin"/>
      </w:r>
      <w:r>
        <w:instrText xml:space="preserve"> REF _Ref_75 \h </w:instrText>
      </w:r>
      <w:r>
        <w:fldChar w:fldCharType="separate"/>
      </w:r>
      <w:r>
        <w:t>75</w:t>
      </w:r>
      <w:r>
        <w:fldChar w:fldCharType="end"/>
      </w:r>
      <w:r>
        <w:t>]</w:t>
      </w:r>
      <w:r>
        <w:rPr>
          <w:b w:val="0"/>
          <w:i w:val="0"/>
        </w:rPr>
        <w:t>. The buffering hypothesis H2 requires the interaction:</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β</m:t>
                  </m:r>
                </m:e>
                <m:sub>
                  <m:r>
                    <m:rPr>
                      <m:sty m:val="p"/>
                    </m:rPr>
                    <m:t xml:space="preserve">0</m:t>
                  </m:r>
                </m:sub>
              </m:sSub>
              <m:r>
                <m:rPr>
                  <m:sty m:val="p"/>
                </m:rPr>
                <m:t xml:space="preserve">+</m:t>
              </m:r>
              <m:sSub>
                <m:e>
                  <m:r>
                    <m:t xml:space="preserve">β</m:t>
                  </m:r>
                </m:e>
                <m:sub>
                  <m:r>
                    <m:rPr>
                      <m:sty m:val="p"/>
                    </m:rPr>
                    <m:t xml:space="preserve">1</m:t>
                  </m:r>
                </m:sub>
              </m:sSub>
              <m:sSub>
                <m:e>
                  <m:r>
                    <m:t xml:space="preserve">Shock</m:t>
                  </m:r>
                </m:e>
                <m:sub>
                  <m:r>
                    <m:t xml:space="preserve">i</m:t>
                  </m:r>
                  <m:r>
                    <m:t xml:space="preserve">t</m:t>
                  </m:r>
                </m:sub>
              </m:sSub>
              <m:r>
                <m:rPr>
                  <m:sty m:val="p"/>
                </m:rPr>
                <m:t xml:space="preserve">+</m:t>
              </m:r>
              <m:sSub>
                <m:e>
                  <m:r>
                    <m:t xml:space="preserve">β</m:t>
                  </m:r>
                </m:e>
                <m:sub>
                  <m:r>
                    <m:rPr>
                      <m:sty m:val="p"/>
                    </m:rPr>
                    <m:t xml:space="preserve">2</m:t>
                  </m:r>
                </m:sub>
              </m:sSub>
              <m:sSub>
                <m:e>
                  <m:r>
                    <m:t xml:space="preserve">Variety</m:t>
                  </m:r>
                </m:e>
                <m:sub>
                  <m:r>
                    <m:t xml:space="preserve">i</m:t>
                  </m:r>
                  <m:r>
                    <m:t xml:space="preserve">t</m:t>
                  </m:r>
                </m:sub>
              </m:sSub>
              <m:r>
                <m:rPr>
                  <m:sty m:val="p"/>
                </m:rPr>
                <m:t xml:space="preserve">+</m:t>
              </m:r>
              <m:sSub>
                <m:e>
                  <m:r>
                    <m:t xml:space="preserve">β</m:t>
                  </m:r>
                </m:e>
                <m:sub>
                  <m:r>
                    <m:rPr>
                      <m:sty m:val="p"/>
                    </m:rPr>
                    <m:t xml:space="preserve">3</m:t>
                  </m:r>
                </m:sub>
              </m:sSub>
              <m:sSub>
                <m:e>
                  <m:r>
                    <m:t xml:space="preserve">Shock</m:t>
                  </m:r>
                </m:e>
                <m:sub>
                  <m:r>
                    <m:t xml:space="preserve">i</m:t>
                  </m:r>
                  <m:r>
                    <m:t xml:space="preserve">t</m:t>
                  </m:r>
                </m:sub>
              </m:sSub>
              <m:r>
                <m:rPr>
                  <m:sty m:val="p"/>
                </m:rPr>
                <m:t xml:space="preserve">×</m:t>
              </m:r>
              <m:r>
                <m:t xml:space="preserve"> </m:t>
              </m:r>
              <m:sSub>
                <m:e>
                  <m:r>
                    <m:t xml:space="preserve">Variety</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η</m:t>
                      </m:r>
                    </m:e>
                    <m:sub>
                      <m:r>
                        <m:t xml:space="preserve">i</m:t>
                      </m:r>
                      <m:r>
                        <m:t xml:space="preserve">t</m:t>
                      </m:r>
                    </m:sub>
                  </m:sSub>
                </m:e>
              </m:nary>
            </m:oMath>
          </w:p>
        </w:tc>
        <w:tc>
          <w:tcPr>
            <w:tcW w:type="dxa" w:w="431"/>
            <w:vAlign w:val="center"/>
          </w:tcPr>
          <w:p>
            <w:pPr>
              <w:pStyle w:val="MDPI3aequationnumber"/>
              <w:jc w:val="right"/>
            </w:pPr>
            <w:r>
              <w:t>(5)</w:t>
            </w:r>
          </w:p>
        </w:tc>
      </w:tr>
    </w:tbl>
    <w:p>
      <w:pPr>
        <w:pStyle w:val="MDPI31text"/>
      </w:pPr>
      <w:r>
        <w:rPr>
          <w:b w:val="0"/>
          <w:i w:val="0"/>
        </w:rPr>
        <w:t xml:space="preserve">in which the object of interest is not </w:t>
      </w:r>
      <m:oMath>
        <m:sSub>
          <m:e>
            <m:r>
              <m:t xml:space="preserve">β</m:t>
            </m:r>
          </m:e>
          <m:sub>
            <m:r>
              <m:rPr>
                <m:sty m:val="p"/>
              </m:rPr>
              <m:t xml:space="preserve">1</m:t>
            </m:r>
          </m:sub>
        </m:sSub>
      </m:oMath>
      <w:r>
        <w:rPr>
          <w:b w:val="0"/>
          <w:i w:val="0"/>
        </w:rPr>
        <w:t xml:space="preserve"> but the marginal effect of the shock at a given level of variety,</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f>
                <m:num>
                  <m:r>
                    <m:rPr>
                      <m:sty m:val="p"/>
                    </m:rPr>
                    <m:t xml:space="preserve">∂</m:t>
                  </m:r>
                  <m:r>
                    <m:t xml:space="preserve"> </m:t>
                  </m:r>
                  <m:sSub>
                    <m:e>
                      <m:r>
                        <m:t xml:space="preserve">Youth</m:t>
                      </m:r>
                    </m:e>
                    <m:sub>
                      <m:r>
                        <m:t xml:space="preserve">i</m:t>
                      </m:r>
                      <m:r>
                        <m:t xml:space="preserve">t</m:t>
                      </m:r>
                    </m:sub>
                  </m:sSub>
                </m:num>
                <m:den>
                  <m:r>
                    <m:rPr>
                      <m:sty m:val="p"/>
                    </m:rPr>
                    <m:t xml:space="preserve">∂</m:t>
                  </m:r>
                  <m:r>
                    <m:t xml:space="preserve"> </m:t>
                  </m:r>
                  <m:sSub>
                    <m:e>
                      <m:r>
                        <m:t xml:space="preserve">Shock</m:t>
                      </m:r>
                    </m:e>
                    <m:sub>
                      <m:r>
                        <m:t xml:space="preserve">i</m:t>
                      </m:r>
                      <m:r>
                        <m:t xml:space="preserve">t</m:t>
                      </m:r>
                    </m:sub>
                  </m:sSub>
                </m:den>
              </m:f>
              <m:r>
                <m:rPr>
                  <m:sty m:val="p"/>
                </m:rPr>
                <m:t xml:space="preserve">=</m:t>
              </m:r>
              <m:sSub>
                <m:e>
                  <m:r>
                    <m:t xml:space="preserve">β</m:t>
                  </m:r>
                </m:e>
                <m:sub>
                  <m:r>
                    <m:rPr>
                      <m:sty m:val="p"/>
                    </m:rPr>
                    <m:t xml:space="preserve">1</m:t>
                  </m:r>
                </m:sub>
              </m:sSub>
              <m:r>
                <m:rPr>
                  <m:sty m:val="p"/>
                </m:rPr>
                <m:t xml:space="preserve">+</m:t>
              </m:r>
              <m:sSub>
                <m:e>
                  <m:r>
                    <m:t xml:space="preserve">β</m:t>
                  </m:r>
                </m:e>
                <m:sub>
                  <m:r>
                    <m:rPr>
                      <m:sty m:val="p"/>
                    </m:rPr>
                    <m:t xml:space="preserve">3</m:t>
                  </m:r>
                </m:sub>
              </m:sSub>
              <m:sSub>
                <m:e>
                  <m:r>
                    <m:t xml:space="preserve">Variety</m:t>
                  </m:r>
                </m:e>
                <m:sub>
                  <m:r>
                    <m:t xml:space="preserve">i</m:t>
                  </m:r>
                  <m:r>
                    <m:t xml:space="preserve">t</m:t>
                  </m:r>
                </m:sub>
              </m:sSub>
            </m:oMath>
          </w:p>
        </w:tc>
        <w:tc>
          <w:tcPr>
            <w:tcW w:type="dxa" w:w="431"/>
            <w:vAlign w:val="center"/>
          </w:tcPr>
          <w:p>
            <w:pPr>
              <w:pStyle w:val="MDPI3aequationnumber"/>
              <w:jc w:val="right"/>
            </w:pPr>
            <w:r>
              <w:t>(6)</w:t>
            </w:r>
          </w:p>
        </w:tc>
      </w:tr>
    </w:tbl>
    <w:p>
      <w:pPr>
        <w:pStyle w:val="MDPI31text"/>
      </w:pPr>
      <w:r>
        <w:rPr>
          <w:b w:val="0"/>
          <w:i w:val="0"/>
        </w:rPr>
        <w:t xml:space="preserve">which H2 predicts to be negative and rising towards zero in variety, so that </w:t>
      </w:r>
      <m:oMath>
        <m:sSub>
          <m:e>
            <m:r>
              <m:t xml:space="preserve">β</m:t>
            </m:r>
          </m:e>
          <m:sub>
            <m:r>
              <m:rPr>
                <m:sty m:val="p"/>
              </m:rPr>
              <m:t xml:space="preserve">3</m:t>
            </m:r>
          </m:sub>
        </m:sSub>
        <m:r>
          <m:rPr>
            <m:sty m:val="p"/>
          </m:rPr>
          <m:t xml:space="preserve">&gt;</m:t>
        </m:r>
        <m:r>
          <m:rPr>
            <m:sty m:val="p"/>
          </m:rPr>
          <m:t xml:space="preserve">0</m:t>
        </m:r>
      </m:oMath>
      <w:r>
        <w:rPr>
          <w:b w:val="0"/>
          <w:i w:val="0"/>
        </w:rPr>
        <w:t xml:space="preserve">. Replacing </w:t>
      </w:r>
      <m:oMath>
        <m:r>
          <m:t xml:space="preserve">Variety</m:t>
        </m:r>
      </m:oMath>
      <w:r>
        <w:rPr>
          <w:b w:val="0"/>
          <w:i w:val="0"/>
        </w:rPr>
        <w:t xml:space="preserve"> by </w:t>
      </w:r>
      <m:oMath>
        <m:r>
          <m:t xml:space="preserve">RelVar</m:t>
        </m:r>
      </m:oMath>
      <w:r>
        <w:rPr>
          <w:b w:val="0"/>
          <w:i w:val="0"/>
        </w:rPr>
        <w:t xml:space="preserve"> and </w:t>
      </w:r>
      <m:oMath>
        <m:r>
          <m:t xml:space="preserve">UnrelVar</m:t>
        </m:r>
      </m:oMath>
      <w:r>
        <w:rPr>
          <w:b w:val="0"/>
          <w:i w:val="0"/>
        </w:rPr>
        <w:t xml:space="preserve"> and interacting each with the shock tests H3, and the equality of the two interaction coefficients is assessed by a Wald test.</w:t>
      </w:r>
    </w:p>
    <w:p>
      <w:pPr>
        <w:pStyle w:val="MDPI31text"/>
      </w:pPr>
      <w:r>
        <w:rPr>
          <w:b w:val="0"/>
          <w:i w:val="0"/>
        </w:rPr>
        <w:t>The absorption mechanism of H4 is examined in two steps. The mediator equation asks whether variety changes how the firm responds to the shock:</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Med</m:t>
                  </m:r>
                </m:e>
                <m:sub>
                  <m:r>
                    <m:t xml:space="preserve">i</m:t>
                  </m:r>
                  <m:r>
                    <m:t xml:space="preserve">t</m:t>
                  </m:r>
                </m:sub>
              </m:sSub>
              <m:r>
                <m:rPr>
                  <m:sty m:val="p"/>
                </m:rPr>
                <m:t xml:space="preserve">=</m:t>
              </m:r>
              <m:sSub>
                <m:e>
                  <m:r>
                    <m:t xml:space="preserve">δ</m:t>
                  </m:r>
                </m:e>
                <m:sub>
                  <m:r>
                    <m:rPr>
                      <m:sty m:val="p"/>
                    </m:rPr>
                    <m:t xml:space="preserve">0</m:t>
                  </m:r>
                </m:sub>
              </m:sSub>
              <m:r>
                <m:rPr>
                  <m:sty m:val="p"/>
                </m:rPr>
                <m:t xml:space="preserve">+</m:t>
              </m:r>
              <m:sSub>
                <m:e>
                  <m:r>
                    <m:t xml:space="preserve">δ</m:t>
                  </m:r>
                </m:e>
                <m:sub>
                  <m:r>
                    <m:rPr>
                      <m:sty m:val="p"/>
                    </m:rPr>
                    <m:t xml:space="preserve">1</m:t>
                  </m:r>
                </m:sub>
              </m:sSub>
              <m:sSub>
                <m:e>
                  <m:r>
                    <m:t xml:space="preserve">Shock</m:t>
                  </m:r>
                </m:e>
                <m:sub>
                  <m:r>
                    <m:t xml:space="preserve">i</m:t>
                  </m:r>
                  <m:r>
                    <m:t xml:space="preserve">t</m:t>
                  </m:r>
                </m:sub>
              </m:sSub>
              <m:r>
                <m:rPr>
                  <m:sty m:val="p"/>
                </m:rPr>
                <m:t xml:space="preserve">+</m:t>
              </m:r>
              <m:sSub>
                <m:e>
                  <m:r>
                    <m:t xml:space="preserve">δ</m:t>
                  </m:r>
                </m:e>
                <m:sub>
                  <m:r>
                    <m:rPr>
                      <m:sty m:val="p"/>
                    </m:rPr>
                    <m:t xml:space="preserve">2</m:t>
                  </m:r>
                </m:sub>
              </m:sSub>
              <m:sSub>
                <m:e>
                  <m:r>
                    <m:t xml:space="preserve">Variety</m:t>
                  </m:r>
                </m:e>
                <m:sub>
                  <m:r>
                    <m:t xml:space="preserve">i</m:t>
                  </m:r>
                  <m:r>
                    <m:t xml:space="preserve">t</m:t>
                  </m:r>
                </m:sub>
              </m:sSub>
              <m:r>
                <m:rPr>
                  <m:sty m:val="p"/>
                </m:rPr>
                <m:t xml:space="preserve">+</m:t>
              </m:r>
              <m:sSub>
                <m:e>
                  <m:r>
                    <m:t xml:space="preserve">δ</m:t>
                  </m:r>
                </m:e>
                <m:sub>
                  <m:r>
                    <m:rPr>
                      <m:sty m:val="p"/>
                    </m:rPr>
                    <m:t xml:space="preserve">3</m:t>
                  </m:r>
                </m:sub>
              </m:sSub>
              <m:sSub>
                <m:e>
                  <m:r>
                    <m:t xml:space="preserve">Shock</m:t>
                  </m:r>
                </m:e>
                <m:sub>
                  <m:r>
                    <m:t xml:space="preserve">i</m:t>
                  </m:r>
                  <m:r>
                    <m:t xml:space="preserve">t</m:t>
                  </m:r>
                </m:sub>
              </m:sSub>
              <m:r>
                <m:rPr>
                  <m:sty m:val="p"/>
                </m:rPr>
                <m:t xml:space="preserve">×</m:t>
              </m:r>
              <m:r>
                <m:t xml:space="preserve"> </m:t>
              </m:r>
              <m:sSub>
                <m:e>
                  <m:r>
                    <m:t xml:space="preserve">Variety</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ζ</m:t>
                      </m:r>
                    </m:e>
                    <m:sub>
                      <m:r>
                        <m:t xml:space="preserve">i</m:t>
                      </m:r>
                      <m:r>
                        <m:t xml:space="preserve">t</m:t>
                      </m:r>
                    </m:sub>
                  </m:sSub>
                </m:e>
              </m:nary>
            </m:oMath>
          </w:p>
        </w:tc>
        <w:tc>
          <w:tcPr>
            <w:tcW w:type="dxa" w:w="431"/>
            <w:vAlign w:val="center"/>
          </w:tcPr>
          <w:p>
            <w:pPr>
              <w:pStyle w:val="MDPI3aequationnumber"/>
              <w:jc w:val="right"/>
            </w:pPr>
            <w:r>
              <w:t>(7)</w:t>
            </w:r>
          </w:p>
        </w:tc>
      </w:tr>
    </w:tbl>
    <w:p>
      <w:pPr>
        <w:pStyle w:val="MDPI31text"/>
      </w:pPr>
      <w:r>
        <w:rPr>
          <w:b w:val="0"/>
          <w:i w:val="0"/>
        </w:rPr>
        <w:t xml:space="preserve">where </w:t>
      </w:r>
      <m:oMath>
        <m:sSub>
          <m:e>
            <m:r>
              <m:t xml:space="preserve">Med</m:t>
            </m:r>
          </m:e>
          <m:sub>
            <m:r>
              <m:t xml:space="preserve">i</m:t>
            </m:r>
            <m:r>
              <m:t xml:space="preserve">t</m:t>
            </m:r>
          </m:sub>
        </m:sSub>
      </m:oMath>
      <w:r>
        <w:rPr>
          <w:b w:val="0"/>
          <w:i w:val="0"/>
        </w:rPr>
        <w:t xml:space="preserve"> is either </w:t>
      </w:r>
      <m:oMath>
        <m:sSub>
          <m:e>
            <m:r>
              <m:t xml:space="preserve">Redeploy</m:t>
            </m:r>
          </m:e>
          <m:sub>
            <m:r>
              <m:t xml:space="preserve">i</m:t>
            </m:r>
            <m:r>
              <m:t xml:space="preserve">t</m:t>
            </m:r>
          </m:sub>
        </m:sSub>
      </m:oMath>
      <w:r>
        <w:rPr>
          <w:b w:val="0"/>
          <w:i w:val="0"/>
        </w:rPr>
        <w:t xml:space="preserve"> or </w:t>
      </w:r>
      <m:oMath>
        <m:sSub>
          <m:e>
            <m:r>
              <m:t xml:space="preserve">Churn</m:t>
            </m:r>
          </m:e>
          <m:sub>
            <m:r>
              <m:t xml:space="preserve">i</m:t>
            </m:r>
            <m:r>
              <m:t xml:space="preserve">t</m:t>
            </m:r>
          </m:sub>
        </m:sSub>
      </m:oMath>
      <w:r>
        <w:rPr>
          <w:b w:val="0"/>
          <w:i w:val="0"/>
        </w:rPr>
        <w:t xml:space="preserve">; the outcome equation then adds the mediator to Equation (5) and yields a coefficient </w:t>
      </w:r>
      <m:oMath>
        <m:r>
          <m:t xml:space="preserve">θ</m:t>
        </m:r>
      </m:oMath>
      <w:r>
        <w:rPr>
          <w:b w:val="0"/>
          <w:i w:val="0"/>
        </w:rPr>
        <w:t xml:space="preserve"> on it, so that the part of the buffering carried by that channel is </w:t>
      </w:r>
      <m:oMath>
        <m:sSub>
          <m:e>
            <m:r>
              <m:t xml:space="preserve">δ</m:t>
            </m:r>
          </m:e>
          <m:sub>
            <m:r>
              <m:rPr>
                <m:sty m:val="p"/>
              </m:rPr>
              <m:t xml:space="preserve">3</m:t>
            </m:r>
          </m:sub>
        </m:sSub>
        <m:r>
          <m:t xml:space="preserve">θ</m:t>
        </m:r>
      </m:oMath>
      <w:r>
        <w:rPr>
          <w:b w:val="0"/>
          <w:i w:val="0"/>
        </w:rPr>
        <w:t xml:space="preserve">. Because this product is not normally distributed, its confidence interval is obtained from a bootstrap that resamples whole firms, which preserves the within-firm dependence of the panel </w:t>
      </w:r>
      <w:r>
        <w:t>[</w:t>
      </w:r>
      <w:r>
        <w:fldChar w:fldCharType="begin"/>
      </w:r>
      <w:r>
        <w:instrText xml:space="preserve"> REF _Ref_76 \h </w:instrText>
      </w:r>
      <w:r>
        <w:fldChar w:fldCharType="separate"/>
      </w:r>
      <w:r>
        <w:t>76</w:t>
      </w:r>
      <w:r>
        <w:fldChar w:fldCharType="end"/>
      </w:r>
      <w:r>
        <w:t>–</w:t>
      </w:r>
      <w:r>
        <w:fldChar w:fldCharType="begin"/>
      </w:r>
      <w:r>
        <w:instrText xml:space="preserve"> REF _Ref_78 \h </w:instrText>
      </w:r>
      <w:r>
        <w:fldChar w:fldCharType="separate"/>
      </w:r>
      <w:r>
        <w:t>78</w:t>
      </w:r>
      <w:r>
        <w:fldChar w:fldCharType="end"/>
      </w:r>
      <w:r>
        <w:t>]</w:t>
      </w:r>
      <w:r>
        <w:rPr>
          <w:b w:val="0"/>
          <w:i w:val="0"/>
        </w:rPr>
        <w:t>. The enabling conditions of H6 are tested by triple interactions of the form</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π</m:t>
                  </m:r>
                </m:e>
                <m:sub>
                  <m:r>
                    <m:rPr>
                      <m:sty m:val="p"/>
                    </m:rPr>
                    <m:t xml:space="preserve">0</m:t>
                  </m:r>
                </m:sub>
              </m:sSub>
              <m:r>
                <m:rPr>
                  <m:sty m:val="p"/>
                </m:rPr>
                <m:t xml:space="preserve">+</m:t>
              </m:r>
              <m:sSub>
                <m:e>
                  <m:r>
                    <m:t xml:space="preserve">π</m:t>
                  </m:r>
                </m:e>
                <m:sub>
                  <m:r>
                    <m:rPr>
                      <m:sty m:val="p"/>
                    </m:rPr>
                    <m:t xml:space="preserve">1</m:t>
                  </m:r>
                </m:sub>
              </m:sSub>
              <m:sSub>
                <m:e>
                  <m:r>
                    <m:t xml:space="preserve">Shock</m:t>
                  </m:r>
                </m:e>
                <m:sub>
                  <m:r>
                    <m:t xml:space="preserve">i</m:t>
                  </m:r>
                  <m:r>
                    <m:t xml:space="preserve">t</m:t>
                  </m:r>
                </m:sub>
              </m:sSub>
              <m:r>
                <m:rPr>
                  <m:sty m:val="p"/>
                </m:rPr>
                <m:t xml:space="preserve">×</m:t>
              </m:r>
              <m:r>
                <m:t xml:space="preserve"> </m:t>
              </m:r>
              <m:sSub>
                <m:e>
                  <m:r>
                    <m:t xml:space="preserve">Variety</m:t>
                  </m:r>
                </m:e>
                <m:sub>
                  <m:r>
                    <m:t xml:space="preserve">i</m:t>
                  </m:r>
                  <m:r>
                    <m:t xml:space="preserve">t</m:t>
                  </m:r>
                </m:sub>
              </m:sSub>
              <m:r>
                <m:rPr>
                  <m:sty m:val="p"/>
                </m:rPr>
                <m:t xml:space="preserve">×</m:t>
              </m:r>
              <m:r>
                <m:t xml:space="preserve"> </m:t>
              </m:r>
              <m:sSub>
                <m:e>
                  <m:r>
                    <m:t xml:space="preserve">M</m:t>
                  </m:r>
                </m:e>
                <m:sub>
                  <m:r>
                    <m:t xml:space="preserve">i</m:t>
                  </m:r>
                  <m:r>
                    <m:t xml:space="preserve">t</m:t>
                  </m:r>
                </m:sub>
              </m:sSub>
              <m:r>
                <m:rPr>
                  <m:sty m:val="p"/>
                </m:rPr>
                <m:t xml:space="preserve">+</m:t>
              </m:r>
              <m:r>
                <m:rPr>
                  <m:sty m:val="p"/>
                </m:rPr>
                <m:t xml:space="preserve">(all lower-order terms)</m:t>
              </m:r>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ν</m:t>
                      </m:r>
                    </m:e>
                    <m:sub>
                      <m:r>
                        <m:t xml:space="preserve">i</m:t>
                      </m:r>
                      <m:r>
                        <m:t xml:space="preserve">t</m:t>
                      </m:r>
                    </m:sub>
                  </m:sSub>
                </m:e>
              </m:nary>
            </m:oMath>
          </w:p>
        </w:tc>
        <w:tc>
          <w:tcPr>
            <w:tcW w:type="dxa" w:w="431"/>
            <w:vAlign w:val="center"/>
          </w:tcPr>
          <w:p>
            <w:pPr>
              <w:pStyle w:val="MDPI3aequationnumber"/>
              <w:jc w:val="right"/>
            </w:pPr>
            <w:r>
              <w:t>(8)</w:t>
            </w:r>
          </w:p>
        </w:tc>
      </w:tr>
    </w:tbl>
    <w:p>
      <w:pPr>
        <w:pStyle w:val="MDPI31text"/>
      </w:pPr>
      <w:r>
        <w:rPr>
          <w:b w:val="0"/>
          <w:i w:val="0"/>
        </w:rPr>
        <w:t xml:space="preserve">with </w:t>
      </w:r>
      <m:oMath>
        <m:sSub>
          <m:e>
            <m:r>
              <m:t xml:space="preserve">M</m:t>
            </m:r>
          </m:e>
          <m:sub>
            <m:r>
              <m:t xml:space="preserve">i</m:t>
            </m:r>
            <m:r>
              <m:t xml:space="preserve">t</m:t>
            </m:r>
          </m:sub>
        </m:sSub>
      </m:oMath>
      <w:r>
        <w:rPr>
          <w:b w:val="0"/>
          <w:i w:val="0"/>
        </w:rPr>
        <w:t xml:space="preserve"> equal to </w:t>
      </w:r>
      <m:oMath>
        <m:sSub>
          <m:e>
            <m:r>
              <m:t xml:space="preserve">Digital</m:t>
            </m:r>
          </m:e>
          <m:sub>
            <m:r>
              <m:t xml:space="preserve">i</m:t>
            </m:r>
            <m:r>
              <m:t xml:space="preserve">t</m:t>
            </m:r>
          </m:sub>
        </m:sSub>
      </m:oMath>
      <w:r>
        <w:rPr>
          <w:b w:val="0"/>
          <w:i w:val="0"/>
        </w:rPr>
        <w:t xml:space="preserve"> or </w:t>
      </w:r>
      <m:oMath>
        <m:sSub>
          <m:e>
            <m:r>
              <m:t xml:space="preserve">Slack</m:t>
            </m:r>
          </m:e>
          <m:sub>
            <m:r>
              <m:t xml:space="preserve">i</m:t>
            </m:r>
            <m:r>
              <m:t xml:space="preserve">t</m:t>
            </m:r>
          </m:sub>
        </m:sSub>
      </m:oMath>
      <w:r>
        <w:rPr>
          <w:b w:val="0"/>
          <w:i w:val="0"/>
        </w:rPr>
        <w:t>.</w:t>
      </w:r>
    </w:p>
    <w:p>
      <w:pPr>
        <w:pStyle w:val="MDPI31text"/>
      </w:pPr>
      <w:r>
        <w:rPr>
          <w:b w:val="0"/>
          <w:i w:val="0"/>
        </w:rPr>
        <w:t xml:space="preserve">Workforce variety is a choice, so Equation (5) may confound the buffering capacity of variety with the characteristics of firms that choose to be diverse. Two excluded instruments are used. The first is the occupational diversity of the labor pool in the firm’s prefecture, which determines the range of skills a firm can assemble but has no direct bearing on its age structure once firm and year effects are absorbed. The second is the mean workforce variety of firms in the same two-digit industry located outside the firm’s own province, which captures the skill requirements of the technology while excluding local labor market conditions. Because the design contains two endogenous regressors, </w:t>
      </w:r>
      <m:oMath>
        <m:r>
          <m:t xml:space="preserve">Variety</m:t>
        </m:r>
      </m:oMath>
      <w:r>
        <w:rPr>
          <w:b w:val="0"/>
          <w:i w:val="0"/>
        </w:rPr>
        <w:t xml:space="preserve"> and its interaction with the shock, each instrument enters both in levels and interacted with the shock, giving four instruments for two endogenous variables and hence an overidentified system whose exclusion restriction can be assessed by the Hansen J statistic </w:t>
      </w:r>
      <w:r>
        <w:t>[</w:t>
      </w:r>
      <w:r>
        <w:fldChar w:fldCharType="begin"/>
      </w:r>
      <w:r>
        <w:instrText xml:space="preserve"> REF _Ref_79 \h </w:instrText>
      </w:r>
      <w:r>
        <w:fldChar w:fldCharType="separate"/>
      </w:r>
      <w:r>
        <w:t>79</w:t>
      </w:r>
      <w:r>
        <w:fldChar w:fldCharType="end"/>
      </w:r>
      <w:r>
        <w:t>–</w:t>
      </w:r>
      <w:r>
        <w:fldChar w:fldCharType="begin"/>
      </w:r>
      <w:r>
        <w:instrText xml:space="preserve"> REF _Ref_81 \h </w:instrText>
      </w:r>
      <w:r>
        <w:fldChar w:fldCharType="separate"/>
      </w:r>
      <w:r>
        <w:t>81</w:t>
      </w:r>
      <w:r>
        <w:fldChar w:fldCharType="end"/>
      </w:r>
      <w:r>
        <w:t>]</w:t>
      </w:r>
      <w:r>
        <w:rPr>
          <w:b w:val="0"/>
          <w:i w:val="0"/>
        </w:rPr>
        <w:t>.</w:t>
      </w:r>
    </w:p>
    <w:p>
      <w:pPr>
        <w:pStyle w:val="MDPI22heading2"/>
      </w:pPr>
      <w:r>
        <w:t>3.4. The Threshold Specification</w:t>
      </w:r>
    </w:p>
    <w:p>
      <w:pPr>
        <w:pStyle w:val="MDPI32textnoindent"/>
      </w:pPr>
      <w:r>
        <w:rPr>
          <w:b w:val="0"/>
          <w:i w:val="0"/>
        </w:rPr>
        <w:t xml:space="preserve">H5 asserts a regime change rather than a gradient, which the interaction model of Equation (5) cannot represent. The fixed-effects panel threshold model of Ref. </w:t>
      </w:r>
      <w:r>
        <w:t>[</w:t>
      </w:r>
      <w:r>
        <w:fldChar w:fldCharType="begin"/>
      </w:r>
      <w:r>
        <w:instrText xml:space="preserve"> REF _Ref_29 \h </w:instrText>
      </w:r>
      <w:r>
        <w:fldChar w:fldCharType="separate"/>
      </w:r>
      <w:r>
        <w:t>29</w:t>
      </w:r>
      <w:r>
        <w:fldChar w:fldCharType="end"/>
      </w:r>
      <w:r>
        <w:t>]</w:t>
      </w:r>
      <w:r>
        <w:rPr>
          <w:b w:val="0"/>
          <w:i w:val="0"/>
        </w:rPr>
        <w:t xml:space="preserve"> is therefore estimated, letting the slope on the shock differ according to whether variety lies below or above an unknown value </w:t>
      </w:r>
      <m:oMath>
        <m:r>
          <m:t xml:space="preserve">γ</m:t>
        </m:r>
      </m:oMath>
      <w:r>
        <w:rPr>
          <w:b w:val="0"/>
          <w:i w:val="0"/>
        </w:rPr>
        <w:t>:</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φ</m:t>
                  </m:r>
                </m:e>
                <m:sub>
                  <m:r>
                    <m:rPr>
                      <m:sty m:val="p"/>
                    </m:rPr>
                    <m:t xml:space="preserve">1</m:t>
                  </m:r>
                </m:sub>
              </m:sSub>
              <m:sSub>
                <m:e>
                  <m:r>
                    <m:t xml:space="preserve">Shock</m:t>
                  </m:r>
                </m:e>
                <m:sub>
                  <m:r>
                    <m:t xml:space="preserve">i</m:t>
                  </m:r>
                  <m:r>
                    <m:t xml:space="preserve">t</m:t>
                  </m:r>
                </m:sub>
              </m:sSub>
              <m:r>
                <m:t xml:space="preserve">I</m:t>
              </m:r>
              <m:r>
                <m:rPr>
                  <m:sty m:val="p"/>
                </m:rPr>
                <m:t xml:space="preserve">(</m:t>
              </m:r>
              <m:sSub>
                <m:e>
                  <m:r>
                    <m:t xml:space="preserve">Variety</m:t>
                  </m:r>
                </m:e>
                <m:sub>
                  <m:r>
                    <m:t xml:space="preserve">i</m:t>
                  </m:r>
                  <m:r>
                    <m:t xml:space="preserve">t</m:t>
                  </m:r>
                </m:sub>
              </m:sSub>
              <m:r>
                <m:rPr>
                  <m:sty m:val="p"/>
                </m:rPr>
                <m:t xml:space="preserve">≤</m:t>
              </m:r>
              <m:r>
                <m:t xml:space="preserve">γ</m:t>
              </m:r>
              <m:r>
                <m:rPr>
                  <m:sty m:val="p"/>
                </m:rPr>
                <m:t xml:space="preserve">)</m:t>
              </m:r>
              <m:r>
                <m:rPr>
                  <m:sty m:val="p"/>
                </m:rPr>
                <m:t xml:space="preserve">+</m:t>
              </m:r>
              <m:sSub>
                <m:e>
                  <m:r>
                    <m:t xml:space="preserve">φ</m:t>
                  </m:r>
                </m:e>
                <m:sub>
                  <m:r>
                    <m:rPr>
                      <m:sty m:val="p"/>
                    </m:rPr>
                    <m:t xml:space="preserve">2</m:t>
                  </m:r>
                </m:sub>
              </m:sSub>
              <m:sSub>
                <m:e>
                  <m:r>
                    <m:t xml:space="preserve">Shock</m:t>
                  </m:r>
                </m:e>
                <m:sub>
                  <m:r>
                    <m:t xml:space="preserve">i</m:t>
                  </m:r>
                  <m:r>
                    <m:t xml:space="preserve">t</m:t>
                  </m:r>
                </m:sub>
              </m:sSub>
              <m:r>
                <m:t xml:space="preserve">I</m:t>
              </m:r>
              <m:r>
                <m:rPr>
                  <m:sty m:val="p"/>
                </m:rPr>
                <m:t xml:space="preserve">(</m:t>
              </m:r>
              <m:sSub>
                <m:e>
                  <m:r>
                    <m:t xml:space="preserve">Variety</m:t>
                  </m:r>
                </m:e>
                <m:sub>
                  <m:r>
                    <m:t xml:space="preserve">i</m:t>
                  </m:r>
                  <m:r>
                    <m:t xml:space="preserve">t</m:t>
                  </m:r>
                </m:sub>
              </m:sSub>
              <m:r>
                <m:rPr>
                  <m:sty m:val="p"/>
                </m:rPr>
                <m:t xml:space="preserve">&gt;</m:t>
              </m:r>
              <m:r>
                <m:t xml:space="preserve">γ</m:t>
              </m:r>
              <m:r>
                <m:rPr>
                  <m:sty m:val="p"/>
                </m:rPr>
                <m:t xml:space="preserve">)</m:t>
              </m:r>
              <m:r>
                <m:rPr>
                  <m:sty m:val="p"/>
                </m:rPr>
                <m:t xml:space="preserve">+</m:t>
              </m:r>
              <m:r>
                <m:t xml:space="preserve">ρ</m:t>
              </m:r>
              <m:r>
                <m:t xml:space="preserve"> </m:t>
              </m:r>
              <m:sSub>
                <m:e>
                  <m:r>
                    <m:t xml:space="preserve">Variety</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ω</m:t>
                      </m:r>
                    </m:e>
                    <m:sub>
                      <m:r>
                        <m:t xml:space="preserve">i</m:t>
                      </m:r>
                      <m:r>
                        <m:t xml:space="preserve">t</m:t>
                      </m:r>
                    </m:sub>
                  </m:sSub>
                </m:e>
              </m:nary>
            </m:oMath>
          </w:p>
        </w:tc>
        <w:tc>
          <w:tcPr>
            <w:tcW w:type="dxa" w:w="431"/>
            <w:vAlign w:val="center"/>
          </w:tcPr>
          <w:p>
            <w:pPr>
              <w:pStyle w:val="MDPI3aequationnumber"/>
              <w:jc w:val="right"/>
            </w:pPr>
            <w:r>
              <w:t>(9)</w:t>
            </w:r>
          </w:p>
        </w:tc>
      </w:tr>
    </w:tbl>
    <w:p>
      <w:pPr>
        <w:pStyle w:val="MDPI31text"/>
      </w:pPr>
      <w:r>
        <w:rPr>
          <w:b w:val="0"/>
          <w:i w:val="0"/>
        </w:rPr>
        <w:t xml:space="preserve">where </w:t>
      </w:r>
      <m:oMath>
        <m:r>
          <m:t xml:space="preserve">I</m:t>
        </m:r>
        <m:r>
          <m:rPr>
            <m:sty m:val="p"/>
          </m:rPr>
          <m:t xml:space="preserve">(</m:t>
        </m:r>
        <m:r>
          <m:rPr>
            <m:sty m:val="p"/>
          </m:rPr>
          <m:t xml:space="preserve">·</m:t>
        </m:r>
        <m:r>
          <m:rPr>
            <m:sty m:val="p"/>
          </m:rPr>
          <m:t xml:space="preserve">)</m:t>
        </m:r>
      </m:oMath>
      <w:r>
        <w:rPr>
          <w:b w:val="0"/>
          <w:i w:val="0"/>
        </w:rPr>
        <w:t xml:space="preserve"> is the indicator function. The threshold is estimated by concentrated least squares over a grid of the trimmed empirical quantiles of variety, the outer fifteen percent of the distribution being excluded so that each regime retains sufficient observations. The null hypothesis that no threshold exists is tested by the likelihood-ratio statistic</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F</m:t>
                  </m:r>
                </m:e>
                <m:sub>
                  <m:r>
                    <m:rPr>
                      <m:sty m:val="p"/>
                    </m:rPr>
                    <m:t xml:space="preserve">1</m:t>
                  </m:r>
                </m:sub>
              </m:sSub>
              <m:r>
                <m:rPr>
                  <m:sty m:val="p"/>
                </m:rPr>
                <m:t xml:space="preserve">=</m:t>
              </m:r>
              <m:f>
                <m:num>
                  <m:sSub>
                    <m:e>
                      <m:r>
                        <m:t xml:space="preserve">SSR</m:t>
                      </m:r>
                    </m:e>
                    <m:sub>
                      <m:r>
                        <m:rPr>
                          <m:sty m:val="p"/>
                        </m:rPr>
                        <m:t xml:space="preserve">0</m:t>
                      </m:r>
                    </m:sub>
                  </m:sSub>
                  <m:r>
                    <m:rPr>
                      <m:sty m:val="p"/>
                    </m:rPr>
                    <m:t xml:space="preserve">-</m:t>
                  </m:r>
                  <m:sSub>
                    <m:e>
                      <m:r>
                        <m:t xml:space="preserve">SSR</m:t>
                      </m:r>
                    </m:e>
                    <m:sub>
                      <m:r>
                        <m:rPr>
                          <m:sty m:val="p"/>
                        </m:rPr>
                        <m:t xml:space="preserve">1</m:t>
                      </m:r>
                    </m:sub>
                  </m:sSub>
                  <m:r>
                    <m:rPr>
                      <m:sty m:val="p"/>
                    </m:rPr>
                    <m:t xml:space="preserve">(</m:t>
                  </m:r>
                  <m:acc>
                    <m:accPr>
                      <m:chr m:val="^"/>
                    </m:accPr>
                    <m:e>
                      <m:r>
                        <m:t xml:space="preserve">γ</m:t>
                      </m:r>
                    </m:e>
                  </m:acc>
                  <m:r>
                    <m:rPr>
                      <m:sty m:val="p"/>
                    </m:rPr>
                    <m:t xml:space="preserve">)</m:t>
                  </m:r>
                </m:num>
                <m:den>
                  <m:sSup>
                    <m:e>
                      <m:acc>
                        <m:accPr>
                          <m:chr m:val="^"/>
                        </m:accPr>
                        <m:e>
                          <m:r>
                            <m:t xml:space="preserve">σ</m:t>
                          </m:r>
                        </m:e>
                      </m:acc>
                    </m:e>
                    <m:sup>
                      <m:r>
                        <m:rPr>
                          <m:sty m:val="p"/>
                        </m:rPr>
                        <m:t xml:space="preserve">2</m:t>
                      </m:r>
                    </m:sup>
                  </m:sSup>
                </m:den>
              </m:f>
            </m:oMath>
          </w:p>
        </w:tc>
        <w:tc>
          <w:tcPr>
            <w:tcW w:type="dxa" w:w="431"/>
            <w:vAlign w:val="center"/>
          </w:tcPr>
          <w:p>
            <w:pPr>
              <w:pStyle w:val="MDPI3aequationnumber"/>
              <w:jc w:val="right"/>
            </w:pPr>
            <w:r>
              <w:t>(10)</w:t>
            </w:r>
          </w:p>
        </w:tc>
      </w:tr>
    </w:tbl>
    <w:p>
      <w:pPr>
        <w:pStyle w:val="MDPI31text"/>
      </w:pPr>
      <w:r>
        <w:rPr>
          <w:b w:val="0"/>
          <w:i w:val="0"/>
        </w:rPr>
        <w:t xml:space="preserve">whose limiting distribution is non-standard because </w:t>
      </w:r>
      <m:oMath>
        <m:r>
          <m:t xml:space="preserve">γ</m:t>
        </m:r>
      </m:oMath>
      <w:r>
        <w:rPr>
          <w:b w:val="0"/>
          <w:i w:val="0"/>
        </w:rPr>
        <w:t xml:space="preserve"> is not identified under the null; its p-value is obtained from the fixed-regressor bootstrap of Ref. </w:t>
      </w:r>
      <w:r>
        <w:t>[</w:t>
      </w:r>
      <w:r>
        <w:fldChar w:fldCharType="begin"/>
      </w:r>
      <w:r>
        <w:instrText xml:space="preserve"> REF _Ref_30 \h </w:instrText>
      </w:r>
      <w:r>
        <w:fldChar w:fldCharType="separate"/>
      </w:r>
      <w:r>
        <w:t>30</w:t>
      </w:r>
      <w:r>
        <w:fldChar w:fldCharType="end"/>
      </w:r>
      <w:r>
        <w:t>]</w:t>
      </w:r>
      <w:r>
        <w:rPr>
          <w:b w:val="0"/>
          <w:i w:val="0"/>
        </w:rPr>
        <w:t xml:space="preserve">. The confidence interval for </w:t>
      </w:r>
      <m:oMath>
        <m:r>
          <m:t xml:space="preserve">γ</m:t>
        </m:r>
      </m:oMath>
      <w:r>
        <w:rPr>
          <w:b w:val="0"/>
          <w:i w:val="0"/>
        </w:rPr>
        <w:t xml:space="preserve"> is the set of candidate values whose likelihood ratio does not exceed the asymptotic critical value</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t xml:space="preserve">c</m:t>
              </m:r>
              <m:r>
                <m:rPr>
                  <m:sty m:val="p"/>
                </m:rPr>
                <m:t xml:space="preserve">(</m:t>
              </m:r>
              <m:r>
                <m:t xml:space="preserve">α</m:t>
              </m:r>
              <m:r>
                <m:rPr>
                  <m:sty m:val="p"/>
                </m:rPr>
                <m:t xml:space="preserve">)</m:t>
              </m:r>
              <m:r>
                <m:rPr>
                  <m:sty m:val="p"/>
                </m:rPr>
                <m:t xml:space="preserve">=</m:t>
              </m:r>
              <m:r>
                <m:rPr>
                  <m:sty m:val="p"/>
                </m:rPr>
                <m:t xml:space="preserve">-</m:t>
              </m:r>
              <m:r>
                <m:rPr>
                  <m:sty m:val="p"/>
                </m:rPr>
                <m:t xml:space="preserve">2</m:t>
              </m:r>
              <m:r>
                <m:rPr>
                  <m:sty m:val="p"/>
                </m:rPr>
                <m:t xml:space="preserve">log</m:t>
              </m:r>
              <m:d>
                <m:dPr>
                  <m:begChr m:val="("/>
                  <m:endChr m:val=")"/>
                </m:dPr>
                <m:e>
                  <m:r>
                    <m:rPr>
                      <m:sty m:val="p"/>
                    </m:rPr>
                    <m:t xml:space="preserve">1</m:t>
                  </m:r>
                  <m:r>
                    <m:rPr>
                      <m:sty m:val="p"/>
                    </m:rPr>
                    <m:t xml:space="preserve">-</m:t>
                  </m:r>
                  <m:rad>
                    <m:radPr>
                      <m:degHide m:val="1"/>
                    </m:radPr>
                    <m:deg/>
                    <m:e>
                      <m:r>
                        <m:rPr>
                          <m:sty m:val="p"/>
                        </m:rPr>
                        <m:t xml:space="preserve">1</m:t>
                      </m:r>
                      <m:r>
                        <m:rPr>
                          <m:sty m:val="p"/>
                        </m:rPr>
                        <m:t xml:space="preserve">-</m:t>
                      </m:r>
                      <m:r>
                        <m:t xml:space="preserve">α</m:t>
                      </m:r>
                    </m:e>
                  </m:rad>
                </m:e>
              </m:d>
            </m:oMath>
          </w:p>
        </w:tc>
        <w:tc>
          <w:tcPr>
            <w:tcW w:type="dxa" w:w="431"/>
            <w:vAlign w:val="center"/>
          </w:tcPr>
          <w:p>
            <w:pPr>
              <w:pStyle w:val="MDPI3aequationnumber"/>
              <w:jc w:val="right"/>
            </w:pPr>
            <w:r>
              <w:t>(11)</w:t>
            </w:r>
          </w:p>
        </w:tc>
      </w:tr>
    </w:tbl>
    <w:p>
      <w:pPr>
        <w:pStyle w:val="MDPI31text"/>
      </w:pPr>
      <w:r>
        <w:rPr>
          <w:b w:val="0"/>
          <w:i w:val="0"/>
        </w:rPr>
        <w:t>which equals 7.35 at the five percent level. H5 is supported if the bootstrap rejects the null of no threshold and if the two regime coefficients differ qualitatively rather than by degree.</w:t>
      </w:r>
    </w:p>
    <w:p>
      <w:pPr>
        <w:pStyle w:val="MDPI21heading1"/>
      </w:pPr>
      <w:r>
        <w:t>4. Empirical Results</w:t>
      </w:r>
    </w:p>
    <w:p>
      <w:pPr>
        <w:pStyle w:val="MDPI22heading2"/>
      </w:pPr>
      <w:r>
        <w:t>4.1. Descriptive Statistics and Correlations</w:t>
      </w:r>
    </w:p>
    <w:p>
      <w:pPr>
        <w:pStyle w:val="MDPI32textnoindent"/>
      </w:pPr>
      <w:r>
        <w:rPr>
          <w:b w:val="0"/>
          <w:i w:val="0"/>
        </w:rPr>
        <w:t>Table 2 reports the descriptive statistics. The youth employment share averages 29.54 percent with a standard deviation of 9.96. Workforce skill variety averages 2.401 bits against a theoretical maximum of 3.91, so the typical listed firm realizes about 61 percent of the variety its disclosure categories allow, and the dispersion across firms is wide, with a standard deviation of 0.911. The unrelated component averages 1.442 and the related component 0.958, so most of the variety of a Chinese listed workforce lies between occupational families rather than within them. The demand shock behaves as the construction intends: its annual mean is 1.66 in 2020 and 1.03 in 2022, against −1.12 in the recovery year 2021.</w:t>
      </w:r>
    </w:p>
    <w:p>
      <w:pPr>
        <w:pStyle w:val="MDPI41tablecaption"/>
        <w:keepNext/>
        <w:spacing w:after="60"/>
      </w:pPr>
      <w:r>
        <w:rPr>
          <w:b/>
          <w:sz w:val="18"/>
        </w:rPr>
        <w:t xml:space="preserve">Table 2. </w:t>
      </w:r>
      <w:r>
        <w:rPr>
          <w:b w:val="0"/>
          <w:i w:val="0"/>
          <w:sz w:val="18"/>
        </w:rPr>
        <w:t>Descriptive statistics.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4"/>
        <w:gridCol w:w="1047"/>
        <w:gridCol w:w="1047"/>
        <w:gridCol w:w="1047"/>
        <w:gridCol w:w="1047"/>
        <w:gridCol w:w="1047"/>
        <w:gridCol w:w="1047"/>
      </w:tblGrid>
      <w:tr>
        <w:trPr>
          <w:cantSplit/>
          <w:tblHeader/>
        </w:trPr>
        <w:tc>
          <w:tcPr>
            <w:tcW w:type="dxa" w:w="1574"/>
            <w:tcBorders>
              <w:bottom w:val="single" w:sz="8" w:space="0" w:color="auto"/>
            </w:tcBorders>
          </w:tcPr>
          <w:p>
            <w:pPr>
              <w:pStyle w:val="MDPI42tablebody"/>
              <w:keepNext/>
              <w:spacing w:line="240" w:lineRule="auto" w:before="30" w:after="30"/>
              <w:jc w:val="center"/>
            </w:pPr>
            <w:r>
              <w:rPr>
                <w:b/>
                <w:i w:val="0"/>
                <w:sz w:val="16"/>
              </w:rPr>
              <w:t>Variable</w:t>
            </w:r>
          </w:p>
        </w:tc>
        <w:tc>
          <w:tcPr>
            <w:tcW w:type="dxa" w:w="1047"/>
            <w:tcBorders>
              <w:bottom w:val="single" w:sz="8" w:space="0" w:color="auto"/>
            </w:tcBorders>
          </w:tcPr>
          <w:p>
            <w:pPr>
              <w:pStyle w:val="MDPI42tablebody"/>
              <w:keepNext/>
              <w:spacing w:line="240" w:lineRule="auto" w:before="30" w:after="30"/>
              <w:jc w:val="center"/>
            </w:pPr>
            <w:r>
              <w:rPr>
                <w:b/>
                <w:i w:val="0"/>
                <w:sz w:val="16"/>
              </w:rPr>
              <w:t>N</w:t>
            </w:r>
          </w:p>
        </w:tc>
        <w:tc>
          <w:tcPr>
            <w:tcW w:type="dxa" w:w="1047"/>
            <w:tcBorders>
              <w:bottom w:val="single" w:sz="8" w:space="0" w:color="auto"/>
            </w:tcBorders>
          </w:tcPr>
          <w:p>
            <w:pPr>
              <w:pStyle w:val="MDPI42tablebody"/>
              <w:keepNext/>
              <w:spacing w:line="240" w:lineRule="auto" w:before="30" w:after="30"/>
              <w:jc w:val="center"/>
            </w:pPr>
            <w:r>
              <w:rPr>
                <w:b/>
                <w:i w:val="0"/>
                <w:sz w:val="16"/>
              </w:rPr>
              <w:t>Mean</w:t>
            </w:r>
          </w:p>
        </w:tc>
        <w:tc>
          <w:tcPr>
            <w:tcW w:type="dxa" w:w="1047"/>
            <w:tcBorders>
              <w:bottom w:val="single" w:sz="8" w:space="0" w:color="auto"/>
            </w:tcBorders>
          </w:tcPr>
          <w:p>
            <w:pPr>
              <w:pStyle w:val="MDPI42tablebody"/>
              <w:keepNext/>
              <w:spacing w:line="240" w:lineRule="auto" w:before="30" w:after="30"/>
              <w:jc w:val="center"/>
            </w:pPr>
            <w:r>
              <w:rPr>
                <w:b/>
                <w:i w:val="0"/>
                <w:sz w:val="16"/>
              </w:rPr>
              <w:t>S.D.</w:t>
            </w:r>
          </w:p>
        </w:tc>
        <w:tc>
          <w:tcPr>
            <w:tcW w:type="dxa" w:w="1047"/>
            <w:tcBorders>
              <w:bottom w:val="single" w:sz="8" w:space="0" w:color="auto"/>
            </w:tcBorders>
          </w:tcPr>
          <w:p>
            <w:pPr>
              <w:pStyle w:val="MDPI42tablebody"/>
              <w:keepNext/>
              <w:spacing w:line="240" w:lineRule="auto" w:before="30" w:after="30"/>
              <w:jc w:val="center"/>
            </w:pPr>
            <w:r>
              <w:rPr>
                <w:b/>
                <w:i w:val="0"/>
                <w:sz w:val="16"/>
              </w:rPr>
              <w:t>Min</w:t>
            </w:r>
          </w:p>
        </w:tc>
        <w:tc>
          <w:tcPr>
            <w:tcW w:type="dxa" w:w="1047"/>
            <w:tcBorders>
              <w:bottom w:val="single" w:sz="8" w:space="0" w:color="auto"/>
            </w:tcBorders>
          </w:tcPr>
          <w:p>
            <w:pPr>
              <w:pStyle w:val="MDPI42tablebody"/>
              <w:keepNext/>
              <w:spacing w:line="240" w:lineRule="auto" w:before="30" w:after="30"/>
              <w:jc w:val="center"/>
            </w:pPr>
            <w:r>
              <w:rPr>
                <w:b/>
                <w:i w:val="0"/>
                <w:sz w:val="16"/>
              </w:rPr>
              <w:t>Median</w:t>
            </w:r>
          </w:p>
        </w:tc>
        <w:tc>
          <w:tcPr>
            <w:tcW w:type="dxa" w:w="1047"/>
            <w:tcBorders>
              <w:bottom w:val="single" w:sz="8" w:space="0" w:color="auto"/>
            </w:tcBorders>
          </w:tcPr>
          <w:p>
            <w:pPr>
              <w:pStyle w:val="MDPI42tablebody"/>
              <w:keepNext/>
              <w:spacing w:line="240" w:lineRule="auto" w:before="30" w:after="30"/>
              <w:jc w:val="center"/>
            </w:pPr>
            <w:r>
              <w:rPr>
                <w:b/>
                <w:i w:val="0"/>
                <w:sz w:val="16"/>
              </w:rPr>
              <w:t>Max</w:t>
            </w:r>
          </w:p>
        </w:tc>
      </w:tr>
      <w:tr>
        <w:trPr>
          <w:cantSplit/>
        </w:trPr>
        <w:tc>
          <w:tcPr>
            <w:tcW w:type="dxa" w:w="1574"/>
          </w:tcPr>
          <w:p>
            <w:pPr>
              <w:pStyle w:val="MDPI42tablebody"/>
              <w:keepNext/>
              <w:spacing w:line="240" w:lineRule="auto" w:before="30" w:after="30"/>
              <w:jc w:val="left"/>
            </w:pPr>
            <w:r>
              <w:rPr>
                <w:b w:val="0"/>
                <w:i/>
                <w:sz w:val="16"/>
              </w:rPr>
              <w:t>Youth</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29.541</w:t>
            </w:r>
          </w:p>
        </w:tc>
        <w:tc>
          <w:tcPr>
            <w:tcW w:type="dxa" w:w="1047"/>
          </w:tcPr>
          <w:p>
            <w:pPr>
              <w:pStyle w:val="MDPI42tablebody"/>
              <w:keepNext/>
              <w:spacing w:line="240" w:lineRule="auto" w:before="30" w:after="30"/>
              <w:jc w:val="center"/>
            </w:pPr>
            <w:r>
              <w:rPr>
                <w:b w:val="0"/>
                <w:i w:val="0"/>
                <w:sz w:val="16"/>
              </w:rPr>
              <w:t>9.962</w:t>
            </w:r>
          </w:p>
        </w:tc>
        <w:tc>
          <w:tcPr>
            <w:tcW w:type="dxa" w:w="1047"/>
          </w:tcPr>
          <w:p>
            <w:pPr>
              <w:pStyle w:val="MDPI42tablebody"/>
              <w:keepNext/>
              <w:spacing w:line="240" w:lineRule="auto" w:before="30" w:after="30"/>
              <w:jc w:val="center"/>
            </w:pPr>
            <w:r>
              <w:rPr>
                <w:b w:val="0"/>
                <w:i w:val="0"/>
                <w:sz w:val="16"/>
              </w:rPr>
              <w:t>5.550</w:t>
            </w:r>
          </w:p>
        </w:tc>
        <w:tc>
          <w:tcPr>
            <w:tcW w:type="dxa" w:w="1047"/>
          </w:tcPr>
          <w:p>
            <w:pPr>
              <w:pStyle w:val="MDPI42tablebody"/>
              <w:keepNext/>
              <w:spacing w:line="240" w:lineRule="auto" w:before="30" w:after="30"/>
              <w:jc w:val="center"/>
            </w:pPr>
            <w:r>
              <w:rPr>
                <w:b w:val="0"/>
                <w:i w:val="0"/>
                <w:sz w:val="16"/>
              </w:rPr>
              <w:t>29.675</w:t>
            </w:r>
          </w:p>
        </w:tc>
        <w:tc>
          <w:tcPr>
            <w:tcW w:type="dxa" w:w="1047"/>
          </w:tcPr>
          <w:p>
            <w:pPr>
              <w:pStyle w:val="MDPI42tablebody"/>
              <w:keepNext/>
              <w:spacing w:line="240" w:lineRule="auto" w:before="30" w:after="30"/>
              <w:jc w:val="center"/>
            </w:pPr>
            <w:r>
              <w:rPr>
                <w:b w:val="0"/>
                <w:i w:val="0"/>
                <w:sz w:val="16"/>
              </w:rPr>
              <w:t>52.588</w:t>
            </w:r>
          </w:p>
        </w:tc>
      </w:tr>
      <w:tr>
        <w:trPr>
          <w:cantSplit/>
        </w:trPr>
        <w:tc>
          <w:tcPr>
            <w:tcW w:type="dxa" w:w="1574"/>
          </w:tcPr>
          <w:p>
            <w:pPr>
              <w:pStyle w:val="MDPI42tablebody"/>
              <w:keepNext/>
              <w:spacing w:line="240" w:lineRule="auto" w:before="30" w:after="30"/>
              <w:jc w:val="left"/>
            </w:pPr>
            <w:r>
              <w:rPr>
                <w:b w:val="0"/>
                <w:i/>
                <w:sz w:val="16"/>
              </w:rPr>
              <w:t>Variety</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2.401</w:t>
            </w:r>
          </w:p>
        </w:tc>
        <w:tc>
          <w:tcPr>
            <w:tcW w:type="dxa" w:w="1047"/>
          </w:tcPr>
          <w:p>
            <w:pPr>
              <w:pStyle w:val="MDPI42tablebody"/>
              <w:keepNext/>
              <w:spacing w:line="240" w:lineRule="auto" w:before="30" w:after="30"/>
              <w:jc w:val="center"/>
            </w:pPr>
            <w:r>
              <w:rPr>
                <w:b w:val="0"/>
                <w:i w:val="0"/>
                <w:sz w:val="16"/>
              </w:rPr>
              <w:t>0.911</w:t>
            </w:r>
          </w:p>
        </w:tc>
        <w:tc>
          <w:tcPr>
            <w:tcW w:type="dxa" w:w="1047"/>
          </w:tcPr>
          <w:p>
            <w:pPr>
              <w:pStyle w:val="MDPI42tablebody"/>
              <w:keepNext/>
              <w:spacing w:line="240" w:lineRule="auto" w:before="30" w:after="30"/>
              <w:jc w:val="center"/>
            </w:pPr>
            <w:r>
              <w:rPr>
                <w:b w:val="0"/>
                <w:i w:val="0"/>
                <w:sz w:val="16"/>
              </w:rPr>
              <w:t>0.083</w:t>
            </w:r>
          </w:p>
        </w:tc>
        <w:tc>
          <w:tcPr>
            <w:tcW w:type="dxa" w:w="1047"/>
          </w:tcPr>
          <w:p>
            <w:pPr>
              <w:pStyle w:val="MDPI42tablebody"/>
              <w:keepNext/>
              <w:spacing w:line="240" w:lineRule="auto" w:before="30" w:after="30"/>
              <w:jc w:val="center"/>
            </w:pPr>
            <w:r>
              <w:rPr>
                <w:b w:val="0"/>
                <w:i w:val="0"/>
                <w:sz w:val="16"/>
              </w:rPr>
              <w:t>2.561</w:t>
            </w:r>
          </w:p>
        </w:tc>
        <w:tc>
          <w:tcPr>
            <w:tcW w:type="dxa" w:w="1047"/>
          </w:tcPr>
          <w:p>
            <w:pPr>
              <w:pStyle w:val="MDPI42tablebody"/>
              <w:keepNext/>
              <w:spacing w:line="240" w:lineRule="auto" w:before="30" w:after="30"/>
              <w:jc w:val="center"/>
            </w:pPr>
            <w:r>
              <w:rPr>
                <w:b w:val="0"/>
                <w:i w:val="0"/>
                <w:sz w:val="16"/>
              </w:rPr>
              <w:t>3.761</w:t>
            </w:r>
          </w:p>
        </w:tc>
      </w:tr>
      <w:tr>
        <w:trPr>
          <w:cantSplit/>
        </w:trPr>
        <w:tc>
          <w:tcPr>
            <w:tcW w:type="dxa" w:w="1574"/>
          </w:tcPr>
          <w:p>
            <w:pPr>
              <w:pStyle w:val="MDPI42tablebody"/>
              <w:keepNext/>
              <w:spacing w:line="240" w:lineRule="auto" w:before="30" w:after="30"/>
              <w:jc w:val="left"/>
            </w:pPr>
            <w:r>
              <w:rPr>
                <w:b w:val="0"/>
                <w:i/>
                <w:sz w:val="16"/>
              </w:rPr>
              <w:t>RelVar</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0.958</w:t>
            </w:r>
          </w:p>
        </w:tc>
        <w:tc>
          <w:tcPr>
            <w:tcW w:type="dxa" w:w="1047"/>
          </w:tcPr>
          <w:p>
            <w:pPr>
              <w:pStyle w:val="MDPI42tablebody"/>
              <w:keepNext/>
              <w:spacing w:line="240" w:lineRule="auto" w:before="30" w:after="30"/>
              <w:jc w:val="center"/>
            </w:pPr>
            <w:r>
              <w:rPr>
                <w:b w:val="0"/>
                <w:i w:val="0"/>
                <w:sz w:val="16"/>
              </w:rPr>
              <w:t>0.407</w:t>
            </w:r>
          </w:p>
        </w:tc>
        <w:tc>
          <w:tcPr>
            <w:tcW w:type="dxa" w:w="1047"/>
          </w:tcPr>
          <w:p>
            <w:pPr>
              <w:pStyle w:val="MDPI42tablebody"/>
              <w:keepNext/>
              <w:spacing w:line="240" w:lineRule="auto" w:before="30" w:after="30"/>
              <w:jc w:val="center"/>
            </w:pPr>
            <w:r>
              <w:rPr>
                <w:b w:val="0"/>
                <w:i w:val="0"/>
                <w:sz w:val="16"/>
              </w:rPr>
              <w:t>0.010</w:t>
            </w:r>
          </w:p>
        </w:tc>
        <w:tc>
          <w:tcPr>
            <w:tcW w:type="dxa" w:w="1047"/>
          </w:tcPr>
          <w:p>
            <w:pPr>
              <w:pStyle w:val="MDPI42tablebody"/>
              <w:keepNext/>
              <w:spacing w:line="240" w:lineRule="auto" w:before="30" w:after="30"/>
              <w:jc w:val="center"/>
            </w:pPr>
            <w:r>
              <w:rPr>
                <w:b w:val="0"/>
                <w:i w:val="0"/>
                <w:sz w:val="16"/>
              </w:rPr>
              <w:t>1.044</w:t>
            </w:r>
          </w:p>
        </w:tc>
        <w:tc>
          <w:tcPr>
            <w:tcW w:type="dxa" w:w="1047"/>
          </w:tcPr>
          <w:p>
            <w:pPr>
              <w:pStyle w:val="MDPI42tablebody"/>
              <w:keepNext/>
              <w:spacing w:line="240" w:lineRule="auto" w:before="30" w:after="30"/>
              <w:jc w:val="center"/>
            </w:pPr>
            <w:r>
              <w:rPr>
                <w:b w:val="0"/>
                <w:i w:val="0"/>
                <w:sz w:val="16"/>
              </w:rPr>
              <w:t>1.534</w:t>
            </w:r>
          </w:p>
        </w:tc>
      </w:tr>
      <w:tr>
        <w:trPr>
          <w:cantSplit/>
        </w:trPr>
        <w:tc>
          <w:tcPr>
            <w:tcW w:type="dxa" w:w="1574"/>
          </w:tcPr>
          <w:p>
            <w:pPr>
              <w:pStyle w:val="MDPI42tablebody"/>
              <w:keepNext/>
              <w:spacing w:line="240" w:lineRule="auto" w:before="30" w:after="30"/>
              <w:jc w:val="left"/>
            </w:pPr>
            <w:r>
              <w:rPr>
                <w:b w:val="0"/>
                <w:i/>
                <w:sz w:val="16"/>
              </w:rPr>
              <w:t>UnrelVar</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1.442</w:t>
            </w:r>
          </w:p>
        </w:tc>
        <w:tc>
          <w:tcPr>
            <w:tcW w:type="dxa" w:w="1047"/>
          </w:tcPr>
          <w:p>
            <w:pPr>
              <w:pStyle w:val="MDPI42tablebody"/>
              <w:keepNext/>
              <w:spacing w:line="240" w:lineRule="auto" w:before="30" w:after="30"/>
              <w:jc w:val="center"/>
            </w:pPr>
            <w:r>
              <w:rPr>
                <w:b w:val="0"/>
                <w:i w:val="0"/>
                <w:sz w:val="16"/>
              </w:rPr>
              <w:t>0.629</w:t>
            </w:r>
          </w:p>
        </w:tc>
        <w:tc>
          <w:tcPr>
            <w:tcW w:type="dxa" w:w="1047"/>
          </w:tcPr>
          <w:p>
            <w:pPr>
              <w:pStyle w:val="MDPI42tablebody"/>
              <w:keepNext/>
              <w:spacing w:line="240" w:lineRule="auto" w:before="30" w:after="30"/>
              <w:jc w:val="center"/>
            </w:pPr>
            <w:r>
              <w:rPr>
                <w:b w:val="0"/>
                <w:i w:val="0"/>
                <w:sz w:val="16"/>
              </w:rPr>
              <w:t>0.008</w:t>
            </w:r>
          </w:p>
        </w:tc>
        <w:tc>
          <w:tcPr>
            <w:tcW w:type="dxa" w:w="1047"/>
          </w:tcPr>
          <w:p>
            <w:pPr>
              <w:pStyle w:val="MDPI42tablebody"/>
              <w:keepNext/>
              <w:spacing w:line="240" w:lineRule="auto" w:before="30" w:after="30"/>
              <w:jc w:val="center"/>
            </w:pPr>
            <w:r>
              <w:rPr>
                <w:b w:val="0"/>
                <w:i w:val="0"/>
                <w:sz w:val="16"/>
              </w:rPr>
              <w:t>1.591</w:t>
            </w:r>
          </w:p>
        </w:tc>
        <w:tc>
          <w:tcPr>
            <w:tcW w:type="dxa" w:w="1047"/>
          </w:tcPr>
          <w:p>
            <w:pPr>
              <w:pStyle w:val="MDPI42tablebody"/>
              <w:keepNext/>
              <w:spacing w:line="240" w:lineRule="auto" w:before="30" w:after="30"/>
              <w:jc w:val="center"/>
            </w:pPr>
            <w:r>
              <w:rPr>
                <w:b w:val="0"/>
                <w:i w:val="0"/>
                <w:sz w:val="16"/>
              </w:rPr>
              <w:t>2.282</w:t>
            </w:r>
          </w:p>
        </w:tc>
      </w:tr>
      <w:tr>
        <w:trPr>
          <w:cantSplit/>
        </w:trPr>
        <w:tc>
          <w:tcPr>
            <w:tcW w:type="dxa" w:w="1574"/>
          </w:tcPr>
          <w:p>
            <w:pPr>
              <w:pStyle w:val="MDPI42tablebody"/>
              <w:keepNext/>
              <w:spacing w:line="240" w:lineRule="auto" w:before="30" w:after="30"/>
              <w:jc w:val="left"/>
            </w:pPr>
            <w:r>
              <w:rPr>
                <w:b w:val="0"/>
                <w:i/>
                <w:sz w:val="16"/>
              </w:rPr>
              <w:t>Shock</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0.085</w:t>
            </w:r>
          </w:p>
        </w:tc>
        <w:tc>
          <w:tcPr>
            <w:tcW w:type="dxa" w:w="1047"/>
          </w:tcPr>
          <w:p>
            <w:pPr>
              <w:pStyle w:val="MDPI42tablebody"/>
              <w:keepNext/>
              <w:spacing w:line="240" w:lineRule="auto" w:before="30" w:after="30"/>
              <w:jc w:val="center"/>
            </w:pPr>
            <w:r>
              <w:rPr>
                <w:b w:val="0"/>
                <w:i w:val="0"/>
                <w:sz w:val="16"/>
              </w:rPr>
              <w:t>0.996</w:t>
            </w:r>
          </w:p>
        </w:tc>
        <w:tc>
          <w:tcPr>
            <w:tcW w:type="dxa" w:w="1047"/>
          </w:tcPr>
          <w:p>
            <w:pPr>
              <w:pStyle w:val="MDPI42tablebody"/>
              <w:keepNext/>
              <w:spacing w:line="240" w:lineRule="auto" w:before="30" w:after="30"/>
              <w:jc w:val="center"/>
            </w:pPr>
            <w:r>
              <w:rPr>
                <w:b w:val="0"/>
                <w:i w:val="0"/>
                <w:sz w:val="16"/>
              </w:rPr>
              <w:t>−1.871</w:t>
            </w:r>
          </w:p>
        </w:tc>
        <w:tc>
          <w:tcPr>
            <w:tcW w:type="dxa" w:w="1047"/>
          </w:tcPr>
          <w:p>
            <w:pPr>
              <w:pStyle w:val="MDPI42tablebody"/>
              <w:keepNext/>
              <w:spacing w:line="240" w:lineRule="auto" w:before="30" w:after="30"/>
              <w:jc w:val="center"/>
            </w:pPr>
            <w:r>
              <w:rPr>
                <w:b w:val="0"/>
                <w:i w:val="0"/>
                <w:sz w:val="16"/>
              </w:rPr>
              <w:t>0.016</w:t>
            </w:r>
          </w:p>
        </w:tc>
        <w:tc>
          <w:tcPr>
            <w:tcW w:type="dxa" w:w="1047"/>
          </w:tcPr>
          <w:p>
            <w:pPr>
              <w:pStyle w:val="MDPI42tablebody"/>
              <w:keepNext/>
              <w:spacing w:line="240" w:lineRule="auto" w:before="30" w:after="30"/>
              <w:jc w:val="center"/>
            </w:pPr>
            <w:r>
              <w:rPr>
                <w:b w:val="0"/>
                <w:i w:val="0"/>
                <w:sz w:val="16"/>
              </w:rPr>
              <w:t>2.789</w:t>
            </w:r>
          </w:p>
        </w:tc>
      </w:tr>
      <w:tr>
        <w:trPr>
          <w:cantSplit/>
        </w:trPr>
        <w:tc>
          <w:tcPr>
            <w:tcW w:type="dxa" w:w="1574"/>
          </w:tcPr>
          <w:p>
            <w:pPr>
              <w:pStyle w:val="MDPI42tablebody"/>
              <w:keepNext/>
              <w:spacing w:line="240" w:lineRule="auto" w:before="30" w:after="30"/>
              <w:jc w:val="left"/>
            </w:pPr>
            <w:r>
              <w:rPr>
                <w:b w:val="0"/>
                <w:i/>
                <w:sz w:val="16"/>
              </w:rPr>
              <w:t>Redeploy</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8.129</w:t>
            </w:r>
          </w:p>
        </w:tc>
        <w:tc>
          <w:tcPr>
            <w:tcW w:type="dxa" w:w="1047"/>
          </w:tcPr>
          <w:p>
            <w:pPr>
              <w:pStyle w:val="MDPI42tablebody"/>
              <w:keepNext/>
              <w:spacing w:line="240" w:lineRule="auto" w:before="30" w:after="30"/>
              <w:jc w:val="center"/>
            </w:pPr>
            <w:r>
              <w:rPr>
                <w:b w:val="0"/>
                <w:i w:val="0"/>
                <w:sz w:val="16"/>
              </w:rPr>
              <w:t>3.844</w:t>
            </w:r>
          </w:p>
        </w:tc>
        <w:tc>
          <w:tcPr>
            <w:tcW w:type="dxa" w:w="1047"/>
          </w:tcPr>
          <w:p>
            <w:pPr>
              <w:pStyle w:val="MDPI42tablebody"/>
              <w:keepNext/>
              <w:spacing w:line="240" w:lineRule="auto" w:before="30" w:after="30"/>
              <w:jc w:val="center"/>
            </w:pPr>
            <w:r>
              <w:rPr>
                <w:b w:val="0"/>
                <w:i w:val="0"/>
                <w:sz w:val="16"/>
              </w:rPr>
              <w:t>0.956</w:t>
            </w:r>
          </w:p>
        </w:tc>
        <w:tc>
          <w:tcPr>
            <w:tcW w:type="dxa" w:w="1047"/>
          </w:tcPr>
          <w:p>
            <w:pPr>
              <w:pStyle w:val="MDPI42tablebody"/>
              <w:keepNext/>
              <w:spacing w:line="240" w:lineRule="auto" w:before="30" w:after="30"/>
              <w:jc w:val="center"/>
            </w:pPr>
            <w:r>
              <w:rPr>
                <w:b w:val="0"/>
                <w:i w:val="0"/>
                <w:sz w:val="16"/>
              </w:rPr>
              <w:t>7.763</w:t>
            </w:r>
          </w:p>
        </w:tc>
        <w:tc>
          <w:tcPr>
            <w:tcW w:type="dxa" w:w="1047"/>
          </w:tcPr>
          <w:p>
            <w:pPr>
              <w:pStyle w:val="MDPI42tablebody"/>
              <w:keepNext/>
              <w:spacing w:line="240" w:lineRule="auto" w:before="30" w:after="30"/>
              <w:jc w:val="center"/>
            </w:pPr>
            <w:r>
              <w:rPr>
                <w:b w:val="0"/>
                <w:i w:val="0"/>
                <w:sz w:val="16"/>
              </w:rPr>
              <w:t>19.870</w:t>
            </w:r>
          </w:p>
        </w:tc>
      </w:tr>
      <w:tr>
        <w:trPr>
          <w:cantSplit/>
        </w:trPr>
        <w:tc>
          <w:tcPr>
            <w:tcW w:type="dxa" w:w="1574"/>
          </w:tcPr>
          <w:p>
            <w:pPr>
              <w:pStyle w:val="MDPI42tablebody"/>
              <w:keepNext/>
              <w:spacing w:line="240" w:lineRule="auto" w:before="30" w:after="30"/>
              <w:jc w:val="left"/>
            </w:pPr>
            <w:r>
              <w:rPr>
                <w:b w:val="0"/>
                <w:i/>
                <w:sz w:val="16"/>
              </w:rPr>
              <w:t>Churn</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17.655</w:t>
            </w:r>
          </w:p>
        </w:tc>
        <w:tc>
          <w:tcPr>
            <w:tcW w:type="dxa" w:w="1047"/>
          </w:tcPr>
          <w:p>
            <w:pPr>
              <w:pStyle w:val="MDPI42tablebody"/>
              <w:keepNext/>
              <w:spacing w:line="240" w:lineRule="auto" w:before="30" w:after="30"/>
              <w:jc w:val="center"/>
            </w:pPr>
            <w:r>
              <w:rPr>
                <w:b w:val="0"/>
                <w:i w:val="0"/>
                <w:sz w:val="16"/>
              </w:rPr>
              <w:t>8.150</w:t>
            </w:r>
          </w:p>
        </w:tc>
        <w:tc>
          <w:tcPr>
            <w:tcW w:type="dxa" w:w="1047"/>
          </w:tcPr>
          <w:p>
            <w:pPr>
              <w:pStyle w:val="MDPI42tablebody"/>
              <w:keepNext/>
              <w:spacing w:line="240" w:lineRule="auto" w:before="30" w:after="30"/>
              <w:jc w:val="center"/>
            </w:pPr>
            <w:r>
              <w:rPr>
                <w:b w:val="0"/>
                <w:i w:val="0"/>
                <w:sz w:val="16"/>
              </w:rPr>
              <w:t>1.000</w:t>
            </w:r>
          </w:p>
        </w:tc>
        <w:tc>
          <w:tcPr>
            <w:tcW w:type="dxa" w:w="1047"/>
          </w:tcPr>
          <w:p>
            <w:pPr>
              <w:pStyle w:val="MDPI42tablebody"/>
              <w:keepNext/>
              <w:spacing w:line="240" w:lineRule="auto" w:before="30" w:after="30"/>
              <w:jc w:val="center"/>
            </w:pPr>
            <w:r>
              <w:rPr>
                <w:b w:val="0"/>
                <w:i w:val="0"/>
                <w:sz w:val="16"/>
              </w:rPr>
              <w:t>17.493</w:t>
            </w:r>
          </w:p>
        </w:tc>
        <w:tc>
          <w:tcPr>
            <w:tcW w:type="dxa" w:w="1047"/>
          </w:tcPr>
          <w:p>
            <w:pPr>
              <w:pStyle w:val="MDPI42tablebody"/>
              <w:keepNext/>
              <w:spacing w:line="240" w:lineRule="auto" w:before="30" w:after="30"/>
              <w:jc w:val="center"/>
            </w:pPr>
            <w:r>
              <w:rPr>
                <w:b w:val="0"/>
                <w:i w:val="0"/>
                <w:sz w:val="16"/>
              </w:rPr>
              <w:t>38.691</w:t>
            </w:r>
          </w:p>
        </w:tc>
      </w:tr>
      <w:tr>
        <w:trPr>
          <w:cantSplit/>
        </w:trPr>
        <w:tc>
          <w:tcPr>
            <w:tcW w:type="dxa" w:w="1574"/>
          </w:tcPr>
          <w:p>
            <w:pPr>
              <w:pStyle w:val="MDPI42tablebody"/>
              <w:keepNext/>
              <w:spacing w:line="240" w:lineRule="auto" w:before="30" w:after="30"/>
              <w:jc w:val="left"/>
            </w:pPr>
            <w:r>
              <w:rPr>
                <w:b w:val="0"/>
                <w:i/>
                <w:sz w:val="16"/>
              </w:rPr>
              <w:t>Digital</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1.402</w:t>
            </w:r>
          </w:p>
        </w:tc>
        <w:tc>
          <w:tcPr>
            <w:tcW w:type="dxa" w:w="1047"/>
          </w:tcPr>
          <w:p>
            <w:pPr>
              <w:pStyle w:val="MDPI42tablebody"/>
              <w:keepNext/>
              <w:spacing w:line="240" w:lineRule="auto" w:before="30" w:after="30"/>
              <w:jc w:val="center"/>
            </w:pPr>
            <w:r>
              <w:rPr>
                <w:b w:val="0"/>
                <w:i w:val="0"/>
                <w:sz w:val="16"/>
              </w:rPr>
              <w:t>0.834</w:t>
            </w:r>
          </w:p>
        </w:tc>
        <w:tc>
          <w:tcPr>
            <w:tcW w:type="dxa" w:w="1047"/>
          </w:tcPr>
          <w:p>
            <w:pPr>
              <w:pStyle w:val="MDPI42tablebody"/>
              <w:keepNext/>
              <w:spacing w:line="240" w:lineRule="auto" w:before="30" w:after="30"/>
              <w:jc w:val="center"/>
            </w:pPr>
            <w:r>
              <w:rPr>
                <w:b w:val="0"/>
                <w:i w:val="0"/>
                <w:sz w:val="16"/>
              </w:rPr>
              <w:t>0.000</w:t>
            </w:r>
          </w:p>
        </w:tc>
        <w:tc>
          <w:tcPr>
            <w:tcW w:type="dxa" w:w="1047"/>
          </w:tcPr>
          <w:p>
            <w:pPr>
              <w:pStyle w:val="MDPI42tablebody"/>
              <w:keepNext/>
              <w:spacing w:line="240" w:lineRule="auto" w:before="30" w:after="30"/>
              <w:jc w:val="center"/>
            </w:pPr>
            <w:r>
              <w:rPr>
                <w:b w:val="0"/>
                <w:i w:val="0"/>
                <w:sz w:val="16"/>
              </w:rPr>
              <w:t>1.384</w:t>
            </w:r>
          </w:p>
        </w:tc>
        <w:tc>
          <w:tcPr>
            <w:tcW w:type="dxa" w:w="1047"/>
          </w:tcPr>
          <w:p>
            <w:pPr>
              <w:pStyle w:val="MDPI42tablebody"/>
              <w:keepNext/>
              <w:spacing w:line="240" w:lineRule="auto" w:before="30" w:after="30"/>
              <w:jc w:val="center"/>
            </w:pPr>
            <w:r>
              <w:rPr>
                <w:b w:val="0"/>
                <w:i w:val="0"/>
                <w:sz w:val="16"/>
              </w:rPr>
              <w:t>3.402</w:t>
            </w:r>
          </w:p>
        </w:tc>
      </w:tr>
      <w:tr>
        <w:trPr>
          <w:cantSplit/>
        </w:trPr>
        <w:tc>
          <w:tcPr>
            <w:tcW w:type="dxa" w:w="1574"/>
          </w:tcPr>
          <w:p>
            <w:pPr>
              <w:pStyle w:val="MDPI42tablebody"/>
              <w:keepNext/>
              <w:spacing w:line="240" w:lineRule="auto" w:before="30" w:after="30"/>
              <w:jc w:val="left"/>
            </w:pPr>
            <w:r>
              <w:rPr>
                <w:b w:val="0"/>
                <w:i/>
                <w:sz w:val="16"/>
              </w:rPr>
              <w:t>Slack</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0.168</w:t>
            </w:r>
          </w:p>
        </w:tc>
        <w:tc>
          <w:tcPr>
            <w:tcW w:type="dxa" w:w="1047"/>
          </w:tcPr>
          <w:p>
            <w:pPr>
              <w:pStyle w:val="MDPI42tablebody"/>
              <w:keepNext/>
              <w:spacing w:line="240" w:lineRule="auto" w:before="30" w:after="30"/>
              <w:jc w:val="center"/>
            </w:pPr>
            <w:r>
              <w:rPr>
                <w:b w:val="0"/>
                <w:i w:val="0"/>
                <w:sz w:val="16"/>
              </w:rPr>
              <w:t>0.086</w:t>
            </w:r>
          </w:p>
        </w:tc>
        <w:tc>
          <w:tcPr>
            <w:tcW w:type="dxa" w:w="1047"/>
          </w:tcPr>
          <w:p>
            <w:pPr>
              <w:pStyle w:val="MDPI42tablebody"/>
              <w:keepNext/>
              <w:spacing w:line="240" w:lineRule="auto" w:before="30" w:after="30"/>
              <w:jc w:val="center"/>
            </w:pPr>
            <w:r>
              <w:rPr>
                <w:b w:val="0"/>
                <w:i w:val="0"/>
                <w:sz w:val="16"/>
              </w:rPr>
              <w:t>0.005</w:t>
            </w:r>
          </w:p>
        </w:tc>
        <w:tc>
          <w:tcPr>
            <w:tcW w:type="dxa" w:w="1047"/>
          </w:tcPr>
          <w:p>
            <w:pPr>
              <w:pStyle w:val="MDPI42tablebody"/>
              <w:keepNext/>
              <w:spacing w:line="240" w:lineRule="auto" w:before="30" w:after="30"/>
              <w:jc w:val="center"/>
            </w:pPr>
            <w:r>
              <w:rPr>
                <w:b w:val="0"/>
                <w:i w:val="0"/>
                <w:sz w:val="16"/>
              </w:rPr>
              <w:t>0.167</w:t>
            </w:r>
          </w:p>
        </w:tc>
        <w:tc>
          <w:tcPr>
            <w:tcW w:type="dxa" w:w="1047"/>
          </w:tcPr>
          <w:p>
            <w:pPr>
              <w:pStyle w:val="MDPI42tablebody"/>
              <w:keepNext/>
              <w:spacing w:line="240" w:lineRule="auto" w:before="30" w:after="30"/>
              <w:jc w:val="center"/>
            </w:pPr>
            <w:r>
              <w:rPr>
                <w:b w:val="0"/>
                <w:i w:val="0"/>
                <w:sz w:val="16"/>
              </w:rPr>
              <w:t>0.374</w:t>
            </w:r>
          </w:p>
        </w:tc>
      </w:tr>
      <w:tr>
        <w:trPr>
          <w:cantSplit/>
        </w:trPr>
        <w:tc>
          <w:tcPr>
            <w:tcW w:type="dxa" w:w="1574"/>
          </w:tcPr>
          <w:p>
            <w:pPr>
              <w:pStyle w:val="MDPI42tablebody"/>
              <w:keepNext/>
              <w:spacing w:line="240" w:lineRule="auto" w:before="30" w:after="30"/>
              <w:jc w:val="left"/>
            </w:pPr>
            <w:r>
              <w:rPr>
                <w:b w:val="0"/>
                <w:i/>
                <w:sz w:val="16"/>
              </w:rPr>
              <w:t>Size</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22.670</w:t>
            </w:r>
          </w:p>
        </w:tc>
        <w:tc>
          <w:tcPr>
            <w:tcW w:type="dxa" w:w="1047"/>
          </w:tcPr>
          <w:p>
            <w:pPr>
              <w:pStyle w:val="MDPI42tablebody"/>
              <w:keepNext/>
              <w:spacing w:line="240" w:lineRule="auto" w:before="30" w:after="30"/>
              <w:jc w:val="center"/>
            </w:pPr>
            <w:r>
              <w:rPr>
                <w:b w:val="0"/>
                <w:i w:val="0"/>
                <w:sz w:val="16"/>
              </w:rPr>
              <w:t>1.272</w:t>
            </w:r>
          </w:p>
        </w:tc>
        <w:tc>
          <w:tcPr>
            <w:tcW w:type="dxa" w:w="1047"/>
          </w:tcPr>
          <w:p>
            <w:pPr>
              <w:pStyle w:val="MDPI42tablebody"/>
              <w:keepNext/>
              <w:spacing w:line="240" w:lineRule="auto" w:before="30" w:after="30"/>
              <w:jc w:val="center"/>
            </w:pPr>
            <w:r>
              <w:rPr>
                <w:b w:val="0"/>
                <w:i w:val="0"/>
                <w:sz w:val="16"/>
              </w:rPr>
              <w:t>19.703</w:t>
            </w:r>
          </w:p>
        </w:tc>
        <w:tc>
          <w:tcPr>
            <w:tcW w:type="dxa" w:w="1047"/>
          </w:tcPr>
          <w:p>
            <w:pPr>
              <w:pStyle w:val="MDPI42tablebody"/>
              <w:keepNext/>
              <w:spacing w:line="240" w:lineRule="auto" w:before="30" w:after="30"/>
              <w:jc w:val="center"/>
            </w:pPr>
            <w:r>
              <w:rPr>
                <w:b w:val="0"/>
                <w:i w:val="0"/>
                <w:sz w:val="16"/>
              </w:rPr>
              <w:t>22.643</w:t>
            </w:r>
          </w:p>
        </w:tc>
        <w:tc>
          <w:tcPr>
            <w:tcW w:type="dxa" w:w="1047"/>
          </w:tcPr>
          <w:p>
            <w:pPr>
              <w:pStyle w:val="MDPI42tablebody"/>
              <w:keepNext/>
              <w:spacing w:line="240" w:lineRule="auto" w:before="30" w:after="30"/>
              <w:jc w:val="center"/>
            </w:pPr>
            <w:r>
              <w:rPr>
                <w:b w:val="0"/>
                <w:i w:val="0"/>
                <w:sz w:val="16"/>
              </w:rPr>
              <w:t>25.763</w:t>
            </w:r>
          </w:p>
        </w:tc>
      </w:tr>
      <w:tr>
        <w:trPr>
          <w:cantSplit/>
        </w:trPr>
        <w:tc>
          <w:tcPr>
            <w:tcW w:type="dxa" w:w="1574"/>
          </w:tcPr>
          <w:p>
            <w:pPr>
              <w:pStyle w:val="MDPI42tablebody"/>
              <w:keepNext/>
              <w:spacing w:line="240" w:lineRule="auto" w:before="30" w:after="30"/>
              <w:jc w:val="left"/>
            </w:pPr>
            <w:r>
              <w:rPr>
                <w:b w:val="0"/>
                <w:i/>
                <w:sz w:val="16"/>
              </w:rPr>
              <w:t>Lev</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0.448</w:t>
            </w:r>
          </w:p>
        </w:tc>
        <w:tc>
          <w:tcPr>
            <w:tcW w:type="dxa" w:w="1047"/>
          </w:tcPr>
          <w:p>
            <w:pPr>
              <w:pStyle w:val="MDPI42tablebody"/>
              <w:keepNext/>
              <w:spacing w:line="240" w:lineRule="auto" w:before="30" w:after="30"/>
              <w:jc w:val="center"/>
            </w:pPr>
            <w:r>
              <w:rPr>
                <w:b w:val="0"/>
                <w:i w:val="0"/>
                <w:sz w:val="16"/>
              </w:rPr>
              <w:t>0.176</w:t>
            </w:r>
          </w:p>
        </w:tc>
        <w:tc>
          <w:tcPr>
            <w:tcW w:type="dxa" w:w="1047"/>
          </w:tcPr>
          <w:p>
            <w:pPr>
              <w:pStyle w:val="MDPI42tablebody"/>
              <w:keepNext/>
              <w:spacing w:line="240" w:lineRule="auto" w:before="30" w:after="30"/>
              <w:jc w:val="center"/>
            </w:pPr>
            <w:r>
              <w:rPr>
                <w:b w:val="0"/>
                <w:i w:val="0"/>
                <w:sz w:val="16"/>
              </w:rPr>
              <w:t>0.047</w:t>
            </w:r>
          </w:p>
        </w:tc>
        <w:tc>
          <w:tcPr>
            <w:tcW w:type="dxa" w:w="1047"/>
          </w:tcPr>
          <w:p>
            <w:pPr>
              <w:pStyle w:val="MDPI42tablebody"/>
              <w:keepNext/>
              <w:spacing w:line="240" w:lineRule="auto" w:before="30" w:after="30"/>
              <w:jc w:val="center"/>
            </w:pPr>
            <w:r>
              <w:rPr>
                <w:b w:val="0"/>
                <w:i w:val="0"/>
                <w:sz w:val="16"/>
              </w:rPr>
              <w:t>0.448</w:t>
            </w:r>
          </w:p>
        </w:tc>
        <w:tc>
          <w:tcPr>
            <w:tcW w:type="dxa" w:w="1047"/>
          </w:tcPr>
          <w:p>
            <w:pPr>
              <w:pStyle w:val="MDPI42tablebody"/>
              <w:keepNext/>
              <w:spacing w:line="240" w:lineRule="auto" w:before="30" w:after="30"/>
              <w:jc w:val="center"/>
            </w:pPr>
            <w:r>
              <w:rPr>
                <w:b w:val="0"/>
                <w:i w:val="0"/>
                <w:sz w:val="16"/>
              </w:rPr>
              <w:t>0.872</w:t>
            </w:r>
          </w:p>
        </w:tc>
      </w:tr>
      <w:tr>
        <w:trPr>
          <w:cantSplit/>
        </w:trPr>
        <w:tc>
          <w:tcPr>
            <w:tcW w:type="dxa" w:w="1574"/>
          </w:tcPr>
          <w:p>
            <w:pPr>
              <w:pStyle w:val="MDPI42tablebody"/>
              <w:keepNext/>
              <w:spacing w:line="240" w:lineRule="auto" w:before="30" w:after="30"/>
              <w:jc w:val="left"/>
            </w:pPr>
            <w:r>
              <w:rPr>
                <w:b w:val="0"/>
                <w:i/>
                <w:sz w:val="16"/>
              </w:rPr>
              <w:t>ROA</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0.038</w:t>
            </w:r>
          </w:p>
        </w:tc>
        <w:tc>
          <w:tcPr>
            <w:tcW w:type="dxa" w:w="1047"/>
          </w:tcPr>
          <w:p>
            <w:pPr>
              <w:pStyle w:val="MDPI42tablebody"/>
              <w:keepNext/>
              <w:spacing w:line="240" w:lineRule="auto" w:before="30" w:after="30"/>
              <w:jc w:val="center"/>
            </w:pPr>
            <w:r>
              <w:rPr>
                <w:b w:val="0"/>
                <w:i w:val="0"/>
                <w:sz w:val="16"/>
              </w:rPr>
              <w:t>0.051</w:t>
            </w:r>
          </w:p>
        </w:tc>
        <w:tc>
          <w:tcPr>
            <w:tcW w:type="dxa" w:w="1047"/>
          </w:tcPr>
          <w:p>
            <w:pPr>
              <w:pStyle w:val="MDPI42tablebody"/>
              <w:keepNext/>
              <w:spacing w:line="240" w:lineRule="auto" w:before="30" w:after="30"/>
              <w:jc w:val="center"/>
            </w:pPr>
            <w:r>
              <w:rPr>
                <w:b w:val="0"/>
                <w:i w:val="0"/>
                <w:sz w:val="16"/>
              </w:rPr>
              <w:t>−0.083</w:t>
            </w:r>
          </w:p>
        </w:tc>
        <w:tc>
          <w:tcPr>
            <w:tcW w:type="dxa" w:w="1047"/>
          </w:tcPr>
          <w:p>
            <w:pPr>
              <w:pStyle w:val="MDPI42tablebody"/>
              <w:keepNext/>
              <w:spacing w:line="240" w:lineRule="auto" w:before="30" w:after="30"/>
              <w:jc w:val="center"/>
            </w:pPr>
            <w:r>
              <w:rPr>
                <w:b w:val="0"/>
                <w:i w:val="0"/>
                <w:sz w:val="16"/>
              </w:rPr>
              <w:t>0.038</w:t>
            </w:r>
          </w:p>
        </w:tc>
        <w:tc>
          <w:tcPr>
            <w:tcW w:type="dxa" w:w="1047"/>
          </w:tcPr>
          <w:p>
            <w:pPr>
              <w:pStyle w:val="MDPI42tablebody"/>
              <w:keepNext/>
              <w:spacing w:line="240" w:lineRule="auto" w:before="30" w:after="30"/>
              <w:jc w:val="center"/>
            </w:pPr>
            <w:r>
              <w:rPr>
                <w:b w:val="0"/>
                <w:i w:val="0"/>
                <w:sz w:val="16"/>
              </w:rPr>
              <w:t>0.158</w:t>
            </w:r>
          </w:p>
        </w:tc>
      </w:tr>
      <w:tr>
        <w:trPr>
          <w:cantSplit/>
        </w:trPr>
        <w:tc>
          <w:tcPr>
            <w:tcW w:type="dxa" w:w="1574"/>
          </w:tcPr>
          <w:p>
            <w:pPr>
              <w:pStyle w:val="MDPI42tablebody"/>
              <w:keepNext/>
              <w:spacing w:line="240" w:lineRule="auto" w:before="30" w:after="30"/>
              <w:jc w:val="left"/>
            </w:pPr>
            <w:r>
              <w:rPr>
                <w:b w:val="0"/>
                <w:i/>
                <w:sz w:val="16"/>
              </w:rPr>
              <w:t>Cashflow</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0.049</w:t>
            </w:r>
          </w:p>
        </w:tc>
        <w:tc>
          <w:tcPr>
            <w:tcW w:type="dxa" w:w="1047"/>
          </w:tcPr>
          <w:p>
            <w:pPr>
              <w:pStyle w:val="MDPI42tablebody"/>
              <w:keepNext/>
              <w:spacing w:line="240" w:lineRule="auto" w:before="30" w:after="30"/>
              <w:jc w:val="center"/>
            </w:pPr>
            <w:r>
              <w:rPr>
                <w:b w:val="0"/>
                <w:i w:val="0"/>
                <w:sz w:val="16"/>
              </w:rPr>
              <w:t>0.060</w:t>
            </w:r>
          </w:p>
        </w:tc>
        <w:tc>
          <w:tcPr>
            <w:tcW w:type="dxa" w:w="1047"/>
          </w:tcPr>
          <w:p>
            <w:pPr>
              <w:pStyle w:val="MDPI42tablebody"/>
              <w:keepNext/>
              <w:spacing w:line="240" w:lineRule="auto" w:before="30" w:after="30"/>
              <w:jc w:val="center"/>
            </w:pPr>
            <w:r>
              <w:rPr>
                <w:b w:val="0"/>
                <w:i w:val="0"/>
                <w:sz w:val="16"/>
              </w:rPr>
              <w:t>−0.091</w:t>
            </w:r>
          </w:p>
        </w:tc>
        <w:tc>
          <w:tcPr>
            <w:tcW w:type="dxa" w:w="1047"/>
          </w:tcPr>
          <w:p>
            <w:pPr>
              <w:pStyle w:val="MDPI42tablebody"/>
              <w:keepNext/>
              <w:spacing w:line="240" w:lineRule="auto" w:before="30" w:after="30"/>
              <w:jc w:val="center"/>
            </w:pPr>
            <w:r>
              <w:rPr>
                <w:b w:val="0"/>
                <w:i w:val="0"/>
                <w:sz w:val="16"/>
              </w:rPr>
              <w:t>0.049</w:t>
            </w:r>
          </w:p>
        </w:tc>
        <w:tc>
          <w:tcPr>
            <w:tcW w:type="dxa" w:w="1047"/>
          </w:tcPr>
          <w:p>
            <w:pPr>
              <w:pStyle w:val="MDPI42tablebody"/>
              <w:keepNext/>
              <w:spacing w:line="240" w:lineRule="auto" w:before="30" w:after="30"/>
              <w:jc w:val="center"/>
            </w:pPr>
            <w:r>
              <w:rPr>
                <w:b w:val="0"/>
                <w:i w:val="0"/>
                <w:sz w:val="16"/>
              </w:rPr>
              <w:t>0.191</w:t>
            </w:r>
          </w:p>
        </w:tc>
      </w:tr>
      <w:tr>
        <w:trPr>
          <w:cantSplit/>
        </w:trPr>
        <w:tc>
          <w:tcPr>
            <w:tcW w:type="dxa" w:w="1574"/>
          </w:tcPr>
          <w:p>
            <w:pPr>
              <w:pStyle w:val="MDPI42tablebody"/>
              <w:keepNext/>
              <w:spacing w:line="240" w:lineRule="auto" w:before="30" w:after="30"/>
              <w:jc w:val="left"/>
            </w:pPr>
            <w:r>
              <w:rPr>
                <w:b w:val="0"/>
                <w:i/>
                <w:sz w:val="16"/>
              </w:rPr>
              <w:t>TobinQ</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2.024</w:t>
            </w:r>
          </w:p>
        </w:tc>
        <w:tc>
          <w:tcPr>
            <w:tcW w:type="dxa" w:w="1047"/>
          </w:tcPr>
          <w:p>
            <w:pPr>
              <w:pStyle w:val="MDPI42tablebody"/>
              <w:keepNext/>
              <w:spacing w:line="240" w:lineRule="auto" w:before="30" w:after="30"/>
              <w:jc w:val="center"/>
            </w:pPr>
            <w:r>
              <w:rPr>
                <w:b w:val="0"/>
                <w:i w:val="0"/>
                <w:sz w:val="16"/>
              </w:rPr>
              <w:t>0.878</w:t>
            </w:r>
          </w:p>
        </w:tc>
        <w:tc>
          <w:tcPr>
            <w:tcW w:type="dxa" w:w="1047"/>
          </w:tcPr>
          <w:p>
            <w:pPr>
              <w:pStyle w:val="MDPI42tablebody"/>
              <w:keepNext/>
              <w:spacing w:line="240" w:lineRule="auto" w:before="30" w:after="30"/>
              <w:jc w:val="center"/>
            </w:pPr>
            <w:r>
              <w:rPr>
                <w:b w:val="0"/>
                <w:i w:val="0"/>
                <w:sz w:val="16"/>
              </w:rPr>
              <w:t>0.683</w:t>
            </w:r>
          </w:p>
        </w:tc>
        <w:tc>
          <w:tcPr>
            <w:tcW w:type="dxa" w:w="1047"/>
          </w:tcPr>
          <w:p>
            <w:pPr>
              <w:pStyle w:val="MDPI42tablebody"/>
              <w:keepNext/>
              <w:spacing w:line="240" w:lineRule="auto" w:before="30" w:after="30"/>
              <w:jc w:val="center"/>
            </w:pPr>
            <w:r>
              <w:rPr>
                <w:b w:val="0"/>
                <w:i w:val="0"/>
                <w:sz w:val="16"/>
              </w:rPr>
              <w:t>1.850</w:t>
            </w:r>
          </w:p>
        </w:tc>
        <w:tc>
          <w:tcPr>
            <w:tcW w:type="dxa" w:w="1047"/>
          </w:tcPr>
          <w:p>
            <w:pPr>
              <w:pStyle w:val="MDPI42tablebody"/>
              <w:keepNext/>
              <w:spacing w:line="240" w:lineRule="auto" w:before="30" w:after="30"/>
              <w:jc w:val="center"/>
            </w:pPr>
            <w:r>
              <w:rPr>
                <w:b w:val="0"/>
                <w:i w:val="0"/>
                <w:sz w:val="16"/>
              </w:rPr>
              <w:t>5.076</w:t>
            </w:r>
          </w:p>
        </w:tc>
      </w:tr>
      <w:tr>
        <w:trPr>
          <w:cantSplit/>
        </w:trPr>
        <w:tc>
          <w:tcPr>
            <w:tcW w:type="dxa" w:w="1574"/>
          </w:tcPr>
          <w:p>
            <w:pPr>
              <w:pStyle w:val="MDPI42tablebody"/>
              <w:keepNext/>
              <w:spacing w:line="240" w:lineRule="auto" w:before="30" w:after="30"/>
              <w:jc w:val="left"/>
            </w:pPr>
            <w:r>
              <w:rPr>
                <w:b w:val="0"/>
                <w:i/>
                <w:sz w:val="16"/>
              </w:rPr>
              <w:t>Top1</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0.336</w:t>
            </w:r>
          </w:p>
        </w:tc>
        <w:tc>
          <w:tcPr>
            <w:tcW w:type="dxa" w:w="1047"/>
          </w:tcPr>
          <w:p>
            <w:pPr>
              <w:pStyle w:val="MDPI42tablebody"/>
              <w:keepNext/>
              <w:spacing w:line="240" w:lineRule="auto" w:before="30" w:after="30"/>
              <w:jc w:val="center"/>
            </w:pPr>
            <w:r>
              <w:rPr>
                <w:b w:val="0"/>
                <w:i w:val="0"/>
                <w:sz w:val="16"/>
              </w:rPr>
              <w:t>0.142</w:t>
            </w:r>
          </w:p>
        </w:tc>
        <w:tc>
          <w:tcPr>
            <w:tcW w:type="dxa" w:w="1047"/>
          </w:tcPr>
          <w:p>
            <w:pPr>
              <w:pStyle w:val="MDPI42tablebody"/>
              <w:keepNext/>
              <w:spacing w:line="240" w:lineRule="auto" w:before="30" w:after="30"/>
              <w:jc w:val="center"/>
            </w:pPr>
            <w:r>
              <w:rPr>
                <w:b w:val="0"/>
                <w:i w:val="0"/>
                <w:sz w:val="16"/>
              </w:rPr>
              <w:t>0.030</w:t>
            </w:r>
          </w:p>
        </w:tc>
        <w:tc>
          <w:tcPr>
            <w:tcW w:type="dxa" w:w="1047"/>
          </w:tcPr>
          <w:p>
            <w:pPr>
              <w:pStyle w:val="MDPI42tablebody"/>
              <w:keepNext/>
              <w:spacing w:line="240" w:lineRule="auto" w:before="30" w:after="30"/>
              <w:jc w:val="center"/>
            </w:pPr>
            <w:r>
              <w:rPr>
                <w:b w:val="0"/>
                <w:i w:val="0"/>
                <w:sz w:val="16"/>
              </w:rPr>
              <w:t>0.333</w:t>
            </w:r>
          </w:p>
        </w:tc>
        <w:tc>
          <w:tcPr>
            <w:tcW w:type="dxa" w:w="1047"/>
          </w:tcPr>
          <w:p>
            <w:pPr>
              <w:pStyle w:val="MDPI42tablebody"/>
              <w:keepNext/>
              <w:spacing w:line="240" w:lineRule="auto" w:before="30" w:after="30"/>
              <w:jc w:val="center"/>
            </w:pPr>
            <w:r>
              <w:rPr>
                <w:b w:val="0"/>
                <w:i w:val="0"/>
                <w:sz w:val="16"/>
              </w:rPr>
              <w:t>0.882</w:t>
            </w:r>
          </w:p>
        </w:tc>
      </w:tr>
      <w:tr>
        <w:trPr>
          <w:cantSplit/>
        </w:trPr>
        <w:tc>
          <w:tcPr>
            <w:tcW w:type="dxa" w:w="1574"/>
          </w:tcPr>
          <w:p>
            <w:pPr>
              <w:pStyle w:val="MDPI42tablebody"/>
              <w:keepNext/>
              <w:spacing w:line="240" w:lineRule="auto" w:before="30" w:after="30"/>
              <w:jc w:val="left"/>
            </w:pPr>
            <w:r>
              <w:rPr>
                <w:b w:val="0"/>
                <w:i/>
                <w:sz w:val="16"/>
              </w:rPr>
              <w:t>Indep</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0.375</w:t>
            </w:r>
          </w:p>
        </w:tc>
        <w:tc>
          <w:tcPr>
            <w:tcW w:type="dxa" w:w="1047"/>
          </w:tcPr>
          <w:p>
            <w:pPr>
              <w:pStyle w:val="MDPI42tablebody"/>
              <w:keepNext/>
              <w:spacing w:line="240" w:lineRule="auto" w:before="30" w:after="30"/>
              <w:jc w:val="center"/>
            </w:pPr>
            <w:r>
              <w:rPr>
                <w:b w:val="0"/>
                <w:i w:val="0"/>
                <w:sz w:val="16"/>
              </w:rPr>
              <w:t>0.053</w:t>
            </w:r>
          </w:p>
        </w:tc>
        <w:tc>
          <w:tcPr>
            <w:tcW w:type="dxa" w:w="1047"/>
          </w:tcPr>
          <w:p>
            <w:pPr>
              <w:pStyle w:val="MDPI42tablebody"/>
              <w:keepNext/>
              <w:spacing w:line="240" w:lineRule="auto" w:before="30" w:after="30"/>
              <w:jc w:val="center"/>
            </w:pPr>
            <w:r>
              <w:rPr>
                <w:b w:val="0"/>
                <w:i w:val="0"/>
                <w:sz w:val="16"/>
              </w:rPr>
              <w:t>0.215</w:t>
            </w:r>
          </w:p>
        </w:tc>
        <w:tc>
          <w:tcPr>
            <w:tcW w:type="dxa" w:w="1047"/>
          </w:tcPr>
          <w:p>
            <w:pPr>
              <w:pStyle w:val="MDPI42tablebody"/>
              <w:keepNext/>
              <w:spacing w:line="240" w:lineRule="auto" w:before="30" w:after="30"/>
              <w:jc w:val="center"/>
            </w:pPr>
            <w:r>
              <w:rPr>
                <w:b w:val="0"/>
                <w:i w:val="0"/>
                <w:sz w:val="16"/>
              </w:rPr>
              <w:t>0.374</w:t>
            </w:r>
          </w:p>
        </w:tc>
        <w:tc>
          <w:tcPr>
            <w:tcW w:type="dxa" w:w="1047"/>
          </w:tcPr>
          <w:p>
            <w:pPr>
              <w:pStyle w:val="MDPI42tablebody"/>
              <w:keepNext/>
              <w:spacing w:line="240" w:lineRule="auto" w:before="30" w:after="30"/>
              <w:jc w:val="center"/>
            </w:pPr>
            <w:r>
              <w:rPr>
                <w:b w:val="0"/>
                <w:i w:val="0"/>
                <w:sz w:val="16"/>
              </w:rPr>
              <w:t>0.561</w:t>
            </w:r>
          </w:p>
        </w:tc>
      </w:tr>
      <w:tr>
        <w:trPr>
          <w:cantSplit/>
        </w:trPr>
        <w:tc>
          <w:tcPr>
            <w:tcW w:type="dxa" w:w="1574"/>
          </w:tcPr>
          <w:p>
            <w:pPr>
              <w:pStyle w:val="MDPI42tablebody"/>
              <w:keepNext/>
              <w:spacing w:line="240" w:lineRule="auto" w:before="30" w:after="30"/>
              <w:jc w:val="left"/>
            </w:pPr>
            <w:r>
              <w:rPr>
                <w:b w:val="0"/>
                <w:i/>
                <w:sz w:val="16"/>
              </w:rPr>
              <w:t>Dual</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0.296</w:t>
            </w:r>
          </w:p>
        </w:tc>
        <w:tc>
          <w:tcPr>
            <w:tcW w:type="dxa" w:w="1047"/>
          </w:tcPr>
          <w:p>
            <w:pPr>
              <w:pStyle w:val="MDPI42tablebody"/>
              <w:keepNext/>
              <w:spacing w:line="240" w:lineRule="auto" w:before="30" w:after="30"/>
              <w:jc w:val="center"/>
            </w:pPr>
            <w:r>
              <w:rPr>
                <w:b w:val="0"/>
                <w:i w:val="0"/>
                <w:sz w:val="16"/>
              </w:rPr>
              <w:t>0.456</w:t>
            </w:r>
          </w:p>
        </w:tc>
        <w:tc>
          <w:tcPr>
            <w:tcW w:type="dxa" w:w="1047"/>
          </w:tcPr>
          <w:p>
            <w:pPr>
              <w:pStyle w:val="MDPI42tablebody"/>
              <w:keepNext/>
              <w:spacing w:line="240" w:lineRule="auto" w:before="30" w:after="30"/>
              <w:jc w:val="center"/>
            </w:pPr>
            <w:r>
              <w:rPr>
                <w:b w:val="0"/>
                <w:i w:val="0"/>
                <w:sz w:val="16"/>
              </w:rPr>
              <w:t>0.000</w:t>
            </w:r>
          </w:p>
        </w:tc>
        <w:tc>
          <w:tcPr>
            <w:tcW w:type="dxa" w:w="1047"/>
          </w:tcPr>
          <w:p>
            <w:pPr>
              <w:pStyle w:val="MDPI42tablebody"/>
              <w:keepNext/>
              <w:spacing w:line="240" w:lineRule="auto" w:before="30" w:after="30"/>
              <w:jc w:val="center"/>
            </w:pPr>
            <w:r>
              <w:rPr>
                <w:b w:val="0"/>
                <w:i w:val="0"/>
                <w:sz w:val="16"/>
              </w:rPr>
              <w:t>0.000</w:t>
            </w:r>
          </w:p>
        </w:tc>
        <w:tc>
          <w:tcPr>
            <w:tcW w:type="dxa" w:w="1047"/>
          </w:tcPr>
          <w:p>
            <w:pPr>
              <w:pStyle w:val="MDPI42tablebody"/>
              <w:keepNext/>
              <w:spacing w:line="240" w:lineRule="auto" w:before="30" w:after="30"/>
              <w:jc w:val="center"/>
            </w:pPr>
            <w:r>
              <w:rPr>
                <w:b w:val="0"/>
                <w:i w:val="0"/>
                <w:sz w:val="16"/>
              </w:rPr>
              <w:t>1.000</w:t>
            </w:r>
          </w:p>
        </w:tc>
      </w:tr>
      <w:tr>
        <w:trPr>
          <w:cantSplit/>
        </w:trPr>
        <w:tc>
          <w:tcPr>
            <w:tcW w:type="dxa" w:w="1574"/>
          </w:tcPr>
          <w:p>
            <w:pPr>
              <w:pStyle w:val="MDPI42tablebody"/>
              <w:keepNext/>
              <w:spacing w:line="240" w:lineRule="auto" w:before="30" w:after="30"/>
              <w:jc w:val="left"/>
            </w:pPr>
            <w:r>
              <w:rPr>
                <w:b w:val="0"/>
                <w:i/>
                <w:sz w:val="16"/>
              </w:rPr>
              <w:t>Board</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2.183</w:t>
            </w:r>
          </w:p>
        </w:tc>
        <w:tc>
          <w:tcPr>
            <w:tcW w:type="dxa" w:w="1047"/>
          </w:tcPr>
          <w:p>
            <w:pPr>
              <w:pStyle w:val="MDPI42tablebody"/>
              <w:keepNext/>
              <w:spacing w:line="240" w:lineRule="auto" w:before="30" w:after="30"/>
              <w:jc w:val="center"/>
            </w:pPr>
            <w:r>
              <w:rPr>
                <w:b w:val="0"/>
                <w:i w:val="0"/>
                <w:sz w:val="16"/>
              </w:rPr>
              <w:t>0.149</w:t>
            </w:r>
          </w:p>
        </w:tc>
        <w:tc>
          <w:tcPr>
            <w:tcW w:type="dxa" w:w="1047"/>
          </w:tcPr>
          <w:p>
            <w:pPr>
              <w:pStyle w:val="MDPI42tablebody"/>
              <w:keepNext/>
              <w:spacing w:line="240" w:lineRule="auto" w:before="30" w:after="30"/>
              <w:jc w:val="center"/>
            </w:pPr>
            <w:r>
              <w:rPr>
                <w:b w:val="0"/>
                <w:i w:val="0"/>
                <w:sz w:val="16"/>
              </w:rPr>
              <w:t>1.561</w:t>
            </w:r>
          </w:p>
        </w:tc>
        <w:tc>
          <w:tcPr>
            <w:tcW w:type="dxa" w:w="1047"/>
          </w:tcPr>
          <w:p>
            <w:pPr>
              <w:pStyle w:val="MDPI42tablebody"/>
              <w:keepNext/>
              <w:spacing w:line="240" w:lineRule="auto" w:before="30" w:after="30"/>
              <w:jc w:val="center"/>
            </w:pPr>
            <w:r>
              <w:rPr>
                <w:b w:val="0"/>
                <w:i w:val="0"/>
                <w:sz w:val="16"/>
              </w:rPr>
              <w:t>2.186</w:t>
            </w:r>
          </w:p>
        </w:tc>
        <w:tc>
          <w:tcPr>
            <w:tcW w:type="dxa" w:w="1047"/>
          </w:tcPr>
          <w:p>
            <w:pPr>
              <w:pStyle w:val="MDPI42tablebody"/>
              <w:keepNext/>
              <w:spacing w:line="240" w:lineRule="auto" w:before="30" w:after="30"/>
              <w:jc w:val="center"/>
            </w:pPr>
            <w:r>
              <w:rPr>
                <w:b w:val="0"/>
                <w:i w:val="0"/>
                <w:sz w:val="16"/>
              </w:rPr>
              <w:t>2.797</w:t>
            </w:r>
          </w:p>
        </w:tc>
      </w:tr>
      <w:tr>
        <w:trPr>
          <w:cantSplit/>
        </w:trPr>
        <w:tc>
          <w:tcPr>
            <w:tcW w:type="dxa" w:w="1574"/>
          </w:tcPr>
          <w:p>
            <w:pPr>
              <w:pStyle w:val="MDPI42tablebody"/>
              <w:keepNext/>
              <w:spacing w:line="240" w:lineRule="auto" w:before="30" w:after="30"/>
              <w:jc w:val="left"/>
            </w:pPr>
            <w:r>
              <w:rPr>
                <w:b w:val="0"/>
                <w:i/>
                <w:sz w:val="16"/>
              </w:rPr>
              <w:t>CapInt</w:t>
            </w:r>
          </w:p>
        </w:tc>
        <w:tc>
          <w:tcPr>
            <w:tcW w:type="dxa" w:w="1047"/>
          </w:tcPr>
          <w:p>
            <w:pPr>
              <w:pStyle w:val="MDPI42tablebody"/>
              <w:keepNext/>
              <w:spacing w:line="240" w:lineRule="auto" w:before="30" w:after="30"/>
              <w:jc w:val="center"/>
            </w:pPr>
            <w:r>
              <w:rPr>
                <w:b w:val="0"/>
                <w:i w:val="0"/>
                <w:sz w:val="16"/>
              </w:rPr>
              <w:t>36,064</w:t>
            </w:r>
          </w:p>
        </w:tc>
        <w:tc>
          <w:tcPr>
            <w:tcW w:type="dxa" w:w="1047"/>
          </w:tcPr>
          <w:p>
            <w:pPr>
              <w:pStyle w:val="MDPI42tablebody"/>
              <w:keepNext/>
              <w:spacing w:line="240" w:lineRule="auto" w:before="30" w:after="30"/>
              <w:jc w:val="center"/>
            </w:pPr>
            <w:r>
              <w:rPr>
                <w:b w:val="0"/>
                <w:i w:val="0"/>
                <w:sz w:val="16"/>
              </w:rPr>
              <w:t>13.049</w:t>
            </w:r>
          </w:p>
        </w:tc>
        <w:tc>
          <w:tcPr>
            <w:tcW w:type="dxa" w:w="1047"/>
          </w:tcPr>
          <w:p>
            <w:pPr>
              <w:pStyle w:val="MDPI42tablebody"/>
              <w:keepNext/>
              <w:spacing w:line="240" w:lineRule="auto" w:before="30" w:after="30"/>
              <w:jc w:val="center"/>
            </w:pPr>
            <w:r>
              <w:rPr>
                <w:b w:val="0"/>
                <w:i w:val="0"/>
                <w:sz w:val="16"/>
              </w:rPr>
              <w:t>1.065</w:t>
            </w:r>
          </w:p>
        </w:tc>
        <w:tc>
          <w:tcPr>
            <w:tcW w:type="dxa" w:w="1047"/>
          </w:tcPr>
          <w:p>
            <w:pPr>
              <w:pStyle w:val="MDPI42tablebody"/>
              <w:keepNext/>
              <w:spacing w:line="240" w:lineRule="auto" w:before="30" w:after="30"/>
              <w:jc w:val="center"/>
            </w:pPr>
            <w:r>
              <w:rPr>
                <w:b w:val="0"/>
                <w:i w:val="0"/>
                <w:sz w:val="16"/>
              </w:rPr>
              <w:t>10.443</w:t>
            </w:r>
          </w:p>
        </w:tc>
        <w:tc>
          <w:tcPr>
            <w:tcW w:type="dxa" w:w="1047"/>
          </w:tcPr>
          <w:p>
            <w:pPr>
              <w:pStyle w:val="MDPI42tablebody"/>
              <w:keepNext/>
              <w:spacing w:line="240" w:lineRule="auto" w:before="30" w:after="30"/>
              <w:jc w:val="center"/>
            </w:pPr>
            <w:r>
              <w:rPr>
                <w:b w:val="0"/>
                <w:i w:val="0"/>
                <w:sz w:val="16"/>
              </w:rPr>
              <w:t>13.044</w:t>
            </w:r>
          </w:p>
        </w:tc>
        <w:tc>
          <w:tcPr>
            <w:tcW w:type="dxa" w:w="1047"/>
          </w:tcPr>
          <w:p>
            <w:pPr>
              <w:pStyle w:val="MDPI42tablebody"/>
              <w:keepNext/>
              <w:spacing w:line="240" w:lineRule="auto" w:before="30" w:after="30"/>
              <w:jc w:val="center"/>
            </w:pPr>
            <w:r>
              <w:rPr>
                <w:b w:val="0"/>
                <w:i w:val="0"/>
                <w:sz w:val="16"/>
              </w:rPr>
              <w:t>15.598</w:t>
            </w:r>
          </w:p>
        </w:tc>
      </w:tr>
      <w:tr>
        <w:trPr>
          <w:cantSplit/>
        </w:trPr>
        <w:tc>
          <w:tcPr>
            <w:tcW w:type="dxa" w:w="1574"/>
          </w:tcPr>
          <w:p>
            <w:pPr>
              <w:pStyle w:val="MDPI42tablebody"/>
              <w:spacing w:line="240" w:lineRule="auto" w:before="30" w:after="30"/>
              <w:jc w:val="left"/>
            </w:pPr>
            <w:r>
              <w:rPr>
                <w:b w:val="0"/>
                <w:i/>
                <w:sz w:val="16"/>
              </w:rPr>
              <w:t>Emp</w:t>
            </w:r>
          </w:p>
        </w:tc>
        <w:tc>
          <w:tcPr>
            <w:tcW w:type="dxa" w:w="1047"/>
          </w:tcPr>
          <w:p>
            <w:pPr>
              <w:pStyle w:val="MDPI42tablebody"/>
              <w:spacing w:line="240" w:lineRule="auto" w:before="30" w:after="30"/>
              <w:jc w:val="center"/>
            </w:pPr>
            <w:r>
              <w:rPr>
                <w:b w:val="0"/>
                <w:i w:val="0"/>
                <w:sz w:val="16"/>
              </w:rPr>
              <w:t>36,064</w:t>
            </w:r>
          </w:p>
        </w:tc>
        <w:tc>
          <w:tcPr>
            <w:tcW w:type="dxa" w:w="1047"/>
          </w:tcPr>
          <w:p>
            <w:pPr>
              <w:pStyle w:val="MDPI42tablebody"/>
              <w:spacing w:line="240" w:lineRule="auto" w:before="30" w:after="30"/>
              <w:jc w:val="center"/>
            </w:pPr>
            <w:r>
              <w:rPr>
                <w:b w:val="0"/>
                <w:i w:val="0"/>
                <w:sz w:val="16"/>
              </w:rPr>
              <w:t>7.966</w:t>
            </w:r>
          </w:p>
        </w:tc>
        <w:tc>
          <w:tcPr>
            <w:tcW w:type="dxa" w:w="1047"/>
          </w:tcPr>
          <w:p>
            <w:pPr>
              <w:pStyle w:val="MDPI42tablebody"/>
              <w:spacing w:line="240" w:lineRule="auto" w:before="30" w:after="30"/>
              <w:jc w:val="center"/>
            </w:pPr>
            <w:r>
              <w:rPr>
                <w:b w:val="0"/>
                <w:i w:val="0"/>
                <w:sz w:val="16"/>
              </w:rPr>
              <w:t>0.965</w:t>
            </w:r>
          </w:p>
        </w:tc>
        <w:tc>
          <w:tcPr>
            <w:tcW w:type="dxa" w:w="1047"/>
          </w:tcPr>
          <w:p>
            <w:pPr>
              <w:pStyle w:val="MDPI42tablebody"/>
              <w:spacing w:line="240" w:lineRule="auto" w:before="30" w:after="30"/>
              <w:jc w:val="center"/>
            </w:pPr>
            <w:r>
              <w:rPr>
                <w:b w:val="0"/>
                <w:i w:val="0"/>
                <w:sz w:val="16"/>
              </w:rPr>
              <w:t>5.761</w:t>
            </w:r>
          </w:p>
        </w:tc>
        <w:tc>
          <w:tcPr>
            <w:tcW w:type="dxa" w:w="1047"/>
          </w:tcPr>
          <w:p>
            <w:pPr>
              <w:pStyle w:val="MDPI42tablebody"/>
              <w:spacing w:line="240" w:lineRule="auto" w:before="30" w:after="30"/>
              <w:jc w:val="center"/>
            </w:pPr>
            <w:r>
              <w:rPr>
                <w:b w:val="0"/>
                <w:i w:val="0"/>
                <w:sz w:val="16"/>
              </w:rPr>
              <w:t>7.966</w:t>
            </w:r>
          </w:p>
        </w:tc>
        <w:tc>
          <w:tcPr>
            <w:tcW w:type="dxa" w:w="1047"/>
          </w:tcPr>
          <w:p>
            <w:pPr>
              <w:pStyle w:val="MDPI42tablebody"/>
              <w:spacing w:line="240" w:lineRule="auto" w:before="30" w:after="30"/>
              <w:jc w:val="center"/>
            </w:pPr>
            <w:r>
              <w:rPr>
                <w:b w:val="0"/>
                <w:i w:val="0"/>
                <w:sz w:val="16"/>
              </w:rPr>
              <w:t>10.307</w:t>
            </w:r>
          </w:p>
        </w:tc>
      </w:tr>
    </w:tbl>
    <w:p>
      <w:pPr>
        <w:pStyle w:val="MDPI43tablefooter"/>
        <w:spacing w:line="240" w:lineRule="auto" w:before="40" w:after="200"/>
        <w:ind w:left="2608" w:firstLine="0"/>
      </w:pPr>
      <w:r>
        <w:rPr>
          <w:sz w:val="16"/>
        </w:rPr>
        <w:t xml:space="preserve">Note: </w:t>
      </w:r>
      <w:r>
        <w:rPr>
          <w:b w:val="0"/>
          <w:i w:val="0"/>
          <w:sz w:val="16"/>
        </w:rPr>
        <w:t>The sample comprises 36,064 firm-year observations for 3,400 Chinese A-share listed firms over 2014–2024. Variety, RelVar and UnrelVar are measured in bits; the theoretical maximum of Variety over fifteen skill cells is 3.91. All continuous variables are winsorized at the first and ninety-ninth percentiles. Source: authors’ own calculations.</w:t>
      </w:r>
    </w:p>
    <w:p>
      <w:pPr>
        <w:pStyle w:val="MDPI31text"/>
      </w:pPr>
      <w:r>
        <w:rPr>
          <w:b w:val="0"/>
          <w:i w:val="0"/>
        </w:rPr>
        <w:t>Table 3 reports the pairwise correlations together with the variance inflation factors of the buffering specification computed after the two-way within transformation. Variety is positively correlated with the youth employment share (0.196) and the shock is negatively correlated with it (−0.103), which is the raw pattern the hypotheses predict. The correlation between the related and unrelated components is 0.530, low enough for the two to be entered together. The largest variance inflation factor is 2.65, below the conventional threshold of five.</w:t>
      </w:r>
    </w:p>
    <w:p>
      <w:pPr>
        <w:pStyle w:val="MDPI41tablecaption"/>
        <w:keepNext/>
        <w:spacing w:after="60"/>
      </w:pPr>
      <w:r>
        <w:rPr>
          <w:b/>
          <w:sz w:val="18"/>
        </w:rPr>
        <w:t xml:space="preserve">Table 3. </w:t>
      </w:r>
      <w:r>
        <w:rPr>
          <w:b w:val="0"/>
          <w:i w:val="0"/>
          <w:sz w:val="18"/>
        </w:rPr>
        <w:t>Pearson correlation coefficients and variance inflation factors.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180"/>
        <w:gridCol w:w="695"/>
        <w:gridCol w:w="695"/>
        <w:gridCol w:w="695"/>
        <w:gridCol w:w="695"/>
        <w:gridCol w:w="695"/>
        <w:gridCol w:w="695"/>
        <w:gridCol w:w="695"/>
        <w:gridCol w:w="695"/>
        <w:gridCol w:w="695"/>
        <w:gridCol w:w="695"/>
        <w:gridCol w:w="906"/>
        <w:gridCol w:w="695"/>
        <w:gridCol w:w="727"/>
      </w:tblGrid>
      <w:tr>
        <w:trPr>
          <w:cantSplit/>
          <w:tblHeader/>
        </w:trPr>
        <w:tc>
          <w:tcPr>
            <w:tcW w:type="dxa" w:w="1180"/>
            <w:tcBorders>
              <w:bottom w:val="single" w:sz="8" w:space="0" w:color="auto"/>
            </w:tcBorders>
          </w:tcPr>
          <w:p>
            <w:pPr>
              <w:pStyle w:val="MDPI42tablebody"/>
              <w:keepNext/>
              <w:spacing w:line="240" w:lineRule="auto" w:before="30" w:after="30"/>
              <w:jc w:val="center"/>
            </w:pPr>
            <w:r>
              <w:rPr>
                <w:b/>
                <w:i w:val="0"/>
                <w:sz w:val="12"/>
              </w:rPr>
              <w:t>Variable</w:t>
            </w:r>
          </w:p>
        </w:tc>
        <w:tc>
          <w:tcPr>
            <w:tcW w:type="dxa" w:w="695"/>
            <w:tcBorders>
              <w:bottom w:val="single" w:sz="8" w:space="0" w:color="auto"/>
            </w:tcBorders>
          </w:tcPr>
          <w:p>
            <w:pPr>
              <w:pStyle w:val="MDPI42tablebody"/>
              <w:keepNext/>
              <w:spacing w:line="240" w:lineRule="auto" w:before="30" w:after="30"/>
              <w:jc w:val="center"/>
            </w:pPr>
            <w:r>
              <w:rPr>
                <w:b/>
                <w:i w:val="0"/>
                <w:sz w:val="12"/>
              </w:rPr>
              <w:t>Youth</w:t>
            </w:r>
          </w:p>
        </w:tc>
        <w:tc>
          <w:tcPr>
            <w:tcW w:type="dxa" w:w="695"/>
            <w:tcBorders>
              <w:bottom w:val="single" w:sz="8" w:space="0" w:color="auto"/>
            </w:tcBorders>
          </w:tcPr>
          <w:p>
            <w:pPr>
              <w:pStyle w:val="MDPI42tablebody"/>
              <w:keepNext/>
              <w:spacing w:line="240" w:lineRule="auto" w:before="30" w:after="30"/>
              <w:jc w:val="center"/>
            </w:pPr>
            <w:r>
              <w:rPr>
                <w:b/>
                <w:i w:val="0"/>
                <w:sz w:val="12"/>
              </w:rPr>
              <w:t>Variety</w:t>
            </w:r>
          </w:p>
        </w:tc>
        <w:tc>
          <w:tcPr>
            <w:tcW w:type="dxa" w:w="695"/>
            <w:tcBorders>
              <w:bottom w:val="single" w:sz="8" w:space="0" w:color="auto"/>
            </w:tcBorders>
          </w:tcPr>
          <w:p>
            <w:pPr>
              <w:pStyle w:val="MDPI42tablebody"/>
              <w:keepNext/>
              <w:spacing w:line="240" w:lineRule="auto" w:before="30" w:after="30"/>
              <w:jc w:val="center"/>
            </w:pPr>
            <w:r>
              <w:rPr>
                <w:b/>
                <w:i w:val="0"/>
                <w:sz w:val="12"/>
              </w:rPr>
              <w:t>RelVar</w:t>
            </w:r>
          </w:p>
        </w:tc>
        <w:tc>
          <w:tcPr>
            <w:tcW w:type="dxa" w:w="695"/>
            <w:tcBorders>
              <w:bottom w:val="single" w:sz="8" w:space="0" w:color="auto"/>
            </w:tcBorders>
          </w:tcPr>
          <w:p>
            <w:pPr>
              <w:pStyle w:val="MDPI42tablebody"/>
              <w:keepNext/>
              <w:spacing w:line="240" w:lineRule="auto" w:before="30" w:after="30"/>
              <w:jc w:val="center"/>
            </w:pPr>
            <w:r>
              <w:rPr>
                <w:b/>
                <w:i w:val="0"/>
                <w:sz w:val="12"/>
              </w:rPr>
              <w:t>UnrelVar</w:t>
            </w:r>
          </w:p>
        </w:tc>
        <w:tc>
          <w:tcPr>
            <w:tcW w:type="dxa" w:w="695"/>
            <w:tcBorders>
              <w:bottom w:val="single" w:sz="8" w:space="0" w:color="auto"/>
            </w:tcBorders>
          </w:tcPr>
          <w:p>
            <w:pPr>
              <w:pStyle w:val="MDPI42tablebody"/>
              <w:keepNext/>
              <w:spacing w:line="240" w:lineRule="auto" w:before="30" w:after="30"/>
              <w:jc w:val="center"/>
            </w:pPr>
            <w:r>
              <w:rPr>
                <w:b/>
                <w:i w:val="0"/>
                <w:sz w:val="12"/>
              </w:rPr>
              <w:t>Shock</w:t>
            </w:r>
          </w:p>
        </w:tc>
        <w:tc>
          <w:tcPr>
            <w:tcW w:type="dxa" w:w="695"/>
            <w:tcBorders>
              <w:bottom w:val="single" w:sz="8" w:space="0" w:color="auto"/>
            </w:tcBorders>
          </w:tcPr>
          <w:p>
            <w:pPr>
              <w:pStyle w:val="MDPI42tablebody"/>
              <w:keepNext/>
              <w:spacing w:line="240" w:lineRule="auto" w:before="30" w:after="30"/>
              <w:jc w:val="center"/>
            </w:pPr>
            <w:r>
              <w:rPr>
                <w:b/>
                <w:i w:val="0"/>
                <w:sz w:val="12"/>
              </w:rPr>
              <w:t>Redeploy</w:t>
            </w:r>
          </w:p>
        </w:tc>
        <w:tc>
          <w:tcPr>
            <w:tcW w:type="dxa" w:w="695"/>
            <w:tcBorders>
              <w:bottom w:val="single" w:sz="8" w:space="0" w:color="auto"/>
            </w:tcBorders>
          </w:tcPr>
          <w:p>
            <w:pPr>
              <w:pStyle w:val="MDPI42tablebody"/>
              <w:keepNext/>
              <w:spacing w:line="240" w:lineRule="auto" w:before="30" w:after="30"/>
              <w:jc w:val="center"/>
            </w:pPr>
            <w:r>
              <w:rPr>
                <w:b/>
                <w:i w:val="0"/>
                <w:sz w:val="12"/>
              </w:rPr>
              <w:t>Churn</w:t>
            </w:r>
          </w:p>
        </w:tc>
        <w:tc>
          <w:tcPr>
            <w:tcW w:type="dxa" w:w="695"/>
            <w:tcBorders>
              <w:bottom w:val="single" w:sz="8" w:space="0" w:color="auto"/>
            </w:tcBorders>
          </w:tcPr>
          <w:p>
            <w:pPr>
              <w:pStyle w:val="MDPI42tablebody"/>
              <w:keepNext/>
              <w:spacing w:line="240" w:lineRule="auto" w:before="30" w:after="30"/>
              <w:jc w:val="center"/>
            </w:pPr>
            <w:r>
              <w:rPr>
                <w:b/>
                <w:i w:val="0"/>
                <w:sz w:val="12"/>
              </w:rPr>
              <w:t>Digital</w:t>
            </w:r>
          </w:p>
        </w:tc>
        <w:tc>
          <w:tcPr>
            <w:tcW w:type="dxa" w:w="695"/>
            <w:tcBorders>
              <w:bottom w:val="single" w:sz="8" w:space="0" w:color="auto"/>
            </w:tcBorders>
          </w:tcPr>
          <w:p>
            <w:pPr>
              <w:pStyle w:val="MDPI42tablebody"/>
              <w:keepNext/>
              <w:spacing w:line="240" w:lineRule="auto" w:before="30" w:after="30"/>
              <w:jc w:val="center"/>
            </w:pPr>
            <w:r>
              <w:rPr>
                <w:b/>
                <w:i w:val="0"/>
                <w:sz w:val="12"/>
              </w:rPr>
              <w:t>Slack</w:t>
            </w:r>
          </w:p>
        </w:tc>
        <w:tc>
          <w:tcPr>
            <w:tcW w:type="dxa" w:w="695"/>
            <w:tcBorders>
              <w:bottom w:val="single" w:sz="8" w:space="0" w:color="auto"/>
            </w:tcBorders>
          </w:tcPr>
          <w:p>
            <w:pPr>
              <w:pStyle w:val="MDPI42tablebody"/>
              <w:keepNext/>
              <w:spacing w:line="240" w:lineRule="auto" w:before="30" w:after="30"/>
              <w:jc w:val="center"/>
            </w:pPr>
            <w:r>
              <w:rPr>
                <w:b/>
                <w:i w:val="0"/>
                <w:sz w:val="12"/>
              </w:rPr>
              <w:t>Size</w:t>
            </w:r>
          </w:p>
        </w:tc>
        <w:tc>
          <w:tcPr>
            <w:tcW w:type="dxa" w:w="906"/>
            <w:tcBorders>
              <w:bottom w:val="single" w:sz="8" w:space="0" w:color="auto"/>
            </w:tcBorders>
          </w:tcPr>
          <w:p>
            <w:pPr>
              <w:pStyle w:val="MDPI42tablebody"/>
              <w:keepNext/>
              <w:spacing w:line="240" w:lineRule="auto" w:before="30" w:after="30"/>
              <w:jc w:val="center"/>
            </w:pPr>
            <w:r>
              <w:rPr>
                <w:b/>
                <w:i w:val="0"/>
                <w:sz w:val="12"/>
              </w:rPr>
              <w:t>Lev</w:t>
            </w:r>
          </w:p>
        </w:tc>
        <w:tc>
          <w:tcPr>
            <w:tcW w:type="dxa" w:w="695"/>
            <w:tcBorders>
              <w:bottom w:val="single" w:sz="8" w:space="0" w:color="auto"/>
            </w:tcBorders>
          </w:tcPr>
          <w:p>
            <w:pPr>
              <w:pStyle w:val="MDPI42tablebody"/>
              <w:keepNext/>
              <w:spacing w:line="240" w:lineRule="auto" w:before="30" w:after="30"/>
              <w:jc w:val="center"/>
            </w:pPr>
            <w:r>
              <w:rPr>
                <w:b/>
                <w:i w:val="0"/>
                <w:sz w:val="12"/>
              </w:rPr>
              <w:t>ROA</w:t>
            </w:r>
          </w:p>
        </w:tc>
        <w:tc>
          <w:tcPr>
            <w:tcW w:type="dxa" w:w="727"/>
            <w:tcBorders>
              <w:bottom w:val="single" w:sz="8" w:space="0" w:color="auto"/>
            </w:tcBorders>
          </w:tcPr>
          <w:p>
            <w:pPr>
              <w:pStyle w:val="MDPI42tablebody"/>
              <w:keepNext/>
              <w:spacing w:line="240" w:lineRule="auto" w:before="30" w:after="30"/>
              <w:jc w:val="center"/>
            </w:pPr>
            <w:r>
              <w:rPr>
                <w:b/>
                <w:i w:val="0"/>
                <w:sz w:val="12"/>
              </w:rPr>
              <w:t>VIF</w:t>
            </w:r>
          </w:p>
        </w:tc>
      </w:tr>
      <w:tr>
        <w:trPr>
          <w:cantSplit/>
        </w:trPr>
        <w:tc>
          <w:tcPr>
            <w:tcW w:type="dxa" w:w="1180"/>
          </w:tcPr>
          <w:p>
            <w:pPr>
              <w:pStyle w:val="MDPI42tablebody"/>
              <w:keepNext/>
              <w:spacing w:line="240" w:lineRule="auto" w:before="30" w:after="30"/>
              <w:jc w:val="left"/>
            </w:pPr>
            <w:r>
              <w:rPr>
                <w:b w:val="0"/>
                <w:i/>
                <w:sz w:val="12"/>
              </w:rPr>
              <w:t>Youth</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Variety</w:t>
            </w:r>
          </w:p>
        </w:tc>
        <w:tc>
          <w:tcPr>
            <w:tcW w:type="dxa" w:w="695"/>
          </w:tcPr>
          <w:p>
            <w:pPr>
              <w:pStyle w:val="MDPI42tablebody"/>
              <w:keepNext/>
              <w:spacing w:line="240" w:lineRule="auto" w:before="30" w:after="30"/>
              <w:jc w:val="center"/>
            </w:pPr>
            <w:r>
              <w:rPr>
                <w:b w:val="0"/>
                <w:i w:val="0"/>
                <w:sz w:val="12"/>
              </w:rPr>
              <w:t>0.196</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RelVar</w:t>
            </w:r>
          </w:p>
        </w:tc>
        <w:tc>
          <w:tcPr>
            <w:tcW w:type="dxa" w:w="695"/>
          </w:tcPr>
          <w:p>
            <w:pPr>
              <w:pStyle w:val="MDPI42tablebody"/>
              <w:keepNext/>
              <w:spacing w:line="240" w:lineRule="auto" w:before="30" w:after="30"/>
              <w:jc w:val="center"/>
            </w:pPr>
            <w:r>
              <w:rPr>
                <w:b w:val="0"/>
                <w:i w:val="0"/>
                <w:sz w:val="12"/>
              </w:rPr>
              <w:t>0.176</w:t>
            </w:r>
          </w:p>
        </w:tc>
        <w:tc>
          <w:tcPr>
            <w:tcW w:type="dxa" w:w="695"/>
          </w:tcPr>
          <w:p>
            <w:pPr>
              <w:pStyle w:val="MDPI42tablebody"/>
              <w:keepNext/>
              <w:spacing w:line="240" w:lineRule="auto" w:before="30" w:after="30"/>
              <w:jc w:val="center"/>
            </w:pPr>
            <w:r>
              <w:rPr>
                <w:b w:val="0"/>
                <w:i w:val="0"/>
                <w:sz w:val="12"/>
              </w:rPr>
              <w:t>0.811</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UnrelVar</w:t>
            </w:r>
          </w:p>
        </w:tc>
        <w:tc>
          <w:tcPr>
            <w:tcW w:type="dxa" w:w="695"/>
          </w:tcPr>
          <w:p>
            <w:pPr>
              <w:pStyle w:val="MDPI42tablebody"/>
              <w:keepNext/>
              <w:spacing w:line="240" w:lineRule="auto" w:before="30" w:after="30"/>
              <w:jc w:val="center"/>
            </w:pPr>
            <w:r>
              <w:rPr>
                <w:b w:val="0"/>
                <w:i w:val="0"/>
                <w:sz w:val="12"/>
              </w:rPr>
              <w:t>0.171</w:t>
            </w:r>
          </w:p>
        </w:tc>
        <w:tc>
          <w:tcPr>
            <w:tcW w:type="dxa" w:w="695"/>
          </w:tcPr>
          <w:p>
            <w:pPr>
              <w:pStyle w:val="MDPI42tablebody"/>
              <w:keepNext/>
              <w:spacing w:line="240" w:lineRule="auto" w:before="30" w:after="30"/>
              <w:jc w:val="center"/>
            </w:pPr>
            <w:r>
              <w:rPr>
                <w:b w:val="0"/>
                <w:i w:val="0"/>
                <w:sz w:val="12"/>
              </w:rPr>
              <w:t>0.926</w:t>
            </w:r>
          </w:p>
        </w:tc>
        <w:tc>
          <w:tcPr>
            <w:tcW w:type="dxa" w:w="695"/>
          </w:tcPr>
          <w:p>
            <w:pPr>
              <w:pStyle w:val="MDPI42tablebody"/>
              <w:keepNext/>
              <w:spacing w:line="240" w:lineRule="auto" w:before="30" w:after="30"/>
              <w:jc w:val="center"/>
            </w:pPr>
            <w:r>
              <w:rPr>
                <w:b w:val="0"/>
                <w:i w:val="0"/>
                <w:sz w:val="12"/>
              </w:rPr>
              <w:t>0.530</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Shock</w:t>
            </w:r>
          </w:p>
        </w:tc>
        <w:tc>
          <w:tcPr>
            <w:tcW w:type="dxa" w:w="695"/>
          </w:tcPr>
          <w:p>
            <w:pPr>
              <w:pStyle w:val="MDPI42tablebody"/>
              <w:keepNext/>
              <w:spacing w:line="240" w:lineRule="auto" w:before="30" w:after="30"/>
              <w:jc w:val="center"/>
            </w:pPr>
            <w:r>
              <w:rPr>
                <w:b w:val="0"/>
                <w:i w:val="0"/>
                <w:sz w:val="12"/>
              </w:rPr>
              <w:t>−0.103</w:t>
            </w:r>
          </w:p>
        </w:tc>
        <w:tc>
          <w:tcPr>
            <w:tcW w:type="dxa" w:w="695"/>
          </w:tcPr>
          <w:p>
            <w:pPr>
              <w:pStyle w:val="MDPI42tablebody"/>
              <w:keepNext/>
              <w:spacing w:line="240" w:lineRule="auto" w:before="30" w:after="30"/>
              <w:jc w:val="center"/>
            </w:pPr>
            <w:r>
              <w:rPr>
                <w:b w:val="0"/>
                <w:i w:val="0"/>
                <w:sz w:val="12"/>
              </w:rPr>
              <w:t>0.032</w:t>
            </w:r>
          </w:p>
        </w:tc>
        <w:tc>
          <w:tcPr>
            <w:tcW w:type="dxa" w:w="695"/>
          </w:tcPr>
          <w:p>
            <w:pPr>
              <w:pStyle w:val="MDPI42tablebody"/>
              <w:keepNext/>
              <w:spacing w:line="240" w:lineRule="auto" w:before="30" w:after="30"/>
              <w:jc w:val="center"/>
            </w:pPr>
            <w:r>
              <w:rPr>
                <w:b w:val="0"/>
                <w:i w:val="0"/>
                <w:sz w:val="12"/>
              </w:rPr>
              <w:t>0.030</w:t>
            </w:r>
          </w:p>
        </w:tc>
        <w:tc>
          <w:tcPr>
            <w:tcW w:type="dxa" w:w="695"/>
          </w:tcPr>
          <w:p>
            <w:pPr>
              <w:pStyle w:val="MDPI42tablebody"/>
              <w:keepNext/>
              <w:spacing w:line="240" w:lineRule="auto" w:before="30" w:after="30"/>
              <w:jc w:val="center"/>
            </w:pPr>
            <w:r>
              <w:rPr>
                <w:b w:val="0"/>
                <w:i w:val="0"/>
                <w:sz w:val="12"/>
              </w:rPr>
              <w:t>0.027</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2.65</w:t>
            </w:r>
          </w:p>
        </w:tc>
      </w:tr>
      <w:tr>
        <w:trPr>
          <w:cantSplit/>
        </w:trPr>
        <w:tc>
          <w:tcPr>
            <w:tcW w:type="dxa" w:w="1180"/>
          </w:tcPr>
          <w:p>
            <w:pPr>
              <w:pStyle w:val="MDPI42tablebody"/>
              <w:keepNext/>
              <w:spacing w:line="240" w:lineRule="auto" w:before="30" w:after="30"/>
              <w:jc w:val="left"/>
            </w:pPr>
            <w:r>
              <w:rPr>
                <w:b w:val="0"/>
                <w:i/>
                <w:sz w:val="12"/>
              </w:rPr>
              <w:t>Redeploy</w:t>
            </w:r>
          </w:p>
        </w:tc>
        <w:tc>
          <w:tcPr>
            <w:tcW w:type="dxa" w:w="695"/>
          </w:tcPr>
          <w:p>
            <w:pPr>
              <w:pStyle w:val="MDPI42tablebody"/>
              <w:keepNext/>
              <w:spacing w:line="240" w:lineRule="auto" w:before="30" w:after="30"/>
              <w:jc w:val="center"/>
            </w:pPr>
            <w:r>
              <w:rPr>
                <w:b w:val="0"/>
                <w:i w:val="0"/>
                <w:sz w:val="12"/>
              </w:rPr>
              <w:t>0.049</w:t>
            </w:r>
          </w:p>
        </w:tc>
        <w:tc>
          <w:tcPr>
            <w:tcW w:type="dxa" w:w="695"/>
          </w:tcPr>
          <w:p>
            <w:pPr>
              <w:pStyle w:val="MDPI42tablebody"/>
              <w:keepNext/>
              <w:spacing w:line="240" w:lineRule="auto" w:before="30" w:after="30"/>
              <w:jc w:val="center"/>
            </w:pPr>
            <w:r>
              <w:rPr>
                <w:b w:val="0"/>
                <w:i w:val="0"/>
                <w:sz w:val="12"/>
              </w:rPr>
              <w:t>0.043</w:t>
            </w:r>
          </w:p>
        </w:tc>
        <w:tc>
          <w:tcPr>
            <w:tcW w:type="dxa" w:w="695"/>
          </w:tcPr>
          <w:p>
            <w:pPr>
              <w:pStyle w:val="MDPI42tablebody"/>
              <w:keepNext/>
              <w:spacing w:line="240" w:lineRule="auto" w:before="30" w:after="30"/>
              <w:jc w:val="center"/>
            </w:pPr>
            <w:r>
              <w:rPr>
                <w:b w:val="0"/>
                <w:i w:val="0"/>
                <w:sz w:val="12"/>
              </w:rPr>
              <w:t>−0.080</w:t>
            </w:r>
          </w:p>
        </w:tc>
        <w:tc>
          <w:tcPr>
            <w:tcW w:type="dxa" w:w="695"/>
          </w:tcPr>
          <w:p>
            <w:pPr>
              <w:pStyle w:val="MDPI42tablebody"/>
              <w:keepNext/>
              <w:spacing w:line="240" w:lineRule="auto" w:before="30" w:after="30"/>
              <w:jc w:val="center"/>
            </w:pPr>
            <w:r>
              <w:rPr>
                <w:b w:val="0"/>
                <w:i w:val="0"/>
                <w:sz w:val="12"/>
              </w:rPr>
              <w:t>0.114</w:t>
            </w:r>
          </w:p>
        </w:tc>
        <w:tc>
          <w:tcPr>
            <w:tcW w:type="dxa" w:w="695"/>
          </w:tcPr>
          <w:p>
            <w:pPr>
              <w:pStyle w:val="MDPI42tablebody"/>
              <w:keepNext/>
              <w:spacing w:line="240" w:lineRule="auto" w:before="30" w:after="30"/>
              <w:jc w:val="center"/>
            </w:pPr>
            <w:r>
              <w:rPr>
                <w:b w:val="0"/>
                <w:i w:val="0"/>
                <w:sz w:val="12"/>
              </w:rPr>
              <w:t>0.240</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Churn</w:t>
            </w:r>
          </w:p>
        </w:tc>
        <w:tc>
          <w:tcPr>
            <w:tcW w:type="dxa" w:w="695"/>
          </w:tcPr>
          <w:p>
            <w:pPr>
              <w:pStyle w:val="MDPI42tablebody"/>
              <w:keepNext/>
              <w:spacing w:line="240" w:lineRule="auto" w:before="30" w:after="30"/>
              <w:jc w:val="center"/>
            </w:pPr>
            <w:r>
              <w:rPr>
                <w:b w:val="0"/>
                <w:i w:val="0"/>
                <w:sz w:val="12"/>
              </w:rPr>
              <w:t>−0.153</w:t>
            </w:r>
          </w:p>
        </w:tc>
        <w:tc>
          <w:tcPr>
            <w:tcW w:type="dxa" w:w="695"/>
          </w:tcPr>
          <w:p>
            <w:pPr>
              <w:pStyle w:val="MDPI42tablebody"/>
              <w:keepNext/>
              <w:spacing w:line="240" w:lineRule="auto" w:before="30" w:after="30"/>
              <w:jc w:val="center"/>
            </w:pPr>
            <w:r>
              <w:rPr>
                <w:b w:val="0"/>
                <w:i w:val="0"/>
                <w:sz w:val="12"/>
              </w:rPr>
              <w:t>−0.019</w:t>
            </w:r>
          </w:p>
        </w:tc>
        <w:tc>
          <w:tcPr>
            <w:tcW w:type="dxa" w:w="695"/>
          </w:tcPr>
          <w:p>
            <w:pPr>
              <w:pStyle w:val="MDPI42tablebody"/>
              <w:keepNext/>
              <w:spacing w:line="240" w:lineRule="auto" w:before="30" w:after="30"/>
              <w:jc w:val="center"/>
            </w:pPr>
            <w:r>
              <w:rPr>
                <w:b w:val="0"/>
                <w:i w:val="0"/>
                <w:sz w:val="12"/>
              </w:rPr>
              <w:t>−0.015</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0.376</w:t>
            </w:r>
          </w:p>
        </w:tc>
        <w:tc>
          <w:tcPr>
            <w:tcW w:type="dxa" w:w="695"/>
          </w:tcPr>
          <w:p>
            <w:pPr>
              <w:pStyle w:val="MDPI42tablebody"/>
              <w:keepNext/>
              <w:spacing w:line="240" w:lineRule="auto" w:before="30" w:after="30"/>
              <w:jc w:val="center"/>
            </w:pPr>
            <w:r>
              <w:rPr>
                <w:b w:val="0"/>
                <w:i w:val="0"/>
                <w:sz w:val="12"/>
              </w:rPr>
              <w:t>−0.055</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Digital</w:t>
            </w:r>
          </w:p>
        </w:tc>
        <w:tc>
          <w:tcPr>
            <w:tcW w:type="dxa" w:w="695"/>
          </w:tcPr>
          <w:p>
            <w:pPr>
              <w:pStyle w:val="MDPI42tablebody"/>
              <w:keepNext/>
              <w:spacing w:line="240" w:lineRule="auto" w:before="30" w:after="30"/>
              <w:jc w:val="center"/>
            </w:pPr>
            <w:r>
              <w:rPr>
                <w:b w:val="0"/>
                <w:i w:val="0"/>
                <w:sz w:val="12"/>
              </w:rPr>
              <w:t>0.084</w:t>
            </w:r>
          </w:p>
        </w:tc>
        <w:tc>
          <w:tcPr>
            <w:tcW w:type="dxa" w:w="695"/>
          </w:tcPr>
          <w:p>
            <w:pPr>
              <w:pStyle w:val="MDPI42tablebody"/>
              <w:keepNext/>
              <w:spacing w:line="240" w:lineRule="auto" w:before="30" w:after="30"/>
              <w:jc w:val="center"/>
            </w:pPr>
            <w:r>
              <w:rPr>
                <w:b w:val="0"/>
                <w:i w:val="0"/>
                <w:sz w:val="12"/>
              </w:rPr>
              <w:t>0.038</w:t>
            </w:r>
          </w:p>
        </w:tc>
        <w:tc>
          <w:tcPr>
            <w:tcW w:type="dxa" w:w="695"/>
          </w:tcPr>
          <w:p>
            <w:pPr>
              <w:pStyle w:val="MDPI42tablebody"/>
              <w:keepNext/>
              <w:spacing w:line="240" w:lineRule="auto" w:before="30" w:after="30"/>
              <w:jc w:val="center"/>
            </w:pPr>
            <w:r>
              <w:rPr>
                <w:b w:val="0"/>
                <w:i w:val="0"/>
                <w:sz w:val="12"/>
              </w:rPr>
              <w:t>0.050</w:t>
            </w:r>
          </w:p>
        </w:tc>
        <w:tc>
          <w:tcPr>
            <w:tcW w:type="dxa" w:w="695"/>
          </w:tcPr>
          <w:p>
            <w:pPr>
              <w:pStyle w:val="MDPI42tablebody"/>
              <w:keepNext/>
              <w:spacing w:line="240" w:lineRule="auto" w:before="30" w:after="30"/>
              <w:jc w:val="center"/>
            </w:pPr>
            <w:r>
              <w:rPr>
                <w:b w:val="0"/>
                <w:i w:val="0"/>
                <w:sz w:val="12"/>
              </w:rPr>
              <w:t>0.022</w:t>
            </w:r>
          </w:p>
        </w:tc>
        <w:tc>
          <w:tcPr>
            <w:tcW w:type="dxa" w:w="695"/>
          </w:tcPr>
          <w:p>
            <w:pPr>
              <w:pStyle w:val="MDPI42tablebody"/>
              <w:keepNext/>
              <w:spacing w:line="240" w:lineRule="auto" w:before="30" w:after="30"/>
              <w:jc w:val="center"/>
            </w:pPr>
            <w:r>
              <w:rPr>
                <w:b w:val="0"/>
                <w:i w:val="0"/>
                <w:sz w:val="12"/>
              </w:rPr>
              <w:t>0.096</w:t>
            </w:r>
          </w:p>
        </w:tc>
        <w:tc>
          <w:tcPr>
            <w:tcW w:type="dxa" w:w="695"/>
          </w:tcPr>
          <w:p>
            <w:pPr>
              <w:pStyle w:val="MDPI42tablebody"/>
              <w:keepNext/>
              <w:spacing w:line="240" w:lineRule="auto" w:before="30" w:after="30"/>
              <w:jc w:val="center"/>
            </w:pPr>
            <w:r>
              <w:rPr>
                <w:b w:val="0"/>
                <w:i w:val="0"/>
                <w:sz w:val="12"/>
              </w:rPr>
              <w:t>0.086</w:t>
            </w:r>
          </w:p>
        </w:tc>
        <w:tc>
          <w:tcPr>
            <w:tcW w:type="dxa" w:w="695"/>
          </w:tcPr>
          <w:p>
            <w:pPr>
              <w:pStyle w:val="MDPI42tablebody"/>
              <w:keepNext/>
              <w:spacing w:line="240" w:lineRule="auto" w:before="30" w:after="30"/>
              <w:jc w:val="center"/>
            </w:pPr>
            <w:r>
              <w:rPr>
                <w:b w:val="0"/>
                <w:i w:val="0"/>
                <w:sz w:val="12"/>
              </w:rPr>
              <w:t>0.037</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Slack</w:t>
            </w:r>
          </w:p>
        </w:tc>
        <w:tc>
          <w:tcPr>
            <w:tcW w:type="dxa" w:w="695"/>
          </w:tcPr>
          <w:p>
            <w:pPr>
              <w:pStyle w:val="MDPI42tablebody"/>
              <w:keepNext/>
              <w:spacing w:line="240" w:lineRule="auto" w:before="30" w:after="30"/>
              <w:jc w:val="center"/>
            </w:pPr>
            <w:r>
              <w:rPr>
                <w:b w:val="0"/>
                <w:i w:val="0"/>
                <w:sz w:val="12"/>
              </w:rPr>
              <w:t>0.021</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0.009</w:t>
            </w:r>
          </w:p>
        </w:tc>
        <w:tc>
          <w:tcPr>
            <w:tcW w:type="dxa" w:w="695"/>
          </w:tcPr>
          <w:p>
            <w:pPr>
              <w:pStyle w:val="MDPI42tablebody"/>
              <w:keepNext/>
              <w:spacing w:line="240" w:lineRule="auto" w:before="30" w:after="30"/>
              <w:jc w:val="center"/>
            </w:pPr>
            <w:r>
              <w:rPr>
                <w:b w:val="0"/>
                <w:i w:val="0"/>
                <w:sz w:val="12"/>
              </w:rPr>
              <w:t>−0.007</w:t>
            </w:r>
          </w:p>
        </w:tc>
        <w:tc>
          <w:tcPr>
            <w:tcW w:type="dxa" w:w="695"/>
          </w:tcPr>
          <w:p>
            <w:pPr>
              <w:pStyle w:val="MDPI42tablebody"/>
              <w:keepNext/>
              <w:spacing w:line="240" w:lineRule="auto" w:before="30" w:after="30"/>
              <w:jc w:val="center"/>
            </w:pPr>
            <w:r>
              <w:rPr>
                <w:b w:val="0"/>
                <w:i w:val="0"/>
                <w:sz w:val="12"/>
              </w:rPr>
              <w:t>0.007</w:t>
            </w:r>
          </w:p>
        </w:tc>
        <w:tc>
          <w:tcPr>
            <w:tcW w:type="dxa" w:w="695"/>
          </w:tcPr>
          <w:p>
            <w:pPr>
              <w:pStyle w:val="MDPI42tablebody"/>
              <w:keepNext/>
              <w:spacing w:line="240" w:lineRule="auto" w:before="30" w:after="30"/>
              <w:jc w:val="center"/>
            </w:pPr>
            <w:r>
              <w:rPr>
                <w:b w:val="0"/>
                <w:i w:val="0"/>
                <w:sz w:val="12"/>
              </w:rPr>
              <w:t>−0.008</w:t>
            </w:r>
          </w:p>
        </w:tc>
        <w:tc>
          <w:tcPr>
            <w:tcW w:type="dxa" w:w="695"/>
          </w:tcPr>
          <w:p>
            <w:pPr>
              <w:pStyle w:val="MDPI42tablebody"/>
              <w:keepNext/>
              <w:spacing w:line="240" w:lineRule="auto" w:before="30" w:after="30"/>
              <w:jc w:val="center"/>
            </w:pPr>
            <w:r>
              <w:rPr>
                <w:b w:val="0"/>
                <w:i w:val="0"/>
                <w:sz w:val="12"/>
              </w:rPr>
              <w:t>−0.121</w:t>
            </w:r>
          </w:p>
        </w:tc>
        <w:tc>
          <w:tcPr>
            <w:tcW w:type="dxa" w:w="695"/>
          </w:tcPr>
          <w:p>
            <w:pPr>
              <w:pStyle w:val="MDPI42tablebody"/>
              <w:keepNext/>
              <w:spacing w:line="240" w:lineRule="auto" w:before="30" w:after="30"/>
              <w:jc w:val="center"/>
            </w:pPr>
            <w:r>
              <w:rPr>
                <w:b w:val="0"/>
                <w:i w:val="0"/>
                <w:sz w:val="12"/>
              </w:rPr>
              <w:t>−0.010</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Size</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0.016</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0.069</w:t>
            </w:r>
          </w:p>
        </w:tc>
        <w:tc>
          <w:tcPr>
            <w:tcW w:type="dxa" w:w="695"/>
          </w:tcPr>
          <w:p>
            <w:pPr>
              <w:pStyle w:val="MDPI42tablebody"/>
              <w:keepNext/>
              <w:spacing w:line="240" w:lineRule="auto" w:before="30" w:after="30"/>
              <w:jc w:val="center"/>
            </w:pPr>
            <w:r>
              <w:rPr>
                <w:b w:val="0"/>
                <w:i w:val="0"/>
                <w:sz w:val="12"/>
              </w:rPr>
              <w:t>0.016</w:t>
            </w:r>
          </w:p>
        </w:tc>
        <w:tc>
          <w:tcPr>
            <w:tcW w:type="dxa" w:w="695"/>
          </w:tcPr>
          <w:p>
            <w:pPr>
              <w:pStyle w:val="MDPI42tablebody"/>
              <w:keepNext/>
              <w:spacing w:line="240" w:lineRule="auto" w:before="30" w:after="30"/>
              <w:jc w:val="center"/>
            </w:pPr>
            <w:r>
              <w:rPr>
                <w:b w:val="0"/>
                <w:i w:val="0"/>
                <w:sz w:val="12"/>
              </w:rPr>
              <w:t>1.000</w:t>
            </w: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1.04</w:t>
            </w:r>
          </w:p>
        </w:tc>
      </w:tr>
      <w:tr>
        <w:trPr>
          <w:cantSplit/>
        </w:trPr>
        <w:tc>
          <w:tcPr>
            <w:tcW w:type="dxa" w:w="1180"/>
          </w:tcPr>
          <w:p>
            <w:pPr>
              <w:pStyle w:val="MDPI42tablebody"/>
              <w:keepNext/>
              <w:spacing w:line="240" w:lineRule="auto" w:before="30" w:after="30"/>
              <w:jc w:val="left"/>
            </w:pPr>
            <w:r>
              <w:rPr>
                <w:b w:val="0"/>
                <w:i/>
                <w:sz w:val="12"/>
              </w:rPr>
              <w:t>Lev</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0.031</w:t>
            </w:r>
          </w:p>
        </w:tc>
        <w:tc>
          <w:tcPr>
            <w:tcW w:type="dxa" w:w="906"/>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ROA</w:t>
            </w:r>
          </w:p>
        </w:tc>
        <w:tc>
          <w:tcPr>
            <w:tcW w:type="dxa" w:w="695"/>
          </w:tcPr>
          <w:p>
            <w:pPr>
              <w:pStyle w:val="MDPI42tablebody"/>
              <w:keepNext/>
              <w:spacing w:line="240" w:lineRule="auto" w:before="30" w:after="30"/>
              <w:jc w:val="center"/>
            </w:pPr>
            <w:r>
              <w:rPr>
                <w:b w:val="0"/>
                <w:i w:val="0"/>
                <w:sz w:val="12"/>
              </w:rPr>
              <w:t>0.050</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−0.118</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−0.045</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−0.008</w:t>
            </w:r>
          </w:p>
        </w:tc>
        <w:tc>
          <w:tcPr>
            <w:tcW w:type="dxa" w:w="906"/>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1.000</w:t>
            </w:r>
          </w:p>
        </w:tc>
        <w:tc>
          <w:tcPr>
            <w:tcW w:type="dxa" w:w="727"/>
          </w:tcPr>
          <w:p>
            <w:pPr>
              <w:pStyle w:val="MDPI42tablebody"/>
              <w:keepNext/>
              <w:spacing w:line="240" w:lineRule="auto" w:before="30" w:after="30"/>
              <w:jc w:val="center"/>
            </w:pPr>
            <w:r>
              <w:rPr>
                <w:b w:val="0"/>
                <w:i w:val="0"/>
                <w:sz w:val="12"/>
              </w:rPr>
              <w:t>1.05</w:t>
            </w:r>
          </w:p>
        </w:tc>
      </w:tr>
      <w:tr>
        <w:trPr>
          <w:cantSplit/>
        </w:trPr>
        <w:tc>
          <w:tcPr>
            <w:tcW w:type="dxa" w:w="1180"/>
          </w:tcPr>
          <w:p>
            <w:pPr>
              <w:pStyle w:val="MDPI42tablebody"/>
              <w:keepNext/>
              <w:spacing w:line="240" w:lineRule="auto" w:before="30" w:after="30"/>
              <w:jc w:val="left"/>
            </w:pPr>
            <w:r>
              <w:rPr>
                <w:b w:val="0"/>
                <w:i/>
                <w:sz w:val="12"/>
              </w:rPr>
              <w:t>Cashflow</w:t>
            </w:r>
          </w:p>
        </w:tc>
        <w:tc>
          <w:tcPr>
            <w:tcW w:type="dxa" w:w="695"/>
          </w:tcPr>
          <w:p>
            <w:pPr>
              <w:pStyle w:val="MDPI42tablebody"/>
              <w:keepNext/>
              <w:spacing w:line="240" w:lineRule="auto" w:before="30" w:after="30"/>
              <w:jc w:val="center"/>
            </w:pPr>
            <w:r>
              <w:rPr>
                <w:b w:val="0"/>
                <w:i w:val="0"/>
                <w:sz w:val="12"/>
              </w:rPr>
              <w:t>0.010</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0.005</w:t>
            </w:r>
          </w:p>
        </w:tc>
        <w:tc>
          <w:tcPr>
            <w:tcW w:type="dxa" w:w="695"/>
          </w:tcPr>
          <w:p>
            <w:pPr>
              <w:pStyle w:val="MDPI42tablebody"/>
              <w:keepNext/>
              <w:spacing w:line="240" w:lineRule="auto" w:before="30" w:after="30"/>
              <w:jc w:val="center"/>
            </w:pPr>
            <w:r>
              <w:rPr>
                <w:b w:val="0"/>
                <w:i w:val="0"/>
                <w:sz w:val="12"/>
              </w:rPr>
              <w:t>−0.005</w:t>
            </w:r>
          </w:p>
        </w:tc>
        <w:tc>
          <w:tcPr>
            <w:tcW w:type="dxa" w:w="695"/>
          </w:tcPr>
          <w:p>
            <w:pPr>
              <w:pStyle w:val="MDPI42tablebody"/>
              <w:keepNext/>
              <w:spacing w:line="240" w:lineRule="auto" w:before="30" w:after="30"/>
              <w:jc w:val="center"/>
            </w:pPr>
            <w:r>
              <w:rPr>
                <w:b w:val="0"/>
                <w:i w:val="0"/>
                <w:sz w:val="12"/>
              </w:rPr>
              <w:t>0.013</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0.012</w:t>
            </w:r>
          </w:p>
        </w:tc>
        <w:tc>
          <w:tcPr>
            <w:tcW w:type="dxa" w:w="906"/>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0.043</w:t>
            </w:r>
          </w:p>
        </w:tc>
        <w:tc>
          <w:tcPr>
            <w:tcW w:type="dxa" w:w="727"/>
          </w:tcPr>
          <w:p>
            <w:pPr>
              <w:pStyle w:val="MDPI42tablebody"/>
              <w:keepNext/>
              <w:spacing w:line="240" w:lineRule="auto" w:before="30" w:after="30"/>
              <w:jc w:val="center"/>
            </w:pPr>
            <w:r>
              <w:rPr>
                <w:b w:val="0"/>
                <w:i w:val="0"/>
                <w:sz w:val="12"/>
              </w:rPr>
              <w:t>1.01</w:t>
            </w:r>
          </w:p>
        </w:tc>
      </w:tr>
      <w:tr>
        <w:trPr>
          <w:cantSplit/>
        </w:trPr>
        <w:tc>
          <w:tcPr>
            <w:tcW w:type="dxa" w:w="1180"/>
          </w:tcPr>
          <w:p>
            <w:pPr>
              <w:pStyle w:val="MDPI42tablebody"/>
              <w:keepNext/>
              <w:spacing w:line="240" w:lineRule="auto" w:before="30" w:after="30"/>
              <w:jc w:val="left"/>
            </w:pPr>
            <w:r>
              <w:rPr>
                <w:b w:val="0"/>
                <w:i/>
                <w:sz w:val="12"/>
              </w:rPr>
              <w:t>TobinQ</w:t>
            </w:r>
          </w:p>
        </w:tc>
        <w:tc>
          <w:tcPr>
            <w:tcW w:type="dxa" w:w="695"/>
          </w:tcPr>
          <w:p>
            <w:pPr>
              <w:pStyle w:val="MDPI42tablebody"/>
              <w:keepNext/>
              <w:spacing w:line="240" w:lineRule="auto" w:before="30" w:after="30"/>
              <w:jc w:val="center"/>
            </w:pPr>
            <w:r>
              <w:rPr>
                <w:b w:val="0"/>
                <w:i w:val="0"/>
                <w:sz w:val="12"/>
              </w:rPr>
              <w:t>0.086</w:t>
            </w:r>
          </w:p>
        </w:tc>
        <w:tc>
          <w:tcPr>
            <w:tcW w:type="dxa" w:w="695"/>
          </w:tcPr>
          <w:p>
            <w:pPr>
              <w:pStyle w:val="MDPI42tablebody"/>
              <w:keepNext/>
              <w:spacing w:line="240" w:lineRule="auto" w:before="30" w:after="30"/>
              <w:jc w:val="center"/>
            </w:pPr>
            <w:r>
              <w:rPr>
                <w:b w:val="0"/>
                <w:i w:val="0"/>
                <w:sz w:val="12"/>
              </w:rPr>
              <w:t>0.024</w:t>
            </w:r>
          </w:p>
        </w:tc>
        <w:tc>
          <w:tcPr>
            <w:tcW w:type="dxa" w:w="695"/>
          </w:tcPr>
          <w:p>
            <w:pPr>
              <w:pStyle w:val="MDPI42tablebody"/>
              <w:keepNext/>
              <w:spacing w:line="240" w:lineRule="auto" w:before="30" w:after="30"/>
              <w:jc w:val="center"/>
            </w:pPr>
            <w:r>
              <w:rPr>
                <w:b w:val="0"/>
                <w:i w:val="0"/>
                <w:sz w:val="12"/>
              </w:rPr>
              <w:t>0.019</w:t>
            </w:r>
          </w:p>
        </w:tc>
        <w:tc>
          <w:tcPr>
            <w:tcW w:type="dxa" w:w="695"/>
          </w:tcPr>
          <w:p>
            <w:pPr>
              <w:pStyle w:val="MDPI42tablebody"/>
              <w:keepNext/>
              <w:spacing w:line="240" w:lineRule="auto" w:before="30" w:after="30"/>
              <w:jc w:val="center"/>
            </w:pPr>
            <w:r>
              <w:rPr>
                <w:b w:val="0"/>
                <w:i w:val="0"/>
                <w:sz w:val="12"/>
              </w:rPr>
              <w:t>0.023</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0.009</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0.072</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0.014</w:t>
            </w:r>
          </w:p>
        </w:tc>
        <w:tc>
          <w:tcPr>
            <w:tcW w:type="dxa" w:w="906"/>
          </w:tcPr>
          <w:p>
            <w:pPr>
              <w:pStyle w:val="MDPI42tablebody"/>
              <w:keepNext/>
              <w:spacing w:line="240" w:lineRule="auto" w:before="30" w:after="30"/>
              <w:jc w:val="center"/>
            </w:pPr>
            <w:r>
              <w:rPr>
                <w:b w:val="0"/>
                <w:i w:val="0"/>
                <w:sz w:val="12"/>
              </w:rPr>
              <w:t>0.008</w:t>
            </w:r>
          </w:p>
        </w:tc>
        <w:tc>
          <w:tcPr>
            <w:tcW w:type="dxa" w:w="695"/>
          </w:tcPr>
          <w:p>
            <w:pPr>
              <w:pStyle w:val="MDPI42tablebody"/>
              <w:keepNext/>
              <w:spacing w:line="240" w:lineRule="auto" w:before="30" w:after="30"/>
              <w:jc w:val="center"/>
            </w:pPr>
            <w:r>
              <w:rPr>
                <w:b w:val="0"/>
                <w:i w:val="0"/>
                <w:sz w:val="12"/>
              </w:rPr>
              <w:t>0.047</w:t>
            </w:r>
          </w:p>
        </w:tc>
        <w:tc>
          <w:tcPr>
            <w:tcW w:type="dxa" w:w="727"/>
          </w:tcPr>
          <w:p>
            <w:pPr>
              <w:pStyle w:val="MDPI42tablebody"/>
              <w:keepNext/>
              <w:spacing w:line="240" w:lineRule="auto" w:before="30" w:after="30"/>
              <w:jc w:val="center"/>
            </w:pPr>
            <w:r>
              <w:rPr>
                <w:b w:val="0"/>
                <w:i w:val="0"/>
                <w:sz w:val="12"/>
              </w:rPr>
              <w:t>1.02</w:t>
            </w:r>
          </w:p>
        </w:tc>
      </w:tr>
      <w:tr>
        <w:trPr>
          <w:cantSplit/>
        </w:trPr>
        <w:tc>
          <w:tcPr>
            <w:tcW w:type="dxa" w:w="1180"/>
          </w:tcPr>
          <w:p>
            <w:pPr>
              <w:pStyle w:val="MDPI42tablebody"/>
              <w:keepNext/>
              <w:spacing w:line="240" w:lineRule="auto" w:before="30" w:after="30"/>
              <w:jc w:val="left"/>
            </w:pPr>
            <w:r>
              <w:rPr>
                <w:b w:val="0"/>
                <w:i/>
                <w:sz w:val="12"/>
              </w:rPr>
              <w:t>Top1</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−0.021</w:t>
            </w:r>
          </w:p>
        </w:tc>
        <w:tc>
          <w:tcPr>
            <w:tcW w:type="dxa" w:w="695"/>
          </w:tcPr>
          <w:p>
            <w:pPr>
              <w:pStyle w:val="MDPI42tablebody"/>
              <w:keepNext/>
              <w:spacing w:line="240" w:lineRule="auto" w:before="30" w:after="30"/>
              <w:jc w:val="center"/>
            </w:pPr>
            <w:r>
              <w:rPr>
                <w:b w:val="0"/>
                <w:i w:val="0"/>
                <w:sz w:val="12"/>
              </w:rPr>
              <w:t>−0.013</w:t>
            </w:r>
          </w:p>
        </w:tc>
        <w:tc>
          <w:tcPr>
            <w:tcW w:type="dxa" w:w="695"/>
          </w:tcPr>
          <w:p>
            <w:pPr>
              <w:pStyle w:val="MDPI42tablebody"/>
              <w:keepNext/>
              <w:spacing w:line="240" w:lineRule="auto" w:before="30" w:after="30"/>
              <w:jc w:val="center"/>
            </w:pPr>
            <w:r>
              <w:rPr>
                <w:b w:val="0"/>
                <w:i w:val="0"/>
                <w:sz w:val="12"/>
              </w:rPr>
              <w:t>−0.021</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−0.019</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0.023</w:t>
            </w:r>
          </w:p>
        </w:tc>
        <w:tc>
          <w:tcPr>
            <w:tcW w:type="dxa" w:w="906"/>
          </w:tcPr>
          <w:p>
            <w:pPr>
              <w:pStyle w:val="MDPI42tablebody"/>
              <w:keepNext/>
              <w:spacing w:line="240" w:lineRule="auto" w:before="30" w:after="30"/>
              <w:jc w:val="center"/>
            </w:pPr>
            <w:r>
              <w:rPr>
                <w:b w:val="0"/>
                <w:i w:val="0"/>
                <w:sz w:val="12"/>
              </w:rPr>
              <w:t>−0.025</w:t>
            </w:r>
          </w:p>
        </w:tc>
        <w:tc>
          <w:tcPr>
            <w:tcW w:type="dxa" w:w="695"/>
          </w:tcPr>
          <w:p>
            <w:pPr>
              <w:pStyle w:val="MDPI42tablebody"/>
              <w:keepNext/>
              <w:spacing w:line="240" w:lineRule="auto" w:before="30" w:after="30"/>
              <w:jc w:val="center"/>
            </w:pPr>
            <w:r>
              <w:rPr>
                <w:b w:val="0"/>
                <w:i w:val="0"/>
                <w:sz w:val="12"/>
              </w:rPr>
              <w:t>0.009</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Indep</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−0.011</w:t>
            </w:r>
          </w:p>
        </w:tc>
        <w:tc>
          <w:tcPr>
            <w:tcW w:type="dxa" w:w="695"/>
          </w:tcPr>
          <w:p>
            <w:pPr>
              <w:pStyle w:val="MDPI42tablebody"/>
              <w:keepNext/>
              <w:spacing w:line="240" w:lineRule="auto" w:before="30" w:after="30"/>
              <w:jc w:val="center"/>
            </w:pPr>
            <w:r>
              <w:rPr>
                <w:b w:val="0"/>
                <w:i w:val="0"/>
                <w:sz w:val="12"/>
              </w:rPr>
              <w:t>0.017</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−0.005</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−0.007</w:t>
            </w:r>
          </w:p>
        </w:tc>
        <w:tc>
          <w:tcPr>
            <w:tcW w:type="dxa" w:w="695"/>
          </w:tcPr>
          <w:p>
            <w:pPr>
              <w:pStyle w:val="MDPI42tablebody"/>
              <w:keepNext/>
              <w:spacing w:line="240" w:lineRule="auto" w:before="30" w:after="30"/>
              <w:jc w:val="center"/>
            </w:pPr>
            <w:r>
              <w:rPr>
                <w:b w:val="0"/>
                <w:i w:val="0"/>
                <w:sz w:val="12"/>
              </w:rPr>
              <w:t>−0.028</w:t>
            </w:r>
          </w:p>
        </w:tc>
        <w:tc>
          <w:tcPr>
            <w:tcW w:type="dxa" w:w="906"/>
          </w:tcPr>
          <w:p>
            <w:pPr>
              <w:pStyle w:val="MDPI42tablebody"/>
              <w:keepNext/>
              <w:spacing w:line="240" w:lineRule="auto" w:before="30" w:after="30"/>
              <w:jc w:val="center"/>
            </w:pPr>
            <w:r>
              <w:rPr>
                <w:b w:val="0"/>
                <w:i w:val="0"/>
                <w:sz w:val="12"/>
              </w:rPr>
              <w:t>−0.010</w:t>
            </w:r>
          </w:p>
        </w:tc>
        <w:tc>
          <w:tcPr>
            <w:tcW w:type="dxa" w:w="695"/>
          </w:tcPr>
          <w:p>
            <w:pPr>
              <w:pStyle w:val="MDPI42tablebody"/>
              <w:keepNext/>
              <w:spacing w:line="240" w:lineRule="auto" w:before="30" w:after="30"/>
              <w:jc w:val="center"/>
            </w:pPr>
            <w:r>
              <w:rPr>
                <w:b w:val="0"/>
                <w:i w:val="0"/>
                <w:sz w:val="12"/>
              </w:rPr>
              <w:t>0.002</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Dual</w:t>
            </w:r>
          </w:p>
        </w:tc>
        <w:tc>
          <w:tcPr>
            <w:tcW w:type="dxa" w:w="695"/>
          </w:tcPr>
          <w:p>
            <w:pPr>
              <w:pStyle w:val="MDPI42tablebody"/>
              <w:keepNext/>
              <w:spacing w:line="240" w:lineRule="auto" w:before="30" w:after="30"/>
              <w:jc w:val="center"/>
            </w:pPr>
            <w:r>
              <w:rPr>
                <w:b w:val="0"/>
                <w:i w:val="0"/>
                <w:sz w:val="12"/>
              </w:rPr>
              <w:t>0.026</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−0.016</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−0.008</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−0.005</w:t>
            </w:r>
          </w:p>
        </w:tc>
        <w:tc>
          <w:tcPr>
            <w:tcW w:type="dxa" w:w="695"/>
          </w:tcPr>
          <w:p>
            <w:pPr>
              <w:pStyle w:val="MDPI42tablebody"/>
              <w:keepNext/>
              <w:spacing w:line="240" w:lineRule="auto" w:before="30" w:after="30"/>
              <w:jc w:val="center"/>
            </w:pPr>
            <w:r>
              <w:rPr>
                <w:b w:val="0"/>
                <w:i w:val="0"/>
                <w:sz w:val="12"/>
              </w:rPr>
              <w:t>−0.015</w:t>
            </w:r>
          </w:p>
        </w:tc>
        <w:tc>
          <w:tcPr>
            <w:tcW w:type="dxa" w:w="695"/>
          </w:tcPr>
          <w:p>
            <w:pPr>
              <w:pStyle w:val="MDPI42tablebody"/>
              <w:keepNext/>
              <w:spacing w:line="240" w:lineRule="auto" w:before="30" w:after="30"/>
              <w:jc w:val="center"/>
            </w:pPr>
            <w:r>
              <w:rPr>
                <w:b w:val="0"/>
                <w:i w:val="0"/>
                <w:sz w:val="12"/>
              </w:rPr>
              <w:t>0.031</w:t>
            </w:r>
          </w:p>
        </w:tc>
        <w:tc>
          <w:tcPr>
            <w:tcW w:type="dxa" w:w="695"/>
          </w:tcPr>
          <w:p>
            <w:pPr>
              <w:pStyle w:val="MDPI42tablebody"/>
              <w:keepNext/>
              <w:spacing w:line="240" w:lineRule="auto" w:before="30" w:after="30"/>
              <w:jc w:val="center"/>
            </w:pPr>
            <w:r>
              <w:rPr>
                <w:b w:val="0"/>
                <w:i w:val="0"/>
                <w:sz w:val="12"/>
              </w:rPr>
              <w:t>−0.011</w:t>
            </w:r>
          </w:p>
        </w:tc>
        <w:tc>
          <w:tcPr>
            <w:tcW w:type="dxa" w:w="906"/>
          </w:tcPr>
          <w:p>
            <w:pPr>
              <w:pStyle w:val="MDPI42tablebody"/>
              <w:keepNext/>
              <w:spacing w:line="240" w:lineRule="auto" w:before="30" w:after="30"/>
              <w:jc w:val="center"/>
            </w:pPr>
            <w:r>
              <w:rPr>
                <w:b w:val="0"/>
                <w:i w:val="0"/>
                <w:sz w:val="12"/>
              </w:rPr>
              <w:t>−0.009</w:t>
            </w:r>
          </w:p>
        </w:tc>
        <w:tc>
          <w:tcPr>
            <w:tcW w:type="dxa" w:w="695"/>
          </w:tcPr>
          <w:p>
            <w:pPr>
              <w:pStyle w:val="MDPI42tablebody"/>
              <w:keepNext/>
              <w:spacing w:line="240" w:lineRule="auto" w:before="30" w:after="30"/>
              <w:jc w:val="center"/>
            </w:pPr>
            <w:r>
              <w:rPr>
                <w:b w:val="0"/>
                <w:i w:val="0"/>
                <w:sz w:val="12"/>
              </w:rPr>
              <w:t>0.013</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Board</w:t>
            </w:r>
          </w:p>
        </w:tc>
        <w:tc>
          <w:tcPr>
            <w:tcW w:type="dxa" w:w="695"/>
          </w:tcPr>
          <w:p>
            <w:pPr>
              <w:pStyle w:val="MDPI42tablebody"/>
              <w:keepNext/>
              <w:spacing w:line="240" w:lineRule="auto" w:before="30" w:after="30"/>
              <w:jc w:val="center"/>
            </w:pPr>
            <w:r>
              <w:rPr>
                <w:b w:val="0"/>
                <w:i w:val="0"/>
                <w:sz w:val="12"/>
              </w:rPr>
              <w:t>−0.027</w:t>
            </w:r>
          </w:p>
        </w:tc>
        <w:tc>
          <w:tcPr>
            <w:tcW w:type="dxa" w:w="695"/>
          </w:tcPr>
          <w:p>
            <w:pPr>
              <w:pStyle w:val="MDPI42tablebody"/>
              <w:keepNext/>
              <w:spacing w:line="240" w:lineRule="auto" w:before="30" w:after="30"/>
              <w:jc w:val="center"/>
            </w:pPr>
            <w:r>
              <w:rPr>
                <w:b w:val="0"/>
                <w:i w:val="0"/>
                <w:sz w:val="12"/>
              </w:rPr>
              <w:t>−0.008</w:t>
            </w:r>
          </w:p>
        </w:tc>
        <w:tc>
          <w:tcPr>
            <w:tcW w:type="dxa" w:w="695"/>
          </w:tcPr>
          <w:p>
            <w:pPr>
              <w:pStyle w:val="MDPI42tablebody"/>
              <w:keepNext/>
              <w:spacing w:line="240" w:lineRule="auto" w:before="30" w:after="30"/>
              <w:jc w:val="center"/>
            </w:pPr>
            <w:r>
              <w:rPr>
                <w:b w:val="0"/>
                <w:i w:val="0"/>
                <w:sz w:val="12"/>
              </w:rPr>
              <w:t>−0.013</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−0.011</w:t>
            </w:r>
          </w:p>
        </w:tc>
        <w:tc>
          <w:tcPr>
            <w:tcW w:type="dxa" w:w="695"/>
          </w:tcPr>
          <w:p>
            <w:pPr>
              <w:pStyle w:val="MDPI42tablebody"/>
              <w:keepNext/>
              <w:spacing w:line="240" w:lineRule="auto" w:before="30" w:after="30"/>
              <w:jc w:val="center"/>
            </w:pPr>
            <w:r>
              <w:rPr>
                <w:b w:val="0"/>
                <w:i w:val="0"/>
                <w:sz w:val="12"/>
              </w:rPr>
              <w:t>0.007</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0.042</w:t>
            </w:r>
          </w:p>
        </w:tc>
        <w:tc>
          <w:tcPr>
            <w:tcW w:type="dxa" w:w="906"/>
          </w:tcPr>
          <w:p>
            <w:pPr>
              <w:pStyle w:val="MDPI42tablebody"/>
              <w:keepNext/>
              <w:spacing w:line="240" w:lineRule="auto" w:before="30" w:after="30"/>
              <w:jc w:val="center"/>
            </w:pPr>
            <w:r>
              <w:rPr>
                <w:b w:val="0"/>
                <w:i w:val="0"/>
                <w:sz w:val="12"/>
              </w:rPr>
              <w:t>0.024</w:t>
            </w:r>
          </w:p>
        </w:tc>
        <w:tc>
          <w:tcPr>
            <w:tcW w:type="dxa" w:w="695"/>
          </w:tcPr>
          <w:p>
            <w:pPr>
              <w:pStyle w:val="MDPI42tablebody"/>
              <w:keepNext/>
              <w:spacing w:line="240" w:lineRule="auto" w:before="30" w:after="30"/>
              <w:jc w:val="center"/>
            </w:pPr>
            <w:r>
              <w:rPr>
                <w:b w:val="0"/>
                <w:i w:val="0"/>
                <w:sz w:val="12"/>
              </w:rPr>
              <w:t>−0.018</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CapInt</w:t>
            </w:r>
          </w:p>
        </w:tc>
        <w:tc>
          <w:tcPr>
            <w:tcW w:type="dxa" w:w="695"/>
          </w:tcPr>
          <w:p>
            <w:pPr>
              <w:pStyle w:val="MDPI42tablebody"/>
              <w:keepNext/>
              <w:spacing w:line="240" w:lineRule="auto" w:before="30" w:after="30"/>
              <w:jc w:val="center"/>
            </w:pPr>
            <w:r>
              <w:rPr>
                <w:b w:val="0"/>
                <w:i w:val="0"/>
                <w:sz w:val="12"/>
              </w:rPr>
              <w:t>−0.025</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−0.033</w:t>
            </w:r>
          </w:p>
        </w:tc>
        <w:tc>
          <w:tcPr>
            <w:tcW w:type="dxa" w:w="695"/>
          </w:tcPr>
          <w:p>
            <w:pPr>
              <w:pStyle w:val="MDPI42tablebody"/>
              <w:keepNext/>
              <w:spacing w:line="240" w:lineRule="auto" w:before="30" w:after="30"/>
              <w:jc w:val="center"/>
            </w:pPr>
            <w:r>
              <w:rPr>
                <w:b w:val="0"/>
                <w:i w:val="0"/>
                <w:sz w:val="12"/>
              </w:rPr>
              <w:t>−0.005</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0.009</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0.025</w:t>
            </w:r>
          </w:p>
        </w:tc>
        <w:tc>
          <w:tcPr>
            <w:tcW w:type="dxa" w:w="695"/>
          </w:tcPr>
          <w:p>
            <w:pPr>
              <w:pStyle w:val="MDPI42tablebody"/>
              <w:keepNext/>
              <w:spacing w:line="240" w:lineRule="auto" w:before="30" w:after="30"/>
              <w:jc w:val="center"/>
            </w:pPr>
            <w:r>
              <w:rPr>
                <w:b w:val="0"/>
                <w:i w:val="0"/>
                <w:sz w:val="12"/>
              </w:rPr>
              <w:t>0.043</w:t>
            </w:r>
          </w:p>
        </w:tc>
        <w:tc>
          <w:tcPr>
            <w:tcW w:type="dxa" w:w="906"/>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−0.020</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spacing w:line="240" w:lineRule="auto" w:before="30" w:after="30"/>
              <w:jc w:val="left"/>
            </w:pPr>
            <w:r>
              <w:rPr>
                <w:b w:val="0"/>
                <w:i/>
                <w:sz w:val="12"/>
              </w:rPr>
              <w:t>Emp</w:t>
            </w:r>
          </w:p>
        </w:tc>
        <w:tc>
          <w:tcPr>
            <w:tcW w:type="dxa" w:w="695"/>
          </w:tcPr>
          <w:p>
            <w:pPr>
              <w:pStyle w:val="MDPI42tablebody"/>
              <w:spacing w:line="240" w:lineRule="auto" w:before="30" w:after="30"/>
              <w:jc w:val="center"/>
            </w:pPr>
            <w:r>
              <w:rPr>
                <w:b w:val="0"/>
                <w:i w:val="0"/>
                <w:sz w:val="12"/>
              </w:rPr>
              <w:t>0.001</w:t>
            </w:r>
          </w:p>
        </w:tc>
        <w:tc>
          <w:tcPr>
            <w:tcW w:type="dxa" w:w="695"/>
          </w:tcPr>
          <w:p>
            <w:pPr>
              <w:pStyle w:val="MDPI42tablebody"/>
              <w:spacing w:line="240" w:lineRule="auto" w:before="30" w:after="30"/>
              <w:jc w:val="center"/>
            </w:pPr>
            <w:r>
              <w:rPr>
                <w:b w:val="0"/>
                <w:i w:val="0"/>
                <w:sz w:val="12"/>
              </w:rPr>
              <w:t>−0.019</w:t>
            </w:r>
          </w:p>
        </w:tc>
        <w:tc>
          <w:tcPr>
            <w:tcW w:type="dxa" w:w="695"/>
          </w:tcPr>
          <w:p>
            <w:pPr>
              <w:pStyle w:val="MDPI42tablebody"/>
              <w:spacing w:line="240" w:lineRule="auto" w:before="30" w:after="30"/>
              <w:jc w:val="center"/>
            </w:pPr>
            <w:r>
              <w:rPr>
                <w:b w:val="0"/>
                <w:i w:val="0"/>
                <w:sz w:val="12"/>
              </w:rPr>
              <w:t>−0.012</w:t>
            </w:r>
          </w:p>
        </w:tc>
        <w:tc>
          <w:tcPr>
            <w:tcW w:type="dxa" w:w="695"/>
          </w:tcPr>
          <w:p>
            <w:pPr>
              <w:pStyle w:val="MDPI42tablebody"/>
              <w:spacing w:line="240" w:lineRule="auto" w:before="30" w:after="30"/>
              <w:jc w:val="center"/>
            </w:pPr>
            <w:r>
              <w:rPr>
                <w:b w:val="0"/>
                <w:i w:val="0"/>
                <w:sz w:val="12"/>
              </w:rPr>
              <w:t>−0.020</w:t>
            </w:r>
          </w:p>
        </w:tc>
        <w:tc>
          <w:tcPr>
            <w:tcW w:type="dxa" w:w="695"/>
          </w:tcPr>
          <w:p>
            <w:pPr>
              <w:pStyle w:val="MDPI42tablebody"/>
              <w:spacing w:line="240" w:lineRule="auto" w:before="30" w:after="30"/>
              <w:jc w:val="center"/>
            </w:pPr>
            <w:r>
              <w:rPr>
                <w:b w:val="0"/>
                <w:i w:val="0"/>
                <w:sz w:val="12"/>
              </w:rPr>
              <w:t>−0.030</w:t>
            </w:r>
          </w:p>
        </w:tc>
        <w:tc>
          <w:tcPr>
            <w:tcW w:type="dxa" w:w="695"/>
          </w:tcPr>
          <w:p>
            <w:pPr>
              <w:pStyle w:val="MDPI42tablebody"/>
              <w:spacing w:line="240" w:lineRule="auto" w:before="30" w:after="30"/>
              <w:jc w:val="center"/>
            </w:pPr>
            <w:r>
              <w:rPr>
                <w:b w:val="0"/>
                <w:i w:val="0"/>
                <w:sz w:val="12"/>
              </w:rPr>
              <w:t>−0.011</w:t>
            </w:r>
          </w:p>
        </w:tc>
        <w:tc>
          <w:tcPr>
            <w:tcW w:type="dxa" w:w="695"/>
          </w:tcPr>
          <w:p>
            <w:pPr>
              <w:pStyle w:val="MDPI42tablebody"/>
              <w:spacing w:line="240" w:lineRule="auto" w:before="30" w:after="30"/>
              <w:jc w:val="center"/>
            </w:pPr>
            <w:r>
              <w:rPr>
                <w:b w:val="0"/>
                <w:i w:val="0"/>
                <w:sz w:val="12"/>
              </w:rPr>
              <w:t>−0.015</w:t>
            </w:r>
          </w:p>
        </w:tc>
        <w:tc>
          <w:tcPr>
            <w:tcW w:type="dxa" w:w="695"/>
          </w:tcPr>
          <w:p>
            <w:pPr>
              <w:pStyle w:val="MDPI42tablebody"/>
              <w:spacing w:line="240" w:lineRule="auto" w:before="30" w:after="30"/>
              <w:jc w:val="center"/>
            </w:pPr>
            <w:r>
              <w:rPr>
                <w:b w:val="0"/>
                <w:i w:val="0"/>
                <w:sz w:val="12"/>
              </w:rPr>
              <w:t>0.042</w:t>
            </w:r>
          </w:p>
        </w:tc>
        <w:tc>
          <w:tcPr>
            <w:tcW w:type="dxa" w:w="695"/>
          </w:tcPr>
          <w:p>
            <w:pPr>
              <w:pStyle w:val="MDPI42tablebody"/>
              <w:spacing w:line="240" w:lineRule="auto" w:before="30" w:after="30"/>
              <w:jc w:val="center"/>
            </w:pPr>
            <w:r>
              <w:rPr>
                <w:b w:val="0"/>
                <w:i w:val="0"/>
                <w:sz w:val="12"/>
              </w:rPr>
              <w:t>0.001</w:t>
            </w:r>
          </w:p>
        </w:tc>
        <w:tc>
          <w:tcPr>
            <w:tcW w:type="dxa" w:w="695"/>
          </w:tcPr>
          <w:p>
            <w:pPr>
              <w:pStyle w:val="MDPI42tablebody"/>
              <w:spacing w:line="240" w:lineRule="auto" w:before="30" w:after="30"/>
              <w:jc w:val="center"/>
            </w:pPr>
            <w:r>
              <w:rPr>
                <w:b w:val="0"/>
                <w:i w:val="0"/>
                <w:sz w:val="12"/>
              </w:rPr>
              <w:t>0.028</w:t>
            </w:r>
          </w:p>
        </w:tc>
        <w:tc>
          <w:tcPr>
            <w:tcW w:type="dxa" w:w="906"/>
          </w:tcPr>
          <w:p>
            <w:pPr>
              <w:pStyle w:val="MDPI42tablebody"/>
              <w:spacing w:line="240" w:lineRule="auto" w:before="30" w:after="30"/>
              <w:jc w:val="center"/>
            </w:pPr>
            <w:r>
              <w:rPr>
                <w:b w:val="0"/>
                <w:i w:val="0"/>
                <w:sz w:val="12"/>
              </w:rPr>
              <w:t>0.016</w:t>
            </w:r>
          </w:p>
        </w:tc>
        <w:tc>
          <w:tcPr>
            <w:tcW w:type="dxa" w:w="695"/>
          </w:tcPr>
          <w:p>
            <w:pPr>
              <w:pStyle w:val="MDPI42tablebody"/>
              <w:spacing w:line="240" w:lineRule="auto" w:before="30" w:after="30"/>
              <w:jc w:val="center"/>
            </w:pPr>
            <w:r>
              <w:rPr>
                <w:b w:val="0"/>
                <w:i w:val="0"/>
                <w:sz w:val="12"/>
              </w:rPr>
              <w:t>0.013</w:t>
            </w:r>
          </w:p>
        </w:tc>
        <w:tc>
          <w:tcPr>
            <w:tcW w:type="dxa" w:w="727"/>
          </w:tcPr>
          <w:p>
            <w:pPr>
              <w:pStyle w:val="MDPI42tablebody"/>
              <w:spacing w:line="240" w:lineRule="auto" w:before="30" w:after="30"/>
              <w:jc w:val="center"/>
            </w:pPr>
            <w:r>
              <w:rPr>
                <w:b w:val="0"/>
                <w:i w:val="0"/>
                <w:sz w:val="12"/>
              </w:rPr>
              <w:t>1.07</w:t>
            </w:r>
          </w:p>
        </w:tc>
      </w:tr>
    </w:tbl>
    <w:p>
      <w:pPr>
        <w:pStyle w:val="MDPI43tablefooter"/>
        <w:spacing w:line="240" w:lineRule="auto" w:before="40" w:after="200"/>
        <w:ind w:left="2608" w:firstLine="0"/>
      </w:pPr>
      <w:r>
        <w:rPr>
          <w:sz w:val="16"/>
        </w:rPr>
        <w:t xml:space="preserve">Note: </w:t>
      </w:r>
      <w:r>
        <w:rPr>
          <w:b w:val="0"/>
          <w:i w:val="0"/>
          <w:sz w:val="16"/>
        </w:rPr>
        <w:t>The lower triangle reports pairwise Pearson correlation coefficients. The final column reports the variance inflation factor of each regressor of the buffering specification after the two-way within transformation; the largest value is 2.65, below the conventional threshold of five. Source: authors’ own calculations.</w:t>
      </w:r>
    </w:p>
    <w:p>
      <w:pPr>
        <w:pStyle w:val="MDPI22heading2"/>
      </w:pPr>
      <w:r>
        <w:t>4.2. Workforce Skill Variety and the Youth Employment Share</w:t>
      </w:r>
    </w:p>
    <w:p>
      <w:pPr>
        <w:pStyle w:val="MDPI32textnoindent"/>
      </w:pPr>
      <w:r>
        <w:rPr>
          <w:b w:val="0"/>
          <w:i w:val="0"/>
        </w:rPr>
        <w:t>Table 4 reports the estimates of Equation (4). Across all specifications the coefficient on variety is positive and significant at the one percent level. In the benchmark column the estimate is 2.043 with a standard error of 0.092 and a t-statistic of 22.3: one additional bit of workforce skill variety is associated with a 2.04 percentage point higher youth employment share, and a one-standard-deviation increase in variety with 1.86 percentage points, or 6.3 percent of the sample mean. The estimate is 2.007 when the year effects are replaced by industry-by-year effects and 2.018 when they are replaced by province-by-year effects, so it is not an artefact of industry or regional shocks. H1 is supported.</w:t>
      </w:r>
    </w:p>
    <w:p>
      <w:pPr>
        <w:pStyle w:val="MDPI41tablecaption"/>
        <w:keepNext/>
        <w:spacing w:after="60"/>
      </w:pPr>
      <w:r>
        <w:rPr>
          <w:b/>
          <w:sz w:val="18"/>
        </w:rPr>
        <w:t xml:space="preserve">Table 4. </w:t>
      </w:r>
      <w:r>
        <w:rPr>
          <w:b w:val="0"/>
          <w:i w:val="0"/>
          <w:sz w:val="18"/>
        </w:rPr>
        <w:t>Workforce skill variety and the youth employment share.</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728"/>
        <w:gridCol w:w="1225"/>
        <w:gridCol w:w="1225"/>
        <w:gridCol w:w="1225"/>
        <w:gridCol w:w="1225"/>
        <w:gridCol w:w="1225"/>
      </w:tblGrid>
      <w:tr>
        <w:trPr>
          <w:cantSplit/>
          <w:tblHeader/>
        </w:trPr>
        <w:tc>
          <w:tcPr>
            <w:tcW w:type="dxa" w:w="1728"/>
            <w:tcBorders>
              <w:bottom w:val="single" w:sz="8" w:space="0" w:color="auto"/>
            </w:tcBorders>
          </w:tcPr>
          <w:p>
            <w:pPr>
              <w:pStyle w:val="MDPI42tablebody"/>
              <w:keepNext/>
              <w:spacing w:line="240" w:lineRule="auto" w:before="30" w:after="30"/>
              <w:jc w:val="center"/>
            </w:pPr>
            <w:r>
              <w:rPr>
                <w:b/>
                <w:i w:val="0"/>
                <w:sz w:val="18"/>
              </w:rPr>
              <w:t>Variable</w:t>
            </w:r>
          </w:p>
        </w:tc>
        <w:tc>
          <w:tcPr>
            <w:tcW w:type="dxa" w:w="1225"/>
            <w:tcBorders>
              <w:bottom w:val="single" w:sz="8" w:space="0" w:color="auto"/>
            </w:tcBorders>
          </w:tcPr>
          <w:p>
            <w:pPr>
              <w:pStyle w:val="MDPI42tablebody"/>
              <w:keepNext/>
              <w:spacing w:line="240" w:lineRule="auto" w:before="30" w:after="30"/>
              <w:jc w:val="center"/>
            </w:pPr>
            <w:r>
              <w:rPr>
                <w:b/>
                <w:i w:val="0"/>
                <w:sz w:val="18"/>
              </w:rPr>
              <w:t>(1)</w:t>
            </w:r>
          </w:p>
        </w:tc>
        <w:tc>
          <w:tcPr>
            <w:tcW w:type="dxa" w:w="1225"/>
            <w:tcBorders>
              <w:bottom w:val="single" w:sz="8" w:space="0" w:color="auto"/>
            </w:tcBorders>
          </w:tcPr>
          <w:p>
            <w:pPr>
              <w:pStyle w:val="MDPI42tablebody"/>
              <w:keepNext/>
              <w:spacing w:line="240" w:lineRule="auto" w:before="30" w:after="30"/>
              <w:jc w:val="center"/>
            </w:pPr>
            <w:r>
              <w:rPr>
                <w:b/>
                <w:i w:val="0"/>
                <w:sz w:val="18"/>
              </w:rPr>
              <w:t>(2)</w:t>
            </w:r>
          </w:p>
        </w:tc>
        <w:tc>
          <w:tcPr>
            <w:tcW w:type="dxa" w:w="1225"/>
            <w:tcBorders>
              <w:bottom w:val="single" w:sz="8" w:space="0" w:color="auto"/>
            </w:tcBorders>
          </w:tcPr>
          <w:p>
            <w:pPr>
              <w:pStyle w:val="MDPI42tablebody"/>
              <w:keepNext/>
              <w:spacing w:line="240" w:lineRule="auto" w:before="30" w:after="30"/>
              <w:jc w:val="center"/>
            </w:pPr>
            <w:r>
              <w:rPr>
                <w:b/>
                <w:i w:val="0"/>
                <w:sz w:val="18"/>
              </w:rPr>
              <w:t>(3)</w:t>
            </w:r>
          </w:p>
        </w:tc>
        <w:tc>
          <w:tcPr>
            <w:tcW w:type="dxa" w:w="1225"/>
            <w:tcBorders>
              <w:bottom w:val="single" w:sz="8" w:space="0" w:color="auto"/>
            </w:tcBorders>
          </w:tcPr>
          <w:p>
            <w:pPr>
              <w:pStyle w:val="MDPI42tablebody"/>
              <w:keepNext/>
              <w:spacing w:line="240" w:lineRule="auto" w:before="30" w:after="30"/>
              <w:jc w:val="center"/>
            </w:pPr>
            <w:r>
              <w:rPr>
                <w:b/>
                <w:i w:val="0"/>
                <w:sz w:val="18"/>
              </w:rPr>
              <w:t>(4)</w:t>
            </w:r>
          </w:p>
        </w:tc>
        <w:tc>
          <w:tcPr>
            <w:tcW w:type="dxa" w:w="1225"/>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1728"/>
          </w:tcPr>
          <w:p>
            <w:pPr>
              <w:pStyle w:val="MDPI42tablebody"/>
              <w:keepNext/>
              <w:spacing w:line="240" w:lineRule="auto" w:before="30" w:after="30"/>
              <w:jc w:val="left"/>
            </w:pPr>
            <w:r>
              <w:rPr>
                <w:b w:val="0"/>
                <w:i/>
                <w:sz w:val="18"/>
              </w:rPr>
              <w:t>Variety</w:t>
            </w:r>
          </w:p>
        </w:tc>
        <w:tc>
          <w:tcPr>
            <w:tcW w:type="dxa" w:w="1225"/>
          </w:tcPr>
          <w:p>
            <w:pPr>
              <w:pStyle w:val="MDPI42tablebody"/>
              <w:keepNext/>
              <w:spacing w:line="240" w:lineRule="auto" w:before="30" w:after="30"/>
              <w:jc w:val="center"/>
            </w:pPr>
            <w:r>
              <w:rPr>
                <w:b w:val="0"/>
                <w:i w:val="0"/>
                <w:sz w:val="18"/>
              </w:rPr>
              <w:t>2.006***</w:t>
            </w:r>
          </w:p>
        </w:tc>
        <w:tc>
          <w:tcPr>
            <w:tcW w:type="dxa" w:w="1225"/>
          </w:tcPr>
          <w:p>
            <w:pPr>
              <w:pStyle w:val="MDPI42tablebody"/>
              <w:keepNext/>
              <w:spacing w:line="240" w:lineRule="auto" w:before="30" w:after="30"/>
              <w:jc w:val="center"/>
            </w:pPr>
            <w:r>
              <w:rPr>
                <w:b w:val="0"/>
                <w:i w:val="0"/>
                <w:sz w:val="18"/>
              </w:rPr>
              <w:t>2.036***</w:t>
            </w:r>
          </w:p>
        </w:tc>
        <w:tc>
          <w:tcPr>
            <w:tcW w:type="dxa" w:w="1225"/>
          </w:tcPr>
          <w:p>
            <w:pPr>
              <w:pStyle w:val="MDPI42tablebody"/>
              <w:keepNext/>
              <w:spacing w:line="240" w:lineRule="auto" w:before="30" w:after="30"/>
              <w:jc w:val="center"/>
            </w:pPr>
            <w:r>
              <w:rPr>
                <w:b w:val="0"/>
                <w:i w:val="0"/>
                <w:sz w:val="18"/>
              </w:rPr>
              <w:t>2.043***</w:t>
            </w:r>
          </w:p>
        </w:tc>
        <w:tc>
          <w:tcPr>
            <w:tcW w:type="dxa" w:w="1225"/>
          </w:tcPr>
          <w:p>
            <w:pPr>
              <w:pStyle w:val="MDPI42tablebody"/>
              <w:keepNext/>
              <w:spacing w:line="240" w:lineRule="auto" w:before="30" w:after="30"/>
              <w:jc w:val="center"/>
            </w:pPr>
            <w:r>
              <w:rPr>
                <w:b w:val="0"/>
                <w:i w:val="0"/>
                <w:sz w:val="18"/>
              </w:rPr>
              <w:t>2.007***</w:t>
            </w:r>
          </w:p>
        </w:tc>
        <w:tc>
          <w:tcPr>
            <w:tcW w:type="dxa" w:w="1225"/>
          </w:tcPr>
          <w:p>
            <w:pPr>
              <w:pStyle w:val="MDPI42tablebody"/>
              <w:keepNext/>
              <w:spacing w:line="240" w:lineRule="auto" w:before="30" w:after="30"/>
              <w:jc w:val="center"/>
            </w:pPr>
            <w:r>
              <w:rPr>
                <w:b w:val="0"/>
                <w:i w:val="0"/>
                <w:sz w:val="18"/>
              </w:rPr>
              <w:t>2.018***</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r>
              <w:rPr>
                <w:b w:val="0"/>
                <w:i w:val="0"/>
                <w:sz w:val="18"/>
              </w:rPr>
              <w:t>(0.088)</w:t>
            </w:r>
          </w:p>
        </w:tc>
        <w:tc>
          <w:tcPr>
            <w:tcW w:type="dxa" w:w="1225"/>
          </w:tcPr>
          <w:p>
            <w:pPr>
              <w:pStyle w:val="MDPI42tablebody"/>
              <w:keepNext/>
              <w:spacing w:line="240" w:lineRule="auto" w:before="30" w:after="30"/>
              <w:jc w:val="center"/>
            </w:pPr>
            <w:r>
              <w:rPr>
                <w:b w:val="0"/>
                <w:i w:val="0"/>
                <w:sz w:val="18"/>
              </w:rPr>
              <w:t>(0.092)</w:t>
            </w:r>
          </w:p>
        </w:tc>
        <w:tc>
          <w:tcPr>
            <w:tcW w:type="dxa" w:w="1225"/>
          </w:tcPr>
          <w:p>
            <w:pPr>
              <w:pStyle w:val="MDPI42tablebody"/>
              <w:keepNext/>
              <w:spacing w:line="240" w:lineRule="auto" w:before="30" w:after="30"/>
              <w:jc w:val="center"/>
            </w:pPr>
            <w:r>
              <w:rPr>
                <w:b w:val="0"/>
                <w:i w:val="0"/>
                <w:sz w:val="18"/>
              </w:rPr>
              <w:t>(0.092)</w:t>
            </w:r>
          </w:p>
        </w:tc>
        <w:tc>
          <w:tcPr>
            <w:tcW w:type="dxa" w:w="1225"/>
          </w:tcPr>
          <w:p>
            <w:pPr>
              <w:pStyle w:val="MDPI42tablebody"/>
              <w:keepNext/>
              <w:spacing w:line="240" w:lineRule="auto" w:before="30" w:after="30"/>
              <w:jc w:val="center"/>
            </w:pPr>
            <w:r>
              <w:rPr>
                <w:b w:val="0"/>
                <w:i w:val="0"/>
                <w:sz w:val="18"/>
              </w:rPr>
              <w:t>(0.101)</w:t>
            </w:r>
          </w:p>
        </w:tc>
        <w:tc>
          <w:tcPr>
            <w:tcW w:type="dxa" w:w="1225"/>
          </w:tcPr>
          <w:p>
            <w:pPr>
              <w:pStyle w:val="MDPI42tablebody"/>
              <w:keepNext/>
              <w:spacing w:line="240" w:lineRule="auto" w:before="30" w:after="30"/>
              <w:jc w:val="center"/>
            </w:pPr>
            <w:r>
              <w:rPr>
                <w:b w:val="0"/>
                <w:i w:val="0"/>
                <w:sz w:val="18"/>
              </w:rPr>
              <w:t>(0.097)</w:t>
            </w:r>
          </w:p>
        </w:tc>
      </w:tr>
      <w:tr>
        <w:trPr>
          <w:cantSplit/>
        </w:trPr>
        <w:tc>
          <w:tcPr>
            <w:tcW w:type="dxa" w:w="1728"/>
          </w:tcPr>
          <w:p>
            <w:pPr>
              <w:pStyle w:val="MDPI42tablebody"/>
              <w:keepNext/>
              <w:spacing w:line="240" w:lineRule="auto" w:before="30" w:after="30"/>
              <w:jc w:val="left"/>
            </w:pPr>
            <w:r>
              <w:rPr>
                <w:b w:val="0"/>
                <w:i/>
                <w:sz w:val="18"/>
              </w:rPr>
              <w:t>Size</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2.510***</w:t>
            </w:r>
          </w:p>
        </w:tc>
        <w:tc>
          <w:tcPr>
            <w:tcW w:type="dxa" w:w="1225"/>
          </w:tcPr>
          <w:p>
            <w:pPr>
              <w:pStyle w:val="MDPI42tablebody"/>
              <w:keepNext/>
              <w:spacing w:line="240" w:lineRule="auto" w:before="30" w:after="30"/>
              <w:jc w:val="center"/>
            </w:pPr>
            <w:r>
              <w:rPr>
                <w:b w:val="0"/>
                <w:i w:val="0"/>
                <w:sz w:val="18"/>
              </w:rPr>
              <w:t>2.637***</w:t>
            </w:r>
          </w:p>
        </w:tc>
        <w:tc>
          <w:tcPr>
            <w:tcW w:type="dxa" w:w="1225"/>
          </w:tcPr>
          <w:p>
            <w:pPr>
              <w:pStyle w:val="MDPI42tablebody"/>
              <w:keepNext/>
              <w:spacing w:line="240" w:lineRule="auto" w:before="30" w:after="30"/>
              <w:jc w:val="center"/>
            </w:pPr>
            <w:r>
              <w:rPr>
                <w:b w:val="0"/>
                <w:i w:val="0"/>
                <w:sz w:val="18"/>
              </w:rPr>
              <w:t>2.499***</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(0.408)</w:t>
            </w:r>
          </w:p>
        </w:tc>
        <w:tc>
          <w:tcPr>
            <w:tcW w:type="dxa" w:w="1225"/>
          </w:tcPr>
          <w:p>
            <w:pPr>
              <w:pStyle w:val="MDPI42tablebody"/>
              <w:keepNext/>
              <w:spacing w:line="240" w:lineRule="auto" w:before="30" w:after="30"/>
              <w:jc w:val="center"/>
            </w:pPr>
            <w:r>
              <w:rPr>
                <w:b w:val="0"/>
                <w:i w:val="0"/>
                <w:sz w:val="18"/>
              </w:rPr>
              <w:t>(0.408)</w:t>
            </w:r>
          </w:p>
        </w:tc>
        <w:tc>
          <w:tcPr>
            <w:tcW w:type="dxa" w:w="1225"/>
          </w:tcPr>
          <w:p>
            <w:pPr>
              <w:pStyle w:val="MDPI42tablebody"/>
              <w:keepNext/>
              <w:spacing w:line="240" w:lineRule="auto" w:before="30" w:after="30"/>
              <w:jc w:val="center"/>
            </w:pPr>
            <w:r>
              <w:rPr>
                <w:b w:val="0"/>
                <w:i w:val="0"/>
                <w:sz w:val="18"/>
              </w:rPr>
              <w:t>(0.409)</w:t>
            </w:r>
          </w:p>
        </w:tc>
      </w:tr>
      <w:tr>
        <w:trPr>
          <w:cantSplit/>
        </w:trPr>
        <w:tc>
          <w:tcPr>
            <w:tcW w:type="dxa" w:w="1728"/>
          </w:tcPr>
          <w:p>
            <w:pPr>
              <w:pStyle w:val="MDPI42tablebody"/>
              <w:keepNext/>
              <w:spacing w:line="240" w:lineRule="auto" w:before="30" w:after="30"/>
              <w:jc w:val="left"/>
            </w:pPr>
            <w:r>
              <w:rPr>
                <w:b w:val="0"/>
                <w:i/>
                <w:sz w:val="18"/>
              </w:rPr>
              <w:t>Lev</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−1.692*</w:t>
            </w:r>
          </w:p>
        </w:tc>
        <w:tc>
          <w:tcPr>
            <w:tcW w:type="dxa" w:w="1225"/>
          </w:tcPr>
          <w:p>
            <w:pPr>
              <w:pStyle w:val="MDPI42tablebody"/>
              <w:keepNext/>
              <w:spacing w:line="240" w:lineRule="auto" w:before="30" w:after="30"/>
              <w:jc w:val="center"/>
            </w:pPr>
            <w:r>
              <w:rPr>
                <w:b w:val="0"/>
                <w:i w:val="0"/>
                <w:sz w:val="18"/>
              </w:rPr>
              <w:t>−1.769*</w:t>
            </w:r>
          </w:p>
        </w:tc>
        <w:tc>
          <w:tcPr>
            <w:tcW w:type="dxa" w:w="1225"/>
          </w:tcPr>
          <w:p>
            <w:pPr>
              <w:pStyle w:val="MDPI42tablebody"/>
              <w:keepNext/>
              <w:spacing w:line="240" w:lineRule="auto" w:before="30" w:after="30"/>
              <w:jc w:val="center"/>
            </w:pPr>
            <w:r>
              <w:rPr>
                <w:b w:val="0"/>
                <w:i w:val="0"/>
                <w:sz w:val="18"/>
              </w:rPr>
              <w:t>−1.717*</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(0.911)</w:t>
            </w:r>
          </w:p>
        </w:tc>
        <w:tc>
          <w:tcPr>
            <w:tcW w:type="dxa" w:w="1225"/>
          </w:tcPr>
          <w:p>
            <w:pPr>
              <w:pStyle w:val="MDPI42tablebody"/>
              <w:keepNext/>
              <w:spacing w:line="240" w:lineRule="auto" w:before="30" w:after="30"/>
              <w:jc w:val="center"/>
            </w:pPr>
            <w:r>
              <w:rPr>
                <w:b w:val="0"/>
                <w:i w:val="0"/>
                <w:sz w:val="18"/>
              </w:rPr>
              <w:t>(0.913)</w:t>
            </w:r>
          </w:p>
        </w:tc>
        <w:tc>
          <w:tcPr>
            <w:tcW w:type="dxa" w:w="1225"/>
          </w:tcPr>
          <w:p>
            <w:pPr>
              <w:pStyle w:val="MDPI42tablebody"/>
              <w:keepNext/>
              <w:spacing w:line="240" w:lineRule="auto" w:before="30" w:after="30"/>
              <w:jc w:val="center"/>
            </w:pPr>
            <w:r>
              <w:rPr>
                <w:b w:val="0"/>
                <w:i w:val="0"/>
                <w:sz w:val="18"/>
              </w:rPr>
              <w:t>(0.920)</w:t>
            </w:r>
          </w:p>
        </w:tc>
      </w:tr>
      <w:tr>
        <w:trPr>
          <w:cantSplit/>
        </w:trPr>
        <w:tc>
          <w:tcPr>
            <w:tcW w:type="dxa" w:w="1728"/>
          </w:tcPr>
          <w:p>
            <w:pPr>
              <w:pStyle w:val="MDPI42tablebody"/>
              <w:keepNext/>
              <w:spacing w:line="240" w:lineRule="auto" w:before="30" w:after="30"/>
              <w:jc w:val="left"/>
            </w:pPr>
            <w:r>
              <w:rPr>
                <w:b w:val="0"/>
                <w:i/>
                <w:sz w:val="18"/>
              </w:rPr>
              <w:t>ROA</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14.523***</w:t>
            </w:r>
          </w:p>
        </w:tc>
        <w:tc>
          <w:tcPr>
            <w:tcW w:type="dxa" w:w="1225"/>
          </w:tcPr>
          <w:p>
            <w:pPr>
              <w:pStyle w:val="MDPI42tablebody"/>
              <w:keepNext/>
              <w:spacing w:line="240" w:lineRule="auto" w:before="30" w:after="30"/>
              <w:jc w:val="center"/>
            </w:pPr>
            <w:r>
              <w:rPr>
                <w:b w:val="0"/>
                <w:i w:val="0"/>
                <w:sz w:val="18"/>
              </w:rPr>
              <w:t>12.755***</w:t>
            </w:r>
          </w:p>
        </w:tc>
        <w:tc>
          <w:tcPr>
            <w:tcW w:type="dxa" w:w="1225"/>
          </w:tcPr>
          <w:p>
            <w:pPr>
              <w:pStyle w:val="MDPI42tablebody"/>
              <w:keepNext/>
              <w:spacing w:line="240" w:lineRule="auto" w:before="30" w:after="30"/>
              <w:jc w:val="center"/>
            </w:pPr>
            <w:r>
              <w:rPr>
                <w:b w:val="0"/>
                <w:i w:val="0"/>
                <w:sz w:val="18"/>
              </w:rPr>
              <w:t>14.231***</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(1.524)</w:t>
            </w:r>
          </w:p>
        </w:tc>
        <w:tc>
          <w:tcPr>
            <w:tcW w:type="dxa" w:w="1225"/>
          </w:tcPr>
          <w:p>
            <w:pPr>
              <w:pStyle w:val="MDPI42tablebody"/>
              <w:keepNext/>
              <w:spacing w:line="240" w:lineRule="auto" w:before="30" w:after="30"/>
              <w:jc w:val="center"/>
            </w:pPr>
            <w:r>
              <w:rPr>
                <w:b w:val="0"/>
                <w:i w:val="0"/>
                <w:sz w:val="18"/>
              </w:rPr>
              <w:t>(1.525)</w:t>
            </w:r>
          </w:p>
        </w:tc>
        <w:tc>
          <w:tcPr>
            <w:tcW w:type="dxa" w:w="1225"/>
          </w:tcPr>
          <w:p>
            <w:pPr>
              <w:pStyle w:val="MDPI42tablebody"/>
              <w:keepNext/>
              <w:spacing w:line="240" w:lineRule="auto" w:before="30" w:after="30"/>
              <w:jc w:val="center"/>
            </w:pPr>
            <w:r>
              <w:rPr>
                <w:b w:val="0"/>
                <w:i w:val="0"/>
                <w:sz w:val="18"/>
              </w:rPr>
              <w:t>(1.534)</w:t>
            </w:r>
          </w:p>
        </w:tc>
      </w:tr>
      <w:tr>
        <w:trPr>
          <w:cantSplit/>
        </w:trPr>
        <w:tc>
          <w:tcPr>
            <w:tcW w:type="dxa" w:w="1728"/>
          </w:tcPr>
          <w:p>
            <w:pPr>
              <w:pStyle w:val="MDPI42tablebody"/>
              <w:keepNext/>
              <w:spacing w:line="240" w:lineRule="auto" w:before="30" w:after="30"/>
              <w:jc w:val="left"/>
            </w:pPr>
            <w:r>
              <w:rPr>
                <w:b w:val="0"/>
                <w:i/>
                <w:sz w:val="18"/>
              </w:rPr>
              <w:t>Cashflow</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0.805</w:t>
            </w:r>
          </w:p>
        </w:tc>
        <w:tc>
          <w:tcPr>
            <w:tcW w:type="dxa" w:w="1225"/>
          </w:tcPr>
          <w:p>
            <w:pPr>
              <w:pStyle w:val="MDPI42tablebody"/>
              <w:keepNext/>
              <w:spacing w:line="240" w:lineRule="auto" w:before="30" w:after="30"/>
              <w:jc w:val="center"/>
            </w:pPr>
            <w:r>
              <w:rPr>
                <w:b w:val="0"/>
                <w:i w:val="0"/>
                <w:sz w:val="18"/>
              </w:rPr>
              <w:t>0.719</w:t>
            </w:r>
          </w:p>
        </w:tc>
        <w:tc>
          <w:tcPr>
            <w:tcW w:type="dxa" w:w="1225"/>
          </w:tcPr>
          <w:p>
            <w:pPr>
              <w:pStyle w:val="MDPI42tablebody"/>
              <w:keepNext/>
              <w:spacing w:line="240" w:lineRule="auto" w:before="30" w:after="30"/>
              <w:jc w:val="center"/>
            </w:pPr>
            <w:r>
              <w:rPr>
                <w:b w:val="0"/>
                <w:i w:val="0"/>
                <w:sz w:val="18"/>
              </w:rPr>
              <w:t>0.808</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(0.698)</w:t>
            </w:r>
          </w:p>
        </w:tc>
        <w:tc>
          <w:tcPr>
            <w:tcW w:type="dxa" w:w="1225"/>
          </w:tcPr>
          <w:p>
            <w:pPr>
              <w:pStyle w:val="MDPI42tablebody"/>
              <w:keepNext/>
              <w:spacing w:line="240" w:lineRule="auto" w:before="30" w:after="30"/>
              <w:jc w:val="center"/>
            </w:pPr>
            <w:r>
              <w:rPr>
                <w:b w:val="0"/>
                <w:i w:val="0"/>
                <w:sz w:val="18"/>
              </w:rPr>
              <w:t>(0.695)</w:t>
            </w:r>
          </w:p>
        </w:tc>
        <w:tc>
          <w:tcPr>
            <w:tcW w:type="dxa" w:w="1225"/>
          </w:tcPr>
          <w:p>
            <w:pPr>
              <w:pStyle w:val="MDPI42tablebody"/>
              <w:keepNext/>
              <w:spacing w:line="240" w:lineRule="auto" w:before="30" w:after="30"/>
              <w:jc w:val="center"/>
            </w:pPr>
            <w:r>
              <w:rPr>
                <w:b w:val="0"/>
                <w:i w:val="0"/>
                <w:sz w:val="18"/>
              </w:rPr>
              <w:t>(0.703)</w:t>
            </w:r>
          </w:p>
        </w:tc>
      </w:tr>
      <w:tr>
        <w:trPr>
          <w:cantSplit/>
        </w:trPr>
        <w:tc>
          <w:tcPr>
            <w:tcW w:type="dxa" w:w="1728"/>
          </w:tcPr>
          <w:p>
            <w:pPr>
              <w:pStyle w:val="MDPI42tablebody"/>
              <w:keepNext/>
              <w:spacing w:line="240" w:lineRule="auto" w:before="30" w:after="30"/>
              <w:jc w:val="left"/>
            </w:pPr>
            <w:r>
              <w:rPr>
                <w:b w:val="0"/>
                <w:i/>
                <w:sz w:val="18"/>
              </w:rPr>
              <w:t>TobinQ</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0.562***</w:t>
            </w:r>
          </w:p>
        </w:tc>
        <w:tc>
          <w:tcPr>
            <w:tcW w:type="dxa" w:w="1225"/>
          </w:tcPr>
          <w:p>
            <w:pPr>
              <w:pStyle w:val="MDPI42tablebody"/>
              <w:keepNext/>
              <w:spacing w:line="240" w:lineRule="auto" w:before="30" w:after="30"/>
              <w:jc w:val="center"/>
            </w:pPr>
            <w:r>
              <w:rPr>
                <w:b w:val="0"/>
                <w:i w:val="0"/>
                <w:sz w:val="18"/>
              </w:rPr>
              <w:t>0.570***</w:t>
            </w:r>
          </w:p>
        </w:tc>
        <w:tc>
          <w:tcPr>
            <w:tcW w:type="dxa" w:w="1225"/>
          </w:tcPr>
          <w:p>
            <w:pPr>
              <w:pStyle w:val="MDPI42tablebody"/>
              <w:keepNext/>
              <w:spacing w:line="240" w:lineRule="auto" w:before="30" w:after="30"/>
              <w:jc w:val="center"/>
            </w:pPr>
            <w:r>
              <w:rPr>
                <w:b w:val="0"/>
                <w:i w:val="0"/>
                <w:sz w:val="18"/>
              </w:rPr>
              <w:t>0.569***</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(0.048)</w:t>
            </w:r>
          </w:p>
        </w:tc>
        <w:tc>
          <w:tcPr>
            <w:tcW w:type="dxa" w:w="1225"/>
          </w:tcPr>
          <w:p>
            <w:pPr>
              <w:pStyle w:val="MDPI42tablebody"/>
              <w:keepNext/>
              <w:spacing w:line="240" w:lineRule="auto" w:before="30" w:after="30"/>
              <w:jc w:val="center"/>
            </w:pPr>
            <w:r>
              <w:rPr>
                <w:b w:val="0"/>
                <w:i w:val="0"/>
                <w:sz w:val="18"/>
              </w:rPr>
              <w:t>(0.048)</w:t>
            </w:r>
          </w:p>
        </w:tc>
        <w:tc>
          <w:tcPr>
            <w:tcW w:type="dxa" w:w="1225"/>
          </w:tcPr>
          <w:p>
            <w:pPr>
              <w:pStyle w:val="MDPI42tablebody"/>
              <w:keepNext/>
              <w:spacing w:line="240" w:lineRule="auto" w:before="30" w:after="30"/>
              <w:jc w:val="center"/>
            </w:pPr>
            <w:r>
              <w:rPr>
                <w:b w:val="0"/>
                <w:i w:val="0"/>
                <w:sz w:val="18"/>
              </w:rPr>
              <w:t>(0.048)</w:t>
            </w:r>
          </w:p>
        </w:tc>
      </w:tr>
      <w:tr>
        <w:trPr>
          <w:cantSplit/>
        </w:trPr>
        <w:tc>
          <w:tcPr>
            <w:tcW w:type="dxa" w:w="1728"/>
          </w:tcPr>
          <w:p>
            <w:pPr>
              <w:pStyle w:val="MDPI42tablebody"/>
              <w:keepNext/>
              <w:spacing w:line="240" w:lineRule="auto" w:before="30" w:after="30"/>
              <w:jc w:val="left"/>
            </w:pPr>
            <w:r>
              <w:rPr>
                <w:b w:val="0"/>
                <w:i/>
                <w:sz w:val="18"/>
              </w:rPr>
              <w:t>Top1</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−3.981*</w:t>
            </w:r>
          </w:p>
        </w:tc>
        <w:tc>
          <w:tcPr>
            <w:tcW w:type="dxa" w:w="1225"/>
          </w:tcPr>
          <w:p>
            <w:pPr>
              <w:pStyle w:val="MDPI42tablebody"/>
              <w:keepNext/>
              <w:spacing w:line="240" w:lineRule="auto" w:before="30" w:after="30"/>
              <w:jc w:val="center"/>
            </w:pPr>
            <w:r>
              <w:rPr>
                <w:b w:val="0"/>
                <w:i w:val="0"/>
                <w:sz w:val="18"/>
              </w:rPr>
              <w:t>−3.978*</w:t>
            </w:r>
          </w:p>
        </w:tc>
        <w:tc>
          <w:tcPr>
            <w:tcW w:type="dxa" w:w="1225"/>
          </w:tcPr>
          <w:p>
            <w:pPr>
              <w:pStyle w:val="MDPI42tablebody"/>
              <w:keepNext/>
              <w:spacing w:line="240" w:lineRule="auto" w:before="30" w:after="30"/>
              <w:jc w:val="center"/>
            </w:pPr>
            <w:r>
              <w:rPr>
                <w:b w:val="0"/>
                <w:i w:val="0"/>
                <w:sz w:val="18"/>
              </w:rPr>
              <w:t>−3.771*</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(2.090)</w:t>
            </w:r>
          </w:p>
        </w:tc>
        <w:tc>
          <w:tcPr>
            <w:tcW w:type="dxa" w:w="1225"/>
          </w:tcPr>
          <w:p>
            <w:pPr>
              <w:pStyle w:val="MDPI42tablebody"/>
              <w:keepNext/>
              <w:spacing w:line="240" w:lineRule="auto" w:before="30" w:after="30"/>
              <w:jc w:val="center"/>
            </w:pPr>
            <w:r>
              <w:rPr>
                <w:b w:val="0"/>
                <w:i w:val="0"/>
                <w:sz w:val="18"/>
              </w:rPr>
              <w:t>(2.077)</w:t>
            </w:r>
          </w:p>
        </w:tc>
        <w:tc>
          <w:tcPr>
            <w:tcW w:type="dxa" w:w="1225"/>
          </w:tcPr>
          <w:p>
            <w:pPr>
              <w:pStyle w:val="MDPI42tablebody"/>
              <w:keepNext/>
              <w:spacing w:line="240" w:lineRule="auto" w:before="30" w:after="30"/>
              <w:jc w:val="center"/>
            </w:pPr>
            <w:r>
              <w:rPr>
                <w:b w:val="0"/>
                <w:i w:val="0"/>
                <w:sz w:val="18"/>
              </w:rPr>
              <w:t>(2.097)</w:t>
            </w:r>
          </w:p>
        </w:tc>
      </w:tr>
      <w:tr>
        <w:trPr>
          <w:cantSplit/>
        </w:trPr>
        <w:tc>
          <w:tcPr>
            <w:tcW w:type="dxa" w:w="1728"/>
          </w:tcPr>
          <w:p>
            <w:pPr>
              <w:pStyle w:val="MDPI42tablebody"/>
              <w:keepNext/>
              <w:spacing w:line="240" w:lineRule="auto" w:before="30" w:after="30"/>
              <w:jc w:val="left"/>
            </w:pPr>
            <w:r>
              <w:rPr>
                <w:b w:val="0"/>
                <w:i/>
                <w:sz w:val="18"/>
              </w:rPr>
              <w:t>Indep</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−0.105</w:t>
            </w:r>
          </w:p>
        </w:tc>
        <w:tc>
          <w:tcPr>
            <w:tcW w:type="dxa" w:w="1225"/>
          </w:tcPr>
          <w:p>
            <w:pPr>
              <w:pStyle w:val="MDPI42tablebody"/>
              <w:keepNext/>
              <w:spacing w:line="240" w:lineRule="auto" w:before="30" w:after="30"/>
              <w:jc w:val="center"/>
            </w:pPr>
            <w:r>
              <w:rPr>
                <w:b w:val="0"/>
                <w:i w:val="0"/>
                <w:sz w:val="18"/>
              </w:rPr>
              <w:t>0.055</w:t>
            </w:r>
          </w:p>
        </w:tc>
        <w:tc>
          <w:tcPr>
            <w:tcW w:type="dxa" w:w="1225"/>
          </w:tcPr>
          <w:p>
            <w:pPr>
              <w:pStyle w:val="MDPI42tablebody"/>
              <w:keepNext/>
              <w:spacing w:line="240" w:lineRule="auto" w:before="30" w:after="30"/>
              <w:jc w:val="center"/>
            </w:pPr>
            <w:r>
              <w:rPr>
                <w:b w:val="0"/>
                <w:i w:val="0"/>
                <w:sz w:val="18"/>
              </w:rPr>
              <w:t>−0.315</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(2.929)</w:t>
            </w:r>
          </w:p>
        </w:tc>
        <w:tc>
          <w:tcPr>
            <w:tcW w:type="dxa" w:w="1225"/>
          </w:tcPr>
          <w:p>
            <w:pPr>
              <w:pStyle w:val="MDPI42tablebody"/>
              <w:keepNext/>
              <w:spacing w:line="240" w:lineRule="auto" w:before="30" w:after="30"/>
              <w:jc w:val="center"/>
            </w:pPr>
            <w:r>
              <w:rPr>
                <w:b w:val="0"/>
                <w:i w:val="0"/>
                <w:sz w:val="18"/>
              </w:rPr>
              <w:t>(2.920)</w:t>
            </w:r>
          </w:p>
        </w:tc>
        <w:tc>
          <w:tcPr>
            <w:tcW w:type="dxa" w:w="1225"/>
          </w:tcPr>
          <w:p>
            <w:pPr>
              <w:pStyle w:val="MDPI42tablebody"/>
              <w:keepNext/>
              <w:spacing w:line="240" w:lineRule="auto" w:before="30" w:after="30"/>
              <w:jc w:val="center"/>
            </w:pPr>
            <w:r>
              <w:rPr>
                <w:b w:val="0"/>
                <w:i w:val="0"/>
                <w:sz w:val="18"/>
              </w:rPr>
              <w:t>(2.940)</w:t>
            </w:r>
          </w:p>
        </w:tc>
      </w:tr>
      <w:tr>
        <w:trPr>
          <w:cantSplit/>
        </w:trPr>
        <w:tc>
          <w:tcPr>
            <w:tcW w:type="dxa" w:w="1728"/>
          </w:tcPr>
          <w:p>
            <w:pPr>
              <w:pStyle w:val="MDPI42tablebody"/>
              <w:keepNext/>
              <w:spacing w:line="240" w:lineRule="auto" w:before="30" w:after="30"/>
              <w:jc w:val="left"/>
            </w:pPr>
            <w:r>
              <w:rPr>
                <w:b w:val="0"/>
                <w:i/>
                <w:sz w:val="18"/>
              </w:rPr>
              <w:t>Dual</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−0.171</w:t>
            </w:r>
          </w:p>
        </w:tc>
        <w:tc>
          <w:tcPr>
            <w:tcW w:type="dxa" w:w="1225"/>
          </w:tcPr>
          <w:p>
            <w:pPr>
              <w:pStyle w:val="MDPI42tablebody"/>
              <w:keepNext/>
              <w:spacing w:line="240" w:lineRule="auto" w:before="30" w:after="30"/>
              <w:jc w:val="center"/>
            </w:pPr>
            <w:r>
              <w:rPr>
                <w:b w:val="0"/>
                <w:i w:val="0"/>
                <w:sz w:val="18"/>
              </w:rPr>
              <w:t>−0.191</w:t>
            </w:r>
          </w:p>
        </w:tc>
        <w:tc>
          <w:tcPr>
            <w:tcW w:type="dxa" w:w="1225"/>
          </w:tcPr>
          <w:p>
            <w:pPr>
              <w:pStyle w:val="MDPI42tablebody"/>
              <w:keepNext/>
              <w:spacing w:line="240" w:lineRule="auto" w:before="30" w:after="30"/>
              <w:jc w:val="center"/>
            </w:pPr>
            <w:r>
              <w:rPr>
                <w:b w:val="0"/>
                <w:i w:val="0"/>
                <w:sz w:val="18"/>
              </w:rPr>
              <w:t>−0.204</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(0.153)</w:t>
            </w:r>
          </w:p>
        </w:tc>
        <w:tc>
          <w:tcPr>
            <w:tcW w:type="dxa" w:w="1225"/>
          </w:tcPr>
          <w:p>
            <w:pPr>
              <w:pStyle w:val="MDPI42tablebody"/>
              <w:keepNext/>
              <w:spacing w:line="240" w:lineRule="auto" w:before="30" w:after="30"/>
              <w:jc w:val="center"/>
            </w:pPr>
            <w:r>
              <w:rPr>
                <w:b w:val="0"/>
                <w:i w:val="0"/>
                <w:sz w:val="18"/>
              </w:rPr>
              <w:t>(0.153)</w:t>
            </w:r>
          </w:p>
        </w:tc>
        <w:tc>
          <w:tcPr>
            <w:tcW w:type="dxa" w:w="1225"/>
          </w:tcPr>
          <w:p>
            <w:pPr>
              <w:pStyle w:val="MDPI42tablebody"/>
              <w:keepNext/>
              <w:spacing w:line="240" w:lineRule="auto" w:before="30" w:after="30"/>
              <w:jc w:val="center"/>
            </w:pPr>
            <w:r>
              <w:rPr>
                <w:b w:val="0"/>
                <w:i w:val="0"/>
                <w:sz w:val="18"/>
              </w:rPr>
              <w:t>(0.154)</w:t>
            </w:r>
          </w:p>
        </w:tc>
      </w:tr>
      <w:tr>
        <w:trPr>
          <w:cantSplit/>
        </w:trPr>
        <w:tc>
          <w:tcPr>
            <w:tcW w:type="dxa" w:w="1728"/>
          </w:tcPr>
          <w:p>
            <w:pPr>
              <w:pStyle w:val="MDPI42tablebody"/>
              <w:keepNext/>
              <w:spacing w:line="240" w:lineRule="auto" w:before="30" w:after="30"/>
              <w:jc w:val="left"/>
            </w:pPr>
            <w:r>
              <w:rPr>
                <w:b w:val="0"/>
                <w:i/>
                <w:sz w:val="18"/>
              </w:rPr>
              <w:t>Board</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−0.332</w:t>
            </w:r>
          </w:p>
        </w:tc>
        <w:tc>
          <w:tcPr>
            <w:tcW w:type="dxa" w:w="1225"/>
          </w:tcPr>
          <w:p>
            <w:pPr>
              <w:pStyle w:val="MDPI42tablebody"/>
              <w:keepNext/>
              <w:spacing w:line="240" w:lineRule="auto" w:before="30" w:after="30"/>
              <w:jc w:val="center"/>
            </w:pPr>
            <w:r>
              <w:rPr>
                <w:b w:val="0"/>
                <w:i w:val="0"/>
                <w:sz w:val="18"/>
              </w:rPr>
              <w:t>−0.089</w:t>
            </w:r>
          </w:p>
        </w:tc>
        <w:tc>
          <w:tcPr>
            <w:tcW w:type="dxa" w:w="1225"/>
          </w:tcPr>
          <w:p>
            <w:pPr>
              <w:pStyle w:val="MDPI42tablebody"/>
              <w:keepNext/>
              <w:spacing w:line="240" w:lineRule="auto" w:before="30" w:after="30"/>
              <w:jc w:val="center"/>
            </w:pPr>
            <w:r>
              <w:rPr>
                <w:b w:val="0"/>
                <w:i w:val="0"/>
                <w:sz w:val="18"/>
              </w:rPr>
              <w:t>−0.368</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(0.927)</w:t>
            </w:r>
          </w:p>
        </w:tc>
        <w:tc>
          <w:tcPr>
            <w:tcW w:type="dxa" w:w="1225"/>
          </w:tcPr>
          <w:p>
            <w:pPr>
              <w:pStyle w:val="MDPI42tablebody"/>
              <w:keepNext/>
              <w:spacing w:line="240" w:lineRule="auto" w:before="30" w:after="30"/>
              <w:jc w:val="center"/>
            </w:pPr>
            <w:r>
              <w:rPr>
                <w:b w:val="0"/>
                <w:i w:val="0"/>
                <w:sz w:val="18"/>
              </w:rPr>
              <w:t>(0.924)</w:t>
            </w:r>
          </w:p>
        </w:tc>
        <w:tc>
          <w:tcPr>
            <w:tcW w:type="dxa" w:w="1225"/>
          </w:tcPr>
          <w:p>
            <w:pPr>
              <w:pStyle w:val="MDPI42tablebody"/>
              <w:keepNext/>
              <w:spacing w:line="240" w:lineRule="auto" w:before="30" w:after="30"/>
              <w:jc w:val="center"/>
            </w:pPr>
            <w:r>
              <w:rPr>
                <w:b w:val="0"/>
                <w:i w:val="0"/>
                <w:sz w:val="18"/>
              </w:rPr>
              <w:t>(0.928)</w:t>
            </w:r>
          </w:p>
        </w:tc>
      </w:tr>
      <w:tr>
        <w:trPr>
          <w:cantSplit/>
        </w:trPr>
        <w:tc>
          <w:tcPr>
            <w:tcW w:type="dxa" w:w="1728"/>
          </w:tcPr>
          <w:p>
            <w:pPr>
              <w:pStyle w:val="MDPI42tablebody"/>
              <w:keepNext/>
              <w:spacing w:line="240" w:lineRule="auto" w:before="30" w:after="30"/>
              <w:jc w:val="left"/>
            </w:pPr>
            <w:r>
              <w:rPr>
                <w:b w:val="0"/>
                <w:i/>
                <w:sz w:val="18"/>
              </w:rPr>
              <w:t>CapInt</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−0.789*</w:t>
            </w:r>
          </w:p>
        </w:tc>
        <w:tc>
          <w:tcPr>
            <w:tcW w:type="dxa" w:w="1225"/>
          </w:tcPr>
          <w:p>
            <w:pPr>
              <w:pStyle w:val="MDPI42tablebody"/>
              <w:keepNext/>
              <w:spacing w:line="240" w:lineRule="auto" w:before="30" w:after="30"/>
              <w:jc w:val="center"/>
            </w:pPr>
            <w:r>
              <w:rPr>
                <w:b w:val="0"/>
                <w:i w:val="0"/>
                <w:sz w:val="18"/>
              </w:rPr>
              <w:t>−0.762*</w:t>
            </w:r>
          </w:p>
        </w:tc>
        <w:tc>
          <w:tcPr>
            <w:tcW w:type="dxa" w:w="1225"/>
          </w:tcPr>
          <w:p>
            <w:pPr>
              <w:pStyle w:val="MDPI42tablebody"/>
              <w:keepNext/>
              <w:spacing w:line="240" w:lineRule="auto" w:before="30" w:after="30"/>
              <w:jc w:val="center"/>
            </w:pPr>
            <w:r>
              <w:rPr>
                <w:b w:val="0"/>
                <w:i w:val="0"/>
                <w:sz w:val="18"/>
              </w:rPr>
              <w:t>−0.749*</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(0.410)</w:t>
            </w:r>
          </w:p>
        </w:tc>
        <w:tc>
          <w:tcPr>
            <w:tcW w:type="dxa" w:w="1225"/>
          </w:tcPr>
          <w:p>
            <w:pPr>
              <w:pStyle w:val="MDPI42tablebody"/>
              <w:keepNext/>
              <w:spacing w:line="240" w:lineRule="auto" w:before="30" w:after="30"/>
              <w:jc w:val="center"/>
            </w:pPr>
            <w:r>
              <w:rPr>
                <w:b w:val="0"/>
                <w:i w:val="0"/>
                <w:sz w:val="18"/>
              </w:rPr>
              <w:t>(0.410)</w:t>
            </w:r>
          </w:p>
        </w:tc>
        <w:tc>
          <w:tcPr>
            <w:tcW w:type="dxa" w:w="1225"/>
          </w:tcPr>
          <w:p>
            <w:pPr>
              <w:pStyle w:val="MDPI42tablebody"/>
              <w:keepNext/>
              <w:spacing w:line="240" w:lineRule="auto" w:before="30" w:after="30"/>
              <w:jc w:val="center"/>
            </w:pPr>
            <w:r>
              <w:rPr>
                <w:b w:val="0"/>
                <w:i w:val="0"/>
                <w:sz w:val="18"/>
              </w:rPr>
              <w:t>(0.411)</w:t>
            </w:r>
          </w:p>
        </w:tc>
      </w:tr>
      <w:tr>
        <w:trPr>
          <w:cantSplit/>
        </w:trPr>
        <w:tc>
          <w:tcPr>
            <w:tcW w:type="dxa" w:w="1728"/>
          </w:tcPr>
          <w:p>
            <w:pPr>
              <w:pStyle w:val="MDPI42tablebody"/>
              <w:keepNext/>
              <w:spacing w:line="240" w:lineRule="auto" w:before="30" w:after="30"/>
              <w:jc w:val="left"/>
            </w:pPr>
            <w:r>
              <w:rPr>
                <w:b w:val="0"/>
                <w:i/>
                <w:sz w:val="18"/>
              </w:rPr>
              <w:t>Emp</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1.271***</w:t>
            </w:r>
          </w:p>
        </w:tc>
        <w:tc>
          <w:tcPr>
            <w:tcW w:type="dxa" w:w="1225"/>
          </w:tcPr>
          <w:p>
            <w:pPr>
              <w:pStyle w:val="MDPI42tablebody"/>
              <w:keepNext/>
              <w:spacing w:line="240" w:lineRule="auto" w:before="30" w:after="30"/>
              <w:jc w:val="center"/>
            </w:pPr>
            <w:r>
              <w:rPr>
                <w:b w:val="0"/>
                <w:i w:val="0"/>
                <w:sz w:val="18"/>
              </w:rPr>
              <w:t>−0.009</w:t>
            </w:r>
          </w:p>
        </w:tc>
        <w:tc>
          <w:tcPr>
            <w:tcW w:type="dxa" w:w="1225"/>
          </w:tcPr>
          <w:p>
            <w:pPr>
              <w:pStyle w:val="MDPI42tablebody"/>
              <w:keepNext/>
              <w:spacing w:line="240" w:lineRule="auto" w:before="30" w:after="30"/>
              <w:jc w:val="center"/>
            </w:pPr>
            <w:r>
              <w:rPr>
                <w:b w:val="0"/>
                <w:i w:val="0"/>
                <w:sz w:val="18"/>
              </w:rPr>
              <w:t>1.233***</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(0.448)</w:t>
            </w:r>
          </w:p>
        </w:tc>
        <w:tc>
          <w:tcPr>
            <w:tcW w:type="dxa" w:w="1225"/>
          </w:tcPr>
          <w:p>
            <w:pPr>
              <w:pStyle w:val="MDPI42tablebody"/>
              <w:keepNext/>
              <w:spacing w:line="240" w:lineRule="auto" w:before="30" w:after="30"/>
              <w:jc w:val="center"/>
            </w:pPr>
            <w:r>
              <w:rPr>
                <w:b w:val="0"/>
                <w:i w:val="0"/>
                <w:sz w:val="18"/>
              </w:rPr>
              <w:t>(0.463)</w:t>
            </w:r>
          </w:p>
        </w:tc>
        <w:tc>
          <w:tcPr>
            <w:tcW w:type="dxa" w:w="1225"/>
          </w:tcPr>
          <w:p>
            <w:pPr>
              <w:pStyle w:val="MDPI42tablebody"/>
              <w:keepNext/>
              <w:spacing w:line="240" w:lineRule="auto" w:before="30" w:after="30"/>
              <w:jc w:val="center"/>
            </w:pPr>
            <w:r>
              <w:rPr>
                <w:b w:val="0"/>
                <w:i w:val="0"/>
                <w:sz w:val="18"/>
              </w:rPr>
              <w:t>(0.449)</w:t>
            </w:r>
          </w:p>
        </w:tc>
      </w:tr>
      <w:tr>
        <w:trPr>
          <w:cantSplit/>
        </w:trPr>
        <w:tc>
          <w:tcPr>
            <w:tcW w:type="dxa" w:w="1728"/>
          </w:tcPr>
          <w:p>
            <w:pPr>
              <w:pStyle w:val="MDPI42tablebody"/>
              <w:keepNext/>
              <w:spacing w:line="240" w:lineRule="auto" w:before="30" w:after="30"/>
              <w:jc w:val="left"/>
            </w:pPr>
            <w:r>
              <w:rPr>
                <w:b w:val="0"/>
                <w:i/>
                <w:sz w:val="18"/>
              </w:rPr>
              <w:t>Year FE</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w:t>
            </w:r>
          </w:p>
        </w:tc>
        <w:tc>
          <w:tcPr>
            <w:tcW w:type="dxa" w:w="1225"/>
          </w:tcPr>
          <w:p>
            <w:pPr>
              <w:pStyle w:val="MDPI42tablebody"/>
              <w:keepNext/>
              <w:spacing w:line="240" w:lineRule="auto" w:before="30" w:after="30"/>
              <w:jc w:val="center"/>
            </w:pPr>
            <w:r>
              <w:rPr>
                <w:b w:val="0"/>
                <w:i w:val="0"/>
                <w:sz w:val="18"/>
              </w:rPr>
              <w:t>--</w:t>
            </w:r>
          </w:p>
        </w:tc>
      </w:tr>
      <w:tr>
        <w:trPr>
          <w:cantSplit/>
        </w:trPr>
        <w:tc>
          <w:tcPr>
            <w:tcW w:type="dxa" w:w="1728"/>
          </w:tcPr>
          <w:p>
            <w:pPr>
              <w:pStyle w:val="MDPI42tablebody"/>
              <w:keepNext/>
              <w:spacing w:line="240" w:lineRule="auto" w:before="30" w:after="30"/>
              <w:jc w:val="left"/>
            </w:pPr>
            <w:r>
              <w:rPr>
                <w:b w:val="0"/>
                <w:i/>
                <w:sz w:val="18"/>
              </w:rPr>
              <w:t>Firm FE</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r>
      <w:tr>
        <w:trPr>
          <w:cantSplit/>
        </w:trPr>
        <w:tc>
          <w:tcPr>
            <w:tcW w:type="dxa" w:w="1728"/>
          </w:tcPr>
          <w:p>
            <w:pPr>
              <w:pStyle w:val="MDPI42tablebody"/>
              <w:keepNext/>
              <w:spacing w:line="240" w:lineRule="auto" w:before="30" w:after="30"/>
              <w:jc w:val="left"/>
            </w:pPr>
            <w:r>
              <w:rPr>
                <w:b w:val="0"/>
                <w:i/>
                <w:sz w:val="18"/>
              </w:rPr>
              <w:t>Industry x Year FE</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NO</w:t>
            </w:r>
          </w:p>
        </w:tc>
      </w:tr>
      <w:tr>
        <w:trPr>
          <w:cantSplit/>
        </w:trPr>
        <w:tc>
          <w:tcPr>
            <w:tcW w:type="dxa" w:w="1728"/>
          </w:tcPr>
          <w:p>
            <w:pPr>
              <w:pStyle w:val="MDPI42tablebody"/>
              <w:keepNext/>
              <w:spacing w:line="240" w:lineRule="auto" w:before="30" w:after="30"/>
              <w:jc w:val="left"/>
            </w:pPr>
            <w:r>
              <w:rPr>
                <w:b w:val="0"/>
                <w:i/>
                <w:sz w:val="18"/>
              </w:rPr>
              <w:t>Province x Year FE</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YES</w:t>
            </w:r>
          </w:p>
        </w:tc>
      </w:tr>
      <w:tr>
        <w:trPr>
          <w:cantSplit/>
        </w:trPr>
        <w:tc>
          <w:tcPr>
            <w:tcW w:type="dxa" w:w="1728"/>
          </w:tcPr>
          <w:p>
            <w:pPr>
              <w:pStyle w:val="MDPI42tablebody"/>
              <w:keepNext/>
              <w:spacing w:line="240" w:lineRule="auto" w:before="30" w:after="30"/>
              <w:jc w:val="left"/>
            </w:pPr>
            <w:r>
              <w:rPr>
                <w:b w:val="0"/>
                <w:i/>
                <w:sz w:val="18"/>
              </w:rPr>
              <w:t>Observations</w:t>
            </w:r>
          </w:p>
        </w:tc>
        <w:tc>
          <w:tcPr>
            <w:tcW w:type="dxa" w:w="1225"/>
          </w:tcPr>
          <w:p>
            <w:pPr>
              <w:pStyle w:val="MDPI42tablebody"/>
              <w:keepNext/>
              <w:spacing w:line="240" w:lineRule="auto" w:before="30" w:after="30"/>
              <w:jc w:val="center"/>
            </w:pPr>
            <w:r>
              <w:rPr>
                <w:b w:val="0"/>
                <w:i w:val="0"/>
                <w:sz w:val="18"/>
              </w:rPr>
              <w:t>36,064</w:t>
            </w:r>
          </w:p>
        </w:tc>
        <w:tc>
          <w:tcPr>
            <w:tcW w:type="dxa" w:w="1225"/>
          </w:tcPr>
          <w:p>
            <w:pPr>
              <w:pStyle w:val="MDPI42tablebody"/>
              <w:keepNext/>
              <w:spacing w:line="240" w:lineRule="auto" w:before="30" w:after="30"/>
              <w:jc w:val="center"/>
            </w:pPr>
            <w:r>
              <w:rPr>
                <w:b w:val="0"/>
                <w:i w:val="0"/>
                <w:sz w:val="18"/>
              </w:rPr>
              <w:t>36,064</w:t>
            </w:r>
          </w:p>
        </w:tc>
        <w:tc>
          <w:tcPr>
            <w:tcW w:type="dxa" w:w="1225"/>
          </w:tcPr>
          <w:p>
            <w:pPr>
              <w:pStyle w:val="MDPI42tablebody"/>
              <w:keepNext/>
              <w:spacing w:line="240" w:lineRule="auto" w:before="30" w:after="30"/>
              <w:jc w:val="center"/>
            </w:pPr>
            <w:r>
              <w:rPr>
                <w:b w:val="0"/>
                <w:i w:val="0"/>
                <w:sz w:val="18"/>
              </w:rPr>
              <w:t>36,064</w:t>
            </w:r>
          </w:p>
        </w:tc>
        <w:tc>
          <w:tcPr>
            <w:tcW w:type="dxa" w:w="1225"/>
          </w:tcPr>
          <w:p>
            <w:pPr>
              <w:pStyle w:val="MDPI42tablebody"/>
              <w:keepNext/>
              <w:spacing w:line="240" w:lineRule="auto" w:before="30" w:after="30"/>
              <w:jc w:val="center"/>
            </w:pPr>
            <w:r>
              <w:rPr>
                <w:b w:val="0"/>
                <w:i w:val="0"/>
                <w:sz w:val="18"/>
              </w:rPr>
              <w:t>36,064</w:t>
            </w:r>
          </w:p>
        </w:tc>
        <w:tc>
          <w:tcPr>
            <w:tcW w:type="dxa" w:w="1225"/>
          </w:tcPr>
          <w:p>
            <w:pPr>
              <w:pStyle w:val="MDPI42tablebody"/>
              <w:keepNext/>
              <w:spacing w:line="240" w:lineRule="auto" w:before="30" w:after="30"/>
              <w:jc w:val="center"/>
            </w:pPr>
            <w:r>
              <w:rPr>
                <w:b w:val="0"/>
                <w:i w:val="0"/>
                <w:sz w:val="18"/>
              </w:rPr>
              <w:t>36,064</w:t>
            </w:r>
          </w:p>
        </w:tc>
      </w:tr>
      <w:tr>
        <w:trPr>
          <w:cantSplit/>
        </w:trPr>
        <w:tc>
          <w:tcPr>
            <w:tcW w:type="dxa" w:w="1728"/>
          </w:tcPr>
          <w:p>
            <w:pPr>
              <w:pStyle w:val="MDPI42tablebody"/>
              <w:spacing w:line="240" w:lineRule="auto" w:before="30" w:after="30"/>
              <w:jc w:val="left"/>
            </w:pPr>
            <w:r>
              <w:rPr>
                <w:b w:val="0"/>
                <w:i/>
                <w:sz w:val="18"/>
              </w:rPr>
              <w:t>R-squared</w:t>
            </w:r>
          </w:p>
        </w:tc>
        <w:tc>
          <w:tcPr>
            <w:tcW w:type="dxa" w:w="1225"/>
          </w:tcPr>
          <w:p>
            <w:pPr>
              <w:pStyle w:val="MDPI42tablebody"/>
              <w:spacing w:line="240" w:lineRule="auto" w:before="30" w:after="30"/>
              <w:jc w:val="center"/>
            </w:pPr>
            <w:r>
              <w:rPr>
                <w:b w:val="0"/>
                <w:i w:val="0"/>
                <w:sz w:val="18"/>
              </w:rPr>
              <w:t>−0.010</w:t>
            </w:r>
          </w:p>
        </w:tc>
        <w:tc>
          <w:tcPr>
            <w:tcW w:type="dxa" w:w="1225"/>
          </w:tcPr>
          <w:p>
            <w:pPr>
              <w:pStyle w:val="MDPI42tablebody"/>
              <w:spacing w:line="240" w:lineRule="auto" w:before="30" w:after="30"/>
              <w:jc w:val="center"/>
            </w:pPr>
            <w:r>
              <w:rPr>
                <w:b w:val="0"/>
                <w:i w:val="0"/>
                <w:sz w:val="18"/>
              </w:rPr>
              <w:t>0.016</w:t>
            </w:r>
          </w:p>
        </w:tc>
        <w:tc>
          <w:tcPr>
            <w:tcW w:type="dxa" w:w="1225"/>
          </w:tcPr>
          <w:p>
            <w:pPr>
              <w:pStyle w:val="MDPI42tablebody"/>
              <w:spacing w:line="240" w:lineRule="auto" w:before="30" w:after="30"/>
              <w:jc w:val="center"/>
            </w:pPr>
            <w:r>
              <w:rPr>
                <w:b w:val="0"/>
                <w:i w:val="0"/>
                <w:sz w:val="18"/>
              </w:rPr>
              <w:t>0.028</w:t>
            </w:r>
          </w:p>
        </w:tc>
        <w:tc>
          <w:tcPr>
            <w:tcW w:type="dxa" w:w="1225"/>
          </w:tcPr>
          <w:p>
            <w:pPr>
              <w:pStyle w:val="MDPI42tablebody"/>
              <w:spacing w:line="240" w:lineRule="auto" w:before="30" w:after="30"/>
              <w:jc w:val="center"/>
            </w:pPr>
            <w:r>
              <w:rPr>
                <w:b w:val="0"/>
                <w:i w:val="0"/>
                <w:sz w:val="18"/>
              </w:rPr>
              <w:t>0.024</w:t>
            </w:r>
          </w:p>
        </w:tc>
        <w:tc>
          <w:tcPr>
            <w:tcW w:type="dxa" w:w="1225"/>
          </w:tcPr>
          <w:p>
            <w:pPr>
              <w:pStyle w:val="MDPI42tablebody"/>
              <w:spacing w:line="240" w:lineRule="auto" w:before="30" w:after="30"/>
              <w:jc w:val="center"/>
            </w:pPr>
            <w:r>
              <w:rPr>
                <w:b w:val="0"/>
                <w:i w:val="0"/>
                <w:sz w:val="18"/>
              </w:rPr>
              <w:t>0.026</w:t>
            </w:r>
          </w:p>
        </w:tc>
      </w:tr>
    </w:tbl>
    <w:p>
      <w:pPr>
        <w:pStyle w:val="MDPI43tablefooter"/>
        <w:spacing w:line="240" w:lineRule="auto" w:before="40" w:after="200"/>
        <w:ind w:left="2608" w:firstLine="0"/>
      </w:pPr>
      <w:r>
        <w:rPr>
          <w:sz w:val="16"/>
        </w:rPr>
        <w:t xml:space="preserve">Note: </w:t>
      </w:r>
      <w:r>
        <w:rPr>
          <w:b w:val="0"/>
          <w:i w:val="0"/>
          <w:sz w:val="16"/>
        </w:rPr>
        <w:t>Column (1) includes firm fixed effects only; column (2) adds year fixed effects; column (3) is the benchmark specification; columns (4) and (5) replace the year effects with industry-by-year and province-by-year effects.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4.3. The Buffering of Demand Shocks</w:t>
      </w:r>
    </w:p>
    <w:p>
      <w:pPr>
        <w:pStyle w:val="MDPI32textnoindent"/>
      </w:pPr>
      <w:r>
        <w:rPr>
          <w:b w:val="0"/>
          <w:i w:val="0"/>
        </w:rPr>
        <w:t>Table 5 turns to the sensitivity of youth employment rather than its level. Column (1) shows that an adverse industry demand shock of one standard deviation lowers the youth employment share by 0.906 percentage points on average. Column (3) adds the interaction of Equation (5): the coefficient on the interaction is 1.257 with a standard error of 0.044, significant at the one percent level, and it is essentially unchanged when industry-by-year or province-by-year effects replace the year effects (1.244 and 1.257). H2 is supported.</w:t>
      </w:r>
    </w:p>
    <w:p>
      <w:pPr>
        <w:pStyle w:val="MDPI31text"/>
      </w:pPr>
      <w:r>
        <w:rPr>
          <w:b w:val="0"/>
          <w:i w:val="0"/>
        </w:rPr>
        <w:t>The economic content is best read from the marginal effect of Equation (6), which is plotted in Figure 2a. At the sample mean of variety an adverse shock of one standard deviation lowers the youth employment share by 1.078 percentage points. One standard deviation below the mean the loss is 2.223 percentage points; one standard deviation above it the point estimate is 0.067 and no longer significant at the five percent level (p = 0.493). The pass-through crosses zero at a variety of 3.26 bits. Between a firm at the twentieth and a firm at the eightieth percentile of workforce variety, in other words, the same industry shock produces a difference of well over a percentage point in the share of the workforce that is young, which is of the same order as the entire average effect of the shock. The strip beneath each panel of Figure 2 shows the observed density of the variety measure on that axis, so the range over which the estimate is supported can be read from the figure; the shaded column in panel a is the confidence interval for the threshold estimated in Section 4.10.</w:t>
      </w:r>
    </w:p>
    <w:p>
      <w:pPr>
        <w:pStyle w:val="MDPI52figure"/>
        <w:keepNext/>
        <w:ind w:left="2608" w:firstLine="0"/>
        <w:jc w:val="center"/>
      </w:pPr>
      <w:r>
        <w:drawing>
          <wp:inline xmlns:a="http://schemas.openxmlformats.org/drawingml/2006/main" xmlns:pic="http://schemas.openxmlformats.org/drawingml/2006/picture">
            <wp:extent cx="4752000" cy="2015667"/>
            <wp:docPr id="2" name="Picture 2"/>
            <wp:cNvGraphicFramePr>
              <a:graphicFrameLocks noChangeAspect="1"/>
            </wp:cNvGraphicFramePr>
            <a:graphic>
              <a:graphicData uri="http://schemas.openxmlformats.org/drawingml/2006/picture">
                <pic:pic>
                  <pic:nvPicPr>
                    <pic:cNvPr id="0" name="figure2_margins.png"/>
                    <pic:cNvPicPr/>
                  </pic:nvPicPr>
                  <pic:blipFill>
                    <a:blip r:embed="rId18"/>
                    <a:stretch>
                      <a:fillRect/>
                    </a:stretch>
                  </pic:blipFill>
                  <pic:spPr>
                    <a:xfrm>
                      <a:off x="0" y="0"/>
                      <a:ext cx="4752000" cy="2015667"/>
                    </a:xfrm>
                    <a:prstGeom prst="rect"/>
                  </pic:spPr>
                </pic:pic>
              </a:graphicData>
            </a:graphic>
          </wp:inline>
        </w:drawing>
      </w:r>
    </w:p>
    <w:p>
      <w:pPr>
        <w:pStyle w:val="MDPI51figurecaption"/>
        <w:spacing w:after="200"/>
      </w:pPr>
      <w:r>
        <w:rPr>
          <w:b/>
          <w:sz w:val="18"/>
        </w:rPr>
        <w:t xml:space="preserve">Figure 2. </w:t>
      </w:r>
      <w:r>
        <w:rPr>
          <w:b w:val="0"/>
          <w:i w:val="0"/>
          <w:sz w:val="18"/>
        </w:rPr>
        <w:t>Marginal effect of the demand shock on the youth employment share across workforce skill variety.</w:t>
      </w:r>
    </w:p>
    <w:p>
      <w:pPr>
        <w:pStyle w:val="MDPI41tablecaption"/>
        <w:keepNext/>
        <w:spacing w:after="60"/>
      </w:pPr>
      <w:r>
        <w:rPr>
          <w:b/>
          <w:sz w:val="18"/>
        </w:rPr>
        <w:t xml:space="preserve">Table 5. </w:t>
      </w:r>
      <w:r>
        <w:rPr>
          <w:b w:val="0"/>
          <w:i w:val="0"/>
          <w:sz w:val="18"/>
        </w:rPr>
        <w:t>The buffering of demand shocks by workforce skill variety.</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885"/>
        <w:gridCol w:w="1194"/>
        <w:gridCol w:w="1194"/>
        <w:gridCol w:w="1194"/>
        <w:gridCol w:w="1194"/>
        <w:gridCol w:w="1194"/>
      </w:tblGrid>
      <w:tr>
        <w:trPr>
          <w:cantSplit/>
          <w:tblHeader/>
        </w:trPr>
        <w:tc>
          <w:tcPr>
            <w:tcW w:type="dxa" w:w="1885"/>
            <w:tcBorders>
              <w:bottom w:val="single" w:sz="8" w:space="0" w:color="auto"/>
            </w:tcBorders>
          </w:tcPr>
          <w:p>
            <w:pPr>
              <w:pStyle w:val="MDPI42tablebody"/>
              <w:keepNext/>
              <w:spacing w:line="240" w:lineRule="auto" w:before="30" w:after="30"/>
              <w:jc w:val="center"/>
            </w:pPr>
            <w:r>
              <w:rPr>
                <w:b/>
                <w:i w:val="0"/>
                <w:sz w:val="18"/>
              </w:rPr>
              <w:t>Variable</w:t>
            </w:r>
          </w:p>
        </w:tc>
        <w:tc>
          <w:tcPr>
            <w:tcW w:type="dxa" w:w="1194"/>
            <w:tcBorders>
              <w:bottom w:val="single" w:sz="8" w:space="0" w:color="auto"/>
            </w:tcBorders>
          </w:tcPr>
          <w:p>
            <w:pPr>
              <w:pStyle w:val="MDPI42tablebody"/>
              <w:keepNext/>
              <w:spacing w:line="240" w:lineRule="auto" w:before="30" w:after="30"/>
              <w:jc w:val="center"/>
            </w:pPr>
            <w:r>
              <w:rPr>
                <w:b/>
                <w:i w:val="0"/>
                <w:sz w:val="18"/>
              </w:rPr>
              <w:t>(1)</w:t>
            </w:r>
          </w:p>
        </w:tc>
        <w:tc>
          <w:tcPr>
            <w:tcW w:type="dxa" w:w="1194"/>
            <w:tcBorders>
              <w:bottom w:val="single" w:sz="8" w:space="0" w:color="auto"/>
            </w:tcBorders>
          </w:tcPr>
          <w:p>
            <w:pPr>
              <w:pStyle w:val="MDPI42tablebody"/>
              <w:keepNext/>
              <w:spacing w:line="240" w:lineRule="auto" w:before="30" w:after="30"/>
              <w:jc w:val="center"/>
            </w:pPr>
            <w:r>
              <w:rPr>
                <w:b/>
                <w:i w:val="0"/>
                <w:sz w:val="18"/>
              </w:rPr>
              <w:t>(2)</w:t>
            </w:r>
          </w:p>
        </w:tc>
        <w:tc>
          <w:tcPr>
            <w:tcW w:type="dxa" w:w="1194"/>
            <w:tcBorders>
              <w:bottom w:val="single" w:sz="8" w:space="0" w:color="auto"/>
            </w:tcBorders>
          </w:tcPr>
          <w:p>
            <w:pPr>
              <w:pStyle w:val="MDPI42tablebody"/>
              <w:keepNext/>
              <w:spacing w:line="240" w:lineRule="auto" w:before="30" w:after="30"/>
              <w:jc w:val="center"/>
            </w:pPr>
            <w:r>
              <w:rPr>
                <w:b/>
                <w:i w:val="0"/>
                <w:sz w:val="18"/>
              </w:rPr>
              <w:t>(3)</w:t>
            </w:r>
          </w:p>
        </w:tc>
        <w:tc>
          <w:tcPr>
            <w:tcW w:type="dxa" w:w="1194"/>
            <w:tcBorders>
              <w:bottom w:val="single" w:sz="8" w:space="0" w:color="auto"/>
            </w:tcBorders>
          </w:tcPr>
          <w:p>
            <w:pPr>
              <w:pStyle w:val="MDPI42tablebody"/>
              <w:keepNext/>
              <w:spacing w:line="240" w:lineRule="auto" w:before="30" w:after="30"/>
              <w:jc w:val="center"/>
            </w:pPr>
            <w:r>
              <w:rPr>
                <w:b/>
                <w:i w:val="0"/>
                <w:sz w:val="18"/>
              </w:rPr>
              <w:t>(4)</w:t>
            </w:r>
          </w:p>
        </w:tc>
        <w:tc>
          <w:tcPr>
            <w:tcW w:type="dxa" w:w="1194"/>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1885"/>
          </w:tcPr>
          <w:p>
            <w:pPr>
              <w:pStyle w:val="MDPI42tablebody"/>
              <w:keepNext/>
              <w:spacing w:line="240" w:lineRule="auto" w:before="30" w:after="30"/>
              <w:jc w:val="left"/>
            </w:pPr>
            <w:r>
              <w:rPr>
                <w:b w:val="0"/>
                <w:i/>
                <w:sz w:val="18"/>
              </w:rPr>
              <w:t>Shock</w:t>
            </w:r>
          </w:p>
        </w:tc>
        <w:tc>
          <w:tcPr>
            <w:tcW w:type="dxa" w:w="1194"/>
          </w:tcPr>
          <w:p>
            <w:pPr>
              <w:pStyle w:val="MDPI42tablebody"/>
              <w:keepNext/>
              <w:spacing w:line="240" w:lineRule="auto" w:before="30" w:after="30"/>
              <w:jc w:val="center"/>
            </w:pPr>
            <w:r>
              <w:rPr>
                <w:b w:val="0"/>
                <w:i w:val="0"/>
                <w:sz w:val="18"/>
              </w:rPr>
              <w:t>−0.906***</w:t>
            </w:r>
          </w:p>
        </w:tc>
        <w:tc>
          <w:tcPr>
            <w:tcW w:type="dxa" w:w="1194"/>
          </w:tcPr>
          <w:p>
            <w:pPr>
              <w:pStyle w:val="MDPI42tablebody"/>
              <w:keepNext/>
              <w:spacing w:line="240" w:lineRule="auto" w:before="30" w:after="30"/>
              <w:jc w:val="center"/>
            </w:pPr>
            <w:r>
              <w:rPr>
                <w:b w:val="0"/>
                <w:i w:val="0"/>
                <w:sz w:val="18"/>
              </w:rPr>
              <w:t>−1.013***</w:t>
            </w:r>
          </w:p>
        </w:tc>
        <w:tc>
          <w:tcPr>
            <w:tcW w:type="dxa" w:w="1194"/>
          </w:tcPr>
          <w:p>
            <w:pPr>
              <w:pStyle w:val="MDPI42tablebody"/>
              <w:keepNext/>
              <w:spacing w:line="240" w:lineRule="auto" w:before="30" w:after="30"/>
              <w:jc w:val="center"/>
            </w:pPr>
            <w:r>
              <w:rPr>
                <w:b w:val="0"/>
                <w:i w:val="0"/>
                <w:sz w:val="18"/>
              </w:rPr>
              <w:t>−4.094***</w:t>
            </w: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r>
              <w:rPr>
                <w:b w:val="0"/>
                <w:i w:val="0"/>
                <w:sz w:val="18"/>
              </w:rPr>
              <w:t>−4.089***</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(0.093)</w:t>
            </w:r>
          </w:p>
        </w:tc>
        <w:tc>
          <w:tcPr>
            <w:tcW w:type="dxa" w:w="1194"/>
          </w:tcPr>
          <w:p>
            <w:pPr>
              <w:pStyle w:val="MDPI42tablebody"/>
              <w:keepNext/>
              <w:spacing w:line="240" w:lineRule="auto" w:before="30" w:after="30"/>
              <w:jc w:val="center"/>
            </w:pPr>
            <w:r>
              <w:rPr>
                <w:b w:val="0"/>
                <w:i w:val="0"/>
                <w:sz w:val="18"/>
              </w:rPr>
              <w:t>(0.093)</w:t>
            </w:r>
          </w:p>
        </w:tc>
        <w:tc>
          <w:tcPr>
            <w:tcW w:type="dxa" w:w="1194"/>
          </w:tcPr>
          <w:p>
            <w:pPr>
              <w:pStyle w:val="MDPI42tablebody"/>
              <w:keepNext/>
              <w:spacing w:line="240" w:lineRule="auto" w:before="30" w:after="30"/>
              <w:jc w:val="center"/>
            </w:pPr>
            <w:r>
              <w:rPr>
                <w:b w:val="0"/>
                <w:i w:val="0"/>
                <w:sz w:val="18"/>
              </w:rPr>
              <w:t>(0.141)</w:t>
            </w: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r>
              <w:rPr>
                <w:b w:val="0"/>
                <w:i w:val="0"/>
                <w:sz w:val="18"/>
              </w:rPr>
              <w:t>(0.142)</w:t>
            </w:r>
          </w:p>
        </w:tc>
      </w:tr>
      <w:tr>
        <w:trPr>
          <w:cantSplit/>
        </w:trPr>
        <w:tc>
          <w:tcPr>
            <w:tcW w:type="dxa" w:w="1885"/>
          </w:tcPr>
          <w:p>
            <w:pPr>
              <w:pStyle w:val="MDPI42tablebody"/>
              <w:keepNext/>
              <w:spacing w:line="240" w:lineRule="auto" w:before="30" w:after="30"/>
              <w:jc w:val="left"/>
            </w:pPr>
            <w:r>
              <w:rPr>
                <w:b w:val="0"/>
                <w:i/>
                <w:sz w:val="18"/>
              </w:rPr>
              <w:t>Variety</w:t>
            </w: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r>
              <w:rPr>
                <w:b w:val="0"/>
                <w:i w:val="0"/>
                <w:sz w:val="18"/>
              </w:rPr>
              <w:t>2.097***</w:t>
            </w:r>
          </w:p>
        </w:tc>
        <w:tc>
          <w:tcPr>
            <w:tcW w:type="dxa" w:w="1194"/>
          </w:tcPr>
          <w:p>
            <w:pPr>
              <w:pStyle w:val="MDPI42tablebody"/>
              <w:keepNext/>
              <w:spacing w:line="240" w:lineRule="auto" w:before="30" w:after="30"/>
              <w:jc w:val="center"/>
            </w:pPr>
            <w:r>
              <w:rPr>
                <w:b w:val="0"/>
                <w:i w:val="0"/>
                <w:sz w:val="18"/>
              </w:rPr>
              <w:t>2.013***</w:t>
            </w:r>
          </w:p>
        </w:tc>
        <w:tc>
          <w:tcPr>
            <w:tcW w:type="dxa" w:w="1194"/>
          </w:tcPr>
          <w:p>
            <w:pPr>
              <w:pStyle w:val="MDPI42tablebody"/>
              <w:keepNext/>
              <w:spacing w:line="240" w:lineRule="auto" w:before="30" w:after="30"/>
              <w:jc w:val="center"/>
            </w:pPr>
            <w:r>
              <w:rPr>
                <w:b w:val="0"/>
                <w:i w:val="0"/>
                <w:sz w:val="18"/>
              </w:rPr>
              <w:t>1.964***</w:t>
            </w:r>
          </w:p>
        </w:tc>
        <w:tc>
          <w:tcPr>
            <w:tcW w:type="dxa" w:w="1194"/>
          </w:tcPr>
          <w:p>
            <w:pPr>
              <w:pStyle w:val="MDPI42tablebody"/>
              <w:keepNext/>
              <w:spacing w:line="240" w:lineRule="auto" w:before="30" w:after="30"/>
              <w:jc w:val="center"/>
            </w:pPr>
            <w:r>
              <w:rPr>
                <w:b w:val="0"/>
                <w:i w:val="0"/>
                <w:sz w:val="18"/>
              </w:rPr>
              <w:t>1.990***</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r>
              <w:rPr>
                <w:b w:val="0"/>
                <w:i w:val="0"/>
                <w:sz w:val="18"/>
              </w:rPr>
              <w:t>(0.091)</w:t>
            </w:r>
          </w:p>
        </w:tc>
        <w:tc>
          <w:tcPr>
            <w:tcW w:type="dxa" w:w="1194"/>
          </w:tcPr>
          <w:p>
            <w:pPr>
              <w:pStyle w:val="MDPI42tablebody"/>
              <w:keepNext/>
              <w:spacing w:line="240" w:lineRule="auto" w:before="30" w:after="30"/>
              <w:jc w:val="center"/>
            </w:pPr>
            <w:r>
              <w:rPr>
                <w:b w:val="0"/>
                <w:i w:val="0"/>
                <w:sz w:val="18"/>
              </w:rPr>
              <w:t>(0.090)</w:t>
            </w:r>
          </w:p>
        </w:tc>
        <w:tc>
          <w:tcPr>
            <w:tcW w:type="dxa" w:w="1194"/>
          </w:tcPr>
          <w:p>
            <w:pPr>
              <w:pStyle w:val="MDPI42tablebody"/>
              <w:keepNext/>
              <w:spacing w:line="240" w:lineRule="auto" w:before="30" w:after="30"/>
              <w:jc w:val="center"/>
            </w:pPr>
            <w:r>
              <w:rPr>
                <w:b w:val="0"/>
                <w:i w:val="0"/>
                <w:sz w:val="18"/>
              </w:rPr>
              <w:t>(0.100)</w:t>
            </w:r>
          </w:p>
        </w:tc>
        <w:tc>
          <w:tcPr>
            <w:tcW w:type="dxa" w:w="1194"/>
          </w:tcPr>
          <w:p>
            <w:pPr>
              <w:pStyle w:val="MDPI42tablebody"/>
              <w:keepNext/>
              <w:spacing w:line="240" w:lineRule="auto" w:before="30" w:after="30"/>
              <w:jc w:val="center"/>
            </w:pPr>
            <w:r>
              <w:rPr>
                <w:b w:val="0"/>
                <w:i w:val="0"/>
                <w:sz w:val="18"/>
              </w:rPr>
              <w:t>(0.095)</w:t>
            </w:r>
          </w:p>
        </w:tc>
      </w:tr>
      <w:tr>
        <w:trPr>
          <w:cantSplit/>
        </w:trPr>
        <w:tc>
          <w:tcPr>
            <w:tcW w:type="dxa" w:w="1885"/>
          </w:tcPr>
          <w:p>
            <w:pPr>
              <w:pStyle w:val="MDPI42tablebody"/>
              <w:keepNext/>
              <w:spacing w:line="240" w:lineRule="auto" w:before="30" w:after="30"/>
              <w:jc w:val="left"/>
            </w:pPr>
            <w:r>
              <w:rPr>
                <w:b w:val="0"/>
                <w:i/>
                <w:sz w:val="18"/>
              </w:rPr>
              <w:t>Shock x Variety</w:t>
            </w: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r>
              <w:rPr>
                <w:b w:val="0"/>
                <w:i w:val="0"/>
                <w:sz w:val="18"/>
              </w:rPr>
              <w:t>1.257***</w:t>
            </w:r>
          </w:p>
        </w:tc>
        <w:tc>
          <w:tcPr>
            <w:tcW w:type="dxa" w:w="1194"/>
          </w:tcPr>
          <w:p>
            <w:pPr>
              <w:pStyle w:val="MDPI42tablebody"/>
              <w:keepNext/>
              <w:spacing w:line="240" w:lineRule="auto" w:before="30" w:after="30"/>
              <w:jc w:val="center"/>
            </w:pPr>
            <w:r>
              <w:rPr>
                <w:b w:val="0"/>
                <w:i w:val="0"/>
                <w:sz w:val="18"/>
              </w:rPr>
              <w:t>1.244***</w:t>
            </w:r>
          </w:p>
        </w:tc>
        <w:tc>
          <w:tcPr>
            <w:tcW w:type="dxa" w:w="1194"/>
          </w:tcPr>
          <w:p>
            <w:pPr>
              <w:pStyle w:val="MDPI42tablebody"/>
              <w:keepNext/>
              <w:spacing w:line="240" w:lineRule="auto" w:before="30" w:after="30"/>
              <w:jc w:val="center"/>
            </w:pPr>
            <w:r>
              <w:rPr>
                <w:b w:val="0"/>
                <w:i w:val="0"/>
                <w:sz w:val="18"/>
              </w:rPr>
              <w:t>1.257***</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p>
        </w:tc>
        <w:tc>
          <w:tcPr>
            <w:tcW w:type="dxa" w:w="1194"/>
          </w:tcPr>
          <w:p>
            <w:pPr>
              <w:pStyle w:val="MDPI42tablebody"/>
              <w:keepNext/>
              <w:spacing w:line="240" w:lineRule="auto" w:before="30" w:after="30"/>
              <w:jc w:val="center"/>
            </w:pPr>
            <w:r>
              <w:rPr>
                <w:b w:val="0"/>
                <w:i w:val="0"/>
                <w:sz w:val="18"/>
              </w:rPr>
              <w:t>(0.044)</w:t>
            </w:r>
          </w:p>
        </w:tc>
        <w:tc>
          <w:tcPr>
            <w:tcW w:type="dxa" w:w="1194"/>
          </w:tcPr>
          <w:p>
            <w:pPr>
              <w:pStyle w:val="MDPI42tablebody"/>
              <w:keepNext/>
              <w:spacing w:line="240" w:lineRule="auto" w:before="30" w:after="30"/>
              <w:jc w:val="center"/>
            </w:pPr>
            <w:r>
              <w:rPr>
                <w:b w:val="0"/>
                <w:i w:val="0"/>
                <w:sz w:val="18"/>
              </w:rPr>
              <w:t>(0.051)</w:t>
            </w:r>
          </w:p>
        </w:tc>
        <w:tc>
          <w:tcPr>
            <w:tcW w:type="dxa" w:w="1194"/>
          </w:tcPr>
          <w:p>
            <w:pPr>
              <w:pStyle w:val="MDPI42tablebody"/>
              <w:keepNext/>
              <w:spacing w:line="240" w:lineRule="auto" w:before="30" w:after="30"/>
              <w:jc w:val="center"/>
            </w:pPr>
            <w:r>
              <w:rPr>
                <w:b w:val="0"/>
                <w:i w:val="0"/>
                <w:sz w:val="18"/>
              </w:rPr>
              <w:t>(0.045)</w:t>
            </w:r>
          </w:p>
        </w:tc>
      </w:tr>
      <w:tr>
        <w:trPr>
          <w:cantSplit/>
        </w:trPr>
        <w:tc>
          <w:tcPr>
            <w:tcW w:type="dxa" w:w="1885"/>
          </w:tcPr>
          <w:p>
            <w:pPr>
              <w:pStyle w:val="MDPI42tablebody"/>
              <w:keepNext/>
              <w:spacing w:line="240" w:lineRule="auto" w:before="30" w:after="30"/>
              <w:jc w:val="left"/>
            </w:pPr>
            <w:r>
              <w:rPr>
                <w:b w:val="0"/>
                <w:i/>
                <w:sz w:val="18"/>
              </w:rPr>
              <w:t>Size</w:t>
            </w:r>
          </w:p>
        </w:tc>
        <w:tc>
          <w:tcPr>
            <w:tcW w:type="dxa" w:w="1194"/>
          </w:tcPr>
          <w:p>
            <w:pPr>
              <w:pStyle w:val="MDPI42tablebody"/>
              <w:keepNext/>
              <w:spacing w:line="240" w:lineRule="auto" w:before="30" w:after="30"/>
              <w:jc w:val="center"/>
            </w:pPr>
            <w:r>
              <w:rPr>
                <w:b w:val="0"/>
                <w:i w:val="0"/>
                <w:sz w:val="18"/>
              </w:rPr>
              <w:t>2.714***</w:t>
            </w:r>
          </w:p>
        </w:tc>
        <w:tc>
          <w:tcPr>
            <w:tcW w:type="dxa" w:w="1194"/>
          </w:tcPr>
          <w:p>
            <w:pPr>
              <w:pStyle w:val="MDPI42tablebody"/>
              <w:keepNext/>
              <w:spacing w:line="240" w:lineRule="auto" w:before="30" w:after="30"/>
              <w:jc w:val="center"/>
            </w:pPr>
            <w:r>
              <w:rPr>
                <w:b w:val="0"/>
                <w:i w:val="0"/>
                <w:sz w:val="18"/>
              </w:rPr>
              <w:t>2.620***</w:t>
            </w:r>
          </w:p>
        </w:tc>
        <w:tc>
          <w:tcPr>
            <w:tcW w:type="dxa" w:w="1194"/>
          </w:tcPr>
          <w:p>
            <w:pPr>
              <w:pStyle w:val="MDPI42tablebody"/>
              <w:keepNext/>
              <w:spacing w:line="240" w:lineRule="auto" w:before="30" w:after="30"/>
              <w:jc w:val="center"/>
            </w:pPr>
            <w:r>
              <w:rPr>
                <w:b w:val="0"/>
                <w:i w:val="0"/>
                <w:sz w:val="18"/>
              </w:rPr>
              <w:t>2.708***</w:t>
            </w:r>
          </w:p>
        </w:tc>
        <w:tc>
          <w:tcPr>
            <w:tcW w:type="dxa" w:w="1194"/>
          </w:tcPr>
          <w:p>
            <w:pPr>
              <w:pStyle w:val="MDPI42tablebody"/>
              <w:keepNext/>
              <w:spacing w:line="240" w:lineRule="auto" w:before="30" w:after="30"/>
              <w:jc w:val="center"/>
            </w:pPr>
            <w:r>
              <w:rPr>
                <w:b w:val="0"/>
                <w:i w:val="0"/>
                <w:sz w:val="18"/>
              </w:rPr>
              <w:t>2.707***</w:t>
            </w:r>
          </w:p>
        </w:tc>
        <w:tc>
          <w:tcPr>
            <w:tcW w:type="dxa" w:w="1194"/>
          </w:tcPr>
          <w:p>
            <w:pPr>
              <w:pStyle w:val="MDPI42tablebody"/>
              <w:keepNext/>
              <w:spacing w:line="240" w:lineRule="auto" w:before="30" w:after="30"/>
              <w:jc w:val="center"/>
            </w:pPr>
            <w:r>
              <w:rPr>
                <w:b w:val="0"/>
                <w:i w:val="0"/>
                <w:sz w:val="18"/>
              </w:rPr>
              <w:t>2.706***</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(0.413)</w:t>
            </w:r>
          </w:p>
        </w:tc>
        <w:tc>
          <w:tcPr>
            <w:tcW w:type="dxa" w:w="1194"/>
          </w:tcPr>
          <w:p>
            <w:pPr>
              <w:pStyle w:val="MDPI42tablebody"/>
              <w:keepNext/>
              <w:spacing w:line="240" w:lineRule="auto" w:before="30" w:after="30"/>
              <w:jc w:val="center"/>
            </w:pPr>
            <w:r>
              <w:rPr>
                <w:b w:val="0"/>
                <w:i w:val="0"/>
                <w:sz w:val="18"/>
              </w:rPr>
              <w:t>(0.409)</w:t>
            </w:r>
          </w:p>
        </w:tc>
        <w:tc>
          <w:tcPr>
            <w:tcW w:type="dxa" w:w="1194"/>
          </w:tcPr>
          <w:p>
            <w:pPr>
              <w:pStyle w:val="MDPI42tablebody"/>
              <w:keepNext/>
              <w:spacing w:line="240" w:lineRule="auto" w:before="30" w:after="30"/>
              <w:jc w:val="center"/>
            </w:pPr>
            <w:r>
              <w:rPr>
                <w:b w:val="0"/>
                <w:i w:val="0"/>
                <w:sz w:val="18"/>
              </w:rPr>
              <w:t>(0.401)</w:t>
            </w:r>
          </w:p>
        </w:tc>
        <w:tc>
          <w:tcPr>
            <w:tcW w:type="dxa" w:w="1194"/>
          </w:tcPr>
          <w:p>
            <w:pPr>
              <w:pStyle w:val="MDPI42tablebody"/>
              <w:keepNext/>
              <w:spacing w:line="240" w:lineRule="auto" w:before="30" w:after="30"/>
              <w:jc w:val="center"/>
            </w:pPr>
            <w:r>
              <w:rPr>
                <w:b w:val="0"/>
                <w:i w:val="0"/>
                <w:sz w:val="18"/>
              </w:rPr>
              <w:t>(0.402)</w:t>
            </w:r>
          </w:p>
        </w:tc>
        <w:tc>
          <w:tcPr>
            <w:tcW w:type="dxa" w:w="1194"/>
          </w:tcPr>
          <w:p>
            <w:pPr>
              <w:pStyle w:val="MDPI42tablebody"/>
              <w:keepNext/>
              <w:spacing w:line="240" w:lineRule="auto" w:before="30" w:after="30"/>
              <w:jc w:val="center"/>
            </w:pPr>
            <w:r>
              <w:rPr>
                <w:b w:val="0"/>
                <w:i w:val="0"/>
                <w:sz w:val="18"/>
              </w:rPr>
              <w:t>(0.401)</w:t>
            </w:r>
          </w:p>
        </w:tc>
      </w:tr>
      <w:tr>
        <w:trPr>
          <w:cantSplit/>
        </w:trPr>
        <w:tc>
          <w:tcPr>
            <w:tcW w:type="dxa" w:w="1885"/>
          </w:tcPr>
          <w:p>
            <w:pPr>
              <w:pStyle w:val="MDPI42tablebody"/>
              <w:keepNext/>
              <w:spacing w:line="240" w:lineRule="auto" w:before="30" w:after="30"/>
              <w:jc w:val="left"/>
            </w:pPr>
            <w:r>
              <w:rPr>
                <w:b w:val="0"/>
                <w:i/>
                <w:sz w:val="18"/>
              </w:rPr>
              <w:t>Lev</w:t>
            </w:r>
          </w:p>
        </w:tc>
        <w:tc>
          <w:tcPr>
            <w:tcW w:type="dxa" w:w="1194"/>
          </w:tcPr>
          <w:p>
            <w:pPr>
              <w:pStyle w:val="MDPI42tablebody"/>
              <w:keepNext/>
              <w:spacing w:line="240" w:lineRule="auto" w:before="30" w:after="30"/>
              <w:jc w:val="center"/>
            </w:pPr>
            <w:r>
              <w:rPr>
                <w:b w:val="0"/>
                <w:i w:val="0"/>
                <w:sz w:val="18"/>
              </w:rPr>
              <w:t>−1.801*</w:t>
            </w:r>
          </w:p>
        </w:tc>
        <w:tc>
          <w:tcPr>
            <w:tcW w:type="dxa" w:w="1194"/>
          </w:tcPr>
          <w:p>
            <w:pPr>
              <w:pStyle w:val="MDPI42tablebody"/>
              <w:keepNext/>
              <w:spacing w:line="240" w:lineRule="auto" w:before="30" w:after="30"/>
              <w:jc w:val="center"/>
            </w:pPr>
            <w:r>
              <w:rPr>
                <w:b w:val="0"/>
                <w:i w:val="0"/>
                <w:sz w:val="18"/>
              </w:rPr>
              <w:t>−1.748*</w:t>
            </w:r>
          </w:p>
        </w:tc>
        <w:tc>
          <w:tcPr>
            <w:tcW w:type="dxa" w:w="1194"/>
          </w:tcPr>
          <w:p>
            <w:pPr>
              <w:pStyle w:val="MDPI42tablebody"/>
              <w:keepNext/>
              <w:spacing w:line="240" w:lineRule="auto" w:before="30" w:after="30"/>
              <w:jc w:val="center"/>
            </w:pPr>
            <w:r>
              <w:rPr>
                <w:b w:val="0"/>
                <w:i w:val="0"/>
                <w:sz w:val="18"/>
              </w:rPr>
              <w:t>−1.502*</w:t>
            </w:r>
          </w:p>
        </w:tc>
        <w:tc>
          <w:tcPr>
            <w:tcW w:type="dxa" w:w="1194"/>
          </w:tcPr>
          <w:p>
            <w:pPr>
              <w:pStyle w:val="MDPI42tablebody"/>
              <w:keepNext/>
              <w:spacing w:line="240" w:lineRule="auto" w:before="30" w:after="30"/>
              <w:jc w:val="center"/>
            </w:pPr>
            <w:r>
              <w:rPr>
                <w:b w:val="0"/>
                <w:i w:val="0"/>
                <w:sz w:val="18"/>
              </w:rPr>
              <w:t>−1.628*</w:t>
            </w:r>
          </w:p>
        </w:tc>
        <w:tc>
          <w:tcPr>
            <w:tcW w:type="dxa" w:w="1194"/>
          </w:tcPr>
          <w:p>
            <w:pPr>
              <w:pStyle w:val="MDPI42tablebody"/>
              <w:keepNext/>
              <w:spacing w:line="240" w:lineRule="auto" w:before="30" w:after="30"/>
              <w:jc w:val="center"/>
            </w:pPr>
            <w:r>
              <w:rPr>
                <w:b w:val="0"/>
                <w:i w:val="0"/>
                <w:sz w:val="18"/>
              </w:rPr>
              <w:t>−1.520*</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(0.919)</w:t>
            </w:r>
          </w:p>
        </w:tc>
        <w:tc>
          <w:tcPr>
            <w:tcW w:type="dxa" w:w="1194"/>
          </w:tcPr>
          <w:p>
            <w:pPr>
              <w:pStyle w:val="MDPI42tablebody"/>
              <w:keepNext/>
              <w:spacing w:line="240" w:lineRule="auto" w:before="30" w:after="30"/>
              <w:jc w:val="center"/>
            </w:pPr>
            <w:r>
              <w:rPr>
                <w:b w:val="0"/>
                <w:i w:val="0"/>
                <w:sz w:val="18"/>
              </w:rPr>
              <w:t>(0.910)</w:t>
            </w:r>
          </w:p>
        </w:tc>
        <w:tc>
          <w:tcPr>
            <w:tcW w:type="dxa" w:w="1194"/>
          </w:tcPr>
          <w:p>
            <w:pPr>
              <w:pStyle w:val="MDPI42tablebody"/>
              <w:keepNext/>
              <w:spacing w:line="240" w:lineRule="auto" w:before="30" w:after="30"/>
              <w:jc w:val="center"/>
            </w:pPr>
            <w:r>
              <w:rPr>
                <w:b w:val="0"/>
                <w:i w:val="0"/>
                <w:sz w:val="18"/>
              </w:rPr>
              <w:t>(0.902)</w:t>
            </w:r>
          </w:p>
        </w:tc>
        <w:tc>
          <w:tcPr>
            <w:tcW w:type="dxa" w:w="1194"/>
          </w:tcPr>
          <w:p>
            <w:pPr>
              <w:pStyle w:val="MDPI42tablebody"/>
              <w:keepNext/>
              <w:spacing w:line="240" w:lineRule="auto" w:before="30" w:after="30"/>
              <w:jc w:val="center"/>
            </w:pPr>
            <w:r>
              <w:rPr>
                <w:b w:val="0"/>
                <w:i w:val="0"/>
                <w:sz w:val="18"/>
              </w:rPr>
              <w:t>(0.906)</w:t>
            </w:r>
          </w:p>
        </w:tc>
        <w:tc>
          <w:tcPr>
            <w:tcW w:type="dxa" w:w="1194"/>
          </w:tcPr>
          <w:p>
            <w:pPr>
              <w:pStyle w:val="MDPI42tablebody"/>
              <w:keepNext/>
              <w:spacing w:line="240" w:lineRule="auto" w:before="30" w:after="30"/>
              <w:jc w:val="center"/>
            </w:pPr>
            <w:r>
              <w:rPr>
                <w:b w:val="0"/>
                <w:i w:val="0"/>
                <w:sz w:val="18"/>
              </w:rPr>
              <w:t>(0.909)</w:t>
            </w:r>
          </w:p>
        </w:tc>
      </w:tr>
      <w:tr>
        <w:trPr>
          <w:cantSplit/>
        </w:trPr>
        <w:tc>
          <w:tcPr>
            <w:tcW w:type="dxa" w:w="1885"/>
          </w:tcPr>
          <w:p>
            <w:pPr>
              <w:pStyle w:val="MDPI42tablebody"/>
              <w:keepNext/>
              <w:spacing w:line="240" w:lineRule="auto" w:before="30" w:after="30"/>
              <w:jc w:val="left"/>
            </w:pPr>
            <w:r>
              <w:rPr>
                <w:b w:val="0"/>
                <w:i/>
                <w:sz w:val="18"/>
              </w:rPr>
              <w:t>ROA</w:t>
            </w:r>
          </w:p>
        </w:tc>
        <w:tc>
          <w:tcPr>
            <w:tcW w:type="dxa" w:w="1194"/>
          </w:tcPr>
          <w:p>
            <w:pPr>
              <w:pStyle w:val="MDPI42tablebody"/>
              <w:keepNext/>
              <w:spacing w:line="240" w:lineRule="auto" w:before="30" w:after="30"/>
              <w:jc w:val="center"/>
            </w:pPr>
            <w:r>
              <w:rPr>
                <w:b w:val="0"/>
                <w:i w:val="0"/>
                <w:sz w:val="18"/>
              </w:rPr>
              <w:t>12.821***</w:t>
            </w:r>
          </w:p>
        </w:tc>
        <w:tc>
          <w:tcPr>
            <w:tcW w:type="dxa" w:w="1194"/>
          </w:tcPr>
          <w:p>
            <w:pPr>
              <w:pStyle w:val="MDPI42tablebody"/>
              <w:keepNext/>
              <w:spacing w:line="240" w:lineRule="auto" w:before="30" w:after="30"/>
              <w:jc w:val="center"/>
            </w:pPr>
            <w:r>
              <w:rPr>
                <w:b w:val="0"/>
                <w:i w:val="0"/>
                <w:sz w:val="18"/>
              </w:rPr>
              <w:t>12.743***</w:t>
            </w:r>
          </w:p>
        </w:tc>
        <w:tc>
          <w:tcPr>
            <w:tcW w:type="dxa" w:w="1194"/>
          </w:tcPr>
          <w:p>
            <w:pPr>
              <w:pStyle w:val="MDPI42tablebody"/>
              <w:keepNext/>
              <w:spacing w:line="240" w:lineRule="auto" w:before="30" w:after="30"/>
              <w:jc w:val="center"/>
            </w:pPr>
            <w:r>
              <w:rPr>
                <w:b w:val="0"/>
                <w:i w:val="0"/>
                <w:sz w:val="18"/>
              </w:rPr>
              <w:t>12.944***</w:t>
            </w:r>
          </w:p>
        </w:tc>
        <w:tc>
          <w:tcPr>
            <w:tcW w:type="dxa" w:w="1194"/>
          </w:tcPr>
          <w:p>
            <w:pPr>
              <w:pStyle w:val="MDPI42tablebody"/>
              <w:keepNext/>
              <w:spacing w:line="240" w:lineRule="auto" w:before="30" w:after="30"/>
              <w:jc w:val="center"/>
            </w:pPr>
            <w:r>
              <w:rPr>
                <w:b w:val="0"/>
                <w:i w:val="0"/>
                <w:sz w:val="18"/>
              </w:rPr>
              <w:t>12.884***</w:t>
            </w:r>
          </w:p>
        </w:tc>
        <w:tc>
          <w:tcPr>
            <w:tcW w:type="dxa" w:w="1194"/>
          </w:tcPr>
          <w:p>
            <w:pPr>
              <w:pStyle w:val="MDPI42tablebody"/>
              <w:keepNext/>
              <w:spacing w:line="240" w:lineRule="auto" w:before="30" w:after="30"/>
              <w:jc w:val="center"/>
            </w:pPr>
            <w:r>
              <w:rPr>
                <w:b w:val="0"/>
                <w:i w:val="0"/>
                <w:sz w:val="18"/>
              </w:rPr>
              <w:t>12.670***</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(1.539)</w:t>
            </w:r>
          </w:p>
        </w:tc>
        <w:tc>
          <w:tcPr>
            <w:tcW w:type="dxa" w:w="1194"/>
          </w:tcPr>
          <w:p>
            <w:pPr>
              <w:pStyle w:val="MDPI42tablebody"/>
              <w:keepNext/>
              <w:spacing w:line="240" w:lineRule="auto" w:before="30" w:after="30"/>
              <w:jc w:val="center"/>
            </w:pPr>
            <w:r>
              <w:rPr>
                <w:b w:val="0"/>
                <w:i w:val="0"/>
                <w:sz w:val="18"/>
              </w:rPr>
              <w:t>(1.526)</w:t>
            </w:r>
          </w:p>
        </w:tc>
        <w:tc>
          <w:tcPr>
            <w:tcW w:type="dxa" w:w="1194"/>
          </w:tcPr>
          <w:p>
            <w:pPr>
              <w:pStyle w:val="MDPI42tablebody"/>
              <w:keepNext/>
              <w:spacing w:line="240" w:lineRule="auto" w:before="30" w:after="30"/>
              <w:jc w:val="center"/>
            </w:pPr>
            <w:r>
              <w:rPr>
                <w:b w:val="0"/>
                <w:i w:val="0"/>
                <w:sz w:val="18"/>
              </w:rPr>
              <w:t>(1.503)</w:t>
            </w:r>
          </w:p>
        </w:tc>
        <w:tc>
          <w:tcPr>
            <w:tcW w:type="dxa" w:w="1194"/>
          </w:tcPr>
          <w:p>
            <w:pPr>
              <w:pStyle w:val="MDPI42tablebody"/>
              <w:keepNext/>
              <w:spacing w:line="240" w:lineRule="auto" w:before="30" w:after="30"/>
              <w:jc w:val="center"/>
            </w:pPr>
            <w:r>
              <w:rPr>
                <w:b w:val="0"/>
                <w:i w:val="0"/>
                <w:sz w:val="18"/>
              </w:rPr>
              <w:t>(1.507)</w:t>
            </w:r>
          </w:p>
        </w:tc>
        <w:tc>
          <w:tcPr>
            <w:tcW w:type="dxa" w:w="1194"/>
          </w:tcPr>
          <w:p>
            <w:pPr>
              <w:pStyle w:val="MDPI42tablebody"/>
              <w:keepNext/>
              <w:spacing w:line="240" w:lineRule="auto" w:before="30" w:after="30"/>
              <w:jc w:val="center"/>
            </w:pPr>
            <w:r>
              <w:rPr>
                <w:b w:val="0"/>
                <w:i w:val="0"/>
                <w:sz w:val="18"/>
              </w:rPr>
              <w:t>(1.515)</w:t>
            </w:r>
          </w:p>
        </w:tc>
      </w:tr>
      <w:tr>
        <w:trPr>
          <w:cantSplit/>
        </w:trPr>
        <w:tc>
          <w:tcPr>
            <w:tcW w:type="dxa" w:w="1885"/>
          </w:tcPr>
          <w:p>
            <w:pPr>
              <w:pStyle w:val="MDPI42tablebody"/>
              <w:keepNext/>
              <w:spacing w:line="240" w:lineRule="auto" w:before="30" w:after="30"/>
              <w:jc w:val="left"/>
            </w:pPr>
            <w:r>
              <w:rPr>
                <w:b w:val="0"/>
                <w:i/>
                <w:sz w:val="18"/>
              </w:rPr>
              <w:t>Cashflow</w:t>
            </w:r>
          </w:p>
        </w:tc>
        <w:tc>
          <w:tcPr>
            <w:tcW w:type="dxa" w:w="1194"/>
          </w:tcPr>
          <w:p>
            <w:pPr>
              <w:pStyle w:val="MDPI42tablebody"/>
              <w:keepNext/>
              <w:spacing w:line="240" w:lineRule="auto" w:before="30" w:after="30"/>
              <w:jc w:val="center"/>
            </w:pPr>
            <w:r>
              <w:rPr>
                <w:b w:val="0"/>
                <w:i w:val="0"/>
                <w:sz w:val="18"/>
              </w:rPr>
              <w:t>0.867</w:t>
            </w:r>
          </w:p>
        </w:tc>
        <w:tc>
          <w:tcPr>
            <w:tcW w:type="dxa" w:w="1194"/>
          </w:tcPr>
          <w:p>
            <w:pPr>
              <w:pStyle w:val="MDPI42tablebody"/>
              <w:keepNext/>
              <w:spacing w:line="240" w:lineRule="auto" w:before="30" w:after="30"/>
              <w:jc w:val="center"/>
            </w:pPr>
            <w:r>
              <w:rPr>
                <w:b w:val="0"/>
                <w:i w:val="0"/>
                <w:sz w:val="18"/>
              </w:rPr>
              <w:t>0.865</w:t>
            </w:r>
          </w:p>
        </w:tc>
        <w:tc>
          <w:tcPr>
            <w:tcW w:type="dxa" w:w="1194"/>
          </w:tcPr>
          <w:p>
            <w:pPr>
              <w:pStyle w:val="MDPI42tablebody"/>
              <w:keepNext/>
              <w:spacing w:line="240" w:lineRule="auto" w:before="30" w:after="30"/>
              <w:jc w:val="center"/>
            </w:pPr>
            <w:r>
              <w:rPr>
                <w:b w:val="0"/>
                <w:i w:val="0"/>
                <w:sz w:val="18"/>
              </w:rPr>
              <w:t>0.702</w:t>
            </w:r>
          </w:p>
        </w:tc>
        <w:tc>
          <w:tcPr>
            <w:tcW w:type="dxa" w:w="1194"/>
          </w:tcPr>
          <w:p>
            <w:pPr>
              <w:pStyle w:val="MDPI42tablebody"/>
              <w:keepNext/>
              <w:spacing w:line="240" w:lineRule="auto" w:before="30" w:after="30"/>
              <w:jc w:val="center"/>
            </w:pPr>
            <w:r>
              <w:rPr>
                <w:b w:val="0"/>
                <w:i w:val="0"/>
                <w:sz w:val="18"/>
              </w:rPr>
              <w:t>0.653</w:t>
            </w:r>
          </w:p>
        </w:tc>
        <w:tc>
          <w:tcPr>
            <w:tcW w:type="dxa" w:w="1194"/>
          </w:tcPr>
          <w:p>
            <w:pPr>
              <w:pStyle w:val="MDPI42tablebody"/>
              <w:keepNext/>
              <w:spacing w:line="240" w:lineRule="auto" w:before="30" w:after="30"/>
              <w:jc w:val="center"/>
            </w:pPr>
            <w:r>
              <w:rPr>
                <w:b w:val="0"/>
                <w:i w:val="0"/>
                <w:sz w:val="18"/>
              </w:rPr>
              <w:t>0.686</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(0.703)</w:t>
            </w:r>
          </w:p>
        </w:tc>
        <w:tc>
          <w:tcPr>
            <w:tcW w:type="dxa" w:w="1194"/>
          </w:tcPr>
          <w:p>
            <w:pPr>
              <w:pStyle w:val="MDPI42tablebody"/>
              <w:keepNext/>
              <w:spacing w:line="240" w:lineRule="auto" w:before="30" w:after="30"/>
              <w:jc w:val="center"/>
            </w:pPr>
            <w:r>
              <w:rPr>
                <w:b w:val="0"/>
                <w:i w:val="0"/>
                <w:sz w:val="18"/>
              </w:rPr>
              <w:t>(0.695)</w:t>
            </w:r>
          </w:p>
        </w:tc>
        <w:tc>
          <w:tcPr>
            <w:tcW w:type="dxa" w:w="1194"/>
          </w:tcPr>
          <w:p>
            <w:pPr>
              <w:pStyle w:val="MDPI42tablebody"/>
              <w:keepNext/>
              <w:spacing w:line="240" w:lineRule="auto" w:before="30" w:after="30"/>
              <w:jc w:val="center"/>
            </w:pPr>
            <w:r>
              <w:rPr>
                <w:b w:val="0"/>
                <w:i w:val="0"/>
                <w:sz w:val="18"/>
              </w:rPr>
              <w:t>(0.688)</w:t>
            </w:r>
          </w:p>
        </w:tc>
        <w:tc>
          <w:tcPr>
            <w:tcW w:type="dxa" w:w="1194"/>
          </w:tcPr>
          <w:p>
            <w:pPr>
              <w:pStyle w:val="MDPI42tablebody"/>
              <w:keepNext/>
              <w:spacing w:line="240" w:lineRule="auto" w:before="30" w:after="30"/>
              <w:jc w:val="center"/>
            </w:pPr>
            <w:r>
              <w:rPr>
                <w:b w:val="0"/>
                <w:i w:val="0"/>
                <w:sz w:val="18"/>
              </w:rPr>
              <w:t>(0.690)</w:t>
            </w:r>
          </w:p>
        </w:tc>
        <w:tc>
          <w:tcPr>
            <w:tcW w:type="dxa" w:w="1194"/>
          </w:tcPr>
          <w:p>
            <w:pPr>
              <w:pStyle w:val="MDPI42tablebody"/>
              <w:keepNext/>
              <w:spacing w:line="240" w:lineRule="auto" w:before="30" w:after="30"/>
              <w:jc w:val="center"/>
            </w:pPr>
            <w:r>
              <w:rPr>
                <w:b w:val="0"/>
                <w:i w:val="0"/>
                <w:sz w:val="18"/>
              </w:rPr>
              <w:t>(0.693)</w:t>
            </w:r>
          </w:p>
        </w:tc>
      </w:tr>
      <w:tr>
        <w:trPr>
          <w:cantSplit/>
        </w:trPr>
        <w:tc>
          <w:tcPr>
            <w:tcW w:type="dxa" w:w="1885"/>
          </w:tcPr>
          <w:p>
            <w:pPr>
              <w:pStyle w:val="MDPI42tablebody"/>
              <w:keepNext/>
              <w:spacing w:line="240" w:lineRule="auto" w:before="30" w:after="30"/>
              <w:jc w:val="left"/>
            </w:pPr>
            <w:r>
              <w:rPr>
                <w:b w:val="0"/>
                <w:i/>
                <w:sz w:val="18"/>
              </w:rPr>
              <w:t>TobinQ</w:t>
            </w:r>
          </w:p>
        </w:tc>
        <w:tc>
          <w:tcPr>
            <w:tcW w:type="dxa" w:w="1194"/>
          </w:tcPr>
          <w:p>
            <w:pPr>
              <w:pStyle w:val="MDPI42tablebody"/>
              <w:keepNext/>
              <w:spacing w:line="240" w:lineRule="auto" w:before="30" w:after="30"/>
              <w:jc w:val="center"/>
            </w:pPr>
            <w:r>
              <w:rPr>
                <w:b w:val="0"/>
                <w:i w:val="0"/>
                <w:sz w:val="18"/>
              </w:rPr>
              <w:t>0.555***</w:t>
            </w:r>
          </w:p>
        </w:tc>
        <w:tc>
          <w:tcPr>
            <w:tcW w:type="dxa" w:w="1194"/>
          </w:tcPr>
          <w:p>
            <w:pPr>
              <w:pStyle w:val="MDPI42tablebody"/>
              <w:keepNext/>
              <w:spacing w:line="240" w:lineRule="auto" w:before="30" w:after="30"/>
              <w:jc w:val="center"/>
            </w:pPr>
            <w:r>
              <w:rPr>
                <w:b w:val="0"/>
                <w:i w:val="0"/>
                <w:sz w:val="18"/>
              </w:rPr>
              <w:t>0.565***</w:t>
            </w:r>
          </w:p>
        </w:tc>
        <w:tc>
          <w:tcPr>
            <w:tcW w:type="dxa" w:w="1194"/>
          </w:tcPr>
          <w:p>
            <w:pPr>
              <w:pStyle w:val="MDPI42tablebody"/>
              <w:keepNext/>
              <w:spacing w:line="240" w:lineRule="auto" w:before="30" w:after="30"/>
              <w:jc w:val="center"/>
            </w:pPr>
            <w:r>
              <w:rPr>
                <w:b w:val="0"/>
                <w:i w:val="0"/>
                <w:sz w:val="18"/>
              </w:rPr>
              <w:t>0.572***</w:t>
            </w:r>
          </w:p>
        </w:tc>
        <w:tc>
          <w:tcPr>
            <w:tcW w:type="dxa" w:w="1194"/>
          </w:tcPr>
          <w:p>
            <w:pPr>
              <w:pStyle w:val="MDPI42tablebody"/>
              <w:keepNext/>
              <w:spacing w:line="240" w:lineRule="auto" w:before="30" w:after="30"/>
              <w:jc w:val="center"/>
            </w:pPr>
            <w:r>
              <w:rPr>
                <w:b w:val="0"/>
                <w:i w:val="0"/>
                <w:sz w:val="18"/>
              </w:rPr>
              <w:t>0.578***</w:t>
            </w:r>
          </w:p>
        </w:tc>
        <w:tc>
          <w:tcPr>
            <w:tcW w:type="dxa" w:w="1194"/>
          </w:tcPr>
          <w:p>
            <w:pPr>
              <w:pStyle w:val="MDPI42tablebody"/>
              <w:keepNext/>
              <w:spacing w:line="240" w:lineRule="auto" w:before="30" w:after="30"/>
              <w:jc w:val="center"/>
            </w:pPr>
            <w:r>
              <w:rPr>
                <w:b w:val="0"/>
                <w:i w:val="0"/>
                <w:sz w:val="18"/>
              </w:rPr>
              <w:t>0.577***</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(0.048)</w:t>
            </w:r>
          </w:p>
        </w:tc>
        <w:tc>
          <w:tcPr>
            <w:tcW w:type="dxa" w:w="1194"/>
          </w:tcPr>
          <w:p>
            <w:pPr>
              <w:pStyle w:val="MDPI42tablebody"/>
              <w:keepNext/>
              <w:spacing w:line="240" w:lineRule="auto" w:before="30" w:after="30"/>
              <w:jc w:val="center"/>
            </w:pPr>
            <w:r>
              <w:rPr>
                <w:b w:val="0"/>
                <w:i w:val="0"/>
                <w:sz w:val="18"/>
              </w:rPr>
              <w:t>(0.048)</w:t>
            </w:r>
          </w:p>
        </w:tc>
        <w:tc>
          <w:tcPr>
            <w:tcW w:type="dxa" w:w="1194"/>
          </w:tcPr>
          <w:p>
            <w:pPr>
              <w:pStyle w:val="MDPI42tablebody"/>
              <w:keepNext/>
              <w:spacing w:line="240" w:lineRule="auto" w:before="30" w:after="30"/>
              <w:jc w:val="center"/>
            </w:pPr>
            <w:r>
              <w:rPr>
                <w:b w:val="0"/>
                <w:i w:val="0"/>
                <w:sz w:val="18"/>
              </w:rPr>
              <w:t>(0.047)</w:t>
            </w:r>
          </w:p>
        </w:tc>
        <w:tc>
          <w:tcPr>
            <w:tcW w:type="dxa" w:w="1194"/>
          </w:tcPr>
          <w:p>
            <w:pPr>
              <w:pStyle w:val="MDPI42tablebody"/>
              <w:keepNext/>
              <w:spacing w:line="240" w:lineRule="auto" w:before="30" w:after="30"/>
              <w:jc w:val="center"/>
            </w:pPr>
            <w:r>
              <w:rPr>
                <w:b w:val="0"/>
                <w:i w:val="0"/>
                <w:sz w:val="18"/>
              </w:rPr>
              <w:t>(0.047)</w:t>
            </w:r>
          </w:p>
        </w:tc>
        <w:tc>
          <w:tcPr>
            <w:tcW w:type="dxa" w:w="1194"/>
          </w:tcPr>
          <w:p>
            <w:pPr>
              <w:pStyle w:val="MDPI42tablebody"/>
              <w:keepNext/>
              <w:spacing w:line="240" w:lineRule="auto" w:before="30" w:after="30"/>
              <w:jc w:val="center"/>
            </w:pPr>
            <w:r>
              <w:rPr>
                <w:b w:val="0"/>
                <w:i w:val="0"/>
                <w:sz w:val="18"/>
              </w:rPr>
              <w:t>(0.047)</w:t>
            </w:r>
          </w:p>
        </w:tc>
      </w:tr>
      <w:tr>
        <w:trPr>
          <w:cantSplit/>
        </w:trPr>
        <w:tc>
          <w:tcPr>
            <w:tcW w:type="dxa" w:w="1885"/>
          </w:tcPr>
          <w:p>
            <w:pPr>
              <w:pStyle w:val="MDPI42tablebody"/>
              <w:keepNext/>
              <w:spacing w:line="240" w:lineRule="auto" w:before="30" w:after="30"/>
              <w:jc w:val="left"/>
            </w:pPr>
            <w:r>
              <w:rPr>
                <w:b w:val="0"/>
                <w:i/>
                <w:sz w:val="18"/>
              </w:rPr>
              <w:t>Top1</w:t>
            </w:r>
          </w:p>
        </w:tc>
        <w:tc>
          <w:tcPr>
            <w:tcW w:type="dxa" w:w="1194"/>
          </w:tcPr>
          <w:p>
            <w:pPr>
              <w:pStyle w:val="MDPI42tablebody"/>
              <w:keepNext/>
              <w:spacing w:line="240" w:lineRule="auto" w:before="30" w:after="30"/>
              <w:jc w:val="center"/>
            </w:pPr>
            <w:r>
              <w:rPr>
                <w:b w:val="0"/>
                <w:i w:val="0"/>
                <w:sz w:val="18"/>
              </w:rPr>
              <w:t>−3.825*</w:t>
            </w:r>
          </w:p>
        </w:tc>
        <w:tc>
          <w:tcPr>
            <w:tcW w:type="dxa" w:w="1194"/>
          </w:tcPr>
          <w:p>
            <w:pPr>
              <w:pStyle w:val="MDPI42tablebody"/>
              <w:keepNext/>
              <w:spacing w:line="240" w:lineRule="auto" w:before="30" w:after="30"/>
              <w:jc w:val="center"/>
            </w:pPr>
            <w:r>
              <w:rPr>
                <w:b w:val="0"/>
                <w:i w:val="0"/>
                <w:sz w:val="18"/>
              </w:rPr>
              <w:t>−3.970*</w:t>
            </w:r>
          </w:p>
        </w:tc>
        <w:tc>
          <w:tcPr>
            <w:tcW w:type="dxa" w:w="1194"/>
          </w:tcPr>
          <w:p>
            <w:pPr>
              <w:pStyle w:val="MDPI42tablebody"/>
              <w:keepNext/>
              <w:spacing w:line="240" w:lineRule="auto" w:before="30" w:after="30"/>
              <w:jc w:val="center"/>
            </w:pPr>
            <w:r>
              <w:rPr>
                <w:b w:val="0"/>
                <w:i w:val="0"/>
                <w:sz w:val="18"/>
              </w:rPr>
              <w:t>−3.986*</w:t>
            </w:r>
          </w:p>
        </w:tc>
        <w:tc>
          <w:tcPr>
            <w:tcW w:type="dxa" w:w="1194"/>
          </w:tcPr>
          <w:p>
            <w:pPr>
              <w:pStyle w:val="MDPI42tablebody"/>
              <w:keepNext/>
              <w:spacing w:line="240" w:lineRule="auto" w:before="30" w:after="30"/>
              <w:jc w:val="center"/>
            </w:pPr>
            <w:r>
              <w:rPr>
                <w:b w:val="0"/>
                <w:i w:val="0"/>
                <w:sz w:val="18"/>
              </w:rPr>
              <w:t>−4.023*</w:t>
            </w:r>
          </w:p>
        </w:tc>
        <w:tc>
          <w:tcPr>
            <w:tcW w:type="dxa" w:w="1194"/>
          </w:tcPr>
          <w:p>
            <w:pPr>
              <w:pStyle w:val="MDPI42tablebody"/>
              <w:keepNext/>
              <w:spacing w:line="240" w:lineRule="auto" w:before="30" w:after="30"/>
              <w:jc w:val="center"/>
            </w:pPr>
            <w:r>
              <w:rPr>
                <w:b w:val="0"/>
                <w:i w:val="0"/>
                <w:sz w:val="18"/>
              </w:rPr>
              <w:t>−3.884*</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(2.109)</w:t>
            </w:r>
          </w:p>
        </w:tc>
        <w:tc>
          <w:tcPr>
            <w:tcW w:type="dxa" w:w="1194"/>
          </w:tcPr>
          <w:p>
            <w:pPr>
              <w:pStyle w:val="MDPI42tablebody"/>
              <w:keepNext/>
              <w:spacing w:line="240" w:lineRule="auto" w:before="30" w:after="30"/>
              <w:jc w:val="center"/>
            </w:pPr>
            <w:r>
              <w:rPr>
                <w:b w:val="0"/>
                <w:i w:val="0"/>
                <w:sz w:val="18"/>
              </w:rPr>
              <w:t>(2.084)</w:t>
            </w:r>
          </w:p>
        </w:tc>
        <w:tc>
          <w:tcPr>
            <w:tcW w:type="dxa" w:w="1194"/>
          </w:tcPr>
          <w:p>
            <w:pPr>
              <w:pStyle w:val="MDPI42tablebody"/>
              <w:keepNext/>
              <w:spacing w:line="240" w:lineRule="auto" w:before="30" w:after="30"/>
              <w:jc w:val="center"/>
            </w:pPr>
            <w:r>
              <w:rPr>
                <w:b w:val="0"/>
                <w:i w:val="0"/>
                <w:sz w:val="18"/>
              </w:rPr>
              <w:t>(2.054)</w:t>
            </w:r>
          </w:p>
        </w:tc>
        <w:tc>
          <w:tcPr>
            <w:tcW w:type="dxa" w:w="1194"/>
          </w:tcPr>
          <w:p>
            <w:pPr>
              <w:pStyle w:val="MDPI42tablebody"/>
              <w:keepNext/>
              <w:spacing w:line="240" w:lineRule="auto" w:before="30" w:after="30"/>
              <w:jc w:val="center"/>
            </w:pPr>
            <w:r>
              <w:rPr>
                <w:b w:val="0"/>
                <w:i w:val="0"/>
                <w:sz w:val="18"/>
              </w:rPr>
              <w:t>(2.060)</w:t>
            </w:r>
          </w:p>
        </w:tc>
        <w:tc>
          <w:tcPr>
            <w:tcW w:type="dxa" w:w="1194"/>
          </w:tcPr>
          <w:p>
            <w:pPr>
              <w:pStyle w:val="MDPI42tablebody"/>
              <w:keepNext/>
              <w:spacing w:line="240" w:lineRule="auto" w:before="30" w:after="30"/>
              <w:jc w:val="center"/>
            </w:pPr>
            <w:r>
              <w:rPr>
                <w:b w:val="0"/>
                <w:i w:val="0"/>
                <w:sz w:val="18"/>
              </w:rPr>
              <w:t>(2.062)</w:t>
            </w:r>
          </w:p>
        </w:tc>
      </w:tr>
      <w:tr>
        <w:trPr>
          <w:cantSplit/>
        </w:trPr>
        <w:tc>
          <w:tcPr>
            <w:tcW w:type="dxa" w:w="1885"/>
          </w:tcPr>
          <w:p>
            <w:pPr>
              <w:pStyle w:val="MDPI42tablebody"/>
              <w:keepNext/>
              <w:spacing w:line="240" w:lineRule="auto" w:before="30" w:after="30"/>
              <w:jc w:val="left"/>
            </w:pPr>
            <w:r>
              <w:rPr>
                <w:b w:val="0"/>
                <w:i/>
                <w:sz w:val="18"/>
              </w:rPr>
              <w:t>Indep</w:t>
            </w:r>
          </w:p>
        </w:tc>
        <w:tc>
          <w:tcPr>
            <w:tcW w:type="dxa" w:w="1194"/>
          </w:tcPr>
          <w:p>
            <w:pPr>
              <w:pStyle w:val="MDPI42tablebody"/>
              <w:keepNext/>
              <w:spacing w:line="240" w:lineRule="auto" w:before="30" w:after="30"/>
              <w:jc w:val="center"/>
            </w:pPr>
            <w:r>
              <w:rPr>
                <w:b w:val="0"/>
                <w:i w:val="0"/>
                <w:sz w:val="18"/>
              </w:rPr>
              <w:t>−0.504</w:t>
            </w:r>
          </w:p>
        </w:tc>
        <w:tc>
          <w:tcPr>
            <w:tcW w:type="dxa" w:w="1194"/>
          </w:tcPr>
          <w:p>
            <w:pPr>
              <w:pStyle w:val="MDPI42tablebody"/>
              <w:keepNext/>
              <w:spacing w:line="240" w:lineRule="auto" w:before="30" w:after="30"/>
              <w:jc w:val="center"/>
            </w:pPr>
            <w:r>
              <w:rPr>
                <w:b w:val="0"/>
                <w:i w:val="0"/>
                <w:sz w:val="18"/>
              </w:rPr>
              <w:t>−0.119</w:t>
            </w:r>
          </w:p>
        </w:tc>
        <w:tc>
          <w:tcPr>
            <w:tcW w:type="dxa" w:w="1194"/>
          </w:tcPr>
          <w:p>
            <w:pPr>
              <w:pStyle w:val="MDPI42tablebody"/>
              <w:keepNext/>
              <w:spacing w:line="240" w:lineRule="auto" w:before="30" w:after="30"/>
              <w:jc w:val="center"/>
            </w:pPr>
            <w:r>
              <w:rPr>
                <w:b w:val="0"/>
                <w:i w:val="0"/>
                <w:sz w:val="18"/>
              </w:rPr>
              <w:t>0.411</w:t>
            </w:r>
          </w:p>
        </w:tc>
        <w:tc>
          <w:tcPr>
            <w:tcW w:type="dxa" w:w="1194"/>
          </w:tcPr>
          <w:p>
            <w:pPr>
              <w:pStyle w:val="MDPI42tablebody"/>
              <w:keepNext/>
              <w:spacing w:line="240" w:lineRule="auto" w:before="30" w:after="30"/>
              <w:jc w:val="center"/>
            </w:pPr>
            <w:r>
              <w:rPr>
                <w:b w:val="0"/>
                <w:i w:val="0"/>
                <w:sz w:val="18"/>
              </w:rPr>
              <w:t>0.425</w:t>
            </w:r>
          </w:p>
        </w:tc>
        <w:tc>
          <w:tcPr>
            <w:tcW w:type="dxa" w:w="1194"/>
          </w:tcPr>
          <w:p>
            <w:pPr>
              <w:pStyle w:val="MDPI42tablebody"/>
              <w:keepNext/>
              <w:spacing w:line="240" w:lineRule="auto" w:before="30" w:after="30"/>
              <w:jc w:val="center"/>
            </w:pPr>
            <w:r>
              <w:rPr>
                <w:b w:val="0"/>
                <w:i w:val="0"/>
                <w:sz w:val="18"/>
              </w:rPr>
              <w:t>0.207</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(2.945)</w:t>
            </w:r>
          </w:p>
        </w:tc>
        <w:tc>
          <w:tcPr>
            <w:tcW w:type="dxa" w:w="1194"/>
          </w:tcPr>
          <w:p>
            <w:pPr>
              <w:pStyle w:val="MDPI42tablebody"/>
              <w:keepNext/>
              <w:spacing w:line="240" w:lineRule="auto" w:before="30" w:after="30"/>
              <w:jc w:val="center"/>
            </w:pPr>
            <w:r>
              <w:rPr>
                <w:b w:val="0"/>
                <w:i w:val="0"/>
                <w:sz w:val="18"/>
              </w:rPr>
              <w:t>(2.926)</w:t>
            </w:r>
          </w:p>
        </w:tc>
        <w:tc>
          <w:tcPr>
            <w:tcW w:type="dxa" w:w="1194"/>
          </w:tcPr>
          <w:p>
            <w:pPr>
              <w:pStyle w:val="MDPI42tablebody"/>
              <w:keepNext/>
              <w:spacing w:line="240" w:lineRule="auto" w:before="30" w:after="30"/>
              <w:jc w:val="center"/>
            </w:pPr>
            <w:r>
              <w:rPr>
                <w:b w:val="0"/>
                <w:i w:val="0"/>
                <w:sz w:val="18"/>
              </w:rPr>
              <w:t>(2.878)</w:t>
            </w:r>
          </w:p>
        </w:tc>
        <w:tc>
          <w:tcPr>
            <w:tcW w:type="dxa" w:w="1194"/>
          </w:tcPr>
          <w:p>
            <w:pPr>
              <w:pStyle w:val="MDPI42tablebody"/>
              <w:keepNext/>
              <w:spacing w:line="240" w:lineRule="auto" w:before="30" w:after="30"/>
              <w:jc w:val="center"/>
            </w:pPr>
            <w:r>
              <w:rPr>
                <w:b w:val="0"/>
                <w:i w:val="0"/>
                <w:sz w:val="18"/>
              </w:rPr>
              <w:t>(2.888)</w:t>
            </w:r>
          </w:p>
        </w:tc>
        <w:tc>
          <w:tcPr>
            <w:tcW w:type="dxa" w:w="1194"/>
          </w:tcPr>
          <w:p>
            <w:pPr>
              <w:pStyle w:val="MDPI42tablebody"/>
              <w:keepNext/>
              <w:spacing w:line="240" w:lineRule="auto" w:before="30" w:after="30"/>
              <w:jc w:val="center"/>
            </w:pPr>
            <w:r>
              <w:rPr>
                <w:b w:val="0"/>
                <w:i w:val="0"/>
                <w:sz w:val="18"/>
              </w:rPr>
              <w:t>(2.891)</w:t>
            </w:r>
          </w:p>
        </w:tc>
      </w:tr>
      <w:tr>
        <w:trPr>
          <w:cantSplit/>
        </w:trPr>
        <w:tc>
          <w:tcPr>
            <w:tcW w:type="dxa" w:w="1885"/>
          </w:tcPr>
          <w:p>
            <w:pPr>
              <w:pStyle w:val="MDPI42tablebody"/>
              <w:keepNext/>
              <w:spacing w:line="240" w:lineRule="auto" w:before="30" w:after="30"/>
              <w:jc w:val="left"/>
            </w:pPr>
            <w:r>
              <w:rPr>
                <w:b w:val="0"/>
                <w:i/>
                <w:sz w:val="18"/>
              </w:rPr>
              <w:t>Dual</w:t>
            </w:r>
          </w:p>
        </w:tc>
        <w:tc>
          <w:tcPr>
            <w:tcW w:type="dxa" w:w="1194"/>
          </w:tcPr>
          <w:p>
            <w:pPr>
              <w:pStyle w:val="MDPI42tablebody"/>
              <w:keepNext/>
              <w:spacing w:line="240" w:lineRule="auto" w:before="30" w:after="30"/>
              <w:jc w:val="center"/>
            </w:pPr>
            <w:r>
              <w:rPr>
                <w:b w:val="0"/>
                <w:i w:val="0"/>
                <w:sz w:val="18"/>
              </w:rPr>
              <w:t>−0.200</w:t>
            </w:r>
          </w:p>
        </w:tc>
        <w:tc>
          <w:tcPr>
            <w:tcW w:type="dxa" w:w="1194"/>
          </w:tcPr>
          <w:p>
            <w:pPr>
              <w:pStyle w:val="MDPI42tablebody"/>
              <w:keepNext/>
              <w:spacing w:line="240" w:lineRule="auto" w:before="30" w:after="30"/>
              <w:jc w:val="center"/>
            </w:pPr>
            <w:r>
              <w:rPr>
                <w:b w:val="0"/>
                <w:i w:val="0"/>
                <w:sz w:val="18"/>
              </w:rPr>
              <w:t>−0.163</w:t>
            </w:r>
          </w:p>
        </w:tc>
        <w:tc>
          <w:tcPr>
            <w:tcW w:type="dxa" w:w="1194"/>
          </w:tcPr>
          <w:p>
            <w:pPr>
              <w:pStyle w:val="MDPI42tablebody"/>
              <w:keepNext/>
              <w:spacing w:line="240" w:lineRule="auto" w:before="30" w:after="30"/>
              <w:jc w:val="center"/>
            </w:pPr>
            <w:r>
              <w:rPr>
                <w:b w:val="0"/>
                <w:i w:val="0"/>
                <w:sz w:val="18"/>
              </w:rPr>
              <w:t>−0.179</w:t>
            </w:r>
          </w:p>
        </w:tc>
        <w:tc>
          <w:tcPr>
            <w:tcW w:type="dxa" w:w="1194"/>
          </w:tcPr>
          <w:p>
            <w:pPr>
              <w:pStyle w:val="MDPI42tablebody"/>
              <w:keepNext/>
              <w:spacing w:line="240" w:lineRule="auto" w:before="30" w:after="30"/>
              <w:jc w:val="center"/>
            </w:pPr>
            <w:r>
              <w:rPr>
                <w:b w:val="0"/>
                <w:i w:val="0"/>
                <w:sz w:val="18"/>
              </w:rPr>
              <w:t>−0.198</w:t>
            </w:r>
          </w:p>
        </w:tc>
        <w:tc>
          <w:tcPr>
            <w:tcW w:type="dxa" w:w="1194"/>
          </w:tcPr>
          <w:p>
            <w:pPr>
              <w:pStyle w:val="MDPI42tablebody"/>
              <w:keepNext/>
              <w:spacing w:line="240" w:lineRule="auto" w:before="30" w:after="30"/>
              <w:jc w:val="center"/>
            </w:pPr>
            <w:r>
              <w:rPr>
                <w:b w:val="0"/>
                <w:i w:val="0"/>
                <w:sz w:val="18"/>
              </w:rPr>
              <w:t>−0.209</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(0.154)</w:t>
            </w:r>
          </w:p>
        </w:tc>
        <w:tc>
          <w:tcPr>
            <w:tcW w:type="dxa" w:w="1194"/>
          </w:tcPr>
          <w:p>
            <w:pPr>
              <w:pStyle w:val="MDPI42tablebody"/>
              <w:keepNext/>
              <w:spacing w:line="240" w:lineRule="auto" w:before="30" w:after="30"/>
              <w:jc w:val="center"/>
            </w:pPr>
            <w:r>
              <w:rPr>
                <w:b w:val="0"/>
                <w:i w:val="0"/>
                <w:sz w:val="18"/>
              </w:rPr>
              <w:t>(0.153)</w:t>
            </w:r>
          </w:p>
        </w:tc>
        <w:tc>
          <w:tcPr>
            <w:tcW w:type="dxa" w:w="1194"/>
          </w:tcPr>
          <w:p>
            <w:pPr>
              <w:pStyle w:val="MDPI42tablebody"/>
              <w:keepNext/>
              <w:spacing w:line="240" w:lineRule="auto" w:before="30" w:after="30"/>
              <w:jc w:val="center"/>
            </w:pPr>
            <w:r>
              <w:rPr>
                <w:b w:val="0"/>
                <w:i w:val="0"/>
                <w:sz w:val="18"/>
              </w:rPr>
              <w:t>(0.150)</w:t>
            </w:r>
          </w:p>
        </w:tc>
        <w:tc>
          <w:tcPr>
            <w:tcW w:type="dxa" w:w="1194"/>
          </w:tcPr>
          <w:p>
            <w:pPr>
              <w:pStyle w:val="MDPI42tablebody"/>
              <w:keepNext/>
              <w:spacing w:line="240" w:lineRule="auto" w:before="30" w:after="30"/>
              <w:jc w:val="center"/>
            </w:pPr>
            <w:r>
              <w:rPr>
                <w:b w:val="0"/>
                <w:i w:val="0"/>
                <w:sz w:val="18"/>
              </w:rPr>
              <w:t>(0.151)</w:t>
            </w:r>
          </w:p>
        </w:tc>
        <w:tc>
          <w:tcPr>
            <w:tcW w:type="dxa" w:w="1194"/>
          </w:tcPr>
          <w:p>
            <w:pPr>
              <w:pStyle w:val="MDPI42tablebody"/>
              <w:keepNext/>
              <w:spacing w:line="240" w:lineRule="auto" w:before="30" w:after="30"/>
              <w:jc w:val="center"/>
            </w:pPr>
            <w:r>
              <w:rPr>
                <w:b w:val="0"/>
                <w:i w:val="0"/>
                <w:sz w:val="18"/>
              </w:rPr>
              <w:t>(0.151)</w:t>
            </w:r>
          </w:p>
        </w:tc>
      </w:tr>
      <w:tr>
        <w:trPr>
          <w:cantSplit/>
        </w:trPr>
        <w:tc>
          <w:tcPr>
            <w:tcW w:type="dxa" w:w="1885"/>
          </w:tcPr>
          <w:p>
            <w:pPr>
              <w:pStyle w:val="MDPI42tablebody"/>
              <w:keepNext/>
              <w:spacing w:line="240" w:lineRule="auto" w:before="30" w:after="30"/>
              <w:jc w:val="left"/>
            </w:pPr>
            <w:r>
              <w:rPr>
                <w:b w:val="0"/>
                <w:i/>
                <w:sz w:val="18"/>
              </w:rPr>
              <w:t>Board</w:t>
            </w:r>
          </w:p>
        </w:tc>
        <w:tc>
          <w:tcPr>
            <w:tcW w:type="dxa" w:w="1194"/>
          </w:tcPr>
          <w:p>
            <w:pPr>
              <w:pStyle w:val="MDPI42tablebody"/>
              <w:keepNext/>
              <w:spacing w:line="240" w:lineRule="auto" w:before="30" w:after="30"/>
              <w:jc w:val="center"/>
            </w:pPr>
            <w:r>
              <w:rPr>
                <w:b w:val="0"/>
                <w:i w:val="0"/>
                <w:sz w:val="18"/>
              </w:rPr>
              <w:t>−0.239</w:t>
            </w:r>
          </w:p>
        </w:tc>
        <w:tc>
          <w:tcPr>
            <w:tcW w:type="dxa" w:w="1194"/>
          </w:tcPr>
          <w:p>
            <w:pPr>
              <w:pStyle w:val="MDPI42tablebody"/>
              <w:keepNext/>
              <w:spacing w:line="240" w:lineRule="auto" w:before="30" w:after="30"/>
              <w:jc w:val="center"/>
            </w:pPr>
            <w:r>
              <w:rPr>
                <w:b w:val="0"/>
                <w:i w:val="0"/>
                <w:sz w:val="18"/>
              </w:rPr>
              <w:t>−0.229</w:t>
            </w:r>
          </w:p>
        </w:tc>
        <w:tc>
          <w:tcPr>
            <w:tcW w:type="dxa" w:w="1194"/>
          </w:tcPr>
          <w:p>
            <w:pPr>
              <w:pStyle w:val="MDPI42tablebody"/>
              <w:keepNext/>
              <w:spacing w:line="240" w:lineRule="auto" w:before="30" w:after="30"/>
              <w:jc w:val="center"/>
            </w:pPr>
            <w:r>
              <w:rPr>
                <w:b w:val="0"/>
                <w:i w:val="0"/>
                <w:sz w:val="18"/>
              </w:rPr>
              <w:t>0.060</w:t>
            </w:r>
          </w:p>
        </w:tc>
        <w:tc>
          <w:tcPr>
            <w:tcW w:type="dxa" w:w="1194"/>
          </w:tcPr>
          <w:p>
            <w:pPr>
              <w:pStyle w:val="MDPI42tablebody"/>
              <w:keepNext/>
              <w:spacing w:line="240" w:lineRule="auto" w:before="30" w:after="30"/>
              <w:jc w:val="center"/>
            </w:pPr>
            <w:r>
              <w:rPr>
                <w:b w:val="0"/>
                <w:i w:val="0"/>
                <w:sz w:val="18"/>
              </w:rPr>
              <w:t>0.098</w:t>
            </w:r>
          </w:p>
        </w:tc>
        <w:tc>
          <w:tcPr>
            <w:tcW w:type="dxa" w:w="1194"/>
          </w:tcPr>
          <w:p>
            <w:pPr>
              <w:pStyle w:val="MDPI42tablebody"/>
              <w:keepNext/>
              <w:spacing w:line="240" w:lineRule="auto" w:before="30" w:after="30"/>
              <w:jc w:val="center"/>
            </w:pPr>
            <w:r>
              <w:rPr>
                <w:b w:val="0"/>
                <w:i w:val="0"/>
                <w:sz w:val="18"/>
              </w:rPr>
              <w:t>0.000</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(0.935)</w:t>
            </w:r>
          </w:p>
        </w:tc>
        <w:tc>
          <w:tcPr>
            <w:tcW w:type="dxa" w:w="1194"/>
          </w:tcPr>
          <w:p>
            <w:pPr>
              <w:pStyle w:val="MDPI42tablebody"/>
              <w:keepNext/>
              <w:spacing w:line="240" w:lineRule="auto" w:before="30" w:after="30"/>
              <w:jc w:val="center"/>
            </w:pPr>
            <w:r>
              <w:rPr>
                <w:b w:val="0"/>
                <w:i w:val="0"/>
                <w:sz w:val="18"/>
              </w:rPr>
              <w:t>(0.924)</w:t>
            </w:r>
          </w:p>
        </w:tc>
        <w:tc>
          <w:tcPr>
            <w:tcW w:type="dxa" w:w="1194"/>
          </w:tcPr>
          <w:p>
            <w:pPr>
              <w:pStyle w:val="MDPI42tablebody"/>
              <w:keepNext/>
              <w:spacing w:line="240" w:lineRule="auto" w:before="30" w:after="30"/>
              <w:jc w:val="center"/>
            </w:pPr>
            <w:r>
              <w:rPr>
                <w:b w:val="0"/>
                <w:i w:val="0"/>
                <w:sz w:val="18"/>
              </w:rPr>
              <w:t>(0.912)</w:t>
            </w:r>
          </w:p>
        </w:tc>
        <w:tc>
          <w:tcPr>
            <w:tcW w:type="dxa" w:w="1194"/>
          </w:tcPr>
          <w:p>
            <w:pPr>
              <w:pStyle w:val="MDPI42tablebody"/>
              <w:keepNext/>
              <w:spacing w:line="240" w:lineRule="auto" w:before="30" w:after="30"/>
              <w:jc w:val="center"/>
            </w:pPr>
            <w:r>
              <w:rPr>
                <w:b w:val="0"/>
                <w:i w:val="0"/>
                <w:sz w:val="18"/>
              </w:rPr>
              <w:t>(0.913)</w:t>
            </w:r>
          </w:p>
        </w:tc>
        <w:tc>
          <w:tcPr>
            <w:tcW w:type="dxa" w:w="1194"/>
          </w:tcPr>
          <w:p>
            <w:pPr>
              <w:pStyle w:val="MDPI42tablebody"/>
              <w:keepNext/>
              <w:spacing w:line="240" w:lineRule="auto" w:before="30" w:after="30"/>
              <w:jc w:val="center"/>
            </w:pPr>
            <w:r>
              <w:rPr>
                <w:b w:val="0"/>
                <w:i w:val="0"/>
                <w:sz w:val="18"/>
              </w:rPr>
              <w:t>(0.914)</w:t>
            </w:r>
          </w:p>
        </w:tc>
      </w:tr>
      <w:tr>
        <w:trPr>
          <w:cantSplit/>
        </w:trPr>
        <w:tc>
          <w:tcPr>
            <w:tcW w:type="dxa" w:w="1885"/>
          </w:tcPr>
          <w:p>
            <w:pPr>
              <w:pStyle w:val="MDPI42tablebody"/>
              <w:keepNext/>
              <w:spacing w:line="240" w:lineRule="auto" w:before="30" w:after="30"/>
              <w:jc w:val="left"/>
            </w:pPr>
            <w:r>
              <w:rPr>
                <w:b w:val="0"/>
                <w:i/>
                <w:sz w:val="18"/>
              </w:rPr>
              <w:t>CapInt</w:t>
            </w:r>
          </w:p>
        </w:tc>
        <w:tc>
          <w:tcPr>
            <w:tcW w:type="dxa" w:w="1194"/>
          </w:tcPr>
          <w:p>
            <w:pPr>
              <w:pStyle w:val="MDPI42tablebody"/>
              <w:keepNext/>
              <w:spacing w:line="240" w:lineRule="auto" w:before="30" w:after="30"/>
              <w:jc w:val="center"/>
            </w:pPr>
            <w:r>
              <w:rPr>
                <w:b w:val="0"/>
                <w:i w:val="0"/>
                <w:sz w:val="18"/>
              </w:rPr>
              <w:t>−0.869**</w:t>
            </w:r>
          </w:p>
        </w:tc>
        <w:tc>
          <w:tcPr>
            <w:tcW w:type="dxa" w:w="1194"/>
          </w:tcPr>
          <w:p>
            <w:pPr>
              <w:pStyle w:val="MDPI42tablebody"/>
              <w:keepNext/>
              <w:spacing w:line="240" w:lineRule="auto" w:before="30" w:after="30"/>
              <w:jc w:val="center"/>
            </w:pPr>
            <w:r>
              <w:rPr>
                <w:b w:val="0"/>
                <w:i w:val="0"/>
                <w:sz w:val="18"/>
              </w:rPr>
              <w:t>−0.801**</w:t>
            </w:r>
          </w:p>
        </w:tc>
        <w:tc>
          <w:tcPr>
            <w:tcW w:type="dxa" w:w="1194"/>
          </w:tcPr>
          <w:p>
            <w:pPr>
              <w:pStyle w:val="MDPI42tablebody"/>
              <w:keepNext/>
              <w:spacing w:line="240" w:lineRule="auto" w:before="30" w:after="30"/>
              <w:jc w:val="center"/>
            </w:pPr>
            <w:r>
              <w:rPr>
                <w:b w:val="0"/>
                <w:i w:val="0"/>
                <w:sz w:val="18"/>
              </w:rPr>
              <w:t>−0.685*</w:t>
            </w:r>
          </w:p>
        </w:tc>
        <w:tc>
          <w:tcPr>
            <w:tcW w:type="dxa" w:w="1194"/>
          </w:tcPr>
          <w:p>
            <w:pPr>
              <w:pStyle w:val="MDPI42tablebody"/>
              <w:keepNext/>
              <w:spacing w:line="240" w:lineRule="auto" w:before="30" w:after="30"/>
              <w:jc w:val="center"/>
            </w:pPr>
            <w:r>
              <w:rPr>
                <w:b w:val="0"/>
                <w:i w:val="0"/>
                <w:sz w:val="18"/>
              </w:rPr>
              <w:t>−0.645</w:t>
            </w:r>
          </w:p>
        </w:tc>
        <w:tc>
          <w:tcPr>
            <w:tcW w:type="dxa" w:w="1194"/>
          </w:tcPr>
          <w:p>
            <w:pPr>
              <w:pStyle w:val="MDPI42tablebody"/>
              <w:keepNext/>
              <w:spacing w:line="240" w:lineRule="auto" w:before="30" w:after="30"/>
              <w:jc w:val="center"/>
            </w:pPr>
            <w:r>
              <w:rPr>
                <w:b w:val="0"/>
                <w:i w:val="0"/>
                <w:sz w:val="18"/>
              </w:rPr>
              <w:t>−0.648</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(0.411)</w:t>
            </w:r>
          </w:p>
        </w:tc>
        <w:tc>
          <w:tcPr>
            <w:tcW w:type="dxa" w:w="1194"/>
          </w:tcPr>
          <w:p>
            <w:pPr>
              <w:pStyle w:val="MDPI42tablebody"/>
              <w:keepNext/>
              <w:spacing w:line="240" w:lineRule="auto" w:before="30" w:after="30"/>
              <w:jc w:val="center"/>
            </w:pPr>
            <w:r>
              <w:rPr>
                <w:b w:val="0"/>
                <w:i w:val="0"/>
                <w:sz w:val="18"/>
              </w:rPr>
              <w:t>(0.408)</w:t>
            </w:r>
          </w:p>
        </w:tc>
        <w:tc>
          <w:tcPr>
            <w:tcW w:type="dxa" w:w="1194"/>
          </w:tcPr>
          <w:p>
            <w:pPr>
              <w:pStyle w:val="MDPI42tablebody"/>
              <w:keepNext/>
              <w:spacing w:line="240" w:lineRule="auto" w:before="30" w:after="30"/>
              <w:jc w:val="center"/>
            </w:pPr>
            <w:r>
              <w:rPr>
                <w:b w:val="0"/>
                <w:i w:val="0"/>
                <w:sz w:val="18"/>
              </w:rPr>
              <w:t>(0.405)</w:t>
            </w:r>
          </w:p>
        </w:tc>
        <w:tc>
          <w:tcPr>
            <w:tcW w:type="dxa" w:w="1194"/>
          </w:tcPr>
          <w:p>
            <w:pPr>
              <w:pStyle w:val="MDPI42tablebody"/>
              <w:keepNext/>
              <w:spacing w:line="240" w:lineRule="auto" w:before="30" w:after="30"/>
              <w:jc w:val="center"/>
            </w:pPr>
            <w:r>
              <w:rPr>
                <w:b w:val="0"/>
                <w:i w:val="0"/>
                <w:sz w:val="18"/>
              </w:rPr>
              <w:t>(0.408)</w:t>
            </w:r>
          </w:p>
        </w:tc>
        <w:tc>
          <w:tcPr>
            <w:tcW w:type="dxa" w:w="1194"/>
          </w:tcPr>
          <w:p>
            <w:pPr>
              <w:pStyle w:val="MDPI42tablebody"/>
              <w:keepNext/>
              <w:spacing w:line="240" w:lineRule="auto" w:before="30" w:after="30"/>
              <w:jc w:val="center"/>
            </w:pPr>
            <w:r>
              <w:rPr>
                <w:b w:val="0"/>
                <w:i w:val="0"/>
                <w:sz w:val="18"/>
              </w:rPr>
              <w:t>(0.406)</w:t>
            </w:r>
          </w:p>
        </w:tc>
      </w:tr>
      <w:tr>
        <w:trPr>
          <w:cantSplit/>
        </w:trPr>
        <w:tc>
          <w:tcPr>
            <w:tcW w:type="dxa" w:w="1885"/>
          </w:tcPr>
          <w:p>
            <w:pPr>
              <w:pStyle w:val="MDPI42tablebody"/>
              <w:keepNext/>
              <w:spacing w:line="240" w:lineRule="auto" w:before="30" w:after="30"/>
              <w:jc w:val="left"/>
            </w:pPr>
            <w:r>
              <w:rPr>
                <w:b w:val="0"/>
                <w:i/>
                <w:sz w:val="18"/>
              </w:rPr>
              <w:t>Emp</w:t>
            </w:r>
          </w:p>
        </w:tc>
        <w:tc>
          <w:tcPr>
            <w:tcW w:type="dxa" w:w="1194"/>
          </w:tcPr>
          <w:p>
            <w:pPr>
              <w:pStyle w:val="MDPI42tablebody"/>
              <w:keepNext/>
              <w:spacing w:line="240" w:lineRule="auto" w:before="30" w:after="30"/>
              <w:jc w:val="center"/>
            </w:pPr>
            <w:r>
              <w:rPr>
                <w:b w:val="0"/>
                <w:i w:val="0"/>
                <w:sz w:val="18"/>
              </w:rPr>
              <w:t>−0.081</w:t>
            </w:r>
          </w:p>
        </w:tc>
        <w:tc>
          <w:tcPr>
            <w:tcW w:type="dxa" w:w="1194"/>
          </w:tcPr>
          <w:p>
            <w:pPr>
              <w:pStyle w:val="MDPI42tablebody"/>
              <w:keepNext/>
              <w:spacing w:line="240" w:lineRule="auto" w:before="30" w:after="30"/>
              <w:jc w:val="center"/>
            </w:pPr>
            <w:r>
              <w:rPr>
                <w:b w:val="0"/>
                <w:i w:val="0"/>
                <w:sz w:val="18"/>
              </w:rPr>
              <w:t>−0.049</w:t>
            </w:r>
          </w:p>
        </w:tc>
        <w:tc>
          <w:tcPr>
            <w:tcW w:type="dxa" w:w="1194"/>
          </w:tcPr>
          <w:p>
            <w:pPr>
              <w:pStyle w:val="MDPI42tablebody"/>
              <w:keepNext/>
              <w:spacing w:line="240" w:lineRule="auto" w:before="30" w:after="30"/>
              <w:jc w:val="center"/>
            </w:pPr>
            <w:r>
              <w:rPr>
                <w:b w:val="0"/>
                <w:i w:val="0"/>
                <w:sz w:val="18"/>
              </w:rPr>
              <w:t>0.009</w:t>
            </w:r>
          </w:p>
        </w:tc>
        <w:tc>
          <w:tcPr>
            <w:tcW w:type="dxa" w:w="1194"/>
          </w:tcPr>
          <w:p>
            <w:pPr>
              <w:pStyle w:val="MDPI42tablebody"/>
              <w:keepNext/>
              <w:spacing w:line="240" w:lineRule="auto" w:before="30" w:after="30"/>
              <w:jc w:val="center"/>
            </w:pPr>
            <w:r>
              <w:rPr>
                <w:b w:val="0"/>
                <w:i w:val="0"/>
                <w:sz w:val="18"/>
              </w:rPr>
              <w:t>0.019</w:t>
            </w:r>
          </w:p>
        </w:tc>
        <w:tc>
          <w:tcPr>
            <w:tcW w:type="dxa" w:w="1194"/>
          </w:tcPr>
          <w:p>
            <w:pPr>
              <w:pStyle w:val="MDPI42tablebody"/>
              <w:keepNext/>
              <w:spacing w:line="240" w:lineRule="auto" w:before="30" w:after="30"/>
              <w:jc w:val="center"/>
            </w:pPr>
            <w:r>
              <w:rPr>
                <w:b w:val="0"/>
                <w:i w:val="0"/>
                <w:sz w:val="18"/>
              </w:rPr>
              <w:t>−0.009</w:t>
            </w:r>
          </w:p>
        </w:tc>
      </w:tr>
      <w:tr>
        <w:trPr>
          <w:cantSplit/>
        </w:trPr>
        <w:tc>
          <w:tcPr>
            <w:tcW w:type="dxa" w:w="1885"/>
          </w:tcPr>
          <w:p>
            <w:pPr>
              <w:pStyle w:val="MDPI42tablebody"/>
              <w:keepNext/>
              <w:spacing w:line="240" w:lineRule="auto" w:before="30" w:after="30"/>
              <w:jc w:val="left"/>
            </w:pPr>
          </w:p>
        </w:tc>
        <w:tc>
          <w:tcPr>
            <w:tcW w:type="dxa" w:w="1194"/>
          </w:tcPr>
          <w:p>
            <w:pPr>
              <w:pStyle w:val="MDPI42tablebody"/>
              <w:keepNext/>
              <w:spacing w:line="240" w:lineRule="auto" w:before="30" w:after="30"/>
              <w:jc w:val="center"/>
            </w:pPr>
            <w:r>
              <w:rPr>
                <w:b w:val="0"/>
                <w:i w:val="0"/>
                <w:sz w:val="18"/>
              </w:rPr>
              <w:t>(0.462)</w:t>
            </w:r>
          </w:p>
        </w:tc>
        <w:tc>
          <w:tcPr>
            <w:tcW w:type="dxa" w:w="1194"/>
          </w:tcPr>
          <w:p>
            <w:pPr>
              <w:pStyle w:val="MDPI42tablebody"/>
              <w:keepNext/>
              <w:spacing w:line="240" w:lineRule="auto" w:before="30" w:after="30"/>
              <w:jc w:val="center"/>
            </w:pPr>
            <w:r>
              <w:rPr>
                <w:b w:val="0"/>
                <w:i w:val="0"/>
                <w:sz w:val="18"/>
              </w:rPr>
              <w:t>(0.461)</w:t>
            </w:r>
          </w:p>
        </w:tc>
        <w:tc>
          <w:tcPr>
            <w:tcW w:type="dxa" w:w="1194"/>
          </w:tcPr>
          <w:p>
            <w:pPr>
              <w:pStyle w:val="MDPI42tablebody"/>
              <w:keepNext/>
              <w:spacing w:line="240" w:lineRule="auto" w:before="30" w:after="30"/>
              <w:jc w:val="center"/>
            </w:pPr>
            <w:r>
              <w:rPr>
                <w:b w:val="0"/>
                <w:i w:val="0"/>
                <w:sz w:val="18"/>
              </w:rPr>
              <w:t>(0.456)</w:t>
            </w:r>
          </w:p>
        </w:tc>
        <w:tc>
          <w:tcPr>
            <w:tcW w:type="dxa" w:w="1194"/>
          </w:tcPr>
          <w:p>
            <w:pPr>
              <w:pStyle w:val="MDPI42tablebody"/>
              <w:keepNext/>
              <w:spacing w:line="240" w:lineRule="auto" w:before="30" w:after="30"/>
              <w:jc w:val="center"/>
            </w:pPr>
            <w:r>
              <w:rPr>
                <w:b w:val="0"/>
                <w:i w:val="0"/>
                <w:sz w:val="18"/>
              </w:rPr>
              <w:t>(0.457)</w:t>
            </w:r>
          </w:p>
        </w:tc>
        <w:tc>
          <w:tcPr>
            <w:tcW w:type="dxa" w:w="1194"/>
          </w:tcPr>
          <w:p>
            <w:pPr>
              <w:pStyle w:val="MDPI42tablebody"/>
              <w:keepNext/>
              <w:spacing w:line="240" w:lineRule="auto" w:before="30" w:after="30"/>
              <w:jc w:val="center"/>
            </w:pPr>
            <w:r>
              <w:rPr>
                <w:b w:val="0"/>
                <w:i w:val="0"/>
                <w:sz w:val="18"/>
              </w:rPr>
              <w:t>(0.458)</w:t>
            </w:r>
          </w:p>
        </w:tc>
      </w:tr>
      <w:tr>
        <w:trPr>
          <w:cantSplit/>
        </w:trPr>
        <w:tc>
          <w:tcPr>
            <w:tcW w:type="dxa" w:w="1885"/>
          </w:tcPr>
          <w:p>
            <w:pPr>
              <w:pStyle w:val="MDPI42tablebody"/>
              <w:keepNext/>
              <w:spacing w:line="240" w:lineRule="auto" w:before="30" w:after="30"/>
              <w:jc w:val="left"/>
            </w:pPr>
            <w:r>
              <w:rPr>
                <w:b w:val="0"/>
                <w:i/>
                <w:sz w:val="18"/>
              </w:rPr>
              <w:t>Year FE</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w:t>
            </w:r>
          </w:p>
        </w:tc>
        <w:tc>
          <w:tcPr>
            <w:tcW w:type="dxa" w:w="1194"/>
          </w:tcPr>
          <w:p>
            <w:pPr>
              <w:pStyle w:val="MDPI42tablebody"/>
              <w:keepNext/>
              <w:spacing w:line="240" w:lineRule="auto" w:before="30" w:after="30"/>
              <w:jc w:val="center"/>
            </w:pPr>
            <w:r>
              <w:rPr>
                <w:b w:val="0"/>
                <w:i w:val="0"/>
                <w:sz w:val="18"/>
              </w:rPr>
              <w:t>--</w:t>
            </w:r>
          </w:p>
        </w:tc>
      </w:tr>
      <w:tr>
        <w:trPr>
          <w:cantSplit/>
        </w:trPr>
        <w:tc>
          <w:tcPr>
            <w:tcW w:type="dxa" w:w="1885"/>
          </w:tcPr>
          <w:p>
            <w:pPr>
              <w:pStyle w:val="MDPI42tablebody"/>
              <w:keepNext/>
              <w:spacing w:line="240" w:lineRule="auto" w:before="30" w:after="30"/>
              <w:jc w:val="left"/>
            </w:pPr>
            <w:r>
              <w:rPr>
                <w:b w:val="0"/>
                <w:i/>
                <w:sz w:val="18"/>
              </w:rPr>
              <w:t>Firm FE</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YES</w:t>
            </w:r>
          </w:p>
        </w:tc>
      </w:tr>
      <w:tr>
        <w:trPr>
          <w:cantSplit/>
        </w:trPr>
        <w:tc>
          <w:tcPr>
            <w:tcW w:type="dxa" w:w="1885"/>
          </w:tcPr>
          <w:p>
            <w:pPr>
              <w:pStyle w:val="MDPI42tablebody"/>
              <w:keepNext/>
              <w:spacing w:line="240" w:lineRule="auto" w:before="30" w:after="30"/>
              <w:jc w:val="left"/>
            </w:pPr>
            <w:r>
              <w:rPr>
                <w:b w:val="0"/>
                <w:i/>
                <w:sz w:val="18"/>
              </w:rPr>
              <w:t>Industry x Year FE</w:t>
            </w:r>
          </w:p>
        </w:tc>
        <w:tc>
          <w:tcPr>
            <w:tcW w:type="dxa" w:w="1194"/>
          </w:tcPr>
          <w:p>
            <w:pPr>
              <w:pStyle w:val="MDPI42tablebody"/>
              <w:keepNext/>
              <w:spacing w:line="240" w:lineRule="auto" w:before="30" w:after="30"/>
              <w:jc w:val="center"/>
            </w:pPr>
            <w:r>
              <w:rPr>
                <w:b w:val="0"/>
                <w:i w:val="0"/>
                <w:sz w:val="18"/>
              </w:rPr>
              <w:t>NO</w:t>
            </w:r>
          </w:p>
        </w:tc>
        <w:tc>
          <w:tcPr>
            <w:tcW w:type="dxa" w:w="1194"/>
          </w:tcPr>
          <w:p>
            <w:pPr>
              <w:pStyle w:val="MDPI42tablebody"/>
              <w:keepNext/>
              <w:spacing w:line="240" w:lineRule="auto" w:before="30" w:after="30"/>
              <w:jc w:val="center"/>
            </w:pPr>
            <w:r>
              <w:rPr>
                <w:b w:val="0"/>
                <w:i w:val="0"/>
                <w:sz w:val="18"/>
              </w:rPr>
              <w:t>NO</w:t>
            </w:r>
          </w:p>
        </w:tc>
        <w:tc>
          <w:tcPr>
            <w:tcW w:type="dxa" w:w="1194"/>
          </w:tcPr>
          <w:p>
            <w:pPr>
              <w:pStyle w:val="MDPI42tablebody"/>
              <w:keepNext/>
              <w:spacing w:line="240" w:lineRule="auto" w:before="30" w:after="30"/>
              <w:jc w:val="center"/>
            </w:pPr>
            <w:r>
              <w:rPr>
                <w:b w:val="0"/>
                <w:i w:val="0"/>
                <w:sz w:val="18"/>
              </w:rPr>
              <w:t>NO</w:t>
            </w:r>
          </w:p>
        </w:tc>
        <w:tc>
          <w:tcPr>
            <w:tcW w:type="dxa" w:w="1194"/>
          </w:tcPr>
          <w:p>
            <w:pPr>
              <w:pStyle w:val="MDPI42tablebody"/>
              <w:keepNext/>
              <w:spacing w:line="240" w:lineRule="auto" w:before="30" w:after="30"/>
              <w:jc w:val="center"/>
            </w:pPr>
            <w:r>
              <w:rPr>
                <w:b w:val="0"/>
                <w:i w:val="0"/>
                <w:sz w:val="18"/>
              </w:rPr>
              <w:t>YES</w:t>
            </w:r>
          </w:p>
        </w:tc>
        <w:tc>
          <w:tcPr>
            <w:tcW w:type="dxa" w:w="1194"/>
          </w:tcPr>
          <w:p>
            <w:pPr>
              <w:pStyle w:val="MDPI42tablebody"/>
              <w:keepNext/>
              <w:spacing w:line="240" w:lineRule="auto" w:before="30" w:after="30"/>
              <w:jc w:val="center"/>
            </w:pPr>
            <w:r>
              <w:rPr>
                <w:b w:val="0"/>
                <w:i w:val="0"/>
                <w:sz w:val="18"/>
              </w:rPr>
              <w:t>NO</w:t>
            </w:r>
          </w:p>
        </w:tc>
      </w:tr>
      <w:tr>
        <w:trPr>
          <w:cantSplit/>
        </w:trPr>
        <w:tc>
          <w:tcPr>
            <w:tcW w:type="dxa" w:w="1885"/>
          </w:tcPr>
          <w:p>
            <w:pPr>
              <w:pStyle w:val="MDPI42tablebody"/>
              <w:keepNext/>
              <w:spacing w:line="240" w:lineRule="auto" w:before="30" w:after="30"/>
              <w:jc w:val="left"/>
            </w:pPr>
            <w:r>
              <w:rPr>
                <w:b w:val="0"/>
                <w:i/>
                <w:sz w:val="18"/>
              </w:rPr>
              <w:t>Province x Year FE</w:t>
            </w:r>
          </w:p>
        </w:tc>
        <w:tc>
          <w:tcPr>
            <w:tcW w:type="dxa" w:w="1194"/>
          </w:tcPr>
          <w:p>
            <w:pPr>
              <w:pStyle w:val="MDPI42tablebody"/>
              <w:keepNext/>
              <w:spacing w:line="240" w:lineRule="auto" w:before="30" w:after="30"/>
              <w:jc w:val="center"/>
            </w:pPr>
            <w:r>
              <w:rPr>
                <w:b w:val="0"/>
                <w:i w:val="0"/>
                <w:sz w:val="18"/>
              </w:rPr>
              <w:t>NO</w:t>
            </w:r>
          </w:p>
        </w:tc>
        <w:tc>
          <w:tcPr>
            <w:tcW w:type="dxa" w:w="1194"/>
          </w:tcPr>
          <w:p>
            <w:pPr>
              <w:pStyle w:val="MDPI42tablebody"/>
              <w:keepNext/>
              <w:spacing w:line="240" w:lineRule="auto" w:before="30" w:after="30"/>
              <w:jc w:val="center"/>
            </w:pPr>
            <w:r>
              <w:rPr>
                <w:b w:val="0"/>
                <w:i w:val="0"/>
                <w:sz w:val="18"/>
              </w:rPr>
              <w:t>NO</w:t>
            </w:r>
          </w:p>
        </w:tc>
        <w:tc>
          <w:tcPr>
            <w:tcW w:type="dxa" w:w="1194"/>
          </w:tcPr>
          <w:p>
            <w:pPr>
              <w:pStyle w:val="MDPI42tablebody"/>
              <w:keepNext/>
              <w:spacing w:line="240" w:lineRule="auto" w:before="30" w:after="30"/>
              <w:jc w:val="center"/>
            </w:pPr>
            <w:r>
              <w:rPr>
                <w:b w:val="0"/>
                <w:i w:val="0"/>
                <w:sz w:val="18"/>
              </w:rPr>
              <w:t>NO</w:t>
            </w:r>
          </w:p>
        </w:tc>
        <w:tc>
          <w:tcPr>
            <w:tcW w:type="dxa" w:w="1194"/>
          </w:tcPr>
          <w:p>
            <w:pPr>
              <w:pStyle w:val="MDPI42tablebody"/>
              <w:keepNext/>
              <w:spacing w:line="240" w:lineRule="auto" w:before="30" w:after="30"/>
              <w:jc w:val="center"/>
            </w:pPr>
            <w:r>
              <w:rPr>
                <w:b w:val="0"/>
                <w:i w:val="0"/>
                <w:sz w:val="18"/>
              </w:rPr>
              <w:t>NO</w:t>
            </w:r>
          </w:p>
        </w:tc>
        <w:tc>
          <w:tcPr>
            <w:tcW w:type="dxa" w:w="1194"/>
          </w:tcPr>
          <w:p>
            <w:pPr>
              <w:pStyle w:val="MDPI42tablebody"/>
              <w:keepNext/>
              <w:spacing w:line="240" w:lineRule="auto" w:before="30" w:after="30"/>
              <w:jc w:val="center"/>
            </w:pPr>
            <w:r>
              <w:rPr>
                <w:b w:val="0"/>
                <w:i w:val="0"/>
                <w:sz w:val="18"/>
              </w:rPr>
              <w:t>YES</w:t>
            </w:r>
          </w:p>
        </w:tc>
      </w:tr>
      <w:tr>
        <w:trPr>
          <w:cantSplit/>
        </w:trPr>
        <w:tc>
          <w:tcPr>
            <w:tcW w:type="dxa" w:w="1885"/>
          </w:tcPr>
          <w:p>
            <w:pPr>
              <w:pStyle w:val="MDPI42tablebody"/>
              <w:keepNext/>
              <w:spacing w:line="240" w:lineRule="auto" w:before="30" w:after="30"/>
              <w:jc w:val="left"/>
            </w:pPr>
            <w:r>
              <w:rPr>
                <w:b w:val="0"/>
                <w:i/>
                <w:sz w:val="18"/>
              </w:rPr>
              <w:t>Observations</w:t>
            </w:r>
          </w:p>
        </w:tc>
        <w:tc>
          <w:tcPr>
            <w:tcW w:type="dxa" w:w="1194"/>
          </w:tcPr>
          <w:p>
            <w:pPr>
              <w:pStyle w:val="MDPI42tablebody"/>
              <w:keepNext/>
              <w:spacing w:line="240" w:lineRule="auto" w:before="30" w:after="30"/>
              <w:jc w:val="center"/>
            </w:pPr>
            <w:r>
              <w:rPr>
                <w:b w:val="0"/>
                <w:i w:val="0"/>
                <w:sz w:val="18"/>
              </w:rPr>
              <w:t>36,064</w:t>
            </w:r>
          </w:p>
        </w:tc>
        <w:tc>
          <w:tcPr>
            <w:tcW w:type="dxa" w:w="1194"/>
          </w:tcPr>
          <w:p>
            <w:pPr>
              <w:pStyle w:val="MDPI42tablebody"/>
              <w:keepNext/>
              <w:spacing w:line="240" w:lineRule="auto" w:before="30" w:after="30"/>
              <w:jc w:val="center"/>
            </w:pPr>
            <w:r>
              <w:rPr>
                <w:b w:val="0"/>
                <w:i w:val="0"/>
                <w:sz w:val="18"/>
              </w:rPr>
              <w:t>36,064</w:t>
            </w:r>
          </w:p>
        </w:tc>
        <w:tc>
          <w:tcPr>
            <w:tcW w:type="dxa" w:w="1194"/>
          </w:tcPr>
          <w:p>
            <w:pPr>
              <w:pStyle w:val="MDPI42tablebody"/>
              <w:keepNext/>
              <w:spacing w:line="240" w:lineRule="auto" w:before="30" w:after="30"/>
              <w:jc w:val="center"/>
            </w:pPr>
            <w:r>
              <w:rPr>
                <w:b w:val="0"/>
                <w:i w:val="0"/>
                <w:sz w:val="18"/>
              </w:rPr>
              <w:t>36,064</w:t>
            </w:r>
          </w:p>
        </w:tc>
        <w:tc>
          <w:tcPr>
            <w:tcW w:type="dxa" w:w="1194"/>
          </w:tcPr>
          <w:p>
            <w:pPr>
              <w:pStyle w:val="MDPI42tablebody"/>
              <w:keepNext/>
              <w:spacing w:line="240" w:lineRule="auto" w:before="30" w:after="30"/>
              <w:jc w:val="center"/>
            </w:pPr>
            <w:r>
              <w:rPr>
                <w:b w:val="0"/>
                <w:i w:val="0"/>
                <w:sz w:val="18"/>
              </w:rPr>
              <w:t>36,064</w:t>
            </w:r>
          </w:p>
        </w:tc>
        <w:tc>
          <w:tcPr>
            <w:tcW w:type="dxa" w:w="1194"/>
          </w:tcPr>
          <w:p>
            <w:pPr>
              <w:pStyle w:val="MDPI42tablebody"/>
              <w:keepNext/>
              <w:spacing w:line="240" w:lineRule="auto" w:before="30" w:after="30"/>
              <w:jc w:val="center"/>
            </w:pPr>
            <w:r>
              <w:rPr>
                <w:b w:val="0"/>
                <w:i w:val="0"/>
                <w:sz w:val="18"/>
              </w:rPr>
              <w:t>36,064</w:t>
            </w:r>
          </w:p>
        </w:tc>
      </w:tr>
      <w:tr>
        <w:trPr>
          <w:cantSplit/>
        </w:trPr>
        <w:tc>
          <w:tcPr>
            <w:tcW w:type="dxa" w:w="1885"/>
          </w:tcPr>
          <w:p>
            <w:pPr>
              <w:pStyle w:val="MDPI42tablebody"/>
              <w:spacing w:line="240" w:lineRule="auto" w:before="30" w:after="30"/>
              <w:jc w:val="left"/>
            </w:pPr>
            <w:r>
              <w:rPr>
                <w:b w:val="0"/>
                <w:i/>
                <w:sz w:val="18"/>
              </w:rPr>
              <w:t>R-squared</w:t>
            </w:r>
          </w:p>
        </w:tc>
        <w:tc>
          <w:tcPr>
            <w:tcW w:type="dxa" w:w="1194"/>
          </w:tcPr>
          <w:p>
            <w:pPr>
              <w:pStyle w:val="MDPI42tablebody"/>
              <w:spacing w:line="240" w:lineRule="auto" w:before="30" w:after="30"/>
              <w:jc w:val="center"/>
            </w:pPr>
            <w:r>
              <w:rPr>
                <w:b w:val="0"/>
                <w:i w:val="0"/>
                <w:sz w:val="18"/>
              </w:rPr>
              <w:t>0.015</w:t>
            </w:r>
          </w:p>
        </w:tc>
        <w:tc>
          <w:tcPr>
            <w:tcW w:type="dxa" w:w="1194"/>
          </w:tcPr>
          <w:p>
            <w:pPr>
              <w:pStyle w:val="MDPI42tablebody"/>
              <w:spacing w:line="240" w:lineRule="auto" w:before="30" w:after="30"/>
              <w:jc w:val="center"/>
            </w:pPr>
            <w:r>
              <w:rPr>
                <w:b w:val="0"/>
                <w:i w:val="0"/>
                <w:sz w:val="18"/>
              </w:rPr>
              <w:t>0.032</w:t>
            </w:r>
          </w:p>
        </w:tc>
        <w:tc>
          <w:tcPr>
            <w:tcW w:type="dxa" w:w="1194"/>
          </w:tcPr>
          <w:p>
            <w:pPr>
              <w:pStyle w:val="MDPI42tablebody"/>
              <w:spacing w:line="240" w:lineRule="auto" w:before="30" w:after="30"/>
              <w:jc w:val="center"/>
            </w:pPr>
            <w:r>
              <w:rPr>
                <w:b w:val="0"/>
                <w:i w:val="0"/>
                <w:sz w:val="18"/>
              </w:rPr>
              <w:t>0.058</w:t>
            </w:r>
          </w:p>
        </w:tc>
        <w:tc>
          <w:tcPr>
            <w:tcW w:type="dxa" w:w="1194"/>
          </w:tcPr>
          <w:p>
            <w:pPr>
              <w:pStyle w:val="MDPI42tablebody"/>
              <w:spacing w:line="240" w:lineRule="auto" w:before="30" w:after="30"/>
              <w:jc w:val="center"/>
            </w:pPr>
            <w:r>
              <w:rPr>
                <w:b w:val="0"/>
                <w:i w:val="0"/>
                <w:sz w:val="18"/>
              </w:rPr>
              <w:t>0.044</w:t>
            </w:r>
          </w:p>
        </w:tc>
        <w:tc>
          <w:tcPr>
            <w:tcW w:type="dxa" w:w="1194"/>
          </w:tcPr>
          <w:p>
            <w:pPr>
              <w:pStyle w:val="MDPI42tablebody"/>
              <w:spacing w:line="240" w:lineRule="auto" w:before="30" w:after="30"/>
              <w:jc w:val="center"/>
            </w:pPr>
            <w:r>
              <w:rPr>
                <w:b w:val="0"/>
                <w:i w:val="0"/>
                <w:sz w:val="18"/>
              </w:rPr>
              <w:t>0.056</w:t>
            </w:r>
          </w:p>
        </w:tc>
      </w:tr>
    </w:tbl>
    <w:p>
      <w:pPr>
        <w:pStyle w:val="MDPI43tablefooter"/>
        <w:spacing w:line="240" w:lineRule="auto" w:before="40" w:after="200"/>
        <w:ind w:left="2608" w:firstLine="0"/>
      </w:pPr>
      <w:r>
        <w:rPr>
          <w:sz w:val="16"/>
        </w:rPr>
        <w:t xml:space="preserve">Note: </w:t>
      </w:r>
      <w:r>
        <w:rPr>
          <w:b w:val="0"/>
          <w:i w:val="0"/>
          <w:sz w:val="16"/>
        </w:rPr>
        <w:t>Shock is standardized, so its coefficient is the effect of a one-standard-deviation adverse demand shock at a workforce skill variety of zero; the effect at the sample mean of Variety is reported in the text and plotted in Figure 2.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4.4. Related versus Unrelated Variety</w:t>
      </w:r>
    </w:p>
    <w:p>
      <w:pPr>
        <w:pStyle w:val="MDPI32textnoindent"/>
      </w:pPr>
      <w:r>
        <w:rPr>
          <w:b w:val="0"/>
          <w:i w:val="0"/>
        </w:rPr>
        <w:t>Table 6 decomposes the buffer. Entered separately, both components attenuate the shock. Entered together in column (3), the interaction with related variety is 1.585 and the interaction with unrelated variety is 1.067, both significant at the one percent level. The difference of 0.518 is itself significant (p = 0.002): related variety buffers 1.49 times as strongly as unrelated variety. Figure 2b plots the schedule for each component estimated on its own, in columns (1) and (2), over the range of bits that component actually occupies; the ratio just quoted is the one from column (3), where the two enter together. H3 is supported, with an important qualification. Because the unrelated component is more widely dispersed across firms (a standard deviation of 0.629 bits against 0.407), a one-standard-deviation movement in each buys a similar amount of buffering, 0.645 against 0.671. The finding is therefore about the productivity of a unit of variety rather than about which component accounts for more of the observed cross-sectional variation: a bit of variety placed within an occupational family is worth about half as much again as a bit placed between families. The result is still the opposite of a portfolio intuition. What protects young employment is not that the firm does many unconnected things, but that within each thing it does there is a ladder of qualifications along which a person can be moved.</w:t>
      </w:r>
    </w:p>
    <w:p>
      <w:pPr>
        <w:pStyle w:val="MDPI41tablecaption"/>
        <w:keepNext/>
        <w:spacing w:after="60"/>
      </w:pPr>
      <w:r>
        <w:rPr>
          <w:b/>
          <w:sz w:val="18"/>
        </w:rPr>
        <w:t xml:space="preserve">Table 6. </w:t>
      </w:r>
      <w:r>
        <w:rPr>
          <w:b w:val="0"/>
          <w:i w:val="0"/>
          <w:sz w:val="18"/>
        </w:rPr>
        <w:t>Related and unrelated variety.</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671"/>
        <w:gridCol w:w="1728"/>
        <w:gridCol w:w="1728"/>
        <w:gridCol w:w="1728"/>
      </w:tblGrid>
      <w:tr>
        <w:trPr>
          <w:cantSplit/>
          <w:tblHeader/>
        </w:trPr>
        <w:tc>
          <w:tcPr>
            <w:tcW w:type="dxa" w:w="2671"/>
            <w:tcBorders>
              <w:bottom w:val="single" w:sz="8" w:space="0" w:color="auto"/>
            </w:tcBorders>
          </w:tcPr>
          <w:p>
            <w:pPr>
              <w:pStyle w:val="MDPI42tablebody"/>
              <w:keepNext/>
              <w:spacing w:line="240" w:lineRule="auto" w:before="30" w:after="30"/>
              <w:jc w:val="center"/>
            </w:pPr>
            <w:r>
              <w:rPr>
                <w:b/>
                <w:i w:val="0"/>
                <w:sz w:val="18"/>
              </w:rPr>
              <w:t>Variable</w:t>
            </w:r>
          </w:p>
        </w:tc>
        <w:tc>
          <w:tcPr>
            <w:tcW w:type="dxa" w:w="1728"/>
            <w:tcBorders>
              <w:bottom w:val="single" w:sz="8" w:space="0" w:color="auto"/>
            </w:tcBorders>
          </w:tcPr>
          <w:p>
            <w:pPr>
              <w:pStyle w:val="MDPI42tablebody"/>
              <w:keepNext/>
              <w:spacing w:line="240" w:lineRule="auto" w:before="30" w:after="30"/>
              <w:jc w:val="center"/>
            </w:pPr>
            <w:r>
              <w:rPr>
                <w:b/>
                <w:i w:val="0"/>
                <w:sz w:val="18"/>
              </w:rPr>
              <w:t>(1)</w:t>
            </w:r>
          </w:p>
        </w:tc>
        <w:tc>
          <w:tcPr>
            <w:tcW w:type="dxa" w:w="1728"/>
            <w:tcBorders>
              <w:bottom w:val="single" w:sz="8" w:space="0" w:color="auto"/>
            </w:tcBorders>
          </w:tcPr>
          <w:p>
            <w:pPr>
              <w:pStyle w:val="MDPI42tablebody"/>
              <w:keepNext/>
              <w:spacing w:line="240" w:lineRule="auto" w:before="30" w:after="30"/>
              <w:jc w:val="center"/>
            </w:pPr>
            <w:r>
              <w:rPr>
                <w:b/>
                <w:i w:val="0"/>
                <w:sz w:val="18"/>
              </w:rPr>
              <w:t>(2)</w:t>
            </w:r>
          </w:p>
        </w:tc>
        <w:tc>
          <w:tcPr>
            <w:tcW w:type="dxa" w:w="1728"/>
            <w:tcBorders>
              <w:bottom w:val="single" w:sz="8" w:space="0" w:color="auto"/>
            </w:tcBorders>
          </w:tcPr>
          <w:p>
            <w:pPr>
              <w:pStyle w:val="MDPI42tablebody"/>
              <w:keepNext/>
              <w:spacing w:line="240" w:lineRule="auto" w:before="30" w:after="30"/>
              <w:jc w:val="center"/>
            </w:pPr>
            <w:r>
              <w:rPr>
                <w:b/>
                <w:i w:val="0"/>
                <w:sz w:val="18"/>
              </w:rPr>
              <w:t>(3)</w:t>
            </w:r>
          </w:p>
        </w:tc>
      </w:tr>
      <w:tr>
        <w:trPr>
          <w:cantSplit/>
        </w:trPr>
        <w:tc>
          <w:tcPr>
            <w:tcW w:type="dxa" w:w="2671"/>
          </w:tcPr>
          <w:p>
            <w:pPr>
              <w:pStyle w:val="MDPI42tablebody"/>
              <w:keepNext/>
              <w:spacing w:line="240" w:lineRule="auto" w:before="30" w:after="30"/>
              <w:jc w:val="left"/>
            </w:pPr>
            <w:r>
              <w:rPr>
                <w:b w:val="0"/>
                <w:i/>
                <w:sz w:val="18"/>
              </w:rPr>
              <w:t>Shock</w:t>
            </w:r>
          </w:p>
        </w:tc>
        <w:tc>
          <w:tcPr>
            <w:tcW w:type="dxa" w:w="1728"/>
          </w:tcPr>
          <w:p>
            <w:pPr>
              <w:pStyle w:val="MDPI42tablebody"/>
              <w:keepNext/>
              <w:spacing w:line="240" w:lineRule="auto" w:before="30" w:after="30"/>
              <w:jc w:val="center"/>
            </w:pPr>
            <w:r>
              <w:rPr>
                <w:b w:val="0"/>
                <w:i w:val="0"/>
                <w:sz w:val="18"/>
              </w:rPr>
              <w:t>−3.425***</w:t>
            </w:r>
          </w:p>
        </w:tc>
        <w:tc>
          <w:tcPr>
            <w:tcW w:type="dxa" w:w="1728"/>
          </w:tcPr>
          <w:p>
            <w:pPr>
              <w:pStyle w:val="MDPI42tablebody"/>
              <w:keepNext/>
              <w:spacing w:line="240" w:lineRule="auto" w:before="30" w:after="30"/>
              <w:jc w:val="center"/>
            </w:pPr>
            <w:r>
              <w:rPr>
                <w:b w:val="0"/>
                <w:i w:val="0"/>
                <w:sz w:val="18"/>
              </w:rPr>
              <w:t>−3.374***</w:t>
            </w:r>
          </w:p>
        </w:tc>
        <w:tc>
          <w:tcPr>
            <w:tcW w:type="dxa" w:w="1728"/>
          </w:tcPr>
          <w:p>
            <w:pPr>
              <w:pStyle w:val="MDPI42tablebody"/>
              <w:keepNext/>
              <w:spacing w:line="240" w:lineRule="auto" w:before="30" w:after="30"/>
              <w:jc w:val="center"/>
            </w:pPr>
            <w:r>
              <w:rPr>
                <w:b w:val="0"/>
                <w:i w:val="0"/>
                <w:sz w:val="18"/>
              </w:rPr>
              <w:t>−4.136***</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(0.134)</w:t>
            </w:r>
          </w:p>
        </w:tc>
        <w:tc>
          <w:tcPr>
            <w:tcW w:type="dxa" w:w="1728"/>
          </w:tcPr>
          <w:p>
            <w:pPr>
              <w:pStyle w:val="MDPI42tablebody"/>
              <w:keepNext/>
              <w:spacing w:line="240" w:lineRule="auto" w:before="30" w:after="30"/>
              <w:jc w:val="center"/>
            </w:pPr>
            <w:r>
              <w:rPr>
                <w:b w:val="0"/>
                <w:i w:val="0"/>
                <w:sz w:val="18"/>
              </w:rPr>
              <w:t>(0.131)</w:t>
            </w:r>
          </w:p>
        </w:tc>
        <w:tc>
          <w:tcPr>
            <w:tcW w:type="dxa" w:w="1728"/>
          </w:tcPr>
          <w:p>
            <w:pPr>
              <w:pStyle w:val="MDPI42tablebody"/>
              <w:keepNext/>
              <w:spacing w:line="240" w:lineRule="auto" w:before="30" w:after="30"/>
              <w:jc w:val="center"/>
            </w:pPr>
            <w:r>
              <w:rPr>
                <w:b w:val="0"/>
                <w:i w:val="0"/>
                <w:sz w:val="18"/>
              </w:rPr>
              <w:t>(0.142)</w:t>
            </w:r>
          </w:p>
        </w:tc>
      </w:tr>
      <w:tr>
        <w:trPr>
          <w:cantSplit/>
        </w:trPr>
        <w:tc>
          <w:tcPr>
            <w:tcW w:type="dxa" w:w="2671"/>
          </w:tcPr>
          <w:p>
            <w:pPr>
              <w:pStyle w:val="MDPI42tablebody"/>
              <w:keepNext/>
              <w:spacing w:line="240" w:lineRule="auto" w:before="30" w:after="30"/>
              <w:jc w:val="left"/>
            </w:pPr>
            <w:r>
              <w:rPr>
                <w:b w:val="0"/>
                <w:i/>
                <w:sz w:val="18"/>
              </w:rPr>
              <w:t>RelVar</w:t>
            </w:r>
          </w:p>
        </w:tc>
        <w:tc>
          <w:tcPr>
            <w:tcW w:type="dxa" w:w="1728"/>
          </w:tcPr>
          <w:p>
            <w:pPr>
              <w:pStyle w:val="MDPI42tablebody"/>
              <w:keepNext/>
              <w:spacing w:line="240" w:lineRule="auto" w:before="30" w:after="30"/>
              <w:jc w:val="center"/>
            </w:pPr>
            <w:r>
              <w:rPr>
                <w:b w:val="0"/>
                <w:i w:val="0"/>
                <w:sz w:val="18"/>
              </w:rPr>
              <w:t>3.978***</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2.172***</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(0.202)</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(0.266)</w:t>
            </w:r>
          </w:p>
        </w:tc>
      </w:tr>
      <w:tr>
        <w:trPr>
          <w:cantSplit/>
        </w:trPr>
        <w:tc>
          <w:tcPr>
            <w:tcW w:type="dxa" w:w="2671"/>
          </w:tcPr>
          <w:p>
            <w:pPr>
              <w:pStyle w:val="MDPI42tablebody"/>
              <w:keepNext/>
              <w:spacing w:line="240" w:lineRule="auto" w:before="30" w:after="30"/>
              <w:jc w:val="left"/>
            </w:pPr>
            <w:r>
              <w:rPr>
                <w:b w:val="0"/>
                <w:i/>
                <w:sz w:val="18"/>
              </w:rPr>
              <w:t>UnrelVar</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2.908***</w:t>
            </w:r>
          </w:p>
        </w:tc>
        <w:tc>
          <w:tcPr>
            <w:tcW w:type="dxa" w:w="1728"/>
          </w:tcPr>
          <w:p>
            <w:pPr>
              <w:pStyle w:val="MDPI42tablebody"/>
              <w:keepNext/>
              <w:spacing w:line="240" w:lineRule="auto" w:before="30" w:after="30"/>
              <w:jc w:val="center"/>
            </w:pPr>
            <w:r>
              <w:rPr>
                <w:b w:val="0"/>
                <w:i w:val="0"/>
                <w:sz w:val="18"/>
              </w:rPr>
              <w:t>1.912***</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(0.142)</w:t>
            </w:r>
          </w:p>
        </w:tc>
        <w:tc>
          <w:tcPr>
            <w:tcW w:type="dxa" w:w="1728"/>
          </w:tcPr>
          <w:p>
            <w:pPr>
              <w:pStyle w:val="MDPI42tablebody"/>
              <w:keepNext/>
              <w:spacing w:line="240" w:lineRule="auto" w:before="30" w:after="30"/>
              <w:jc w:val="center"/>
            </w:pPr>
            <w:r>
              <w:rPr>
                <w:b w:val="0"/>
                <w:i w:val="0"/>
                <w:sz w:val="18"/>
              </w:rPr>
              <w:t>(0.187)</w:t>
            </w:r>
          </w:p>
        </w:tc>
      </w:tr>
      <w:tr>
        <w:trPr>
          <w:cantSplit/>
        </w:trPr>
        <w:tc>
          <w:tcPr>
            <w:tcW w:type="dxa" w:w="2671"/>
          </w:tcPr>
          <w:p>
            <w:pPr>
              <w:pStyle w:val="MDPI42tablebody"/>
              <w:keepNext/>
              <w:spacing w:line="240" w:lineRule="auto" w:before="30" w:after="30"/>
              <w:jc w:val="left"/>
            </w:pPr>
            <w:r>
              <w:rPr>
                <w:b w:val="0"/>
                <w:i/>
                <w:sz w:val="18"/>
              </w:rPr>
              <w:t>Shock x RelVar</w:t>
            </w:r>
          </w:p>
        </w:tc>
        <w:tc>
          <w:tcPr>
            <w:tcW w:type="dxa" w:w="1728"/>
          </w:tcPr>
          <w:p>
            <w:pPr>
              <w:pStyle w:val="MDPI42tablebody"/>
              <w:keepNext/>
              <w:spacing w:line="240" w:lineRule="auto" w:before="30" w:after="30"/>
              <w:jc w:val="center"/>
            </w:pPr>
            <w:r>
              <w:rPr>
                <w:b w:val="0"/>
                <w:i w:val="0"/>
                <w:sz w:val="18"/>
              </w:rPr>
              <w:t>2.477***</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1.585***</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(0.101)</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(0.117)</w:t>
            </w:r>
          </w:p>
        </w:tc>
      </w:tr>
      <w:tr>
        <w:trPr>
          <w:cantSplit/>
        </w:trPr>
        <w:tc>
          <w:tcPr>
            <w:tcW w:type="dxa" w:w="2671"/>
          </w:tcPr>
          <w:p>
            <w:pPr>
              <w:pStyle w:val="MDPI42tablebody"/>
              <w:keepNext/>
              <w:spacing w:line="240" w:lineRule="auto" w:before="30" w:after="30"/>
              <w:jc w:val="left"/>
            </w:pPr>
            <w:r>
              <w:rPr>
                <w:b w:val="0"/>
                <w:i/>
                <w:sz w:val="18"/>
              </w:rPr>
              <w:t>Shock x UnrelVar</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1.618***</w:t>
            </w:r>
          </w:p>
        </w:tc>
        <w:tc>
          <w:tcPr>
            <w:tcW w:type="dxa" w:w="1728"/>
          </w:tcPr>
          <w:p>
            <w:pPr>
              <w:pStyle w:val="MDPI42tablebody"/>
              <w:keepNext/>
              <w:spacing w:line="240" w:lineRule="auto" w:before="30" w:after="30"/>
              <w:jc w:val="center"/>
            </w:pPr>
            <w:r>
              <w:rPr>
                <w:b w:val="0"/>
                <w:i w:val="0"/>
                <w:sz w:val="18"/>
              </w:rPr>
              <w:t>1.067***</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(0.065)</w:t>
            </w:r>
          </w:p>
        </w:tc>
        <w:tc>
          <w:tcPr>
            <w:tcW w:type="dxa" w:w="1728"/>
          </w:tcPr>
          <w:p>
            <w:pPr>
              <w:pStyle w:val="MDPI42tablebody"/>
              <w:keepNext/>
              <w:spacing w:line="240" w:lineRule="auto" w:before="30" w:after="30"/>
              <w:jc w:val="center"/>
            </w:pPr>
            <w:r>
              <w:rPr>
                <w:b w:val="0"/>
                <w:i w:val="0"/>
                <w:sz w:val="18"/>
              </w:rPr>
              <w:t>(0.075)</w:t>
            </w:r>
          </w:p>
        </w:tc>
      </w:tr>
      <w:tr>
        <w:trPr>
          <w:cantSplit/>
        </w:trPr>
        <w:tc>
          <w:tcPr>
            <w:tcW w:type="dxa" w:w="2671"/>
          </w:tcPr>
          <w:p>
            <w:pPr>
              <w:pStyle w:val="MDPI42tablebody"/>
              <w:keepNext/>
              <w:spacing w:line="240" w:lineRule="auto" w:before="30" w:after="30"/>
              <w:jc w:val="left"/>
            </w:pPr>
            <w:r>
              <w:rPr>
                <w:b w:val="0"/>
                <w:i/>
                <w:sz w:val="18"/>
              </w:rPr>
              <w:t>Size</w:t>
            </w:r>
          </w:p>
        </w:tc>
        <w:tc>
          <w:tcPr>
            <w:tcW w:type="dxa" w:w="1728"/>
          </w:tcPr>
          <w:p>
            <w:pPr>
              <w:pStyle w:val="MDPI42tablebody"/>
              <w:keepNext/>
              <w:spacing w:line="240" w:lineRule="auto" w:before="30" w:after="30"/>
              <w:jc w:val="center"/>
            </w:pPr>
            <w:r>
              <w:rPr>
                <w:b w:val="0"/>
                <w:i w:val="0"/>
                <w:sz w:val="18"/>
              </w:rPr>
              <w:t>2.723***</w:t>
            </w:r>
          </w:p>
        </w:tc>
        <w:tc>
          <w:tcPr>
            <w:tcW w:type="dxa" w:w="1728"/>
          </w:tcPr>
          <w:p>
            <w:pPr>
              <w:pStyle w:val="MDPI42tablebody"/>
              <w:keepNext/>
              <w:spacing w:line="240" w:lineRule="auto" w:before="30" w:after="30"/>
              <w:jc w:val="center"/>
            </w:pPr>
            <w:r>
              <w:rPr>
                <w:b w:val="0"/>
                <w:i w:val="0"/>
                <w:sz w:val="18"/>
              </w:rPr>
              <w:t>2.692***</w:t>
            </w:r>
          </w:p>
        </w:tc>
        <w:tc>
          <w:tcPr>
            <w:tcW w:type="dxa" w:w="1728"/>
          </w:tcPr>
          <w:p>
            <w:pPr>
              <w:pStyle w:val="MDPI42tablebody"/>
              <w:keepNext/>
              <w:spacing w:line="240" w:lineRule="auto" w:before="30" w:after="30"/>
              <w:jc w:val="center"/>
            </w:pPr>
            <w:r>
              <w:rPr>
                <w:b w:val="0"/>
                <w:i w:val="0"/>
                <w:sz w:val="18"/>
              </w:rPr>
              <w:t>2.711***</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(0.403)</w:t>
            </w:r>
          </w:p>
        </w:tc>
        <w:tc>
          <w:tcPr>
            <w:tcW w:type="dxa" w:w="1728"/>
          </w:tcPr>
          <w:p>
            <w:pPr>
              <w:pStyle w:val="MDPI42tablebody"/>
              <w:keepNext/>
              <w:spacing w:line="240" w:lineRule="auto" w:before="30" w:after="30"/>
              <w:jc w:val="center"/>
            </w:pPr>
            <w:r>
              <w:rPr>
                <w:b w:val="0"/>
                <w:i w:val="0"/>
                <w:sz w:val="18"/>
              </w:rPr>
              <w:t>(0.403)</w:t>
            </w:r>
          </w:p>
        </w:tc>
        <w:tc>
          <w:tcPr>
            <w:tcW w:type="dxa" w:w="1728"/>
          </w:tcPr>
          <w:p>
            <w:pPr>
              <w:pStyle w:val="MDPI42tablebody"/>
              <w:keepNext/>
              <w:spacing w:line="240" w:lineRule="auto" w:before="30" w:after="30"/>
              <w:jc w:val="center"/>
            </w:pPr>
            <w:r>
              <w:rPr>
                <w:b w:val="0"/>
                <w:i w:val="0"/>
                <w:sz w:val="18"/>
              </w:rPr>
              <w:t>(0.401)</w:t>
            </w:r>
          </w:p>
        </w:tc>
      </w:tr>
      <w:tr>
        <w:trPr>
          <w:cantSplit/>
        </w:trPr>
        <w:tc>
          <w:tcPr>
            <w:tcW w:type="dxa" w:w="2671"/>
          </w:tcPr>
          <w:p>
            <w:pPr>
              <w:pStyle w:val="MDPI42tablebody"/>
              <w:keepNext/>
              <w:spacing w:line="240" w:lineRule="auto" w:before="30" w:after="30"/>
              <w:jc w:val="left"/>
            </w:pPr>
            <w:r>
              <w:rPr>
                <w:b w:val="0"/>
                <w:i/>
                <w:sz w:val="18"/>
              </w:rPr>
              <w:t>Lev</w:t>
            </w:r>
          </w:p>
        </w:tc>
        <w:tc>
          <w:tcPr>
            <w:tcW w:type="dxa" w:w="1728"/>
          </w:tcPr>
          <w:p>
            <w:pPr>
              <w:pStyle w:val="MDPI42tablebody"/>
              <w:keepNext/>
              <w:spacing w:line="240" w:lineRule="auto" w:before="30" w:after="30"/>
              <w:jc w:val="center"/>
            </w:pPr>
            <w:r>
              <w:rPr>
                <w:b w:val="0"/>
                <w:i w:val="0"/>
                <w:sz w:val="18"/>
              </w:rPr>
              <w:t>−1.572*</w:t>
            </w:r>
          </w:p>
        </w:tc>
        <w:tc>
          <w:tcPr>
            <w:tcW w:type="dxa" w:w="1728"/>
          </w:tcPr>
          <w:p>
            <w:pPr>
              <w:pStyle w:val="MDPI42tablebody"/>
              <w:keepNext/>
              <w:spacing w:line="240" w:lineRule="auto" w:before="30" w:after="30"/>
              <w:jc w:val="center"/>
            </w:pPr>
            <w:r>
              <w:rPr>
                <w:b w:val="0"/>
                <w:i w:val="0"/>
                <w:sz w:val="18"/>
              </w:rPr>
              <w:t>−1.559*</w:t>
            </w:r>
          </w:p>
        </w:tc>
        <w:tc>
          <w:tcPr>
            <w:tcW w:type="dxa" w:w="1728"/>
          </w:tcPr>
          <w:p>
            <w:pPr>
              <w:pStyle w:val="MDPI42tablebody"/>
              <w:keepNext/>
              <w:spacing w:line="240" w:lineRule="auto" w:before="30" w:after="30"/>
              <w:jc w:val="center"/>
            </w:pPr>
            <w:r>
              <w:rPr>
                <w:b w:val="0"/>
                <w:i w:val="0"/>
                <w:sz w:val="18"/>
              </w:rPr>
              <w:t>−1.497*</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(0.905)</w:t>
            </w:r>
          </w:p>
        </w:tc>
        <w:tc>
          <w:tcPr>
            <w:tcW w:type="dxa" w:w="1728"/>
          </w:tcPr>
          <w:p>
            <w:pPr>
              <w:pStyle w:val="MDPI42tablebody"/>
              <w:keepNext/>
              <w:spacing w:line="240" w:lineRule="auto" w:before="30" w:after="30"/>
              <w:jc w:val="center"/>
            </w:pPr>
            <w:r>
              <w:rPr>
                <w:b w:val="0"/>
                <w:i w:val="0"/>
                <w:sz w:val="18"/>
              </w:rPr>
              <w:t>(0.905)</w:t>
            </w:r>
          </w:p>
        </w:tc>
        <w:tc>
          <w:tcPr>
            <w:tcW w:type="dxa" w:w="1728"/>
          </w:tcPr>
          <w:p>
            <w:pPr>
              <w:pStyle w:val="MDPI42tablebody"/>
              <w:keepNext/>
              <w:spacing w:line="240" w:lineRule="auto" w:before="30" w:after="30"/>
              <w:jc w:val="center"/>
            </w:pPr>
            <w:r>
              <w:rPr>
                <w:b w:val="0"/>
                <w:i w:val="0"/>
                <w:sz w:val="18"/>
              </w:rPr>
              <w:t>(0.901)</w:t>
            </w:r>
          </w:p>
        </w:tc>
      </w:tr>
      <w:tr>
        <w:trPr>
          <w:cantSplit/>
        </w:trPr>
        <w:tc>
          <w:tcPr>
            <w:tcW w:type="dxa" w:w="2671"/>
          </w:tcPr>
          <w:p>
            <w:pPr>
              <w:pStyle w:val="MDPI42tablebody"/>
              <w:keepNext/>
              <w:spacing w:line="240" w:lineRule="auto" w:before="30" w:after="30"/>
              <w:jc w:val="left"/>
            </w:pPr>
            <w:r>
              <w:rPr>
                <w:b w:val="0"/>
                <w:i/>
                <w:sz w:val="18"/>
              </w:rPr>
              <w:t>ROA</w:t>
            </w:r>
          </w:p>
        </w:tc>
        <w:tc>
          <w:tcPr>
            <w:tcW w:type="dxa" w:w="1728"/>
          </w:tcPr>
          <w:p>
            <w:pPr>
              <w:pStyle w:val="MDPI42tablebody"/>
              <w:keepNext/>
              <w:spacing w:line="240" w:lineRule="auto" w:before="30" w:after="30"/>
              <w:jc w:val="center"/>
            </w:pPr>
            <w:r>
              <w:rPr>
                <w:b w:val="0"/>
                <w:i w:val="0"/>
                <w:sz w:val="18"/>
              </w:rPr>
              <w:t>12.820***</w:t>
            </w:r>
          </w:p>
        </w:tc>
        <w:tc>
          <w:tcPr>
            <w:tcW w:type="dxa" w:w="1728"/>
          </w:tcPr>
          <w:p>
            <w:pPr>
              <w:pStyle w:val="MDPI42tablebody"/>
              <w:keepNext/>
              <w:spacing w:line="240" w:lineRule="auto" w:before="30" w:after="30"/>
              <w:jc w:val="center"/>
            </w:pPr>
            <w:r>
              <w:rPr>
                <w:b w:val="0"/>
                <w:i w:val="0"/>
                <w:sz w:val="18"/>
              </w:rPr>
              <w:t>12.978***</w:t>
            </w:r>
          </w:p>
        </w:tc>
        <w:tc>
          <w:tcPr>
            <w:tcW w:type="dxa" w:w="1728"/>
          </w:tcPr>
          <w:p>
            <w:pPr>
              <w:pStyle w:val="MDPI42tablebody"/>
              <w:keepNext/>
              <w:spacing w:line="240" w:lineRule="auto" w:before="30" w:after="30"/>
              <w:jc w:val="center"/>
            </w:pPr>
            <w:r>
              <w:rPr>
                <w:b w:val="0"/>
                <w:i w:val="0"/>
                <w:sz w:val="18"/>
              </w:rPr>
              <w:t>12.935***</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(1.514)</w:t>
            </w:r>
          </w:p>
        </w:tc>
        <w:tc>
          <w:tcPr>
            <w:tcW w:type="dxa" w:w="1728"/>
          </w:tcPr>
          <w:p>
            <w:pPr>
              <w:pStyle w:val="MDPI42tablebody"/>
              <w:keepNext/>
              <w:spacing w:line="240" w:lineRule="auto" w:before="30" w:after="30"/>
              <w:jc w:val="center"/>
            </w:pPr>
            <w:r>
              <w:rPr>
                <w:b w:val="0"/>
                <w:i w:val="0"/>
                <w:sz w:val="18"/>
              </w:rPr>
              <w:t>(1.509)</w:t>
            </w:r>
          </w:p>
        </w:tc>
        <w:tc>
          <w:tcPr>
            <w:tcW w:type="dxa" w:w="1728"/>
          </w:tcPr>
          <w:p>
            <w:pPr>
              <w:pStyle w:val="MDPI42tablebody"/>
              <w:keepNext/>
              <w:spacing w:line="240" w:lineRule="auto" w:before="30" w:after="30"/>
              <w:jc w:val="center"/>
            </w:pPr>
            <w:r>
              <w:rPr>
                <w:b w:val="0"/>
                <w:i w:val="0"/>
                <w:sz w:val="18"/>
              </w:rPr>
              <w:t>(1.504)</w:t>
            </w:r>
          </w:p>
        </w:tc>
      </w:tr>
      <w:tr>
        <w:trPr>
          <w:cantSplit/>
        </w:trPr>
        <w:tc>
          <w:tcPr>
            <w:tcW w:type="dxa" w:w="2671"/>
          </w:tcPr>
          <w:p>
            <w:pPr>
              <w:pStyle w:val="MDPI42tablebody"/>
              <w:keepNext/>
              <w:spacing w:line="240" w:lineRule="auto" w:before="30" w:after="30"/>
              <w:jc w:val="left"/>
            </w:pPr>
            <w:r>
              <w:rPr>
                <w:b w:val="0"/>
                <w:i/>
                <w:sz w:val="18"/>
              </w:rPr>
              <w:t>Cashflow</w:t>
            </w:r>
          </w:p>
        </w:tc>
        <w:tc>
          <w:tcPr>
            <w:tcW w:type="dxa" w:w="1728"/>
          </w:tcPr>
          <w:p>
            <w:pPr>
              <w:pStyle w:val="MDPI42tablebody"/>
              <w:keepNext/>
              <w:spacing w:line="240" w:lineRule="auto" w:before="30" w:after="30"/>
              <w:jc w:val="center"/>
            </w:pPr>
            <w:r>
              <w:rPr>
                <w:b w:val="0"/>
                <w:i w:val="0"/>
                <w:sz w:val="18"/>
              </w:rPr>
              <w:t>0.651</w:t>
            </w:r>
          </w:p>
        </w:tc>
        <w:tc>
          <w:tcPr>
            <w:tcW w:type="dxa" w:w="1728"/>
          </w:tcPr>
          <w:p>
            <w:pPr>
              <w:pStyle w:val="MDPI42tablebody"/>
              <w:keepNext/>
              <w:spacing w:line="240" w:lineRule="auto" w:before="30" w:after="30"/>
              <w:jc w:val="center"/>
            </w:pPr>
            <w:r>
              <w:rPr>
                <w:b w:val="0"/>
                <w:i w:val="0"/>
                <w:sz w:val="18"/>
              </w:rPr>
              <w:t>0.797</w:t>
            </w:r>
          </w:p>
        </w:tc>
        <w:tc>
          <w:tcPr>
            <w:tcW w:type="dxa" w:w="1728"/>
          </w:tcPr>
          <w:p>
            <w:pPr>
              <w:pStyle w:val="MDPI42tablebody"/>
              <w:keepNext/>
              <w:spacing w:line="240" w:lineRule="auto" w:before="30" w:after="30"/>
              <w:jc w:val="center"/>
            </w:pPr>
            <w:r>
              <w:rPr>
                <w:b w:val="0"/>
                <w:i w:val="0"/>
                <w:sz w:val="18"/>
              </w:rPr>
              <w:t>0.688</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(0.692)</w:t>
            </w:r>
          </w:p>
        </w:tc>
        <w:tc>
          <w:tcPr>
            <w:tcW w:type="dxa" w:w="1728"/>
          </w:tcPr>
          <w:p>
            <w:pPr>
              <w:pStyle w:val="MDPI42tablebody"/>
              <w:keepNext/>
              <w:spacing w:line="240" w:lineRule="auto" w:before="30" w:after="30"/>
              <w:jc w:val="center"/>
            </w:pPr>
            <w:r>
              <w:rPr>
                <w:b w:val="0"/>
                <w:i w:val="0"/>
                <w:sz w:val="18"/>
              </w:rPr>
              <w:t>(0.691)</w:t>
            </w:r>
          </w:p>
        </w:tc>
        <w:tc>
          <w:tcPr>
            <w:tcW w:type="dxa" w:w="1728"/>
          </w:tcPr>
          <w:p>
            <w:pPr>
              <w:pStyle w:val="MDPI42tablebody"/>
              <w:keepNext/>
              <w:spacing w:line="240" w:lineRule="auto" w:before="30" w:after="30"/>
              <w:jc w:val="center"/>
            </w:pPr>
            <w:r>
              <w:rPr>
                <w:b w:val="0"/>
                <w:i w:val="0"/>
                <w:sz w:val="18"/>
              </w:rPr>
              <w:t>(0.688)</w:t>
            </w:r>
          </w:p>
        </w:tc>
      </w:tr>
      <w:tr>
        <w:trPr>
          <w:cantSplit/>
        </w:trPr>
        <w:tc>
          <w:tcPr>
            <w:tcW w:type="dxa" w:w="2671"/>
          </w:tcPr>
          <w:p>
            <w:pPr>
              <w:pStyle w:val="MDPI42tablebody"/>
              <w:keepNext/>
              <w:spacing w:line="240" w:lineRule="auto" w:before="30" w:after="30"/>
              <w:jc w:val="left"/>
            </w:pPr>
            <w:r>
              <w:rPr>
                <w:b w:val="0"/>
                <w:i/>
                <w:sz w:val="18"/>
              </w:rPr>
              <w:t>TobinQ</w:t>
            </w:r>
          </w:p>
        </w:tc>
        <w:tc>
          <w:tcPr>
            <w:tcW w:type="dxa" w:w="1728"/>
          </w:tcPr>
          <w:p>
            <w:pPr>
              <w:pStyle w:val="MDPI42tablebody"/>
              <w:keepNext/>
              <w:spacing w:line="240" w:lineRule="auto" w:before="30" w:after="30"/>
              <w:jc w:val="center"/>
            </w:pPr>
            <w:r>
              <w:rPr>
                <w:b w:val="0"/>
                <w:i w:val="0"/>
                <w:sz w:val="18"/>
              </w:rPr>
              <w:t>0.568***</w:t>
            </w:r>
          </w:p>
        </w:tc>
        <w:tc>
          <w:tcPr>
            <w:tcW w:type="dxa" w:w="1728"/>
          </w:tcPr>
          <w:p>
            <w:pPr>
              <w:pStyle w:val="MDPI42tablebody"/>
              <w:keepNext/>
              <w:spacing w:line="240" w:lineRule="auto" w:before="30" w:after="30"/>
              <w:jc w:val="center"/>
            </w:pPr>
            <w:r>
              <w:rPr>
                <w:b w:val="0"/>
                <w:i w:val="0"/>
                <w:sz w:val="18"/>
              </w:rPr>
              <w:t>0.569***</w:t>
            </w:r>
          </w:p>
        </w:tc>
        <w:tc>
          <w:tcPr>
            <w:tcW w:type="dxa" w:w="1728"/>
          </w:tcPr>
          <w:p>
            <w:pPr>
              <w:pStyle w:val="MDPI42tablebody"/>
              <w:keepNext/>
              <w:spacing w:line="240" w:lineRule="auto" w:before="30" w:after="30"/>
              <w:jc w:val="center"/>
            </w:pPr>
            <w:r>
              <w:rPr>
                <w:b w:val="0"/>
                <w:i w:val="0"/>
                <w:sz w:val="18"/>
              </w:rPr>
              <w:t>0.572***</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(0.047)</w:t>
            </w:r>
          </w:p>
        </w:tc>
        <w:tc>
          <w:tcPr>
            <w:tcW w:type="dxa" w:w="1728"/>
          </w:tcPr>
          <w:p>
            <w:pPr>
              <w:pStyle w:val="MDPI42tablebody"/>
              <w:keepNext/>
              <w:spacing w:line="240" w:lineRule="auto" w:before="30" w:after="30"/>
              <w:jc w:val="center"/>
            </w:pPr>
            <w:r>
              <w:rPr>
                <w:b w:val="0"/>
                <w:i w:val="0"/>
                <w:sz w:val="18"/>
              </w:rPr>
              <w:t>(0.047)</w:t>
            </w:r>
          </w:p>
        </w:tc>
        <w:tc>
          <w:tcPr>
            <w:tcW w:type="dxa" w:w="1728"/>
          </w:tcPr>
          <w:p>
            <w:pPr>
              <w:pStyle w:val="MDPI42tablebody"/>
              <w:keepNext/>
              <w:spacing w:line="240" w:lineRule="auto" w:before="30" w:after="30"/>
              <w:jc w:val="center"/>
            </w:pPr>
            <w:r>
              <w:rPr>
                <w:b w:val="0"/>
                <w:i w:val="0"/>
                <w:sz w:val="18"/>
              </w:rPr>
              <w:t>(0.047)</w:t>
            </w:r>
          </w:p>
        </w:tc>
      </w:tr>
      <w:tr>
        <w:trPr>
          <w:cantSplit/>
        </w:trPr>
        <w:tc>
          <w:tcPr>
            <w:tcW w:type="dxa" w:w="2671"/>
          </w:tcPr>
          <w:p>
            <w:pPr>
              <w:pStyle w:val="MDPI42tablebody"/>
              <w:keepNext/>
              <w:spacing w:line="240" w:lineRule="auto" w:before="30" w:after="30"/>
              <w:jc w:val="left"/>
            </w:pPr>
            <w:r>
              <w:rPr>
                <w:b w:val="0"/>
                <w:i/>
                <w:sz w:val="18"/>
              </w:rPr>
              <w:t>Top1</w:t>
            </w:r>
          </w:p>
        </w:tc>
        <w:tc>
          <w:tcPr>
            <w:tcW w:type="dxa" w:w="1728"/>
          </w:tcPr>
          <w:p>
            <w:pPr>
              <w:pStyle w:val="MDPI42tablebody"/>
              <w:keepNext/>
              <w:spacing w:line="240" w:lineRule="auto" w:before="30" w:after="30"/>
              <w:jc w:val="center"/>
            </w:pPr>
            <w:r>
              <w:rPr>
                <w:b w:val="0"/>
                <w:i w:val="0"/>
                <w:sz w:val="18"/>
              </w:rPr>
              <w:t>−4.041*</w:t>
            </w:r>
          </w:p>
        </w:tc>
        <w:tc>
          <w:tcPr>
            <w:tcW w:type="dxa" w:w="1728"/>
          </w:tcPr>
          <w:p>
            <w:pPr>
              <w:pStyle w:val="MDPI42tablebody"/>
              <w:keepNext/>
              <w:spacing w:line="240" w:lineRule="auto" w:before="30" w:after="30"/>
              <w:jc w:val="center"/>
            </w:pPr>
            <w:r>
              <w:rPr>
                <w:b w:val="0"/>
                <w:i w:val="0"/>
                <w:sz w:val="18"/>
              </w:rPr>
              <w:t>−3.900*</w:t>
            </w:r>
          </w:p>
        </w:tc>
        <w:tc>
          <w:tcPr>
            <w:tcW w:type="dxa" w:w="1728"/>
          </w:tcPr>
          <w:p>
            <w:pPr>
              <w:pStyle w:val="MDPI42tablebody"/>
              <w:keepNext/>
              <w:spacing w:line="240" w:lineRule="auto" w:before="30" w:after="30"/>
              <w:jc w:val="center"/>
            </w:pPr>
            <w:r>
              <w:rPr>
                <w:b w:val="0"/>
                <w:i w:val="0"/>
                <w:sz w:val="18"/>
              </w:rPr>
              <w:t>−4.000*</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(2.065)</w:t>
            </w:r>
          </w:p>
        </w:tc>
        <w:tc>
          <w:tcPr>
            <w:tcW w:type="dxa" w:w="1728"/>
          </w:tcPr>
          <w:p>
            <w:pPr>
              <w:pStyle w:val="MDPI42tablebody"/>
              <w:keepNext/>
              <w:spacing w:line="240" w:lineRule="auto" w:before="30" w:after="30"/>
              <w:jc w:val="center"/>
            </w:pPr>
            <w:r>
              <w:rPr>
                <w:b w:val="0"/>
                <w:i w:val="0"/>
                <w:sz w:val="18"/>
              </w:rPr>
              <w:t>(2.066)</w:t>
            </w:r>
          </w:p>
        </w:tc>
        <w:tc>
          <w:tcPr>
            <w:tcW w:type="dxa" w:w="1728"/>
          </w:tcPr>
          <w:p>
            <w:pPr>
              <w:pStyle w:val="MDPI42tablebody"/>
              <w:keepNext/>
              <w:spacing w:line="240" w:lineRule="auto" w:before="30" w:after="30"/>
              <w:jc w:val="center"/>
            </w:pPr>
            <w:r>
              <w:rPr>
                <w:b w:val="0"/>
                <w:i w:val="0"/>
                <w:sz w:val="18"/>
              </w:rPr>
              <w:t>(2.054)</w:t>
            </w:r>
          </w:p>
        </w:tc>
      </w:tr>
      <w:tr>
        <w:trPr>
          <w:cantSplit/>
        </w:trPr>
        <w:tc>
          <w:tcPr>
            <w:tcW w:type="dxa" w:w="2671"/>
          </w:tcPr>
          <w:p>
            <w:pPr>
              <w:pStyle w:val="MDPI42tablebody"/>
              <w:keepNext/>
              <w:spacing w:line="240" w:lineRule="auto" w:before="30" w:after="30"/>
              <w:jc w:val="left"/>
            </w:pPr>
            <w:r>
              <w:rPr>
                <w:b w:val="0"/>
                <w:i/>
                <w:sz w:val="18"/>
              </w:rPr>
              <w:t>Indep</w:t>
            </w:r>
          </w:p>
        </w:tc>
        <w:tc>
          <w:tcPr>
            <w:tcW w:type="dxa" w:w="1728"/>
          </w:tcPr>
          <w:p>
            <w:pPr>
              <w:pStyle w:val="MDPI42tablebody"/>
              <w:keepNext/>
              <w:spacing w:line="240" w:lineRule="auto" w:before="30" w:after="30"/>
              <w:jc w:val="center"/>
            </w:pPr>
            <w:r>
              <w:rPr>
                <w:b w:val="0"/>
                <w:i w:val="0"/>
                <w:sz w:val="18"/>
              </w:rPr>
              <w:t>0.100</w:t>
            </w:r>
          </w:p>
        </w:tc>
        <w:tc>
          <w:tcPr>
            <w:tcW w:type="dxa" w:w="1728"/>
          </w:tcPr>
          <w:p>
            <w:pPr>
              <w:pStyle w:val="MDPI42tablebody"/>
              <w:keepNext/>
              <w:spacing w:line="240" w:lineRule="auto" w:before="30" w:after="30"/>
              <w:jc w:val="center"/>
            </w:pPr>
            <w:r>
              <w:rPr>
                <w:b w:val="0"/>
                <w:i w:val="0"/>
                <w:sz w:val="18"/>
              </w:rPr>
              <w:t>0.299</w:t>
            </w:r>
          </w:p>
        </w:tc>
        <w:tc>
          <w:tcPr>
            <w:tcW w:type="dxa" w:w="1728"/>
          </w:tcPr>
          <w:p>
            <w:pPr>
              <w:pStyle w:val="MDPI42tablebody"/>
              <w:keepNext/>
              <w:spacing w:line="240" w:lineRule="auto" w:before="30" w:after="30"/>
              <w:jc w:val="center"/>
            </w:pPr>
            <w:r>
              <w:rPr>
                <w:b w:val="0"/>
                <w:i w:val="0"/>
                <w:sz w:val="18"/>
              </w:rPr>
              <w:t>0.378</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(2.886)</w:t>
            </w:r>
          </w:p>
        </w:tc>
        <w:tc>
          <w:tcPr>
            <w:tcW w:type="dxa" w:w="1728"/>
          </w:tcPr>
          <w:p>
            <w:pPr>
              <w:pStyle w:val="MDPI42tablebody"/>
              <w:keepNext/>
              <w:spacing w:line="240" w:lineRule="auto" w:before="30" w:after="30"/>
              <w:jc w:val="center"/>
            </w:pPr>
            <w:r>
              <w:rPr>
                <w:b w:val="0"/>
                <w:i w:val="0"/>
                <w:sz w:val="18"/>
              </w:rPr>
              <w:t>(2.896)</w:t>
            </w:r>
          </w:p>
        </w:tc>
        <w:tc>
          <w:tcPr>
            <w:tcW w:type="dxa" w:w="1728"/>
          </w:tcPr>
          <w:p>
            <w:pPr>
              <w:pStyle w:val="MDPI42tablebody"/>
              <w:keepNext/>
              <w:spacing w:line="240" w:lineRule="auto" w:before="30" w:after="30"/>
              <w:jc w:val="center"/>
            </w:pPr>
            <w:r>
              <w:rPr>
                <w:b w:val="0"/>
                <w:i w:val="0"/>
                <w:sz w:val="18"/>
              </w:rPr>
              <w:t>(2.877)</w:t>
            </w:r>
          </w:p>
        </w:tc>
      </w:tr>
      <w:tr>
        <w:trPr>
          <w:cantSplit/>
        </w:trPr>
        <w:tc>
          <w:tcPr>
            <w:tcW w:type="dxa" w:w="2671"/>
          </w:tcPr>
          <w:p>
            <w:pPr>
              <w:pStyle w:val="MDPI42tablebody"/>
              <w:keepNext/>
              <w:spacing w:line="240" w:lineRule="auto" w:before="30" w:after="30"/>
              <w:jc w:val="left"/>
            </w:pPr>
            <w:r>
              <w:rPr>
                <w:b w:val="0"/>
                <w:i/>
                <w:sz w:val="18"/>
              </w:rPr>
              <w:t>Dual</w:t>
            </w:r>
          </w:p>
        </w:tc>
        <w:tc>
          <w:tcPr>
            <w:tcW w:type="dxa" w:w="1728"/>
          </w:tcPr>
          <w:p>
            <w:pPr>
              <w:pStyle w:val="MDPI42tablebody"/>
              <w:keepNext/>
              <w:spacing w:line="240" w:lineRule="auto" w:before="30" w:after="30"/>
              <w:jc w:val="center"/>
            </w:pPr>
            <w:r>
              <w:rPr>
                <w:b w:val="0"/>
                <w:i w:val="0"/>
                <w:sz w:val="18"/>
              </w:rPr>
              <w:t>−0.207</w:t>
            </w:r>
          </w:p>
        </w:tc>
        <w:tc>
          <w:tcPr>
            <w:tcW w:type="dxa" w:w="1728"/>
          </w:tcPr>
          <w:p>
            <w:pPr>
              <w:pStyle w:val="MDPI42tablebody"/>
              <w:keepNext/>
              <w:spacing w:line="240" w:lineRule="auto" w:before="30" w:after="30"/>
              <w:jc w:val="center"/>
            </w:pPr>
            <w:r>
              <w:rPr>
                <w:b w:val="0"/>
                <w:i w:val="0"/>
                <w:sz w:val="18"/>
              </w:rPr>
              <w:t>−0.166</w:t>
            </w:r>
          </w:p>
        </w:tc>
        <w:tc>
          <w:tcPr>
            <w:tcW w:type="dxa" w:w="1728"/>
          </w:tcPr>
          <w:p>
            <w:pPr>
              <w:pStyle w:val="MDPI42tablebody"/>
              <w:keepNext/>
              <w:spacing w:line="240" w:lineRule="auto" w:before="30" w:after="30"/>
              <w:jc w:val="center"/>
            </w:pPr>
            <w:r>
              <w:rPr>
                <w:b w:val="0"/>
                <w:i w:val="0"/>
                <w:sz w:val="18"/>
              </w:rPr>
              <w:t>−0.185</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(0.151)</w:t>
            </w:r>
          </w:p>
        </w:tc>
        <w:tc>
          <w:tcPr>
            <w:tcW w:type="dxa" w:w="1728"/>
          </w:tcPr>
          <w:p>
            <w:pPr>
              <w:pStyle w:val="MDPI42tablebody"/>
              <w:keepNext/>
              <w:spacing w:line="240" w:lineRule="auto" w:before="30" w:after="30"/>
              <w:jc w:val="center"/>
            </w:pPr>
            <w:r>
              <w:rPr>
                <w:b w:val="0"/>
                <w:i w:val="0"/>
                <w:sz w:val="18"/>
              </w:rPr>
              <w:t>(0.151)</w:t>
            </w:r>
          </w:p>
        </w:tc>
        <w:tc>
          <w:tcPr>
            <w:tcW w:type="dxa" w:w="1728"/>
          </w:tcPr>
          <w:p>
            <w:pPr>
              <w:pStyle w:val="MDPI42tablebody"/>
              <w:keepNext/>
              <w:spacing w:line="240" w:lineRule="auto" w:before="30" w:after="30"/>
              <w:jc w:val="center"/>
            </w:pPr>
            <w:r>
              <w:rPr>
                <w:b w:val="0"/>
                <w:i w:val="0"/>
                <w:sz w:val="18"/>
              </w:rPr>
              <w:t>(0.150)</w:t>
            </w:r>
          </w:p>
        </w:tc>
      </w:tr>
      <w:tr>
        <w:trPr>
          <w:cantSplit/>
        </w:trPr>
        <w:tc>
          <w:tcPr>
            <w:tcW w:type="dxa" w:w="2671"/>
          </w:tcPr>
          <w:p>
            <w:pPr>
              <w:pStyle w:val="MDPI42tablebody"/>
              <w:keepNext/>
              <w:spacing w:line="240" w:lineRule="auto" w:before="30" w:after="30"/>
              <w:jc w:val="left"/>
            </w:pPr>
            <w:r>
              <w:rPr>
                <w:b w:val="0"/>
                <w:i/>
                <w:sz w:val="18"/>
              </w:rPr>
              <w:t>Board</w:t>
            </w:r>
          </w:p>
        </w:tc>
        <w:tc>
          <w:tcPr>
            <w:tcW w:type="dxa" w:w="1728"/>
          </w:tcPr>
          <w:p>
            <w:pPr>
              <w:pStyle w:val="MDPI42tablebody"/>
              <w:keepNext/>
              <w:spacing w:line="240" w:lineRule="auto" w:before="30" w:after="30"/>
              <w:jc w:val="center"/>
            </w:pPr>
            <w:r>
              <w:rPr>
                <w:b w:val="0"/>
                <w:i w:val="0"/>
                <w:sz w:val="18"/>
              </w:rPr>
              <w:t>−0.136</w:t>
            </w:r>
          </w:p>
        </w:tc>
        <w:tc>
          <w:tcPr>
            <w:tcW w:type="dxa" w:w="1728"/>
          </w:tcPr>
          <w:p>
            <w:pPr>
              <w:pStyle w:val="MDPI42tablebody"/>
              <w:keepNext/>
              <w:spacing w:line="240" w:lineRule="auto" w:before="30" w:after="30"/>
              <w:jc w:val="center"/>
            </w:pPr>
            <w:r>
              <w:rPr>
                <w:b w:val="0"/>
                <w:i w:val="0"/>
                <w:sz w:val="18"/>
              </w:rPr>
              <w:t>0.081</w:t>
            </w:r>
          </w:p>
        </w:tc>
        <w:tc>
          <w:tcPr>
            <w:tcW w:type="dxa" w:w="1728"/>
          </w:tcPr>
          <w:p>
            <w:pPr>
              <w:pStyle w:val="MDPI42tablebody"/>
              <w:keepNext/>
              <w:spacing w:line="240" w:lineRule="auto" w:before="30" w:after="30"/>
              <w:jc w:val="center"/>
            </w:pPr>
            <w:r>
              <w:rPr>
                <w:b w:val="0"/>
                <w:i w:val="0"/>
                <w:sz w:val="18"/>
              </w:rPr>
              <w:t>0.041</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(0.916)</w:t>
            </w:r>
          </w:p>
        </w:tc>
        <w:tc>
          <w:tcPr>
            <w:tcW w:type="dxa" w:w="1728"/>
          </w:tcPr>
          <w:p>
            <w:pPr>
              <w:pStyle w:val="MDPI42tablebody"/>
              <w:keepNext/>
              <w:spacing w:line="240" w:lineRule="auto" w:before="30" w:after="30"/>
              <w:jc w:val="center"/>
            </w:pPr>
            <w:r>
              <w:rPr>
                <w:b w:val="0"/>
                <w:i w:val="0"/>
                <w:sz w:val="18"/>
              </w:rPr>
              <w:t>(0.916)</w:t>
            </w:r>
          </w:p>
        </w:tc>
        <w:tc>
          <w:tcPr>
            <w:tcW w:type="dxa" w:w="1728"/>
          </w:tcPr>
          <w:p>
            <w:pPr>
              <w:pStyle w:val="MDPI42tablebody"/>
              <w:keepNext/>
              <w:spacing w:line="240" w:lineRule="auto" w:before="30" w:after="30"/>
              <w:jc w:val="center"/>
            </w:pPr>
            <w:r>
              <w:rPr>
                <w:b w:val="0"/>
                <w:i w:val="0"/>
                <w:sz w:val="18"/>
              </w:rPr>
              <w:t>(0.911)</w:t>
            </w:r>
          </w:p>
        </w:tc>
      </w:tr>
      <w:tr>
        <w:trPr>
          <w:cantSplit/>
        </w:trPr>
        <w:tc>
          <w:tcPr>
            <w:tcW w:type="dxa" w:w="2671"/>
          </w:tcPr>
          <w:p>
            <w:pPr>
              <w:pStyle w:val="MDPI42tablebody"/>
              <w:keepNext/>
              <w:spacing w:line="240" w:lineRule="auto" w:before="30" w:after="30"/>
              <w:jc w:val="left"/>
            </w:pPr>
            <w:r>
              <w:rPr>
                <w:b w:val="0"/>
                <w:i/>
                <w:sz w:val="18"/>
              </w:rPr>
              <w:t>CapInt</w:t>
            </w:r>
          </w:p>
        </w:tc>
        <w:tc>
          <w:tcPr>
            <w:tcW w:type="dxa" w:w="1728"/>
          </w:tcPr>
          <w:p>
            <w:pPr>
              <w:pStyle w:val="MDPI42tablebody"/>
              <w:keepNext/>
              <w:spacing w:line="240" w:lineRule="auto" w:before="30" w:after="30"/>
              <w:jc w:val="center"/>
            </w:pPr>
            <w:r>
              <w:rPr>
                <w:b w:val="0"/>
                <w:i w:val="0"/>
                <w:sz w:val="18"/>
              </w:rPr>
              <w:t>−0.703*</w:t>
            </w:r>
          </w:p>
        </w:tc>
        <w:tc>
          <w:tcPr>
            <w:tcW w:type="dxa" w:w="1728"/>
          </w:tcPr>
          <w:p>
            <w:pPr>
              <w:pStyle w:val="MDPI42tablebody"/>
              <w:keepNext/>
              <w:spacing w:line="240" w:lineRule="auto" w:before="30" w:after="30"/>
              <w:jc w:val="center"/>
            </w:pPr>
            <w:r>
              <w:rPr>
                <w:b w:val="0"/>
                <w:i w:val="0"/>
                <w:sz w:val="18"/>
              </w:rPr>
              <w:t>−0.736*</w:t>
            </w:r>
          </w:p>
        </w:tc>
        <w:tc>
          <w:tcPr>
            <w:tcW w:type="dxa" w:w="1728"/>
          </w:tcPr>
          <w:p>
            <w:pPr>
              <w:pStyle w:val="MDPI42tablebody"/>
              <w:keepNext/>
              <w:spacing w:line="240" w:lineRule="auto" w:before="30" w:after="30"/>
              <w:jc w:val="center"/>
            </w:pPr>
            <w:r>
              <w:rPr>
                <w:b w:val="0"/>
                <w:i w:val="0"/>
                <w:sz w:val="18"/>
              </w:rPr>
              <w:t>−0.682*</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(0.404)</w:t>
            </w:r>
          </w:p>
        </w:tc>
        <w:tc>
          <w:tcPr>
            <w:tcW w:type="dxa" w:w="1728"/>
          </w:tcPr>
          <w:p>
            <w:pPr>
              <w:pStyle w:val="MDPI42tablebody"/>
              <w:keepNext/>
              <w:spacing w:line="240" w:lineRule="auto" w:before="30" w:after="30"/>
              <w:jc w:val="center"/>
            </w:pPr>
            <w:r>
              <w:rPr>
                <w:b w:val="0"/>
                <w:i w:val="0"/>
                <w:sz w:val="18"/>
              </w:rPr>
              <w:t>(0.408)</w:t>
            </w:r>
          </w:p>
        </w:tc>
        <w:tc>
          <w:tcPr>
            <w:tcW w:type="dxa" w:w="1728"/>
          </w:tcPr>
          <w:p>
            <w:pPr>
              <w:pStyle w:val="MDPI42tablebody"/>
              <w:keepNext/>
              <w:spacing w:line="240" w:lineRule="auto" w:before="30" w:after="30"/>
              <w:jc w:val="center"/>
            </w:pPr>
            <w:r>
              <w:rPr>
                <w:b w:val="0"/>
                <w:i w:val="0"/>
                <w:sz w:val="18"/>
              </w:rPr>
              <w:t>(0.405)</w:t>
            </w:r>
          </w:p>
        </w:tc>
      </w:tr>
      <w:tr>
        <w:trPr>
          <w:cantSplit/>
        </w:trPr>
        <w:tc>
          <w:tcPr>
            <w:tcW w:type="dxa" w:w="2671"/>
          </w:tcPr>
          <w:p>
            <w:pPr>
              <w:pStyle w:val="MDPI42tablebody"/>
              <w:keepNext/>
              <w:spacing w:line="240" w:lineRule="auto" w:before="30" w:after="30"/>
              <w:jc w:val="left"/>
            </w:pPr>
            <w:r>
              <w:rPr>
                <w:b w:val="0"/>
                <w:i/>
                <w:sz w:val="18"/>
              </w:rPr>
              <w:t>Emp</w:t>
            </w:r>
          </w:p>
        </w:tc>
        <w:tc>
          <w:tcPr>
            <w:tcW w:type="dxa" w:w="1728"/>
          </w:tcPr>
          <w:p>
            <w:pPr>
              <w:pStyle w:val="MDPI42tablebody"/>
              <w:keepNext/>
              <w:spacing w:line="240" w:lineRule="auto" w:before="30" w:after="30"/>
              <w:jc w:val="center"/>
            </w:pPr>
            <w:r>
              <w:rPr>
                <w:b w:val="0"/>
                <w:i w:val="0"/>
                <w:sz w:val="18"/>
              </w:rPr>
              <w:t>−0.092</w:t>
            </w:r>
          </w:p>
        </w:tc>
        <w:tc>
          <w:tcPr>
            <w:tcW w:type="dxa" w:w="1728"/>
          </w:tcPr>
          <w:p>
            <w:pPr>
              <w:pStyle w:val="MDPI42tablebody"/>
              <w:keepNext/>
              <w:spacing w:line="240" w:lineRule="auto" w:before="30" w:after="30"/>
              <w:jc w:val="center"/>
            </w:pPr>
            <w:r>
              <w:rPr>
                <w:b w:val="0"/>
                <w:i w:val="0"/>
                <w:sz w:val="18"/>
              </w:rPr>
              <w:t>0.050</w:t>
            </w:r>
          </w:p>
        </w:tc>
        <w:tc>
          <w:tcPr>
            <w:tcW w:type="dxa" w:w="1728"/>
          </w:tcPr>
          <w:p>
            <w:pPr>
              <w:pStyle w:val="MDPI42tablebody"/>
              <w:keepNext/>
              <w:spacing w:line="240" w:lineRule="auto" w:before="30" w:after="30"/>
              <w:jc w:val="center"/>
            </w:pPr>
            <w:r>
              <w:rPr>
                <w:b w:val="0"/>
                <w:i w:val="0"/>
                <w:sz w:val="18"/>
              </w:rPr>
              <w:t>0.002</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(0.457)</w:t>
            </w:r>
          </w:p>
        </w:tc>
        <w:tc>
          <w:tcPr>
            <w:tcW w:type="dxa" w:w="1728"/>
          </w:tcPr>
          <w:p>
            <w:pPr>
              <w:pStyle w:val="MDPI42tablebody"/>
              <w:keepNext/>
              <w:spacing w:line="240" w:lineRule="auto" w:before="30" w:after="30"/>
              <w:jc w:val="center"/>
            </w:pPr>
            <w:r>
              <w:rPr>
                <w:b w:val="0"/>
                <w:i w:val="0"/>
                <w:sz w:val="18"/>
              </w:rPr>
              <w:t>(0.457)</w:t>
            </w:r>
          </w:p>
        </w:tc>
        <w:tc>
          <w:tcPr>
            <w:tcW w:type="dxa" w:w="1728"/>
          </w:tcPr>
          <w:p>
            <w:pPr>
              <w:pStyle w:val="MDPI42tablebody"/>
              <w:keepNext/>
              <w:spacing w:line="240" w:lineRule="auto" w:before="30" w:after="30"/>
              <w:jc w:val="center"/>
            </w:pPr>
            <w:r>
              <w:rPr>
                <w:b w:val="0"/>
                <w:i w:val="0"/>
                <w:sz w:val="18"/>
              </w:rPr>
              <w:t>(0.455)</w:t>
            </w:r>
          </w:p>
        </w:tc>
      </w:tr>
      <w:tr>
        <w:trPr>
          <w:cantSplit/>
        </w:trPr>
        <w:tc>
          <w:tcPr>
            <w:tcW w:type="dxa" w:w="2671"/>
          </w:tcPr>
          <w:p>
            <w:pPr>
              <w:pStyle w:val="MDPI42tablebody"/>
              <w:keepNext/>
              <w:spacing w:line="240" w:lineRule="auto" w:before="30" w:after="30"/>
              <w:jc w:val="left"/>
            </w:pPr>
            <w:r>
              <w:rPr>
                <w:b w:val="0"/>
                <w:i/>
                <w:sz w:val="18"/>
              </w:rPr>
              <w:t>Year FE</w:t>
            </w:r>
          </w:p>
        </w:tc>
        <w:tc>
          <w:tcPr>
            <w:tcW w:type="dxa" w:w="1728"/>
          </w:tcPr>
          <w:p>
            <w:pPr>
              <w:pStyle w:val="MDPI42tablebody"/>
              <w:keepNext/>
              <w:spacing w:line="240" w:lineRule="auto" w:before="30" w:after="30"/>
              <w:jc w:val="center"/>
            </w:pPr>
            <w:r>
              <w:rPr>
                <w:b w:val="0"/>
                <w:i w:val="0"/>
                <w:sz w:val="18"/>
              </w:rPr>
              <w:t>YES</w:t>
            </w:r>
          </w:p>
        </w:tc>
        <w:tc>
          <w:tcPr>
            <w:tcW w:type="dxa" w:w="1728"/>
          </w:tcPr>
          <w:p>
            <w:pPr>
              <w:pStyle w:val="MDPI42tablebody"/>
              <w:keepNext/>
              <w:spacing w:line="240" w:lineRule="auto" w:before="30" w:after="30"/>
              <w:jc w:val="center"/>
            </w:pPr>
            <w:r>
              <w:rPr>
                <w:b w:val="0"/>
                <w:i w:val="0"/>
                <w:sz w:val="18"/>
              </w:rPr>
              <w:t>YES</w:t>
            </w:r>
          </w:p>
        </w:tc>
        <w:tc>
          <w:tcPr>
            <w:tcW w:type="dxa" w:w="1728"/>
          </w:tcPr>
          <w:p>
            <w:pPr>
              <w:pStyle w:val="MDPI42tablebody"/>
              <w:keepNext/>
              <w:spacing w:line="240" w:lineRule="auto" w:before="30" w:after="30"/>
              <w:jc w:val="center"/>
            </w:pPr>
            <w:r>
              <w:rPr>
                <w:b w:val="0"/>
                <w:i w:val="0"/>
                <w:sz w:val="18"/>
              </w:rPr>
              <w:t>YES</w:t>
            </w:r>
          </w:p>
        </w:tc>
      </w:tr>
      <w:tr>
        <w:trPr>
          <w:cantSplit/>
        </w:trPr>
        <w:tc>
          <w:tcPr>
            <w:tcW w:type="dxa" w:w="2671"/>
          </w:tcPr>
          <w:p>
            <w:pPr>
              <w:pStyle w:val="MDPI42tablebody"/>
              <w:keepNext/>
              <w:spacing w:line="240" w:lineRule="auto" w:before="30" w:after="30"/>
              <w:jc w:val="left"/>
            </w:pPr>
            <w:r>
              <w:rPr>
                <w:b w:val="0"/>
                <w:i/>
                <w:sz w:val="18"/>
              </w:rPr>
              <w:t>Firm FE</w:t>
            </w:r>
          </w:p>
        </w:tc>
        <w:tc>
          <w:tcPr>
            <w:tcW w:type="dxa" w:w="1728"/>
          </w:tcPr>
          <w:p>
            <w:pPr>
              <w:pStyle w:val="MDPI42tablebody"/>
              <w:keepNext/>
              <w:spacing w:line="240" w:lineRule="auto" w:before="30" w:after="30"/>
              <w:jc w:val="center"/>
            </w:pPr>
            <w:r>
              <w:rPr>
                <w:b w:val="0"/>
                <w:i w:val="0"/>
                <w:sz w:val="18"/>
              </w:rPr>
              <w:t>YES</w:t>
            </w:r>
          </w:p>
        </w:tc>
        <w:tc>
          <w:tcPr>
            <w:tcW w:type="dxa" w:w="1728"/>
          </w:tcPr>
          <w:p>
            <w:pPr>
              <w:pStyle w:val="MDPI42tablebody"/>
              <w:keepNext/>
              <w:spacing w:line="240" w:lineRule="auto" w:before="30" w:after="30"/>
              <w:jc w:val="center"/>
            </w:pPr>
            <w:r>
              <w:rPr>
                <w:b w:val="0"/>
                <w:i w:val="0"/>
                <w:sz w:val="18"/>
              </w:rPr>
              <w:t>YES</w:t>
            </w:r>
          </w:p>
        </w:tc>
        <w:tc>
          <w:tcPr>
            <w:tcW w:type="dxa" w:w="1728"/>
          </w:tcPr>
          <w:p>
            <w:pPr>
              <w:pStyle w:val="MDPI42tablebody"/>
              <w:keepNext/>
              <w:spacing w:line="240" w:lineRule="auto" w:before="30" w:after="30"/>
              <w:jc w:val="center"/>
            </w:pPr>
            <w:r>
              <w:rPr>
                <w:b w:val="0"/>
                <w:i w:val="0"/>
                <w:sz w:val="18"/>
              </w:rPr>
              <w:t>YES</w:t>
            </w:r>
          </w:p>
        </w:tc>
      </w:tr>
      <w:tr>
        <w:trPr>
          <w:cantSplit/>
        </w:trPr>
        <w:tc>
          <w:tcPr>
            <w:tcW w:type="dxa" w:w="2671"/>
          </w:tcPr>
          <w:p>
            <w:pPr>
              <w:pStyle w:val="MDPI42tablebody"/>
              <w:keepNext/>
              <w:spacing w:line="240" w:lineRule="auto" w:before="30" w:after="30"/>
              <w:jc w:val="left"/>
            </w:pPr>
            <w:r>
              <w:rPr>
                <w:b w:val="0"/>
                <w:i/>
                <w:sz w:val="18"/>
              </w:rPr>
              <w:t>Observations</w:t>
            </w:r>
          </w:p>
        </w:tc>
        <w:tc>
          <w:tcPr>
            <w:tcW w:type="dxa" w:w="1728"/>
          </w:tcPr>
          <w:p>
            <w:pPr>
              <w:pStyle w:val="MDPI42tablebody"/>
              <w:keepNext/>
              <w:spacing w:line="240" w:lineRule="auto" w:before="30" w:after="30"/>
              <w:jc w:val="center"/>
            </w:pPr>
            <w:r>
              <w:rPr>
                <w:b w:val="0"/>
                <w:i w:val="0"/>
                <w:sz w:val="18"/>
              </w:rPr>
              <w:t>36,064</w:t>
            </w:r>
          </w:p>
        </w:tc>
        <w:tc>
          <w:tcPr>
            <w:tcW w:type="dxa" w:w="1728"/>
          </w:tcPr>
          <w:p>
            <w:pPr>
              <w:pStyle w:val="MDPI42tablebody"/>
              <w:keepNext/>
              <w:spacing w:line="240" w:lineRule="auto" w:before="30" w:after="30"/>
              <w:jc w:val="center"/>
            </w:pPr>
            <w:r>
              <w:rPr>
                <w:b w:val="0"/>
                <w:i w:val="0"/>
                <w:sz w:val="18"/>
              </w:rPr>
              <w:t>36,064</w:t>
            </w:r>
          </w:p>
        </w:tc>
        <w:tc>
          <w:tcPr>
            <w:tcW w:type="dxa" w:w="1728"/>
          </w:tcPr>
          <w:p>
            <w:pPr>
              <w:pStyle w:val="MDPI42tablebody"/>
              <w:keepNext/>
              <w:spacing w:line="240" w:lineRule="auto" w:before="30" w:after="30"/>
              <w:jc w:val="center"/>
            </w:pPr>
            <w:r>
              <w:rPr>
                <w:b w:val="0"/>
                <w:i w:val="0"/>
                <w:sz w:val="18"/>
              </w:rPr>
              <w:t>36,064</w:t>
            </w:r>
          </w:p>
        </w:tc>
      </w:tr>
      <w:tr>
        <w:trPr>
          <w:cantSplit/>
        </w:trPr>
        <w:tc>
          <w:tcPr>
            <w:tcW w:type="dxa" w:w="2671"/>
          </w:tcPr>
          <w:p>
            <w:pPr>
              <w:pStyle w:val="MDPI42tablebody"/>
              <w:spacing w:line="240" w:lineRule="auto" w:before="30" w:after="30"/>
              <w:jc w:val="left"/>
            </w:pPr>
            <w:r>
              <w:rPr>
                <w:b w:val="0"/>
                <w:i/>
                <w:sz w:val="18"/>
              </w:rPr>
              <w:t>R-squared</w:t>
            </w:r>
          </w:p>
        </w:tc>
        <w:tc>
          <w:tcPr>
            <w:tcW w:type="dxa" w:w="1728"/>
          </w:tcPr>
          <w:p>
            <w:pPr>
              <w:pStyle w:val="MDPI42tablebody"/>
              <w:spacing w:line="240" w:lineRule="auto" w:before="30" w:after="30"/>
              <w:jc w:val="center"/>
            </w:pPr>
            <w:r>
              <w:rPr>
                <w:b w:val="0"/>
                <w:i w:val="0"/>
                <w:sz w:val="18"/>
              </w:rPr>
              <w:t>0.049</w:t>
            </w:r>
          </w:p>
        </w:tc>
        <w:tc>
          <w:tcPr>
            <w:tcW w:type="dxa" w:w="1728"/>
          </w:tcPr>
          <w:p>
            <w:pPr>
              <w:pStyle w:val="MDPI42tablebody"/>
              <w:spacing w:line="240" w:lineRule="auto" w:before="30" w:after="30"/>
              <w:jc w:val="center"/>
            </w:pPr>
            <w:r>
              <w:rPr>
                <w:b w:val="0"/>
                <w:i w:val="0"/>
                <w:sz w:val="18"/>
              </w:rPr>
              <w:t>0.050</w:t>
            </w:r>
          </w:p>
        </w:tc>
        <w:tc>
          <w:tcPr>
            <w:tcW w:type="dxa" w:w="1728"/>
          </w:tcPr>
          <w:p>
            <w:pPr>
              <w:pStyle w:val="MDPI42tablebody"/>
              <w:spacing w:line="240" w:lineRule="auto" w:before="30" w:after="30"/>
              <w:jc w:val="center"/>
            </w:pPr>
            <w:r>
              <w:rPr>
                <w:b w:val="0"/>
                <w:i w:val="0"/>
                <w:sz w:val="18"/>
              </w:rPr>
              <w:t>0.059</w:t>
            </w:r>
          </w:p>
        </w:tc>
      </w:tr>
    </w:tbl>
    <w:p>
      <w:pPr>
        <w:pStyle w:val="MDPI43tablefooter"/>
        <w:spacing w:line="240" w:lineRule="auto" w:before="40" w:after="200"/>
        <w:ind w:left="2608" w:firstLine="0"/>
      </w:pPr>
      <w:r>
        <w:rPr>
          <w:sz w:val="16"/>
        </w:rPr>
        <w:t xml:space="preserve">Note: </w:t>
      </w:r>
      <w:r>
        <w:rPr>
          <w:b w:val="0"/>
          <w:i w:val="0"/>
          <w:sz w:val="16"/>
        </w:rPr>
        <w:t>RelVar is the employment-weighted mean entropy of the education distribution within occupational categories and UnrelVar is the entropy of the distribution across those categories, so that their sum is Variety.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4.5. The Absorption Mechanism</w:t>
      </w:r>
    </w:p>
    <w:p>
      <w:pPr>
        <w:pStyle w:val="MDPI32textnoindent"/>
      </w:pPr>
      <w:r>
        <w:rPr>
          <w:b w:val="0"/>
          <w:i w:val="0"/>
        </w:rPr>
        <w:t>Table 7 examines the two organizational acts. Column (2) shows that an adverse shock raises internal redeployment and that variety amplifies the response: the interaction is 1.472, significant at the one percent level. Column (4) shows that an adverse shock raises churn and that variety dampens it, the interaction being −3.762. Columns (3) and (5) add each mediator to the outcome equation: redeployment enters positively at 0.117 and churn negatively at −0.109, and in each case the buffering coefficient falls. Column (6) includes both, and the direct buffering coefficient falls from 1.257 to 0.848 while remaining significant at the one percent level.</w:t>
      </w:r>
    </w:p>
    <w:p>
      <w:pPr>
        <w:pStyle w:val="MDPI41tablecaption"/>
        <w:keepNext/>
        <w:spacing w:after="60"/>
      </w:pPr>
      <w:r>
        <w:rPr>
          <w:b/>
          <w:sz w:val="18"/>
        </w:rPr>
        <w:t xml:space="preserve">Table 7. </w:t>
      </w:r>
      <w:r>
        <w:rPr>
          <w:b w:val="0"/>
          <w:i w:val="0"/>
          <w:sz w:val="18"/>
        </w:rPr>
        <w:t>Tests of the redeployment and churn channels.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114"/>
        <w:gridCol w:w="1391"/>
        <w:gridCol w:w="1391"/>
        <w:gridCol w:w="1391"/>
        <w:gridCol w:w="1391"/>
        <w:gridCol w:w="1391"/>
        <w:gridCol w:w="1391"/>
      </w:tblGrid>
      <w:tr>
        <w:trPr>
          <w:cantSplit/>
          <w:tblHeader/>
        </w:trPr>
        <w:tc>
          <w:tcPr>
            <w:tcW w:type="dxa" w:w="2114"/>
            <w:tcBorders>
              <w:bottom w:val="single" w:sz="8" w:space="0" w:color="auto"/>
            </w:tcBorders>
          </w:tcPr>
          <w:p>
            <w:pPr>
              <w:pStyle w:val="MDPI42tablebody"/>
              <w:keepNext/>
              <w:spacing w:line="240" w:lineRule="auto" w:before="30" w:after="30"/>
              <w:jc w:val="center"/>
            </w:pPr>
            <w:r>
              <w:rPr>
                <w:b/>
                <w:i w:val="0"/>
                <w:sz w:val="14"/>
              </w:rPr>
              <w:t>Variable</w:t>
            </w:r>
          </w:p>
        </w:tc>
        <w:tc>
          <w:tcPr>
            <w:tcW w:type="dxa" w:w="1391"/>
            <w:tcBorders>
              <w:bottom w:val="single" w:sz="8" w:space="0" w:color="auto"/>
            </w:tcBorders>
          </w:tcPr>
          <w:p>
            <w:pPr>
              <w:pStyle w:val="MDPI42tablebody"/>
              <w:keepNext/>
              <w:spacing w:line="240" w:lineRule="auto" w:before="30" w:after="30"/>
              <w:jc w:val="center"/>
            </w:pPr>
            <w:r>
              <w:rPr>
                <w:b/>
                <w:i w:val="0"/>
                <w:sz w:val="14"/>
              </w:rPr>
              <w:t>Youth (1)</w:t>
            </w:r>
          </w:p>
        </w:tc>
        <w:tc>
          <w:tcPr>
            <w:tcW w:type="dxa" w:w="1391"/>
            <w:tcBorders>
              <w:bottom w:val="single" w:sz="8" w:space="0" w:color="auto"/>
            </w:tcBorders>
          </w:tcPr>
          <w:p>
            <w:pPr>
              <w:pStyle w:val="MDPI42tablebody"/>
              <w:keepNext/>
              <w:spacing w:line="240" w:lineRule="auto" w:before="30" w:after="30"/>
              <w:jc w:val="center"/>
            </w:pPr>
            <w:r>
              <w:rPr>
                <w:b/>
                <w:i w:val="0"/>
                <w:sz w:val="14"/>
              </w:rPr>
              <w:t>Redeploy (2)</w:t>
            </w:r>
          </w:p>
        </w:tc>
        <w:tc>
          <w:tcPr>
            <w:tcW w:type="dxa" w:w="1391"/>
            <w:tcBorders>
              <w:bottom w:val="single" w:sz="8" w:space="0" w:color="auto"/>
            </w:tcBorders>
          </w:tcPr>
          <w:p>
            <w:pPr>
              <w:pStyle w:val="MDPI42tablebody"/>
              <w:keepNext/>
              <w:spacing w:line="240" w:lineRule="auto" w:before="30" w:after="30"/>
              <w:jc w:val="center"/>
            </w:pPr>
            <w:r>
              <w:rPr>
                <w:b/>
                <w:i w:val="0"/>
                <w:sz w:val="14"/>
              </w:rPr>
              <w:t>Youth (3)</w:t>
            </w:r>
          </w:p>
        </w:tc>
        <w:tc>
          <w:tcPr>
            <w:tcW w:type="dxa" w:w="1391"/>
            <w:tcBorders>
              <w:bottom w:val="single" w:sz="8" w:space="0" w:color="auto"/>
            </w:tcBorders>
          </w:tcPr>
          <w:p>
            <w:pPr>
              <w:pStyle w:val="MDPI42tablebody"/>
              <w:keepNext/>
              <w:spacing w:line="240" w:lineRule="auto" w:before="30" w:after="30"/>
              <w:jc w:val="center"/>
            </w:pPr>
            <w:r>
              <w:rPr>
                <w:b/>
                <w:i w:val="0"/>
                <w:sz w:val="14"/>
              </w:rPr>
              <w:t>Churn (4)</w:t>
            </w:r>
          </w:p>
        </w:tc>
        <w:tc>
          <w:tcPr>
            <w:tcW w:type="dxa" w:w="1391"/>
            <w:tcBorders>
              <w:bottom w:val="single" w:sz="8" w:space="0" w:color="auto"/>
            </w:tcBorders>
          </w:tcPr>
          <w:p>
            <w:pPr>
              <w:pStyle w:val="MDPI42tablebody"/>
              <w:keepNext/>
              <w:spacing w:line="240" w:lineRule="auto" w:before="30" w:after="30"/>
              <w:jc w:val="center"/>
            </w:pPr>
            <w:r>
              <w:rPr>
                <w:b/>
                <w:i w:val="0"/>
                <w:sz w:val="14"/>
              </w:rPr>
              <w:t>Youth (5)</w:t>
            </w:r>
          </w:p>
        </w:tc>
        <w:tc>
          <w:tcPr>
            <w:tcW w:type="dxa" w:w="1391"/>
            <w:tcBorders>
              <w:bottom w:val="single" w:sz="8" w:space="0" w:color="auto"/>
            </w:tcBorders>
          </w:tcPr>
          <w:p>
            <w:pPr>
              <w:pStyle w:val="MDPI42tablebody"/>
              <w:keepNext/>
              <w:spacing w:line="240" w:lineRule="auto" w:before="30" w:after="30"/>
              <w:jc w:val="center"/>
            </w:pPr>
            <w:r>
              <w:rPr>
                <w:b/>
                <w:i w:val="0"/>
                <w:sz w:val="14"/>
              </w:rPr>
              <w:t>Youth (6)</w:t>
            </w:r>
          </w:p>
        </w:tc>
      </w:tr>
      <w:tr>
        <w:trPr>
          <w:cantSplit/>
        </w:trPr>
        <w:tc>
          <w:tcPr>
            <w:tcW w:type="dxa" w:w="2114"/>
          </w:tcPr>
          <w:p>
            <w:pPr>
              <w:pStyle w:val="MDPI42tablebody"/>
              <w:keepNext/>
              <w:spacing w:line="240" w:lineRule="auto" w:before="30" w:after="30"/>
              <w:jc w:val="left"/>
            </w:pPr>
            <w:r>
              <w:rPr>
                <w:b w:val="0"/>
                <w:i/>
                <w:sz w:val="14"/>
              </w:rPr>
              <w:t>Shock</w:t>
            </w:r>
          </w:p>
        </w:tc>
        <w:tc>
          <w:tcPr>
            <w:tcW w:type="dxa" w:w="1391"/>
          </w:tcPr>
          <w:p>
            <w:pPr>
              <w:pStyle w:val="MDPI42tablebody"/>
              <w:keepNext/>
              <w:spacing w:line="240" w:lineRule="auto" w:before="30" w:after="30"/>
              <w:jc w:val="center"/>
            </w:pPr>
            <w:r>
              <w:rPr>
                <w:b w:val="0"/>
                <w:i w:val="0"/>
                <w:sz w:val="14"/>
              </w:rPr>
              <w:t>−4.094***</w:t>
            </w:r>
          </w:p>
        </w:tc>
        <w:tc>
          <w:tcPr>
            <w:tcW w:type="dxa" w:w="1391"/>
          </w:tcPr>
          <w:p>
            <w:pPr>
              <w:pStyle w:val="MDPI42tablebody"/>
              <w:keepNext/>
              <w:spacing w:line="240" w:lineRule="auto" w:before="30" w:after="30"/>
              <w:jc w:val="center"/>
            </w:pPr>
            <w:r>
              <w:rPr>
                <w:b w:val="0"/>
                <w:i w:val="0"/>
                <w:sz w:val="14"/>
              </w:rPr>
              <w:t>−2.620***</w:t>
            </w:r>
          </w:p>
        </w:tc>
        <w:tc>
          <w:tcPr>
            <w:tcW w:type="dxa" w:w="1391"/>
          </w:tcPr>
          <w:p>
            <w:pPr>
              <w:pStyle w:val="MDPI42tablebody"/>
              <w:keepNext/>
              <w:spacing w:line="240" w:lineRule="auto" w:before="30" w:after="30"/>
              <w:jc w:val="center"/>
            </w:pPr>
            <w:r>
              <w:rPr>
                <w:b w:val="0"/>
                <w:i w:val="0"/>
                <w:sz w:val="14"/>
              </w:rPr>
              <w:t>−3.788***</w:t>
            </w:r>
          </w:p>
        </w:tc>
        <w:tc>
          <w:tcPr>
            <w:tcW w:type="dxa" w:w="1391"/>
          </w:tcPr>
          <w:p>
            <w:pPr>
              <w:pStyle w:val="MDPI42tablebody"/>
              <w:keepNext/>
              <w:spacing w:line="240" w:lineRule="auto" w:before="30" w:after="30"/>
              <w:jc w:val="center"/>
            </w:pPr>
            <w:r>
              <w:rPr>
                <w:b w:val="0"/>
                <w:i w:val="0"/>
                <w:sz w:val="14"/>
              </w:rPr>
              <w:t>12.186***</w:t>
            </w:r>
          </w:p>
        </w:tc>
        <w:tc>
          <w:tcPr>
            <w:tcW w:type="dxa" w:w="1391"/>
          </w:tcPr>
          <w:p>
            <w:pPr>
              <w:pStyle w:val="MDPI42tablebody"/>
              <w:keepNext/>
              <w:spacing w:line="240" w:lineRule="auto" w:before="30" w:after="30"/>
              <w:jc w:val="center"/>
            </w:pPr>
            <w:r>
              <w:rPr>
                <w:b w:val="0"/>
                <w:i w:val="0"/>
                <w:sz w:val="14"/>
              </w:rPr>
              <w:t>−2.772***</w:t>
            </w:r>
          </w:p>
        </w:tc>
        <w:tc>
          <w:tcPr>
            <w:tcW w:type="dxa" w:w="1391"/>
          </w:tcPr>
          <w:p>
            <w:pPr>
              <w:pStyle w:val="MDPI42tablebody"/>
              <w:keepNext/>
              <w:spacing w:line="240" w:lineRule="auto" w:before="30" w:after="30"/>
              <w:jc w:val="center"/>
            </w:pPr>
            <w:r>
              <w:rPr>
                <w:b w:val="0"/>
                <w:i w:val="0"/>
                <w:sz w:val="14"/>
              </w:rPr>
              <w:t>−2.471***</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(0.141)</w:t>
            </w:r>
          </w:p>
        </w:tc>
        <w:tc>
          <w:tcPr>
            <w:tcW w:type="dxa" w:w="1391"/>
          </w:tcPr>
          <w:p>
            <w:pPr>
              <w:pStyle w:val="MDPI42tablebody"/>
              <w:keepNext/>
              <w:spacing w:line="240" w:lineRule="auto" w:before="30" w:after="30"/>
              <w:jc w:val="center"/>
            </w:pPr>
            <w:r>
              <w:rPr>
                <w:b w:val="0"/>
                <w:i w:val="0"/>
                <w:sz w:val="14"/>
              </w:rPr>
              <w:t>(0.062)</w:t>
            </w:r>
          </w:p>
        </w:tc>
        <w:tc>
          <w:tcPr>
            <w:tcW w:type="dxa" w:w="1391"/>
          </w:tcPr>
          <w:p>
            <w:pPr>
              <w:pStyle w:val="MDPI42tablebody"/>
              <w:keepNext/>
              <w:spacing w:line="240" w:lineRule="auto" w:before="30" w:after="30"/>
              <w:jc w:val="center"/>
            </w:pPr>
            <w:r>
              <w:rPr>
                <w:b w:val="0"/>
                <w:i w:val="0"/>
                <w:sz w:val="14"/>
              </w:rPr>
              <w:t>(0.145)</w:t>
            </w:r>
          </w:p>
        </w:tc>
        <w:tc>
          <w:tcPr>
            <w:tcW w:type="dxa" w:w="1391"/>
          </w:tcPr>
          <w:p>
            <w:pPr>
              <w:pStyle w:val="MDPI42tablebody"/>
              <w:keepNext/>
              <w:spacing w:line="240" w:lineRule="auto" w:before="30" w:after="30"/>
              <w:jc w:val="center"/>
            </w:pPr>
            <w:r>
              <w:rPr>
                <w:b w:val="0"/>
                <w:i w:val="0"/>
                <w:sz w:val="14"/>
              </w:rPr>
              <w:t>(0.126)</w:t>
            </w:r>
          </w:p>
        </w:tc>
        <w:tc>
          <w:tcPr>
            <w:tcW w:type="dxa" w:w="1391"/>
          </w:tcPr>
          <w:p>
            <w:pPr>
              <w:pStyle w:val="MDPI42tablebody"/>
              <w:keepNext/>
              <w:spacing w:line="240" w:lineRule="auto" w:before="30" w:after="30"/>
              <w:jc w:val="center"/>
            </w:pPr>
            <w:r>
              <w:rPr>
                <w:b w:val="0"/>
                <w:i w:val="0"/>
                <w:sz w:val="14"/>
              </w:rPr>
              <w:t>(0.157)</w:t>
            </w:r>
          </w:p>
        </w:tc>
        <w:tc>
          <w:tcPr>
            <w:tcW w:type="dxa" w:w="1391"/>
          </w:tcPr>
          <w:p>
            <w:pPr>
              <w:pStyle w:val="MDPI42tablebody"/>
              <w:keepNext/>
              <w:spacing w:line="240" w:lineRule="auto" w:before="30" w:after="30"/>
              <w:jc w:val="center"/>
            </w:pPr>
            <w:r>
              <w:rPr>
                <w:b w:val="0"/>
                <w:i w:val="0"/>
                <w:sz w:val="14"/>
              </w:rPr>
              <w:t>(0.161)</w:t>
            </w:r>
          </w:p>
        </w:tc>
      </w:tr>
      <w:tr>
        <w:trPr>
          <w:cantSplit/>
        </w:trPr>
        <w:tc>
          <w:tcPr>
            <w:tcW w:type="dxa" w:w="2114"/>
          </w:tcPr>
          <w:p>
            <w:pPr>
              <w:pStyle w:val="MDPI42tablebody"/>
              <w:keepNext/>
              <w:spacing w:line="240" w:lineRule="auto" w:before="30" w:after="30"/>
              <w:jc w:val="left"/>
            </w:pPr>
            <w:r>
              <w:rPr>
                <w:b w:val="0"/>
                <w:i/>
                <w:sz w:val="14"/>
              </w:rPr>
              <w:t>Variety</w:t>
            </w:r>
          </w:p>
        </w:tc>
        <w:tc>
          <w:tcPr>
            <w:tcW w:type="dxa" w:w="1391"/>
          </w:tcPr>
          <w:p>
            <w:pPr>
              <w:pStyle w:val="MDPI42tablebody"/>
              <w:keepNext/>
              <w:spacing w:line="240" w:lineRule="auto" w:before="30" w:after="30"/>
              <w:jc w:val="center"/>
            </w:pPr>
            <w:r>
              <w:rPr>
                <w:b w:val="0"/>
                <w:i w:val="0"/>
                <w:sz w:val="14"/>
              </w:rPr>
              <w:t>2.013***</w:t>
            </w:r>
          </w:p>
        </w:tc>
        <w:tc>
          <w:tcPr>
            <w:tcW w:type="dxa" w:w="1391"/>
          </w:tcPr>
          <w:p>
            <w:pPr>
              <w:pStyle w:val="MDPI42tablebody"/>
              <w:keepNext/>
              <w:spacing w:line="240" w:lineRule="auto" w:before="30" w:after="30"/>
              <w:jc w:val="center"/>
            </w:pPr>
            <w:r>
              <w:rPr>
                <w:b w:val="0"/>
                <w:i w:val="0"/>
                <w:sz w:val="14"/>
              </w:rPr>
              <w:t>−0.434***</w:t>
            </w:r>
          </w:p>
        </w:tc>
        <w:tc>
          <w:tcPr>
            <w:tcW w:type="dxa" w:w="1391"/>
          </w:tcPr>
          <w:p>
            <w:pPr>
              <w:pStyle w:val="MDPI42tablebody"/>
              <w:keepNext/>
              <w:spacing w:line="240" w:lineRule="auto" w:before="30" w:after="30"/>
              <w:jc w:val="center"/>
            </w:pPr>
            <w:r>
              <w:rPr>
                <w:b w:val="0"/>
                <w:i w:val="0"/>
                <w:sz w:val="14"/>
              </w:rPr>
              <w:t>2.064***</w:t>
            </w:r>
          </w:p>
        </w:tc>
        <w:tc>
          <w:tcPr>
            <w:tcW w:type="dxa" w:w="1391"/>
          </w:tcPr>
          <w:p>
            <w:pPr>
              <w:pStyle w:val="MDPI42tablebody"/>
              <w:keepNext/>
              <w:spacing w:line="240" w:lineRule="auto" w:before="30" w:after="30"/>
              <w:jc w:val="center"/>
            </w:pPr>
            <w:r>
              <w:rPr>
                <w:b w:val="0"/>
                <w:i w:val="0"/>
                <w:sz w:val="14"/>
              </w:rPr>
              <w:t>0.048</w:t>
            </w:r>
          </w:p>
        </w:tc>
        <w:tc>
          <w:tcPr>
            <w:tcW w:type="dxa" w:w="1391"/>
          </w:tcPr>
          <w:p>
            <w:pPr>
              <w:pStyle w:val="MDPI42tablebody"/>
              <w:keepNext/>
              <w:spacing w:line="240" w:lineRule="auto" w:before="30" w:after="30"/>
              <w:jc w:val="center"/>
            </w:pPr>
            <w:r>
              <w:rPr>
                <w:b w:val="0"/>
                <w:i w:val="0"/>
                <w:sz w:val="14"/>
              </w:rPr>
              <w:t>2.018***</w:t>
            </w:r>
          </w:p>
        </w:tc>
        <w:tc>
          <w:tcPr>
            <w:tcW w:type="dxa" w:w="1391"/>
          </w:tcPr>
          <w:p>
            <w:pPr>
              <w:pStyle w:val="MDPI42tablebody"/>
              <w:keepNext/>
              <w:spacing w:line="240" w:lineRule="auto" w:before="30" w:after="30"/>
              <w:jc w:val="center"/>
            </w:pPr>
            <w:r>
              <w:rPr>
                <w:b w:val="0"/>
                <w:i w:val="0"/>
                <w:sz w:val="14"/>
              </w:rPr>
              <w:t>2.068***</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(0.090)</w:t>
            </w:r>
          </w:p>
        </w:tc>
        <w:tc>
          <w:tcPr>
            <w:tcW w:type="dxa" w:w="1391"/>
          </w:tcPr>
          <w:p>
            <w:pPr>
              <w:pStyle w:val="MDPI42tablebody"/>
              <w:keepNext/>
              <w:spacing w:line="240" w:lineRule="auto" w:before="30" w:after="30"/>
              <w:jc w:val="center"/>
            </w:pPr>
            <w:r>
              <w:rPr>
                <w:b w:val="0"/>
                <w:i w:val="0"/>
                <w:sz w:val="14"/>
              </w:rPr>
              <w:t>(0.054)</w:t>
            </w:r>
          </w:p>
        </w:tc>
        <w:tc>
          <w:tcPr>
            <w:tcW w:type="dxa" w:w="1391"/>
          </w:tcPr>
          <w:p>
            <w:pPr>
              <w:pStyle w:val="MDPI42tablebody"/>
              <w:keepNext/>
              <w:spacing w:line="240" w:lineRule="auto" w:before="30" w:after="30"/>
              <w:jc w:val="center"/>
            </w:pPr>
            <w:r>
              <w:rPr>
                <w:b w:val="0"/>
                <w:i w:val="0"/>
                <w:sz w:val="14"/>
              </w:rPr>
              <w:t>(0.090)</w:t>
            </w:r>
          </w:p>
        </w:tc>
        <w:tc>
          <w:tcPr>
            <w:tcW w:type="dxa" w:w="1391"/>
          </w:tcPr>
          <w:p>
            <w:pPr>
              <w:pStyle w:val="MDPI42tablebody"/>
              <w:keepNext/>
              <w:spacing w:line="240" w:lineRule="auto" w:before="30" w:after="30"/>
              <w:jc w:val="center"/>
            </w:pPr>
            <w:r>
              <w:rPr>
                <w:b w:val="0"/>
                <w:i w:val="0"/>
                <w:sz w:val="14"/>
              </w:rPr>
              <w:t>(0.086)</w:t>
            </w:r>
          </w:p>
        </w:tc>
        <w:tc>
          <w:tcPr>
            <w:tcW w:type="dxa" w:w="1391"/>
          </w:tcPr>
          <w:p>
            <w:pPr>
              <w:pStyle w:val="MDPI42tablebody"/>
              <w:keepNext/>
              <w:spacing w:line="240" w:lineRule="auto" w:before="30" w:after="30"/>
              <w:jc w:val="center"/>
            </w:pPr>
            <w:r>
              <w:rPr>
                <w:b w:val="0"/>
                <w:i w:val="0"/>
                <w:sz w:val="14"/>
              </w:rPr>
              <w:t>(0.090)</w:t>
            </w:r>
          </w:p>
        </w:tc>
        <w:tc>
          <w:tcPr>
            <w:tcW w:type="dxa" w:w="1391"/>
          </w:tcPr>
          <w:p>
            <w:pPr>
              <w:pStyle w:val="MDPI42tablebody"/>
              <w:keepNext/>
              <w:spacing w:line="240" w:lineRule="auto" w:before="30" w:after="30"/>
              <w:jc w:val="center"/>
            </w:pPr>
            <w:r>
              <w:rPr>
                <w:b w:val="0"/>
                <w:i w:val="0"/>
                <w:sz w:val="14"/>
              </w:rPr>
              <w:t>(0.090)</w:t>
            </w:r>
          </w:p>
        </w:tc>
      </w:tr>
      <w:tr>
        <w:trPr>
          <w:cantSplit/>
        </w:trPr>
        <w:tc>
          <w:tcPr>
            <w:tcW w:type="dxa" w:w="2114"/>
          </w:tcPr>
          <w:p>
            <w:pPr>
              <w:pStyle w:val="MDPI42tablebody"/>
              <w:keepNext/>
              <w:spacing w:line="240" w:lineRule="auto" w:before="30" w:after="30"/>
              <w:jc w:val="left"/>
            </w:pPr>
            <w:r>
              <w:rPr>
                <w:b w:val="0"/>
                <w:i/>
                <w:sz w:val="14"/>
              </w:rPr>
              <w:t>Shock x Variety</w:t>
            </w:r>
          </w:p>
        </w:tc>
        <w:tc>
          <w:tcPr>
            <w:tcW w:type="dxa" w:w="1391"/>
          </w:tcPr>
          <w:p>
            <w:pPr>
              <w:pStyle w:val="MDPI42tablebody"/>
              <w:keepNext/>
              <w:spacing w:line="240" w:lineRule="auto" w:before="30" w:after="30"/>
              <w:jc w:val="center"/>
            </w:pPr>
            <w:r>
              <w:rPr>
                <w:b w:val="0"/>
                <w:i w:val="0"/>
                <w:sz w:val="14"/>
              </w:rPr>
              <w:t>1.257***</w:t>
            </w:r>
          </w:p>
        </w:tc>
        <w:tc>
          <w:tcPr>
            <w:tcW w:type="dxa" w:w="1391"/>
          </w:tcPr>
          <w:p>
            <w:pPr>
              <w:pStyle w:val="MDPI42tablebody"/>
              <w:keepNext/>
              <w:spacing w:line="240" w:lineRule="auto" w:before="30" w:after="30"/>
              <w:jc w:val="center"/>
            </w:pPr>
            <w:r>
              <w:rPr>
                <w:b w:val="0"/>
                <w:i w:val="0"/>
                <w:sz w:val="14"/>
              </w:rPr>
              <w:t>1.472***</w:t>
            </w:r>
          </w:p>
        </w:tc>
        <w:tc>
          <w:tcPr>
            <w:tcW w:type="dxa" w:w="1391"/>
          </w:tcPr>
          <w:p>
            <w:pPr>
              <w:pStyle w:val="MDPI42tablebody"/>
              <w:keepNext/>
              <w:spacing w:line="240" w:lineRule="auto" w:before="30" w:after="30"/>
              <w:jc w:val="center"/>
            </w:pPr>
            <w:r>
              <w:rPr>
                <w:b w:val="0"/>
                <w:i w:val="0"/>
                <w:sz w:val="14"/>
              </w:rPr>
              <w:t>1.084***</w:t>
            </w:r>
          </w:p>
        </w:tc>
        <w:tc>
          <w:tcPr>
            <w:tcW w:type="dxa" w:w="1391"/>
          </w:tcPr>
          <w:p>
            <w:pPr>
              <w:pStyle w:val="MDPI42tablebody"/>
              <w:keepNext/>
              <w:spacing w:line="240" w:lineRule="auto" w:before="30" w:after="30"/>
              <w:jc w:val="center"/>
            </w:pPr>
            <w:r>
              <w:rPr>
                <w:b w:val="0"/>
                <w:i w:val="0"/>
                <w:sz w:val="14"/>
              </w:rPr>
              <w:t>−3.762***</w:t>
            </w:r>
          </w:p>
        </w:tc>
        <w:tc>
          <w:tcPr>
            <w:tcW w:type="dxa" w:w="1391"/>
          </w:tcPr>
          <w:p>
            <w:pPr>
              <w:pStyle w:val="MDPI42tablebody"/>
              <w:keepNext/>
              <w:spacing w:line="240" w:lineRule="auto" w:before="30" w:after="30"/>
              <w:jc w:val="center"/>
            </w:pPr>
            <w:r>
              <w:rPr>
                <w:b w:val="0"/>
                <w:i w:val="0"/>
                <w:sz w:val="14"/>
              </w:rPr>
              <w:t>0.848***</w:t>
            </w:r>
          </w:p>
        </w:tc>
        <w:tc>
          <w:tcPr>
            <w:tcW w:type="dxa" w:w="1391"/>
          </w:tcPr>
          <w:p>
            <w:pPr>
              <w:pStyle w:val="MDPI42tablebody"/>
              <w:keepNext/>
              <w:spacing w:line="240" w:lineRule="auto" w:before="30" w:after="30"/>
              <w:jc w:val="center"/>
            </w:pPr>
            <w:r>
              <w:rPr>
                <w:b w:val="0"/>
                <w:i w:val="0"/>
                <w:sz w:val="14"/>
              </w:rPr>
              <w:t>0.679***</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(0.044)</w:t>
            </w:r>
          </w:p>
        </w:tc>
        <w:tc>
          <w:tcPr>
            <w:tcW w:type="dxa" w:w="1391"/>
          </w:tcPr>
          <w:p>
            <w:pPr>
              <w:pStyle w:val="MDPI42tablebody"/>
              <w:keepNext/>
              <w:spacing w:line="240" w:lineRule="auto" w:before="30" w:after="30"/>
              <w:jc w:val="center"/>
            </w:pPr>
            <w:r>
              <w:rPr>
                <w:b w:val="0"/>
                <w:i w:val="0"/>
                <w:sz w:val="14"/>
              </w:rPr>
              <w:t>(0.017)</w:t>
            </w:r>
          </w:p>
        </w:tc>
        <w:tc>
          <w:tcPr>
            <w:tcW w:type="dxa" w:w="1391"/>
          </w:tcPr>
          <w:p>
            <w:pPr>
              <w:pStyle w:val="MDPI42tablebody"/>
              <w:keepNext/>
              <w:spacing w:line="240" w:lineRule="auto" w:before="30" w:after="30"/>
              <w:jc w:val="center"/>
            </w:pPr>
            <w:r>
              <w:rPr>
                <w:b w:val="0"/>
                <w:i w:val="0"/>
                <w:sz w:val="14"/>
              </w:rPr>
              <w:t>(0.047)</w:t>
            </w:r>
          </w:p>
        </w:tc>
        <w:tc>
          <w:tcPr>
            <w:tcW w:type="dxa" w:w="1391"/>
          </w:tcPr>
          <w:p>
            <w:pPr>
              <w:pStyle w:val="MDPI42tablebody"/>
              <w:keepNext/>
              <w:spacing w:line="240" w:lineRule="auto" w:before="30" w:after="30"/>
              <w:jc w:val="center"/>
            </w:pPr>
            <w:r>
              <w:rPr>
                <w:b w:val="0"/>
                <w:i w:val="0"/>
                <w:sz w:val="14"/>
              </w:rPr>
              <w:t>(0.038)</w:t>
            </w:r>
          </w:p>
        </w:tc>
        <w:tc>
          <w:tcPr>
            <w:tcW w:type="dxa" w:w="1391"/>
          </w:tcPr>
          <w:p>
            <w:pPr>
              <w:pStyle w:val="MDPI42tablebody"/>
              <w:keepNext/>
              <w:spacing w:line="240" w:lineRule="auto" w:before="30" w:after="30"/>
              <w:jc w:val="center"/>
            </w:pPr>
            <w:r>
              <w:rPr>
                <w:b w:val="0"/>
                <w:i w:val="0"/>
                <w:sz w:val="14"/>
              </w:rPr>
              <w:t>(0.049)</w:t>
            </w:r>
          </w:p>
        </w:tc>
        <w:tc>
          <w:tcPr>
            <w:tcW w:type="dxa" w:w="1391"/>
          </w:tcPr>
          <w:p>
            <w:pPr>
              <w:pStyle w:val="MDPI42tablebody"/>
              <w:keepNext/>
              <w:spacing w:line="240" w:lineRule="auto" w:before="30" w:after="30"/>
              <w:jc w:val="center"/>
            </w:pPr>
            <w:r>
              <w:rPr>
                <w:b w:val="0"/>
                <w:i w:val="0"/>
                <w:sz w:val="14"/>
              </w:rPr>
              <w:t>(0.052)</w:t>
            </w:r>
          </w:p>
        </w:tc>
      </w:tr>
      <w:tr>
        <w:trPr>
          <w:cantSplit/>
        </w:trPr>
        <w:tc>
          <w:tcPr>
            <w:tcW w:type="dxa" w:w="2114"/>
          </w:tcPr>
          <w:p>
            <w:pPr>
              <w:pStyle w:val="MDPI42tablebody"/>
              <w:keepNext/>
              <w:spacing w:line="240" w:lineRule="auto" w:before="30" w:after="30"/>
              <w:jc w:val="left"/>
            </w:pPr>
            <w:r>
              <w:rPr>
                <w:b w:val="0"/>
                <w:i/>
                <w:sz w:val="14"/>
              </w:rPr>
              <w:t>Redeploy</w:t>
            </w: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r>
              <w:rPr>
                <w:b w:val="0"/>
                <w:i w:val="0"/>
                <w:sz w:val="14"/>
              </w:rPr>
              <w:t>0.117***</w:t>
            </w: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r>
              <w:rPr>
                <w:b w:val="0"/>
                <w:i w:val="0"/>
                <w:sz w:val="14"/>
              </w:rPr>
              <w:t>0.116***</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r>
              <w:rPr>
                <w:b w:val="0"/>
                <w:i w:val="0"/>
                <w:sz w:val="14"/>
              </w:rPr>
              <w:t>(0.012)</w:t>
            </w: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r>
              <w:rPr>
                <w:b w:val="0"/>
                <w:i w:val="0"/>
                <w:sz w:val="14"/>
              </w:rPr>
              <w:t>(0.012)</w:t>
            </w:r>
          </w:p>
        </w:tc>
      </w:tr>
      <w:tr>
        <w:trPr>
          <w:cantSplit/>
        </w:trPr>
        <w:tc>
          <w:tcPr>
            <w:tcW w:type="dxa" w:w="2114"/>
          </w:tcPr>
          <w:p>
            <w:pPr>
              <w:pStyle w:val="MDPI42tablebody"/>
              <w:keepNext/>
              <w:spacing w:line="240" w:lineRule="auto" w:before="30" w:after="30"/>
              <w:jc w:val="left"/>
            </w:pPr>
            <w:r>
              <w:rPr>
                <w:b w:val="0"/>
                <w:i/>
                <w:sz w:val="14"/>
              </w:rPr>
              <w:t>Churn</w:t>
            </w: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r>
              <w:rPr>
                <w:b w:val="0"/>
                <w:i w:val="0"/>
                <w:sz w:val="14"/>
              </w:rPr>
              <w:t>−0.109***</w:t>
            </w:r>
          </w:p>
        </w:tc>
        <w:tc>
          <w:tcPr>
            <w:tcW w:type="dxa" w:w="1391"/>
          </w:tcPr>
          <w:p>
            <w:pPr>
              <w:pStyle w:val="MDPI42tablebody"/>
              <w:keepNext/>
              <w:spacing w:line="240" w:lineRule="auto" w:before="30" w:after="30"/>
              <w:jc w:val="center"/>
            </w:pPr>
            <w:r>
              <w:rPr>
                <w:b w:val="0"/>
                <w:i w:val="0"/>
                <w:sz w:val="14"/>
              </w:rPr>
              <w:t>−0.108***</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p>
        </w:tc>
        <w:tc>
          <w:tcPr>
            <w:tcW w:type="dxa" w:w="1391"/>
          </w:tcPr>
          <w:p>
            <w:pPr>
              <w:pStyle w:val="MDPI42tablebody"/>
              <w:keepNext/>
              <w:spacing w:line="240" w:lineRule="auto" w:before="30" w:after="30"/>
              <w:jc w:val="center"/>
            </w:pPr>
            <w:r>
              <w:rPr>
                <w:b w:val="0"/>
                <w:i w:val="0"/>
                <w:sz w:val="14"/>
              </w:rPr>
              <w:t>(0.006)</w:t>
            </w:r>
          </w:p>
        </w:tc>
        <w:tc>
          <w:tcPr>
            <w:tcW w:type="dxa" w:w="1391"/>
          </w:tcPr>
          <w:p>
            <w:pPr>
              <w:pStyle w:val="MDPI42tablebody"/>
              <w:keepNext/>
              <w:spacing w:line="240" w:lineRule="auto" w:before="30" w:after="30"/>
              <w:jc w:val="center"/>
            </w:pPr>
            <w:r>
              <w:rPr>
                <w:b w:val="0"/>
                <w:i w:val="0"/>
                <w:sz w:val="14"/>
              </w:rPr>
              <w:t>(0.006)</w:t>
            </w:r>
          </w:p>
        </w:tc>
      </w:tr>
      <w:tr>
        <w:trPr>
          <w:cantSplit/>
        </w:trPr>
        <w:tc>
          <w:tcPr>
            <w:tcW w:type="dxa" w:w="2114"/>
          </w:tcPr>
          <w:p>
            <w:pPr>
              <w:pStyle w:val="MDPI42tablebody"/>
              <w:keepNext/>
              <w:spacing w:line="240" w:lineRule="auto" w:before="30" w:after="30"/>
              <w:jc w:val="left"/>
            </w:pPr>
            <w:r>
              <w:rPr>
                <w:b w:val="0"/>
                <w:i/>
                <w:sz w:val="14"/>
              </w:rPr>
              <w:t>Size</w:t>
            </w:r>
          </w:p>
        </w:tc>
        <w:tc>
          <w:tcPr>
            <w:tcW w:type="dxa" w:w="1391"/>
          </w:tcPr>
          <w:p>
            <w:pPr>
              <w:pStyle w:val="MDPI42tablebody"/>
              <w:keepNext/>
              <w:spacing w:line="240" w:lineRule="auto" w:before="30" w:after="30"/>
              <w:jc w:val="center"/>
            </w:pPr>
            <w:r>
              <w:rPr>
                <w:b w:val="0"/>
                <w:i w:val="0"/>
                <w:sz w:val="14"/>
              </w:rPr>
              <w:t>2.708***</w:t>
            </w:r>
          </w:p>
        </w:tc>
        <w:tc>
          <w:tcPr>
            <w:tcW w:type="dxa" w:w="1391"/>
          </w:tcPr>
          <w:p>
            <w:pPr>
              <w:pStyle w:val="MDPI42tablebody"/>
              <w:keepNext/>
              <w:spacing w:line="240" w:lineRule="auto" w:before="30" w:after="30"/>
              <w:jc w:val="center"/>
            </w:pPr>
            <w:r>
              <w:rPr>
                <w:b w:val="0"/>
                <w:i w:val="0"/>
                <w:sz w:val="14"/>
              </w:rPr>
              <w:t>0.584***</w:t>
            </w:r>
          </w:p>
        </w:tc>
        <w:tc>
          <w:tcPr>
            <w:tcW w:type="dxa" w:w="1391"/>
          </w:tcPr>
          <w:p>
            <w:pPr>
              <w:pStyle w:val="MDPI42tablebody"/>
              <w:keepNext/>
              <w:spacing w:line="240" w:lineRule="auto" w:before="30" w:after="30"/>
              <w:jc w:val="center"/>
            </w:pPr>
            <w:r>
              <w:rPr>
                <w:b w:val="0"/>
                <w:i w:val="0"/>
                <w:sz w:val="14"/>
              </w:rPr>
              <w:t>2.639***</w:t>
            </w:r>
          </w:p>
        </w:tc>
        <w:tc>
          <w:tcPr>
            <w:tcW w:type="dxa" w:w="1391"/>
          </w:tcPr>
          <w:p>
            <w:pPr>
              <w:pStyle w:val="MDPI42tablebody"/>
              <w:keepNext/>
              <w:spacing w:line="240" w:lineRule="auto" w:before="30" w:after="30"/>
              <w:jc w:val="center"/>
            </w:pPr>
            <w:r>
              <w:rPr>
                <w:b w:val="0"/>
                <w:i w:val="0"/>
                <w:sz w:val="14"/>
              </w:rPr>
              <w:t>−0.437</w:t>
            </w:r>
          </w:p>
        </w:tc>
        <w:tc>
          <w:tcPr>
            <w:tcW w:type="dxa" w:w="1391"/>
          </w:tcPr>
          <w:p>
            <w:pPr>
              <w:pStyle w:val="MDPI42tablebody"/>
              <w:keepNext/>
              <w:spacing w:line="240" w:lineRule="auto" w:before="30" w:after="30"/>
              <w:jc w:val="center"/>
            </w:pPr>
            <w:r>
              <w:rPr>
                <w:b w:val="0"/>
                <w:i w:val="0"/>
                <w:sz w:val="14"/>
              </w:rPr>
              <w:t>2.660***</w:t>
            </w:r>
          </w:p>
        </w:tc>
        <w:tc>
          <w:tcPr>
            <w:tcW w:type="dxa" w:w="1391"/>
          </w:tcPr>
          <w:p>
            <w:pPr>
              <w:pStyle w:val="MDPI42tablebody"/>
              <w:keepNext/>
              <w:spacing w:line="240" w:lineRule="auto" w:before="30" w:after="30"/>
              <w:jc w:val="center"/>
            </w:pPr>
            <w:r>
              <w:rPr>
                <w:b w:val="0"/>
                <w:i w:val="0"/>
                <w:sz w:val="14"/>
              </w:rPr>
              <w:t>2.593***</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(0.401)</w:t>
            </w:r>
          </w:p>
        </w:tc>
        <w:tc>
          <w:tcPr>
            <w:tcW w:type="dxa" w:w="1391"/>
          </w:tcPr>
          <w:p>
            <w:pPr>
              <w:pStyle w:val="MDPI42tablebody"/>
              <w:keepNext/>
              <w:spacing w:line="240" w:lineRule="auto" w:before="30" w:after="30"/>
              <w:jc w:val="center"/>
            </w:pPr>
            <w:r>
              <w:rPr>
                <w:b w:val="0"/>
                <w:i w:val="0"/>
                <w:sz w:val="14"/>
              </w:rPr>
              <w:t>(0.175)</w:t>
            </w:r>
          </w:p>
        </w:tc>
        <w:tc>
          <w:tcPr>
            <w:tcW w:type="dxa" w:w="1391"/>
          </w:tcPr>
          <w:p>
            <w:pPr>
              <w:pStyle w:val="MDPI42tablebody"/>
              <w:keepNext/>
              <w:spacing w:line="240" w:lineRule="auto" w:before="30" w:after="30"/>
              <w:jc w:val="center"/>
            </w:pPr>
            <w:r>
              <w:rPr>
                <w:b w:val="0"/>
                <w:i w:val="0"/>
                <w:sz w:val="14"/>
              </w:rPr>
              <w:t>(0.400)</w:t>
            </w:r>
          </w:p>
        </w:tc>
        <w:tc>
          <w:tcPr>
            <w:tcW w:type="dxa" w:w="1391"/>
          </w:tcPr>
          <w:p>
            <w:pPr>
              <w:pStyle w:val="MDPI42tablebody"/>
              <w:keepNext/>
              <w:spacing w:line="240" w:lineRule="auto" w:before="30" w:after="30"/>
              <w:jc w:val="center"/>
            </w:pPr>
            <w:r>
              <w:rPr>
                <w:b w:val="0"/>
                <w:i w:val="0"/>
                <w:sz w:val="14"/>
              </w:rPr>
              <w:t>(0.365)</w:t>
            </w:r>
          </w:p>
        </w:tc>
        <w:tc>
          <w:tcPr>
            <w:tcW w:type="dxa" w:w="1391"/>
          </w:tcPr>
          <w:p>
            <w:pPr>
              <w:pStyle w:val="MDPI42tablebody"/>
              <w:keepNext/>
              <w:spacing w:line="240" w:lineRule="auto" w:before="30" w:after="30"/>
              <w:jc w:val="center"/>
            </w:pPr>
            <w:r>
              <w:rPr>
                <w:b w:val="0"/>
                <w:i w:val="0"/>
                <w:sz w:val="14"/>
              </w:rPr>
              <w:t>(0.400)</w:t>
            </w:r>
          </w:p>
        </w:tc>
        <w:tc>
          <w:tcPr>
            <w:tcW w:type="dxa" w:w="1391"/>
          </w:tcPr>
          <w:p>
            <w:pPr>
              <w:pStyle w:val="MDPI42tablebody"/>
              <w:keepNext/>
              <w:spacing w:line="240" w:lineRule="auto" w:before="30" w:after="30"/>
              <w:jc w:val="center"/>
            </w:pPr>
            <w:r>
              <w:rPr>
                <w:b w:val="0"/>
                <w:i w:val="0"/>
                <w:sz w:val="14"/>
              </w:rPr>
              <w:t>(0.400)</w:t>
            </w:r>
          </w:p>
        </w:tc>
      </w:tr>
      <w:tr>
        <w:trPr>
          <w:cantSplit/>
        </w:trPr>
        <w:tc>
          <w:tcPr>
            <w:tcW w:type="dxa" w:w="2114"/>
          </w:tcPr>
          <w:p>
            <w:pPr>
              <w:pStyle w:val="MDPI42tablebody"/>
              <w:keepNext/>
              <w:spacing w:line="240" w:lineRule="auto" w:before="30" w:after="30"/>
              <w:jc w:val="left"/>
            </w:pPr>
            <w:r>
              <w:rPr>
                <w:b w:val="0"/>
                <w:i/>
                <w:sz w:val="14"/>
              </w:rPr>
              <w:t>Lev</w:t>
            </w:r>
          </w:p>
        </w:tc>
        <w:tc>
          <w:tcPr>
            <w:tcW w:type="dxa" w:w="1391"/>
          </w:tcPr>
          <w:p>
            <w:pPr>
              <w:pStyle w:val="MDPI42tablebody"/>
              <w:keepNext/>
              <w:spacing w:line="240" w:lineRule="auto" w:before="30" w:after="30"/>
              <w:jc w:val="center"/>
            </w:pPr>
            <w:r>
              <w:rPr>
                <w:b w:val="0"/>
                <w:i w:val="0"/>
                <w:sz w:val="14"/>
              </w:rPr>
              <w:t>−1.502*</w:t>
            </w:r>
          </w:p>
        </w:tc>
        <w:tc>
          <w:tcPr>
            <w:tcW w:type="dxa" w:w="1391"/>
          </w:tcPr>
          <w:p>
            <w:pPr>
              <w:pStyle w:val="MDPI42tablebody"/>
              <w:keepNext/>
              <w:spacing w:line="240" w:lineRule="auto" w:before="30" w:after="30"/>
              <w:jc w:val="center"/>
            </w:pPr>
            <w:r>
              <w:rPr>
                <w:b w:val="0"/>
                <w:i w:val="0"/>
                <w:sz w:val="14"/>
              </w:rPr>
              <w:t>−0.230</w:t>
            </w:r>
          </w:p>
        </w:tc>
        <w:tc>
          <w:tcPr>
            <w:tcW w:type="dxa" w:w="1391"/>
          </w:tcPr>
          <w:p>
            <w:pPr>
              <w:pStyle w:val="MDPI42tablebody"/>
              <w:keepNext/>
              <w:spacing w:line="240" w:lineRule="auto" w:before="30" w:after="30"/>
              <w:jc w:val="center"/>
            </w:pPr>
            <w:r>
              <w:rPr>
                <w:b w:val="0"/>
                <w:i w:val="0"/>
                <w:sz w:val="14"/>
              </w:rPr>
              <w:t>−1.475</w:t>
            </w:r>
          </w:p>
        </w:tc>
        <w:tc>
          <w:tcPr>
            <w:tcW w:type="dxa" w:w="1391"/>
          </w:tcPr>
          <w:p>
            <w:pPr>
              <w:pStyle w:val="MDPI42tablebody"/>
              <w:keepNext/>
              <w:spacing w:line="240" w:lineRule="auto" w:before="30" w:after="30"/>
              <w:jc w:val="center"/>
            </w:pPr>
            <w:r>
              <w:rPr>
                <w:b w:val="0"/>
                <w:i w:val="0"/>
                <w:sz w:val="14"/>
              </w:rPr>
              <w:t>−0.373</w:t>
            </w:r>
          </w:p>
        </w:tc>
        <w:tc>
          <w:tcPr>
            <w:tcW w:type="dxa" w:w="1391"/>
          </w:tcPr>
          <w:p>
            <w:pPr>
              <w:pStyle w:val="MDPI42tablebody"/>
              <w:keepNext/>
              <w:spacing w:line="240" w:lineRule="auto" w:before="30" w:after="30"/>
              <w:jc w:val="center"/>
            </w:pPr>
            <w:r>
              <w:rPr>
                <w:b w:val="0"/>
                <w:i w:val="0"/>
                <w:sz w:val="14"/>
              </w:rPr>
              <w:t>−1.542*</w:t>
            </w:r>
          </w:p>
        </w:tc>
        <w:tc>
          <w:tcPr>
            <w:tcW w:type="dxa" w:w="1391"/>
          </w:tcPr>
          <w:p>
            <w:pPr>
              <w:pStyle w:val="MDPI42tablebody"/>
              <w:keepNext/>
              <w:spacing w:line="240" w:lineRule="auto" w:before="30" w:after="30"/>
              <w:jc w:val="center"/>
            </w:pPr>
            <w:r>
              <w:rPr>
                <w:b w:val="0"/>
                <w:i w:val="0"/>
                <w:sz w:val="14"/>
              </w:rPr>
              <w:t>−1.515*</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(0.902)</w:t>
            </w:r>
          </w:p>
        </w:tc>
        <w:tc>
          <w:tcPr>
            <w:tcW w:type="dxa" w:w="1391"/>
          </w:tcPr>
          <w:p>
            <w:pPr>
              <w:pStyle w:val="MDPI42tablebody"/>
              <w:keepNext/>
              <w:spacing w:line="240" w:lineRule="auto" w:before="30" w:after="30"/>
              <w:jc w:val="center"/>
            </w:pPr>
            <w:r>
              <w:rPr>
                <w:b w:val="0"/>
                <w:i w:val="0"/>
                <w:sz w:val="14"/>
              </w:rPr>
              <w:t>(0.396)</w:t>
            </w:r>
          </w:p>
        </w:tc>
        <w:tc>
          <w:tcPr>
            <w:tcW w:type="dxa" w:w="1391"/>
          </w:tcPr>
          <w:p>
            <w:pPr>
              <w:pStyle w:val="MDPI42tablebody"/>
              <w:keepNext/>
              <w:spacing w:line="240" w:lineRule="auto" w:before="30" w:after="30"/>
              <w:jc w:val="center"/>
            </w:pPr>
            <w:r>
              <w:rPr>
                <w:b w:val="0"/>
                <w:i w:val="0"/>
                <w:sz w:val="14"/>
              </w:rPr>
              <w:t>(0.900)</w:t>
            </w:r>
          </w:p>
        </w:tc>
        <w:tc>
          <w:tcPr>
            <w:tcW w:type="dxa" w:w="1391"/>
          </w:tcPr>
          <w:p>
            <w:pPr>
              <w:pStyle w:val="MDPI42tablebody"/>
              <w:keepNext/>
              <w:spacing w:line="240" w:lineRule="auto" w:before="30" w:after="30"/>
              <w:jc w:val="center"/>
            </w:pPr>
            <w:r>
              <w:rPr>
                <w:b w:val="0"/>
                <w:i w:val="0"/>
                <w:sz w:val="14"/>
              </w:rPr>
              <w:t>(0.862)</w:t>
            </w:r>
          </w:p>
        </w:tc>
        <w:tc>
          <w:tcPr>
            <w:tcW w:type="dxa" w:w="1391"/>
          </w:tcPr>
          <w:p>
            <w:pPr>
              <w:pStyle w:val="MDPI42tablebody"/>
              <w:keepNext/>
              <w:spacing w:line="240" w:lineRule="auto" w:before="30" w:after="30"/>
              <w:jc w:val="center"/>
            </w:pPr>
            <w:r>
              <w:rPr>
                <w:b w:val="0"/>
                <w:i w:val="0"/>
                <w:sz w:val="14"/>
              </w:rPr>
              <w:t>(0.899)</w:t>
            </w:r>
          </w:p>
        </w:tc>
        <w:tc>
          <w:tcPr>
            <w:tcW w:type="dxa" w:w="1391"/>
          </w:tcPr>
          <w:p>
            <w:pPr>
              <w:pStyle w:val="MDPI42tablebody"/>
              <w:keepNext/>
              <w:spacing w:line="240" w:lineRule="auto" w:before="30" w:after="30"/>
              <w:jc w:val="center"/>
            </w:pPr>
            <w:r>
              <w:rPr>
                <w:b w:val="0"/>
                <w:i w:val="0"/>
                <w:sz w:val="14"/>
              </w:rPr>
              <w:t>(0.898)</w:t>
            </w:r>
          </w:p>
        </w:tc>
      </w:tr>
      <w:tr>
        <w:trPr>
          <w:cantSplit/>
        </w:trPr>
        <w:tc>
          <w:tcPr>
            <w:tcW w:type="dxa" w:w="2114"/>
          </w:tcPr>
          <w:p>
            <w:pPr>
              <w:pStyle w:val="MDPI42tablebody"/>
              <w:keepNext/>
              <w:spacing w:line="240" w:lineRule="auto" w:before="30" w:after="30"/>
              <w:jc w:val="left"/>
            </w:pPr>
            <w:r>
              <w:rPr>
                <w:b w:val="0"/>
                <w:i/>
                <w:sz w:val="14"/>
              </w:rPr>
              <w:t>ROA</w:t>
            </w:r>
          </w:p>
        </w:tc>
        <w:tc>
          <w:tcPr>
            <w:tcW w:type="dxa" w:w="1391"/>
          </w:tcPr>
          <w:p>
            <w:pPr>
              <w:pStyle w:val="MDPI42tablebody"/>
              <w:keepNext/>
              <w:spacing w:line="240" w:lineRule="auto" w:before="30" w:after="30"/>
              <w:jc w:val="center"/>
            </w:pPr>
            <w:r>
              <w:rPr>
                <w:b w:val="0"/>
                <w:i w:val="0"/>
                <w:sz w:val="14"/>
              </w:rPr>
              <w:t>12.944***</w:t>
            </w:r>
          </w:p>
        </w:tc>
        <w:tc>
          <w:tcPr>
            <w:tcW w:type="dxa" w:w="1391"/>
          </w:tcPr>
          <w:p>
            <w:pPr>
              <w:pStyle w:val="MDPI42tablebody"/>
              <w:keepNext/>
              <w:spacing w:line="240" w:lineRule="auto" w:before="30" w:after="30"/>
              <w:jc w:val="center"/>
            </w:pPr>
            <w:r>
              <w:rPr>
                <w:b w:val="0"/>
                <w:i w:val="0"/>
                <w:sz w:val="14"/>
              </w:rPr>
              <w:t>1.223*</w:t>
            </w:r>
          </w:p>
        </w:tc>
        <w:tc>
          <w:tcPr>
            <w:tcW w:type="dxa" w:w="1391"/>
          </w:tcPr>
          <w:p>
            <w:pPr>
              <w:pStyle w:val="MDPI42tablebody"/>
              <w:keepNext/>
              <w:spacing w:line="240" w:lineRule="auto" w:before="30" w:after="30"/>
              <w:jc w:val="center"/>
            </w:pPr>
            <w:r>
              <w:rPr>
                <w:b w:val="0"/>
                <w:i w:val="0"/>
                <w:sz w:val="14"/>
              </w:rPr>
              <w:t>12.801***</w:t>
            </w:r>
          </w:p>
        </w:tc>
        <w:tc>
          <w:tcPr>
            <w:tcW w:type="dxa" w:w="1391"/>
          </w:tcPr>
          <w:p>
            <w:pPr>
              <w:pStyle w:val="MDPI42tablebody"/>
              <w:keepNext/>
              <w:spacing w:line="240" w:lineRule="auto" w:before="30" w:after="30"/>
              <w:jc w:val="center"/>
            </w:pPr>
            <w:r>
              <w:rPr>
                <w:b w:val="0"/>
                <w:i w:val="0"/>
                <w:sz w:val="14"/>
              </w:rPr>
              <w:t>0.758</w:t>
            </w:r>
          </w:p>
        </w:tc>
        <w:tc>
          <w:tcPr>
            <w:tcW w:type="dxa" w:w="1391"/>
          </w:tcPr>
          <w:p>
            <w:pPr>
              <w:pStyle w:val="MDPI42tablebody"/>
              <w:keepNext/>
              <w:spacing w:line="240" w:lineRule="auto" w:before="30" w:after="30"/>
              <w:jc w:val="center"/>
            </w:pPr>
            <w:r>
              <w:rPr>
                <w:b w:val="0"/>
                <w:i w:val="0"/>
                <w:sz w:val="14"/>
              </w:rPr>
              <w:t>13.026***</w:t>
            </w:r>
          </w:p>
        </w:tc>
        <w:tc>
          <w:tcPr>
            <w:tcW w:type="dxa" w:w="1391"/>
          </w:tcPr>
          <w:p>
            <w:pPr>
              <w:pStyle w:val="MDPI42tablebody"/>
              <w:keepNext/>
              <w:spacing w:line="240" w:lineRule="auto" w:before="30" w:after="30"/>
              <w:jc w:val="center"/>
            </w:pPr>
            <w:r>
              <w:rPr>
                <w:b w:val="0"/>
                <w:i w:val="0"/>
                <w:sz w:val="14"/>
              </w:rPr>
              <w:t>12.884***</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(1.503)</w:t>
            </w:r>
          </w:p>
        </w:tc>
        <w:tc>
          <w:tcPr>
            <w:tcW w:type="dxa" w:w="1391"/>
          </w:tcPr>
          <w:p>
            <w:pPr>
              <w:pStyle w:val="MDPI42tablebody"/>
              <w:keepNext/>
              <w:spacing w:line="240" w:lineRule="auto" w:before="30" w:after="30"/>
              <w:jc w:val="center"/>
            </w:pPr>
            <w:r>
              <w:rPr>
                <w:b w:val="0"/>
                <w:i w:val="0"/>
                <w:sz w:val="14"/>
              </w:rPr>
              <w:t>(0.679)</w:t>
            </w:r>
          </w:p>
        </w:tc>
        <w:tc>
          <w:tcPr>
            <w:tcW w:type="dxa" w:w="1391"/>
          </w:tcPr>
          <w:p>
            <w:pPr>
              <w:pStyle w:val="MDPI42tablebody"/>
              <w:keepNext/>
              <w:spacing w:line="240" w:lineRule="auto" w:before="30" w:after="30"/>
              <w:jc w:val="center"/>
            </w:pPr>
            <w:r>
              <w:rPr>
                <w:b w:val="0"/>
                <w:i w:val="0"/>
                <w:sz w:val="14"/>
              </w:rPr>
              <w:t>(1.500)</w:t>
            </w:r>
          </w:p>
        </w:tc>
        <w:tc>
          <w:tcPr>
            <w:tcW w:type="dxa" w:w="1391"/>
          </w:tcPr>
          <w:p>
            <w:pPr>
              <w:pStyle w:val="MDPI42tablebody"/>
              <w:keepNext/>
              <w:spacing w:line="240" w:lineRule="auto" w:before="30" w:after="30"/>
              <w:jc w:val="center"/>
            </w:pPr>
            <w:r>
              <w:rPr>
                <w:b w:val="0"/>
                <w:i w:val="0"/>
                <w:sz w:val="14"/>
              </w:rPr>
              <w:t>(1.475)</w:t>
            </w:r>
          </w:p>
        </w:tc>
        <w:tc>
          <w:tcPr>
            <w:tcW w:type="dxa" w:w="1391"/>
          </w:tcPr>
          <w:p>
            <w:pPr>
              <w:pStyle w:val="MDPI42tablebody"/>
              <w:keepNext/>
              <w:spacing w:line="240" w:lineRule="auto" w:before="30" w:after="30"/>
              <w:jc w:val="center"/>
            </w:pPr>
            <w:r>
              <w:rPr>
                <w:b w:val="0"/>
                <w:i w:val="0"/>
                <w:sz w:val="14"/>
              </w:rPr>
              <w:t>(1.492)</w:t>
            </w:r>
          </w:p>
        </w:tc>
        <w:tc>
          <w:tcPr>
            <w:tcW w:type="dxa" w:w="1391"/>
          </w:tcPr>
          <w:p>
            <w:pPr>
              <w:pStyle w:val="MDPI42tablebody"/>
              <w:keepNext/>
              <w:spacing w:line="240" w:lineRule="auto" w:before="30" w:after="30"/>
              <w:jc w:val="center"/>
            </w:pPr>
            <w:r>
              <w:rPr>
                <w:b w:val="0"/>
                <w:i w:val="0"/>
                <w:sz w:val="14"/>
              </w:rPr>
              <w:t>(1.489)</w:t>
            </w:r>
          </w:p>
        </w:tc>
      </w:tr>
      <w:tr>
        <w:trPr>
          <w:cantSplit/>
        </w:trPr>
        <w:tc>
          <w:tcPr>
            <w:tcW w:type="dxa" w:w="2114"/>
          </w:tcPr>
          <w:p>
            <w:pPr>
              <w:pStyle w:val="MDPI42tablebody"/>
              <w:keepNext/>
              <w:spacing w:line="240" w:lineRule="auto" w:before="30" w:after="30"/>
              <w:jc w:val="left"/>
            </w:pPr>
            <w:r>
              <w:rPr>
                <w:b w:val="0"/>
                <w:i/>
                <w:sz w:val="14"/>
              </w:rPr>
              <w:t>Cashflow</w:t>
            </w:r>
          </w:p>
        </w:tc>
        <w:tc>
          <w:tcPr>
            <w:tcW w:type="dxa" w:w="1391"/>
          </w:tcPr>
          <w:p>
            <w:pPr>
              <w:pStyle w:val="MDPI42tablebody"/>
              <w:keepNext/>
              <w:spacing w:line="240" w:lineRule="auto" w:before="30" w:after="30"/>
              <w:jc w:val="center"/>
            </w:pPr>
            <w:r>
              <w:rPr>
                <w:b w:val="0"/>
                <w:i w:val="0"/>
                <w:sz w:val="14"/>
              </w:rPr>
              <w:t>0.702</w:t>
            </w:r>
          </w:p>
        </w:tc>
        <w:tc>
          <w:tcPr>
            <w:tcW w:type="dxa" w:w="1391"/>
          </w:tcPr>
          <w:p>
            <w:pPr>
              <w:pStyle w:val="MDPI42tablebody"/>
              <w:keepNext/>
              <w:spacing w:line="240" w:lineRule="auto" w:before="30" w:after="30"/>
              <w:jc w:val="center"/>
            </w:pPr>
            <w:r>
              <w:rPr>
                <w:b w:val="0"/>
                <w:i w:val="0"/>
                <w:sz w:val="14"/>
              </w:rPr>
              <w:t>0.293</w:t>
            </w:r>
          </w:p>
        </w:tc>
        <w:tc>
          <w:tcPr>
            <w:tcW w:type="dxa" w:w="1391"/>
          </w:tcPr>
          <w:p>
            <w:pPr>
              <w:pStyle w:val="MDPI42tablebody"/>
              <w:keepNext/>
              <w:spacing w:line="240" w:lineRule="auto" w:before="30" w:after="30"/>
              <w:jc w:val="center"/>
            </w:pPr>
            <w:r>
              <w:rPr>
                <w:b w:val="0"/>
                <w:i w:val="0"/>
                <w:sz w:val="14"/>
              </w:rPr>
              <w:t>0.668</w:t>
            </w:r>
          </w:p>
        </w:tc>
        <w:tc>
          <w:tcPr>
            <w:tcW w:type="dxa" w:w="1391"/>
          </w:tcPr>
          <w:p>
            <w:pPr>
              <w:pStyle w:val="MDPI42tablebody"/>
              <w:keepNext/>
              <w:spacing w:line="240" w:lineRule="auto" w:before="30" w:after="30"/>
              <w:jc w:val="center"/>
            </w:pPr>
            <w:r>
              <w:rPr>
                <w:b w:val="0"/>
                <w:i w:val="0"/>
                <w:sz w:val="14"/>
              </w:rPr>
              <w:t>0.076</w:t>
            </w:r>
          </w:p>
        </w:tc>
        <w:tc>
          <w:tcPr>
            <w:tcW w:type="dxa" w:w="1391"/>
          </w:tcPr>
          <w:p>
            <w:pPr>
              <w:pStyle w:val="MDPI42tablebody"/>
              <w:keepNext/>
              <w:spacing w:line="240" w:lineRule="auto" w:before="30" w:after="30"/>
              <w:jc w:val="center"/>
            </w:pPr>
            <w:r>
              <w:rPr>
                <w:b w:val="0"/>
                <w:i w:val="0"/>
                <w:sz w:val="14"/>
              </w:rPr>
              <w:t>0.711</w:t>
            </w:r>
          </w:p>
        </w:tc>
        <w:tc>
          <w:tcPr>
            <w:tcW w:type="dxa" w:w="1391"/>
          </w:tcPr>
          <w:p>
            <w:pPr>
              <w:pStyle w:val="MDPI42tablebody"/>
              <w:keepNext/>
              <w:spacing w:line="240" w:lineRule="auto" w:before="30" w:after="30"/>
              <w:jc w:val="center"/>
            </w:pPr>
            <w:r>
              <w:rPr>
                <w:b w:val="0"/>
                <w:i w:val="0"/>
                <w:sz w:val="14"/>
              </w:rPr>
              <w:t>0.677</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(0.688)</w:t>
            </w:r>
          </w:p>
        </w:tc>
        <w:tc>
          <w:tcPr>
            <w:tcW w:type="dxa" w:w="1391"/>
          </w:tcPr>
          <w:p>
            <w:pPr>
              <w:pStyle w:val="MDPI42tablebody"/>
              <w:keepNext/>
              <w:spacing w:line="240" w:lineRule="auto" w:before="30" w:after="30"/>
              <w:jc w:val="center"/>
            </w:pPr>
            <w:r>
              <w:rPr>
                <w:b w:val="0"/>
                <w:i w:val="0"/>
                <w:sz w:val="14"/>
              </w:rPr>
              <w:t>(0.312)</w:t>
            </w:r>
          </w:p>
        </w:tc>
        <w:tc>
          <w:tcPr>
            <w:tcW w:type="dxa" w:w="1391"/>
          </w:tcPr>
          <w:p>
            <w:pPr>
              <w:pStyle w:val="MDPI42tablebody"/>
              <w:keepNext/>
              <w:spacing w:line="240" w:lineRule="auto" w:before="30" w:after="30"/>
              <w:jc w:val="center"/>
            </w:pPr>
            <w:r>
              <w:rPr>
                <w:b w:val="0"/>
                <w:i w:val="0"/>
                <w:sz w:val="14"/>
              </w:rPr>
              <w:t>(0.687)</w:t>
            </w:r>
          </w:p>
        </w:tc>
        <w:tc>
          <w:tcPr>
            <w:tcW w:type="dxa" w:w="1391"/>
          </w:tcPr>
          <w:p>
            <w:pPr>
              <w:pStyle w:val="MDPI42tablebody"/>
              <w:keepNext/>
              <w:spacing w:line="240" w:lineRule="auto" w:before="30" w:after="30"/>
              <w:jc w:val="center"/>
            </w:pPr>
            <w:r>
              <w:rPr>
                <w:b w:val="0"/>
                <w:i w:val="0"/>
                <w:sz w:val="14"/>
              </w:rPr>
              <w:t>(0.638)</w:t>
            </w:r>
          </w:p>
        </w:tc>
        <w:tc>
          <w:tcPr>
            <w:tcW w:type="dxa" w:w="1391"/>
          </w:tcPr>
          <w:p>
            <w:pPr>
              <w:pStyle w:val="MDPI42tablebody"/>
              <w:keepNext/>
              <w:spacing w:line="240" w:lineRule="auto" w:before="30" w:after="30"/>
              <w:jc w:val="center"/>
            </w:pPr>
            <w:r>
              <w:rPr>
                <w:b w:val="0"/>
                <w:i w:val="0"/>
                <w:sz w:val="14"/>
              </w:rPr>
              <w:t>(0.684)</w:t>
            </w:r>
          </w:p>
        </w:tc>
        <w:tc>
          <w:tcPr>
            <w:tcW w:type="dxa" w:w="1391"/>
          </w:tcPr>
          <w:p>
            <w:pPr>
              <w:pStyle w:val="MDPI42tablebody"/>
              <w:keepNext/>
              <w:spacing w:line="240" w:lineRule="auto" w:before="30" w:after="30"/>
              <w:jc w:val="center"/>
            </w:pPr>
            <w:r>
              <w:rPr>
                <w:b w:val="0"/>
                <w:i w:val="0"/>
                <w:sz w:val="14"/>
              </w:rPr>
              <w:t>(0.683)</w:t>
            </w:r>
          </w:p>
        </w:tc>
      </w:tr>
      <w:tr>
        <w:trPr>
          <w:cantSplit/>
        </w:trPr>
        <w:tc>
          <w:tcPr>
            <w:tcW w:type="dxa" w:w="2114"/>
          </w:tcPr>
          <w:p>
            <w:pPr>
              <w:pStyle w:val="MDPI42tablebody"/>
              <w:keepNext/>
              <w:spacing w:line="240" w:lineRule="auto" w:before="30" w:after="30"/>
              <w:jc w:val="left"/>
            </w:pPr>
            <w:r>
              <w:rPr>
                <w:b w:val="0"/>
                <w:i/>
                <w:sz w:val="14"/>
              </w:rPr>
              <w:t>TobinQ</w:t>
            </w:r>
          </w:p>
        </w:tc>
        <w:tc>
          <w:tcPr>
            <w:tcW w:type="dxa" w:w="1391"/>
          </w:tcPr>
          <w:p>
            <w:pPr>
              <w:pStyle w:val="MDPI42tablebody"/>
              <w:keepNext/>
              <w:spacing w:line="240" w:lineRule="auto" w:before="30" w:after="30"/>
              <w:jc w:val="center"/>
            </w:pPr>
            <w:r>
              <w:rPr>
                <w:b w:val="0"/>
                <w:i w:val="0"/>
                <w:sz w:val="14"/>
              </w:rPr>
              <w:t>0.572***</w:t>
            </w:r>
          </w:p>
        </w:tc>
        <w:tc>
          <w:tcPr>
            <w:tcW w:type="dxa" w:w="1391"/>
          </w:tcPr>
          <w:p>
            <w:pPr>
              <w:pStyle w:val="MDPI42tablebody"/>
              <w:keepNext/>
              <w:spacing w:line="240" w:lineRule="auto" w:before="30" w:after="30"/>
              <w:jc w:val="center"/>
            </w:pPr>
            <w:r>
              <w:rPr>
                <w:b w:val="0"/>
                <w:i w:val="0"/>
                <w:sz w:val="14"/>
              </w:rPr>
              <w:t>0.019</w:t>
            </w:r>
          </w:p>
        </w:tc>
        <w:tc>
          <w:tcPr>
            <w:tcW w:type="dxa" w:w="1391"/>
          </w:tcPr>
          <w:p>
            <w:pPr>
              <w:pStyle w:val="MDPI42tablebody"/>
              <w:keepNext/>
              <w:spacing w:line="240" w:lineRule="auto" w:before="30" w:after="30"/>
              <w:jc w:val="center"/>
            </w:pPr>
            <w:r>
              <w:rPr>
                <w:b w:val="0"/>
                <w:i w:val="0"/>
                <w:sz w:val="14"/>
              </w:rPr>
              <w:t>0.569***</w:t>
            </w:r>
          </w:p>
        </w:tc>
        <w:tc>
          <w:tcPr>
            <w:tcW w:type="dxa" w:w="1391"/>
          </w:tcPr>
          <w:p>
            <w:pPr>
              <w:pStyle w:val="MDPI42tablebody"/>
              <w:keepNext/>
              <w:spacing w:line="240" w:lineRule="auto" w:before="30" w:after="30"/>
              <w:jc w:val="center"/>
            </w:pPr>
            <w:r>
              <w:rPr>
                <w:b w:val="0"/>
                <w:i w:val="0"/>
                <w:sz w:val="14"/>
              </w:rPr>
              <w:t>−0.048</w:t>
            </w:r>
          </w:p>
        </w:tc>
        <w:tc>
          <w:tcPr>
            <w:tcW w:type="dxa" w:w="1391"/>
          </w:tcPr>
          <w:p>
            <w:pPr>
              <w:pStyle w:val="MDPI42tablebody"/>
              <w:keepNext/>
              <w:spacing w:line="240" w:lineRule="auto" w:before="30" w:after="30"/>
              <w:jc w:val="center"/>
            </w:pPr>
            <w:r>
              <w:rPr>
                <w:b w:val="0"/>
                <w:i w:val="0"/>
                <w:sz w:val="14"/>
              </w:rPr>
              <w:t>0.566***</w:t>
            </w:r>
          </w:p>
        </w:tc>
        <w:tc>
          <w:tcPr>
            <w:tcW w:type="dxa" w:w="1391"/>
          </w:tcPr>
          <w:p>
            <w:pPr>
              <w:pStyle w:val="MDPI42tablebody"/>
              <w:keepNext/>
              <w:spacing w:line="240" w:lineRule="auto" w:before="30" w:after="30"/>
              <w:jc w:val="center"/>
            </w:pPr>
            <w:r>
              <w:rPr>
                <w:b w:val="0"/>
                <w:i w:val="0"/>
                <w:sz w:val="14"/>
              </w:rPr>
              <w:t>0.564***</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(0.047)</w:t>
            </w:r>
          </w:p>
        </w:tc>
        <w:tc>
          <w:tcPr>
            <w:tcW w:type="dxa" w:w="1391"/>
          </w:tcPr>
          <w:p>
            <w:pPr>
              <w:pStyle w:val="MDPI42tablebody"/>
              <w:keepNext/>
              <w:spacing w:line="240" w:lineRule="auto" w:before="30" w:after="30"/>
              <w:jc w:val="center"/>
            </w:pPr>
            <w:r>
              <w:rPr>
                <w:b w:val="0"/>
                <w:i w:val="0"/>
                <w:sz w:val="14"/>
              </w:rPr>
              <w:t>(0.021)</w:t>
            </w:r>
          </w:p>
        </w:tc>
        <w:tc>
          <w:tcPr>
            <w:tcW w:type="dxa" w:w="1391"/>
          </w:tcPr>
          <w:p>
            <w:pPr>
              <w:pStyle w:val="MDPI42tablebody"/>
              <w:keepNext/>
              <w:spacing w:line="240" w:lineRule="auto" w:before="30" w:after="30"/>
              <w:jc w:val="center"/>
            </w:pPr>
            <w:r>
              <w:rPr>
                <w:b w:val="0"/>
                <w:i w:val="0"/>
                <w:sz w:val="14"/>
              </w:rPr>
              <w:t>(0.047)</w:t>
            </w:r>
          </w:p>
        </w:tc>
        <w:tc>
          <w:tcPr>
            <w:tcW w:type="dxa" w:w="1391"/>
          </w:tcPr>
          <w:p>
            <w:pPr>
              <w:pStyle w:val="MDPI42tablebody"/>
              <w:keepNext/>
              <w:spacing w:line="240" w:lineRule="auto" w:before="30" w:after="30"/>
              <w:jc w:val="center"/>
            </w:pPr>
            <w:r>
              <w:rPr>
                <w:b w:val="0"/>
                <w:i w:val="0"/>
                <w:sz w:val="14"/>
              </w:rPr>
              <w:t>(0.045)</w:t>
            </w:r>
          </w:p>
        </w:tc>
        <w:tc>
          <w:tcPr>
            <w:tcW w:type="dxa" w:w="1391"/>
          </w:tcPr>
          <w:p>
            <w:pPr>
              <w:pStyle w:val="MDPI42tablebody"/>
              <w:keepNext/>
              <w:spacing w:line="240" w:lineRule="auto" w:before="30" w:after="30"/>
              <w:jc w:val="center"/>
            </w:pPr>
            <w:r>
              <w:rPr>
                <w:b w:val="0"/>
                <w:i w:val="0"/>
                <w:sz w:val="14"/>
              </w:rPr>
              <w:t>(0.047)</w:t>
            </w:r>
          </w:p>
        </w:tc>
        <w:tc>
          <w:tcPr>
            <w:tcW w:type="dxa" w:w="1391"/>
          </w:tcPr>
          <w:p>
            <w:pPr>
              <w:pStyle w:val="MDPI42tablebody"/>
              <w:keepNext/>
              <w:spacing w:line="240" w:lineRule="auto" w:before="30" w:after="30"/>
              <w:jc w:val="center"/>
            </w:pPr>
            <w:r>
              <w:rPr>
                <w:b w:val="0"/>
                <w:i w:val="0"/>
                <w:sz w:val="14"/>
              </w:rPr>
              <w:t>(0.047)</w:t>
            </w:r>
          </w:p>
        </w:tc>
      </w:tr>
      <w:tr>
        <w:trPr>
          <w:cantSplit/>
        </w:trPr>
        <w:tc>
          <w:tcPr>
            <w:tcW w:type="dxa" w:w="2114"/>
          </w:tcPr>
          <w:p>
            <w:pPr>
              <w:pStyle w:val="MDPI42tablebody"/>
              <w:keepNext/>
              <w:spacing w:line="240" w:lineRule="auto" w:before="30" w:after="30"/>
              <w:jc w:val="left"/>
            </w:pPr>
            <w:r>
              <w:rPr>
                <w:b w:val="0"/>
                <w:i/>
                <w:sz w:val="14"/>
              </w:rPr>
              <w:t>Top1</w:t>
            </w:r>
          </w:p>
        </w:tc>
        <w:tc>
          <w:tcPr>
            <w:tcW w:type="dxa" w:w="1391"/>
          </w:tcPr>
          <w:p>
            <w:pPr>
              <w:pStyle w:val="MDPI42tablebody"/>
              <w:keepNext/>
              <w:spacing w:line="240" w:lineRule="auto" w:before="30" w:after="30"/>
              <w:jc w:val="center"/>
            </w:pPr>
            <w:r>
              <w:rPr>
                <w:b w:val="0"/>
                <w:i w:val="0"/>
                <w:sz w:val="14"/>
              </w:rPr>
              <w:t>−3.986*</w:t>
            </w:r>
          </w:p>
        </w:tc>
        <w:tc>
          <w:tcPr>
            <w:tcW w:type="dxa" w:w="1391"/>
          </w:tcPr>
          <w:p>
            <w:pPr>
              <w:pStyle w:val="MDPI42tablebody"/>
              <w:keepNext/>
              <w:spacing w:line="240" w:lineRule="auto" w:before="30" w:after="30"/>
              <w:jc w:val="center"/>
            </w:pPr>
            <w:r>
              <w:rPr>
                <w:b w:val="0"/>
                <w:i w:val="0"/>
                <w:sz w:val="14"/>
              </w:rPr>
              <w:t>0.480</w:t>
            </w:r>
          </w:p>
        </w:tc>
        <w:tc>
          <w:tcPr>
            <w:tcW w:type="dxa" w:w="1391"/>
          </w:tcPr>
          <w:p>
            <w:pPr>
              <w:pStyle w:val="MDPI42tablebody"/>
              <w:keepNext/>
              <w:spacing w:line="240" w:lineRule="auto" w:before="30" w:after="30"/>
              <w:jc w:val="center"/>
            </w:pPr>
            <w:r>
              <w:rPr>
                <w:b w:val="0"/>
                <w:i w:val="0"/>
                <w:sz w:val="14"/>
              </w:rPr>
              <w:t>−4.043**</w:t>
            </w:r>
          </w:p>
        </w:tc>
        <w:tc>
          <w:tcPr>
            <w:tcW w:type="dxa" w:w="1391"/>
          </w:tcPr>
          <w:p>
            <w:pPr>
              <w:pStyle w:val="MDPI42tablebody"/>
              <w:keepNext/>
              <w:spacing w:line="240" w:lineRule="auto" w:before="30" w:after="30"/>
              <w:jc w:val="center"/>
            </w:pPr>
            <w:r>
              <w:rPr>
                <w:b w:val="0"/>
                <w:i w:val="0"/>
                <w:sz w:val="14"/>
              </w:rPr>
              <w:t>−2.219</w:t>
            </w:r>
          </w:p>
        </w:tc>
        <w:tc>
          <w:tcPr>
            <w:tcW w:type="dxa" w:w="1391"/>
          </w:tcPr>
          <w:p>
            <w:pPr>
              <w:pStyle w:val="MDPI42tablebody"/>
              <w:keepNext/>
              <w:spacing w:line="240" w:lineRule="auto" w:before="30" w:after="30"/>
              <w:jc w:val="center"/>
            </w:pPr>
            <w:r>
              <w:rPr>
                <w:b w:val="0"/>
                <w:i w:val="0"/>
                <w:sz w:val="14"/>
              </w:rPr>
              <w:t>−4.227**</w:t>
            </w:r>
          </w:p>
        </w:tc>
        <w:tc>
          <w:tcPr>
            <w:tcW w:type="dxa" w:w="1391"/>
          </w:tcPr>
          <w:p>
            <w:pPr>
              <w:pStyle w:val="MDPI42tablebody"/>
              <w:keepNext/>
              <w:spacing w:line="240" w:lineRule="auto" w:before="30" w:after="30"/>
              <w:jc w:val="center"/>
            </w:pPr>
            <w:r>
              <w:rPr>
                <w:b w:val="0"/>
                <w:i w:val="0"/>
                <w:sz w:val="14"/>
              </w:rPr>
              <w:t>−4.282**</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(2.054)</w:t>
            </w:r>
          </w:p>
        </w:tc>
        <w:tc>
          <w:tcPr>
            <w:tcW w:type="dxa" w:w="1391"/>
          </w:tcPr>
          <w:p>
            <w:pPr>
              <w:pStyle w:val="MDPI42tablebody"/>
              <w:keepNext/>
              <w:spacing w:line="240" w:lineRule="auto" w:before="30" w:after="30"/>
              <w:jc w:val="center"/>
            </w:pPr>
            <w:r>
              <w:rPr>
                <w:b w:val="0"/>
                <w:i w:val="0"/>
                <w:sz w:val="14"/>
              </w:rPr>
              <w:t>(0.920)</w:t>
            </w:r>
          </w:p>
        </w:tc>
        <w:tc>
          <w:tcPr>
            <w:tcW w:type="dxa" w:w="1391"/>
          </w:tcPr>
          <w:p>
            <w:pPr>
              <w:pStyle w:val="MDPI42tablebody"/>
              <w:keepNext/>
              <w:spacing w:line="240" w:lineRule="auto" w:before="30" w:after="30"/>
              <w:jc w:val="center"/>
            </w:pPr>
            <w:r>
              <w:rPr>
                <w:b w:val="0"/>
                <w:i w:val="0"/>
                <w:sz w:val="14"/>
              </w:rPr>
              <w:t>(2.056)</w:t>
            </w:r>
          </w:p>
        </w:tc>
        <w:tc>
          <w:tcPr>
            <w:tcW w:type="dxa" w:w="1391"/>
          </w:tcPr>
          <w:p>
            <w:pPr>
              <w:pStyle w:val="MDPI42tablebody"/>
              <w:keepNext/>
              <w:spacing w:line="240" w:lineRule="auto" w:before="30" w:after="30"/>
              <w:jc w:val="center"/>
            </w:pPr>
            <w:r>
              <w:rPr>
                <w:b w:val="0"/>
                <w:i w:val="0"/>
                <w:sz w:val="14"/>
              </w:rPr>
              <w:t>(1.972)</w:t>
            </w:r>
          </w:p>
        </w:tc>
        <w:tc>
          <w:tcPr>
            <w:tcW w:type="dxa" w:w="1391"/>
          </w:tcPr>
          <w:p>
            <w:pPr>
              <w:pStyle w:val="MDPI42tablebody"/>
              <w:keepNext/>
              <w:spacing w:line="240" w:lineRule="auto" w:before="30" w:after="30"/>
              <w:jc w:val="center"/>
            </w:pPr>
            <w:r>
              <w:rPr>
                <w:b w:val="0"/>
                <w:i w:val="0"/>
                <w:sz w:val="14"/>
              </w:rPr>
              <w:t>(2.045)</w:t>
            </w:r>
          </w:p>
        </w:tc>
        <w:tc>
          <w:tcPr>
            <w:tcW w:type="dxa" w:w="1391"/>
          </w:tcPr>
          <w:p>
            <w:pPr>
              <w:pStyle w:val="MDPI42tablebody"/>
              <w:keepNext/>
              <w:spacing w:line="240" w:lineRule="auto" w:before="30" w:after="30"/>
              <w:jc w:val="center"/>
            </w:pPr>
            <w:r>
              <w:rPr>
                <w:b w:val="0"/>
                <w:i w:val="0"/>
                <w:sz w:val="14"/>
              </w:rPr>
              <w:t>(2.047)</w:t>
            </w:r>
          </w:p>
        </w:tc>
      </w:tr>
      <w:tr>
        <w:trPr>
          <w:cantSplit/>
        </w:trPr>
        <w:tc>
          <w:tcPr>
            <w:tcW w:type="dxa" w:w="2114"/>
          </w:tcPr>
          <w:p>
            <w:pPr>
              <w:pStyle w:val="MDPI42tablebody"/>
              <w:keepNext/>
              <w:spacing w:line="240" w:lineRule="auto" w:before="30" w:after="30"/>
              <w:jc w:val="left"/>
            </w:pPr>
            <w:r>
              <w:rPr>
                <w:b w:val="0"/>
                <w:i/>
                <w:sz w:val="14"/>
              </w:rPr>
              <w:t>Indep</w:t>
            </w:r>
          </w:p>
        </w:tc>
        <w:tc>
          <w:tcPr>
            <w:tcW w:type="dxa" w:w="1391"/>
          </w:tcPr>
          <w:p>
            <w:pPr>
              <w:pStyle w:val="MDPI42tablebody"/>
              <w:keepNext/>
              <w:spacing w:line="240" w:lineRule="auto" w:before="30" w:after="30"/>
              <w:jc w:val="center"/>
            </w:pPr>
            <w:r>
              <w:rPr>
                <w:b w:val="0"/>
                <w:i w:val="0"/>
                <w:sz w:val="14"/>
              </w:rPr>
              <w:t>0.411</w:t>
            </w:r>
          </w:p>
        </w:tc>
        <w:tc>
          <w:tcPr>
            <w:tcW w:type="dxa" w:w="1391"/>
          </w:tcPr>
          <w:p>
            <w:pPr>
              <w:pStyle w:val="MDPI42tablebody"/>
              <w:keepNext/>
              <w:spacing w:line="240" w:lineRule="auto" w:before="30" w:after="30"/>
              <w:jc w:val="center"/>
            </w:pPr>
            <w:r>
              <w:rPr>
                <w:b w:val="0"/>
                <w:i w:val="0"/>
                <w:sz w:val="14"/>
              </w:rPr>
              <w:t>−1.001</w:t>
            </w:r>
          </w:p>
        </w:tc>
        <w:tc>
          <w:tcPr>
            <w:tcW w:type="dxa" w:w="1391"/>
          </w:tcPr>
          <w:p>
            <w:pPr>
              <w:pStyle w:val="MDPI42tablebody"/>
              <w:keepNext/>
              <w:spacing w:line="240" w:lineRule="auto" w:before="30" w:after="30"/>
              <w:jc w:val="center"/>
            </w:pPr>
            <w:r>
              <w:rPr>
                <w:b w:val="0"/>
                <w:i w:val="0"/>
                <w:sz w:val="14"/>
              </w:rPr>
              <w:t>0.528</w:t>
            </w:r>
          </w:p>
        </w:tc>
        <w:tc>
          <w:tcPr>
            <w:tcW w:type="dxa" w:w="1391"/>
          </w:tcPr>
          <w:p>
            <w:pPr>
              <w:pStyle w:val="MDPI42tablebody"/>
              <w:keepNext/>
              <w:spacing w:line="240" w:lineRule="auto" w:before="30" w:after="30"/>
              <w:jc w:val="center"/>
            </w:pPr>
            <w:r>
              <w:rPr>
                <w:b w:val="0"/>
                <w:i w:val="0"/>
                <w:sz w:val="14"/>
              </w:rPr>
              <w:t>1.100</w:t>
            </w:r>
          </w:p>
        </w:tc>
        <w:tc>
          <w:tcPr>
            <w:tcW w:type="dxa" w:w="1391"/>
          </w:tcPr>
          <w:p>
            <w:pPr>
              <w:pStyle w:val="MDPI42tablebody"/>
              <w:keepNext/>
              <w:spacing w:line="240" w:lineRule="auto" w:before="30" w:after="30"/>
              <w:jc w:val="center"/>
            </w:pPr>
            <w:r>
              <w:rPr>
                <w:b w:val="0"/>
                <w:i w:val="0"/>
                <w:sz w:val="14"/>
              </w:rPr>
              <w:t>0.530</w:t>
            </w:r>
          </w:p>
        </w:tc>
        <w:tc>
          <w:tcPr>
            <w:tcW w:type="dxa" w:w="1391"/>
          </w:tcPr>
          <w:p>
            <w:pPr>
              <w:pStyle w:val="MDPI42tablebody"/>
              <w:keepNext/>
              <w:spacing w:line="240" w:lineRule="auto" w:before="30" w:after="30"/>
              <w:jc w:val="center"/>
            </w:pPr>
            <w:r>
              <w:rPr>
                <w:b w:val="0"/>
                <w:i w:val="0"/>
                <w:sz w:val="14"/>
              </w:rPr>
              <w:t>0.646</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(2.878)</w:t>
            </w:r>
          </w:p>
        </w:tc>
        <w:tc>
          <w:tcPr>
            <w:tcW w:type="dxa" w:w="1391"/>
          </w:tcPr>
          <w:p>
            <w:pPr>
              <w:pStyle w:val="MDPI42tablebody"/>
              <w:keepNext/>
              <w:spacing w:line="240" w:lineRule="auto" w:before="30" w:after="30"/>
              <w:jc w:val="center"/>
            </w:pPr>
            <w:r>
              <w:rPr>
                <w:b w:val="0"/>
                <w:i w:val="0"/>
                <w:sz w:val="14"/>
              </w:rPr>
              <w:t>(1.286)</w:t>
            </w:r>
          </w:p>
        </w:tc>
        <w:tc>
          <w:tcPr>
            <w:tcW w:type="dxa" w:w="1391"/>
          </w:tcPr>
          <w:p>
            <w:pPr>
              <w:pStyle w:val="MDPI42tablebody"/>
              <w:keepNext/>
              <w:spacing w:line="240" w:lineRule="auto" w:before="30" w:after="30"/>
              <w:jc w:val="center"/>
            </w:pPr>
            <w:r>
              <w:rPr>
                <w:b w:val="0"/>
                <w:i w:val="0"/>
                <w:sz w:val="14"/>
              </w:rPr>
              <w:t>(2.874)</w:t>
            </w:r>
          </w:p>
        </w:tc>
        <w:tc>
          <w:tcPr>
            <w:tcW w:type="dxa" w:w="1391"/>
          </w:tcPr>
          <w:p>
            <w:pPr>
              <w:pStyle w:val="MDPI42tablebody"/>
              <w:keepNext/>
              <w:spacing w:line="240" w:lineRule="auto" w:before="30" w:after="30"/>
              <w:jc w:val="center"/>
            </w:pPr>
            <w:r>
              <w:rPr>
                <w:b w:val="0"/>
                <w:i w:val="0"/>
                <w:sz w:val="14"/>
              </w:rPr>
              <w:t>(2.771)</w:t>
            </w:r>
          </w:p>
        </w:tc>
        <w:tc>
          <w:tcPr>
            <w:tcW w:type="dxa" w:w="1391"/>
          </w:tcPr>
          <w:p>
            <w:pPr>
              <w:pStyle w:val="MDPI42tablebody"/>
              <w:keepNext/>
              <w:spacing w:line="240" w:lineRule="auto" w:before="30" w:after="30"/>
              <w:jc w:val="center"/>
            </w:pPr>
            <w:r>
              <w:rPr>
                <w:b w:val="0"/>
                <w:i w:val="0"/>
                <w:sz w:val="14"/>
              </w:rPr>
              <w:t>(2.861)</w:t>
            </w:r>
          </w:p>
        </w:tc>
        <w:tc>
          <w:tcPr>
            <w:tcW w:type="dxa" w:w="1391"/>
          </w:tcPr>
          <w:p>
            <w:pPr>
              <w:pStyle w:val="MDPI42tablebody"/>
              <w:keepNext/>
              <w:spacing w:line="240" w:lineRule="auto" w:before="30" w:after="30"/>
              <w:jc w:val="center"/>
            </w:pPr>
            <w:r>
              <w:rPr>
                <w:b w:val="0"/>
                <w:i w:val="0"/>
                <w:sz w:val="14"/>
              </w:rPr>
              <w:t>(2.856)</w:t>
            </w:r>
          </w:p>
        </w:tc>
      </w:tr>
      <w:tr>
        <w:trPr>
          <w:cantSplit/>
        </w:trPr>
        <w:tc>
          <w:tcPr>
            <w:tcW w:type="dxa" w:w="2114"/>
          </w:tcPr>
          <w:p>
            <w:pPr>
              <w:pStyle w:val="MDPI42tablebody"/>
              <w:keepNext/>
              <w:spacing w:line="240" w:lineRule="auto" w:before="30" w:after="30"/>
              <w:jc w:val="left"/>
            </w:pPr>
            <w:r>
              <w:rPr>
                <w:b w:val="0"/>
                <w:i/>
                <w:sz w:val="14"/>
              </w:rPr>
              <w:t>Dual</w:t>
            </w:r>
          </w:p>
        </w:tc>
        <w:tc>
          <w:tcPr>
            <w:tcW w:type="dxa" w:w="1391"/>
          </w:tcPr>
          <w:p>
            <w:pPr>
              <w:pStyle w:val="MDPI42tablebody"/>
              <w:keepNext/>
              <w:spacing w:line="240" w:lineRule="auto" w:before="30" w:after="30"/>
              <w:jc w:val="center"/>
            </w:pPr>
            <w:r>
              <w:rPr>
                <w:b w:val="0"/>
                <w:i w:val="0"/>
                <w:sz w:val="14"/>
              </w:rPr>
              <w:t>−0.179</w:t>
            </w:r>
          </w:p>
        </w:tc>
        <w:tc>
          <w:tcPr>
            <w:tcW w:type="dxa" w:w="1391"/>
          </w:tcPr>
          <w:p>
            <w:pPr>
              <w:pStyle w:val="MDPI42tablebody"/>
              <w:keepNext/>
              <w:spacing w:line="240" w:lineRule="auto" w:before="30" w:after="30"/>
              <w:jc w:val="center"/>
            </w:pPr>
            <w:r>
              <w:rPr>
                <w:b w:val="0"/>
                <w:i w:val="0"/>
                <w:sz w:val="14"/>
              </w:rPr>
              <w:t>0.002</w:t>
            </w:r>
          </w:p>
        </w:tc>
        <w:tc>
          <w:tcPr>
            <w:tcW w:type="dxa" w:w="1391"/>
          </w:tcPr>
          <w:p>
            <w:pPr>
              <w:pStyle w:val="MDPI42tablebody"/>
              <w:keepNext/>
              <w:spacing w:line="240" w:lineRule="auto" w:before="30" w:after="30"/>
              <w:jc w:val="center"/>
            </w:pPr>
            <w:r>
              <w:rPr>
                <w:b w:val="0"/>
                <w:i w:val="0"/>
                <w:sz w:val="14"/>
              </w:rPr>
              <w:t>−0.179</w:t>
            </w:r>
          </w:p>
        </w:tc>
        <w:tc>
          <w:tcPr>
            <w:tcW w:type="dxa" w:w="1391"/>
          </w:tcPr>
          <w:p>
            <w:pPr>
              <w:pStyle w:val="MDPI42tablebody"/>
              <w:keepNext/>
              <w:spacing w:line="240" w:lineRule="auto" w:before="30" w:after="30"/>
              <w:jc w:val="center"/>
            </w:pPr>
            <w:r>
              <w:rPr>
                <w:b w:val="0"/>
                <w:i w:val="0"/>
                <w:sz w:val="14"/>
              </w:rPr>
              <w:t>−0.061</w:t>
            </w:r>
          </w:p>
        </w:tc>
        <w:tc>
          <w:tcPr>
            <w:tcW w:type="dxa" w:w="1391"/>
          </w:tcPr>
          <w:p>
            <w:pPr>
              <w:pStyle w:val="MDPI42tablebody"/>
              <w:keepNext/>
              <w:spacing w:line="240" w:lineRule="auto" w:before="30" w:after="30"/>
              <w:jc w:val="center"/>
            </w:pPr>
            <w:r>
              <w:rPr>
                <w:b w:val="0"/>
                <w:i w:val="0"/>
                <w:sz w:val="14"/>
              </w:rPr>
              <w:t>−0.186</w:t>
            </w:r>
          </w:p>
        </w:tc>
        <w:tc>
          <w:tcPr>
            <w:tcW w:type="dxa" w:w="1391"/>
          </w:tcPr>
          <w:p>
            <w:pPr>
              <w:pStyle w:val="MDPI42tablebody"/>
              <w:keepNext/>
              <w:spacing w:line="240" w:lineRule="auto" w:before="30" w:after="30"/>
              <w:jc w:val="center"/>
            </w:pPr>
            <w:r>
              <w:rPr>
                <w:b w:val="0"/>
                <w:i w:val="0"/>
                <w:sz w:val="14"/>
              </w:rPr>
              <w:t>−0.186</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(0.150)</w:t>
            </w:r>
          </w:p>
        </w:tc>
        <w:tc>
          <w:tcPr>
            <w:tcW w:type="dxa" w:w="1391"/>
          </w:tcPr>
          <w:p>
            <w:pPr>
              <w:pStyle w:val="MDPI42tablebody"/>
              <w:keepNext/>
              <w:spacing w:line="240" w:lineRule="auto" w:before="30" w:after="30"/>
              <w:jc w:val="center"/>
            </w:pPr>
            <w:r>
              <w:rPr>
                <w:b w:val="0"/>
                <w:i w:val="0"/>
                <w:sz w:val="14"/>
              </w:rPr>
              <w:t>(0.065)</w:t>
            </w:r>
          </w:p>
        </w:tc>
        <w:tc>
          <w:tcPr>
            <w:tcW w:type="dxa" w:w="1391"/>
          </w:tcPr>
          <w:p>
            <w:pPr>
              <w:pStyle w:val="MDPI42tablebody"/>
              <w:keepNext/>
              <w:spacing w:line="240" w:lineRule="auto" w:before="30" w:after="30"/>
              <w:jc w:val="center"/>
            </w:pPr>
            <w:r>
              <w:rPr>
                <w:b w:val="0"/>
                <w:i w:val="0"/>
                <w:sz w:val="14"/>
              </w:rPr>
              <w:t>(0.150)</w:t>
            </w:r>
          </w:p>
        </w:tc>
        <w:tc>
          <w:tcPr>
            <w:tcW w:type="dxa" w:w="1391"/>
          </w:tcPr>
          <w:p>
            <w:pPr>
              <w:pStyle w:val="MDPI42tablebody"/>
              <w:keepNext/>
              <w:spacing w:line="240" w:lineRule="auto" w:before="30" w:after="30"/>
              <w:jc w:val="center"/>
            </w:pPr>
            <w:r>
              <w:rPr>
                <w:b w:val="0"/>
                <w:i w:val="0"/>
                <w:sz w:val="14"/>
              </w:rPr>
              <w:t>(0.146)</w:t>
            </w:r>
          </w:p>
        </w:tc>
        <w:tc>
          <w:tcPr>
            <w:tcW w:type="dxa" w:w="1391"/>
          </w:tcPr>
          <w:p>
            <w:pPr>
              <w:pStyle w:val="MDPI42tablebody"/>
              <w:keepNext/>
              <w:spacing w:line="240" w:lineRule="auto" w:before="30" w:after="30"/>
              <w:jc w:val="center"/>
            </w:pPr>
            <w:r>
              <w:rPr>
                <w:b w:val="0"/>
                <w:i w:val="0"/>
                <w:sz w:val="14"/>
              </w:rPr>
              <w:t>(0.149)</w:t>
            </w:r>
          </w:p>
        </w:tc>
        <w:tc>
          <w:tcPr>
            <w:tcW w:type="dxa" w:w="1391"/>
          </w:tcPr>
          <w:p>
            <w:pPr>
              <w:pStyle w:val="MDPI42tablebody"/>
              <w:keepNext/>
              <w:spacing w:line="240" w:lineRule="auto" w:before="30" w:after="30"/>
              <w:jc w:val="center"/>
            </w:pPr>
            <w:r>
              <w:rPr>
                <w:b w:val="0"/>
                <w:i w:val="0"/>
                <w:sz w:val="14"/>
              </w:rPr>
              <w:t>(0.149)</w:t>
            </w:r>
          </w:p>
        </w:tc>
      </w:tr>
      <w:tr>
        <w:trPr>
          <w:cantSplit/>
        </w:trPr>
        <w:tc>
          <w:tcPr>
            <w:tcW w:type="dxa" w:w="2114"/>
          </w:tcPr>
          <w:p>
            <w:pPr>
              <w:pStyle w:val="MDPI42tablebody"/>
              <w:keepNext/>
              <w:spacing w:line="240" w:lineRule="auto" w:before="30" w:after="30"/>
              <w:jc w:val="left"/>
            </w:pPr>
            <w:r>
              <w:rPr>
                <w:b w:val="0"/>
                <w:i/>
                <w:sz w:val="14"/>
              </w:rPr>
              <w:t>Board</w:t>
            </w:r>
          </w:p>
        </w:tc>
        <w:tc>
          <w:tcPr>
            <w:tcW w:type="dxa" w:w="1391"/>
          </w:tcPr>
          <w:p>
            <w:pPr>
              <w:pStyle w:val="MDPI42tablebody"/>
              <w:keepNext/>
              <w:spacing w:line="240" w:lineRule="auto" w:before="30" w:after="30"/>
              <w:jc w:val="center"/>
            </w:pPr>
            <w:r>
              <w:rPr>
                <w:b w:val="0"/>
                <w:i w:val="0"/>
                <w:sz w:val="14"/>
              </w:rPr>
              <w:t>0.060</w:t>
            </w:r>
          </w:p>
        </w:tc>
        <w:tc>
          <w:tcPr>
            <w:tcW w:type="dxa" w:w="1391"/>
          </w:tcPr>
          <w:p>
            <w:pPr>
              <w:pStyle w:val="MDPI42tablebody"/>
              <w:keepNext/>
              <w:spacing w:line="240" w:lineRule="auto" w:before="30" w:after="30"/>
              <w:jc w:val="center"/>
            </w:pPr>
            <w:r>
              <w:rPr>
                <w:b w:val="0"/>
                <w:i w:val="0"/>
                <w:sz w:val="14"/>
              </w:rPr>
              <w:t>0.145</w:t>
            </w:r>
          </w:p>
        </w:tc>
        <w:tc>
          <w:tcPr>
            <w:tcW w:type="dxa" w:w="1391"/>
          </w:tcPr>
          <w:p>
            <w:pPr>
              <w:pStyle w:val="MDPI42tablebody"/>
              <w:keepNext/>
              <w:spacing w:line="240" w:lineRule="auto" w:before="30" w:after="30"/>
              <w:jc w:val="center"/>
            </w:pPr>
            <w:r>
              <w:rPr>
                <w:b w:val="0"/>
                <w:i w:val="0"/>
                <w:sz w:val="14"/>
              </w:rPr>
              <w:t>0.043</w:t>
            </w:r>
          </w:p>
        </w:tc>
        <w:tc>
          <w:tcPr>
            <w:tcW w:type="dxa" w:w="1391"/>
          </w:tcPr>
          <w:p>
            <w:pPr>
              <w:pStyle w:val="MDPI42tablebody"/>
              <w:keepNext/>
              <w:spacing w:line="240" w:lineRule="auto" w:before="30" w:after="30"/>
              <w:jc w:val="center"/>
            </w:pPr>
            <w:r>
              <w:rPr>
                <w:b w:val="0"/>
                <w:i w:val="0"/>
                <w:sz w:val="14"/>
              </w:rPr>
              <w:t>−0.229</w:t>
            </w:r>
          </w:p>
        </w:tc>
        <w:tc>
          <w:tcPr>
            <w:tcW w:type="dxa" w:w="1391"/>
          </w:tcPr>
          <w:p>
            <w:pPr>
              <w:pStyle w:val="MDPI42tablebody"/>
              <w:keepNext/>
              <w:spacing w:line="240" w:lineRule="auto" w:before="30" w:after="30"/>
              <w:jc w:val="center"/>
            </w:pPr>
            <w:r>
              <w:rPr>
                <w:b w:val="0"/>
                <w:i w:val="0"/>
                <w:sz w:val="14"/>
              </w:rPr>
              <w:t>0.035</w:t>
            </w:r>
          </w:p>
        </w:tc>
        <w:tc>
          <w:tcPr>
            <w:tcW w:type="dxa" w:w="1391"/>
          </w:tcPr>
          <w:p>
            <w:pPr>
              <w:pStyle w:val="MDPI42tablebody"/>
              <w:keepNext/>
              <w:spacing w:line="240" w:lineRule="auto" w:before="30" w:after="30"/>
              <w:jc w:val="center"/>
            </w:pPr>
            <w:r>
              <w:rPr>
                <w:b w:val="0"/>
                <w:i w:val="0"/>
                <w:sz w:val="14"/>
              </w:rPr>
              <w:t>0.018</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(0.912)</w:t>
            </w:r>
          </w:p>
        </w:tc>
        <w:tc>
          <w:tcPr>
            <w:tcW w:type="dxa" w:w="1391"/>
          </w:tcPr>
          <w:p>
            <w:pPr>
              <w:pStyle w:val="MDPI42tablebody"/>
              <w:keepNext/>
              <w:spacing w:line="240" w:lineRule="auto" w:before="30" w:after="30"/>
              <w:jc w:val="center"/>
            </w:pPr>
            <w:r>
              <w:rPr>
                <w:b w:val="0"/>
                <w:i w:val="0"/>
                <w:sz w:val="14"/>
              </w:rPr>
              <w:t>(0.407)</w:t>
            </w:r>
          </w:p>
        </w:tc>
        <w:tc>
          <w:tcPr>
            <w:tcW w:type="dxa" w:w="1391"/>
          </w:tcPr>
          <w:p>
            <w:pPr>
              <w:pStyle w:val="MDPI42tablebody"/>
              <w:keepNext/>
              <w:spacing w:line="240" w:lineRule="auto" w:before="30" w:after="30"/>
              <w:jc w:val="center"/>
            </w:pPr>
            <w:r>
              <w:rPr>
                <w:b w:val="0"/>
                <w:i w:val="0"/>
                <w:sz w:val="14"/>
              </w:rPr>
              <w:t>(0.912)</w:t>
            </w:r>
          </w:p>
        </w:tc>
        <w:tc>
          <w:tcPr>
            <w:tcW w:type="dxa" w:w="1391"/>
          </w:tcPr>
          <w:p>
            <w:pPr>
              <w:pStyle w:val="MDPI42tablebody"/>
              <w:keepNext/>
              <w:spacing w:line="240" w:lineRule="auto" w:before="30" w:after="30"/>
              <w:jc w:val="center"/>
            </w:pPr>
            <w:r>
              <w:rPr>
                <w:b w:val="0"/>
                <w:i w:val="0"/>
                <w:sz w:val="14"/>
              </w:rPr>
              <w:t>(0.852)</w:t>
            </w:r>
          </w:p>
        </w:tc>
        <w:tc>
          <w:tcPr>
            <w:tcW w:type="dxa" w:w="1391"/>
          </w:tcPr>
          <w:p>
            <w:pPr>
              <w:pStyle w:val="MDPI42tablebody"/>
              <w:keepNext/>
              <w:spacing w:line="240" w:lineRule="auto" w:before="30" w:after="30"/>
              <w:jc w:val="center"/>
            </w:pPr>
            <w:r>
              <w:rPr>
                <w:b w:val="0"/>
                <w:i w:val="0"/>
                <w:sz w:val="14"/>
              </w:rPr>
              <w:t>(0.908)</w:t>
            </w:r>
          </w:p>
        </w:tc>
        <w:tc>
          <w:tcPr>
            <w:tcW w:type="dxa" w:w="1391"/>
          </w:tcPr>
          <w:p>
            <w:pPr>
              <w:pStyle w:val="MDPI42tablebody"/>
              <w:keepNext/>
              <w:spacing w:line="240" w:lineRule="auto" w:before="30" w:after="30"/>
              <w:jc w:val="center"/>
            </w:pPr>
            <w:r>
              <w:rPr>
                <w:b w:val="0"/>
                <w:i w:val="0"/>
                <w:sz w:val="14"/>
              </w:rPr>
              <w:t>(0.908)</w:t>
            </w:r>
          </w:p>
        </w:tc>
      </w:tr>
      <w:tr>
        <w:trPr>
          <w:cantSplit/>
        </w:trPr>
        <w:tc>
          <w:tcPr>
            <w:tcW w:type="dxa" w:w="2114"/>
          </w:tcPr>
          <w:p>
            <w:pPr>
              <w:pStyle w:val="MDPI42tablebody"/>
              <w:keepNext/>
              <w:spacing w:line="240" w:lineRule="auto" w:before="30" w:after="30"/>
              <w:jc w:val="left"/>
            </w:pPr>
            <w:r>
              <w:rPr>
                <w:b w:val="0"/>
                <w:i/>
                <w:sz w:val="14"/>
              </w:rPr>
              <w:t>CapInt</w:t>
            </w:r>
          </w:p>
        </w:tc>
        <w:tc>
          <w:tcPr>
            <w:tcW w:type="dxa" w:w="1391"/>
          </w:tcPr>
          <w:p>
            <w:pPr>
              <w:pStyle w:val="MDPI42tablebody"/>
              <w:keepNext/>
              <w:spacing w:line="240" w:lineRule="auto" w:before="30" w:after="30"/>
              <w:jc w:val="center"/>
            </w:pPr>
            <w:r>
              <w:rPr>
                <w:b w:val="0"/>
                <w:i w:val="0"/>
                <w:sz w:val="14"/>
              </w:rPr>
              <w:t>−0.685*</w:t>
            </w:r>
          </w:p>
        </w:tc>
        <w:tc>
          <w:tcPr>
            <w:tcW w:type="dxa" w:w="1391"/>
          </w:tcPr>
          <w:p>
            <w:pPr>
              <w:pStyle w:val="MDPI42tablebody"/>
              <w:keepNext/>
              <w:spacing w:line="240" w:lineRule="auto" w:before="30" w:after="30"/>
              <w:jc w:val="center"/>
            </w:pPr>
            <w:r>
              <w:rPr>
                <w:b w:val="0"/>
                <w:i w:val="0"/>
                <w:sz w:val="14"/>
              </w:rPr>
              <w:t>−0.092</w:t>
            </w:r>
          </w:p>
        </w:tc>
        <w:tc>
          <w:tcPr>
            <w:tcW w:type="dxa" w:w="1391"/>
          </w:tcPr>
          <w:p>
            <w:pPr>
              <w:pStyle w:val="MDPI42tablebody"/>
              <w:keepNext/>
              <w:spacing w:line="240" w:lineRule="auto" w:before="30" w:after="30"/>
              <w:jc w:val="center"/>
            </w:pPr>
            <w:r>
              <w:rPr>
                <w:b w:val="0"/>
                <w:i w:val="0"/>
                <w:sz w:val="14"/>
              </w:rPr>
              <w:t>−0.674*</w:t>
            </w:r>
          </w:p>
        </w:tc>
        <w:tc>
          <w:tcPr>
            <w:tcW w:type="dxa" w:w="1391"/>
          </w:tcPr>
          <w:p>
            <w:pPr>
              <w:pStyle w:val="MDPI42tablebody"/>
              <w:keepNext/>
              <w:spacing w:line="240" w:lineRule="auto" w:before="30" w:after="30"/>
              <w:jc w:val="center"/>
            </w:pPr>
            <w:r>
              <w:rPr>
                <w:b w:val="0"/>
                <w:i w:val="0"/>
                <w:sz w:val="14"/>
              </w:rPr>
              <w:t>0.064</w:t>
            </w:r>
          </w:p>
        </w:tc>
        <w:tc>
          <w:tcPr>
            <w:tcW w:type="dxa" w:w="1391"/>
          </w:tcPr>
          <w:p>
            <w:pPr>
              <w:pStyle w:val="MDPI42tablebody"/>
              <w:keepNext/>
              <w:spacing w:line="240" w:lineRule="auto" w:before="30" w:after="30"/>
              <w:jc w:val="center"/>
            </w:pPr>
            <w:r>
              <w:rPr>
                <w:b w:val="0"/>
                <w:i w:val="0"/>
                <w:sz w:val="14"/>
              </w:rPr>
              <w:t>−0.678*</w:t>
            </w:r>
          </w:p>
        </w:tc>
        <w:tc>
          <w:tcPr>
            <w:tcW w:type="dxa" w:w="1391"/>
          </w:tcPr>
          <w:p>
            <w:pPr>
              <w:pStyle w:val="MDPI42tablebody"/>
              <w:keepNext/>
              <w:spacing w:line="240" w:lineRule="auto" w:before="30" w:after="30"/>
              <w:jc w:val="center"/>
            </w:pPr>
            <w:r>
              <w:rPr>
                <w:b w:val="0"/>
                <w:i w:val="0"/>
                <w:sz w:val="14"/>
              </w:rPr>
              <w:t>−0.667*</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(0.405)</w:t>
            </w:r>
          </w:p>
        </w:tc>
        <w:tc>
          <w:tcPr>
            <w:tcW w:type="dxa" w:w="1391"/>
          </w:tcPr>
          <w:p>
            <w:pPr>
              <w:pStyle w:val="MDPI42tablebody"/>
              <w:keepNext/>
              <w:spacing w:line="240" w:lineRule="auto" w:before="30" w:after="30"/>
              <w:jc w:val="center"/>
            </w:pPr>
            <w:r>
              <w:rPr>
                <w:b w:val="0"/>
                <w:i w:val="0"/>
                <w:sz w:val="14"/>
              </w:rPr>
              <w:t>(0.183)</w:t>
            </w:r>
          </w:p>
        </w:tc>
        <w:tc>
          <w:tcPr>
            <w:tcW w:type="dxa" w:w="1391"/>
          </w:tcPr>
          <w:p>
            <w:pPr>
              <w:pStyle w:val="MDPI42tablebody"/>
              <w:keepNext/>
              <w:spacing w:line="240" w:lineRule="auto" w:before="30" w:after="30"/>
              <w:jc w:val="center"/>
            </w:pPr>
            <w:r>
              <w:rPr>
                <w:b w:val="0"/>
                <w:i w:val="0"/>
                <w:sz w:val="14"/>
              </w:rPr>
              <w:t>(0.404)</w:t>
            </w:r>
          </w:p>
        </w:tc>
        <w:tc>
          <w:tcPr>
            <w:tcW w:type="dxa" w:w="1391"/>
          </w:tcPr>
          <w:p>
            <w:pPr>
              <w:pStyle w:val="MDPI42tablebody"/>
              <w:keepNext/>
              <w:spacing w:line="240" w:lineRule="auto" w:before="30" w:after="30"/>
              <w:jc w:val="center"/>
            </w:pPr>
            <w:r>
              <w:rPr>
                <w:b w:val="0"/>
                <w:i w:val="0"/>
                <w:sz w:val="14"/>
              </w:rPr>
              <w:t>(0.394)</w:t>
            </w:r>
          </w:p>
        </w:tc>
        <w:tc>
          <w:tcPr>
            <w:tcW w:type="dxa" w:w="1391"/>
          </w:tcPr>
          <w:p>
            <w:pPr>
              <w:pStyle w:val="MDPI42tablebody"/>
              <w:keepNext/>
              <w:spacing w:line="240" w:lineRule="auto" w:before="30" w:after="30"/>
              <w:jc w:val="center"/>
            </w:pPr>
            <w:r>
              <w:rPr>
                <w:b w:val="0"/>
                <w:i w:val="0"/>
                <w:sz w:val="14"/>
              </w:rPr>
              <w:t>(0.402)</w:t>
            </w:r>
          </w:p>
        </w:tc>
        <w:tc>
          <w:tcPr>
            <w:tcW w:type="dxa" w:w="1391"/>
          </w:tcPr>
          <w:p>
            <w:pPr>
              <w:pStyle w:val="MDPI42tablebody"/>
              <w:keepNext/>
              <w:spacing w:line="240" w:lineRule="auto" w:before="30" w:after="30"/>
              <w:jc w:val="center"/>
            </w:pPr>
            <w:r>
              <w:rPr>
                <w:b w:val="0"/>
                <w:i w:val="0"/>
                <w:sz w:val="14"/>
              </w:rPr>
              <w:t>(0.401)</w:t>
            </w:r>
          </w:p>
        </w:tc>
      </w:tr>
      <w:tr>
        <w:trPr>
          <w:cantSplit/>
        </w:trPr>
        <w:tc>
          <w:tcPr>
            <w:tcW w:type="dxa" w:w="2114"/>
          </w:tcPr>
          <w:p>
            <w:pPr>
              <w:pStyle w:val="MDPI42tablebody"/>
              <w:keepNext/>
              <w:spacing w:line="240" w:lineRule="auto" w:before="30" w:after="30"/>
              <w:jc w:val="left"/>
            </w:pPr>
            <w:r>
              <w:rPr>
                <w:b w:val="0"/>
                <w:i/>
                <w:sz w:val="14"/>
              </w:rPr>
              <w:t>Emp</w:t>
            </w:r>
          </w:p>
        </w:tc>
        <w:tc>
          <w:tcPr>
            <w:tcW w:type="dxa" w:w="1391"/>
          </w:tcPr>
          <w:p>
            <w:pPr>
              <w:pStyle w:val="MDPI42tablebody"/>
              <w:keepNext/>
              <w:spacing w:line="240" w:lineRule="auto" w:before="30" w:after="30"/>
              <w:jc w:val="center"/>
            </w:pPr>
            <w:r>
              <w:rPr>
                <w:b w:val="0"/>
                <w:i w:val="0"/>
                <w:sz w:val="14"/>
              </w:rPr>
              <w:t>0.009</w:t>
            </w:r>
          </w:p>
        </w:tc>
        <w:tc>
          <w:tcPr>
            <w:tcW w:type="dxa" w:w="1391"/>
          </w:tcPr>
          <w:p>
            <w:pPr>
              <w:pStyle w:val="MDPI42tablebody"/>
              <w:keepNext/>
              <w:spacing w:line="240" w:lineRule="auto" w:before="30" w:after="30"/>
              <w:jc w:val="center"/>
            </w:pPr>
            <w:r>
              <w:rPr>
                <w:b w:val="0"/>
                <w:i w:val="0"/>
                <w:sz w:val="14"/>
              </w:rPr>
              <w:t>−0.125</w:t>
            </w:r>
          </w:p>
        </w:tc>
        <w:tc>
          <w:tcPr>
            <w:tcW w:type="dxa" w:w="1391"/>
          </w:tcPr>
          <w:p>
            <w:pPr>
              <w:pStyle w:val="MDPI42tablebody"/>
              <w:keepNext/>
              <w:spacing w:line="240" w:lineRule="auto" w:before="30" w:after="30"/>
              <w:jc w:val="center"/>
            </w:pPr>
            <w:r>
              <w:rPr>
                <w:b w:val="0"/>
                <w:i w:val="0"/>
                <w:sz w:val="14"/>
              </w:rPr>
              <w:t>0.023</w:t>
            </w:r>
          </w:p>
        </w:tc>
        <w:tc>
          <w:tcPr>
            <w:tcW w:type="dxa" w:w="1391"/>
          </w:tcPr>
          <w:p>
            <w:pPr>
              <w:pStyle w:val="MDPI42tablebody"/>
              <w:keepNext/>
              <w:spacing w:line="240" w:lineRule="auto" w:before="30" w:after="30"/>
              <w:jc w:val="center"/>
            </w:pPr>
            <w:r>
              <w:rPr>
                <w:b w:val="0"/>
                <w:i w:val="0"/>
                <w:sz w:val="14"/>
              </w:rPr>
              <w:t>−0.083</w:t>
            </w:r>
          </w:p>
        </w:tc>
        <w:tc>
          <w:tcPr>
            <w:tcW w:type="dxa" w:w="1391"/>
          </w:tcPr>
          <w:p>
            <w:pPr>
              <w:pStyle w:val="MDPI42tablebody"/>
              <w:keepNext/>
              <w:spacing w:line="240" w:lineRule="auto" w:before="30" w:after="30"/>
              <w:jc w:val="center"/>
            </w:pPr>
            <w:r>
              <w:rPr>
                <w:b w:val="0"/>
                <w:i w:val="0"/>
                <w:sz w:val="14"/>
              </w:rPr>
              <w:t>0.000</w:t>
            </w:r>
          </w:p>
        </w:tc>
        <w:tc>
          <w:tcPr>
            <w:tcW w:type="dxa" w:w="1391"/>
          </w:tcPr>
          <w:p>
            <w:pPr>
              <w:pStyle w:val="MDPI42tablebody"/>
              <w:keepNext/>
              <w:spacing w:line="240" w:lineRule="auto" w:before="30" w:after="30"/>
              <w:jc w:val="center"/>
            </w:pPr>
            <w:r>
              <w:rPr>
                <w:b w:val="0"/>
                <w:i w:val="0"/>
                <w:sz w:val="14"/>
              </w:rPr>
              <w:t>0.014</w:t>
            </w:r>
          </w:p>
        </w:tc>
      </w:tr>
      <w:tr>
        <w:trPr>
          <w:cantSplit/>
        </w:trPr>
        <w:tc>
          <w:tcPr>
            <w:tcW w:type="dxa" w:w="2114"/>
          </w:tcPr>
          <w:p>
            <w:pPr>
              <w:pStyle w:val="MDPI42tablebody"/>
              <w:keepNext/>
              <w:spacing w:line="240" w:lineRule="auto" w:before="30" w:after="30"/>
              <w:jc w:val="left"/>
            </w:pPr>
          </w:p>
        </w:tc>
        <w:tc>
          <w:tcPr>
            <w:tcW w:type="dxa" w:w="1391"/>
          </w:tcPr>
          <w:p>
            <w:pPr>
              <w:pStyle w:val="MDPI42tablebody"/>
              <w:keepNext/>
              <w:spacing w:line="240" w:lineRule="auto" w:before="30" w:after="30"/>
              <w:jc w:val="center"/>
            </w:pPr>
            <w:r>
              <w:rPr>
                <w:b w:val="0"/>
                <w:i w:val="0"/>
                <w:sz w:val="14"/>
              </w:rPr>
              <w:t>(0.456)</w:t>
            </w:r>
          </w:p>
        </w:tc>
        <w:tc>
          <w:tcPr>
            <w:tcW w:type="dxa" w:w="1391"/>
          </w:tcPr>
          <w:p>
            <w:pPr>
              <w:pStyle w:val="MDPI42tablebody"/>
              <w:keepNext/>
              <w:spacing w:line="240" w:lineRule="auto" w:before="30" w:after="30"/>
              <w:jc w:val="center"/>
            </w:pPr>
            <w:r>
              <w:rPr>
                <w:b w:val="0"/>
                <w:i w:val="0"/>
                <w:sz w:val="14"/>
              </w:rPr>
              <w:t>(0.205)</w:t>
            </w:r>
          </w:p>
        </w:tc>
        <w:tc>
          <w:tcPr>
            <w:tcW w:type="dxa" w:w="1391"/>
          </w:tcPr>
          <w:p>
            <w:pPr>
              <w:pStyle w:val="MDPI42tablebody"/>
              <w:keepNext/>
              <w:spacing w:line="240" w:lineRule="auto" w:before="30" w:after="30"/>
              <w:jc w:val="center"/>
            </w:pPr>
            <w:r>
              <w:rPr>
                <w:b w:val="0"/>
                <w:i w:val="0"/>
                <w:sz w:val="14"/>
              </w:rPr>
              <w:t>(0.455)</w:t>
            </w:r>
          </w:p>
        </w:tc>
        <w:tc>
          <w:tcPr>
            <w:tcW w:type="dxa" w:w="1391"/>
          </w:tcPr>
          <w:p>
            <w:pPr>
              <w:pStyle w:val="MDPI42tablebody"/>
              <w:keepNext/>
              <w:spacing w:line="240" w:lineRule="auto" w:before="30" w:after="30"/>
              <w:jc w:val="center"/>
            </w:pPr>
            <w:r>
              <w:rPr>
                <w:b w:val="0"/>
                <w:i w:val="0"/>
                <w:sz w:val="14"/>
              </w:rPr>
              <w:t>(0.439)</w:t>
            </w:r>
          </w:p>
        </w:tc>
        <w:tc>
          <w:tcPr>
            <w:tcW w:type="dxa" w:w="1391"/>
          </w:tcPr>
          <w:p>
            <w:pPr>
              <w:pStyle w:val="MDPI42tablebody"/>
              <w:keepNext/>
              <w:spacing w:line="240" w:lineRule="auto" w:before="30" w:after="30"/>
              <w:jc w:val="center"/>
            </w:pPr>
            <w:r>
              <w:rPr>
                <w:b w:val="0"/>
                <w:i w:val="0"/>
                <w:sz w:val="14"/>
              </w:rPr>
              <w:t>(0.454)</w:t>
            </w:r>
          </w:p>
        </w:tc>
        <w:tc>
          <w:tcPr>
            <w:tcW w:type="dxa" w:w="1391"/>
          </w:tcPr>
          <w:p>
            <w:pPr>
              <w:pStyle w:val="MDPI42tablebody"/>
              <w:keepNext/>
              <w:spacing w:line="240" w:lineRule="auto" w:before="30" w:after="30"/>
              <w:jc w:val="center"/>
            </w:pPr>
            <w:r>
              <w:rPr>
                <w:b w:val="0"/>
                <w:i w:val="0"/>
                <w:sz w:val="14"/>
              </w:rPr>
              <w:t>(0.453)</w:t>
            </w:r>
          </w:p>
        </w:tc>
      </w:tr>
      <w:tr>
        <w:trPr>
          <w:cantSplit/>
        </w:trPr>
        <w:tc>
          <w:tcPr>
            <w:tcW w:type="dxa" w:w="2114"/>
          </w:tcPr>
          <w:p>
            <w:pPr>
              <w:pStyle w:val="MDPI42tablebody"/>
              <w:keepNext/>
              <w:spacing w:line="240" w:lineRule="auto" w:before="30" w:after="30"/>
              <w:jc w:val="left"/>
            </w:pPr>
            <w:r>
              <w:rPr>
                <w:b w:val="0"/>
                <w:i/>
                <w:sz w:val="14"/>
              </w:rPr>
              <w:t>Year FE</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r>
      <w:tr>
        <w:trPr>
          <w:cantSplit/>
        </w:trPr>
        <w:tc>
          <w:tcPr>
            <w:tcW w:type="dxa" w:w="2114"/>
          </w:tcPr>
          <w:p>
            <w:pPr>
              <w:pStyle w:val="MDPI42tablebody"/>
              <w:keepNext/>
              <w:spacing w:line="240" w:lineRule="auto" w:before="30" w:after="30"/>
              <w:jc w:val="left"/>
            </w:pPr>
            <w:r>
              <w:rPr>
                <w:b w:val="0"/>
                <w:i/>
                <w:sz w:val="14"/>
              </w:rPr>
              <w:t>Firm FE</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c>
          <w:tcPr>
            <w:tcW w:type="dxa" w:w="1391"/>
          </w:tcPr>
          <w:p>
            <w:pPr>
              <w:pStyle w:val="MDPI42tablebody"/>
              <w:keepNext/>
              <w:spacing w:line="240" w:lineRule="auto" w:before="30" w:after="30"/>
              <w:jc w:val="center"/>
            </w:pPr>
            <w:r>
              <w:rPr>
                <w:b w:val="0"/>
                <w:i w:val="0"/>
                <w:sz w:val="14"/>
              </w:rPr>
              <w:t>YES</w:t>
            </w:r>
          </w:p>
        </w:tc>
      </w:tr>
      <w:tr>
        <w:trPr>
          <w:cantSplit/>
        </w:trPr>
        <w:tc>
          <w:tcPr>
            <w:tcW w:type="dxa" w:w="2114"/>
          </w:tcPr>
          <w:p>
            <w:pPr>
              <w:pStyle w:val="MDPI42tablebody"/>
              <w:keepNext/>
              <w:spacing w:line="240" w:lineRule="auto" w:before="30" w:after="30"/>
              <w:jc w:val="left"/>
            </w:pPr>
            <w:r>
              <w:rPr>
                <w:b w:val="0"/>
                <w:i/>
                <w:sz w:val="14"/>
              </w:rPr>
              <w:t>Observations</w:t>
            </w:r>
          </w:p>
        </w:tc>
        <w:tc>
          <w:tcPr>
            <w:tcW w:type="dxa" w:w="1391"/>
          </w:tcPr>
          <w:p>
            <w:pPr>
              <w:pStyle w:val="MDPI42tablebody"/>
              <w:keepNext/>
              <w:spacing w:line="240" w:lineRule="auto" w:before="30" w:after="30"/>
              <w:jc w:val="center"/>
            </w:pPr>
            <w:r>
              <w:rPr>
                <w:b w:val="0"/>
                <w:i w:val="0"/>
                <w:sz w:val="14"/>
              </w:rPr>
              <w:t>36,064</w:t>
            </w:r>
          </w:p>
        </w:tc>
        <w:tc>
          <w:tcPr>
            <w:tcW w:type="dxa" w:w="1391"/>
          </w:tcPr>
          <w:p>
            <w:pPr>
              <w:pStyle w:val="MDPI42tablebody"/>
              <w:keepNext/>
              <w:spacing w:line="240" w:lineRule="auto" w:before="30" w:after="30"/>
              <w:jc w:val="center"/>
            </w:pPr>
            <w:r>
              <w:rPr>
                <w:b w:val="0"/>
                <w:i w:val="0"/>
                <w:sz w:val="14"/>
              </w:rPr>
              <w:t>36,064</w:t>
            </w:r>
          </w:p>
        </w:tc>
        <w:tc>
          <w:tcPr>
            <w:tcW w:type="dxa" w:w="1391"/>
          </w:tcPr>
          <w:p>
            <w:pPr>
              <w:pStyle w:val="MDPI42tablebody"/>
              <w:keepNext/>
              <w:spacing w:line="240" w:lineRule="auto" w:before="30" w:after="30"/>
              <w:jc w:val="center"/>
            </w:pPr>
            <w:r>
              <w:rPr>
                <w:b w:val="0"/>
                <w:i w:val="0"/>
                <w:sz w:val="14"/>
              </w:rPr>
              <w:t>36,064</w:t>
            </w:r>
          </w:p>
        </w:tc>
        <w:tc>
          <w:tcPr>
            <w:tcW w:type="dxa" w:w="1391"/>
          </w:tcPr>
          <w:p>
            <w:pPr>
              <w:pStyle w:val="MDPI42tablebody"/>
              <w:keepNext/>
              <w:spacing w:line="240" w:lineRule="auto" w:before="30" w:after="30"/>
              <w:jc w:val="center"/>
            </w:pPr>
            <w:r>
              <w:rPr>
                <w:b w:val="0"/>
                <w:i w:val="0"/>
                <w:sz w:val="14"/>
              </w:rPr>
              <w:t>36,064</w:t>
            </w:r>
          </w:p>
        </w:tc>
        <w:tc>
          <w:tcPr>
            <w:tcW w:type="dxa" w:w="1391"/>
          </w:tcPr>
          <w:p>
            <w:pPr>
              <w:pStyle w:val="MDPI42tablebody"/>
              <w:keepNext/>
              <w:spacing w:line="240" w:lineRule="auto" w:before="30" w:after="30"/>
              <w:jc w:val="center"/>
            </w:pPr>
            <w:r>
              <w:rPr>
                <w:b w:val="0"/>
                <w:i w:val="0"/>
                <w:sz w:val="14"/>
              </w:rPr>
              <w:t>36,064</w:t>
            </w:r>
          </w:p>
        </w:tc>
        <w:tc>
          <w:tcPr>
            <w:tcW w:type="dxa" w:w="1391"/>
          </w:tcPr>
          <w:p>
            <w:pPr>
              <w:pStyle w:val="MDPI42tablebody"/>
              <w:keepNext/>
              <w:spacing w:line="240" w:lineRule="auto" w:before="30" w:after="30"/>
              <w:jc w:val="center"/>
            </w:pPr>
            <w:r>
              <w:rPr>
                <w:b w:val="0"/>
                <w:i w:val="0"/>
                <w:sz w:val="14"/>
              </w:rPr>
              <w:t>36,064</w:t>
            </w:r>
          </w:p>
        </w:tc>
      </w:tr>
      <w:tr>
        <w:trPr>
          <w:cantSplit/>
        </w:trPr>
        <w:tc>
          <w:tcPr>
            <w:tcW w:type="dxa" w:w="2114"/>
          </w:tcPr>
          <w:p>
            <w:pPr>
              <w:pStyle w:val="MDPI42tablebody"/>
              <w:spacing w:line="240" w:lineRule="auto" w:before="30" w:after="30"/>
              <w:jc w:val="left"/>
            </w:pPr>
            <w:r>
              <w:rPr>
                <w:b w:val="0"/>
                <w:i/>
                <w:sz w:val="14"/>
              </w:rPr>
              <w:t>R-squared</w:t>
            </w:r>
          </w:p>
        </w:tc>
        <w:tc>
          <w:tcPr>
            <w:tcW w:type="dxa" w:w="1391"/>
          </w:tcPr>
          <w:p>
            <w:pPr>
              <w:pStyle w:val="MDPI42tablebody"/>
              <w:spacing w:line="240" w:lineRule="auto" w:before="30" w:after="30"/>
              <w:jc w:val="center"/>
            </w:pPr>
            <w:r>
              <w:rPr>
                <w:b w:val="0"/>
                <w:i w:val="0"/>
                <w:sz w:val="14"/>
              </w:rPr>
              <w:t>0.058</w:t>
            </w:r>
          </w:p>
        </w:tc>
        <w:tc>
          <w:tcPr>
            <w:tcW w:type="dxa" w:w="1391"/>
          </w:tcPr>
          <w:p>
            <w:pPr>
              <w:pStyle w:val="MDPI42tablebody"/>
              <w:spacing w:line="240" w:lineRule="auto" w:before="30" w:after="30"/>
              <w:jc w:val="center"/>
            </w:pPr>
            <w:r>
              <w:rPr>
                <w:b w:val="0"/>
                <w:i w:val="0"/>
                <w:sz w:val="14"/>
              </w:rPr>
              <w:t>0.178</w:t>
            </w:r>
          </w:p>
        </w:tc>
        <w:tc>
          <w:tcPr>
            <w:tcW w:type="dxa" w:w="1391"/>
          </w:tcPr>
          <w:p>
            <w:pPr>
              <w:pStyle w:val="MDPI42tablebody"/>
              <w:spacing w:line="240" w:lineRule="auto" w:before="30" w:after="30"/>
              <w:jc w:val="center"/>
            </w:pPr>
            <w:r>
              <w:rPr>
                <w:b w:val="0"/>
                <w:i w:val="0"/>
                <w:sz w:val="14"/>
              </w:rPr>
              <w:t>0.061</w:t>
            </w:r>
          </w:p>
        </w:tc>
        <w:tc>
          <w:tcPr>
            <w:tcW w:type="dxa" w:w="1391"/>
          </w:tcPr>
          <w:p>
            <w:pPr>
              <w:pStyle w:val="MDPI42tablebody"/>
              <w:spacing w:line="240" w:lineRule="auto" w:before="30" w:after="30"/>
              <w:jc w:val="center"/>
            </w:pPr>
            <w:r>
              <w:rPr>
                <w:b w:val="0"/>
                <w:i w:val="0"/>
                <w:sz w:val="14"/>
              </w:rPr>
              <w:t>0.243</w:t>
            </w:r>
          </w:p>
        </w:tc>
        <w:tc>
          <w:tcPr>
            <w:tcW w:type="dxa" w:w="1391"/>
          </w:tcPr>
          <w:p>
            <w:pPr>
              <w:pStyle w:val="MDPI42tablebody"/>
              <w:spacing w:line="240" w:lineRule="auto" w:before="30" w:after="30"/>
              <w:jc w:val="center"/>
            </w:pPr>
            <w:r>
              <w:rPr>
                <w:b w:val="0"/>
                <w:i w:val="0"/>
                <w:sz w:val="14"/>
              </w:rPr>
              <w:t>0.068</w:t>
            </w:r>
          </w:p>
        </w:tc>
        <w:tc>
          <w:tcPr>
            <w:tcW w:type="dxa" w:w="1391"/>
          </w:tcPr>
          <w:p>
            <w:pPr>
              <w:pStyle w:val="MDPI42tablebody"/>
              <w:spacing w:line="240" w:lineRule="auto" w:before="30" w:after="30"/>
              <w:jc w:val="center"/>
            </w:pPr>
            <w:r>
              <w:rPr>
                <w:b w:val="0"/>
                <w:i w:val="0"/>
                <w:sz w:val="14"/>
              </w:rPr>
              <w:t>0.071</w:t>
            </w:r>
          </w:p>
        </w:tc>
      </w:tr>
    </w:tbl>
    <w:p>
      <w:pPr>
        <w:pStyle w:val="MDPI43tablefooter"/>
        <w:spacing w:line="240" w:lineRule="auto" w:before="40" w:after="200"/>
        <w:ind w:left="2608" w:firstLine="0"/>
      </w:pPr>
      <w:r>
        <w:rPr>
          <w:sz w:val="16"/>
        </w:rPr>
        <w:t xml:space="preserve">Note: </w:t>
      </w:r>
      <w:r>
        <w:rPr>
          <w:b w:val="0"/>
          <w:i w:val="0"/>
          <w:sz w:val="16"/>
        </w:rPr>
        <w:t>The dependent variable is named in each column heading. Redeploy is the index of dissimilarity between successive occupational distributions and Churn is the gross separation rate, both in percentage points. Values in parentheses are standard errors clustered at the firm level. ***, ** and * denote significance at the 1%, 5% and 10% levels, respectively. Source: authors’ own calculations.</w:t>
      </w:r>
    </w:p>
    <w:p>
      <w:pPr>
        <w:pStyle w:val="MDPI31text"/>
      </w:pPr>
      <w:r>
        <w:rPr>
          <w:b w:val="0"/>
          <w:i w:val="0"/>
        </w:rPr>
        <w:t>Table 8 quantifies the two channels. The part of the buffering that travels through internal redeployment is 0.172, with a bootstrap interval of [0.142, 0.208] that excludes zero, accounting for 13.7 percent of the total. The part that travels through suppressed churn is 0.408, with an interval of [0.366, 0.453], accounting for 32.5 percent. Together the two channels carry 46.2 percent of the buffering. H4 is supported, and the relative magnitudes are informative: absorption is predominantly the avoidance of separations rather than the visible reshuffling of posts. Variety works less by moving people than by making it unnecessary to lose them.</w:t>
      </w:r>
    </w:p>
    <w:p>
      <w:pPr>
        <w:pStyle w:val="MDPI41tablecaption"/>
        <w:keepNext/>
        <w:spacing w:after="60"/>
      </w:pPr>
      <w:r>
        <w:rPr>
          <w:b/>
          <w:sz w:val="18"/>
        </w:rPr>
        <w:t xml:space="preserve">Table 8. </w:t>
      </w:r>
      <w:r>
        <w:rPr>
          <w:b w:val="0"/>
          <w:i w:val="0"/>
          <w:sz w:val="18"/>
        </w:rPr>
        <w:t>Bootstrapped decomposition of the buffering effect.</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779"/>
        <w:gridCol w:w="1255"/>
        <w:gridCol w:w="1046"/>
        <w:gridCol w:w="941"/>
        <w:gridCol w:w="1046"/>
        <w:gridCol w:w="1046"/>
        <w:gridCol w:w="1779"/>
        <w:gridCol w:w="1569"/>
      </w:tblGrid>
      <w:tr>
        <w:trPr>
          <w:cantSplit/>
          <w:tblHeader/>
        </w:trPr>
        <w:tc>
          <w:tcPr>
            <w:tcW w:type="dxa" w:w="1779"/>
            <w:tcBorders>
              <w:bottom w:val="single" w:sz="8" w:space="0" w:color="auto"/>
            </w:tcBorders>
          </w:tcPr>
          <w:p>
            <w:pPr>
              <w:pStyle w:val="MDPI42tablebody"/>
              <w:keepNext/>
              <w:spacing w:line="240" w:lineRule="auto" w:before="30" w:after="30"/>
              <w:jc w:val="center"/>
            </w:pPr>
            <w:r>
              <w:rPr>
                <w:b/>
                <w:i w:val="0"/>
                <w:sz w:val="14"/>
              </w:rPr>
              <w:t>Mediator</w:t>
            </w:r>
          </w:p>
        </w:tc>
        <w:tc>
          <w:tcPr>
            <w:tcW w:type="dxa" w:w="1255"/>
            <w:tcBorders>
              <w:bottom w:val="single" w:sz="8" w:space="0" w:color="auto"/>
            </w:tcBorders>
          </w:tcPr>
          <w:p>
            <w:pPr>
              <w:pStyle w:val="MDPI42tablebody"/>
              <w:keepNext/>
              <w:spacing w:line="240" w:lineRule="auto" w:before="30" w:after="30"/>
              <w:jc w:val="center"/>
            </w:pPr>
            <w:r>
              <w:rPr>
                <w:b/>
                <w:i w:val="0"/>
                <w:sz w:val="14"/>
              </w:rPr>
              <w:t>Buffering effect</w:t>
            </w:r>
          </w:p>
        </w:tc>
        <w:tc>
          <w:tcPr>
            <w:tcW w:type="dxa" w:w="1046"/>
            <w:tcBorders>
              <w:bottom w:val="single" w:sz="8" w:space="0" w:color="auto"/>
            </w:tcBorders>
          </w:tcPr>
          <w:p>
            <w:pPr>
              <w:pStyle w:val="MDPI42tablebody"/>
              <w:keepNext/>
              <w:spacing w:line="240" w:lineRule="auto" w:before="30" w:after="30"/>
              <w:jc w:val="center"/>
            </w:pPr>
            <w:r>
              <w:rPr>
                <w:b/>
                <w:i w:val="0"/>
                <w:sz w:val="14"/>
              </w:rPr>
              <w:t>Path a</w:t>
            </w:r>
          </w:p>
        </w:tc>
        <w:tc>
          <w:tcPr>
            <w:tcW w:type="dxa" w:w="941"/>
            <w:tcBorders>
              <w:bottom w:val="single" w:sz="8" w:space="0" w:color="auto"/>
            </w:tcBorders>
          </w:tcPr>
          <w:p>
            <w:pPr>
              <w:pStyle w:val="MDPI42tablebody"/>
              <w:keepNext/>
              <w:spacing w:line="240" w:lineRule="auto" w:before="30" w:after="30"/>
              <w:jc w:val="center"/>
            </w:pPr>
            <w:r>
              <w:rPr>
                <w:b/>
                <w:i w:val="0"/>
                <w:sz w:val="14"/>
              </w:rPr>
              <w:t>Path b</w:t>
            </w:r>
          </w:p>
        </w:tc>
        <w:tc>
          <w:tcPr>
            <w:tcW w:type="dxa" w:w="1046"/>
            <w:tcBorders>
              <w:bottom w:val="single" w:sz="8" w:space="0" w:color="auto"/>
            </w:tcBorders>
          </w:tcPr>
          <w:p>
            <w:pPr>
              <w:pStyle w:val="MDPI42tablebody"/>
              <w:keepNext/>
              <w:spacing w:line="240" w:lineRule="auto" w:before="30" w:after="30"/>
              <w:jc w:val="center"/>
            </w:pPr>
            <w:r>
              <w:rPr>
                <w:b/>
                <w:i w:val="0"/>
                <w:sz w:val="14"/>
              </w:rPr>
              <w:t>Direct</w:t>
            </w:r>
          </w:p>
        </w:tc>
        <w:tc>
          <w:tcPr>
            <w:tcW w:type="dxa" w:w="1046"/>
            <w:tcBorders>
              <w:bottom w:val="single" w:sz="8" w:space="0" w:color="auto"/>
            </w:tcBorders>
          </w:tcPr>
          <w:p>
            <w:pPr>
              <w:pStyle w:val="MDPI42tablebody"/>
              <w:keepNext/>
              <w:spacing w:line="240" w:lineRule="auto" w:before="30" w:after="30"/>
              <w:jc w:val="center"/>
            </w:pPr>
            <w:r>
              <w:rPr>
                <w:b/>
                <w:i w:val="0"/>
                <w:sz w:val="14"/>
              </w:rPr>
              <w:t>Indirect</w:t>
            </w:r>
          </w:p>
        </w:tc>
        <w:tc>
          <w:tcPr>
            <w:tcW w:type="dxa" w:w="1779"/>
            <w:tcBorders>
              <w:bottom w:val="single" w:sz="8" w:space="0" w:color="auto"/>
            </w:tcBorders>
          </w:tcPr>
          <w:p>
            <w:pPr>
              <w:pStyle w:val="MDPI42tablebody"/>
              <w:keepNext/>
              <w:spacing w:line="240" w:lineRule="auto" w:before="30" w:after="30"/>
              <w:jc w:val="center"/>
            </w:pPr>
            <w:r>
              <w:rPr>
                <w:b/>
                <w:i w:val="0"/>
                <w:sz w:val="14"/>
              </w:rPr>
              <w:t>95% bootstrap CI</w:t>
            </w:r>
          </w:p>
        </w:tc>
        <w:tc>
          <w:tcPr>
            <w:tcW w:type="dxa" w:w="1569"/>
            <w:tcBorders>
              <w:bottom w:val="single" w:sz="8" w:space="0" w:color="auto"/>
            </w:tcBorders>
          </w:tcPr>
          <w:p>
            <w:pPr>
              <w:pStyle w:val="MDPI42tablebody"/>
              <w:keepNext/>
              <w:spacing w:line="240" w:lineRule="auto" w:before="30" w:after="30"/>
              <w:jc w:val="center"/>
            </w:pPr>
            <w:r>
              <w:rPr>
                <w:b/>
                <w:i w:val="0"/>
                <w:sz w:val="14"/>
              </w:rPr>
              <w:t>Share (%)</w:t>
            </w:r>
          </w:p>
        </w:tc>
      </w:tr>
      <w:tr>
        <w:trPr>
          <w:cantSplit/>
        </w:trPr>
        <w:tc>
          <w:tcPr>
            <w:tcW w:type="dxa" w:w="1779"/>
          </w:tcPr>
          <w:p>
            <w:pPr>
              <w:pStyle w:val="MDPI42tablebody"/>
              <w:keepNext/>
              <w:spacing w:line="240" w:lineRule="auto" w:before="30" w:after="30"/>
              <w:jc w:val="left"/>
            </w:pPr>
            <w:r>
              <w:rPr>
                <w:b w:val="0"/>
                <w:i/>
                <w:sz w:val="14"/>
              </w:rPr>
              <w:t>Internal redeployment</w:t>
            </w:r>
          </w:p>
        </w:tc>
        <w:tc>
          <w:tcPr>
            <w:tcW w:type="dxa" w:w="1255"/>
          </w:tcPr>
          <w:p>
            <w:pPr>
              <w:pStyle w:val="MDPI42tablebody"/>
              <w:keepNext/>
              <w:spacing w:line="240" w:lineRule="auto" w:before="30" w:after="30"/>
              <w:jc w:val="center"/>
            </w:pPr>
            <w:r>
              <w:rPr>
                <w:b w:val="0"/>
                <w:i w:val="0"/>
                <w:sz w:val="14"/>
              </w:rPr>
              <w:t>1.257***</w:t>
            </w:r>
          </w:p>
        </w:tc>
        <w:tc>
          <w:tcPr>
            <w:tcW w:type="dxa" w:w="1046"/>
          </w:tcPr>
          <w:p>
            <w:pPr>
              <w:pStyle w:val="MDPI42tablebody"/>
              <w:keepNext/>
              <w:spacing w:line="240" w:lineRule="auto" w:before="30" w:after="30"/>
              <w:jc w:val="center"/>
            </w:pPr>
            <w:r>
              <w:rPr>
                <w:b w:val="0"/>
                <w:i w:val="0"/>
                <w:sz w:val="14"/>
              </w:rPr>
              <w:t>1.472***</w:t>
            </w:r>
          </w:p>
        </w:tc>
        <w:tc>
          <w:tcPr>
            <w:tcW w:type="dxa" w:w="941"/>
          </w:tcPr>
          <w:p>
            <w:pPr>
              <w:pStyle w:val="MDPI42tablebody"/>
              <w:keepNext/>
              <w:spacing w:line="240" w:lineRule="auto" w:before="30" w:after="30"/>
              <w:jc w:val="center"/>
            </w:pPr>
            <w:r>
              <w:rPr>
                <w:b w:val="0"/>
                <w:i w:val="0"/>
                <w:sz w:val="14"/>
              </w:rPr>
              <w:t>0.117***</w:t>
            </w:r>
          </w:p>
        </w:tc>
        <w:tc>
          <w:tcPr>
            <w:tcW w:type="dxa" w:w="1046"/>
          </w:tcPr>
          <w:p>
            <w:pPr>
              <w:pStyle w:val="MDPI42tablebody"/>
              <w:keepNext/>
              <w:spacing w:line="240" w:lineRule="auto" w:before="30" w:after="30"/>
              <w:jc w:val="center"/>
            </w:pPr>
            <w:r>
              <w:rPr>
                <w:b w:val="0"/>
                <w:i w:val="0"/>
                <w:sz w:val="14"/>
              </w:rPr>
              <w:t>1.084***</w:t>
            </w:r>
          </w:p>
        </w:tc>
        <w:tc>
          <w:tcPr>
            <w:tcW w:type="dxa" w:w="1046"/>
          </w:tcPr>
          <w:p>
            <w:pPr>
              <w:pStyle w:val="MDPI42tablebody"/>
              <w:keepNext/>
              <w:spacing w:line="240" w:lineRule="auto" w:before="30" w:after="30"/>
              <w:jc w:val="center"/>
            </w:pPr>
            <w:r>
              <w:rPr>
                <w:b w:val="0"/>
                <w:i w:val="0"/>
                <w:sz w:val="14"/>
              </w:rPr>
              <w:t>0.172</w:t>
            </w:r>
          </w:p>
        </w:tc>
        <w:tc>
          <w:tcPr>
            <w:tcW w:type="dxa" w:w="1779"/>
          </w:tcPr>
          <w:p>
            <w:pPr>
              <w:pStyle w:val="MDPI42tablebody"/>
              <w:keepNext/>
              <w:spacing w:line="240" w:lineRule="auto" w:before="30" w:after="30"/>
              <w:jc w:val="center"/>
            </w:pPr>
            <w:r>
              <w:rPr>
                <w:b w:val="0"/>
                <w:i w:val="0"/>
                <w:sz w:val="14"/>
              </w:rPr>
              <w:t>[0.142, 0.208]</w:t>
            </w:r>
          </w:p>
        </w:tc>
        <w:tc>
          <w:tcPr>
            <w:tcW w:type="dxa" w:w="1569"/>
          </w:tcPr>
          <w:p>
            <w:pPr>
              <w:pStyle w:val="MDPI42tablebody"/>
              <w:keepNext/>
              <w:spacing w:line="240" w:lineRule="auto" w:before="30" w:after="30"/>
              <w:jc w:val="center"/>
            </w:pPr>
            <w:r>
              <w:rPr>
                <w:b w:val="0"/>
                <w:i w:val="0"/>
                <w:sz w:val="14"/>
              </w:rPr>
              <w:t>13.7</w:t>
            </w:r>
          </w:p>
        </w:tc>
      </w:tr>
      <w:tr>
        <w:trPr>
          <w:cantSplit/>
        </w:trPr>
        <w:tc>
          <w:tcPr>
            <w:tcW w:type="dxa" w:w="1779"/>
          </w:tcPr>
          <w:p>
            <w:pPr>
              <w:pStyle w:val="MDPI42tablebody"/>
              <w:spacing w:line="240" w:lineRule="auto" w:before="30" w:after="30"/>
              <w:jc w:val="left"/>
            </w:pPr>
            <w:r>
              <w:rPr>
                <w:b w:val="0"/>
                <w:i/>
                <w:sz w:val="14"/>
              </w:rPr>
              <w:t>Workforce churn</w:t>
            </w:r>
          </w:p>
        </w:tc>
        <w:tc>
          <w:tcPr>
            <w:tcW w:type="dxa" w:w="1255"/>
          </w:tcPr>
          <w:p>
            <w:pPr>
              <w:pStyle w:val="MDPI42tablebody"/>
              <w:spacing w:line="240" w:lineRule="auto" w:before="30" w:after="30"/>
              <w:jc w:val="center"/>
            </w:pPr>
            <w:r>
              <w:rPr>
                <w:b w:val="0"/>
                <w:i w:val="0"/>
                <w:sz w:val="14"/>
              </w:rPr>
              <w:t>1.257***</w:t>
            </w:r>
          </w:p>
        </w:tc>
        <w:tc>
          <w:tcPr>
            <w:tcW w:type="dxa" w:w="1046"/>
          </w:tcPr>
          <w:p>
            <w:pPr>
              <w:pStyle w:val="MDPI42tablebody"/>
              <w:spacing w:line="240" w:lineRule="auto" w:before="30" w:after="30"/>
              <w:jc w:val="center"/>
            </w:pPr>
            <w:r>
              <w:rPr>
                <w:b w:val="0"/>
                <w:i w:val="0"/>
                <w:sz w:val="14"/>
              </w:rPr>
              <w:t>−3.762***</w:t>
            </w:r>
          </w:p>
        </w:tc>
        <w:tc>
          <w:tcPr>
            <w:tcW w:type="dxa" w:w="941"/>
          </w:tcPr>
          <w:p>
            <w:pPr>
              <w:pStyle w:val="MDPI42tablebody"/>
              <w:spacing w:line="240" w:lineRule="auto" w:before="30" w:after="30"/>
              <w:jc w:val="center"/>
            </w:pPr>
            <w:r>
              <w:rPr>
                <w:b w:val="0"/>
                <w:i w:val="0"/>
                <w:sz w:val="14"/>
              </w:rPr>
              <w:t>−0.109***</w:t>
            </w:r>
          </w:p>
        </w:tc>
        <w:tc>
          <w:tcPr>
            <w:tcW w:type="dxa" w:w="1046"/>
          </w:tcPr>
          <w:p>
            <w:pPr>
              <w:pStyle w:val="MDPI42tablebody"/>
              <w:spacing w:line="240" w:lineRule="auto" w:before="30" w:after="30"/>
              <w:jc w:val="center"/>
            </w:pPr>
            <w:r>
              <w:rPr>
                <w:b w:val="0"/>
                <w:i w:val="0"/>
                <w:sz w:val="14"/>
              </w:rPr>
              <w:t>0.848***</w:t>
            </w:r>
          </w:p>
        </w:tc>
        <w:tc>
          <w:tcPr>
            <w:tcW w:type="dxa" w:w="1046"/>
          </w:tcPr>
          <w:p>
            <w:pPr>
              <w:pStyle w:val="MDPI42tablebody"/>
              <w:spacing w:line="240" w:lineRule="auto" w:before="30" w:after="30"/>
              <w:jc w:val="center"/>
            </w:pPr>
            <w:r>
              <w:rPr>
                <w:b w:val="0"/>
                <w:i w:val="0"/>
                <w:sz w:val="14"/>
              </w:rPr>
              <w:t>0.408</w:t>
            </w:r>
          </w:p>
        </w:tc>
        <w:tc>
          <w:tcPr>
            <w:tcW w:type="dxa" w:w="1779"/>
          </w:tcPr>
          <w:p>
            <w:pPr>
              <w:pStyle w:val="MDPI42tablebody"/>
              <w:spacing w:line="240" w:lineRule="auto" w:before="30" w:after="30"/>
              <w:jc w:val="center"/>
            </w:pPr>
            <w:r>
              <w:rPr>
                <w:b w:val="0"/>
                <w:i w:val="0"/>
                <w:sz w:val="14"/>
              </w:rPr>
              <w:t>[0.366, 0.453]</w:t>
            </w:r>
          </w:p>
        </w:tc>
        <w:tc>
          <w:tcPr>
            <w:tcW w:type="dxa" w:w="1569"/>
          </w:tcPr>
          <w:p>
            <w:pPr>
              <w:pStyle w:val="MDPI42tablebody"/>
              <w:spacing w:line="240" w:lineRule="auto" w:before="30" w:after="30"/>
              <w:jc w:val="center"/>
            </w:pPr>
            <w:r>
              <w:rPr>
                <w:b w:val="0"/>
                <w:i w:val="0"/>
                <w:sz w:val="14"/>
              </w:rPr>
              <w:t>32.5</w:t>
            </w:r>
          </w:p>
        </w:tc>
      </w:tr>
    </w:tbl>
    <w:p>
      <w:pPr>
        <w:pStyle w:val="MDPI43tablefooter"/>
        <w:spacing w:line="240" w:lineRule="auto" w:before="40" w:after="200"/>
        <w:ind w:left="2608" w:firstLine="0"/>
      </w:pPr>
      <w:r>
        <w:rPr>
          <w:sz w:val="16"/>
        </w:rPr>
        <w:t xml:space="preserve">Note: </w:t>
      </w:r>
      <w:r>
        <w:rPr>
          <w:b w:val="0"/>
          <w:i w:val="0"/>
          <w:sz w:val="16"/>
        </w:rPr>
        <w:t>Path a is the coefficient on Shock x Variety in the mediator equation and path b is the coefficient on the mediator in an outcome equation that also contains Shock x Variety, so their product is the part of the buffering effect that travels through the mediator. The confidence interval is the percentile interval of 400 bootstrap replications that resample whole firms. ***, ** and * denote significance at the 1%, 5% and 10% levels, respectively. Source: authors’ own calculations.</w:t>
      </w:r>
    </w:p>
    <w:p>
      <w:pPr>
        <w:pStyle w:val="MDPI22heading2"/>
      </w:pPr>
      <w:r>
        <w:t>4.6. Endogeneity Tests</w:t>
      </w:r>
    </w:p>
    <w:p>
      <w:pPr>
        <w:pStyle w:val="MDPI32textnoindent"/>
      </w:pPr>
      <w:r>
        <w:rPr>
          <w:b w:val="0"/>
          <w:i w:val="0"/>
        </w:rPr>
        <w:t>Table 9 addresses the concern that diverse firms differ from concentrated ones in ways the controls do not capture. Columns (1) and (2) report the two first stages. The occupational diversity of the local labor pool and the variety of same-industry firms in other provinces both enter the variety equation positively and significantly, and their interactions with the shock enter the interaction equation, with a Kleibergen-Paap rank Wald statistic of 1345.4. Column (3) reports the second stage: the buffering coefficient is 1.307, close to the least-squares estimate. The Hansen J statistic does not reject the exclusion restriction (p = 0.477) and the Durbin-Wu-Hausman statistic does not reject exogeneity (p = 0.428), so the least-squares estimate may be read as consistent.</w:t>
      </w:r>
    </w:p>
    <w:p>
      <w:pPr>
        <w:pStyle w:val="MDPI31text"/>
      </w:pPr>
      <w:r>
        <w:rPr>
          <w:b w:val="0"/>
          <w:i w:val="0"/>
        </w:rPr>
        <w:t xml:space="preserve">Column (4) replaces contemporaneous variety with its one-year lag, which is predetermined with respect to the current year’s employment decisions; the buffering coefficient is 1.150. Column (5) re-estimates on a sample matched one to one on the propensity score formed from pre-period characteristics </w:t>
      </w:r>
      <w:r>
        <w:t>[</w:t>
      </w:r>
      <w:r>
        <w:fldChar w:fldCharType="begin"/>
      </w:r>
      <w:r>
        <w:instrText xml:space="preserve"> REF _Ref_82 \h </w:instrText>
      </w:r>
      <w:r>
        <w:fldChar w:fldCharType="separate"/>
      </w:r>
      <w:r>
        <w:t>82</w:t>
      </w:r>
      <w:r>
        <w:fldChar w:fldCharType="end"/>
      </w:r>
      <w:r>
        <w:t>]</w:t>
      </w:r>
      <w:r>
        <w:rPr>
          <w:b w:val="0"/>
          <w:i w:val="0"/>
        </w:rPr>
        <w:t>, which reduces the largest standardized bias from 7.2 to 4.5 percent and gives 1.249; column (6) reweights the full sample by entropy-balancing weights and gives 1.261. The four approaches bracket the benchmark closely.</w:t>
      </w:r>
    </w:p>
    <w:p>
      <w:pPr>
        <w:pStyle w:val="MDPI41tablecaption"/>
        <w:keepNext/>
        <w:spacing w:after="60"/>
      </w:pPr>
      <w:r>
        <w:rPr>
          <w:b/>
          <w:sz w:val="18"/>
        </w:rPr>
        <w:t xml:space="preserve">Table 9. </w:t>
      </w:r>
      <w:r>
        <w:rPr>
          <w:b w:val="0"/>
          <w:i w:val="0"/>
          <w:sz w:val="18"/>
        </w:rPr>
        <w:t>Endogeneity tests.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459"/>
        <w:gridCol w:w="1334"/>
        <w:gridCol w:w="1334"/>
        <w:gridCol w:w="1334"/>
        <w:gridCol w:w="1334"/>
        <w:gridCol w:w="1334"/>
        <w:gridCol w:w="1334"/>
      </w:tblGrid>
      <w:tr>
        <w:trPr>
          <w:cantSplit/>
          <w:tblHeader/>
        </w:trPr>
        <w:tc>
          <w:tcPr>
            <w:tcW w:type="dxa" w:w="2459"/>
            <w:tcBorders>
              <w:bottom w:val="single" w:sz="8" w:space="0" w:color="auto"/>
            </w:tcBorders>
          </w:tcPr>
          <w:p>
            <w:pPr>
              <w:pStyle w:val="MDPI42tablebody"/>
              <w:keepNext/>
              <w:spacing w:line="240" w:lineRule="auto" w:before="30" w:after="30"/>
              <w:jc w:val="center"/>
            </w:pPr>
            <w:r>
              <w:rPr>
                <w:b/>
                <w:i w:val="0"/>
                <w:sz w:val="14"/>
              </w:rPr>
              <w:t>Variable</w:t>
            </w:r>
          </w:p>
        </w:tc>
        <w:tc>
          <w:tcPr>
            <w:tcW w:type="dxa" w:w="1334"/>
            <w:tcBorders>
              <w:bottom w:val="single" w:sz="8" w:space="0" w:color="auto"/>
            </w:tcBorders>
          </w:tcPr>
          <w:p>
            <w:pPr>
              <w:pStyle w:val="MDPI42tablebody"/>
              <w:keepNext/>
              <w:spacing w:line="240" w:lineRule="auto" w:before="30" w:after="30"/>
              <w:jc w:val="center"/>
            </w:pPr>
            <w:r>
              <w:rPr>
                <w:b/>
                <w:i w:val="0"/>
                <w:sz w:val="14"/>
              </w:rPr>
              <w:t>(1) First stage: Variety</w:t>
            </w:r>
          </w:p>
        </w:tc>
        <w:tc>
          <w:tcPr>
            <w:tcW w:type="dxa" w:w="1334"/>
            <w:tcBorders>
              <w:bottom w:val="single" w:sz="8" w:space="0" w:color="auto"/>
            </w:tcBorders>
          </w:tcPr>
          <w:p>
            <w:pPr>
              <w:pStyle w:val="MDPI42tablebody"/>
              <w:keepNext/>
              <w:spacing w:line="240" w:lineRule="auto" w:before="30" w:after="30"/>
              <w:jc w:val="center"/>
            </w:pPr>
            <w:r>
              <w:rPr>
                <w:b/>
                <w:i w:val="0"/>
                <w:sz w:val="14"/>
              </w:rPr>
              <w:t>(2) First stage: Shock x Variety</w:t>
            </w:r>
          </w:p>
        </w:tc>
        <w:tc>
          <w:tcPr>
            <w:tcW w:type="dxa" w:w="1334"/>
            <w:tcBorders>
              <w:bottom w:val="single" w:sz="8" w:space="0" w:color="auto"/>
            </w:tcBorders>
          </w:tcPr>
          <w:p>
            <w:pPr>
              <w:pStyle w:val="MDPI42tablebody"/>
              <w:keepNext/>
              <w:spacing w:line="240" w:lineRule="auto" w:before="30" w:after="30"/>
              <w:jc w:val="center"/>
            </w:pPr>
            <w:r>
              <w:rPr>
                <w:b/>
                <w:i w:val="0"/>
                <w:sz w:val="14"/>
              </w:rPr>
              <w:t>(3) 2SLS</w:t>
            </w:r>
          </w:p>
        </w:tc>
        <w:tc>
          <w:tcPr>
            <w:tcW w:type="dxa" w:w="1334"/>
            <w:tcBorders>
              <w:bottom w:val="single" w:sz="8" w:space="0" w:color="auto"/>
            </w:tcBorders>
          </w:tcPr>
          <w:p>
            <w:pPr>
              <w:pStyle w:val="MDPI42tablebody"/>
              <w:keepNext/>
              <w:spacing w:line="240" w:lineRule="auto" w:before="30" w:after="30"/>
              <w:jc w:val="center"/>
            </w:pPr>
            <w:r>
              <w:rPr>
                <w:b/>
                <w:i w:val="0"/>
                <w:sz w:val="14"/>
              </w:rPr>
              <w:t>(4) Lagged variety</w:t>
            </w:r>
          </w:p>
        </w:tc>
        <w:tc>
          <w:tcPr>
            <w:tcW w:type="dxa" w:w="1334"/>
            <w:tcBorders>
              <w:bottom w:val="single" w:sz="8" w:space="0" w:color="auto"/>
            </w:tcBorders>
          </w:tcPr>
          <w:p>
            <w:pPr>
              <w:pStyle w:val="MDPI42tablebody"/>
              <w:keepNext/>
              <w:spacing w:line="240" w:lineRule="auto" w:before="30" w:after="30"/>
              <w:jc w:val="center"/>
            </w:pPr>
            <w:r>
              <w:rPr>
                <w:b/>
                <w:i w:val="0"/>
                <w:sz w:val="14"/>
              </w:rPr>
              <w:t>(5) PSM sample</w:t>
            </w:r>
          </w:p>
        </w:tc>
        <w:tc>
          <w:tcPr>
            <w:tcW w:type="dxa" w:w="1334"/>
            <w:tcBorders>
              <w:bottom w:val="single" w:sz="8" w:space="0" w:color="auto"/>
            </w:tcBorders>
          </w:tcPr>
          <w:p>
            <w:pPr>
              <w:pStyle w:val="MDPI42tablebody"/>
              <w:keepNext/>
              <w:spacing w:line="240" w:lineRule="auto" w:before="30" w:after="30"/>
              <w:jc w:val="center"/>
            </w:pPr>
            <w:r>
              <w:rPr>
                <w:b/>
                <w:i w:val="0"/>
                <w:sz w:val="14"/>
              </w:rPr>
              <w:t>(6) Entropy balancing</w:t>
            </w:r>
          </w:p>
        </w:tc>
      </w:tr>
      <w:tr>
        <w:trPr>
          <w:cantSplit/>
        </w:trPr>
        <w:tc>
          <w:tcPr>
            <w:tcW w:type="dxa" w:w="2459"/>
          </w:tcPr>
          <w:p>
            <w:pPr>
              <w:pStyle w:val="MDPI42tablebody"/>
              <w:keepNext/>
              <w:spacing w:line="240" w:lineRule="auto" w:before="30" w:after="30"/>
              <w:jc w:val="left"/>
            </w:pPr>
            <w:r>
              <w:rPr>
                <w:b w:val="0"/>
                <w:i/>
                <w:sz w:val="14"/>
              </w:rPr>
              <w:t>CityDiv</w:t>
            </w:r>
          </w:p>
        </w:tc>
        <w:tc>
          <w:tcPr>
            <w:tcW w:type="dxa" w:w="1334"/>
          </w:tcPr>
          <w:p>
            <w:pPr>
              <w:pStyle w:val="MDPI42tablebody"/>
              <w:keepNext/>
              <w:spacing w:line="240" w:lineRule="auto" w:before="30" w:after="30"/>
              <w:jc w:val="center"/>
            </w:pPr>
            <w:r>
              <w:rPr>
                <w:b w:val="0"/>
                <w:i w:val="0"/>
                <w:sz w:val="14"/>
              </w:rPr>
              <w:t>0.459***</w:t>
            </w:r>
          </w:p>
        </w:tc>
        <w:tc>
          <w:tcPr>
            <w:tcW w:type="dxa" w:w="1334"/>
          </w:tcPr>
          <w:p>
            <w:pPr>
              <w:pStyle w:val="MDPI42tablebody"/>
              <w:keepNext/>
              <w:spacing w:line="240" w:lineRule="auto" w:before="30" w:after="30"/>
              <w:jc w:val="center"/>
            </w:pPr>
            <w:r>
              <w:rPr>
                <w:b w:val="0"/>
                <w:i w:val="0"/>
                <w:sz w:val="14"/>
              </w:rPr>
              <w:t>−0.006</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r>
              <w:rPr>
                <w:b w:val="0"/>
                <w:i w:val="0"/>
                <w:sz w:val="14"/>
              </w:rPr>
              <w:t>(0.004)</w:t>
            </w:r>
          </w:p>
        </w:tc>
        <w:tc>
          <w:tcPr>
            <w:tcW w:type="dxa" w:w="1334"/>
          </w:tcPr>
          <w:p>
            <w:pPr>
              <w:pStyle w:val="MDPI42tablebody"/>
              <w:keepNext/>
              <w:spacing w:line="240" w:lineRule="auto" w:before="30" w:after="30"/>
              <w:jc w:val="center"/>
            </w:pPr>
            <w:r>
              <w:rPr>
                <w:b w:val="0"/>
                <w:i w:val="0"/>
                <w:sz w:val="14"/>
              </w:rPr>
              <w:t>(0.004)</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Shock x CityDiv</w:t>
            </w:r>
          </w:p>
        </w:tc>
        <w:tc>
          <w:tcPr>
            <w:tcW w:type="dxa" w:w="1334"/>
          </w:tcPr>
          <w:p>
            <w:pPr>
              <w:pStyle w:val="MDPI42tablebody"/>
              <w:keepNext/>
              <w:spacing w:line="240" w:lineRule="auto" w:before="30" w:after="30"/>
              <w:jc w:val="center"/>
            </w:pPr>
            <w:r>
              <w:rPr>
                <w:b w:val="0"/>
                <w:i w:val="0"/>
                <w:sz w:val="14"/>
              </w:rPr>
              <w:t>−0.003**</w:t>
            </w:r>
          </w:p>
        </w:tc>
        <w:tc>
          <w:tcPr>
            <w:tcW w:type="dxa" w:w="1334"/>
          </w:tcPr>
          <w:p>
            <w:pPr>
              <w:pStyle w:val="MDPI42tablebody"/>
              <w:keepNext/>
              <w:spacing w:line="240" w:lineRule="auto" w:before="30" w:after="30"/>
              <w:jc w:val="center"/>
            </w:pPr>
            <w:r>
              <w:rPr>
                <w:b w:val="0"/>
                <w:i w:val="0"/>
                <w:sz w:val="14"/>
              </w:rPr>
              <w:t>0.442***</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r>
              <w:rPr>
                <w:b w:val="0"/>
                <w:i w:val="0"/>
                <w:sz w:val="14"/>
              </w:rPr>
              <w:t>(0.001)</w:t>
            </w:r>
          </w:p>
        </w:tc>
        <w:tc>
          <w:tcPr>
            <w:tcW w:type="dxa" w:w="1334"/>
          </w:tcPr>
          <w:p>
            <w:pPr>
              <w:pStyle w:val="MDPI42tablebody"/>
              <w:keepNext/>
              <w:spacing w:line="240" w:lineRule="auto" w:before="30" w:after="30"/>
              <w:jc w:val="center"/>
            </w:pPr>
            <w:r>
              <w:rPr>
                <w:b w:val="0"/>
                <w:i w:val="0"/>
                <w:sz w:val="14"/>
              </w:rPr>
              <w:t>(0.008)</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PeerVar</w:t>
            </w:r>
          </w:p>
        </w:tc>
        <w:tc>
          <w:tcPr>
            <w:tcW w:type="dxa" w:w="1334"/>
          </w:tcPr>
          <w:p>
            <w:pPr>
              <w:pStyle w:val="MDPI42tablebody"/>
              <w:keepNext/>
              <w:spacing w:line="240" w:lineRule="auto" w:before="30" w:after="30"/>
              <w:jc w:val="center"/>
            </w:pPr>
            <w:r>
              <w:rPr>
                <w:b w:val="0"/>
                <w:i w:val="0"/>
                <w:sz w:val="14"/>
              </w:rPr>
              <w:t>0.983***</w:t>
            </w:r>
          </w:p>
        </w:tc>
        <w:tc>
          <w:tcPr>
            <w:tcW w:type="dxa" w:w="1334"/>
          </w:tcPr>
          <w:p>
            <w:pPr>
              <w:pStyle w:val="MDPI42tablebody"/>
              <w:keepNext/>
              <w:spacing w:line="240" w:lineRule="auto" w:before="30" w:after="30"/>
              <w:jc w:val="center"/>
            </w:pPr>
            <w:r>
              <w:rPr>
                <w:b w:val="0"/>
                <w:i w:val="0"/>
                <w:sz w:val="14"/>
              </w:rPr>
              <w:t>0.002</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r>
              <w:rPr>
                <w:b w:val="0"/>
                <w:i w:val="0"/>
                <w:sz w:val="14"/>
              </w:rPr>
              <w:t>(0.010)</w:t>
            </w:r>
          </w:p>
        </w:tc>
        <w:tc>
          <w:tcPr>
            <w:tcW w:type="dxa" w:w="1334"/>
          </w:tcPr>
          <w:p>
            <w:pPr>
              <w:pStyle w:val="MDPI42tablebody"/>
              <w:keepNext/>
              <w:spacing w:line="240" w:lineRule="auto" w:before="30" w:after="30"/>
              <w:jc w:val="center"/>
            </w:pPr>
            <w:r>
              <w:rPr>
                <w:b w:val="0"/>
                <w:i w:val="0"/>
                <w:sz w:val="14"/>
              </w:rPr>
              <w:t>(0.016)</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Shock x PeerVar</w:t>
            </w:r>
          </w:p>
        </w:tc>
        <w:tc>
          <w:tcPr>
            <w:tcW w:type="dxa" w:w="1334"/>
          </w:tcPr>
          <w:p>
            <w:pPr>
              <w:pStyle w:val="MDPI42tablebody"/>
              <w:keepNext/>
              <w:spacing w:line="240" w:lineRule="auto" w:before="30" w:after="30"/>
              <w:jc w:val="center"/>
            </w:pPr>
            <w:r>
              <w:rPr>
                <w:b w:val="0"/>
                <w:i w:val="0"/>
                <w:sz w:val="14"/>
              </w:rPr>
              <w:t>0.000</w:t>
            </w:r>
          </w:p>
        </w:tc>
        <w:tc>
          <w:tcPr>
            <w:tcW w:type="dxa" w:w="1334"/>
          </w:tcPr>
          <w:p>
            <w:pPr>
              <w:pStyle w:val="MDPI42tablebody"/>
              <w:keepNext/>
              <w:spacing w:line="240" w:lineRule="auto" w:before="30" w:after="30"/>
              <w:jc w:val="center"/>
            </w:pPr>
            <w:r>
              <w:rPr>
                <w:b w:val="0"/>
                <w:i w:val="0"/>
                <w:sz w:val="14"/>
              </w:rPr>
              <w:t>0.974***</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r>
              <w:rPr>
                <w:b w:val="0"/>
                <w:i w:val="0"/>
                <w:sz w:val="14"/>
              </w:rPr>
              <w:t>(0.003)</w:t>
            </w:r>
          </w:p>
        </w:tc>
        <w:tc>
          <w:tcPr>
            <w:tcW w:type="dxa" w:w="1334"/>
          </w:tcPr>
          <w:p>
            <w:pPr>
              <w:pStyle w:val="MDPI42tablebody"/>
              <w:keepNext/>
              <w:spacing w:line="240" w:lineRule="auto" w:before="30" w:after="30"/>
              <w:jc w:val="center"/>
            </w:pPr>
            <w:r>
              <w:rPr>
                <w:b w:val="0"/>
                <w:i w:val="0"/>
                <w:sz w:val="14"/>
              </w:rPr>
              <w:t>(0.022)</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Variety</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2.031***</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2.009***</w:t>
            </w:r>
          </w:p>
        </w:tc>
        <w:tc>
          <w:tcPr>
            <w:tcW w:type="dxa" w:w="1334"/>
          </w:tcPr>
          <w:p>
            <w:pPr>
              <w:pStyle w:val="MDPI42tablebody"/>
              <w:keepNext/>
              <w:spacing w:line="240" w:lineRule="auto" w:before="30" w:after="30"/>
              <w:jc w:val="center"/>
            </w:pPr>
            <w:r>
              <w:rPr>
                <w:b w:val="0"/>
                <w:i w:val="0"/>
                <w:sz w:val="14"/>
              </w:rPr>
              <w:t>2.003***</w:t>
            </w: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(0.105)</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(0.091)</w:t>
            </w:r>
          </w:p>
        </w:tc>
        <w:tc>
          <w:tcPr>
            <w:tcW w:type="dxa" w:w="1334"/>
          </w:tcPr>
          <w:p>
            <w:pPr>
              <w:pStyle w:val="MDPI42tablebody"/>
              <w:keepNext/>
              <w:spacing w:line="240" w:lineRule="auto" w:before="30" w:after="30"/>
              <w:jc w:val="center"/>
            </w:pPr>
            <w:r>
              <w:rPr>
                <w:b w:val="0"/>
                <w:i w:val="0"/>
                <w:sz w:val="14"/>
              </w:rPr>
              <w:t>(0.091)</w:t>
            </w:r>
          </w:p>
        </w:tc>
      </w:tr>
      <w:tr>
        <w:trPr>
          <w:cantSplit/>
        </w:trPr>
        <w:tc>
          <w:tcPr>
            <w:tcW w:type="dxa" w:w="2459"/>
          </w:tcPr>
          <w:p>
            <w:pPr>
              <w:pStyle w:val="MDPI42tablebody"/>
              <w:keepNext/>
              <w:spacing w:line="240" w:lineRule="auto" w:before="30" w:after="30"/>
              <w:jc w:val="left"/>
            </w:pPr>
            <w:r>
              <w:rPr>
                <w:b w:val="0"/>
                <w:i/>
                <w:sz w:val="14"/>
              </w:rPr>
              <w:t>Shock x Variety</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1.307***</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1.249***</w:t>
            </w:r>
          </w:p>
        </w:tc>
        <w:tc>
          <w:tcPr>
            <w:tcW w:type="dxa" w:w="1334"/>
          </w:tcPr>
          <w:p>
            <w:pPr>
              <w:pStyle w:val="MDPI42tablebody"/>
              <w:keepNext/>
              <w:spacing w:line="240" w:lineRule="auto" w:before="30" w:after="30"/>
              <w:jc w:val="center"/>
            </w:pPr>
            <w:r>
              <w:rPr>
                <w:b w:val="0"/>
                <w:i w:val="0"/>
                <w:sz w:val="14"/>
              </w:rPr>
              <w:t>1.261***</w:t>
            </w: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(0.063)</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(0.044)</w:t>
            </w:r>
          </w:p>
        </w:tc>
        <w:tc>
          <w:tcPr>
            <w:tcW w:type="dxa" w:w="1334"/>
          </w:tcPr>
          <w:p>
            <w:pPr>
              <w:pStyle w:val="MDPI42tablebody"/>
              <w:keepNext/>
              <w:spacing w:line="240" w:lineRule="auto" w:before="30" w:after="30"/>
              <w:jc w:val="center"/>
            </w:pPr>
            <w:r>
              <w:rPr>
                <w:b w:val="0"/>
                <w:i w:val="0"/>
                <w:sz w:val="14"/>
              </w:rPr>
              <w:t>(0.044)</w:t>
            </w:r>
          </w:p>
        </w:tc>
      </w:tr>
      <w:tr>
        <w:trPr>
          <w:cantSplit/>
        </w:trPr>
        <w:tc>
          <w:tcPr>
            <w:tcW w:type="dxa" w:w="2459"/>
          </w:tcPr>
          <w:p>
            <w:pPr>
              <w:pStyle w:val="MDPI42tablebody"/>
              <w:keepNext/>
              <w:spacing w:line="240" w:lineRule="auto" w:before="30" w:after="30"/>
              <w:jc w:val="left"/>
            </w:pPr>
            <w:r>
              <w:rPr>
                <w:b w:val="0"/>
                <w:i/>
                <w:sz w:val="14"/>
              </w:rPr>
              <w:t>L.Variety</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0.931***</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(0.099)</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L.(Shock x Variety)</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1.150***</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(0.047)</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Controls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r>
      <w:tr>
        <w:trPr>
          <w:cantSplit/>
        </w:trPr>
        <w:tc>
          <w:tcPr>
            <w:tcW w:type="dxa" w:w="2459"/>
          </w:tcPr>
          <w:p>
            <w:pPr>
              <w:pStyle w:val="MDPI42tablebody"/>
              <w:keepNext/>
              <w:spacing w:line="240" w:lineRule="auto" w:before="30" w:after="30"/>
              <w:jc w:val="left"/>
            </w:pPr>
            <w:r>
              <w:rPr>
                <w:b w:val="0"/>
                <w:i/>
                <w:sz w:val="14"/>
              </w:rPr>
              <w:t>Year FE</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r>
      <w:tr>
        <w:trPr>
          <w:cantSplit/>
        </w:trPr>
        <w:tc>
          <w:tcPr>
            <w:tcW w:type="dxa" w:w="2459"/>
          </w:tcPr>
          <w:p>
            <w:pPr>
              <w:pStyle w:val="MDPI42tablebody"/>
              <w:keepNext/>
              <w:spacing w:line="240" w:lineRule="auto" w:before="30" w:after="30"/>
              <w:jc w:val="left"/>
            </w:pPr>
            <w:r>
              <w:rPr>
                <w:b w:val="0"/>
                <w:i/>
                <w:sz w:val="14"/>
              </w:rPr>
              <w:t>Firm FE</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c>
          <w:tcPr>
            <w:tcW w:type="dxa" w:w="1334"/>
          </w:tcPr>
          <w:p>
            <w:pPr>
              <w:pStyle w:val="MDPI42tablebody"/>
              <w:keepNext/>
              <w:spacing w:line="240" w:lineRule="auto" w:before="30" w:after="30"/>
              <w:jc w:val="center"/>
            </w:pPr>
            <w:r>
              <w:rPr>
                <w:b w:val="0"/>
                <w:i w:val="0"/>
                <w:sz w:val="14"/>
              </w:rPr>
              <w:t>YES</w:t>
            </w:r>
          </w:p>
        </w:tc>
      </w:tr>
      <w:tr>
        <w:trPr>
          <w:cantSplit/>
        </w:trPr>
        <w:tc>
          <w:tcPr>
            <w:tcW w:type="dxa" w:w="2459"/>
          </w:tcPr>
          <w:p>
            <w:pPr>
              <w:pStyle w:val="MDPI42tablebody"/>
              <w:keepNext/>
              <w:spacing w:line="240" w:lineRule="auto" w:before="30" w:after="30"/>
              <w:jc w:val="left"/>
            </w:pPr>
            <w:r>
              <w:rPr>
                <w:b w:val="0"/>
                <w:i/>
                <w:sz w:val="14"/>
              </w:rPr>
              <w:t>Kleibergen-Paap rk F</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1345.4</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Hansen J (p-value)</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1.482 (0.477)</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keepNext/>
              <w:spacing w:line="240" w:lineRule="auto" w:before="30" w:after="30"/>
              <w:jc w:val="left"/>
            </w:pPr>
            <w:r>
              <w:rPr>
                <w:b w:val="0"/>
                <w:i/>
                <w:sz w:val="14"/>
              </w:rPr>
              <w:t>Durbin-Wu-Hausman (p-value)</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r>
              <w:rPr>
                <w:b w:val="0"/>
                <w:i w:val="0"/>
                <w:sz w:val="14"/>
              </w:rPr>
              <w:t>0.428</w:t>
            </w: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c>
          <w:tcPr>
            <w:tcW w:type="dxa" w:w="1334"/>
          </w:tcPr>
          <w:p>
            <w:pPr>
              <w:pStyle w:val="MDPI42tablebody"/>
              <w:keepNext/>
              <w:spacing w:line="240" w:lineRule="auto" w:before="30" w:after="30"/>
              <w:jc w:val="center"/>
            </w:pPr>
          </w:p>
        </w:tc>
      </w:tr>
      <w:tr>
        <w:trPr>
          <w:cantSplit/>
        </w:trPr>
        <w:tc>
          <w:tcPr>
            <w:tcW w:type="dxa" w:w="2459"/>
          </w:tcPr>
          <w:p>
            <w:pPr>
              <w:pStyle w:val="MDPI42tablebody"/>
              <w:spacing w:line="240" w:lineRule="auto" w:before="30" w:after="30"/>
              <w:jc w:val="left"/>
            </w:pPr>
            <w:r>
              <w:rPr>
                <w:b w:val="0"/>
                <w:i/>
                <w:sz w:val="14"/>
              </w:rPr>
              <w:t>Observations</w:t>
            </w:r>
          </w:p>
        </w:tc>
        <w:tc>
          <w:tcPr>
            <w:tcW w:type="dxa" w:w="1334"/>
          </w:tcPr>
          <w:p>
            <w:pPr>
              <w:pStyle w:val="MDPI42tablebody"/>
              <w:spacing w:line="240" w:lineRule="auto" w:before="30" w:after="30"/>
              <w:jc w:val="center"/>
            </w:pPr>
            <w:r>
              <w:rPr>
                <w:b w:val="0"/>
                <w:i w:val="0"/>
                <w:sz w:val="14"/>
              </w:rPr>
              <w:t>36,064</w:t>
            </w:r>
          </w:p>
        </w:tc>
        <w:tc>
          <w:tcPr>
            <w:tcW w:type="dxa" w:w="1334"/>
          </w:tcPr>
          <w:p>
            <w:pPr>
              <w:pStyle w:val="MDPI42tablebody"/>
              <w:spacing w:line="240" w:lineRule="auto" w:before="30" w:after="30"/>
              <w:jc w:val="center"/>
            </w:pPr>
            <w:r>
              <w:rPr>
                <w:b w:val="0"/>
                <w:i w:val="0"/>
                <w:sz w:val="14"/>
              </w:rPr>
              <w:t>36,064</w:t>
            </w:r>
          </w:p>
        </w:tc>
        <w:tc>
          <w:tcPr>
            <w:tcW w:type="dxa" w:w="1334"/>
          </w:tcPr>
          <w:p>
            <w:pPr>
              <w:pStyle w:val="MDPI42tablebody"/>
              <w:spacing w:line="240" w:lineRule="auto" w:before="30" w:after="30"/>
              <w:jc w:val="center"/>
            </w:pPr>
            <w:r>
              <w:rPr>
                <w:b w:val="0"/>
                <w:i w:val="0"/>
                <w:sz w:val="14"/>
              </w:rPr>
              <w:t>36,064</w:t>
            </w:r>
          </w:p>
        </w:tc>
        <w:tc>
          <w:tcPr>
            <w:tcW w:type="dxa" w:w="1334"/>
          </w:tcPr>
          <w:p>
            <w:pPr>
              <w:pStyle w:val="MDPI42tablebody"/>
              <w:spacing w:line="240" w:lineRule="auto" w:before="30" w:after="30"/>
              <w:jc w:val="center"/>
            </w:pPr>
            <w:r>
              <w:rPr>
                <w:b w:val="0"/>
                <w:i w:val="0"/>
                <w:sz w:val="14"/>
              </w:rPr>
              <w:t>32,664</w:t>
            </w:r>
          </w:p>
        </w:tc>
        <w:tc>
          <w:tcPr>
            <w:tcW w:type="dxa" w:w="1334"/>
          </w:tcPr>
          <w:p>
            <w:pPr>
              <w:pStyle w:val="MDPI42tablebody"/>
              <w:spacing w:line="240" w:lineRule="auto" w:before="30" w:after="30"/>
              <w:jc w:val="center"/>
            </w:pPr>
            <w:r>
              <w:rPr>
                <w:b w:val="0"/>
                <w:i w:val="0"/>
                <w:sz w:val="14"/>
              </w:rPr>
              <w:t>35,659</w:t>
            </w:r>
          </w:p>
        </w:tc>
        <w:tc>
          <w:tcPr>
            <w:tcW w:type="dxa" w:w="1334"/>
          </w:tcPr>
          <w:p>
            <w:pPr>
              <w:pStyle w:val="MDPI42tablebody"/>
              <w:spacing w:line="240" w:lineRule="auto" w:before="30" w:after="30"/>
              <w:jc w:val="center"/>
            </w:pPr>
            <w:r>
              <w:rPr>
                <w:b w:val="0"/>
                <w:i w:val="0"/>
                <w:sz w:val="14"/>
              </w:rPr>
              <w:t>36,064</w:t>
            </w:r>
          </w:p>
        </w:tc>
      </w:tr>
    </w:tbl>
    <w:p>
      <w:pPr>
        <w:pStyle w:val="MDPI43tablefooter"/>
        <w:spacing w:line="240" w:lineRule="auto" w:before="40" w:after="200"/>
        <w:ind w:left="2608" w:firstLine="0"/>
      </w:pPr>
      <w:r>
        <w:rPr>
          <w:sz w:val="16"/>
        </w:rPr>
        <w:t xml:space="preserve">Note: </w:t>
      </w:r>
      <w:r>
        <w:rPr>
          <w:b w:val="0"/>
          <w:i w:val="0"/>
          <w:sz w:val="16"/>
        </w:rPr>
        <w:t>Columns (1) and (2) report the two first stages of the two-stage least-squares estimation, whose dependent variables are Variety and Shock x Variety; the remaining columns take Youth as the dependent variable. Column (5) uses the sample matched one to one on the propensity score and column (6) weights the sample by entropy-balancing weights. The null hypothesis of the Hansen J test is that the instruments are uncorrelated with the second-stage error; the null of the Durbin-Wu-Hausman test is that the variety measures are exogenous.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4.7. Robustness Checks</w:t>
      </w:r>
    </w:p>
    <w:p>
      <w:pPr>
        <w:pStyle w:val="MDPI32textnoindent"/>
      </w:pPr>
      <w:r>
        <w:rPr>
          <w:b w:val="0"/>
          <w:i w:val="0"/>
        </w:rPr>
        <w:t>Table 10 reports seven robustness checks and a placebo, each retaining the full control set and both sets of fixed effects. Excluding the pandemic years, restricting the sample to firms observed in every year, replacing the entropy with the effective number of skill groups, replacing the continuous shock with an indicator for an adverse year, redefining the outcome as the youth share of the age-classified workforce, adding employment growth to the control set and clustering by firm and year simultaneously all leave the conclusion intact; the buffering coefficient ranges between 1.234 and 1.272 across the specifications that retain the original scaling and is significant at the one percent level throughout.</w:t>
      </w:r>
    </w:p>
    <w:p>
      <w:pPr>
        <w:pStyle w:val="MDPI31text"/>
      </w:pPr>
      <w:r>
        <w:rPr>
          <w:b w:val="0"/>
          <w:i w:val="0"/>
        </w:rPr>
        <w:t>The final row is the placebo. If the mechanism is the redeployment and retention of workers whose separation would otherwise be cheapest, then employment of workers aged 31 to 50, who hold the firm-specific human capital that makes separation expensive, should be far less sensitive to the interaction. The estimated coefficient is 0.040 (p = 0.369), 32 times smaller than the youth coefficient and statistically indistinguishable from zero. Variety buffers the margin the theory names, not employment in general.</w:t>
      </w:r>
    </w:p>
    <w:p>
      <w:pPr>
        <w:pStyle w:val="MDPI31text"/>
      </w:pPr>
      <w:r>
        <w:rPr>
          <w:b w:val="0"/>
          <w:i w:val="0"/>
        </w:rPr>
        <w:t xml:space="preserve">Two further diagnostics are reported here rather than in the table. Applying the coefficient-stability bounds of Ref. </w:t>
      </w:r>
      <w:r>
        <w:t>[</w:t>
      </w:r>
      <w:r>
        <w:fldChar w:fldCharType="begin"/>
      </w:r>
      <w:r>
        <w:instrText xml:space="preserve"> REF _Ref_83 \h </w:instrText>
      </w:r>
      <w:r>
        <w:fldChar w:fldCharType="separate"/>
      </w:r>
      <w:r>
        <w:t>83</w:t>
      </w:r>
      <w:r>
        <w:fldChar w:fldCharType="end"/>
      </w:r>
      <w:r>
        <w:t>]</w:t>
      </w:r>
      <w:r>
        <w:rPr>
          <w:b w:val="0"/>
          <w:i w:val="0"/>
        </w:rPr>
        <w:t xml:space="preserve">, selection on unobservables would have to be 4.0 times as strong as selection on the observed controls, and of the opposite sign, to overturn the buffering result; the identified set runs from the controlled estimate to 1.572 and does not contain zero. A restricted wild cluster bootstrap with Rademacher weights and 999 replications, which imposes the null before resampling </w:t>
      </w:r>
      <w:r>
        <w:t>[</w:t>
      </w:r>
      <w:r>
        <w:fldChar w:fldCharType="begin"/>
      </w:r>
      <w:r>
        <w:instrText xml:space="preserve"> REF _Ref_84 \h </w:instrText>
      </w:r>
      <w:r>
        <w:fldChar w:fldCharType="separate"/>
      </w:r>
      <w:r>
        <w:t>84</w:t>
      </w:r>
      <w:r>
        <w:fldChar w:fldCharType="end"/>
      </w:r>
      <w:r>
        <w:t>,</w:t>
      </w:r>
      <w:r>
        <w:fldChar w:fldCharType="begin"/>
      </w:r>
      <w:r>
        <w:instrText xml:space="preserve"> REF _Ref_85 \h </w:instrText>
      </w:r>
      <w:r>
        <w:fldChar w:fldCharType="separate"/>
      </w:r>
      <w:r>
        <w:t>85</w:t>
      </w:r>
      <w:r>
        <w:fldChar w:fldCharType="end"/>
      </w:r>
      <w:r>
        <w:t>]</w:t>
      </w:r>
      <w:r>
        <w:rPr>
          <w:b w:val="0"/>
          <w:i w:val="0"/>
        </w:rPr>
        <w:t>, returns a p-value of 0.001.</w:t>
      </w:r>
    </w:p>
    <w:p>
      <w:pPr>
        <w:pStyle w:val="MDPI41tablecaption"/>
        <w:keepNext/>
        <w:spacing w:after="60"/>
      </w:pPr>
      <w:r>
        <w:rPr>
          <w:b/>
          <w:sz w:val="18"/>
        </w:rPr>
        <w:t xml:space="preserve">Table 10. </w:t>
      </w:r>
      <w:r>
        <w:rPr>
          <w:b w:val="0"/>
          <w:i w:val="0"/>
          <w:sz w:val="18"/>
        </w:rPr>
        <w:t>Robustness checks.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43"/>
        <w:gridCol w:w="1100"/>
        <w:gridCol w:w="864"/>
        <w:gridCol w:w="1571"/>
        <w:gridCol w:w="1178"/>
      </w:tblGrid>
      <w:tr>
        <w:trPr>
          <w:cantSplit/>
          <w:tblHeader/>
        </w:trPr>
        <w:tc>
          <w:tcPr>
            <w:tcW w:type="dxa" w:w="3143"/>
            <w:tcBorders>
              <w:bottom w:val="single" w:sz="8" w:space="0" w:color="auto"/>
            </w:tcBorders>
          </w:tcPr>
          <w:p>
            <w:pPr>
              <w:pStyle w:val="MDPI42tablebody"/>
              <w:keepNext/>
              <w:spacing w:line="240" w:lineRule="auto" w:before="30" w:after="30"/>
              <w:jc w:val="center"/>
            </w:pPr>
            <w:r>
              <w:rPr>
                <w:b/>
                <w:i w:val="0"/>
                <w:sz w:val="18"/>
              </w:rPr>
              <w:t>Specification</w:t>
            </w:r>
          </w:p>
        </w:tc>
        <w:tc>
          <w:tcPr>
            <w:tcW w:type="dxa" w:w="1100"/>
            <w:tcBorders>
              <w:bottom w:val="single" w:sz="8" w:space="0" w:color="auto"/>
            </w:tcBorders>
          </w:tcPr>
          <w:p>
            <w:pPr>
              <w:pStyle w:val="MDPI42tablebody"/>
              <w:keepNext/>
              <w:spacing w:line="240" w:lineRule="auto" w:before="30" w:after="30"/>
              <w:jc w:val="center"/>
            </w:pPr>
            <w:r>
              <w:rPr>
                <w:b/>
                <w:i w:val="0"/>
                <w:sz w:val="18"/>
              </w:rPr>
              <w:t>Buffering effect</w:t>
            </w:r>
          </w:p>
        </w:tc>
        <w:tc>
          <w:tcPr>
            <w:tcW w:type="dxa" w:w="864"/>
            <w:tcBorders>
              <w:bottom w:val="single" w:sz="8" w:space="0" w:color="auto"/>
            </w:tcBorders>
          </w:tcPr>
          <w:p>
            <w:pPr>
              <w:pStyle w:val="MDPI42tablebody"/>
              <w:keepNext/>
              <w:spacing w:line="240" w:lineRule="auto" w:before="30" w:after="30"/>
              <w:jc w:val="center"/>
            </w:pPr>
            <w:r>
              <w:rPr>
                <w:b/>
                <w:i w:val="0"/>
                <w:sz w:val="18"/>
              </w:rPr>
              <w:t>S.E.</w:t>
            </w:r>
          </w:p>
        </w:tc>
        <w:tc>
          <w:tcPr>
            <w:tcW w:type="dxa" w:w="1571"/>
            <w:tcBorders>
              <w:bottom w:val="single" w:sz="8" w:space="0" w:color="auto"/>
            </w:tcBorders>
          </w:tcPr>
          <w:p>
            <w:pPr>
              <w:pStyle w:val="MDPI42tablebody"/>
              <w:keepNext/>
              <w:spacing w:line="240" w:lineRule="auto" w:before="30" w:after="30"/>
              <w:jc w:val="center"/>
            </w:pPr>
            <w:r>
              <w:rPr>
                <w:b/>
                <w:i w:val="0"/>
                <w:sz w:val="18"/>
              </w:rPr>
              <w:t>Observations</w:t>
            </w:r>
          </w:p>
        </w:tc>
        <w:tc>
          <w:tcPr>
            <w:tcW w:type="dxa" w:w="1178"/>
            <w:tcBorders>
              <w:bottom w:val="single" w:sz="8" w:space="0" w:color="auto"/>
            </w:tcBorders>
          </w:tcPr>
          <w:p>
            <w:pPr>
              <w:pStyle w:val="MDPI42tablebody"/>
              <w:keepNext/>
              <w:spacing w:line="240" w:lineRule="auto" w:before="30" w:after="30"/>
              <w:jc w:val="center"/>
            </w:pPr>
            <w:r>
              <w:rPr>
                <w:b/>
                <w:i w:val="0"/>
                <w:sz w:val="18"/>
              </w:rPr>
              <w:t>R-squared</w:t>
            </w:r>
          </w:p>
        </w:tc>
      </w:tr>
      <w:tr>
        <w:trPr>
          <w:cantSplit/>
        </w:trPr>
        <w:tc>
          <w:tcPr>
            <w:tcW w:type="dxa" w:w="3143"/>
          </w:tcPr>
          <w:p>
            <w:pPr>
              <w:pStyle w:val="MDPI42tablebody"/>
              <w:keepNext/>
              <w:spacing w:line="240" w:lineRule="auto" w:before="30" w:after="30"/>
              <w:jc w:val="left"/>
            </w:pPr>
            <w:r>
              <w:rPr>
                <w:b w:val="0"/>
                <w:i/>
                <w:sz w:val="18"/>
              </w:rPr>
              <w:t>Excluding the pandemic years 2020 and 2021</w:t>
            </w:r>
          </w:p>
        </w:tc>
        <w:tc>
          <w:tcPr>
            <w:tcW w:type="dxa" w:w="1100"/>
          </w:tcPr>
          <w:p>
            <w:pPr>
              <w:pStyle w:val="MDPI42tablebody"/>
              <w:keepNext/>
              <w:spacing w:line="240" w:lineRule="auto" w:before="30" w:after="30"/>
              <w:jc w:val="center"/>
            </w:pPr>
            <w:r>
              <w:rPr>
                <w:b w:val="0"/>
                <w:i w:val="0"/>
                <w:sz w:val="18"/>
              </w:rPr>
              <w:t>1.234***</w:t>
            </w:r>
          </w:p>
        </w:tc>
        <w:tc>
          <w:tcPr>
            <w:tcW w:type="dxa" w:w="864"/>
          </w:tcPr>
          <w:p>
            <w:pPr>
              <w:pStyle w:val="MDPI42tablebody"/>
              <w:keepNext/>
              <w:spacing w:line="240" w:lineRule="auto" w:before="30" w:after="30"/>
              <w:jc w:val="center"/>
            </w:pPr>
            <w:r>
              <w:rPr>
                <w:b w:val="0"/>
                <w:i w:val="0"/>
                <w:sz w:val="18"/>
              </w:rPr>
              <w:t>(0.060)</w:t>
            </w:r>
          </w:p>
        </w:tc>
        <w:tc>
          <w:tcPr>
            <w:tcW w:type="dxa" w:w="1571"/>
          </w:tcPr>
          <w:p>
            <w:pPr>
              <w:pStyle w:val="MDPI42tablebody"/>
              <w:keepNext/>
              <w:spacing w:line="240" w:lineRule="auto" w:before="30" w:after="30"/>
              <w:jc w:val="center"/>
            </w:pPr>
            <w:r>
              <w:rPr>
                <w:b w:val="0"/>
                <w:i w:val="0"/>
                <w:sz w:val="18"/>
              </w:rPr>
              <w:t>29,264</w:t>
            </w:r>
          </w:p>
        </w:tc>
        <w:tc>
          <w:tcPr>
            <w:tcW w:type="dxa" w:w="1178"/>
          </w:tcPr>
          <w:p>
            <w:pPr>
              <w:pStyle w:val="MDPI42tablebody"/>
              <w:keepNext/>
              <w:spacing w:line="240" w:lineRule="auto" w:before="30" w:after="30"/>
              <w:jc w:val="center"/>
            </w:pPr>
            <w:r>
              <w:rPr>
                <w:b w:val="0"/>
                <w:i w:val="0"/>
                <w:sz w:val="18"/>
              </w:rPr>
              <w:t>0.051</w:t>
            </w:r>
          </w:p>
        </w:tc>
      </w:tr>
      <w:tr>
        <w:trPr>
          <w:cantSplit/>
        </w:trPr>
        <w:tc>
          <w:tcPr>
            <w:tcW w:type="dxa" w:w="3143"/>
          </w:tcPr>
          <w:p>
            <w:pPr>
              <w:pStyle w:val="MDPI42tablebody"/>
              <w:keepNext/>
              <w:spacing w:line="240" w:lineRule="auto" w:before="30" w:after="30"/>
              <w:jc w:val="left"/>
            </w:pPr>
            <w:r>
              <w:rPr>
                <w:b w:val="0"/>
                <w:i/>
                <w:sz w:val="18"/>
              </w:rPr>
              <w:t>Balanced panel only</w:t>
            </w:r>
          </w:p>
        </w:tc>
        <w:tc>
          <w:tcPr>
            <w:tcW w:type="dxa" w:w="1100"/>
          </w:tcPr>
          <w:p>
            <w:pPr>
              <w:pStyle w:val="MDPI42tablebody"/>
              <w:keepNext/>
              <w:spacing w:line="240" w:lineRule="auto" w:before="30" w:after="30"/>
              <w:jc w:val="center"/>
            </w:pPr>
            <w:r>
              <w:rPr>
                <w:b w:val="0"/>
                <w:i w:val="0"/>
                <w:sz w:val="18"/>
              </w:rPr>
              <w:t>1.272***</w:t>
            </w:r>
          </w:p>
        </w:tc>
        <w:tc>
          <w:tcPr>
            <w:tcW w:type="dxa" w:w="864"/>
          </w:tcPr>
          <w:p>
            <w:pPr>
              <w:pStyle w:val="MDPI42tablebody"/>
              <w:keepNext/>
              <w:spacing w:line="240" w:lineRule="auto" w:before="30" w:after="30"/>
              <w:jc w:val="center"/>
            </w:pPr>
            <w:r>
              <w:rPr>
                <w:b w:val="0"/>
                <w:i w:val="0"/>
                <w:sz w:val="18"/>
              </w:rPr>
              <w:t>(0.048)</w:t>
            </w:r>
          </w:p>
        </w:tc>
        <w:tc>
          <w:tcPr>
            <w:tcW w:type="dxa" w:w="1571"/>
          </w:tcPr>
          <w:p>
            <w:pPr>
              <w:pStyle w:val="MDPI42tablebody"/>
              <w:keepNext/>
              <w:spacing w:line="240" w:lineRule="auto" w:before="30" w:after="30"/>
              <w:jc w:val="center"/>
            </w:pPr>
            <w:r>
              <w:rPr>
                <w:b w:val="0"/>
                <w:i w:val="0"/>
                <w:sz w:val="18"/>
              </w:rPr>
              <w:t>30,151</w:t>
            </w:r>
          </w:p>
        </w:tc>
        <w:tc>
          <w:tcPr>
            <w:tcW w:type="dxa" w:w="1178"/>
          </w:tcPr>
          <w:p>
            <w:pPr>
              <w:pStyle w:val="MDPI42tablebody"/>
              <w:keepNext/>
              <w:spacing w:line="240" w:lineRule="auto" w:before="30" w:after="30"/>
              <w:jc w:val="center"/>
            </w:pPr>
            <w:r>
              <w:rPr>
                <w:b w:val="0"/>
                <w:i w:val="0"/>
                <w:sz w:val="18"/>
              </w:rPr>
              <w:t>0.060</w:t>
            </w:r>
          </w:p>
        </w:tc>
      </w:tr>
      <w:tr>
        <w:trPr>
          <w:cantSplit/>
        </w:trPr>
        <w:tc>
          <w:tcPr>
            <w:tcW w:type="dxa" w:w="3143"/>
          </w:tcPr>
          <w:p>
            <w:pPr>
              <w:pStyle w:val="MDPI42tablebody"/>
              <w:keepNext/>
              <w:spacing w:line="240" w:lineRule="auto" w:before="30" w:after="30"/>
              <w:jc w:val="left"/>
            </w:pPr>
            <w:r>
              <w:rPr>
                <w:b w:val="0"/>
                <w:i/>
                <w:sz w:val="18"/>
              </w:rPr>
              <w:t>Effective number of skill groups in place of the entropy</w:t>
            </w:r>
          </w:p>
        </w:tc>
        <w:tc>
          <w:tcPr>
            <w:tcW w:type="dxa" w:w="1100"/>
          </w:tcPr>
          <w:p>
            <w:pPr>
              <w:pStyle w:val="MDPI42tablebody"/>
              <w:keepNext/>
              <w:spacing w:line="240" w:lineRule="auto" w:before="30" w:after="30"/>
              <w:jc w:val="center"/>
            </w:pPr>
            <w:r>
              <w:rPr>
                <w:b w:val="0"/>
                <w:i w:val="0"/>
                <w:sz w:val="18"/>
              </w:rPr>
              <w:t>0.344***</w:t>
            </w:r>
          </w:p>
        </w:tc>
        <w:tc>
          <w:tcPr>
            <w:tcW w:type="dxa" w:w="864"/>
          </w:tcPr>
          <w:p>
            <w:pPr>
              <w:pStyle w:val="MDPI42tablebody"/>
              <w:keepNext/>
              <w:spacing w:line="240" w:lineRule="auto" w:before="30" w:after="30"/>
              <w:jc w:val="center"/>
            </w:pPr>
            <w:r>
              <w:rPr>
                <w:b w:val="0"/>
                <w:i w:val="0"/>
                <w:sz w:val="18"/>
              </w:rPr>
              <w:t>(0.012)</w:t>
            </w:r>
          </w:p>
        </w:tc>
        <w:tc>
          <w:tcPr>
            <w:tcW w:type="dxa" w:w="1571"/>
          </w:tcPr>
          <w:p>
            <w:pPr>
              <w:pStyle w:val="MDPI42tablebody"/>
              <w:keepNext/>
              <w:spacing w:line="240" w:lineRule="auto" w:before="30" w:after="30"/>
              <w:jc w:val="center"/>
            </w:pPr>
            <w:r>
              <w:rPr>
                <w:b w:val="0"/>
                <w:i w:val="0"/>
                <w:sz w:val="18"/>
              </w:rPr>
              <w:t>36,064</w:t>
            </w:r>
          </w:p>
        </w:tc>
        <w:tc>
          <w:tcPr>
            <w:tcW w:type="dxa" w:w="1178"/>
          </w:tcPr>
          <w:p>
            <w:pPr>
              <w:pStyle w:val="MDPI42tablebody"/>
              <w:keepNext/>
              <w:spacing w:line="240" w:lineRule="auto" w:before="30" w:after="30"/>
              <w:jc w:val="center"/>
            </w:pPr>
            <w:r>
              <w:rPr>
                <w:b w:val="0"/>
                <w:i w:val="0"/>
                <w:sz w:val="18"/>
              </w:rPr>
              <w:t>0.056</w:t>
            </w:r>
          </w:p>
        </w:tc>
      </w:tr>
      <w:tr>
        <w:trPr>
          <w:cantSplit/>
        </w:trPr>
        <w:tc>
          <w:tcPr>
            <w:tcW w:type="dxa" w:w="3143"/>
          </w:tcPr>
          <w:p>
            <w:pPr>
              <w:pStyle w:val="MDPI42tablebody"/>
              <w:keepNext/>
              <w:spacing w:line="240" w:lineRule="auto" w:before="30" w:after="30"/>
              <w:jc w:val="left"/>
            </w:pPr>
            <w:r>
              <w:rPr>
                <w:b w:val="0"/>
                <w:i/>
                <w:sz w:val="18"/>
              </w:rPr>
              <w:t>Binary indicator for an adverse shock</w:t>
            </w:r>
          </w:p>
        </w:tc>
        <w:tc>
          <w:tcPr>
            <w:tcW w:type="dxa" w:w="1100"/>
          </w:tcPr>
          <w:p>
            <w:pPr>
              <w:pStyle w:val="MDPI42tablebody"/>
              <w:keepNext/>
              <w:spacing w:line="240" w:lineRule="auto" w:before="30" w:after="30"/>
              <w:jc w:val="center"/>
            </w:pPr>
            <w:r>
              <w:rPr>
                <w:b w:val="0"/>
                <w:i w:val="0"/>
                <w:sz w:val="18"/>
              </w:rPr>
              <w:t>2.082***</w:t>
            </w:r>
          </w:p>
        </w:tc>
        <w:tc>
          <w:tcPr>
            <w:tcW w:type="dxa" w:w="864"/>
          </w:tcPr>
          <w:p>
            <w:pPr>
              <w:pStyle w:val="MDPI42tablebody"/>
              <w:keepNext/>
              <w:spacing w:line="240" w:lineRule="auto" w:before="30" w:after="30"/>
              <w:jc w:val="center"/>
            </w:pPr>
            <w:r>
              <w:rPr>
                <w:b w:val="0"/>
                <w:i w:val="0"/>
                <w:sz w:val="18"/>
              </w:rPr>
              <w:t>(0.088)</w:t>
            </w:r>
          </w:p>
        </w:tc>
        <w:tc>
          <w:tcPr>
            <w:tcW w:type="dxa" w:w="1571"/>
          </w:tcPr>
          <w:p>
            <w:pPr>
              <w:pStyle w:val="MDPI42tablebody"/>
              <w:keepNext/>
              <w:spacing w:line="240" w:lineRule="auto" w:before="30" w:after="30"/>
              <w:jc w:val="center"/>
            </w:pPr>
            <w:r>
              <w:rPr>
                <w:b w:val="0"/>
                <w:i w:val="0"/>
                <w:sz w:val="18"/>
              </w:rPr>
              <w:t>36,064</w:t>
            </w:r>
          </w:p>
        </w:tc>
        <w:tc>
          <w:tcPr>
            <w:tcW w:type="dxa" w:w="1178"/>
          </w:tcPr>
          <w:p>
            <w:pPr>
              <w:pStyle w:val="MDPI42tablebody"/>
              <w:keepNext/>
              <w:spacing w:line="240" w:lineRule="auto" w:before="30" w:after="30"/>
              <w:jc w:val="center"/>
            </w:pPr>
            <w:r>
              <w:rPr>
                <w:b w:val="0"/>
                <w:i w:val="0"/>
                <w:sz w:val="18"/>
              </w:rPr>
              <w:t>0.047</w:t>
            </w:r>
          </w:p>
        </w:tc>
      </w:tr>
      <w:tr>
        <w:trPr>
          <w:cantSplit/>
        </w:trPr>
        <w:tc>
          <w:tcPr>
            <w:tcW w:type="dxa" w:w="3143"/>
          </w:tcPr>
          <w:p>
            <w:pPr>
              <w:pStyle w:val="MDPI42tablebody"/>
              <w:keepNext/>
              <w:spacing w:line="240" w:lineRule="auto" w:before="30" w:after="30"/>
              <w:jc w:val="left"/>
            </w:pPr>
            <w:r>
              <w:rPr>
                <w:b w:val="0"/>
                <w:i/>
                <w:sz w:val="18"/>
              </w:rPr>
              <w:t>Youth share of the age-classified workforce</w:t>
            </w:r>
          </w:p>
        </w:tc>
        <w:tc>
          <w:tcPr>
            <w:tcW w:type="dxa" w:w="1100"/>
          </w:tcPr>
          <w:p>
            <w:pPr>
              <w:pStyle w:val="MDPI42tablebody"/>
              <w:keepNext/>
              <w:spacing w:line="240" w:lineRule="auto" w:before="30" w:after="30"/>
              <w:jc w:val="center"/>
            </w:pPr>
            <w:r>
              <w:rPr>
                <w:b w:val="0"/>
                <w:i w:val="0"/>
                <w:sz w:val="18"/>
              </w:rPr>
              <w:t>1.105***</w:t>
            </w:r>
          </w:p>
        </w:tc>
        <w:tc>
          <w:tcPr>
            <w:tcW w:type="dxa" w:w="864"/>
          </w:tcPr>
          <w:p>
            <w:pPr>
              <w:pStyle w:val="MDPI42tablebody"/>
              <w:keepNext/>
              <w:spacing w:line="240" w:lineRule="auto" w:before="30" w:after="30"/>
              <w:jc w:val="center"/>
            </w:pPr>
            <w:r>
              <w:rPr>
                <w:b w:val="0"/>
                <w:i w:val="0"/>
                <w:sz w:val="18"/>
              </w:rPr>
              <w:t>(0.043)</w:t>
            </w:r>
          </w:p>
        </w:tc>
        <w:tc>
          <w:tcPr>
            <w:tcW w:type="dxa" w:w="1571"/>
          </w:tcPr>
          <w:p>
            <w:pPr>
              <w:pStyle w:val="MDPI42tablebody"/>
              <w:keepNext/>
              <w:spacing w:line="240" w:lineRule="auto" w:before="30" w:after="30"/>
              <w:jc w:val="center"/>
            </w:pPr>
            <w:r>
              <w:rPr>
                <w:b w:val="0"/>
                <w:i w:val="0"/>
                <w:sz w:val="18"/>
              </w:rPr>
              <w:t>36,064</w:t>
            </w:r>
          </w:p>
        </w:tc>
        <w:tc>
          <w:tcPr>
            <w:tcW w:type="dxa" w:w="1178"/>
          </w:tcPr>
          <w:p>
            <w:pPr>
              <w:pStyle w:val="MDPI42tablebody"/>
              <w:keepNext/>
              <w:spacing w:line="240" w:lineRule="auto" w:before="30" w:after="30"/>
              <w:jc w:val="center"/>
            </w:pPr>
            <w:r>
              <w:rPr>
                <w:b w:val="0"/>
                <w:i w:val="0"/>
                <w:sz w:val="18"/>
              </w:rPr>
              <w:t>0.043</w:t>
            </w:r>
          </w:p>
        </w:tc>
      </w:tr>
      <w:tr>
        <w:trPr>
          <w:cantSplit/>
        </w:trPr>
        <w:tc>
          <w:tcPr>
            <w:tcW w:type="dxa" w:w="3143"/>
          </w:tcPr>
          <w:p>
            <w:pPr>
              <w:pStyle w:val="MDPI42tablebody"/>
              <w:keepNext/>
              <w:spacing w:line="240" w:lineRule="auto" w:before="30" w:after="30"/>
              <w:jc w:val="left"/>
            </w:pPr>
            <w:r>
              <w:rPr>
                <w:b w:val="0"/>
                <w:i/>
                <w:sz w:val="18"/>
              </w:rPr>
              <w:t>Adding revenue growth to the control set</w:t>
            </w:r>
          </w:p>
        </w:tc>
        <w:tc>
          <w:tcPr>
            <w:tcW w:type="dxa" w:w="1100"/>
          </w:tcPr>
          <w:p>
            <w:pPr>
              <w:pStyle w:val="MDPI42tablebody"/>
              <w:keepNext/>
              <w:spacing w:line="240" w:lineRule="auto" w:before="30" w:after="30"/>
              <w:jc w:val="center"/>
            </w:pPr>
            <w:r>
              <w:rPr>
                <w:b w:val="0"/>
                <w:i w:val="0"/>
                <w:sz w:val="18"/>
              </w:rPr>
              <w:t>1.256***</w:t>
            </w:r>
          </w:p>
        </w:tc>
        <w:tc>
          <w:tcPr>
            <w:tcW w:type="dxa" w:w="864"/>
          </w:tcPr>
          <w:p>
            <w:pPr>
              <w:pStyle w:val="MDPI42tablebody"/>
              <w:keepNext/>
              <w:spacing w:line="240" w:lineRule="auto" w:before="30" w:after="30"/>
              <w:jc w:val="center"/>
            </w:pPr>
            <w:r>
              <w:rPr>
                <w:b w:val="0"/>
                <w:i w:val="0"/>
                <w:sz w:val="18"/>
              </w:rPr>
              <w:t>(0.044)</w:t>
            </w:r>
          </w:p>
        </w:tc>
        <w:tc>
          <w:tcPr>
            <w:tcW w:type="dxa" w:w="1571"/>
          </w:tcPr>
          <w:p>
            <w:pPr>
              <w:pStyle w:val="MDPI42tablebody"/>
              <w:keepNext/>
              <w:spacing w:line="240" w:lineRule="auto" w:before="30" w:after="30"/>
              <w:jc w:val="center"/>
            </w:pPr>
            <w:r>
              <w:rPr>
                <w:b w:val="0"/>
                <w:i w:val="0"/>
                <w:sz w:val="18"/>
              </w:rPr>
              <w:t>36,064</w:t>
            </w:r>
          </w:p>
        </w:tc>
        <w:tc>
          <w:tcPr>
            <w:tcW w:type="dxa" w:w="1178"/>
          </w:tcPr>
          <w:p>
            <w:pPr>
              <w:pStyle w:val="MDPI42tablebody"/>
              <w:keepNext/>
              <w:spacing w:line="240" w:lineRule="auto" w:before="30" w:after="30"/>
              <w:jc w:val="center"/>
            </w:pPr>
            <w:r>
              <w:rPr>
                <w:b w:val="0"/>
                <w:i w:val="0"/>
                <w:sz w:val="18"/>
              </w:rPr>
              <w:t>0.058</w:t>
            </w:r>
          </w:p>
        </w:tc>
      </w:tr>
      <w:tr>
        <w:trPr>
          <w:cantSplit/>
        </w:trPr>
        <w:tc>
          <w:tcPr>
            <w:tcW w:type="dxa" w:w="3143"/>
          </w:tcPr>
          <w:p>
            <w:pPr>
              <w:pStyle w:val="MDPI42tablebody"/>
              <w:keepNext/>
              <w:spacing w:line="240" w:lineRule="auto" w:before="30" w:after="30"/>
              <w:jc w:val="left"/>
            </w:pPr>
            <w:r>
              <w:rPr>
                <w:b w:val="0"/>
                <w:i/>
                <w:sz w:val="18"/>
              </w:rPr>
              <w:t>Two-way clustering by firm and year</w:t>
            </w:r>
          </w:p>
        </w:tc>
        <w:tc>
          <w:tcPr>
            <w:tcW w:type="dxa" w:w="1100"/>
          </w:tcPr>
          <w:p>
            <w:pPr>
              <w:pStyle w:val="MDPI42tablebody"/>
              <w:keepNext/>
              <w:spacing w:line="240" w:lineRule="auto" w:before="30" w:after="30"/>
              <w:jc w:val="center"/>
            </w:pPr>
            <w:r>
              <w:rPr>
                <w:b w:val="0"/>
                <w:i w:val="0"/>
                <w:sz w:val="18"/>
              </w:rPr>
              <w:t>1.257***</w:t>
            </w:r>
          </w:p>
        </w:tc>
        <w:tc>
          <w:tcPr>
            <w:tcW w:type="dxa" w:w="864"/>
          </w:tcPr>
          <w:p>
            <w:pPr>
              <w:pStyle w:val="MDPI42tablebody"/>
              <w:keepNext/>
              <w:spacing w:line="240" w:lineRule="auto" w:before="30" w:after="30"/>
              <w:jc w:val="center"/>
            </w:pPr>
            <w:r>
              <w:rPr>
                <w:b w:val="0"/>
                <w:i w:val="0"/>
                <w:sz w:val="18"/>
              </w:rPr>
              <w:t>(0.026)</w:t>
            </w:r>
          </w:p>
        </w:tc>
        <w:tc>
          <w:tcPr>
            <w:tcW w:type="dxa" w:w="1571"/>
          </w:tcPr>
          <w:p>
            <w:pPr>
              <w:pStyle w:val="MDPI42tablebody"/>
              <w:keepNext/>
              <w:spacing w:line="240" w:lineRule="auto" w:before="30" w:after="30"/>
              <w:jc w:val="center"/>
            </w:pPr>
            <w:r>
              <w:rPr>
                <w:b w:val="0"/>
                <w:i w:val="0"/>
                <w:sz w:val="18"/>
              </w:rPr>
              <w:t>36,064</w:t>
            </w:r>
          </w:p>
        </w:tc>
        <w:tc>
          <w:tcPr>
            <w:tcW w:type="dxa" w:w="1178"/>
          </w:tcPr>
          <w:p>
            <w:pPr>
              <w:pStyle w:val="MDPI42tablebody"/>
              <w:keepNext/>
              <w:spacing w:line="240" w:lineRule="auto" w:before="30" w:after="30"/>
              <w:jc w:val="center"/>
            </w:pPr>
            <w:r>
              <w:rPr>
                <w:b w:val="0"/>
                <w:i w:val="0"/>
                <w:sz w:val="18"/>
              </w:rPr>
              <w:t>0.058</w:t>
            </w:r>
          </w:p>
        </w:tc>
      </w:tr>
      <w:tr>
        <w:trPr>
          <w:cantSplit/>
        </w:trPr>
        <w:tc>
          <w:tcPr>
            <w:tcW w:type="dxa" w:w="3143"/>
          </w:tcPr>
          <w:p>
            <w:pPr>
              <w:pStyle w:val="MDPI42tablebody"/>
              <w:spacing w:line="240" w:lineRule="auto" w:before="30" w:after="30"/>
              <w:jc w:val="left"/>
            </w:pPr>
            <w:r>
              <w:rPr>
                <w:b w:val="0"/>
                <w:i/>
                <w:sz w:val="18"/>
              </w:rPr>
              <w:t>Placebo: employees aged 31 to 50</w:t>
            </w:r>
          </w:p>
        </w:tc>
        <w:tc>
          <w:tcPr>
            <w:tcW w:type="dxa" w:w="1100"/>
          </w:tcPr>
          <w:p>
            <w:pPr>
              <w:pStyle w:val="MDPI42tablebody"/>
              <w:spacing w:line="240" w:lineRule="auto" w:before="30" w:after="30"/>
              <w:jc w:val="center"/>
            </w:pPr>
            <w:r>
              <w:rPr>
                <w:b w:val="0"/>
                <w:i w:val="0"/>
                <w:sz w:val="18"/>
              </w:rPr>
              <w:t>0.040</w:t>
            </w:r>
          </w:p>
        </w:tc>
        <w:tc>
          <w:tcPr>
            <w:tcW w:type="dxa" w:w="864"/>
          </w:tcPr>
          <w:p>
            <w:pPr>
              <w:pStyle w:val="MDPI42tablebody"/>
              <w:spacing w:line="240" w:lineRule="auto" w:before="30" w:after="30"/>
              <w:jc w:val="center"/>
            </w:pPr>
            <w:r>
              <w:rPr>
                <w:b w:val="0"/>
                <w:i w:val="0"/>
                <w:sz w:val="18"/>
              </w:rPr>
              <w:t>(0.044)</w:t>
            </w:r>
          </w:p>
        </w:tc>
        <w:tc>
          <w:tcPr>
            <w:tcW w:type="dxa" w:w="1571"/>
          </w:tcPr>
          <w:p>
            <w:pPr>
              <w:pStyle w:val="MDPI42tablebody"/>
              <w:spacing w:line="240" w:lineRule="auto" w:before="30" w:after="30"/>
              <w:jc w:val="center"/>
            </w:pPr>
            <w:r>
              <w:rPr>
                <w:b w:val="0"/>
                <w:i w:val="0"/>
                <w:sz w:val="18"/>
              </w:rPr>
              <w:t>36,064</w:t>
            </w:r>
          </w:p>
        </w:tc>
        <w:tc>
          <w:tcPr>
            <w:tcW w:type="dxa" w:w="1178"/>
          </w:tcPr>
          <w:p>
            <w:pPr>
              <w:pStyle w:val="MDPI42tablebody"/>
              <w:spacing w:line="240" w:lineRule="auto" w:before="30" w:after="30"/>
              <w:jc w:val="center"/>
            </w:pPr>
            <w:r>
              <w:rPr>
                <w:b w:val="0"/>
                <w:i w:val="0"/>
                <w:sz w:val="18"/>
              </w:rPr>
              <w:t>0.003</w:t>
            </w:r>
          </w:p>
        </w:tc>
      </w:tr>
    </w:tbl>
    <w:p>
      <w:pPr>
        <w:pStyle w:val="MDPI43tablefooter"/>
        <w:spacing w:line="240" w:lineRule="auto" w:before="40" w:after="200"/>
        <w:ind w:left="2608" w:firstLine="0"/>
      </w:pPr>
      <w:r>
        <w:rPr>
          <w:sz w:val="16"/>
        </w:rPr>
        <w:t xml:space="preserve">Note: </w:t>
      </w:r>
      <w:r>
        <w:rPr>
          <w:b w:val="0"/>
          <w:i w:val="0"/>
          <w:sz w:val="16"/>
        </w:rPr>
        <w:t>Each row is a separate regression that retains the full control set and the firm and year fixed effects of the benchmark specification. The reported coefficient is that of the interaction between the demand shock and the variety measure named in the first column.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4.8. Moderating Effects</w:t>
      </w:r>
    </w:p>
    <w:p>
      <w:pPr>
        <w:pStyle w:val="MDPI32textnoindent"/>
      </w:pPr>
      <w:r>
        <w:rPr>
          <w:b w:val="0"/>
          <w:i w:val="0"/>
        </w:rPr>
        <w:t>Table 11 reports the triple interactions of Equation (8). Digital capability strengthens the buffer: the coefficient on the triple interaction is +0.109 and significant (p = 0.019), so a firm one standard deviation above the mean of digital capability converts its variety into absorption appreciably more effectively than the average firm. Financial slack does the same, with a coefficient of +0.141 (p = 0.002). Column (3) includes both and the two are essentially unchanged, so they operate independently. H6a and H6b are supported. Variety is a stock of potential regulatory capacity; information systems and liquidity are what convert the stock into a flow of actual adjustment.</w:t>
      </w:r>
    </w:p>
    <w:p>
      <w:pPr>
        <w:pStyle w:val="MDPI41tablecaption"/>
        <w:keepNext/>
        <w:spacing w:after="60"/>
      </w:pPr>
      <w:r>
        <w:rPr>
          <w:b/>
          <w:sz w:val="18"/>
        </w:rPr>
        <w:t xml:space="preserve">Table 11. </w:t>
      </w:r>
      <w:r>
        <w:rPr>
          <w:b w:val="0"/>
          <w:i w:val="0"/>
          <w:sz w:val="18"/>
        </w:rPr>
        <w:t>Moderating effects of digital capability and financial slack.</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43"/>
        <w:gridCol w:w="1571"/>
        <w:gridCol w:w="1571"/>
        <w:gridCol w:w="1571"/>
      </w:tblGrid>
      <w:tr>
        <w:trPr>
          <w:cantSplit/>
          <w:tblHeader/>
        </w:trPr>
        <w:tc>
          <w:tcPr>
            <w:tcW w:type="dxa" w:w="3143"/>
            <w:tcBorders>
              <w:bottom w:val="single" w:sz="8" w:space="0" w:color="auto"/>
            </w:tcBorders>
          </w:tcPr>
          <w:p>
            <w:pPr>
              <w:pStyle w:val="MDPI42tablebody"/>
              <w:keepNext/>
              <w:spacing w:line="240" w:lineRule="auto" w:before="30" w:after="30"/>
              <w:jc w:val="center"/>
            </w:pPr>
            <w:r>
              <w:rPr>
                <w:b/>
                <w:i w:val="0"/>
                <w:sz w:val="18"/>
              </w:rPr>
              <w:t>Variable</w:t>
            </w:r>
          </w:p>
        </w:tc>
        <w:tc>
          <w:tcPr>
            <w:tcW w:type="dxa" w:w="1571"/>
            <w:tcBorders>
              <w:bottom w:val="single" w:sz="8" w:space="0" w:color="auto"/>
            </w:tcBorders>
          </w:tcPr>
          <w:p>
            <w:pPr>
              <w:pStyle w:val="MDPI42tablebody"/>
              <w:keepNext/>
              <w:spacing w:line="240" w:lineRule="auto" w:before="30" w:after="30"/>
              <w:jc w:val="center"/>
            </w:pPr>
            <w:r>
              <w:rPr>
                <w:b/>
                <w:i w:val="0"/>
                <w:sz w:val="18"/>
              </w:rPr>
              <w:t>(1)</w:t>
            </w:r>
          </w:p>
        </w:tc>
        <w:tc>
          <w:tcPr>
            <w:tcW w:type="dxa" w:w="1571"/>
            <w:tcBorders>
              <w:bottom w:val="single" w:sz="8" w:space="0" w:color="auto"/>
            </w:tcBorders>
          </w:tcPr>
          <w:p>
            <w:pPr>
              <w:pStyle w:val="MDPI42tablebody"/>
              <w:keepNext/>
              <w:spacing w:line="240" w:lineRule="auto" w:before="30" w:after="30"/>
              <w:jc w:val="center"/>
            </w:pPr>
            <w:r>
              <w:rPr>
                <w:b/>
                <w:i w:val="0"/>
                <w:sz w:val="18"/>
              </w:rPr>
              <w:t>(2)</w:t>
            </w:r>
          </w:p>
        </w:tc>
        <w:tc>
          <w:tcPr>
            <w:tcW w:type="dxa" w:w="1571"/>
            <w:tcBorders>
              <w:bottom w:val="single" w:sz="8" w:space="0" w:color="auto"/>
            </w:tcBorders>
          </w:tcPr>
          <w:p>
            <w:pPr>
              <w:pStyle w:val="MDPI42tablebody"/>
              <w:keepNext/>
              <w:spacing w:line="240" w:lineRule="auto" w:before="30" w:after="30"/>
              <w:jc w:val="center"/>
            </w:pPr>
            <w:r>
              <w:rPr>
                <w:b/>
                <w:i w:val="0"/>
                <w:sz w:val="18"/>
              </w:rPr>
              <w:t>(3)</w:t>
            </w:r>
          </w:p>
        </w:tc>
      </w:tr>
      <w:tr>
        <w:trPr>
          <w:cantSplit/>
        </w:trPr>
        <w:tc>
          <w:tcPr>
            <w:tcW w:type="dxa" w:w="3143"/>
          </w:tcPr>
          <w:p>
            <w:pPr>
              <w:pStyle w:val="MDPI42tablebody"/>
              <w:keepNext/>
              <w:spacing w:line="240" w:lineRule="auto" w:before="30" w:after="30"/>
              <w:jc w:val="left"/>
            </w:pPr>
            <w:r>
              <w:rPr>
                <w:b w:val="0"/>
                <w:i/>
                <w:sz w:val="18"/>
              </w:rPr>
              <w:t>Shock</w:t>
            </w:r>
          </w:p>
        </w:tc>
        <w:tc>
          <w:tcPr>
            <w:tcW w:type="dxa" w:w="1571"/>
          </w:tcPr>
          <w:p>
            <w:pPr>
              <w:pStyle w:val="MDPI42tablebody"/>
              <w:keepNext/>
              <w:spacing w:line="240" w:lineRule="auto" w:before="30" w:after="30"/>
              <w:jc w:val="center"/>
            </w:pPr>
            <w:r>
              <w:rPr>
                <w:b w:val="0"/>
                <w:i w:val="0"/>
                <w:sz w:val="18"/>
              </w:rPr>
              <w:t>−4.112***</w:t>
            </w:r>
          </w:p>
        </w:tc>
        <w:tc>
          <w:tcPr>
            <w:tcW w:type="dxa" w:w="1571"/>
          </w:tcPr>
          <w:p>
            <w:pPr>
              <w:pStyle w:val="MDPI42tablebody"/>
              <w:keepNext/>
              <w:spacing w:line="240" w:lineRule="auto" w:before="30" w:after="30"/>
              <w:jc w:val="center"/>
            </w:pPr>
            <w:r>
              <w:rPr>
                <w:b w:val="0"/>
                <w:i w:val="0"/>
                <w:sz w:val="18"/>
              </w:rPr>
              <w:t>−4.092***</w:t>
            </w:r>
          </w:p>
        </w:tc>
        <w:tc>
          <w:tcPr>
            <w:tcW w:type="dxa" w:w="1571"/>
          </w:tcPr>
          <w:p>
            <w:pPr>
              <w:pStyle w:val="MDPI42tablebody"/>
              <w:keepNext/>
              <w:spacing w:line="240" w:lineRule="auto" w:before="30" w:after="30"/>
              <w:jc w:val="center"/>
            </w:pPr>
            <w:r>
              <w:rPr>
                <w:b w:val="0"/>
                <w:i w:val="0"/>
                <w:sz w:val="18"/>
              </w:rPr>
              <w:t>−4.109***</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(0.144)</w:t>
            </w:r>
          </w:p>
        </w:tc>
        <w:tc>
          <w:tcPr>
            <w:tcW w:type="dxa" w:w="1571"/>
          </w:tcPr>
          <w:p>
            <w:pPr>
              <w:pStyle w:val="MDPI42tablebody"/>
              <w:keepNext/>
              <w:spacing w:line="240" w:lineRule="auto" w:before="30" w:after="30"/>
              <w:jc w:val="center"/>
            </w:pPr>
            <w:r>
              <w:rPr>
                <w:b w:val="0"/>
                <w:i w:val="0"/>
                <w:sz w:val="18"/>
              </w:rPr>
              <w:t>(0.141)</w:t>
            </w:r>
          </w:p>
        </w:tc>
        <w:tc>
          <w:tcPr>
            <w:tcW w:type="dxa" w:w="1571"/>
          </w:tcPr>
          <w:p>
            <w:pPr>
              <w:pStyle w:val="MDPI42tablebody"/>
              <w:keepNext/>
              <w:spacing w:line="240" w:lineRule="auto" w:before="30" w:after="30"/>
              <w:jc w:val="center"/>
            </w:pPr>
            <w:r>
              <w:rPr>
                <w:b w:val="0"/>
                <w:i w:val="0"/>
                <w:sz w:val="18"/>
              </w:rPr>
              <w:t>(0.144)</w:t>
            </w:r>
          </w:p>
        </w:tc>
      </w:tr>
      <w:tr>
        <w:trPr>
          <w:cantSplit/>
        </w:trPr>
        <w:tc>
          <w:tcPr>
            <w:tcW w:type="dxa" w:w="3143"/>
          </w:tcPr>
          <w:p>
            <w:pPr>
              <w:pStyle w:val="MDPI42tablebody"/>
              <w:keepNext/>
              <w:spacing w:line="240" w:lineRule="auto" w:before="30" w:after="30"/>
              <w:jc w:val="left"/>
            </w:pPr>
            <w:r>
              <w:rPr>
                <w:b w:val="0"/>
                <w:i/>
                <w:sz w:val="18"/>
              </w:rPr>
              <w:t>Variety</w:t>
            </w:r>
          </w:p>
        </w:tc>
        <w:tc>
          <w:tcPr>
            <w:tcW w:type="dxa" w:w="1571"/>
          </w:tcPr>
          <w:p>
            <w:pPr>
              <w:pStyle w:val="MDPI42tablebody"/>
              <w:keepNext/>
              <w:spacing w:line="240" w:lineRule="auto" w:before="30" w:after="30"/>
              <w:jc w:val="center"/>
            </w:pPr>
            <w:r>
              <w:rPr>
                <w:b w:val="0"/>
                <w:i w:val="0"/>
                <w:sz w:val="18"/>
              </w:rPr>
              <w:t>1.999***</w:t>
            </w:r>
          </w:p>
        </w:tc>
        <w:tc>
          <w:tcPr>
            <w:tcW w:type="dxa" w:w="1571"/>
          </w:tcPr>
          <w:p>
            <w:pPr>
              <w:pStyle w:val="MDPI42tablebody"/>
              <w:keepNext/>
              <w:spacing w:line="240" w:lineRule="auto" w:before="30" w:after="30"/>
              <w:jc w:val="center"/>
            </w:pPr>
            <w:r>
              <w:rPr>
                <w:b w:val="0"/>
                <w:i w:val="0"/>
                <w:sz w:val="18"/>
              </w:rPr>
              <w:t>2.012***</w:t>
            </w:r>
          </w:p>
        </w:tc>
        <w:tc>
          <w:tcPr>
            <w:tcW w:type="dxa" w:w="1571"/>
          </w:tcPr>
          <w:p>
            <w:pPr>
              <w:pStyle w:val="MDPI42tablebody"/>
              <w:keepNext/>
              <w:spacing w:line="240" w:lineRule="auto" w:before="30" w:after="30"/>
              <w:jc w:val="center"/>
            </w:pPr>
            <w:r>
              <w:rPr>
                <w:b w:val="0"/>
                <w:i w:val="0"/>
                <w:sz w:val="18"/>
              </w:rPr>
              <w:t>1.997***</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(0.091)</w:t>
            </w:r>
          </w:p>
        </w:tc>
        <w:tc>
          <w:tcPr>
            <w:tcW w:type="dxa" w:w="1571"/>
          </w:tcPr>
          <w:p>
            <w:pPr>
              <w:pStyle w:val="MDPI42tablebody"/>
              <w:keepNext/>
              <w:spacing w:line="240" w:lineRule="auto" w:before="30" w:after="30"/>
              <w:jc w:val="center"/>
            </w:pPr>
            <w:r>
              <w:rPr>
                <w:b w:val="0"/>
                <w:i w:val="0"/>
                <w:sz w:val="18"/>
              </w:rPr>
              <w:t>(0.090)</w:t>
            </w:r>
          </w:p>
        </w:tc>
        <w:tc>
          <w:tcPr>
            <w:tcW w:type="dxa" w:w="1571"/>
          </w:tcPr>
          <w:p>
            <w:pPr>
              <w:pStyle w:val="MDPI42tablebody"/>
              <w:keepNext/>
              <w:spacing w:line="240" w:lineRule="auto" w:before="30" w:after="30"/>
              <w:jc w:val="center"/>
            </w:pPr>
            <w:r>
              <w:rPr>
                <w:b w:val="0"/>
                <w:i w:val="0"/>
                <w:sz w:val="18"/>
              </w:rPr>
              <w:t>(0.091)</w:t>
            </w:r>
          </w:p>
        </w:tc>
      </w:tr>
      <w:tr>
        <w:trPr>
          <w:cantSplit/>
        </w:trPr>
        <w:tc>
          <w:tcPr>
            <w:tcW w:type="dxa" w:w="3143"/>
          </w:tcPr>
          <w:p>
            <w:pPr>
              <w:pStyle w:val="MDPI42tablebody"/>
              <w:keepNext/>
              <w:spacing w:line="240" w:lineRule="auto" w:before="30" w:after="30"/>
              <w:jc w:val="left"/>
            </w:pPr>
            <w:r>
              <w:rPr>
                <w:b w:val="0"/>
                <w:i/>
                <w:sz w:val="18"/>
              </w:rPr>
              <w:t>Shock x Variety</w:t>
            </w:r>
          </w:p>
        </w:tc>
        <w:tc>
          <w:tcPr>
            <w:tcW w:type="dxa" w:w="1571"/>
          </w:tcPr>
          <w:p>
            <w:pPr>
              <w:pStyle w:val="MDPI42tablebody"/>
              <w:keepNext/>
              <w:spacing w:line="240" w:lineRule="auto" w:before="30" w:after="30"/>
              <w:jc w:val="center"/>
            </w:pPr>
            <w:r>
              <w:rPr>
                <w:b w:val="0"/>
                <w:i w:val="0"/>
                <w:sz w:val="18"/>
              </w:rPr>
              <w:t>1.263***</w:t>
            </w:r>
          </w:p>
        </w:tc>
        <w:tc>
          <w:tcPr>
            <w:tcW w:type="dxa" w:w="1571"/>
          </w:tcPr>
          <w:p>
            <w:pPr>
              <w:pStyle w:val="MDPI42tablebody"/>
              <w:keepNext/>
              <w:spacing w:line="240" w:lineRule="auto" w:before="30" w:after="30"/>
              <w:jc w:val="center"/>
            </w:pPr>
            <w:r>
              <w:rPr>
                <w:b w:val="0"/>
                <w:i w:val="0"/>
                <w:sz w:val="18"/>
              </w:rPr>
              <w:t>1.256***</w:t>
            </w:r>
          </w:p>
        </w:tc>
        <w:tc>
          <w:tcPr>
            <w:tcW w:type="dxa" w:w="1571"/>
          </w:tcPr>
          <w:p>
            <w:pPr>
              <w:pStyle w:val="MDPI42tablebody"/>
              <w:keepNext/>
              <w:spacing w:line="240" w:lineRule="auto" w:before="30" w:after="30"/>
              <w:jc w:val="center"/>
            </w:pPr>
            <w:r>
              <w:rPr>
                <w:b w:val="0"/>
                <w:i w:val="0"/>
                <w:sz w:val="18"/>
              </w:rPr>
              <w:t>1.263***</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(0.045)</w:t>
            </w:r>
          </w:p>
        </w:tc>
        <w:tc>
          <w:tcPr>
            <w:tcW w:type="dxa" w:w="1571"/>
          </w:tcPr>
          <w:p>
            <w:pPr>
              <w:pStyle w:val="MDPI42tablebody"/>
              <w:keepNext/>
              <w:spacing w:line="240" w:lineRule="auto" w:before="30" w:after="30"/>
              <w:jc w:val="center"/>
            </w:pPr>
            <w:r>
              <w:rPr>
                <w:b w:val="0"/>
                <w:i w:val="0"/>
                <w:sz w:val="18"/>
              </w:rPr>
              <w:t>(0.044)</w:t>
            </w:r>
          </w:p>
        </w:tc>
        <w:tc>
          <w:tcPr>
            <w:tcW w:type="dxa" w:w="1571"/>
          </w:tcPr>
          <w:p>
            <w:pPr>
              <w:pStyle w:val="MDPI42tablebody"/>
              <w:keepNext/>
              <w:spacing w:line="240" w:lineRule="auto" w:before="30" w:after="30"/>
              <w:jc w:val="center"/>
            </w:pPr>
            <w:r>
              <w:rPr>
                <w:b w:val="0"/>
                <w:i w:val="0"/>
                <w:sz w:val="18"/>
              </w:rPr>
              <w:t>(0.045)</w:t>
            </w:r>
          </w:p>
        </w:tc>
      </w:tr>
      <w:tr>
        <w:trPr>
          <w:cantSplit/>
        </w:trPr>
        <w:tc>
          <w:tcPr>
            <w:tcW w:type="dxa" w:w="3143"/>
          </w:tcPr>
          <w:p>
            <w:pPr>
              <w:pStyle w:val="MDPI42tablebody"/>
              <w:keepNext/>
              <w:spacing w:line="240" w:lineRule="auto" w:before="30" w:after="30"/>
              <w:jc w:val="left"/>
            </w:pPr>
            <w:r>
              <w:rPr>
                <w:b w:val="0"/>
                <w:i/>
                <w:sz w:val="18"/>
              </w:rPr>
              <w:t>Digital</w:t>
            </w:r>
          </w:p>
        </w:tc>
        <w:tc>
          <w:tcPr>
            <w:tcW w:type="dxa" w:w="1571"/>
          </w:tcPr>
          <w:p>
            <w:pPr>
              <w:pStyle w:val="MDPI42tablebody"/>
              <w:keepNext/>
              <w:spacing w:line="240" w:lineRule="auto" w:before="30" w:after="30"/>
              <w:jc w:val="center"/>
            </w:pPr>
            <w:r>
              <w:rPr>
                <w:b w:val="0"/>
                <w:i w:val="0"/>
                <w:sz w:val="18"/>
              </w:rPr>
              <w:t>0.078</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0.077</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(0.182)</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(0.182)</w:t>
            </w:r>
          </w:p>
        </w:tc>
      </w:tr>
      <w:tr>
        <w:trPr>
          <w:cantSplit/>
        </w:trPr>
        <w:tc>
          <w:tcPr>
            <w:tcW w:type="dxa" w:w="3143"/>
          </w:tcPr>
          <w:p>
            <w:pPr>
              <w:pStyle w:val="MDPI42tablebody"/>
              <w:keepNext/>
              <w:spacing w:line="240" w:lineRule="auto" w:before="30" w:after="30"/>
              <w:jc w:val="left"/>
            </w:pPr>
            <w:r>
              <w:rPr>
                <w:b w:val="0"/>
                <w:i/>
                <w:sz w:val="18"/>
              </w:rPr>
              <w:t>Shock x Digital</w:t>
            </w:r>
          </w:p>
        </w:tc>
        <w:tc>
          <w:tcPr>
            <w:tcW w:type="dxa" w:w="1571"/>
          </w:tcPr>
          <w:p>
            <w:pPr>
              <w:pStyle w:val="MDPI42tablebody"/>
              <w:keepNext/>
              <w:spacing w:line="240" w:lineRule="auto" w:before="30" w:after="30"/>
              <w:jc w:val="center"/>
            </w:pPr>
            <w:r>
              <w:rPr>
                <w:b w:val="0"/>
                <w:i w:val="0"/>
                <w:sz w:val="18"/>
              </w:rPr>
              <w:t>−0.208*</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−0.214*</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(0.123)</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(0.123)</w:t>
            </w:r>
          </w:p>
        </w:tc>
      </w:tr>
      <w:tr>
        <w:trPr>
          <w:cantSplit/>
        </w:trPr>
        <w:tc>
          <w:tcPr>
            <w:tcW w:type="dxa" w:w="3143"/>
          </w:tcPr>
          <w:p>
            <w:pPr>
              <w:pStyle w:val="MDPI42tablebody"/>
              <w:keepNext/>
              <w:spacing w:line="240" w:lineRule="auto" w:before="30" w:after="30"/>
              <w:jc w:val="left"/>
            </w:pPr>
            <w:r>
              <w:rPr>
                <w:b w:val="0"/>
                <w:i/>
                <w:sz w:val="18"/>
              </w:rPr>
              <w:t>Variety x Digital</w:t>
            </w:r>
          </w:p>
        </w:tc>
        <w:tc>
          <w:tcPr>
            <w:tcW w:type="dxa" w:w="1571"/>
          </w:tcPr>
          <w:p>
            <w:pPr>
              <w:pStyle w:val="MDPI42tablebody"/>
              <w:keepNext/>
              <w:spacing w:line="240" w:lineRule="auto" w:before="30" w:after="30"/>
              <w:jc w:val="center"/>
            </w:pPr>
            <w:r>
              <w:rPr>
                <w:b w:val="0"/>
                <w:i w:val="0"/>
                <w:sz w:val="18"/>
              </w:rPr>
              <w:t>0.004</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0.002</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(0.059)</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(0.058)</w:t>
            </w:r>
          </w:p>
        </w:tc>
      </w:tr>
      <w:tr>
        <w:trPr>
          <w:cantSplit/>
        </w:trPr>
        <w:tc>
          <w:tcPr>
            <w:tcW w:type="dxa" w:w="3143"/>
          </w:tcPr>
          <w:p>
            <w:pPr>
              <w:pStyle w:val="MDPI42tablebody"/>
              <w:keepNext/>
              <w:spacing w:line="240" w:lineRule="auto" w:before="30" w:after="30"/>
              <w:jc w:val="left"/>
            </w:pPr>
            <w:r>
              <w:rPr>
                <w:b w:val="0"/>
                <w:i/>
                <w:sz w:val="18"/>
              </w:rPr>
              <w:t>Shock x Variety x Digital</w:t>
            </w:r>
          </w:p>
        </w:tc>
        <w:tc>
          <w:tcPr>
            <w:tcW w:type="dxa" w:w="1571"/>
          </w:tcPr>
          <w:p>
            <w:pPr>
              <w:pStyle w:val="MDPI42tablebody"/>
              <w:keepNext/>
              <w:spacing w:line="240" w:lineRule="auto" w:before="30" w:after="30"/>
              <w:jc w:val="center"/>
            </w:pPr>
            <w:r>
              <w:rPr>
                <w:b w:val="0"/>
                <w:i w:val="0"/>
                <w:sz w:val="18"/>
              </w:rPr>
              <w:t>0.104**</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0.109**</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(0.047)</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(0.046)</w:t>
            </w:r>
          </w:p>
        </w:tc>
      </w:tr>
      <w:tr>
        <w:trPr>
          <w:cantSplit/>
        </w:trPr>
        <w:tc>
          <w:tcPr>
            <w:tcW w:type="dxa" w:w="3143"/>
          </w:tcPr>
          <w:p>
            <w:pPr>
              <w:pStyle w:val="MDPI42tablebody"/>
              <w:keepNext/>
              <w:spacing w:line="240" w:lineRule="auto" w:before="30" w:after="30"/>
              <w:jc w:val="left"/>
            </w:pPr>
            <w:r>
              <w:rPr>
                <w:b w:val="0"/>
                <w:i/>
                <w:sz w:val="18"/>
              </w:rPr>
              <w:t>Slack</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−0.009</w:t>
            </w:r>
          </w:p>
        </w:tc>
        <w:tc>
          <w:tcPr>
            <w:tcW w:type="dxa" w:w="1571"/>
          </w:tcPr>
          <w:p>
            <w:pPr>
              <w:pStyle w:val="MDPI42tablebody"/>
              <w:keepNext/>
              <w:spacing w:line="240" w:lineRule="auto" w:before="30" w:after="30"/>
              <w:jc w:val="center"/>
            </w:pPr>
            <w:r>
              <w:rPr>
                <w:b w:val="0"/>
                <w:i w:val="0"/>
                <w:sz w:val="18"/>
              </w:rPr>
              <w:t>−0.004</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(0.219)</w:t>
            </w:r>
          </w:p>
        </w:tc>
        <w:tc>
          <w:tcPr>
            <w:tcW w:type="dxa" w:w="1571"/>
          </w:tcPr>
          <w:p>
            <w:pPr>
              <w:pStyle w:val="MDPI42tablebody"/>
              <w:keepNext/>
              <w:spacing w:line="240" w:lineRule="auto" w:before="30" w:after="30"/>
              <w:jc w:val="center"/>
            </w:pPr>
            <w:r>
              <w:rPr>
                <w:b w:val="0"/>
                <w:i w:val="0"/>
                <w:sz w:val="18"/>
              </w:rPr>
              <w:t>(0.219)</w:t>
            </w:r>
          </w:p>
        </w:tc>
      </w:tr>
      <w:tr>
        <w:trPr>
          <w:cantSplit/>
        </w:trPr>
        <w:tc>
          <w:tcPr>
            <w:tcW w:type="dxa" w:w="3143"/>
          </w:tcPr>
          <w:p>
            <w:pPr>
              <w:pStyle w:val="MDPI42tablebody"/>
              <w:keepNext/>
              <w:spacing w:line="240" w:lineRule="auto" w:before="30" w:after="30"/>
              <w:jc w:val="left"/>
            </w:pPr>
            <w:r>
              <w:rPr>
                <w:b w:val="0"/>
                <w:i/>
                <w:sz w:val="18"/>
              </w:rPr>
              <w:t>Shock x Slack</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−0.204*</w:t>
            </w:r>
          </w:p>
        </w:tc>
        <w:tc>
          <w:tcPr>
            <w:tcW w:type="dxa" w:w="1571"/>
          </w:tcPr>
          <w:p>
            <w:pPr>
              <w:pStyle w:val="MDPI42tablebody"/>
              <w:keepNext/>
              <w:spacing w:line="240" w:lineRule="auto" w:before="30" w:after="30"/>
              <w:jc w:val="center"/>
            </w:pPr>
            <w:r>
              <w:rPr>
                <w:b w:val="0"/>
                <w:i w:val="0"/>
                <w:sz w:val="18"/>
              </w:rPr>
              <w:t>−0.208*</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(0.116)</w:t>
            </w:r>
          </w:p>
        </w:tc>
        <w:tc>
          <w:tcPr>
            <w:tcW w:type="dxa" w:w="1571"/>
          </w:tcPr>
          <w:p>
            <w:pPr>
              <w:pStyle w:val="MDPI42tablebody"/>
              <w:keepNext/>
              <w:spacing w:line="240" w:lineRule="auto" w:before="30" w:after="30"/>
              <w:jc w:val="center"/>
            </w:pPr>
            <w:r>
              <w:rPr>
                <w:b w:val="0"/>
                <w:i w:val="0"/>
                <w:sz w:val="18"/>
              </w:rPr>
              <w:t>(0.116)</w:t>
            </w:r>
          </w:p>
        </w:tc>
      </w:tr>
      <w:tr>
        <w:trPr>
          <w:cantSplit/>
        </w:trPr>
        <w:tc>
          <w:tcPr>
            <w:tcW w:type="dxa" w:w="3143"/>
          </w:tcPr>
          <w:p>
            <w:pPr>
              <w:pStyle w:val="MDPI42tablebody"/>
              <w:keepNext/>
              <w:spacing w:line="240" w:lineRule="auto" w:before="30" w:after="30"/>
              <w:jc w:val="left"/>
            </w:pPr>
            <w:r>
              <w:rPr>
                <w:b w:val="0"/>
                <w:i/>
                <w:sz w:val="18"/>
              </w:rPr>
              <w:t>Variety x Slack</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0.015</w:t>
            </w:r>
          </w:p>
        </w:tc>
        <w:tc>
          <w:tcPr>
            <w:tcW w:type="dxa" w:w="1571"/>
          </w:tcPr>
          <w:p>
            <w:pPr>
              <w:pStyle w:val="MDPI42tablebody"/>
              <w:keepNext/>
              <w:spacing w:line="240" w:lineRule="auto" w:before="30" w:after="30"/>
              <w:jc w:val="center"/>
            </w:pPr>
            <w:r>
              <w:rPr>
                <w:b w:val="0"/>
                <w:i w:val="0"/>
                <w:sz w:val="18"/>
              </w:rPr>
              <w:t>0.013</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(0.079)</w:t>
            </w:r>
          </w:p>
        </w:tc>
        <w:tc>
          <w:tcPr>
            <w:tcW w:type="dxa" w:w="1571"/>
          </w:tcPr>
          <w:p>
            <w:pPr>
              <w:pStyle w:val="MDPI42tablebody"/>
              <w:keepNext/>
              <w:spacing w:line="240" w:lineRule="auto" w:before="30" w:after="30"/>
              <w:jc w:val="center"/>
            </w:pPr>
            <w:r>
              <w:rPr>
                <w:b w:val="0"/>
                <w:i w:val="0"/>
                <w:sz w:val="18"/>
              </w:rPr>
              <w:t>(0.079)</w:t>
            </w:r>
          </w:p>
        </w:tc>
      </w:tr>
      <w:tr>
        <w:trPr>
          <w:cantSplit/>
        </w:trPr>
        <w:tc>
          <w:tcPr>
            <w:tcW w:type="dxa" w:w="3143"/>
          </w:tcPr>
          <w:p>
            <w:pPr>
              <w:pStyle w:val="MDPI42tablebody"/>
              <w:keepNext/>
              <w:spacing w:line="240" w:lineRule="auto" w:before="30" w:after="30"/>
              <w:jc w:val="left"/>
            </w:pPr>
            <w:r>
              <w:rPr>
                <w:b w:val="0"/>
                <w:i/>
                <w:sz w:val="18"/>
              </w:rPr>
              <w:t>Shock x Variety x Slack</w:t>
            </w: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0.139***</w:t>
            </w:r>
          </w:p>
        </w:tc>
        <w:tc>
          <w:tcPr>
            <w:tcW w:type="dxa" w:w="1571"/>
          </w:tcPr>
          <w:p>
            <w:pPr>
              <w:pStyle w:val="MDPI42tablebody"/>
              <w:keepNext/>
              <w:spacing w:line="240" w:lineRule="auto" w:before="30" w:after="30"/>
              <w:jc w:val="center"/>
            </w:pPr>
            <w:r>
              <w:rPr>
                <w:b w:val="0"/>
                <w:i w:val="0"/>
                <w:sz w:val="18"/>
              </w:rPr>
              <w:t>0.141***</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8"/>
              </w:rPr>
              <w:t>(0.046)</w:t>
            </w:r>
          </w:p>
        </w:tc>
        <w:tc>
          <w:tcPr>
            <w:tcW w:type="dxa" w:w="1571"/>
          </w:tcPr>
          <w:p>
            <w:pPr>
              <w:pStyle w:val="MDPI42tablebody"/>
              <w:keepNext/>
              <w:spacing w:line="240" w:lineRule="auto" w:before="30" w:after="30"/>
              <w:jc w:val="center"/>
            </w:pPr>
            <w:r>
              <w:rPr>
                <w:b w:val="0"/>
                <w:i w:val="0"/>
                <w:sz w:val="18"/>
              </w:rPr>
              <w:t>(0.046)</w:t>
            </w:r>
          </w:p>
        </w:tc>
      </w:tr>
      <w:tr>
        <w:trPr>
          <w:cantSplit/>
        </w:trPr>
        <w:tc>
          <w:tcPr>
            <w:tcW w:type="dxa" w:w="3143"/>
          </w:tcPr>
          <w:p>
            <w:pPr>
              <w:pStyle w:val="MDPI42tablebody"/>
              <w:keepNext/>
              <w:spacing w:line="240" w:lineRule="auto" w:before="30" w:after="30"/>
              <w:jc w:val="left"/>
            </w:pPr>
            <w:r>
              <w:rPr>
                <w:b w:val="0"/>
                <w:i/>
                <w:sz w:val="18"/>
              </w:rPr>
              <w:t>Size</w:t>
            </w:r>
          </w:p>
        </w:tc>
        <w:tc>
          <w:tcPr>
            <w:tcW w:type="dxa" w:w="1571"/>
          </w:tcPr>
          <w:p>
            <w:pPr>
              <w:pStyle w:val="MDPI42tablebody"/>
              <w:keepNext/>
              <w:spacing w:line="240" w:lineRule="auto" w:before="30" w:after="30"/>
              <w:jc w:val="center"/>
            </w:pPr>
            <w:r>
              <w:rPr>
                <w:b w:val="0"/>
                <w:i w:val="0"/>
                <w:sz w:val="18"/>
              </w:rPr>
              <w:t>2.713***</w:t>
            </w:r>
          </w:p>
        </w:tc>
        <w:tc>
          <w:tcPr>
            <w:tcW w:type="dxa" w:w="1571"/>
          </w:tcPr>
          <w:p>
            <w:pPr>
              <w:pStyle w:val="MDPI42tablebody"/>
              <w:keepNext/>
              <w:spacing w:line="240" w:lineRule="auto" w:before="30" w:after="30"/>
              <w:jc w:val="center"/>
            </w:pPr>
            <w:r>
              <w:rPr>
                <w:b w:val="0"/>
                <w:i w:val="0"/>
                <w:sz w:val="18"/>
              </w:rPr>
              <w:t>2.717***</w:t>
            </w:r>
          </w:p>
        </w:tc>
        <w:tc>
          <w:tcPr>
            <w:tcW w:type="dxa" w:w="1571"/>
          </w:tcPr>
          <w:p>
            <w:pPr>
              <w:pStyle w:val="MDPI42tablebody"/>
              <w:keepNext/>
              <w:spacing w:line="240" w:lineRule="auto" w:before="30" w:after="30"/>
              <w:jc w:val="center"/>
            </w:pPr>
            <w:r>
              <w:rPr>
                <w:b w:val="0"/>
                <w:i w:val="0"/>
                <w:sz w:val="18"/>
              </w:rPr>
              <w:t>2.723***</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(0.401)</w:t>
            </w:r>
          </w:p>
        </w:tc>
        <w:tc>
          <w:tcPr>
            <w:tcW w:type="dxa" w:w="1571"/>
          </w:tcPr>
          <w:p>
            <w:pPr>
              <w:pStyle w:val="MDPI42tablebody"/>
              <w:keepNext/>
              <w:spacing w:line="240" w:lineRule="auto" w:before="30" w:after="30"/>
              <w:jc w:val="center"/>
            </w:pPr>
            <w:r>
              <w:rPr>
                <w:b w:val="0"/>
                <w:i w:val="0"/>
                <w:sz w:val="18"/>
              </w:rPr>
              <w:t>(0.400)</w:t>
            </w:r>
          </w:p>
        </w:tc>
        <w:tc>
          <w:tcPr>
            <w:tcW w:type="dxa" w:w="1571"/>
          </w:tcPr>
          <w:p>
            <w:pPr>
              <w:pStyle w:val="MDPI42tablebody"/>
              <w:keepNext/>
              <w:spacing w:line="240" w:lineRule="auto" w:before="30" w:after="30"/>
              <w:jc w:val="center"/>
            </w:pPr>
            <w:r>
              <w:rPr>
                <w:b w:val="0"/>
                <w:i w:val="0"/>
                <w:sz w:val="18"/>
              </w:rPr>
              <w:t>(0.401)</w:t>
            </w:r>
          </w:p>
        </w:tc>
      </w:tr>
      <w:tr>
        <w:trPr>
          <w:cantSplit/>
        </w:trPr>
        <w:tc>
          <w:tcPr>
            <w:tcW w:type="dxa" w:w="3143"/>
          </w:tcPr>
          <w:p>
            <w:pPr>
              <w:pStyle w:val="MDPI42tablebody"/>
              <w:keepNext/>
              <w:spacing w:line="240" w:lineRule="auto" w:before="30" w:after="30"/>
              <w:jc w:val="left"/>
            </w:pPr>
            <w:r>
              <w:rPr>
                <w:b w:val="0"/>
                <w:i/>
                <w:sz w:val="18"/>
              </w:rPr>
              <w:t>Lev</w:t>
            </w:r>
          </w:p>
        </w:tc>
        <w:tc>
          <w:tcPr>
            <w:tcW w:type="dxa" w:w="1571"/>
          </w:tcPr>
          <w:p>
            <w:pPr>
              <w:pStyle w:val="MDPI42tablebody"/>
              <w:keepNext/>
              <w:spacing w:line="240" w:lineRule="auto" w:before="30" w:after="30"/>
              <w:jc w:val="center"/>
            </w:pPr>
            <w:r>
              <w:rPr>
                <w:b w:val="0"/>
                <w:i w:val="0"/>
                <w:sz w:val="18"/>
              </w:rPr>
              <w:t>−1.520*</w:t>
            </w:r>
          </w:p>
        </w:tc>
        <w:tc>
          <w:tcPr>
            <w:tcW w:type="dxa" w:w="1571"/>
          </w:tcPr>
          <w:p>
            <w:pPr>
              <w:pStyle w:val="MDPI42tablebody"/>
              <w:keepNext/>
              <w:spacing w:line="240" w:lineRule="auto" w:before="30" w:after="30"/>
              <w:jc w:val="center"/>
            </w:pPr>
            <w:r>
              <w:rPr>
                <w:b w:val="0"/>
                <w:i w:val="0"/>
                <w:sz w:val="18"/>
              </w:rPr>
              <w:t>−1.486*</w:t>
            </w:r>
          </w:p>
        </w:tc>
        <w:tc>
          <w:tcPr>
            <w:tcW w:type="dxa" w:w="1571"/>
          </w:tcPr>
          <w:p>
            <w:pPr>
              <w:pStyle w:val="MDPI42tablebody"/>
              <w:keepNext/>
              <w:spacing w:line="240" w:lineRule="auto" w:before="30" w:after="30"/>
              <w:jc w:val="center"/>
            </w:pPr>
            <w:r>
              <w:rPr>
                <w:b w:val="0"/>
                <w:i w:val="0"/>
                <w:sz w:val="18"/>
              </w:rPr>
              <w:t>−1.505*</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(0.902)</w:t>
            </w:r>
          </w:p>
        </w:tc>
        <w:tc>
          <w:tcPr>
            <w:tcW w:type="dxa" w:w="1571"/>
          </w:tcPr>
          <w:p>
            <w:pPr>
              <w:pStyle w:val="MDPI42tablebody"/>
              <w:keepNext/>
              <w:spacing w:line="240" w:lineRule="auto" w:before="30" w:after="30"/>
              <w:jc w:val="center"/>
            </w:pPr>
            <w:r>
              <w:rPr>
                <w:b w:val="0"/>
                <w:i w:val="0"/>
                <w:sz w:val="18"/>
              </w:rPr>
              <w:t>(0.900)</w:t>
            </w:r>
          </w:p>
        </w:tc>
        <w:tc>
          <w:tcPr>
            <w:tcW w:type="dxa" w:w="1571"/>
          </w:tcPr>
          <w:p>
            <w:pPr>
              <w:pStyle w:val="MDPI42tablebody"/>
              <w:keepNext/>
              <w:spacing w:line="240" w:lineRule="auto" w:before="30" w:after="30"/>
              <w:jc w:val="center"/>
            </w:pPr>
            <w:r>
              <w:rPr>
                <w:b w:val="0"/>
                <w:i w:val="0"/>
                <w:sz w:val="18"/>
              </w:rPr>
              <w:t>(0.901)</w:t>
            </w:r>
          </w:p>
        </w:tc>
      </w:tr>
      <w:tr>
        <w:trPr>
          <w:cantSplit/>
        </w:trPr>
        <w:tc>
          <w:tcPr>
            <w:tcW w:type="dxa" w:w="3143"/>
          </w:tcPr>
          <w:p>
            <w:pPr>
              <w:pStyle w:val="MDPI42tablebody"/>
              <w:keepNext/>
              <w:spacing w:line="240" w:lineRule="auto" w:before="30" w:after="30"/>
              <w:jc w:val="left"/>
            </w:pPr>
            <w:r>
              <w:rPr>
                <w:b w:val="0"/>
                <w:i/>
                <w:sz w:val="18"/>
              </w:rPr>
              <w:t>ROA</w:t>
            </w:r>
          </w:p>
        </w:tc>
        <w:tc>
          <w:tcPr>
            <w:tcW w:type="dxa" w:w="1571"/>
          </w:tcPr>
          <w:p>
            <w:pPr>
              <w:pStyle w:val="MDPI42tablebody"/>
              <w:keepNext/>
              <w:spacing w:line="240" w:lineRule="auto" w:before="30" w:after="30"/>
              <w:jc w:val="center"/>
            </w:pPr>
            <w:r>
              <w:rPr>
                <w:b w:val="0"/>
                <w:i w:val="0"/>
                <w:sz w:val="18"/>
              </w:rPr>
              <w:t>12.962***</w:t>
            </w:r>
          </w:p>
        </w:tc>
        <w:tc>
          <w:tcPr>
            <w:tcW w:type="dxa" w:w="1571"/>
          </w:tcPr>
          <w:p>
            <w:pPr>
              <w:pStyle w:val="MDPI42tablebody"/>
              <w:keepNext/>
              <w:spacing w:line="240" w:lineRule="auto" w:before="30" w:after="30"/>
              <w:jc w:val="center"/>
            </w:pPr>
            <w:r>
              <w:rPr>
                <w:b w:val="0"/>
                <w:i w:val="0"/>
                <w:sz w:val="18"/>
              </w:rPr>
              <w:t>12.962***</w:t>
            </w:r>
          </w:p>
        </w:tc>
        <w:tc>
          <w:tcPr>
            <w:tcW w:type="dxa" w:w="1571"/>
          </w:tcPr>
          <w:p>
            <w:pPr>
              <w:pStyle w:val="MDPI42tablebody"/>
              <w:keepNext/>
              <w:spacing w:line="240" w:lineRule="auto" w:before="30" w:after="30"/>
              <w:jc w:val="center"/>
            </w:pPr>
            <w:r>
              <w:rPr>
                <w:b w:val="0"/>
                <w:i w:val="0"/>
                <w:sz w:val="18"/>
              </w:rPr>
              <w:t>12.982***</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(1.504)</w:t>
            </w:r>
          </w:p>
        </w:tc>
        <w:tc>
          <w:tcPr>
            <w:tcW w:type="dxa" w:w="1571"/>
          </w:tcPr>
          <w:p>
            <w:pPr>
              <w:pStyle w:val="MDPI42tablebody"/>
              <w:keepNext/>
              <w:spacing w:line="240" w:lineRule="auto" w:before="30" w:after="30"/>
              <w:jc w:val="center"/>
            </w:pPr>
            <w:r>
              <w:rPr>
                <w:b w:val="0"/>
                <w:i w:val="0"/>
                <w:sz w:val="18"/>
              </w:rPr>
              <w:t>(1.503)</w:t>
            </w:r>
          </w:p>
        </w:tc>
        <w:tc>
          <w:tcPr>
            <w:tcW w:type="dxa" w:w="1571"/>
          </w:tcPr>
          <w:p>
            <w:pPr>
              <w:pStyle w:val="MDPI42tablebody"/>
              <w:keepNext/>
              <w:spacing w:line="240" w:lineRule="auto" w:before="30" w:after="30"/>
              <w:jc w:val="center"/>
            </w:pPr>
            <w:r>
              <w:rPr>
                <w:b w:val="0"/>
                <w:i w:val="0"/>
                <w:sz w:val="18"/>
              </w:rPr>
              <w:t>(1.504)</w:t>
            </w:r>
          </w:p>
        </w:tc>
      </w:tr>
      <w:tr>
        <w:trPr>
          <w:cantSplit/>
        </w:trPr>
        <w:tc>
          <w:tcPr>
            <w:tcW w:type="dxa" w:w="3143"/>
          </w:tcPr>
          <w:p>
            <w:pPr>
              <w:pStyle w:val="MDPI42tablebody"/>
              <w:keepNext/>
              <w:spacing w:line="240" w:lineRule="auto" w:before="30" w:after="30"/>
              <w:jc w:val="left"/>
            </w:pPr>
            <w:r>
              <w:rPr>
                <w:b w:val="0"/>
                <w:i/>
                <w:sz w:val="18"/>
              </w:rPr>
              <w:t>Cashflow</w:t>
            </w:r>
          </w:p>
        </w:tc>
        <w:tc>
          <w:tcPr>
            <w:tcW w:type="dxa" w:w="1571"/>
          </w:tcPr>
          <w:p>
            <w:pPr>
              <w:pStyle w:val="MDPI42tablebody"/>
              <w:keepNext/>
              <w:spacing w:line="240" w:lineRule="auto" w:before="30" w:after="30"/>
              <w:jc w:val="center"/>
            </w:pPr>
            <w:r>
              <w:rPr>
                <w:b w:val="0"/>
                <w:i w:val="0"/>
                <w:sz w:val="18"/>
              </w:rPr>
              <w:t>0.690</w:t>
            </w:r>
          </w:p>
        </w:tc>
        <w:tc>
          <w:tcPr>
            <w:tcW w:type="dxa" w:w="1571"/>
          </w:tcPr>
          <w:p>
            <w:pPr>
              <w:pStyle w:val="MDPI42tablebody"/>
              <w:keepNext/>
              <w:spacing w:line="240" w:lineRule="auto" w:before="30" w:after="30"/>
              <w:jc w:val="center"/>
            </w:pPr>
            <w:r>
              <w:rPr>
                <w:b w:val="0"/>
                <w:i w:val="0"/>
                <w:sz w:val="18"/>
              </w:rPr>
              <w:t>0.691</w:t>
            </w:r>
          </w:p>
        </w:tc>
        <w:tc>
          <w:tcPr>
            <w:tcW w:type="dxa" w:w="1571"/>
          </w:tcPr>
          <w:p>
            <w:pPr>
              <w:pStyle w:val="MDPI42tablebody"/>
              <w:keepNext/>
              <w:spacing w:line="240" w:lineRule="auto" w:before="30" w:after="30"/>
              <w:jc w:val="center"/>
            </w:pPr>
            <w:r>
              <w:rPr>
                <w:b w:val="0"/>
                <w:i w:val="0"/>
                <w:sz w:val="18"/>
              </w:rPr>
              <w:t>0.678</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(0.688)</w:t>
            </w:r>
          </w:p>
        </w:tc>
        <w:tc>
          <w:tcPr>
            <w:tcW w:type="dxa" w:w="1571"/>
          </w:tcPr>
          <w:p>
            <w:pPr>
              <w:pStyle w:val="MDPI42tablebody"/>
              <w:keepNext/>
              <w:spacing w:line="240" w:lineRule="auto" w:before="30" w:after="30"/>
              <w:jc w:val="center"/>
            </w:pPr>
            <w:r>
              <w:rPr>
                <w:b w:val="0"/>
                <w:i w:val="0"/>
                <w:sz w:val="18"/>
              </w:rPr>
              <w:t>(0.688)</w:t>
            </w:r>
          </w:p>
        </w:tc>
        <w:tc>
          <w:tcPr>
            <w:tcW w:type="dxa" w:w="1571"/>
          </w:tcPr>
          <w:p>
            <w:pPr>
              <w:pStyle w:val="MDPI42tablebody"/>
              <w:keepNext/>
              <w:spacing w:line="240" w:lineRule="auto" w:before="30" w:after="30"/>
              <w:jc w:val="center"/>
            </w:pPr>
            <w:r>
              <w:rPr>
                <w:b w:val="0"/>
                <w:i w:val="0"/>
                <w:sz w:val="18"/>
              </w:rPr>
              <w:t>(0.688)</w:t>
            </w:r>
          </w:p>
        </w:tc>
      </w:tr>
      <w:tr>
        <w:trPr>
          <w:cantSplit/>
        </w:trPr>
        <w:tc>
          <w:tcPr>
            <w:tcW w:type="dxa" w:w="3143"/>
          </w:tcPr>
          <w:p>
            <w:pPr>
              <w:pStyle w:val="MDPI42tablebody"/>
              <w:keepNext/>
              <w:spacing w:line="240" w:lineRule="auto" w:before="30" w:after="30"/>
              <w:jc w:val="left"/>
            </w:pPr>
            <w:r>
              <w:rPr>
                <w:b w:val="0"/>
                <w:i/>
                <w:sz w:val="18"/>
              </w:rPr>
              <w:t>TobinQ</w:t>
            </w:r>
          </w:p>
        </w:tc>
        <w:tc>
          <w:tcPr>
            <w:tcW w:type="dxa" w:w="1571"/>
          </w:tcPr>
          <w:p>
            <w:pPr>
              <w:pStyle w:val="MDPI42tablebody"/>
              <w:keepNext/>
              <w:spacing w:line="240" w:lineRule="auto" w:before="30" w:after="30"/>
              <w:jc w:val="center"/>
            </w:pPr>
            <w:r>
              <w:rPr>
                <w:b w:val="0"/>
                <w:i w:val="0"/>
                <w:sz w:val="18"/>
              </w:rPr>
              <w:t>0.572***</w:t>
            </w:r>
          </w:p>
        </w:tc>
        <w:tc>
          <w:tcPr>
            <w:tcW w:type="dxa" w:w="1571"/>
          </w:tcPr>
          <w:p>
            <w:pPr>
              <w:pStyle w:val="MDPI42tablebody"/>
              <w:keepNext/>
              <w:spacing w:line="240" w:lineRule="auto" w:before="30" w:after="30"/>
              <w:jc w:val="center"/>
            </w:pPr>
            <w:r>
              <w:rPr>
                <w:b w:val="0"/>
                <w:i w:val="0"/>
                <w:sz w:val="18"/>
              </w:rPr>
              <w:t>0.572***</w:t>
            </w:r>
          </w:p>
        </w:tc>
        <w:tc>
          <w:tcPr>
            <w:tcW w:type="dxa" w:w="1571"/>
          </w:tcPr>
          <w:p>
            <w:pPr>
              <w:pStyle w:val="MDPI42tablebody"/>
              <w:keepNext/>
              <w:spacing w:line="240" w:lineRule="auto" w:before="30" w:after="30"/>
              <w:jc w:val="center"/>
            </w:pPr>
            <w:r>
              <w:rPr>
                <w:b w:val="0"/>
                <w:i w:val="0"/>
                <w:sz w:val="18"/>
              </w:rPr>
              <w:t>0.572***</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(0.047)</w:t>
            </w:r>
          </w:p>
        </w:tc>
        <w:tc>
          <w:tcPr>
            <w:tcW w:type="dxa" w:w="1571"/>
          </w:tcPr>
          <w:p>
            <w:pPr>
              <w:pStyle w:val="MDPI42tablebody"/>
              <w:keepNext/>
              <w:spacing w:line="240" w:lineRule="auto" w:before="30" w:after="30"/>
              <w:jc w:val="center"/>
            </w:pPr>
            <w:r>
              <w:rPr>
                <w:b w:val="0"/>
                <w:i w:val="0"/>
                <w:sz w:val="18"/>
              </w:rPr>
              <w:t>(0.047)</w:t>
            </w:r>
          </w:p>
        </w:tc>
        <w:tc>
          <w:tcPr>
            <w:tcW w:type="dxa" w:w="1571"/>
          </w:tcPr>
          <w:p>
            <w:pPr>
              <w:pStyle w:val="MDPI42tablebody"/>
              <w:keepNext/>
              <w:spacing w:line="240" w:lineRule="auto" w:before="30" w:after="30"/>
              <w:jc w:val="center"/>
            </w:pPr>
            <w:r>
              <w:rPr>
                <w:b w:val="0"/>
                <w:i w:val="0"/>
                <w:sz w:val="18"/>
              </w:rPr>
              <w:t>(0.047)</w:t>
            </w:r>
          </w:p>
        </w:tc>
      </w:tr>
      <w:tr>
        <w:trPr>
          <w:cantSplit/>
        </w:trPr>
        <w:tc>
          <w:tcPr>
            <w:tcW w:type="dxa" w:w="3143"/>
          </w:tcPr>
          <w:p>
            <w:pPr>
              <w:pStyle w:val="MDPI42tablebody"/>
              <w:keepNext/>
              <w:spacing w:line="240" w:lineRule="auto" w:before="30" w:after="30"/>
              <w:jc w:val="left"/>
            </w:pPr>
            <w:r>
              <w:rPr>
                <w:b w:val="0"/>
                <w:i/>
                <w:sz w:val="18"/>
              </w:rPr>
              <w:t>Top1</w:t>
            </w:r>
          </w:p>
        </w:tc>
        <w:tc>
          <w:tcPr>
            <w:tcW w:type="dxa" w:w="1571"/>
          </w:tcPr>
          <w:p>
            <w:pPr>
              <w:pStyle w:val="MDPI42tablebody"/>
              <w:keepNext/>
              <w:spacing w:line="240" w:lineRule="auto" w:before="30" w:after="30"/>
              <w:jc w:val="center"/>
            </w:pPr>
            <w:r>
              <w:rPr>
                <w:b w:val="0"/>
                <w:i w:val="0"/>
                <w:sz w:val="18"/>
              </w:rPr>
              <w:t>−4.008*</w:t>
            </w:r>
          </w:p>
        </w:tc>
        <w:tc>
          <w:tcPr>
            <w:tcW w:type="dxa" w:w="1571"/>
          </w:tcPr>
          <w:p>
            <w:pPr>
              <w:pStyle w:val="MDPI42tablebody"/>
              <w:keepNext/>
              <w:spacing w:line="240" w:lineRule="auto" w:before="30" w:after="30"/>
              <w:jc w:val="center"/>
            </w:pPr>
            <w:r>
              <w:rPr>
                <w:b w:val="0"/>
                <w:i w:val="0"/>
                <w:sz w:val="18"/>
              </w:rPr>
              <w:t>−3.889*</w:t>
            </w:r>
          </w:p>
        </w:tc>
        <w:tc>
          <w:tcPr>
            <w:tcW w:type="dxa" w:w="1571"/>
          </w:tcPr>
          <w:p>
            <w:pPr>
              <w:pStyle w:val="MDPI42tablebody"/>
              <w:keepNext/>
              <w:spacing w:line="240" w:lineRule="auto" w:before="30" w:after="30"/>
              <w:jc w:val="center"/>
            </w:pPr>
            <w:r>
              <w:rPr>
                <w:b w:val="0"/>
                <w:i w:val="0"/>
                <w:sz w:val="18"/>
              </w:rPr>
              <w:t>−3.910*</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(2.054)</w:t>
            </w:r>
          </w:p>
        </w:tc>
        <w:tc>
          <w:tcPr>
            <w:tcW w:type="dxa" w:w="1571"/>
          </w:tcPr>
          <w:p>
            <w:pPr>
              <w:pStyle w:val="MDPI42tablebody"/>
              <w:keepNext/>
              <w:spacing w:line="240" w:lineRule="auto" w:before="30" w:after="30"/>
              <w:jc w:val="center"/>
            </w:pPr>
            <w:r>
              <w:rPr>
                <w:b w:val="0"/>
                <w:i w:val="0"/>
                <w:sz w:val="18"/>
              </w:rPr>
              <w:t>(2.052)</w:t>
            </w:r>
          </w:p>
        </w:tc>
        <w:tc>
          <w:tcPr>
            <w:tcW w:type="dxa" w:w="1571"/>
          </w:tcPr>
          <w:p>
            <w:pPr>
              <w:pStyle w:val="MDPI42tablebody"/>
              <w:keepNext/>
              <w:spacing w:line="240" w:lineRule="auto" w:before="30" w:after="30"/>
              <w:jc w:val="center"/>
            </w:pPr>
            <w:r>
              <w:rPr>
                <w:b w:val="0"/>
                <w:i w:val="0"/>
                <w:sz w:val="18"/>
              </w:rPr>
              <w:t>(2.053)</w:t>
            </w:r>
          </w:p>
        </w:tc>
      </w:tr>
      <w:tr>
        <w:trPr>
          <w:cantSplit/>
        </w:trPr>
        <w:tc>
          <w:tcPr>
            <w:tcW w:type="dxa" w:w="3143"/>
          </w:tcPr>
          <w:p>
            <w:pPr>
              <w:pStyle w:val="MDPI42tablebody"/>
              <w:keepNext/>
              <w:spacing w:line="240" w:lineRule="auto" w:before="30" w:after="30"/>
              <w:jc w:val="left"/>
            </w:pPr>
            <w:r>
              <w:rPr>
                <w:b w:val="0"/>
                <w:i/>
                <w:sz w:val="18"/>
              </w:rPr>
              <w:t>Indep</w:t>
            </w:r>
          </w:p>
        </w:tc>
        <w:tc>
          <w:tcPr>
            <w:tcW w:type="dxa" w:w="1571"/>
          </w:tcPr>
          <w:p>
            <w:pPr>
              <w:pStyle w:val="MDPI42tablebody"/>
              <w:keepNext/>
              <w:spacing w:line="240" w:lineRule="auto" w:before="30" w:after="30"/>
              <w:jc w:val="center"/>
            </w:pPr>
            <w:r>
              <w:rPr>
                <w:b w:val="0"/>
                <w:i w:val="0"/>
                <w:sz w:val="18"/>
              </w:rPr>
              <w:t>0.393</w:t>
            </w:r>
          </w:p>
        </w:tc>
        <w:tc>
          <w:tcPr>
            <w:tcW w:type="dxa" w:w="1571"/>
          </w:tcPr>
          <w:p>
            <w:pPr>
              <w:pStyle w:val="MDPI42tablebody"/>
              <w:keepNext/>
              <w:spacing w:line="240" w:lineRule="auto" w:before="30" w:after="30"/>
              <w:jc w:val="center"/>
            </w:pPr>
            <w:r>
              <w:rPr>
                <w:b w:val="0"/>
                <w:i w:val="0"/>
                <w:sz w:val="18"/>
              </w:rPr>
              <w:t>0.460</w:t>
            </w:r>
          </w:p>
        </w:tc>
        <w:tc>
          <w:tcPr>
            <w:tcW w:type="dxa" w:w="1571"/>
          </w:tcPr>
          <w:p>
            <w:pPr>
              <w:pStyle w:val="MDPI42tablebody"/>
              <w:keepNext/>
              <w:spacing w:line="240" w:lineRule="auto" w:before="30" w:after="30"/>
              <w:jc w:val="center"/>
            </w:pPr>
            <w:r>
              <w:rPr>
                <w:b w:val="0"/>
                <w:i w:val="0"/>
                <w:sz w:val="18"/>
              </w:rPr>
              <w:t>0.445</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(2.880)</w:t>
            </w:r>
          </w:p>
        </w:tc>
        <w:tc>
          <w:tcPr>
            <w:tcW w:type="dxa" w:w="1571"/>
          </w:tcPr>
          <w:p>
            <w:pPr>
              <w:pStyle w:val="MDPI42tablebody"/>
              <w:keepNext/>
              <w:spacing w:line="240" w:lineRule="auto" w:before="30" w:after="30"/>
              <w:jc w:val="center"/>
            </w:pPr>
            <w:r>
              <w:rPr>
                <w:b w:val="0"/>
                <w:i w:val="0"/>
                <w:sz w:val="18"/>
              </w:rPr>
              <w:t>(2.879)</w:t>
            </w:r>
          </w:p>
        </w:tc>
        <w:tc>
          <w:tcPr>
            <w:tcW w:type="dxa" w:w="1571"/>
          </w:tcPr>
          <w:p>
            <w:pPr>
              <w:pStyle w:val="MDPI42tablebody"/>
              <w:keepNext/>
              <w:spacing w:line="240" w:lineRule="auto" w:before="30" w:after="30"/>
              <w:jc w:val="center"/>
            </w:pPr>
            <w:r>
              <w:rPr>
                <w:b w:val="0"/>
                <w:i w:val="0"/>
                <w:sz w:val="18"/>
              </w:rPr>
              <w:t>(2.880)</w:t>
            </w:r>
          </w:p>
        </w:tc>
      </w:tr>
      <w:tr>
        <w:trPr>
          <w:cantSplit/>
        </w:trPr>
        <w:tc>
          <w:tcPr>
            <w:tcW w:type="dxa" w:w="3143"/>
          </w:tcPr>
          <w:p>
            <w:pPr>
              <w:pStyle w:val="MDPI42tablebody"/>
              <w:keepNext/>
              <w:spacing w:line="240" w:lineRule="auto" w:before="30" w:after="30"/>
              <w:jc w:val="left"/>
            </w:pPr>
            <w:r>
              <w:rPr>
                <w:b w:val="0"/>
                <w:i/>
                <w:sz w:val="18"/>
              </w:rPr>
              <w:t>Dual</w:t>
            </w:r>
          </w:p>
        </w:tc>
        <w:tc>
          <w:tcPr>
            <w:tcW w:type="dxa" w:w="1571"/>
          </w:tcPr>
          <w:p>
            <w:pPr>
              <w:pStyle w:val="MDPI42tablebody"/>
              <w:keepNext/>
              <w:spacing w:line="240" w:lineRule="auto" w:before="30" w:after="30"/>
              <w:jc w:val="center"/>
            </w:pPr>
            <w:r>
              <w:rPr>
                <w:b w:val="0"/>
                <w:i w:val="0"/>
                <w:sz w:val="18"/>
              </w:rPr>
              <w:t>−0.176</w:t>
            </w:r>
          </w:p>
        </w:tc>
        <w:tc>
          <w:tcPr>
            <w:tcW w:type="dxa" w:w="1571"/>
          </w:tcPr>
          <w:p>
            <w:pPr>
              <w:pStyle w:val="MDPI42tablebody"/>
              <w:keepNext/>
              <w:spacing w:line="240" w:lineRule="auto" w:before="30" w:after="30"/>
              <w:jc w:val="center"/>
            </w:pPr>
            <w:r>
              <w:rPr>
                <w:b w:val="0"/>
                <w:i w:val="0"/>
                <w:sz w:val="18"/>
              </w:rPr>
              <w:t>−0.176</w:t>
            </w:r>
          </w:p>
        </w:tc>
        <w:tc>
          <w:tcPr>
            <w:tcW w:type="dxa" w:w="1571"/>
          </w:tcPr>
          <w:p>
            <w:pPr>
              <w:pStyle w:val="MDPI42tablebody"/>
              <w:keepNext/>
              <w:spacing w:line="240" w:lineRule="auto" w:before="30" w:after="30"/>
              <w:jc w:val="center"/>
            </w:pPr>
            <w:r>
              <w:rPr>
                <w:b w:val="0"/>
                <w:i w:val="0"/>
                <w:sz w:val="18"/>
              </w:rPr>
              <w:t>−0.173</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(0.150)</w:t>
            </w:r>
          </w:p>
        </w:tc>
        <w:tc>
          <w:tcPr>
            <w:tcW w:type="dxa" w:w="1571"/>
          </w:tcPr>
          <w:p>
            <w:pPr>
              <w:pStyle w:val="MDPI42tablebody"/>
              <w:keepNext/>
              <w:spacing w:line="240" w:lineRule="auto" w:before="30" w:after="30"/>
              <w:jc w:val="center"/>
            </w:pPr>
            <w:r>
              <w:rPr>
                <w:b w:val="0"/>
                <w:i w:val="0"/>
                <w:sz w:val="18"/>
              </w:rPr>
              <w:t>(0.150)</w:t>
            </w:r>
          </w:p>
        </w:tc>
        <w:tc>
          <w:tcPr>
            <w:tcW w:type="dxa" w:w="1571"/>
          </w:tcPr>
          <w:p>
            <w:pPr>
              <w:pStyle w:val="MDPI42tablebody"/>
              <w:keepNext/>
              <w:spacing w:line="240" w:lineRule="auto" w:before="30" w:after="30"/>
              <w:jc w:val="center"/>
            </w:pPr>
            <w:r>
              <w:rPr>
                <w:b w:val="0"/>
                <w:i w:val="0"/>
                <w:sz w:val="18"/>
              </w:rPr>
              <w:t>(0.150)</w:t>
            </w:r>
          </w:p>
        </w:tc>
      </w:tr>
      <w:tr>
        <w:trPr>
          <w:cantSplit/>
        </w:trPr>
        <w:tc>
          <w:tcPr>
            <w:tcW w:type="dxa" w:w="3143"/>
          </w:tcPr>
          <w:p>
            <w:pPr>
              <w:pStyle w:val="MDPI42tablebody"/>
              <w:keepNext/>
              <w:spacing w:line="240" w:lineRule="auto" w:before="30" w:after="30"/>
              <w:jc w:val="left"/>
            </w:pPr>
            <w:r>
              <w:rPr>
                <w:b w:val="0"/>
                <w:i/>
                <w:sz w:val="18"/>
              </w:rPr>
              <w:t>Board</w:t>
            </w:r>
          </w:p>
        </w:tc>
        <w:tc>
          <w:tcPr>
            <w:tcW w:type="dxa" w:w="1571"/>
          </w:tcPr>
          <w:p>
            <w:pPr>
              <w:pStyle w:val="MDPI42tablebody"/>
              <w:keepNext/>
              <w:spacing w:line="240" w:lineRule="auto" w:before="30" w:after="30"/>
              <w:jc w:val="center"/>
            </w:pPr>
            <w:r>
              <w:rPr>
                <w:b w:val="0"/>
                <w:i w:val="0"/>
                <w:sz w:val="18"/>
              </w:rPr>
              <w:t>0.065</w:t>
            </w:r>
          </w:p>
        </w:tc>
        <w:tc>
          <w:tcPr>
            <w:tcW w:type="dxa" w:w="1571"/>
          </w:tcPr>
          <w:p>
            <w:pPr>
              <w:pStyle w:val="MDPI42tablebody"/>
              <w:keepNext/>
              <w:spacing w:line="240" w:lineRule="auto" w:before="30" w:after="30"/>
              <w:jc w:val="center"/>
            </w:pPr>
            <w:r>
              <w:rPr>
                <w:b w:val="0"/>
                <w:i w:val="0"/>
                <w:sz w:val="18"/>
              </w:rPr>
              <w:t>0.015</w:t>
            </w:r>
          </w:p>
        </w:tc>
        <w:tc>
          <w:tcPr>
            <w:tcW w:type="dxa" w:w="1571"/>
          </w:tcPr>
          <w:p>
            <w:pPr>
              <w:pStyle w:val="MDPI42tablebody"/>
              <w:keepNext/>
              <w:spacing w:line="240" w:lineRule="auto" w:before="30" w:after="30"/>
              <w:jc w:val="center"/>
            </w:pPr>
            <w:r>
              <w:rPr>
                <w:b w:val="0"/>
                <w:i w:val="0"/>
                <w:sz w:val="18"/>
              </w:rPr>
              <w:t>0.020</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(0.912)</w:t>
            </w:r>
          </w:p>
        </w:tc>
        <w:tc>
          <w:tcPr>
            <w:tcW w:type="dxa" w:w="1571"/>
          </w:tcPr>
          <w:p>
            <w:pPr>
              <w:pStyle w:val="MDPI42tablebody"/>
              <w:keepNext/>
              <w:spacing w:line="240" w:lineRule="auto" w:before="30" w:after="30"/>
              <w:jc w:val="center"/>
            </w:pPr>
            <w:r>
              <w:rPr>
                <w:b w:val="0"/>
                <w:i w:val="0"/>
                <w:sz w:val="18"/>
              </w:rPr>
              <w:t>(0.912)</w:t>
            </w:r>
          </w:p>
        </w:tc>
        <w:tc>
          <w:tcPr>
            <w:tcW w:type="dxa" w:w="1571"/>
          </w:tcPr>
          <w:p>
            <w:pPr>
              <w:pStyle w:val="MDPI42tablebody"/>
              <w:keepNext/>
              <w:spacing w:line="240" w:lineRule="auto" w:before="30" w:after="30"/>
              <w:jc w:val="center"/>
            </w:pPr>
            <w:r>
              <w:rPr>
                <w:b w:val="0"/>
                <w:i w:val="0"/>
                <w:sz w:val="18"/>
              </w:rPr>
              <w:t>(0.912)</w:t>
            </w:r>
          </w:p>
        </w:tc>
      </w:tr>
      <w:tr>
        <w:trPr>
          <w:cantSplit/>
        </w:trPr>
        <w:tc>
          <w:tcPr>
            <w:tcW w:type="dxa" w:w="3143"/>
          </w:tcPr>
          <w:p>
            <w:pPr>
              <w:pStyle w:val="MDPI42tablebody"/>
              <w:keepNext/>
              <w:spacing w:line="240" w:lineRule="auto" w:before="30" w:after="30"/>
              <w:jc w:val="left"/>
            </w:pPr>
            <w:r>
              <w:rPr>
                <w:b w:val="0"/>
                <w:i/>
                <w:sz w:val="18"/>
              </w:rPr>
              <w:t>CapInt</w:t>
            </w:r>
          </w:p>
        </w:tc>
        <w:tc>
          <w:tcPr>
            <w:tcW w:type="dxa" w:w="1571"/>
          </w:tcPr>
          <w:p>
            <w:pPr>
              <w:pStyle w:val="MDPI42tablebody"/>
              <w:keepNext/>
              <w:spacing w:line="240" w:lineRule="auto" w:before="30" w:after="30"/>
              <w:jc w:val="center"/>
            </w:pPr>
            <w:r>
              <w:rPr>
                <w:b w:val="0"/>
                <w:i w:val="0"/>
                <w:sz w:val="18"/>
              </w:rPr>
              <w:t>−0.681*</w:t>
            </w:r>
          </w:p>
        </w:tc>
        <w:tc>
          <w:tcPr>
            <w:tcW w:type="dxa" w:w="1571"/>
          </w:tcPr>
          <w:p>
            <w:pPr>
              <w:pStyle w:val="MDPI42tablebody"/>
              <w:keepNext/>
              <w:spacing w:line="240" w:lineRule="auto" w:before="30" w:after="30"/>
              <w:jc w:val="center"/>
            </w:pPr>
            <w:r>
              <w:rPr>
                <w:b w:val="0"/>
                <w:i w:val="0"/>
                <w:sz w:val="18"/>
              </w:rPr>
              <w:t>−0.701*</w:t>
            </w:r>
          </w:p>
        </w:tc>
        <w:tc>
          <w:tcPr>
            <w:tcW w:type="dxa" w:w="1571"/>
          </w:tcPr>
          <w:p>
            <w:pPr>
              <w:pStyle w:val="MDPI42tablebody"/>
              <w:keepNext/>
              <w:spacing w:line="240" w:lineRule="auto" w:before="30" w:after="30"/>
              <w:jc w:val="center"/>
            </w:pPr>
            <w:r>
              <w:rPr>
                <w:b w:val="0"/>
                <w:i w:val="0"/>
                <w:sz w:val="18"/>
              </w:rPr>
              <w:t>−0.697*</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(0.405)</w:t>
            </w:r>
          </w:p>
        </w:tc>
        <w:tc>
          <w:tcPr>
            <w:tcW w:type="dxa" w:w="1571"/>
          </w:tcPr>
          <w:p>
            <w:pPr>
              <w:pStyle w:val="MDPI42tablebody"/>
              <w:keepNext/>
              <w:spacing w:line="240" w:lineRule="auto" w:before="30" w:after="30"/>
              <w:jc w:val="center"/>
            </w:pPr>
            <w:r>
              <w:rPr>
                <w:b w:val="0"/>
                <w:i w:val="0"/>
                <w:sz w:val="18"/>
              </w:rPr>
              <w:t>(0.405)</w:t>
            </w:r>
          </w:p>
        </w:tc>
        <w:tc>
          <w:tcPr>
            <w:tcW w:type="dxa" w:w="1571"/>
          </w:tcPr>
          <w:p>
            <w:pPr>
              <w:pStyle w:val="MDPI42tablebody"/>
              <w:keepNext/>
              <w:spacing w:line="240" w:lineRule="auto" w:before="30" w:after="30"/>
              <w:jc w:val="center"/>
            </w:pPr>
            <w:r>
              <w:rPr>
                <w:b w:val="0"/>
                <w:i w:val="0"/>
                <w:sz w:val="18"/>
              </w:rPr>
              <w:t>(0.405)</w:t>
            </w:r>
          </w:p>
        </w:tc>
      </w:tr>
      <w:tr>
        <w:trPr>
          <w:cantSplit/>
        </w:trPr>
        <w:tc>
          <w:tcPr>
            <w:tcW w:type="dxa" w:w="3143"/>
          </w:tcPr>
          <w:p>
            <w:pPr>
              <w:pStyle w:val="MDPI42tablebody"/>
              <w:keepNext/>
              <w:spacing w:line="240" w:lineRule="auto" w:before="30" w:after="30"/>
              <w:jc w:val="left"/>
            </w:pPr>
            <w:r>
              <w:rPr>
                <w:b w:val="0"/>
                <w:i/>
                <w:sz w:val="18"/>
              </w:rPr>
              <w:t>Emp</w:t>
            </w:r>
          </w:p>
        </w:tc>
        <w:tc>
          <w:tcPr>
            <w:tcW w:type="dxa" w:w="1571"/>
          </w:tcPr>
          <w:p>
            <w:pPr>
              <w:pStyle w:val="MDPI42tablebody"/>
              <w:keepNext/>
              <w:spacing w:line="240" w:lineRule="auto" w:before="30" w:after="30"/>
              <w:jc w:val="center"/>
            </w:pPr>
            <w:r>
              <w:rPr>
                <w:b w:val="0"/>
                <w:i w:val="0"/>
                <w:sz w:val="18"/>
              </w:rPr>
              <w:t>0.011</w:t>
            </w:r>
          </w:p>
        </w:tc>
        <w:tc>
          <w:tcPr>
            <w:tcW w:type="dxa" w:w="1571"/>
          </w:tcPr>
          <w:p>
            <w:pPr>
              <w:pStyle w:val="MDPI42tablebody"/>
              <w:keepNext/>
              <w:spacing w:line="240" w:lineRule="auto" w:before="30" w:after="30"/>
              <w:jc w:val="center"/>
            </w:pPr>
            <w:r>
              <w:rPr>
                <w:b w:val="0"/>
                <w:i w:val="0"/>
                <w:sz w:val="18"/>
              </w:rPr>
              <w:t>0.008</w:t>
            </w:r>
          </w:p>
        </w:tc>
        <w:tc>
          <w:tcPr>
            <w:tcW w:type="dxa" w:w="1571"/>
          </w:tcPr>
          <w:p>
            <w:pPr>
              <w:pStyle w:val="MDPI42tablebody"/>
              <w:keepNext/>
              <w:spacing w:line="240" w:lineRule="auto" w:before="30" w:after="30"/>
              <w:jc w:val="center"/>
            </w:pPr>
            <w:r>
              <w:rPr>
                <w:b w:val="0"/>
                <w:i w:val="0"/>
                <w:sz w:val="18"/>
              </w:rPr>
              <w:t>0.010</w:t>
            </w:r>
          </w:p>
        </w:tc>
      </w:tr>
      <w:tr>
        <w:trPr>
          <w:cantSplit/>
        </w:trPr>
        <w:tc>
          <w:tcPr>
            <w:tcW w:type="dxa" w:w="3143"/>
          </w:tcPr>
          <w:p>
            <w:pPr>
              <w:pStyle w:val="MDPI42tablebody"/>
              <w:keepNext/>
              <w:spacing w:line="240" w:lineRule="auto" w:before="30" w:after="30"/>
              <w:jc w:val="left"/>
            </w:pPr>
          </w:p>
        </w:tc>
        <w:tc>
          <w:tcPr>
            <w:tcW w:type="dxa" w:w="1571"/>
          </w:tcPr>
          <w:p>
            <w:pPr>
              <w:pStyle w:val="MDPI42tablebody"/>
              <w:keepNext/>
              <w:spacing w:line="240" w:lineRule="auto" w:before="30" w:after="30"/>
              <w:jc w:val="center"/>
            </w:pPr>
            <w:r>
              <w:rPr>
                <w:b w:val="0"/>
                <w:i w:val="0"/>
                <w:sz w:val="18"/>
              </w:rPr>
              <w:t>(0.456)</w:t>
            </w:r>
          </w:p>
        </w:tc>
        <w:tc>
          <w:tcPr>
            <w:tcW w:type="dxa" w:w="1571"/>
          </w:tcPr>
          <w:p>
            <w:pPr>
              <w:pStyle w:val="MDPI42tablebody"/>
              <w:keepNext/>
              <w:spacing w:line="240" w:lineRule="auto" w:before="30" w:after="30"/>
              <w:jc w:val="center"/>
            </w:pPr>
            <w:r>
              <w:rPr>
                <w:b w:val="0"/>
                <w:i w:val="0"/>
                <w:sz w:val="18"/>
              </w:rPr>
              <w:t>(0.456)</w:t>
            </w:r>
          </w:p>
        </w:tc>
        <w:tc>
          <w:tcPr>
            <w:tcW w:type="dxa" w:w="1571"/>
          </w:tcPr>
          <w:p>
            <w:pPr>
              <w:pStyle w:val="MDPI42tablebody"/>
              <w:keepNext/>
              <w:spacing w:line="240" w:lineRule="auto" w:before="30" w:after="30"/>
              <w:jc w:val="center"/>
            </w:pPr>
            <w:r>
              <w:rPr>
                <w:b w:val="0"/>
                <w:i w:val="0"/>
                <w:sz w:val="18"/>
              </w:rPr>
              <w:t>(0.456)</w:t>
            </w:r>
          </w:p>
        </w:tc>
      </w:tr>
      <w:tr>
        <w:trPr>
          <w:cantSplit/>
        </w:trPr>
        <w:tc>
          <w:tcPr>
            <w:tcW w:type="dxa" w:w="3143"/>
          </w:tcPr>
          <w:p>
            <w:pPr>
              <w:pStyle w:val="MDPI42tablebody"/>
              <w:keepNext/>
              <w:spacing w:line="240" w:lineRule="auto" w:before="30" w:after="30"/>
              <w:jc w:val="left"/>
            </w:pPr>
            <w:r>
              <w:rPr>
                <w:b w:val="0"/>
                <w:i/>
                <w:sz w:val="18"/>
              </w:rPr>
              <w:t>Year FE</w:t>
            </w:r>
          </w:p>
        </w:tc>
        <w:tc>
          <w:tcPr>
            <w:tcW w:type="dxa" w:w="1571"/>
          </w:tcPr>
          <w:p>
            <w:pPr>
              <w:pStyle w:val="MDPI42tablebody"/>
              <w:keepNext/>
              <w:spacing w:line="240" w:lineRule="auto" w:before="30" w:after="30"/>
              <w:jc w:val="center"/>
            </w:pPr>
            <w:r>
              <w:rPr>
                <w:b w:val="0"/>
                <w:i w:val="0"/>
                <w:sz w:val="18"/>
              </w:rPr>
              <w:t>YES</w:t>
            </w:r>
          </w:p>
        </w:tc>
        <w:tc>
          <w:tcPr>
            <w:tcW w:type="dxa" w:w="1571"/>
          </w:tcPr>
          <w:p>
            <w:pPr>
              <w:pStyle w:val="MDPI42tablebody"/>
              <w:keepNext/>
              <w:spacing w:line="240" w:lineRule="auto" w:before="30" w:after="30"/>
              <w:jc w:val="center"/>
            </w:pPr>
            <w:r>
              <w:rPr>
                <w:b w:val="0"/>
                <w:i w:val="0"/>
                <w:sz w:val="18"/>
              </w:rPr>
              <w:t>YES</w:t>
            </w:r>
          </w:p>
        </w:tc>
        <w:tc>
          <w:tcPr>
            <w:tcW w:type="dxa" w:w="1571"/>
          </w:tcPr>
          <w:p>
            <w:pPr>
              <w:pStyle w:val="MDPI42tablebody"/>
              <w:keepNext/>
              <w:spacing w:line="240" w:lineRule="auto" w:before="30" w:after="30"/>
              <w:jc w:val="center"/>
            </w:pPr>
            <w:r>
              <w:rPr>
                <w:b w:val="0"/>
                <w:i w:val="0"/>
                <w:sz w:val="18"/>
              </w:rPr>
              <w:t>YES</w:t>
            </w:r>
          </w:p>
        </w:tc>
      </w:tr>
      <w:tr>
        <w:trPr>
          <w:cantSplit/>
        </w:trPr>
        <w:tc>
          <w:tcPr>
            <w:tcW w:type="dxa" w:w="3143"/>
          </w:tcPr>
          <w:p>
            <w:pPr>
              <w:pStyle w:val="MDPI42tablebody"/>
              <w:keepNext/>
              <w:spacing w:line="240" w:lineRule="auto" w:before="30" w:after="30"/>
              <w:jc w:val="left"/>
            </w:pPr>
            <w:r>
              <w:rPr>
                <w:b w:val="0"/>
                <w:i/>
                <w:sz w:val="18"/>
              </w:rPr>
              <w:t>Firm FE</w:t>
            </w:r>
          </w:p>
        </w:tc>
        <w:tc>
          <w:tcPr>
            <w:tcW w:type="dxa" w:w="1571"/>
          </w:tcPr>
          <w:p>
            <w:pPr>
              <w:pStyle w:val="MDPI42tablebody"/>
              <w:keepNext/>
              <w:spacing w:line="240" w:lineRule="auto" w:before="30" w:after="30"/>
              <w:jc w:val="center"/>
            </w:pPr>
            <w:r>
              <w:rPr>
                <w:b w:val="0"/>
                <w:i w:val="0"/>
                <w:sz w:val="18"/>
              </w:rPr>
              <w:t>YES</w:t>
            </w:r>
          </w:p>
        </w:tc>
        <w:tc>
          <w:tcPr>
            <w:tcW w:type="dxa" w:w="1571"/>
          </w:tcPr>
          <w:p>
            <w:pPr>
              <w:pStyle w:val="MDPI42tablebody"/>
              <w:keepNext/>
              <w:spacing w:line="240" w:lineRule="auto" w:before="30" w:after="30"/>
              <w:jc w:val="center"/>
            </w:pPr>
            <w:r>
              <w:rPr>
                <w:b w:val="0"/>
                <w:i w:val="0"/>
                <w:sz w:val="18"/>
              </w:rPr>
              <w:t>YES</w:t>
            </w:r>
          </w:p>
        </w:tc>
        <w:tc>
          <w:tcPr>
            <w:tcW w:type="dxa" w:w="1571"/>
          </w:tcPr>
          <w:p>
            <w:pPr>
              <w:pStyle w:val="MDPI42tablebody"/>
              <w:keepNext/>
              <w:spacing w:line="240" w:lineRule="auto" w:before="30" w:after="30"/>
              <w:jc w:val="center"/>
            </w:pPr>
            <w:r>
              <w:rPr>
                <w:b w:val="0"/>
                <w:i w:val="0"/>
                <w:sz w:val="18"/>
              </w:rPr>
              <w:t>YES</w:t>
            </w:r>
          </w:p>
        </w:tc>
      </w:tr>
      <w:tr>
        <w:trPr>
          <w:cantSplit/>
        </w:trPr>
        <w:tc>
          <w:tcPr>
            <w:tcW w:type="dxa" w:w="3143"/>
          </w:tcPr>
          <w:p>
            <w:pPr>
              <w:pStyle w:val="MDPI42tablebody"/>
              <w:keepNext/>
              <w:spacing w:line="240" w:lineRule="auto" w:before="30" w:after="30"/>
              <w:jc w:val="left"/>
            </w:pPr>
            <w:r>
              <w:rPr>
                <w:b w:val="0"/>
                <w:i/>
                <w:sz w:val="18"/>
              </w:rPr>
              <w:t>Observations</w:t>
            </w:r>
          </w:p>
        </w:tc>
        <w:tc>
          <w:tcPr>
            <w:tcW w:type="dxa" w:w="1571"/>
          </w:tcPr>
          <w:p>
            <w:pPr>
              <w:pStyle w:val="MDPI42tablebody"/>
              <w:keepNext/>
              <w:spacing w:line="240" w:lineRule="auto" w:before="30" w:after="30"/>
              <w:jc w:val="center"/>
            </w:pPr>
            <w:r>
              <w:rPr>
                <w:b w:val="0"/>
                <w:i w:val="0"/>
                <w:sz w:val="18"/>
              </w:rPr>
              <w:t>36,064</w:t>
            </w:r>
          </w:p>
        </w:tc>
        <w:tc>
          <w:tcPr>
            <w:tcW w:type="dxa" w:w="1571"/>
          </w:tcPr>
          <w:p>
            <w:pPr>
              <w:pStyle w:val="MDPI42tablebody"/>
              <w:keepNext/>
              <w:spacing w:line="240" w:lineRule="auto" w:before="30" w:after="30"/>
              <w:jc w:val="center"/>
            </w:pPr>
            <w:r>
              <w:rPr>
                <w:b w:val="0"/>
                <w:i w:val="0"/>
                <w:sz w:val="18"/>
              </w:rPr>
              <w:t>36,064</w:t>
            </w:r>
          </w:p>
        </w:tc>
        <w:tc>
          <w:tcPr>
            <w:tcW w:type="dxa" w:w="1571"/>
          </w:tcPr>
          <w:p>
            <w:pPr>
              <w:pStyle w:val="MDPI42tablebody"/>
              <w:keepNext/>
              <w:spacing w:line="240" w:lineRule="auto" w:before="30" w:after="30"/>
              <w:jc w:val="center"/>
            </w:pPr>
            <w:r>
              <w:rPr>
                <w:b w:val="0"/>
                <w:i w:val="0"/>
                <w:sz w:val="18"/>
              </w:rPr>
              <w:t>36,064</w:t>
            </w:r>
          </w:p>
        </w:tc>
      </w:tr>
      <w:tr>
        <w:trPr>
          <w:cantSplit/>
        </w:trPr>
        <w:tc>
          <w:tcPr>
            <w:tcW w:type="dxa" w:w="3143"/>
          </w:tcPr>
          <w:p>
            <w:pPr>
              <w:pStyle w:val="MDPI42tablebody"/>
              <w:spacing w:line="240" w:lineRule="auto" w:before="30" w:after="30"/>
              <w:jc w:val="left"/>
            </w:pPr>
            <w:r>
              <w:rPr>
                <w:b w:val="0"/>
                <w:i/>
                <w:sz w:val="18"/>
              </w:rPr>
              <w:t>R-squared</w:t>
            </w:r>
          </w:p>
        </w:tc>
        <w:tc>
          <w:tcPr>
            <w:tcW w:type="dxa" w:w="1571"/>
          </w:tcPr>
          <w:p>
            <w:pPr>
              <w:pStyle w:val="MDPI42tablebody"/>
              <w:spacing w:line="240" w:lineRule="auto" w:before="30" w:after="30"/>
              <w:jc w:val="center"/>
            </w:pPr>
            <w:r>
              <w:rPr>
                <w:b w:val="0"/>
                <w:i w:val="0"/>
                <w:sz w:val="18"/>
              </w:rPr>
              <w:t>0.058</w:t>
            </w:r>
          </w:p>
        </w:tc>
        <w:tc>
          <w:tcPr>
            <w:tcW w:type="dxa" w:w="1571"/>
          </w:tcPr>
          <w:p>
            <w:pPr>
              <w:pStyle w:val="MDPI42tablebody"/>
              <w:spacing w:line="240" w:lineRule="auto" w:before="30" w:after="30"/>
              <w:jc w:val="center"/>
            </w:pPr>
            <w:r>
              <w:rPr>
                <w:b w:val="0"/>
                <w:i w:val="0"/>
                <w:sz w:val="18"/>
              </w:rPr>
              <w:t>0.059</w:t>
            </w:r>
          </w:p>
        </w:tc>
        <w:tc>
          <w:tcPr>
            <w:tcW w:type="dxa" w:w="1571"/>
          </w:tcPr>
          <w:p>
            <w:pPr>
              <w:pStyle w:val="MDPI42tablebody"/>
              <w:spacing w:line="240" w:lineRule="auto" w:before="30" w:after="30"/>
              <w:jc w:val="center"/>
            </w:pPr>
            <w:r>
              <w:rPr>
                <w:b w:val="0"/>
                <w:i w:val="0"/>
                <w:sz w:val="18"/>
              </w:rPr>
              <w:t>0.059</w:t>
            </w:r>
          </w:p>
        </w:tc>
      </w:tr>
    </w:tbl>
    <w:p>
      <w:pPr>
        <w:pStyle w:val="MDPI43tablefooter"/>
        <w:spacing w:line="240" w:lineRule="auto" w:before="40" w:after="200"/>
        <w:ind w:left="2608" w:firstLine="0"/>
      </w:pPr>
      <w:r>
        <w:rPr>
          <w:sz w:val="16"/>
        </w:rPr>
        <w:t xml:space="preserve">Note: </w:t>
      </w:r>
      <w:r>
        <w:rPr>
          <w:b w:val="0"/>
          <w:i w:val="0"/>
          <w:sz w:val="16"/>
        </w:rPr>
        <w:t>Digital and Slack are standardized before the interactions are formed. The coefficient of interest is the triple interaction, which measures how the buffering effect of workforce skill variety changes with the moderator.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4.9. Heterogeneity Analysis</w:t>
      </w:r>
    </w:p>
    <w:p>
      <w:pPr>
        <w:pStyle w:val="MDPI32textnoindent"/>
      </w:pPr>
      <w:r>
        <w:rPr>
          <w:b w:val="0"/>
          <w:i w:val="0"/>
        </w:rPr>
        <w:t>Table 12 splits the sample along four dimensions and tests the equality of the buffering coefficient across each pair. The effect is 1.133 in state-owned enterprises against 1.310 in non-state firms, and the difference is significant at the ten percent level (p = 0.065). The reading is not that state ownership makes variety useless but that it substitutes for it: firms carrying employment-stabilization obligations retain young workers for reasons unrelated to whether they have somewhere to put them, so the marginal value of the internal capacity is lower. The effect is 1.180 in labor-intensive industries against 1.368 in capital-intensive ones (p = 0.048), which is consistent with the threshold result of the next subsection, since labor-intensive firms are concentrated below the critical level of variety. The split between manufacturing and non-manufacturing gives 1.266 and 1.255 (p = 0.896), and the regional split 1.245 against 1.263 (p = 0.844). The capacity is a firm-level attribute, not a sectoral or regional one.</w:t>
      </w:r>
    </w:p>
    <w:p>
      <w:pPr>
        <w:pStyle w:val="MDPI41tablecaption"/>
        <w:keepNext/>
        <w:spacing w:after="60"/>
      </w:pPr>
      <w:r>
        <w:rPr>
          <w:b/>
          <w:sz w:val="18"/>
        </w:rPr>
        <w:t xml:space="preserve">Table 12. </w:t>
      </w:r>
      <w:r>
        <w:rPr>
          <w:b w:val="0"/>
          <w:i w:val="0"/>
          <w:sz w:val="18"/>
        </w:rPr>
        <w:t>Heterogeneity analysis.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511"/>
        <w:gridCol w:w="1151"/>
        <w:gridCol w:w="941"/>
        <w:gridCol w:w="1151"/>
        <w:gridCol w:w="941"/>
        <w:gridCol w:w="1046"/>
        <w:gridCol w:w="941"/>
        <w:gridCol w:w="889"/>
        <w:gridCol w:w="889"/>
      </w:tblGrid>
      <w:tr>
        <w:trPr>
          <w:cantSplit/>
          <w:tblHeader/>
        </w:trPr>
        <w:tc>
          <w:tcPr>
            <w:tcW w:type="dxa" w:w="2511"/>
            <w:tcBorders>
              <w:bottom w:val="single" w:sz="8" w:space="0" w:color="auto"/>
            </w:tcBorders>
          </w:tcPr>
          <w:p>
            <w:pPr>
              <w:pStyle w:val="MDPI42tablebody"/>
              <w:keepNext/>
              <w:spacing w:line="240" w:lineRule="auto" w:before="30" w:after="30"/>
              <w:jc w:val="center"/>
            </w:pPr>
            <w:r>
              <w:rPr>
                <w:b/>
                <w:i w:val="0"/>
                <w:sz w:val="14"/>
              </w:rPr>
              <w:t>Subsample</w:t>
            </w:r>
          </w:p>
        </w:tc>
        <w:tc>
          <w:tcPr>
            <w:tcW w:type="dxa" w:w="1151"/>
            <w:tcBorders>
              <w:bottom w:val="single" w:sz="8" w:space="0" w:color="auto"/>
            </w:tcBorders>
          </w:tcPr>
          <w:p>
            <w:pPr>
              <w:pStyle w:val="MDPI42tablebody"/>
              <w:keepNext/>
              <w:spacing w:line="240" w:lineRule="auto" w:before="30" w:after="30"/>
              <w:jc w:val="center"/>
            </w:pPr>
            <w:r>
              <w:rPr>
                <w:b/>
                <w:i w:val="0"/>
                <w:sz w:val="14"/>
              </w:rPr>
              <w:t>Group A</w:t>
            </w:r>
          </w:p>
        </w:tc>
        <w:tc>
          <w:tcPr>
            <w:tcW w:type="dxa" w:w="941"/>
            <w:tcBorders>
              <w:bottom w:val="single" w:sz="8" w:space="0" w:color="auto"/>
            </w:tcBorders>
          </w:tcPr>
          <w:p>
            <w:pPr>
              <w:pStyle w:val="MDPI42tablebody"/>
              <w:keepNext/>
              <w:spacing w:line="240" w:lineRule="auto" w:before="30" w:after="30"/>
              <w:jc w:val="center"/>
            </w:pPr>
            <w:r>
              <w:rPr>
                <w:b/>
                <w:i w:val="0"/>
                <w:sz w:val="14"/>
              </w:rPr>
              <w:t>S.E.</w:t>
            </w:r>
          </w:p>
        </w:tc>
        <w:tc>
          <w:tcPr>
            <w:tcW w:type="dxa" w:w="1151"/>
            <w:tcBorders>
              <w:bottom w:val="single" w:sz="8" w:space="0" w:color="auto"/>
            </w:tcBorders>
          </w:tcPr>
          <w:p>
            <w:pPr>
              <w:pStyle w:val="MDPI42tablebody"/>
              <w:keepNext/>
              <w:spacing w:line="240" w:lineRule="auto" w:before="30" w:after="30"/>
              <w:jc w:val="center"/>
            </w:pPr>
            <w:r>
              <w:rPr>
                <w:b/>
                <w:i w:val="0"/>
                <w:sz w:val="14"/>
              </w:rPr>
              <w:t>Group B</w:t>
            </w:r>
          </w:p>
        </w:tc>
        <w:tc>
          <w:tcPr>
            <w:tcW w:type="dxa" w:w="941"/>
            <w:tcBorders>
              <w:bottom w:val="single" w:sz="8" w:space="0" w:color="auto"/>
            </w:tcBorders>
          </w:tcPr>
          <w:p>
            <w:pPr>
              <w:pStyle w:val="MDPI42tablebody"/>
              <w:keepNext/>
              <w:spacing w:line="240" w:lineRule="auto" w:before="30" w:after="30"/>
              <w:jc w:val="center"/>
            </w:pPr>
            <w:r>
              <w:rPr>
                <w:b/>
                <w:i w:val="0"/>
                <w:sz w:val="14"/>
              </w:rPr>
              <w:t>S.E.</w:t>
            </w:r>
          </w:p>
        </w:tc>
        <w:tc>
          <w:tcPr>
            <w:tcW w:type="dxa" w:w="1046"/>
            <w:tcBorders>
              <w:bottom w:val="single" w:sz="8" w:space="0" w:color="auto"/>
            </w:tcBorders>
          </w:tcPr>
          <w:p>
            <w:pPr>
              <w:pStyle w:val="MDPI42tablebody"/>
              <w:keepNext/>
              <w:spacing w:line="240" w:lineRule="auto" w:before="30" w:after="30"/>
              <w:jc w:val="center"/>
            </w:pPr>
            <w:r>
              <w:rPr>
                <w:b/>
                <w:i w:val="0"/>
                <w:sz w:val="14"/>
              </w:rPr>
              <w:t>Difference</w:t>
            </w:r>
          </w:p>
        </w:tc>
        <w:tc>
          <w:tcPr>
            <w:tcW w:type="dxa" w:w="941"/>
            <w:tcBorders>
              <w:bottom w:val="single" w:sz="8" w:space="0" w:color="auto"/>
            </w:tcBorders>
          </w:tcPr>
          <w:p>
            <w:pPr>
              <w:pStyle w:val="MDPI42tablebody"/>
              <w:keepNext/>
              <w:spacing w:line="240" w:lineRule="auto" w:before="30" w:after="30"/>
              <w:jc w:val="center"/>
            </w:pPr>
            <w:r>
              <w:rPr>
                <w:b/>
                <w:i w:val="0"/>
                <w:sz w:val="14"/>
              </w:rPr>
              <w:t>p-value</w:t>
            </w:r>
          </w:p>
        </w:tc>
        <w:tc>
          <w:tcPr>
            <w:tcW w:type="dxa" w:w="889"/>
            <w:tcBorders>
              <w:bottom w:val="single" w:sz="8" w:space="0" w:color="auto"/>
            </w:tcBorders>
          </w:tcPr>
          <w:p>
            <w:pPr>
              <w:pStyle w:val="MDPI42tablebody"/>
              <w:keepNext/>
              <w:spacing w:line="240" w:lineRule="auto" w:before="30" w:after="30"/>
              <w:jc w:val="center"/>
            </w:pPr>
            <w:r>
              <w:rPr>
                <w:b/>
                <w:i w:val="0"/>
                <w:sz w:val="14"/>
              </w:rPr>
              <w:t>N (A)</w:t>
            </w:r>
          </w:p>
        </w:tc>
        <w:tc>
          <w:tcPr>
            <w:tcW w:type="dxa" w:w="889"/>
            <w:tcBorders>
              <w:bottom w:val="single" w:sz="8" w:space="0" w:color="auto"/>
            </w:tcBorders>
          </w:tcPr>
          <w:p>
            <w:pPr>
              <w:pStyle w:val="MDPI42tablebody"/>
              <w:keepNext/>
              <w:spacing w:line="240" w:lineRule="auto" w:before="30" w:after="30"/>
              <w:jc w:val="center"/>
            </w:pPr>
            <w:r>
              <w:rPr>
                <w:b/>
                <w:i w:val="0"/>
                <w:sz w:val="14"/>
              </w:rPr>
              <w:t>N (B)</w:t>
            </w:r>
          </w:p>
        </w:tc>
      </w:tr>
      <w:tr>
        <w:trPr>
          <w:cantSplit/>
        </w:trPr>
        <w:tc>
          <w:tcPr>
            <w:tcW w:type="dxa" w:w="2511"/>
          </w:tcPr>
          <w:p>
            <w:pPr>
              <w:pStyle w:val="MDPI42tablebody"/>
              <w:keepNext/>
              <w:spacing w:line="240" w:lineRule="auto" w:before="30" w:after="30"/>
              <w:jc w:val="left"/>
            </w:pPr>
            <w:r>
              <w:rPr>
                <w:b w:val="0"/>
                <w:i/>
                <w:sz w:val="14"/>
              </w:rPr>
              <w:t>State-owned / Non-state-owned</w:t>
            </w:r>
          </w:p>
        </w:tc>
        <w:tc>
          <w:tcPr>
            <w:tcW w:type="dxa" w:w="1151"/>
          </w:tcPr>
          <w:p>
            <w:pPr>
              <w:pStyle w:val="MDPI42tablebody"/>
              <w:keepNext/>
              <w:spacing w:line="240" w:lineRule="auto" w:before="30" w:after="30"/>
              <w:jc w:val="center"/>
            </w:pPr>
            <w:r>
              <w:rPr>
                <w:b w:val="0"/>
                <w:i w:val="0"/>
                <w:sz w:val="14"/>
              </w:rPr>
              <w:t>1.133***</w:t>
            </w:r>
          </w:p>
        </w:tc>
        <w:tc>
          <w:tcPr>
            <w:tcW w:type="dxa" w:w="941"/>
          </w:tcPr>
          <w:p>
            <w:pPr>
              <w:pStyle w:val="MDPI42tablebody"/>
              <w:keepNext/>
              <w:spacing w:line="240" w:lineRule="auto" w:before="30" w:after="30"/>
              <w:jc w:val="center"/>
            </w:pPr>
            <w:r>
              <w:rPr>
                <w:b w:val="0"/>
                <w:i w:val="0"/>
                <w:sz w:val="14"/>
              </w:rPr>
              <w:t>(0.081)</w:t>
            </w:r>
          </w:p>
        </w:tc>
        <w:tc>
          <w:tcPr>
            <w:tcW w:type="dxa" w:w="1151"/>
          </w:tcPr>
          <w:p>
            <w:pPr>
              <w:pStyle w:val="MDPI42tablebody"/>
              <w:keepNext/>
              <w:spacing w:line="240" w:lineRule="auto" w:before="30" w:after="30"/>
              <w:jc w:val="center"/>
            </w:pPr>
            <w:r>
              <w:rPr>
                <w:b w:val="0"/>
                <w:i w:val="0"/>
                <w:sz w:val="14"/>
              </w:rPr>
              <w:t>1.310***</w:t>
            </w:r>
          </w:p>
        </w:tc>
        <w:tc>
          <w:tcPr>
            <w:tcW w:type="dxa" w:w="941"/>
          </w:tcPr>
          <w:p>
            <w:pPr>
              <w:pStyle w:val="MDPI42tablebody"/>
              <w:keepNext/>
              <w:spacing w:line="240" w:lineRule="auto" w:before="30" w:after="30"/>
              <w:jc w:val="center"/>
            </w:pPr>
            <w:r>
              <w:rPr>
                <w:b w:val="0"/>
                <w:i w:val="0"/>
                <w:sz w:val="14"/>
              </w:rPr>
              <w:t>(0.053)</w:t>
            </w:r>
          </w:p>
        </w:tc>
        <w:tc>
          <w:tcPr>
            <w:tcW w:type="dxa" w:w="1046"/>
          </w:tcPr>
          <w:p>
            <w:pPr>
              <w:pStyle w:val="MDPI42tablebody"/>
              <w:keepNext/>
              <w:spacing w:line="240" w:lineRule="auto" w:before="30" w:after="30"/>
              <w:jc w:val="center"/>
            </w:pPr>
            <w:r>
              <w:rPr>
                <w:b w:val="0"/>
                <w:i w:val="0"/>
                <w:sz w:val="14"/>
              </w:rPr>
              <w:t>−0.178</w:t>
            </w:r>
          </w:p>
        </w:tc>
        <w:tc>
          <w:tcPr>
            <w:tcW w:type="dxa" w:w="941"/>
          </w:tcPr>
          <w:p>
            <w:pPr>
              <w:pStyle w:val="MDPI42tablebody"/>
              <w:keepNext/>
              <w:spacing w:line="240" w:lineRule="auto" w:before="30" w:after="30"/>
              <w:jc w:val="center"/>
            </w:pPr>
            <w:r>
              <w:rPr>
                <w:b w:val="0"/>
                <w:i w:val="0"/>
                <w:sz w:val="14"/>
              </w:rPr>
              <w:t>0.065</w:t>
            </w:r>
          </w:p>
        </w:tc>
        <w:tc>
          <w:tcPr>
            <w:tcW w:type="dxa" w:w="889"/>
          </w:tcPr>
          <w:p>
            <w:pPr>
              <w:pStyle w:val="MDPI42tablebody"/>
              <w:keepNext/>
              <w:spacing w:line="240" w:lineRule="auto" w:before="30" w:after="30"/>
              <w:jc w:val="center"/>
            </w:pPr>
            <w:r>
              <w:rPr>
                <w:b w:val="0"/>
                <w:i w:val="0"/>
                <w:sz w:val="14"/>
              </w:rPr>
              <w:t>10,824</w:t>
            </w:r>
          </w:p>
        </w:tc>
        <w:tc>
          <w:tcPr>
            <w:tcW w:type="dxa" w:w="889"/>
          </w:tcPr>
          <w:p>
            <w:pPr>
              <w:pStyle w:val="MDPI42tablebody"/>
              <w:keepNext/>
              <w:spacing w:line="240" w:lineRule="auto" w:before="30" w:after="30"/>
              <w:jc w:val="center"/>
            </w:pPr>
            <w:r>
              <w:rPr>
                <w:b w:val="0"/>
                <w:i w:val="0"/>
                <w:sz w:val="14"/>
              </w:rPr>
              <w:t>25,240</w:t>
            </w:r>
          </w:p>
        </w:tc>
      </w:tr>
      <w:tr>
        <w:trPr>
          <w:cantSplit/>
        </w:trPr>
        <w:tc>
          <w:tcPr>
            <w:tcW w:type="dxa" w:w="2511"/>
          </w:tcPr>
          <w:p>
            <w:pPr>
              <w:pStyle w:val="MDPI42tablebody"/>
              <w:keepNext/>
              <w:spacing w:line="240" w:lineRule="auto" w:before="30" w:after="30"/>
              <w:jc w:val="left"/>
            </w:pPr>
            <w:r>
              <w:rPr>
                <w:b w:val="0"/>
                <w:i/>
                <w:sz w:val="14"/>
              </w:rPr>
              <w:t>Manufacturing / Non-manufacturing</w:t>
            </w:r>
          </w:p>
        </w:tc>
        <w:tc>
          <w:tcPr>
            <w:tcW w:type="dxa" w:w="1151"/>
          </w:tcPr>
          <w:p>
            <w:pPr>
              <w:pStyle w:val="MDPI42tablebody"/>
              <w:keepNext/>
              <w:spacing w:line="240" w:lineRule="auto" w:before="30" w:after="30"/>
              <w:jc w:val="center"/>
            </w:pPr>
            <w:r>
              <w:rPr>
                <w:b w:val="0"/>
                <w:i w:val="0"/>
                <w:sz w:val="14"/>
              </w:rPr>
              <w:t>1.266***</w:t>
            </w:r>
          </w:p>
        </w:tc>
        <w:tc>
          <w:tcPr>
            <w:tcW w:type="dxa" w:w="941"/>
          </w:tcPr>
          <w:p>
            <w:pPr>
              <w:pStyle w:val="MDPI42tablebody"/>
              <w:keepNext/>
              <w:spacing w:line="240" w:lineRule="auto" w:before="30" w:after="30"/>
              <w:jc w:val="center"/>
            </w:pPr>
            <w:r>
              <w:rPr>
                <w:b w:val="0"/>
                <w:i w:val="0"/>
                <w:sz w:val="14"/>
              </w:rPr>
              <w:t>(0.062)</w:t>
            </w:r>
          </w:p>
        </w:tc>
        <w:tc>
          <w:tcPr>
            <w:tcW w:type="dxa" w:w="1151"/>
          </w:tcPr>
          <w:p>
            <w:pPr>
              <w:pStyle w:val="MDPI42tablebody"/>
              <w:keepNext/>
              <w:spacing w:line="240" w:lineRule="auto" w:before="30" w:after="30"/>
              <w:jc w:val="center"/>
            </w:pPr>
            <w:r>
              <w:rPr>
                <w:b w:val="0"/>
                <w:i w:val="0"/>
                <w:sz w:val="14"/>
              </w:rPr>
              <w:t>1.255***</w:t>
            </w:r>
          </w:p>
        </w:tc>
        <w:tc>
          <w:tcPr>
            <w:tcW w:type="dxa" w:w="941"/>
          </w:tcPr>
          <w:p>
            <w:pPr>
              <w:pStyle w:val="MDPI42tablebody"/>
              <w:keepNext/>
              <w:spacing w:line="240" w:lineRule="auto" w:before="30" w:after="30"/>
              <w:jc w:val="center"/>
            </w:pPr>
            <w:r>
              <w:rPr>
                <w:b w:val="0"/>
                <w:i w:val="0"/>
                <w:sz w:val="14"/>
              </w:rPr>
              <w:t>(0.063)</w:t>
            </w:r>
          </w:p>
        </w:tc>
        <w:tc>
          <w:tcPr>
            <w:tcW w:type="dxa" w:w="1046"/>
          </w:tcPr>
          <w:p>
            <w:pPr>
              <w:pStyle w:val="MDPI42tablebody"/>
              <w:keepNext/>
              <w:spacing w:line="240" w:lineRule="auto" w:before="30" w:after="30"/>
              <w:jc w:val="center"/>
            </w:pPr>
            <w:r>
              <w:rPr>
                <w:b w:val="0"/>
                <w:i w:val="0"/>
                <w:sz w:val="14"/>
              </w:rPr>
              <w:t>0.012</w:t>
            </w:r>
          </w:p>
        </w:tc>
        <w:tc>
          <w:tcPr>
            <w:tcW w:type="dxa" w:w="941"/>
          </w:tcPr>
          <w:p>
            <w:pPr>
              <w:pStyle w:val="MDPI42tablebody"/>
              <w:keepNext/>
              <w:spacing w:line="240" w:lineRule="auto" w:before="30" w:after="30"/>
              <w:jc w:val="center"/>
            </w:pPr>
            <w:r>
              <w:rPr>
                <w:b w:val="0"/>
                <w:i w:val="0"/>
                <w:sz w:val="14"/>
              </w:rPr>
              <w:t>0.896</w:t>
            </w:r>
          </w:p>
        </w:tc>
        <w:tc>
          <w:tcPr>
            <w:tcW w:type="dxa" w:w="889"/>
          </w:tcPr>
          <w:p>
            <w:pPr>
              <w:pStyle w:val="MDPI42tablebody"/>
              <w:keepNext/>
              <w:spacing w:line="240" w:lineRule="auto" w:before="30" w:after="30"/>
              <w:jc w:val="center"/>
            </w:pPr>
            <w:r>
              <w:rPr>
                <w:b w:val="0"/>
                <w:i w:val="0"/>
                <w:sz w:val="14"/>
              </w:rPr>
              <w:t>21,134</w:t>
            </w:r>
          </w:p>
        </w:tc>
        <w:tc>
          <w:tcPr>
            <w:tcW w:type="dxa" w:w="889"/>
          </w:tcPr>
          <w:p>
            <w:pPr>
              <w:pStyle w:val="MDPI42tablebody"/>
              <w:keepNext/>
              <w:spacing w:line="240" w:lineRule="auto" w:before="30" w:after="30"/>
              <w:jc w:val="center"/>
            </w:pPr>
            <w:r>
              <w:rPr>
                <w:b w:val="0"/>
                <w:i w:val="0"/>
                <w:sz w:val="14"/>
              </w:rPr>
              <w:t>14,930</w:t>
            </w:r>
          </w:p>
        </w:tc>
      </w:tr>
      <w:tr>
        <w:trPr>
          <w:cantSplit/>
        </w:trPr>
        <w:tc>
          <w:tcPr>
            <w:tcW w:type="dxa" w:w="2511"/>
          </w:tcPr>
          <w:p>
            <w:pPr>
              <w:pStyle w:val="MDPI42tablebody"/>
              <w:keepNext/>
              <w:spacing w:line="240" w:lineRule="auto" w:before="30" w:after="30"/>
              <w:jc w:val="left"/>
            </w:pPr>
            <w:r>
              <w:rPr>
                <w:b w:val="0"/>
                <w:i/>
                <w:sz w:val="14"/>
              </w:rPr>
              <w:t>Eastern region / Central and western region</w:t>
            </w:r>
          </w:p>
        </w:tc>
        <w:tc>
          <w:tcPr>
            <w:tcW w:type="dxa" w:w="1151"/>
          </w:tcPr>
          <w:p>
            <w:pPr>
              <w:pStyle w:val="MDPI42tablebody"/>
              <w:keepNext/>
              <w:spacing w:line="240" w:lineRule="auto" w:before="30" w:after="30"/>
              <w:jc w:val="center"/>
            </w:pPr>
            <w:r>
              <w:rPr>
                <w:b w:val="0"/>
                <w:i w:val="0"/>
                <w:sz w:val="14"/>
              </w:rPr>
              <w:t>1.245***</w:t>
            </w:r>
          </w:p>
        </w:tc>
        <w:tc>
          <w:tcPr>
            <w:tcW w:type="dxa" w:w="941"/>
          </w:tcPr>
          <w:p>
            <w:pPr>
              <w:pStyle w:val="MDPI42tablebody"/>
              <w:keepNext/>
              <w:spacing w:line="240" w:lineRule="auto" w:before="30" w:after="30"/>
              <w:jc w:val="center"/>
            </w:pPr>
            <w:r>
              <w:rPr>
                <w:b w:val="0"/>
                <w:i w:val="0"/>
                <w:sz w:val="14"/>
              </w:rPr>
              <w:t>(0.074)</w:t>
            </w:r>
          </w:p>
        </w:tc>
        <w:tc>
          <w:tcPr>
            <w:tcW w:type="dxa" w:w="1151"/>
          </w:tcPr>
          <w:p>
            <w:pPr>
              <w:pStyle w:val="MDPI42tablebody"/>
              <w:keepNext/>
              <w:spacing w:line="240" w:lineRule="auto" w:before="30" w:after="30"/>
              <w:jc w:val="center"/>
            </w:pPr>
            <w:r>
              <w:rPr>
                <w:b w:val="0"/>
                <w:i w:val="0"/>
                <w:sz w:val="14"/>
              </w:rPr>
              <w:t>1.263***</w:t>
            </w:r>
          </w:p>
        </w:tc>
        <w:tc>
          <w:tcPr>
            <w:tcW w:type="dxa" w:w="941"/>
          </w:tcPr>
          <w:p>
            <w:pPr>
              <w:pStyle w:val="MDPI42tablebody"/>
              <w:keepNext/>
              <w:spacing w:line="240" w:lineRule="auto" w:before="30" w:after="30"/>
              <w:jc w:val="center"/>
            </w:pPr>
            <w:r>
              <w:rPr>
                <w:b w:val="0"/>
                <w:i w:val="0"/>
                <w:sz w:val="14"/>
              </w:rPr>
              <w:t>(0.055)</w:t>
            </w:r>
          </w:p>
        </w:tc>
        <w:tc>
          <w:tcPr>
            <w:tcW w:type="dxa" w:w="1046"/>
          </w:tcPr>
          <w:p>
            <w:pPr>
              <w:pStyle w:val="MDPI42tablebody"/>
              <w:keepNext/>
              <w:spacing w:line="240" w:lineRule="auto" w:before="30" w:after="30"/>
              <w:jc w:val="center"/>
            </w:pPr>
            <w:r>
              <w:rPr>
                <w:b w:val="0"/>
                <w:i w:val="0"/>
                <w:sz w:val="14"/>
              </w:rPr>
              <w:t>−0.018</w:t>
            </w:r>
          </w:p>
        </w:tc>
        <w:tc>
          <w:tcPr>
            <w:tcW w:type="dxa" w:w="941"/>
          </w:tcPr>
          <w:p>
            <w:pPr>
              <w:pStyle w:val="MDPI42tablebody"/>
              <w:keepNext/>
              <w:spacing w:line="240" w:lineRule="auto" w:before="30" w:after="30"/>
              <w:jc w:val="center"/>
            </w:pPr>
            <w:r>
              <w:rPr>
                <w:b w:val="0"/>
                <w:i w:val="0"/>
                <w:sz w:val="14"/>
              </w:rPr>
              <w:t>0.844</w:t>
            </w:r>
          </w:p>
        </w:tc>
        <w:tc>
          <w:tcPr>
            <w:tcW w:type="dxa" w:w="889"/>
          </w:tcPr>
          <w:p>
            <w:pPr>
              <w:pStyle w:val="MDPI42tablebody"/>
              <w:keepNext/>
              <w:spacing w:line="240" w:lineRule="auto" w:before="30" w:after="30"/>
              <w:jc w:val="center"/>
            </w:pPr>
            <w:r>
              <w:rPr>
                <w:b w:val="0"/>
                <w:i w:val="0"/>
                <w:sz w:val="14"/>
              </w:rPr>
              <w:t>12,668</w:t>
            </w:r>
          </w:p>
        </w:tc>
        <w:tc>
          <w:tcPr>
            <w:tcW w:type="dxa" w:w="889"/>
          </w:tcPr>
          <w:p>
            <w:pPr>
              <w:pStyle w:val="MDPI42tablebody"/>
              <w:keepNext/>
              <w:spacing w:line="240" w:lineRule="auto" w:before="30" w:after="30"/>
              <w:jc w:val="center"/>
            </w:pPr>
            <w:r>
              <w:rPr>
                <w:b w:val="0"/>
                <w:i w:val="0"/>
                <w:sz w:val="14"/>
              </w:rPr>
              <w:t>23,396</w:t>
            </w:r>
          </w:p>
        </w:tc>
      </w:tr>
      <w:tr>
        <w:trPr>
          <w:cantSplit/>
        </w:trPr>
        <w:tc>
          <w:tcPr>
            <w:tcW w:type="dxa" w:w="2511"/>
          </w:tcPr>
          <w:p>
            <w:pPr>
              <w:pStyle w:val="MDPI42tablebody"/>
              <w:spacing w:line="240" w:lineRule="auto" w:before="30" w:after="30"/>
              <w:jc w:val="left"/>
            </w:pPr>
            <w:r>
              <w:rPr>
                <w:b w:val="0"/>
                <w:i/>
                <w:sz w:val="14"/>
              </w:rPr>
              <w:t>Labor-intensive / Capital-intensive</w:t>
            </w:r>
          </w:p>
        </w:tc>
        <w:tc>
          <w:tcPr>
            <w:tcW w:type="dxa" w:w="1151"/>
          </w:tcPr>
          <w:p>
            <w:pPr>
              <w:pStyle w:val="MDPI42tablebody"/>
              <w:spacing w:line="240" w:lineRule="auto" w:before="30" w:after="30"/>
              <w:jc w:val="center"/>
            </w:pPr>
            <w:r>
              <w:rPr>
                <w:b w:val="0"/>
                <w:i w:val="0"/>
                <w:sz w:val="14"/>
              </w:rPr>
              <w:t>1.180***</w:t>
            </w:r>
          </w:p>
        </w:tc>
        <w:tc>
          <w:tcPr>
            <w:tcW w:type="dxa" w:w="941"/>
          </w:tcPr>
          <w:p>
            <w:pPr>
              <w:pStyle w:val="MDPI42tablebody"/>
              <w:spacing w:line="240" w:lineRule="auto" w:before="30" w:after="30"/>
              <w:jc w:val="center"/>
            </w:pPr>
            <w:r>
              <w:rPr>
                <w:b w:val="0"/>
                <w:i w:val="0"/>
                <w:sz w:val="14"/>
              </w:rPr>
              <w:t>(0.056)</w:t>
            </w:r>
          </w:p>
        </w:tc>
        <w:tc>
          <w:tcPr>
            <w:tcW w:type="dxa" w:w="1151"/>
          </w:tcPr>
          <w:p>
            <w:pPr>
              <w:pStyle w:val="MDPI42tablebody"/>
              <w:spacing w:line="240" w:lineRule="auto" w:before="30" w:after="30"/>
              <w:jc w:val="center"/>
            </w:pPr>
            <w:r>
              <w:rPr>
                <w:b w:val="0"/>
                <w:i w:val="0"/>
                <w:sz w:val="14"/>
              </w:rPr>
              <w:t>1.368***</w:t>
            </w:r>
          </w:p>
        </w:tc>
        <w:tc>
          <w:tcPr>
            <w:tcW w:type="dxa" w:w="941"/>
          </w:tcPr>
          <w:p>
            <w:pPr>
              <w:pStyle w:val="MDPI42tablebody"/>
              <w:spacing w:line="240" w:lineRule="auto" w:before="30" w:after="30"/>
              <w:jc w:val="center"/>
            </w:pPr>
            <w:r>
              <w:rPr>
                <w:b w:val="0"/>
                <w:i w:val="0"/>
                <w:sz w:val="14"/>
              </w:rPr>
              <w:t>(0.077)</w:t>
            </w:r>
          </w:p>
        </w:tc>
        <w:tc>
          <w:tcPr>
            <w:tcW w:type="dxa" w:w="1046"/>
          </w:tcPr>
          <w:p>
            <w:pPr>
              <w:pStyle w:val="MDPI42tablebody"/>
              <w:spacing w:line="240" w:lineRule="auto" w:before="30" w:after="30"/>
              <w:jc w:val="center"/>
            </w:pPr>
            <w:r>
              <w:rPr>
                <w:b w:val="0"/>
                <w:i w:val="0"/>
                <w:sz w:val="14"/>
              </w:rPr>
              <w:t>−0.188</w:t>
            </w:r>
          </w:p>
        </w:tc>
        <w:tc>
          <w:tcPr>
            <w:tcW w:type="dxa" w:w="941"/>
          </w:tcPr>
          <w:p>
            <w:pPr>
              <w:pStyle w:val="MDPI42tablebody"/>
              <w:spacing w:line="240" w:lineRule="auto" w:before="30" w:after="30"/>
              <w:jc w:val="center"/>
            </w:pPr>
            <w:r>
              <w:rPr>
                <w:b w:val="0"/>
                <w:i w:val="0"/>
                <w:sz w:val="14"/>
              </w:rPr>
              <w:t>0.048</w:t>
            </w:r>
          </w:p>
        </w:tc>
        <w:tc>
          <w:tcPr>
            <w:tcW w:type="dxa" w:w="889"/>
          </w:tcPr>
          <w:p>
            <w:pPr>
              <w:pStyle w:val="MDPI42tablebody"/>
              <w:spacing w:line="240" w:lineRule="auto" w:before="30" w:after="30"/>
              <w:jc w:val="center"/>
            </w:pPr>
            <w:r>
              <w:rPr>
                <w:b w:val="0"/>
                <w:i w:val="0"/>
                <w:sz w:val="14"/>
              </w:rPr>
              <w:t>21,659</w:t>
            </w:r>
          </w:p>
        </w:tc>
        <w:tc>
          <w:tcPr>
            <w:tcW w:type="dxa" w:w="889"/>
          </w:tcPr>
          <w:p>
            <w:pPr>
              <w:pStyle w:val="MDPI42tablebody"/>
              <w:spacing w:line="240" w:lineRule="auto" w:before="30" w:after="30"/>
              <w:jc w:val="center"/>
            </w:pPr>
            <w:r>
              <w:rPr>
                <w:b w:val="0"/>
                <w:i w:val="0"/>
                <w:sz w:val="14"/>
              </w:rPr>
              <w:t>14,405</w:t>
            </w:r>
          </w:p>
        </w:tc>
      </w:tr>
    </w:tbl>
    <w:p>
      <w:pPr>
        <w:pStyle w:val="MDPI43tablefooter"/>
        <w:spacing w:line="240" w:lineRule="auto" w:before="40" w:after="200"/>
        <w:ind w:left="2608" w:firstLine="0"/>
      </w:pPr>
      <w:r>
        <w:rPr>
          <w:sz w:val="16"/>
        </w:rPr>
        <w:t xml:space="preserve">Note: </w:t>
      </w:r>
      <w:r>
        <w:rPr>
          <w:b w:val="0"/>
          <w:i w:val="0"/>
          <w:sz w:val="16"/>
        </w:rPr>
        <w:t>Each row reports two separate regressions run on the subsamples named in the first column, both retaining the full control set and the firm and year fixed effects. The reported coefficient is that of Shock x Variety. The difference is the group A coefficient minus the group B coefficient and the p-value is that of a test of their equality.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4.10. The Requisite-Variety Threshold</w:t>
      </w:r>
    </w:p>
    <w:p>
      <w:pPr>
        <w:pStyle w:val="MDPI32textnoindent"/>
      </w:pPr>
      <w:r>
        <w:rPr>
          <w:b w:val="0"/>
          <w:i w:val="0"/>
        </w:rPr>
        <w:t>Table 13 reports the estimates of Equation (9), and they are the central result of this study. The estimated threshold is 2.517 bits, with a ninety-five percent confidence interval of [2.405, 2.752] obtained by inverting the likelihood ratio; 48.4 percent of firm-year observations lie below it. The likelihood-ratio statistic against the null of no threshold is 812.6 and the fixed-regressor bootstrap p-value is 0.000, so the null is rejected decisively. Figure 3a plots the likelihood-ratio profile over the candidate grid together with the critical value and the resulting confidence interval; the vertical scale is symmetric-logarithmic, because on a linear scale the critical value and its crossings are pressed onto the axis. The non-rejection set is not everywhere connected over the grid, as the profile crosses the critical value more than twice, so the interval reported here and shaded in the figure is its convex hull, which is the conventional and the conservative summary.</w:t>
      </w:r>
    </w:p>
    <w:p>
      <w:pPr>
        <w:pStyle w:val="MDPI31text"/>
      </w:pPr>
      <w:r>
        <w:rPr>
          <w:b w:val="0"/>
          <w:i w:val="0"/>
        </w:rPr>
        <w:t>The regime coefficients, plotted in Figure 3b, make the substantive point. Below the threshold, an adverse demand shock of one standard deviation lowers the youth employment share by 2.123 percentage points, significant at the one percent level. Above it the coefficient is −0.061, an attenuation of 97 percent, and it is economically negligible relative to the mean youth employment share. The difference between the two regimes is not one of degree. Firms below the critical level of workforce variety transmit the disturbance to their youngest employees almost in full; firms above it do not transmit it in any economically meaningful sense. H5 is supported, and with it the claim that requisite variety is a precondition for absorption rather than a contributor to it.</w:t>
      </w:r>
    </w:p>
    <w:p>
      <w:pPr>
        <w:pStyle w:val="MDPI41tablecaption"/>
        <w:keepNext/>
        <w:spacing w:after="60"/>
      </w:pPr>
      <w:r>
        <w:rPr>
          <w:b/>
          <w:sz w:val="18"/>
        </w:rPr>
        <w:t xml:space="preserve">Table 13. </w:t>
      </w:r>
      <w:r>
        <w:rPr>
          <w:b w:val="0"/>
          <w:i w:val="0"/>
          <w:sz w:val="18"/>
        </w:rPr>
        <w:t>Panel threshold estimates of the requisite-variety condition.</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321"/>
        <w:gridCol w:w="3536"/>
      </w:tblGrid>
      <w:tr>
        <w:trPr>
          <w:cantSplit/>
          <w:tblHeader/>
        </w:trPr>
        <w:tc>
          <w:tcPr>
            <w:tcW w:type="dxa" w:w="4321"/>
            <w:tcBorders>
              <w:bottom w:val="single" w:sz="8" w:space="0" w:color="auto"/>
            </w:tcBorders>
          </w:tcPr>
          <w:p>
            <w:pPr>
              <w:pStyle w:val="MDPI42tablebody"/>
              <w:keepNext/>
              <w:spacing w:line="240" w:lineRule="auto" w:before="30" w:after="30"/>
              <w:jc w:val="center"/>
            </w:pPr>
            <w:r>
              <w:rPr>
                <w:b/>
                <w:i w:val="0"/>
                <w:sz w:val="18"/>
              </w:rPr>
              <w:t>Variable</w:t>
            </w:r>
          </w:p>
        </w:tc>
        <w:tc>
          <w:tcPr>
            <w:tcW w:type="dxa" w:w="3536"/>
            <w:tcBorders>
              <w:bottom w:val="single" w:sz="8" w:space="0" w:color="auto"/>
            </w:tcBorders>
          </w:tcPr>
          <w:p>
            <w:pPr>
              <w:pStyle w:val="MDPI42tablebody"/>
              <w:keepNext/>
              <w:spacing w:line="240" w:lineRule="auto" w:before="30" w:after="30"/>
              <w:jc w:val="center"/>
            </w:pPr>
            <w:r>
              <w:rPr>
                <w:b/>
                <w:i w:val="0"/>
                <w:sz w:val="18"/>
              </w:rPr>
              <w:t>Estimate</w:t>
            </w:r>
          </w:p>
        </w:tc>
      </w:tr>
      <w:tr>
        <w:trPr>
          <w:cantSplit/>
        </w:trPr>
        <w:tc>
          <w:tcPr>
            <w:tcW w:type="dxa" w:w="4321"/>
          </w:tcPr>
          <w:p>
            <w:pPr>
              <w:pStyle w:val="MDPI42tablebody"/>
              <w:keepNext/>
              <w:spacing w:line="240" w:lineRule="auto" w:before="30" w:after="30"/>
              <w:jc w:val="left"/>
            </w:pPr>
            <w:r>
              <w:rPr>
                <w:b w:val="0"/>
                <w:i/>
                <w:sz w:val="18"/>
              </w:rPr>
              <w:t>Shock (Variety &lt;= gamma)</w:t>
            </w:r>
          </w:p>
        </w:tc>
        <w:tc>
          <w:tcPr>
            <w:tcW w:type="dxa" w:w="3536"/>
          </w:tcPr>
          <w:p>
            <w:pPr>
              <w:pStyle w:val="MDPI42tablebody"/>
              <w:keepNext/>
              <w:spacing w:line="240" w:lineRule="auto" w:before="30" w:after="30"/>
              <w:jc w:val="center"/>
            </w:pPr>
            <w:r>
              <w:rPr>
                <w:b w:val="0"/>
                <w:i w:val="0"/>
                <w:sz w:val="18"/>
              </w:rPr>
              <w:t>−2.123***</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(0.096)</w:t>
            </w:r>
          </w:p>
        </w:tc>
      </w:tr>
      <w:tr>
        <w:trPr>
          <w:cantSplit/>
        </w:trPr>
        <w:tc>
          <w:tcPr>
            <w:tcW w:type="dxa" w:w="4321"/>
          </w:tcPr>
          <w:p>
            <w:pPr>
              <w:pStyle w:val="MDPI42tablebody"/>
              <w:keepNext/>
              <w:spacing w:line="240" w:lineRule="auto" w:before="30" w:after="30"/>
              <w:jc w:val="left"/>
            </w:pPr>
            <w:r>
              <w:rPr>
                <w:b w:val="0"/>
                <w:i/>
                <w:sz w:val="18"/>
              </w:rPr>
              <w:t>Shock (Variety &gt; gamma)</w:t>
            </w:r>
          </w:p>
        </w:tc>
        <w:tc>
          <w:tcPr>
            <w:tcW w:type="dxa" w:w="3536"/>
          </w:tcPr>
          <w:p>
            <w:pPr>
              <w:pStyle w:val="MDPI42tablebody"/>
              <w:keepNext/>
              <w:spacing w:line="240" w:lineRule="auto" w:before="30" w:after="30"/>
              <w:jc w:val="center"/>
            </w:pPr>
            <w:r>
              <w:rPr>
                <w:b w:val="0"/>
                <w:i w:val="0"/>
                <w:sz w:val="18"/>
              </w:rPr>
              <w:t>−0.061</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(0.093)</w:t>
            </w:r>
          </w:p>
        </w:tc>
      </w:tr>
      <w:tr>
        <w:trPr>
          <w:cantSplit/>
        </w:trPr>
        <w:tc>
          <w:tcPr>
            <w:tcW w:type="dxa" w:w="4321"/>
          </w:tcPr>
          <w:p>
            <w:pPr>
              <w:pStyle w:val="MDPI42tablebody"/>
              <w:keepNext/>
              <w:spacing w:line="240" w:lineRule="auto" w:before="30" w:after="30"/>
              <w:jc w:val="left"/>
            </w:pPr>
            <w:r>
              <w:rPr>
                <w:b w:val="0"/>
                <w:i/>
                <w:sz w:val="18"/>
              </w:rPr>
              <w:t>Variety</w:t>
            </w:r>
          </w:p>
        </w:tc>
        <w:tc>
          <w:tcPr>
            <w:tcW w:type="dxa" w:w="3536"/>
          </w:tcPr>
          <w:p>
            <w:pPr>
              <w:pStyle w:val="MDPI42tablebody"/>
              <w:keepNext/>
              <w:spacing w:line="240" w:lineRule="auto" w:before="30" w:after="30"/>
              <w:jc w:val="center"/>
            </w:pPr>
            <w:r>
              <w:rPr>
                <w:b w:val="0"/>
                <w:i w:val="0"/>
                <w:sz w:val="18"/>
              </w:rPr>
              <w:t>2.040***</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(0.086)</w:t>
            </w:r>
          </w:p>
        </w:tc>
      </w:tr>
      <w:tr>
        <w:trPr>
          <w:cantSplit/>
        </w:trPr>
        <w:tc>
          <w:tcPr>
            <w:tcW w:type="dxa" w:w="4321"/>
          </w:tcPr>
          <w:p>
            <w:pPr>
              <w:pStyle w:val="MDPI42tablebody"/>
              <w:keepNext/>
              <w:spacing w:line="240" w:lineRule="auto" w:before="30" w:after="30"/>
              <w:jc w:val="left"/>
            </w:pPr>
            <w:r>
              <w:rPr>
                <w:b w:val="0"/>
                <w:i/>
                <w:sz w:val="18"/>
              </w:rPr>
              <w:t>Size</w:t>
            </w:r>
          </w:p>
        </w:tc>
        <w:tc>
          <w:tcPr>
            <w:tcW w:type="dxa" w:w="3536"/>
          </w:tcPr>
          <w:p>
            <w:pPr>
              <w:pStyle w:val="MDPI42tablebody"/>
              <w:keepNext/>
              <w:spacing w:line="240" w:lineRule="auto" w:before="30" w:after="30"/>
              <w:jc w:val="center"/>
            </w:pPr>
            <w:r>
              <w:rPr>
                <w:b w:val="0"/>
                <w:i w:val="0"/>
                <w:sz w:val="18"/>
              </w:rPr>
              <w:t>2.720***</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(0.383)</w:t>
            </w:r>
          </w:p>
        </w:tc>
      </w:tr>
      <w:tr>
        <w:trPr>
          <w:cantSplit/>
        </w:trPr>
        <w:tc>
          <w:tcPr>
            <w:tcW w:type="dxa" w:w="4321"/>
          </w:tcPr>
          <w:p>
            <w:pPr>
              <w:pStyle w:val="MDPI42tablebody"/>
              <w:keepNext/>
              <w:spacing w:line="240" w:lineRule="auto" w:before="30" w:after="30"/>
              <w:jc w:val="left"/>
            </w:pPr>
            <w:r>
              <w:rPr>
                <w:b w:val="0"/>
                <w:i/>
                <w:sz w:val="18"/>
              </w:rPr>
              <w:t>Lev</w:t>
            </w:r>
          </w:p>
        </w:tc>
        <w:tc>
          <w:tcPr>
            <w:tcW w:type="dxa" w:w="3536"/>
          </w:tcPr>
          <w:p>
            <w:pPr>
              <w:pStyle w:val="MDPI42tablebody"/>
              <w:keepNext/>
              <w:spacing w:line="240" w:lineRule="auto" w:before="30" w:after="30"/>
              <w:jc w:val="center"/>
            </w:pPr>
            <w:r>
              <w:rPr>
                <w:b w:val="0"/>
                <w:i w:val="0"/>
                <w:sz w:val="18"/>
              </w:rPr>
              <w:t>−1.572*</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(0.860)</w:t>
            </w:r>
          </w:p>
        </w:tc>
      </w:tr>
      <w:tr>
        <w:trPr>
          <w:cantSplit/>
        </w:trPr>
        <w:tc>
          <w:tcPr>
            <w:tcW w:type="dxa" w:w="4321"/>
          </w:tcPr>
          <w:p>
            <w:pPr>
              <w:pStyle w:val="MDPI42tablebody"/>
              <w:keepNext/>
              <w:spacing w:line="240" w:lineRule="auto" w:before="30" w:after="30"/>
              <w:jc w:val="left"/>
            </w:pPr>
            <w:r>
              <w:rPr>
                <w:b w:val="0"/>
                <w:i/>
                <w:sz w:val="18"/>
              </w:rPr>
              <w:t>ROA</w:t>
            </w:r>
          </w:p>
        </w:tc>
        <w:tc>
          <w:tcPr>
            <w:tcW w:type="dxa" w:w="3536"/>
          </w:tcPr>
          <w:p>
            <w:pPr>
              <w:pStyle w:val="MDPI42tablebody"/>
              <w:keepNext/>
              <w:spacing w:line="240" w:lineRule="auto" w:before="30" w:after="30"/>
              <w:jc w:val="center"/>
            </w:pPr>
            <w:r>
              <w:rPr>
                <w:b w:val="0"/>
                <w:i w:val="0"/>
                <w:sz w:val="18"/>
              </w:rPr>
              <w:t>12.996***</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(1.437)</w:t>
            </w:r>
          </w:p>
        </w:tc>
      </w:tr>
      <w:tr>
        <w:trPr>
          <w:cantSplit/>
        </w:trPr>
        <w:tc>
          <w:tcPr>
            <w:tcW w:type="dxa" w:w="4321"/>
          </w:tcPr>
          <w:p>
            <w:pPr>
              <w:pStyle w:val="MDPI42tablebody"/>
              <w:keepNext/>
              <w:spacing w:line="240" w:lineRule="auto" w:before="30" w:after="30"/>
              <w:jc w:val="left"/>
            </w:pPr>
            <w:r>
              <w:rPr>
                <w:b w:val="0"/>
                <w:i/>
                <w:sz w:val="18"/>
              </w:rPr>
              <w:t>Cashflow</w:t>
            </w:r>
          </w:p>
        </w:tc>
        <w:tc>
          <w:tcPr>
            <w:tcW w:type="dxa" w:w="3536"/>
          </w:tcPr>
          <w:p>
            <w:pPr>
              <w:pStyle w:val="MDPI42tablebody"/>
              <w:keepNext/>
              <w:spacing w:line="240" w:lineRule="auto" w:before="30" w:after="30"/>
              <w:jc w:val="center"/>
            </w:pPr>
            <w:r>
              <w:rPr>
                <w:b w:val="0"/>
                <w:i w:val="0"/>
                <w:sz w:val="18"/>
              </w:rPr>
              <w:t>0.756</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(0.657)</w:t>
            </w:r>
          </w:p>
        </w:tc>
      </w:tr>
      <w:tr>
        <w:trPr>
          <w:cantSplit/>
        </w:trPr>
        <w:tc>
          <w:tcPr>
            <w:tcW w:type="dxa" w:w="4321"/>
          </w:tcPr>
          <w:p>
            <w:pPr>
              <w:pStyle w:val="MDPI42tablebody"/>
              <w:keepNext/>
              <w:spacing w:line="240" w:lineRule="auto" w:before="30" w:after="30"/>
              <w:jc w:val="left"/>
            </w:pPr>
            <w:r>
              <w:rPr>
                <w:b w:val="0"/>
                <w:i/>
                <w:sz w:val="18"/>
              </w:rPr>
              <w:t>TobinQ</w:t>
            </w:r>
          </w:p>
        </w:tc>
        <w:tc>
          <w:tcPr>
            <w:tcW w:type="dxa" w:w="3536"/>
          </w:tcPr>
          <w:p>
            <w:pPr>
              <w:pStyle w:val="MDPI42tablebody"/>
              <w:keepNext/>
              <w:spacing w:line="240" w:lineRule="auto" w:before="30" w:after="30"/>
              <w:jc w:val="center"/>
            </w:pPr>
            <w:r>
              <w:rPr>
                <w:b w:val="0"/>
                <w:i w:val="0"/>
                <w:sz w:val="18"/>
              </w:rPr>
              <w:t>0.569***</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(0.045)</w:t>
            </w:r>
          </w:p>
        </w:tc>
      </w:tr>
      <w:tr>
        <w:trPr>
          <w:cantSplit/>
        </w:trPr>
        <w:tc>
          <w:tcPr>
            <w:tcW w:type="dxa" w:w="4321"/>
          </w:tcPr>
          <w:p>
            <w:pPr>
              <w:pStyle w:val="MDPI42tablebody"/>
              <w:keepNext/>
              <w:spacing w:line="240" w:lineRule="auto" w:before="30" w:after="30"/>
              <w:jc w:val="left"/>
            </w:pPr>
            <w:r>
              <w:rPr>
                <w:b w:val="0"/>
                <w:i/>
                <w:sz w:val="18"/>
              </w:rPr>
              <w:t>Top1</w:t>
            </w:r>
          </w:p>
        </w:tc>
        <w:tc>
          <w:tcPr>
            <w:tcW w:type="dxa" w:w="3536"/>
          </w:tcPr>
          <w:p>
            <w:pPr>
              <w:pStyle w:val="MDPI42tablebody"/>
              <w:keepNext/>
              <w:spacing w:line="240" w:lineRule="auto" w:before="30" w:after="30"/>
              <w:jc w:val="center"/>
            </w:pPr>
            <w:r>
              <w:rPr>
                <w:b w:val="0"/>
                <w:i w:val="0"/>
                <w:sz w:val="18"/>
              </w:rPr>
              <w:t>−3.762*</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(1.964)</w:t>
            </w:r>
          </w:p>
        </w:tc>
      </w:tr>
      <w:tr>
        <w:trPr>
          <w:cantSplit/>
        </w:trPr>
        <w:tc>
          <w:tcPr>
            <w:tcW w:type="dxa" w:w="4321"/>
          </w:tcPr>
          <w:p>
            <w:pPr>
              <w:pStyle w:val="MDPI42tablebody"/>
              <w:keepNext/>
              <w:spacing w:line="240" w:lineRule="auto" w:before="30" w:after="30"/>
              <w:jc w:val="left"/>
            </w:pPr>
            <w:r>
              <w:rPr>
                <w:b w:val="0"/>
                <w:i/>
                <w:sz w:val="18"/>
              </w:rPr>
              <w:t>Indep</w:t>
            </w:r>
          </w:p>
        </w:tc>
        <w:tc>
          <w:tcPr>
            <w:tcW w:type="dxa" w:w="3536"/>
          </w:tcPr>
          <w:p>
            <w:pPr>
              <w:pStyle w:val="MDPI42tablebody"/>
              <w:keepNext/>
              <w:spacing w:line="240" w:lineRule="auto" w:before="30" w:after="30"/>
              <w:jc w:val="center"/>
            </w:pPr>
            <w:r>
              <w:rPr>
                <w:b w:val="0"/>
                <w:i w:val="0"/>
                <w:sz w:val="18"/>
              </w:rPr>
              <w:t>0.174</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(2.742)</w:t>
            </w:r>
          </w:p>
        </w:tc>
      </w:tr>
      <w:tr>
        <w:trPr>
          <w:cantSplit/>
        </w:trPr>
        <w:tc>
          <w:tcPr>
            <w:tcW w:type="dxa" w:w="4321"/>
          </w:tcPr>
          <w:p>
            <w:pPr>
              <w:pStyle w:val="MDPI42tablebody"/>
              <w:keepNext/>
              <w:spacing w:line="240" w:lineRule="auto" w:before="30" w:after="30"/>
              <w:jc w:val="left"/>
            </w:pPr>
            <w:r>
              <w:rPr>
                <w:b w:val="0"/>
                <w:i/>
                <w:sz w:val="18"/>
              </w:rPr>
              <w:t>Dual</w:t>
            </w:r>
          </w:p>
        </w:tc>
        <w:tc>
          <w:tcPr>
            <w:tcW w:type="dxa" w:w="3536"/>
          </w:tcPr>
          <w:p>
            <w:pPr>
              <w:pStyle w:val="MDPI42tablebody"/>
              <w:keepNext/>
              <w:spacing w:line="240" w:lineRule="auto" w:before="30" w:after="30"/>
              <w:jc w:val="center"/>
            </w:pPr>
            <w:r>
              <w:rPr>
                <w:b w:val="0"/>
                <w:i w:val="0"/>
                <w:sz w:val="18"/>
              </w:rPr>
              <w:t>−0.157</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(0.144)</w:t>
            </w:r>
          </w:p>
        </w:tc>
      </w:tr>
      <w:tr>
        <w:trPr>
          <w:cantSplit/>
        </w:trPr>
        <w:tc>
          <w:tcPr>
            <w:tcW w:type="dxa" w:w="4321"/>
          </w:tcPr>
          <w:p>
            <w:pPr>
              <w:pStyle w:val="MDPI42tablebody"/>
              <w:keepNext/>
              <w:spacing w:line="240" w:lineRule="auto" w:before="30" w:after="30"/>
              <w:jc w:val="left"/>
            </w:pPr>
            <w:r>
              <w:rPr>
                <w:b w:val="0"/>
                <w:i/>
                <w:sz w:val="18"/>
              </w:rPr>
              <w:t>Board</w:t>
            </w:r>
          </w:p>
        </w:tc>
        <w:tc>
          <w:tcPr>
            <w:tcW w:type="dxa" w:w="3536"/>
          </w:tcPr>
          <w:p>
            <w:pPr>
              <w:pStyle w:val="MDPI42tablebody"/>
              <w:keepNext/>
              <w:spacing w:line="240" w:lineRule="auto" w:before="30" w:after="30"/>
              <w:jc w:val="center"/>
            </w:pPr>
            <w:r>
              <w:rPr>
                <w:b w:val="0"/>
                <w:i w:val="0"/>
                <w:sz w:val="18"/>
              </w:rPr>
              <w:t>−0.002</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(0.871)</w:t>
            </w:r>
          </w:p>
        </w:tc>
      </w:tr>
      <w:tr>
        <w:trPr>
          <w:cantSplit/>
        </w:trPr>
        <w:tc>
          <w:tcPr>
            <w:tcW w:type="dxa" w:w="4321"/>
          </w:tcPr>
          <w:p>
            <w:pPr>
              <w:pStyle w:val="MDPI42tablebody"/>
              <w:keepNext/>
              <w:spacing w:line="240" w:lineRule="auto" w:before="30" w:after="30"/>
              <w:jc w:val="left"/>
            </w:pPr>
            <w:r>
              <w:rPr>
                <w:b w:val="0"/>
                <w:i/>
                <w:sz w:val="18"/>
              </w:rPr>
              <w:t>CapInt</w:t>
            </w:r>
          </w:p>
        </w:tc>
        <w:tc>
          <w:tcPr>
            <w:tcW w:type="dxa" w:w="3536"/>
          </w:tcPr>
          <w:p>
            <w:pPr>
              <w:pStyle w:val="MDPI42tablebody"/>
              <w:keepNext/>
              <w:spacing w:line="240" w:lineRule="auto" w:before="30" w:after="30"/>
              <w:jc w:val="center"/>
            </w:pPr>
            <w:r>
              <w:rPr>
                <w:b w:val="0"/>
                <w:i w:val="0"/>
                <w:sz w:val="18"/>
              </w:rPr>
              <w:t>−0.716*</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(0.387)</w:t>
            </w:r>
          </w:p>
        </w:tc>
      </w:tr>
      <w:tr>
        <w:trPr>
          <w:cantSplit/>
        </w:trPr>
        <w:tc>
          <w:tcPr>
            <w:tcW w:type="dxa" w:w="4321"/>
          </w:tcPr>
          <w:p>
            <w:pPr>
              <w:pStyle w:val="MDPI42tablebody"/>
              <w:keepNext/>
              <w:spacing w:line="240" w:lineRule="auto" w:before="30" w:after="30"/>
              <w:jc w:val="left"/>
            </w:pPr>
            <w:r>
              <w:rPr>
                <w:b w:val="0"/>
                <w:i/>
                <w:sz w:val="18"/>
              </w:rPr>
              <w:t>Emp</w:t>
            </w:r>
          </w:p>
        </w:tc>
        <w:tc>
          <w:tcPr>
            <w:tcW w:type="dxa" w:w="3536"/>
          </w:tcPr>
          <w:p>
            <w:pPr>
              <w:pStyle w:val="MDPI42tablebody"/>
              <w:keepNext/>
              <w:spacing w:line="240" w:lineRule="auto" w:before="30" w:after="30"/>
              <w:jc w:val="center"/>
            </w:pPr>
            <w:r>
              <w:rPr>
                <w:b w:val="0"/>
                <w:i w:val="0"/>
                <w:sz w:val="18"/>
              </w:rPr>
              <w:t>0.071</w:t>
            </w:r>
          </w:p>
        </w:tc>
      </w:tr>
      <w:tr>
        <w:trPr>
          <w:cantSplit/>
        </w:trPr>
        <w:tc>
          <w:tcPr>
            <w:tcW w:type="dxa" w:w="4321"/>
          </w:tcPr>
          <w:p>
            <w:pPr>
              <w:pStyle w:val="MDPI42tablebody"/>
              <w:keepNext/>
              <w:spacing w:line="240" w:lineRule="auto" w:before="30" w:after="30"/>
              <w:jc w:val="left"/>
            </w:pPr>
          </w:p>
        </w:tc>
        <w:tc>
          <w:tcPr>
            <w:tcW w:type="dxa" w:w="3536"/>
          </w:tcPr>
          <w:p>
            <w:pPr>
              <w:pStyle w:val="MDPI42tablebody"/>
              <w:keepNext/>
              <w:spacing w:line="240" w:lineRule="auto" w:before="30" w:after="30"/>
              <w:jc w:val="center"/>
            </w:pPr>
            <w:r>
              <w:rPr>
                <w:b w:val="0"/>
                <w:i w:val="0"/>
                <w:sz w:val="18"/>
              </w:rPr>
              <w:t>(0.436)</w:t>
            </w:r>
          </w:p>
        </w:tc>
      </w:tr>
      <w:tr>
        <w:trPr>
          <w:cantSplit/>
        </w:trPr>
        <w:tc>
          <w:tcPr>
            <w:tcW w:type="dxa" w:w="4321"/>
          </w:tcPr>
          <w:p>
            <w:pPr>
              <w:pStyle w:val="MDPI42tablebody"/>
              <w:keepNext/>
              <w:spacing w:line="240" w:lineRule="auto" w:before="30" w:after="30"/>
              <w:jc w:val="left"/>
            </w:pPr>
            <w:r>
              <w:rPr>
                <w:b w:val="0"/>
                <w:i/>
                <w:sz w:val="18"/>
              </w:rPr>
              <w:t>Threshold estimate (gamma)</w:t>
            </w:r>
          </w:p>
        </w:tc>
        <w:tc>
          <w:tcPr>
            <w:tcW w:type="dxa" w:w="3536"/>
          </w:tcPr>
          <w:p>
            <w:pPr>
              <w:pStyle w:val="MDPI42tablebody"/>
              <w:keepNext/>
              <w:spacing w:line="240" w:lineRule="auto" w:before="30" w:after="30"/>
              <w:jc w:val="center"/>
            </w:pPr>
            <w:r>
              <w:rPr>
                <w:b w:val="0"/>
                <w:i w:val="0"/>
                <w:sz w:val="18"/>
              </w:rPr>
              <w:t>2.517</w:t>
            </w:r>
          </w:p>
        </w:tc>
      </w:tr>
      <w:tr>
        <w:trPr>
          <w:cantSplit/>
        </w:trPr>
        <w:tc>
          <w:tcPr>
            <w:tcW w:type="dxa" w:w="4321"/>
          </w:tcPr>
          <w:p>
            <w:pPr>
              <w:pStyle w:val="MDPI42tablebody"/>
              <w:keepNext/>
              <w:spacing w:line="240" w:lineRule="auto" w:before="30" w:after="30"/>
              <w:jc w:val="left"/>
            </w:pPr>
            <w:r>
              <w:rPr>
                <w:b w:val="0"/>
                <w:i/>
                <w:sz w:val="18"/>
              </w:rPr>
              <w:t>95% confidence interval</w:t>
            </w:r>
          </w:p>
        </w:tc>
        <w:tc>
          <w:tcPr>
            <w:tcW w:type="dxa" w:w="3536"/>
          </w:tcPr>
          <w:p>
            <w:pPr>
              <w:pStyle w:val="MDPI42tablebody"/>
              <w:keepNext/>
              <w:spacing w:line="240" w:lineRule="auto" w:before="30" w:after="30"/>
              <w:jc w:val="center"/>
            </w:pPr>
            <w:r>
              <w:rPr>
                <w:b w:val="0"/>
                <w:i w:val="0"/>
                <w:sz w:val="18"/>
              </w:rPr>
              <w:t>[2.405, 2.752]</w:t>
            </w:r>
          </w:p>
        </w:tc>
      </w:tr>
      <w:tr>
        <w:trPr>
          <w:cantSplit/>
        </w:trPr>
        <w:tc>
          <w:tcPr>
            <w:tcW w:type="dxa" w:w="4321"/>
          </w:tcPr>
          <w:p>
            <w:pPr>
              <w:pStyle w:val="MDPI42tablebody"/>
              <w:keepNext/>
              <w:spacing w:line="240" w:lineRule="auto" w:before="30" w:after="30"/>
              <w:jc w:val="left"/>
            </w:pPr>
            <w:r>
              <w:rPr>
                <w:b w:val="0"/>
                <w:i/>
                <w:sz w:val="18"/>
              </w:rPr>
              <w:t>Share of observations below gamma</w:t>
            </w:r>
          </w:p>
        </w:tc>
        <w:tc>
          <w:tcPr>
            <w:tcW w:type="dxa" w:w="3536"/>
          </w:tcPr>
          <w:p>
            <w:pPr>
              <w:pStyle w:val="MDPI42tablebody"/>
              <w:keepNext/>
              <w:spacing w:line="240" w:lineRule="auto" w:before="30" w:after="30"/>
              <w:jc w:val="center"/>
            </w:pPr>
            <w:r>
              <w:rPr>
                <w:b w:val="0"/>
                <w:i w:val="0"/>
                <w:sz w:val="18"/>
              </w:rPr>
              <w:t>0.484</w:t>
            </w:r>
          </w:p>
        </w:tc>
      </w:tr>
      <w:tr>
        <w:trPr>
          <w:cantSplit/>
        </w:trPr>
        <w:tc>
          <w:tcPr>
            <w:tcW w:type="dxa" w:w="4321"/>
          </w:tcPr>
          <w:p>
            <w:pPr>
              <w:pStyle w:val="MDPI42tablebody"/>
              <w:keepNext/>
              <w:spacing w:line="240" w:lineRule="auto" w:before="30" w:after="30"/>
              <w:jc w:val="left"/>
            </w:pPr>
            <w:r>
              <w:rPr>
                <w:b w:val="0"/>
                <w:i/>
                <w:sz w:val="18"/>
              </w:rPr>
              <w:t>Likelihood-ratio statistic F1</w:t>
            </w:r>
          </w:p>
        </w:tc>
        <w:tc>
          <w:tcPr>
            <w:tcW w:type="dxa" w:w="3536"/>
          </w:tcPr>
          <w:p>
            <w:pPr>
              <w:pStyle w:val="MDPI42tablebody"/>
              <w:keepNext/>
              <w:spacing w:line="240" w:lineRule="auto" w:before="30" w:after="30"/>
              <w:jc w:val="center"/>
            </w:pPr>
            <w:r>
              <w:rPr>
                <w:b w:val="0"/>
                <w:i w:val="0"/>
                <w:sz w:val="18"/>
              </w:rPr>
              <w:t>812.6</w:t>
            </w:r>
          </w:p>
        </w:tc>
      </w:tr>
      <w:tr>
        <w:trPr>
          <w:cantSplit/>
        </w:trPr>
        <w:tc>
          <w:tcPr>
            <w:tcW w:type="dxa" w:w="4321"/>
          </w:tcPr>
          <w:p>
            <w:pPr>
              <w:pStyle w:val="MDPI42tablebody"/>
              <w:keepNext/>
              <w:spacing w:line="240" w:lineRule="auto" w:before="30" w:after="30"/>
              <w:jc w:val="left"/>
            </w:pPr>
            <w:r>
              <w:rPr>
                <w:b w:val="0"/>
                <w:i/>
                <w:sz w:val="18"/>
              </w:rPr>
              <w:t>Bootstrap p-value</w:t>
            </w:r>
          </w:p>
        </w:tc>
        <w:tc>
          <w:tcPr>
            <w:tcW w:type="dxa" w:w="3536"/>
          </w:tcPr>
          <w:p>
            <w:pPr>
              <w:pStyle w:val="MDPI42tablebody"/>
              <w:keepNext/>
              <w:spacing w:line="240" w:lineRule="auto" w:before="30" w:after="30"/>
              <w:jc w:val="center"/>
            </w:pPr>
            <w:r>
              <w:rPr>
                <w:b w:val="0"/>
                <w:i w:val="0"/>
                <w:sz w:val="18"/>
              </w:rPr>
              <w:t>0.000</w:t>
            </w:r>
          </w:p>
        </w:tc>
      </w:tr>
      <w:tr>
        <w:trPr>
          <w:cantSplit/>
        </w:trPr>
        <w:tc>
          <w:tcPr>
            <w:tcW w:type="dxa" w:w="4321"/>
          </w:tcPr>
          <w:p>
            <w:pPr>
              <w:pStyle w:val="MDPI42tablebody"/>
              <w:keepNext/>
              <w:spacing w:line="240" w:lineRule="auto" w:before="30" w:after="30"/>
              <w:jc w:val="left"/>
            </w:pPr>
            <w:r>
              <w:rPr>
                <w:b w:val="0"/>
                <w:i/>
                <w:sz w:val="18"/>
              </w:rPr>
              <w:t>Bootstrap replications</w:t>
            </w:r>
          </w:p>
        </w:tc>
        <w:tc>
          <w:tcPr>
            <w:tcW w:type="dxa" w:w="3536"/>
          </w:tcPr>
          <w:p>
            <w:pPr>
              <w:pStyle w:val="MDPI42tablebody"/>
              <w:keepNext/>
              <w:spacing w:line="240" w:lineRule="auto" w:before="30" w:after="30"/>
              <w:jc w:val="center"/>
            </w:pPr>
            <w:r>
              <w:rPr>
                <w:b w:val="0"/>
                <w:i w:val="0"/>
                <w:sz w:val="18"/>
              </w:rPr>
              <w:t>500</w:t>
            </w:r>
          </w:p>
        </w:tc>
      </w:tr>
      <w:tr>
        <w:trPr>
          <w:cantSplit/>
        </w:trPr>
        <w:tc>
          <w:tcPr>
            <w:tcW w:type="dxa" w:w="4321"/>
          </w:tcPr>
          <w:p>
            <w:pPr>
              <w:pStyle w:val="MDPI42tablebody"/>
              <w:keepNext/>
              <w:spacing w:line="240" w:lineRule="auto" w:before="30" w:after="30"/>
              <w:jc w:val="left"/>
            </w:pPr>
            <w:r>
              <w:rPr>
                <w:b w:val="0"/>
                <w:i/>
                <w:sz w:val="18"/>
              </w:rPr>
              <w:t>Year FE</w:t>
            </w:r>
          </w:p>
        </w:tc>
        <w:tc>
          <w:tcPr>
            <w:tcW w:type="dxa" w:w="3536"/>
          </w:tcPr>
          <w:p>
            <w:pPr>
              <w:pStyle w:val="MDPI42tablebody"/>
              <w:keepNext/>
              <w:spacing w:line="240" w:lineRule="auto" w:before="30" w:after="30"/>
              <w:jc w:val="center"/>
            </w:pPr>
            <w:r>
              <w:rPr>
                <w:b w:val="0"/>
                <w:i w:val="0"/>
                <w:sz w:val="18"/>
              </w:rPr>
              <w:t>YES</w:t>
            </w:r>
          </w:p>
        </w:tc>
      </w:tr>
      <w:tr>
        <w:trPr>
          <w:cantSplit/>
        </w:trPr>
        <w:tc>
          <w:tcPr>
            <w:tcW w:type="dxa" w:w="4321"/>
          </w:tcPr>
          <w:p>
            <w:pPr>
              <w:pStyle w:val="MDPI42tablebody"/>
              <w:keepNext/>
              <w:spacing w:line="240" w:lineRule="auto" w:before="30" w:after="30"/>
              <w:jc w:val="left"/>
            </w:pPr>
            <w:r>
              <w:rPr>
                <w:b w:val="0"/>
                <w:i/>
                <w:sz w:val="18"/>
              </w:rPr>
              <w:t>Firm FE</w:t>
            </w:r>
          </w:p>
        </w:tc>
        <w:tc>
          <w:tcPr>
            <w:tcW w:type="dxa" w:w="3536"/>
          </w:tcPr>
          <w:p>
            <w:pPr>
              <w:pStyle w:val="MDPI42tablebody"/>
              <w:keepNext/>
              <w:spacing w:line="240" w:lineRule="auto" w:before="30" w:after="30"/>
              <w:jc w:val="center"/>
            </w:pPr>
            <w:r>
              <w:rPr>
                <w:b w:val="0"/>
                <w:i w:val="0"/>
                <w:sz w:val="18"/>
              </w:rPr>
              <w:t>YES</w:t>
            </w:r>
          </w:p>
        </w:tc>
      </w:tr>
      <w:tr>
        <w:trPr>
          <w:cantSplit/>
        </w:trPr>
        <w:tc>
          <w:tcPr>
            <w:tcW w:type="dxa" w:w="4321"/>
          </w:tcPr>
          <w:p>
            <w:pPr>
              <w:pStyle w:val="MDPI42tablebody"/>
              <w:keepNext/>
              <w:spacing w:line="240" w:lineRule="auto" w:before="30" w:after="30"/>
              <w:jc w:val="left"/>
            </w:pPr>
            <w:r>
              <w:rPr>
                <w:b w:val="0"/>
                <w:i/>
                <w:sz w:val="18"/>
              </w:rPr>
              <w:t>Observations</w:t>
            </w:r>
          </w:p>
        </w:tc>
        <w:tc>
          <w:tcPr>
            <w:tcW w:type="dxa" w:w="3536"/>
          </w:tcPr>
          <w:p>
            <w:pPr>
              <w:pStyle w:val="MDPI42tablebody"/>
              <w:keepNext/>
              <w:spacing w:line="240" w:lineRule="auto" w:before="30" w:after="30"/>
              <w:jc w:val="center"/>
            </w:pPr>
            <w:r>
              <w:rPr>
                <w:b w:val="0"/>
                <w:i w:val="0"/>
                <w:sz w:val="18"/>
              </w:rPr>
              <w:t>36,064</w:t>
            </w:r>
          </w:p>
        </w:tc>
      </w:tr>
      <w:tr>
        <w:trPr>
          <w:cantSplit/>
        </w:trPr>
        <w:tc>
          <w:tcPr>
            <w:tcW w:type="dxa" w:w="4321"/>
          </w:tcPr>
          <w:p>
            <w:pPr>
              <w:pStyle w:val="MDPI42tablebody"/>
              <w:spacing w:line="240" w:lineRule="auto" w:before="30" w:after="30"/>
              <w:jc w:val="left"/>
            </w:pPr>
            <w:r>
              <w:rPr>
                <w:b w:val="0"/>
                <w:i/>
                <w:sz w:val="18"/>
              </w:rPr>
              <w:t>R-squared</w:t>
            </w:r>
          </w:p>
        </w:tc>
        <w:tc>
          <w:tcPr>
            <w:tcW w:type="dxa" w:w="3536"/>
          </w:tcPr>
          <w:p>
            <w:pPr>
              <w:pStyle w:val="MDPI42tablebody"/>
              <w:spacing w:line="240" w:lineRule="auto" w:before="30" w:after="30"/>
              <w:jc w:val="center"/>
            </w:pPr>
            <w:r>
              <w:rPr>
                <w:b w:val="0"/>
                <w:i w:val="0"/>
                <w:sz w:val="18"/>
              </w:rPr>
              <w:t>0.053</w:t>
            </w:r>
          </w:p>
        </w:tc>
      </w:tr>
    </w:tbl>
    <w:p>
      <w:pPr>
        <w:pStyle w:val="MDPI43tablefooter"/>
        <w:spacing w:line="240" w:lineRule="auto" w:before="40" w:after="200"/>
        <w:ind w:left="2608" w:firstLine="0"/>
      </w:pPr>
      <w:r>
        <w:rPr>
          <w:sz w:val="16"/>
        </w:rPr>
        <w:t xml:space="preserve">Note: </w:t>
      </w:r>
      <w:r>
        <w:rPr>
          <w:b w:val="0"/>
          <w:i w:val="0"/>
          <w:sz w:val="16"/>
        </w:rPr>
        <w:t>The threshold variable is Variety and the slope on Shock is allowed to differ across the two regimes it defines. The threshold is estimated by concentrated least squares on a grid of the trimmed empirical quantiles of Variety; its confidence interval inverts the sequence of likelihood ratios at the asymptotic critical value of 7.35. The null hypothesis of the likelihood-ratio statistic is that no threshold is present and its p-value comes from a fixed-regressor bootstrap with 500 replications.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52figure"/>
        <w:keepNext/>
        <w:ind w:left="2608" w:firstLine="0"/>
        <w:jc w:val="center"/>
      </w:pPr>
      <w:r>
        <w:drawing>
          <wp:inline xmlns:a="http://schemas.openxmlformats.org/drawingml/2006/main" xmlns:pic="http://schemas.openxmlformats.org/drawingml/2006/picture">
            <wp:extent cx="4752000" cy="1799834"/>
            <wp:docPr id="3" name="Picture 3"/>
            <wp:cNvGraphicFramePr>
              <a:graphicFrameLocks noChangeAspect="1"/>
            </wp:cNvGraphicFramePr>
            <a:graphic>
              <a:graphicData uri="http://schemas.openxmlformats.org/drawingml/2006/picture">
                <pic:pic>
                  <pic:nvPicPr>
                    <pic:cNvPr id="0" name="figure3_threshold.png"/>
                    <pic:cNvPicPr/>
                  </pic:nvPicPr>
                  <pic:blipFill>
                    <a:blip r:embed="rId19"/>
                    <a:stretch>
                      <a:fillRect/>
                    </a:stretch>
                  </pic:blipFill>
                  <pic:spPr>
                    <a:xfrm>
                      <a:off x="0" y="0"/>
                      <a:ext cx="4752000" cy="1799834"/>
                    </a:xfrm>
                    <a:prstGeom prst="rect"/>
                  </pic:spPr>
                </pic:pic>
              </a:graphicData>
            </a:graphic>
          </wp:inline>
        </w:drawing>
      </w:r>
    </w:p>
    <w:p>
      <w:pPr>
        <w:pStyle w:val="MDPI51figurecaption"/>
        <w:spacing w:after="200"/>
      </w:pPr>
      <w:r>
        <w:rPr>
          <w:b/>
          <w:sz w:val="18"/>
        </w:rPr>
        <w:t xml:space="preserve">Figure 3. </w:t>
      </w:r>
      <w:r>
        <w:rPr>
          <w:b w:val="0"/>
          <w:i w:val="0"/>
          <w:sz w:val="18"/>
        </w:rPr>
        <w:t>The requisite-variety threshold and the regime-specific shock coefficients.</w:t>
      </w:r>
    </w:p>
    <w:p>
      <w:pPr>
        <w:pStyle w:val="MDPI21heading1"/>
      </w:pPr>
      <w:r>
        <w:t>5. Discussion and Implications</w:t>
      </w:r>
    </w:p>
    <w:p>
      <w:pPr>
        <w:pStyle w:val="MDPI22heading2"/>
      </w:pPr>
      <w:r>
        <w:t>5.1. Variety as a Stock of Regulatory Capacity (H1 and H2)</w:t>
      </w:r>
    </w:p>
    <w:p>
      <w:pPr>
        <w:pStyle w:val="MDPI32textnoindent"/>
      </w:pPr>
      <w:r>
        <w:rPr>
          <w:b w:val="0"/>
          <w:i w:val="0"/>
        </w:rPr>
        <w:t xml:space="preserve">Hypotheses 1 and 2 were confirmed. Workforce skill variety is associated with a higher youth employment share and with a markedly weaker transmission of industry demand shocks to it, and the second finding survives instrumental variables, propensity score matching, entropy balancing, seven robustness specifications and an age placebo. The result gives empirical content to a proposition that organizational resilience research has asserted without specifying: that resilience is a capacity rather than an outcome </w:t>
      </w:r>
      <w:r>
        <w:t>[</w:t>
      </w:r>
      <w:r>
        <w:fldChar w:fldCharType="begin"/>
      </w:r>
      <w:r>
        <w:instrText xml:space="preserve"> REF _Ref_18 \h </w:instrText>
      </w:r>
      <w:r>
        <w:fldChar w:fldCharType="separate"/>
      </w:r>
      <w:r>
        <w:t>18</w:t>
      </w:r>
      <w:r>
        <w:fldChar w:fldCharType="end"/>
      </w:r>
      <w:r>
        <w:t>–</w:t>
      </w:r>
      <w:r>
        <w:fldChar w:fldCharType="begin"/>
      </w:r>
      <w:r>
        <w:instrText xml:space="preserve"> REF _Ref_20 \h </w:instrText>
      </w:r>
      <w:r>
        <w:fldChar w:fldCharType="separate"/>
      </w:r>
      <w:r>
        <w:t>20</w:t>
      </w:r>
      <w:r>
        <w:fldChar w:fldCharType="end"/>
      </w:r>
      <w:r>
        <w:t>]</w:t>
      </w:r>
      <w:r>
        <w:rPr>
          <w:b w:val="0"/>
          <w:i w:val="0"/>
        </w:rPr>
        <w:t xml:space="preserve">. What this study adds is a measure of the capacity that is prior to the shock, observable from public disclosure, and theoretically grounded in the requirement that a regulator match the variety of what it regulates </w:t>
      </w:r>
      <w:r>
        <w:t>[</w:t>
      </w:r>
      <w:r>
        <w:fldChar w:fldCharType="begin"/>
      </w:r>
      <w:r>
        <w:instrText xml:space="preserve"> REF _Ref_14 \h </w:instrText>
      </w:r>
      <w:r>
        <w:fldChar w:fldCharType="separate"/>
      </w:r>
      <w:r>
        <w:t>14</w:t>
      </w:r>
      <w:r>
        <w:fldChar w:fldCharType="end"/>
      </w:r>
      <w:r>
        <w:t>]</w:t>
      </w:r>
      <w:r>
        <w:rPr>
          <w:b w:val="0"/>
          <w:i w:val="0"/>
        </w:rPr>
        <w:t>.</w:t>
      </w:r>
    </w:p>
    <w:p>
      <w:pPr>
        <w:pStyle w:val="MDPI22heading2"/>
      </w:pPr>
      <w:r>
        <w:t>5.2. Which Kind of Variety Absorbs (H3)</w:t>
      </w:r>
    </w:p>
    <w:p>
      <w:pPr>
        <w:pStyle w:val="MDPI32textnoindent"/>
      </w:pPr>
      <w:r>
        <w:rPr>
          <w:b w:val="0"/>
          <w:i w:val="0"/>
        </w:rPr>
        <w:t xml:space="preserve">Hypothesis 3 was validated, and the result carries a warning for practice. Related variety, the depth of educational differentiation within occupational families, buffers considerably more strongly than unrelated variety, the spread across families. The reason is that absorption requires a person to move, and movement is governed by cognitive proximity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rPr>
          <w:b w:val="0"/>
          <w:i w:val="0"/>
        </w:rPr>
        <w:t xml:space="preserve">. A firm that diversifies across unrelated activities acquires the portfolio insurance of Ref. </w:t>
      </w:r>
      <w:r>
        <w:t>[</w:t>
      </w:r>
      <w:r>
        <w:fldChar w:fldCharType="begin"/>
      </w:r>
      <w:r>
        <w:instrText xml:space="preserve"> REF _Ref_23 \h </w:instrText>
      </w:r>
      <w:r>
        <w:fldChar w:fldCharType="separate"/>
      </w:r>
      <w:r>
        <w:t>23</w:t>
      </w:r>
      <w:r>
        <w:fldChar w:fldCharType="end"/>
      </w:r>
      <w:r>
        <w:t>]</w:t>
      </w:r>
      <w:r>
        <w:rPr>
          <w:b w:val="0"/>
          <w:i w:val="0"/>
        </w:rPr>
        <w:t xml:space="preserve"> but not the option to redeploy, because the people in one activity cannot do the work of another. This reverses a common managerial intuition. Breadth without depth looks like variety on an organization chart and is not variety in the regulatory sense. The qualification noted in Section 4.4 matters for practice rather than for theory: because listed firms already differ more in their unrelated than in their related variety, the two components currently contribute comparable amounts to the observed dispersion in resilience, so the higher productivity of related variety is an argument about where the next unit should be invested, not about where existing differences come from.</w:t>
      </w:r>
    </w:p>
    <w:p>
      <w:pPr>
        <w:pStyle w:val="MDPI22heading2"/>
      </w:pPr>
      <w:r>
        <w:t>5.3. How Absorption Happens (H4)</w:t>
      </w:r>
    </w:p>
    <w:p>
      <w:pPr>
        <w:pStyle w:val="MDPI32textnoindent"/>
      </w:pPr>
      <w:r>
        <w:rPr>
          <w:b w:val="0"/>
          <w:i w:val="0"/>
        </w:rPr>
        <w:t xml:space="preserve">Hypothesis 4 was supported, and the decomposition locates the managerial act precisely. Of the buffering effect, 32.5 percent travels through suppressed churn and only 13.7 percent through visible internal redeployment. Absorption is therefore mostly a decision not to separate rather than a programme of reassignment, which is consistent with the organizational literature on how firms cope with the unexpected: much of what a resilient organization does is refrain from the locally rational response </w:t>
      </w:r>
      <w:r>
        <w:t>[</w:t>
      </w:r>
      <w:r>
        <w:fldChar w:fldCharType="begin"/>
      </w:r>
      <w:r>
        <w:instrText xml:space="preserve"> REF _Ref_17 \h </w:instrText>
      </w:r>
      <w:r>
        <w:fldChar w:fldCharType="separate"/>
      </w:r>
      <w:r>
        <w:t>17</w:t>
      </w:r>
      <w:r>
        <w:fldChar w:fldCharType="end"/>
      </w:r>
      <w:r>
        <w:t>,</w:t>
      </w:r>
      <w:r>
        <w:fldChar w:fldCharType="begin"/>
      </w:r>
      <w:r>
        <w:instrText xml:space="preserve"> REF _Ref_63 \h </w:instrText>
      </w:r>
      <w:r>
        <w:fldChar w:fldCharType="separate"/>
      </w:r>
      <w:r>
        <w:t>63</w:t>
      </w:r>
      <w:r>
        <w:fldChar w:fldCharType="end"/>
      </w:r>
      <w:r>
        <w:t>]</w:t>
      </w:r>
      <w:r>
        <w:rPr>
          <w:b w:val="0"/>
          <w:i w:val="0"/>
        </w:rPr>
        <w:t>. The practical implication is that the capacity is exercised quietly and will not appear in any register of reorganization initiatives.</w:t>
      </w:r>
    </w:p>
    <w:p>
      <w:pPr>
        <w:pStyle w:val="MDPI22heading2"/>
      </w:pPr>
      <w:r>
        <w:t>5.4. The Requisite-Variety Condition (H5)</w:t>
      </w:r>
    </w:p>
    <w:p>
      <w:pPr>
        <w:pStyle w:val="MDPI32textnoindent"/>
      </w:pPr>
      <w:r>
        <w:rPr>
          <w:b w:val="0"/>
          <w:i w:val="0"/>
        </w:rPr>
        <w:t xml:space="preserve">Hypothesis 5 is strongly supported by the threshold estimates, and it is the finding on which the contribution of this paper rests. Ashby’s law is not a statement that more regulatory variety is better; it is a sufficiency condition, and sufficiency conditions imply discontinuities </w:t>
      </w:r>
      <w:r>
        <w:t>[</w:t>
      </w:r>
      <w:r>
        <w:fldChar w:fldCharType="begin"/>
      </w:r>
      <w:r>
        <w:instrText xml:space="preserve"> REF _Ref_14 \h </w:instrText>
      </w:r>
      <w:r>
        <w:fldChar w:fldCharType="separate"/>
      </w:r>
      <w:r>
        <w:t>14</w:t>
      </w:r>
      <w:r>
        <w:fldChar w:fldCharType="end"/>
      </w:r>
      <w:r>
        <w:t>,</w:t>
      </w:r>
      <w:r>
        <w:fldChar w:fldCharType="begin"/>
      </w:r>
      <w:r>
        <w:instrText xml:space="preserve"> REF _Ref_15 \h </w:instrText>
      </w:r>
      <w:r>
        <w:fldChar w:fldCharType="separate"/>
      </w:r>
      <w:r>
        <w:t>15</w:t>
      </w:r>
      <w:r>
        <w:fldChar w:fldCharType="end"/>
      </w:r>
      <w:r>
        <w:t>]</w:t>
      </w:r>
      <w:r>
        <w:rPr>
          <w:b w:val="0"/>
          <w:i w:val="0"/>
        </w:rPr>
        <w:t>. The data locate one. Below 2.52 bits of workforce variety the demand shock is transmitted to young employees essentially in full; above it the transmission is economically negligible. That 48 percent of Chinese listed firm-years lie below the threshold is the substantive counterpart of the statistic: for the majority of firms, current workforce structure is not merely a weaker buffer but no buffer at all.</w:t>
      </w:r>
    </w:p>
    <w:p>
      <w:pPr>
        <w:pStyle w:val="MDPI31text"/>
      </w:pPr>
      <w:r>
        <w:rPr>
          <w:b w:val="0"/>
          <w:i w:val="0"/>
        </w:rPr>
        <w:t xml:space="preserve">This has a consequence for how resilience should be measured. A linear interaction, which is what the moderation literature reports, averages over two regimes that differ in kind and therefore understates the position of firms in the vulnerable regime while overstating that of firms just below the threshold. It also changes the shape of the policy problem. If the relationship were a gradient, any increase in variety would buy a proportionate reduction in vulnerability, and incremental measures would be worthwhile everywhere. Because it is a regime, increments below the threshold buy very little, and the return to raising variety is concentrated at the crossing </w:t>
      </w:r>
      <w:r>
        <w:t>[</w:t>
      </w:r>
      <w:r>
        <w:fldChar w:fldCharType="begin"/>
      </w:r>
      <w:r>
        <w:instrText xml:space="preserve"> REF _Ref_86 \h </w:instrText>
      </w:r>
      <w:r>
        <w:fldChar w:fldCharType="separate"/>
      </w:r>
      <w:r>
        <w:t>86</w:t>
      </w:r>
      <w:r>
        <w:fldChar w:fldCharType="end"/>
      </w:r>
      <w:r>
        <w:t>,</w:t>
      </w:r>
      <w:r>
        <w:fldChar w:fldCharType="begin"/>
      </w:r>
      <w:r>
        <w:instrText xml:space="preserve"> REF _Ref_87 \h </w:instrText>
      </w:r>
      <w:r>
        <w:fldChar w:fldCharType="separate"/>
      </w:r>
      <w:r>
        <w:t>87</w:t>
      </w:r>
      <w:r>
        <w:fldChar w:fldCharType="end"/>
      </w:r>
      <w:r>
        <w:t>]</w:t>
      </w:r>
      <w:r>
        <w:rPr>
          <w:b w:val="0"/>
          <w:i w:val="0"/>
        </w:rPr>
        <w:t>.</w:t>
      </w:r>
    </w:p>
    <w:p>
      <w:pPr>
        <w:pStyle w:val="MDPI22heading2"/>
      </w:pPr>
      <w:r>
        <w:t>5.5. When the Buffer Works Best (H6a and H6b)</w:t>
      </w:r>
    </w:p>
    <w:p>
      <w:pPr>
        <w:pStyle w:val="MDPI32textnoindent"/>
      </w:pPr>
      <w:r>
        <w:rPr>
          <w:b w:val="0"/>
          <w:i w:val="0"/>
        </w:rPr>
        <w:t xml:space="preserve">Hypotheses 6a and 6b were both supported. Digital capability and financial slack each strengthen the conversion of variety into absorption, and they do so independently. The distinction between holding a capacity and being able to use it is a familiar one in systems thinking, where a regulator requires both the variety to match the disturbance and the channel capacity to apply it </w:t>
      </w:r>
      <w:r>
        <w:t>[</w:t>
      </w:r>
      <w:r>
        <w:fldChar w:fldCharType="begin"/>
      </w:r>
      <w:r>
        <w:instrText xml:space="preserve"> REF _Ref_14 \h </w:instrText>
      </w:r>
      <w:r>
        <w:fldChar w:fldCharType="separate"/>
      </w:r>
      <w:r>
        <w:t>14</w:t>
      </w:r>
      <w:r>
        <w:fldChar w:fldCharType="end"/>
      </w:r>
      <w:r>
        <w:t>,</w:t>
      </w:r>
      <w:r>
        <w:fldChar w:fldCharType="begin"/>
      </w:r>
      <w:r>
        <w:instrText xml:space="preserve"> REF _Ref_15 \h </w:instrText>
      </w:r>
      <w:r>
        <w:fldChar w:fldCharType="separate"/>
      </w:r>
      <w:r>
        <w:t>15</w:t>
      </w:r>
      <w:r>
        <w:fldChar w:fldCharType="end"/>
      </w:r>
      <w:r>
        <w:t>]</w:t>
      </w:r>
      <w:r>
        <w:rPr>
          <w:b w:val="0"/>
          <w:i w:val="0"/>
        </w:rPr>
        <w:t>. Here the channel is informational on one side and financial on the other: a firm must know which of its people can do which work, and it must be able to afford to carry them while the reallocation happens.</w:t>
      </w:r>
    </w:p>
    <w:p>
      <w:pPr>
        <w:pStyle w:val="MDPI22heading2"/>
      </w:pPr>
      <w:r>
        <w:t>5.6. Theoretical Contributions</w:t>
      </w:r>
    </w:p>
    <w:p>
      <w:pPr>
        <w:pStyle w:val="MDPI32textnoindent"/>
      </w:pPr>
      <w:r>
        <w:rPr>
          <w:b w:val="0"/>
          <w:i w:val="0"/>
        </w:rPr>
        <w:t xml:space="preserve">This study makes three theoretical contributions. First, it operationalizes the law of requisite variety for employment, replacing a metaphor with a measured quantity, an externally constructed disturbance and an estimated sufficiency threshold. Second, it connects the entropy decomposition that Ref. </w:t>
      </w:r>
      <w:r>
        <w:t>[</w:t>
      </w:r>
      <w:r>
        <w:fldChar w:fldCharType="begin"/>
      </w:r>
      <w:r>
        <w:instrText xml:space="preserve"> REF _Ref_23 \h </w:instrText>
      </w:r>
      <w:r>
        <w:fldChar w:fldCharType="separate"/>
      </w:r>
      <w:r>
        <w:t>23</w:t>
      </w:r>
      <w:r>
        <w:fldChar w:fldCharType="end"/>
      </w:r>
      <w:r>
        <w:t>]</w:t>
      </w:r>
      <w:r>
        <w:rPr>
          <w:b w:val="0"/>
          <w:i w:val="0"/>
        </w:rPr>
        <w:t xml:space="preserve"> developed for regional economies to the internal structure of the firm, and shows that the related and unrelated components play the roles that the proximity literature predicts </w:t>
      </w:r>
      <w:r>
        <w:t>[</w:t>
      </w:r>
      <w:r>
        <w:fldChar w:fldCharType="begin"/>
      </w:r>
      <w:r>
        <w:instrText xml:space="preserve"> REF _Ref_24 \h </w:instrText>
      </w:r>
      <w:r>
        <w:fldChar w:fldCharType="separate"/>
      </w:r>
      <w:r>
        <w:t>24</w:t>
      </w:r>
      <w:r>
        <w:fldChar w:fldCharType="end"/>
      </w:r>
      <w:r>
        <w:t>,</w:t>
      </w:r>
      <w:r>
        <w:fldChar w:fldCharType="begin"/>
      </w:r>
      <w:r>
        <w:instrText xml:space="preserve"> REF _Ref_60 \h </w:instrText>
      </w:r>
      <w:r>
        <w:fldChar w:fldCharType="separate"/>
      </w:r>
      <w:r>
        <w:t>60</w:t>
      </w:r>
      <w:r>
        <w:fldChar w:fldCharType="end"/>
      </w:r>
      <w:r>
        <w:t>]</w:t>
      </w:r>
      <w:r>
        <w:rPr>
          <w:b w:val="0"/>
          <w:i w:val="0"/>
        </w:rPr>
        <w:t xml:space="preserve">. Third, it supplies the organizational resilience literature with an antecedent that is observable before the shock arrives, which addresses the circularity of inferring capacity from recovery </w:t>
      </w:r>
      <w:r>
        <w:t>[</w:t>
      </w:r>
      <w:r>
        <w:fldChar w:fldCharType="begin"/>
      </w:r>
      <w:r>
        <w:instrText xml:space="preserve"> REF _Ref_18 \h </w:instrText>
      </w:r>
      <w:r>
        <w:fldChar w:fldCharType="separate"/>
      </w:r>
      <w:r>
        <w:t>18</w:t>
      </w:r>
      <w:r>
        <w:fldChar w:fldCharType="end"/>
      </w:r>
      <w:r>
        <w:t>,</w:t>
      </w:r>
      <w:r>
        <w:fldChar w:fldCharType="begin"/>
      </w:r>
      <w:r>
        <w:instrText xml:space="preserve"> REF _Ref_49 \h </w:instrText>
      </w:r>
      <w:r>
        <w:fldChar w:fldCharType="separate"/>
      </w:r>
      <w:r>
        <w:t>49</w:t>
      </w:r>
      <w:r>
        <w:fldChar w:fldCharType="end"/>
      </w:r>
      <w:r>
        <w:t>]</w:t>
      </w:r>
      <w:r>
        <w:rPr>
          <w:b w:val="0"/>
          <w:i w:val="0"/>
        </w:rPr>
        <w:t xml:space="preserve">. In doing so it also contributes to the labor economics of adjustment, which has established that the young absorb the shock </w:t>
      </w:r>
      <w:r>
        <w:t>[</w:t>
      </w:r>
      <w:r>
        <w:fldChar w:fldCharType="begin"/>
      </w:r>
      <w:r>
        <w:instrText xml:space="preserve"> REF _Ref_9 \h </w:instrText>
      </w:r>
      <w:r>
        <w:fldChar w:fldCharType="separate"/>
      </w:r>
      <w:r>
        <w:t>9</w:t>
      </w:r>
      <w:r>
        <w:fldChar w:fldCharType="end"/>
      </w:r>
      <w:r>
        <w:t>,</w:t>
      </w:r>
      <w:r>
        <w:fldChar w:fldCharType="begin"/>
      </w:r>
      <w:r>
        <w:instrText xml:space="preserve"> REF _Ref_11 \h </w:instrText>
      </w:r>
      <w:r>
        <w:fldChar w:fldCharType="separate"/>
      </w:r>
      <w:r>
        <w:t>11</w:t>
      </w:r>
      <w:r>
        <w:fldChar w:fldCharType="end"/>
      </w:r>
      <w:r>
        <w:t>]</w:t>
      </w:r>
      <w:r>
        <w:rPr>
          <w:b w:val="0"/>
          <w:i w:val="0"/>
        </w:rPr>
        <w:t xml:space="preserve"> without explaining the dispersion in how much of it they absorb.</w:t>
      </w:r>
    </w:p>
    <w:p>
      <w:pPr>
        <w:pStyle w:val="MDPI22heading2"/>
      </w:pPr>
      <w:r>
        <w:t>5.7. Managerial and Policy Implications</w:t>
      </w:r>
    </w:p>
    <w:p>
      <w:pPr>
        <w:pStyle w:val="MDPI32textnoindent"/>
      </w:pPr>
      <w:r>
        <w:rPr>
          <w:b w:val="0"/>
          <w:i w:val="0"/>
        </w:rPr>
        <w:t>For firm managers, the results argue for treating workforce structure as a risk-management instrument rather than as a by-product of hiring. Three practices follow. Monitor the entropy of the workforce distribution alongside its headcount, since two firms of identical size and cost can differ by a factor of two in how much of an industry shock reaches their employees. Build depth within occupational families rather than breadth across them, because it is related variety that confers the option to redeploy. And invest in the informational infrastructure that records what people can do, since variety that management cannot see cannot be used.</w:t>
      </w:r>
    </w:p>
    <w:p>
      <w:pPr>
        <w:pStyle w:val="MDPI31text"/>
      </w:pPr>
      <w:r>
        <w:rPr>
          <w:b w:val="0"/>
          <w:i w:val="0"/>
        </w:rPr>
        <w:t>For human resource functions the threshold result is the operative one. A firm below the critical level should not expect proportionate returns from incremental diversification; the objective is to cross, not to inch upward. Since the crossing is defined over a measurable quantity, it can be set as a target and audited.</w:t>
      </w:r>
    </w:p>
    <w:p>
      <w:pPr>
        <w:pStyle w:val="MDPI31text"/>
      </w:pPr>
      <w:r>
        <w:rPr>
          <w:b w:val="0"/>
          <w:i w:val="0"/>
        </w:rPr>
        <w:t xml:space="preserve">For policymakers the implications are addressed to specific actors. Employment ministries and local labor bureaus operating graduate-hiring subsidies should note that the same subsidy buys different amounts of durable employment depending on where the recipient firm sits relative to the threshold, and that support conditioned on the breadth of the roles a graduate may occupy is more durable than support conditioned on headcount alone. Industrial policy authorities encouraging digital transformation </w:t>
      </w:r>
      <w:r>
        <w:t>[</w:t>
      </w:r>
      <w:r>
        <w:fldChar w:fldCharType="begin"/>
      </w:r>
      <w:r>
        <w:instrText xml:space="preserve"> REF _Ref_88 \h </w:instrText>
      </w:r>
      <w:r>
        <w:fldChar w:fldCharType="separate"/>
      </w:r>
      <w:r>
        <w:t>88</w:t>
      </w:r>
      <w:r>
        <w:fldChar w:fldCharType="end"/>
      </w:r>
      <w:r>
        <w:t>,</w:t>
      </w:r>
      <w:r>
        <w:fldChar w:fldCharType="begin"/>
      </w:r>
      <w:r>
        <w:instrText xml:space="preserve"> REF _Ref_89 \h </w:instrText>
      </w:r>
      <w:r>
        <w:fldChar w:fldCharType="separate"/>
      </w:r>
      <w:r>
        <w:t>89</w:t>
      </w:r>
      <w:r>
        <w:fldChar w:fldCharType="end"/>
      </w:r>
      <w:r>
        <w:t>]</w:t>
      </w:r>
      <w:r>
        <w:rPr>
          <w:b w:val="0"/>
          <w:i w:val="0"/>
        </w:rPr>
        <w:t xml:space="preserve"> have a second reason to do so, since digital capability is what converts existing workforce variety into shock absorption. Education authorities facing record graduate cohorts </w:t>
      </w:r>
      <w:r>
        <w:t>[</w:t>
      </w:r>
      <w:r>
        <w:fldChar w:fldCharType="begin"/>
      </w:r>
      <w:r>
        <w:instrText xml:space="preserve"> REF _Ref_3 \h </w:instrText>
      </w:r>
      <w:r>
        <w:fldChar w:fldCharType="separate"/>
      </w:r>
      <w:r>
        <w:t>3</w:t>
      </w:r>
      <w:r>
        <w:fldChar w:fldCharType="end"/>
      </w:r>
      <w:r>
        <w:t>,</w:t>
      </w:r>
      <w:r>
        <w:fldChar w:fldCharType="begin"/>
      </w:r>
      <w:r>
        <w:instrText xml:space="preserve"> REF _Ref_90 \h </w:instrText>
      </w:r>
      <w:r>
        <w:fldChar w:fldCharType="separate"/>
      </w:r>
      <w:r>
        <w:t>90</w:t>
      </w:r>
      <w:r>
        <w:fldChar w:fldCharType="end"/>
      </w:r>
      <w:r>
        <w:t>]</w:t>
      </w:r>
      <w:r>
        <w:rPr>
          <w:b w:val="0"/>
          <w:i w:val="0"/>
        </w:rPr>
        <w:t xml:space="preserve"> may note that the qualifications which raise related variety, those that deepen a firm’s ladder within an occupational family, are the ones that make a graduate placement resilient. Finally, state asset supervision commissions should recognize that the employment stability of state-owned enterprises documented in Table 12 is currently achieved by obligation rather than by capacity, which is durable only as long as the obligation is.</w:t>
      </w:r>
    </w:p>
    <w:p>
      <w:pPr>
        <w:pStyle w:val="MDPI22heading2"/>
      </w:pPr>
      <w:r>
        <w:t>5.8. Limitations and Future Research Directions</w:t>
      </w:r>
    </w:p>
    <w:p>
      <w:pPr>
        <w:pStyle w:val="MDPI32textnoindent"/>
      </w:pPr>
      <w:r>
        <w:rPr>
          <w:b w:val="0"/>
          <w:i w:val="0"/>
        </w:rPr>
        <w:t>Several limitations qualify these findings. First, workforce variety is measured from disclosed composition across five occupational categories and three education levels, which is coarser than the underlying skill distribution; the coarseness biases the measure towards understating variety and therefore, if anything, towards understating its effect, but linking disclosure to personnel records or to job-posting text would sharpen it. Second, the sample covers listed firms, which are larger and more formally organized than the enterprises that employ most young Chinese workers; extending the design to survey data on small and medium enterprises would establish whether the threshold is a property of firms or of large firms. Third, the demand shock is constructed at the two-digit industry level, so firms within an industry are assumed to face the same disturbance; customer-level or product-level shocks would permit a sharper test and would also allow the variety of the disturbance to be measured rather than assumed. Fourth, the threshold is estimated for a single threshold variable, and the possibility of multiple regimes, or of a threshold that shifts with the magnitude of the disturbance as Ashby’s law strictly implies, is left for future work. Fifth, the analysis stops at the firm boundary and cannot say whether the young workers not retained by low-variety firms are absorbed elsewhere; matched employer-employee records would identify their destination. Finally, the two channels measured here do not exhaust the mechanism, since working-time adjustment, wage flexibility and temporary transfers within business groups are plausible additional routes that richer personnel data would allow future research to examine.</w:t>
      </w:r>
    </w:p>
    <w:p>
      <w:pPr>
        <w:pStyle w:val="MDPI31text"/>
      </w:pPr>
      <w:r>
        <w:rPr>
          <w:b w:val="0"/>
          <w:i w:val="0"/>
        </w:rPr>
        <w:t xml:space="preserve">A final direction concerns the disturbance itself. This study measures the buffering of demand shocks, but the sharpest current threat to entry-level employment is technological rather than cyclical, and the early firm-level evidence suggests that it falls on exactly the junior, codifiable work that the argument here identifies as the adjustment margin </w:t>
      </w:r>
      <w:r>
        <w:t>[</w:t>
      </w:r>
      <w:r>
        <w:fldChar w:fldCharType="begin"/>
      </w:r>
      <w:r>
        <w:instrText xml:space="preserve"> REF _Ref_91 \h </w:instrText>
      </w:r>
      <w:r>
        <w:fldChar w:fldCharType="separate"/>
      </w:r>
      <w:r>
        <w:t>91</w:t>
      </w:r>
      <w:r>
        <w:fldChar w:fldCharType="end"/>
      </w:r>
      <w:r>
        <w:t>–</w:t>
      </w:r>
      <w:r>
        <w:fldChar w:fldCharType="begin"/>
      </w:r>
      <w:r>
        <w:instrText xml:space="preserve"> REF _Ref_94 \h </w:instrText>
      </w:r>
      <w:r>
        <w:fldChar w:fldCharType="separate"/>
      </w:r>
      <w:r>
        <w:t>94</w:t>
      </w:r>
      <w:r>
        <w:fldChar w:fldCharType="end"/>
      </w:r>
      <w:r>
        <w:t>]</w:t>
      </w:r>
      <w:r>
        <w:rPr>
          <w:b w:val="0"/>
          <w:i w:val="0"/>
        </w:rPr>
        <w:t xml:space="preserve">. Whether workforce variety buffers a permanent reallocation of tasks in the way it buffers a temporary contraction of demand is an open and pressing question, and one the framework developed here is equipped to answer. Recent work in this journal has begun to map the organizational consequences of artificial intelligence adoption in Chinese firms </w:t>
      </w:r>
      <w:r>
        <w:t>[</w:t>
      </w:r>
      <w:r>
        <w:fldChar w:fldCharType="begin"/>
      </w:r>
      <w:r>
        <w:instrText xml:space="preserve"> REF _Ref_67 \h </w:instrText>
      </w:r>
      <w:r>
        <w:fldChar w:fldCharType="separate"/>
      </w:r>
      <w:r>
        <w:t>67</w:t>
      </w:r>
      <w:r>
        <w:fldChar w:fldCharType="end"/>
      </w:r>
      <w:r>
        <w:t>,</w:t>
      </w:r>
      <w:r>
        <w:fldChar w:fldCharType="begin"/>
      </w:r>
      <w:r>
        <w:instrText xml:space="preserve"> REF _Ref_68 \h </w:instrText>
      </w:r>
      <w:r>
        <w:fldChar w:fldCharType="separate"/>
      </w:r>
      <w:r>
        <w:t>68</w:t>
      </w:r>
      <w:r>
        <w:fldChar w:fldCharType="end"/>
      </w:r>
      <w:r>
        <w:t>,</w:t>
      </w:r>
      <w:r>
        <w:fldChar w:fldCharType="begin"/>
      </w:r>
      <w:r>
        <w:instrText xml:space="preserve"> REF _Ref_95 \h </w:instrText>
      </w:r>
      <w:r>
        <w:fldChar w:fldCharType="separate"/>
      </w:r>
      <w:r>
        <w:t>95</w:t>
      </w:r>
      <w:r>
        <w:fldChar w:fldCharType="end"/>
      </w:r>
      <w:r>
        <w:t>,</w:t>
      </w:r>
      <w:r>
        <w:fldChar w:fldCharType="begin"/>
      </w:r>
      <w:r>
        <w:instrText xml:space="preserve"> REF _Ref_96 \h </w:instrText>
      </w:r>
      <w:r>
        <w:fldChar w:fldCharType="separate"/>
      </w:r>
      <w:r>
        <w:t>96</w:t>
      </w:r>
      <w:r>
        <w:fldChar w:fldCharType="end"/>
      </w:r>
      <w:r>
        <w:t>]</w:t>
      </w:r>
      <w:r>
        <w:rPr>
          <w:b w:val="0"/>
          <w:i w:val="0"/>
        </w:rPr>
        <w:t>, and joining that literature to the regulatory account of variety is the natural next step.</w:t>
      </w:r>
    </w:p>
    <w:p>
      <w:pPr>
        <w:pStyle w:val="MDPI21heading1"/>
      </w:pPr>
      <w:r>
        <w:t>6. Conclusions</w:t>
      </w:r>
    </w:p>
    <w:p>
      <w:pPr>
        <w:pStyle w:val="MDPI32textnoindent"/>
      </w:pPr>
      <w:r>
        <w:rPr>
          <w:b w:val="0"/>
          <w:i w:val="0"/>
        </w:rPr>
        <w:t>Young workers are the margin on which firms adjust when demand falls, but they are not the same margin in every firm. Using 36,064 firm-year observations for 3,400 Chinese A-share listed firms over 2014–2024, this study shows that the difference is governed by a structural property of the workforce that cybernetics identified seventy years ago. Workforce skill variety, measured as the entropy of the employment distribution over occupational categories and education levels, raises the youth employment share by 1.86 percentage points per standard deviation and attenuates the effect of an adverse industry demand shock, the interaction being 1.257. The related component of variety buffers 1.49 times as strongly as the unrelated component, and the absorption operates predominantly through the avoidance of separations rather than through visible internal redeployment.</w:t>
      </w:r>
    </w:p>
    <w:p>
      <w:pPr>
        <w:pStyle w:val="MDPI31text"/>
      </w:pPr>
      <w:r>
        <w:rPr>
          <w:b w:val="0"/>
          <w:i w:val="0"/>
        </w:rPr>
        <w:t>The central finding is that the buffer is a regime rather than a gradient. Below an estimated threshold of 2.52 bits of workforce variety, which 48 percent of listed firm-years fall short of, an adverse shock lowers the youth employment share by 2.12 percentage points; above it the effect is economically negligible. Requisite variety is therefore a precondition for absorption and not merely a contributor to it, which is the substantive content of Ashby’s law and is what distinguishes a systems account of organizational resilience from a list of correlates. For a country entering a decade of record graduate cohorts, the practical consequence is that the structure of a firm’s existing workforce, a quantity that is disclosed annually and can be managed deliberately, determines whether the next downturn is passed on to the people entering work for the first time.</w:t>
      </w:r>
    </w:p>
    <w:p>
      <w:pPr>
        <w:pStyle w:val="MDPI62backmatter"/>
        <w:spacing w:before="120"/>
      </w:pPr>
      <w:r>
        <w:rPr>
          <w:b/>
          <w:sz w:val="18"/>
        </w:rPr>
        <w:t xml:space="preserve">Author Contributions: </w:t>
      </w:r>
      <w:r>
        <w:rPr>
          <w:b w:val="0"/>
          <w:i w:val="0"/>
          <w:sz w:val="18"/>
        </w:rPr>
        <w:t>Conceptualization, X.C. and T.M.; methodology, X.C.; software, X.C.; validation, T.M.; formal analysis, X.C.; investigation, X.C. and T.M.; resources, T.M.; data curation, X.C.; writing—original draft preparation, X.C.; writing—review and editing, T.M.; visualization, X.C.; supervision, T.M.;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received no external funding.</w:t>
      </w:r>
    </w:p>
    <w:p>
      <w:pPr>
        <w:pStyle w:val="MDPI62backmatter"/>
        <w:spacing w:before="120"/>
      </w:pPr>
      <w:r>
        <w:rPr>
          <w:b/>
          <w:sz w:val="18"/>
        </w:rPr>
        <w:t xml:space="preserve">Institutional Review Board Statement: </w:t>
      </w:r>
      <w:r>
        <w:rPr>
          <w:b w:val="0"/>
          <w:i w:val="0"/>
          <w:sz w:val="18"/>
        </w:rPr>
        <w:t>Not applicable.</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The firm-level data underlying this study were obtained from the China Stock Market and Accounting Research database and the disclosure archives of the Shanghai and Shenzhen stock exchanges under license and are therefore not publicly available. The estimation code that reproduces every table and figure is available from the corresponding author upon reasonable request.</w:t>
      </w:r>
    </w:p>
    <w:p>
      <w:pPr>
        <w:pStyle w:val="MDPI62backmatter"/>
        <w:spacing w:before="120"/>
      </w:pPr>
      <w:r>
        <w:rPr>
          <w:b/>
          <w:sz w:val="18"/>
        </w:rPr>
        <w:t xml:space="preserve">Conflicts of Interest: </w:t>
      </w:r>
      <w:r>
        <w:rPr>
          <w:b w:val="0"/>
          <w:i w:val="0"/>
          <w:sz w:val="18"/>
        </w:rPr>
        <w:t>The authors declare no conflicts of interest.</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International Labour Organization. </w:t>
      </w:r>
      <w:r>
        <w:rPr>
          <w:b w:val="0"/>
          <w:i/>
          <w:sz w:val="18"/>
        </w:rPr>
        <w:t xml:space="preserve">World Employment and Social Outlook: Trends 2025; </w:t>
      </w:r>
      <w:r>
        <w:rPr>
          <w:b w:val="0"/>
          <w:i w:val="0"/>
          <w:sz w:val="18"/>
        </w:rPr>
        <w:t>International Labour Office: Geneva, Switzerland, 2025.</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Ministry of Education of the People’s Republic of China. </w:t>
      </w:r>
      <w:r>
        <w:rPr>
          <w:b w:val="0"/>
          <w:i w:val="0"/>
          <w:sz w:val="18"/>
        </w:rPr>
        <w:t xml:space="preserve">The Number of College Graduates Nationwide Is Expected to Reach 12.22 Million in 2025. </w:t>
      </w:r>
      <w:r>
        <w:rPr>
          <w:b w:val="0"/>
          <w:i w:val="0"/>
          <w:sz w:val="18"/>
        </w:rPr>
        <w:t>Available online: http://www.moe.gov.cn/ (accessed on 20 March 2026).</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National Bureau of Statistics of China. </w:t>
      </w:r>
      <w:r>
        <w:rPr>
          <w:b w:val="0"/>
          <w:i w:val="0"/>
          <w:sz w:val="18"/>
        </w:rPr>
        <w:t xml:space="preserve">Surveyed Urban Unemployment Rate of the Population Aged 16 to 24 Excluding Students. </w:t>
      </w:r>
      <w:r>
        <w:rPr>
          <w:b w:val="0"/>
          <w:i w:val="0"/>
          <w:sz w:val="18"/>
        </w:rPr>
        <w:t>Available online: https://www.stats.gov.cn/english/ (accessed on 20 March 2026).</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Oreopoulos, P.; von Wachter, T.; Heisz, A. </w:t>
      </w:r>
      <w:r>
        <w:rPr>
          <w:b w:val="0"/>
          <w:i w:val="0"/>
          <w:sz w:val="18"/>
        </w:rPr>
        <w:t xml:space="preserve">The Short- and Long-Term Career Effects of Graduating in a Recession. </w:t>
      </w:r>
      <w:r>
        <w:rPr>
          <w:b w:val="0"/>
          <w:i/>
          <w:sz w:val="18"/>
        </w:rPr>
        <w:t xml:space="preserve">Am. Econ. J. Appl. Econ. </w:t>
      </w:r>
      <w:r>
        <w:rPr>
          <w:b/>
          <w:i w:val="0"/>
          <w:sz w:val="18"/>
        </w:rPr>
        <w:t>2012</w:t>
      </w:r>
      <w:r>
        <w:rPr>
          <w:b w:val="0"/>
          <w:i w:val="0"/>
          <w:sz w:val="18"/>
        </w:rPr>
        <w:t xml:space="preserve">, </w:t>
      </w:r>
      <w:r>
        <w:rPr>
          <w:b w:val="0"/>
          <w:i/>
          <w:sz w:val="18"/>
        </w:rPr>
        <w:t>4</w:t>
      </w:r>
      <w:r>
        <w:rPr>
          <w:b w:val="0"/>
          <w:i w:val="0"/>
          <w:sz w:val="18"/>
        </w:rPr>
        <w:t>, 1–29.</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Oi, W.Y. </w:t>
      </w:r>
      <w:r>
        <w:rPr>
          <w:b w:val="0"/>
          <w:i w:val="0"/>
          <w:sz w:val="18"/>
        </w:rPr>
        <w:t xml:space="preserve">Labor as a Quasi-Fixed Factor. </w:t>
      </w:r>
      <w:r>
        <w:rPr>
          <w:b w:val="0"/>
          <w:i/>
          <w:sz w:val="18"/>
        </w:rPr>
        <w:t xml:space="preserve">J. Political Econ. </w:t>
      </w:r>
      <w:r>
        <w:rPr>
          <w:b/>
          <w:i w:val="0"/>
          <w:sz w:val="18"/>
        </w:rPr>
        <w:t>1962</w:t>
      </w:r>
      <w:r>
        <w:rPr>
          <w:b w:val="0"/>
          <w:i w:val="0"/>
          <w:sz w:val="18"/>
        </w:rPr>
        <w:t xml:space="preserve">, </w:t>
      </w:r>
      <w:r>
        <w:rPr>
          <w:b w:val="0"/>
          <w:i/>
          <w:sz w:val="18"/>
        </w:rPr>
        <w:t>70</w:t>
      </w:r>
      <w:r>
        <w:rPr>
          <w:b w:val="0"/>
          <w:i w:val="0"/>
          <w:sz w:val="18"/>
        </w:rPr>
        <w:t>, 538-555.</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Hamermesh, D.S. </w:t>
      </w:r>
      <w:r>
        <w:rPr>
          <w:b w:val="0"/>
          <w:i/>
          <w:sz w:val="18"/>
        </w:rPr>
        <w:t>Labor Demand</w:t>
      </w:r>
      <w:r>
        <w:rPr>
          <w:b w:val="0"/>
          <w:i w:val="0"/>
          <w:sz w:val="18"/>
        </w:rPr>
        <w:t xml:space="preserve">; </w:t>
      </w:r>
      <w:r>
        <w:rPr>
          <w:b w:val="0"/>
          <w:i w:val="0"/>
          <w:sz w:val="18"/>
        </w:rPr>
        <w:t>Princeton University Press: Princeton, NJ, USA, 1993.</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Forsythe, E. </w:t>
      </w:r>
      <w:r>
        <w:rPr>
          <w:b w:val="0"/>
          <w:i w:val="0"/>
          <w:sz w:val="18"/>
        </w:rPr>
        <w:t xml:space="preserve">Why Don’t Firms Hire Young Workers during Recessions? </w:t>
      </w:r>
      <w:r>
        <w:rPr>
          <w:b w:val="0"/>
          <w:i/>
          <w:sz w:val="18"/>
        </w:rPr>
        <w:t xml:space="preserve">Econ. J. </w:t>
      </w:r>
      <w:r>
        <w:rPr>
          <w:b/>
          <w:i w:val="0"/>
          <w:sz w:val="18"/>
        </w:rPr>
        <w:t>2022</w:t>
      </w:r>
      <w:r>
        <w:rPr>
          <w:b w:val="0"/>
          <w:i w:val="0"/>
          <w:sz w:val="18"/>
        </w:rPr>
        <w:t xml:space="preserve">, </w:t>
      </w:r>
      <w:r>
        <w:rPr>
          <w:b w:val="0"/>
          <w:i/>
          <w:sz w:val="18"/>
        </w:rPr>
        <w:t>132</w:t>
      </w:r>
      <w:r>
        <w:rPr>
          <w:b w:val="0"/>
          <w:i w:val="0"/>
          <w:sz w:val="18"/>
        </w:rPr>
        <w:t>, 1765–1789.</w:t>
      </w:r>
      <w:r>
        <w:rPr>
          <w:b w:val="0"/>
          <w:i w:val="0"/>
          <w:sz w:val="18"/>
        </w:rPr>
        <w:t xml:space="preserve"> [CrossRef]</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Chodorow-Reich, G. </w:t>
      </w:r>
      <w:r>
        <w:rPr>
          <w:b w:val="0"/>
          <w:i w:val="0"/>
          <w:sz w:val="18"/>
        </w:rPr>
        <w:t xml:space="preserve">The Employment Effects of Credit Market Disruptions: Firm-Level Evidence from the 2008-9 Financial Crisis. </w:t>
      </w:r>
      <w:r>
        <w:rPr>
          <w:b w:val="0"/>
          <w:i/>
          <w:sz w:val="18"/>
        </w:rPr>
        <w:t xml:space="preserve">Q. J. Econ. </w:t>
      </w:r>
      <w:r>
        <w:rPr>
          <w:b/>
          <w:i w:val="0"/>
          <w:sz w:val="18"/>
        </w:rPr>
        <w:t>2014</w:t>
      </w:r>
      <w:r>
        <w:rPr>
          <w:b w:val="0"/>
          <w:i w:val="0"/>
          <w:sz w:val="18"/>
        </w:rPr>
        <w:t xml:space="preserve">, </w:t>
      </w:r>
      <w:r>
        <w:rPr>
          <w:b w:val="0"/>
          <w:i/>
          <w:sz w:val="18"/>
        </w:rPr>
        <w:t>129</w:t>
      </w:r>
      <w:r>
        <w:rPr>
          <w:b w:val="0"/>
          <w:i w:val="0"/>
          <w:sz w:val="18"/>
        </w:rPr>
        <w:t>, 1-59.</w:t>
      </w:r>
      <w:r>
        <w:rPr>
          <w:b w:val="0"/>
          <w:i w:val="0"/>
          <w:sz w:val="18"/>
        </w:rPr>
        <w:t xml:space="preserve"> [CrossRef]</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Giroud, X.; Mueller, H.M. </w:t>
      </w:r>
      <w:r>
        <w:rPr>
          <w:b w:val="0"/>
          <w:i w:val="0"/>
          <w:sz w:val="18"/>
        </w:rPr>
        <w:t xml:space="preserve">Firm Leverage, Consumer Demand, and Employment Losses during the Great Recession. </w:t>
      </w:r>
      <w:r>
        <w:rPr>
          <w:b w:val="0"/>
          <w:i/>
          <w:sz w:val="18"/>
        </w:rPr>
        <w:t xml:space="preserve">Q. J. Econ. </w:t>
      </w:r>
      <w:r>
        <w:rPr>
          <w:b/>
          <w:i w:val="0"/>
          <w:sz w:val="18"/>
        </w:rPr>
        <w:t>2017</w:t>
      </w:r>
      <w:r>
        <w:rPr>
          <w:b w:val="0"/>
          <w:i w:val="0"/>
          <w:sz w:val="18"/>
        </w:rPr>
        <w:t xml:space="preserve">, </w:t>
      </w:r>
      <w:r>
        <w:rPr>
          <w:b w:val="0"/>
          <w:i/>
          <w:sz w:val="18"/>
        </w:rPr>
        <w:t>132</w:t>
      </w:r>
      <w:r>
        <w:rPr>
          <w:b w:val="0"/>
          <w:i w:val="0"/>
          <w:sz w:val="18"/>
        </w:rPr>
        <w:t>, 271-316.</w:t>
      </w:r>
      <w:r>
        <w:rPr>
          <w:b w:val="0"/>
          <w:i w:val="0"/>
          <w:sz w:val="18"/>
        </w:rPr>
        <w:t xml:space="preserve"> [CrossRef]</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Ashby, W.R. </w:t>
      </w:r>
      <w:r>
        <w:rPr>
          <w:b w:val="0"/>
          <w:i/>
          <w:sz w:val="18"/>
        </w:rPr>
        <w:t>An Introduction to Cybernetics</w:t>
      </w:r>
      <w:r>
        <w:rPr>
          <w:b w:val="0"/>
          <w:i w:val="0"/>
          <w:sz w:val="18"/>
        </w:rPr>
        <w:t xml:space="preserve">; </w:t>
      </w:r>
      <w:r>
        <w:rPr>
          <w:b w:val="0"/>
          <w:i w:val="0"/>
          <w:sz w:val="18"/>
        </w:rPr>
        <w:t>Chapman and Hall: London, UK, 1956.</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Beer, S. </w:t>
      </w:r>
      <w:r>
        <w:rPr>
          <w:b w:val="0"/>
          <w:i/>
          <w:sz w:val="18"/>
        </w:rPr>
        <w:t>Brain of the Firm</w:t>
      </w:r>
      <w:r>
        <w:rPr>
          <w:b w:val="0"/>
          <w:i w:val="0"/>
          <w:sz w:val="18"/>
        </w:rPr>
        <w:t xml:space="preserve">, 2nd ed.; </w:t>
      </w:r>
      <w:r>
        <w:rPr>
          <w:b w:val="0"/>
          <w:i w:val="0"/>
          <w:sz w:val="18"/>
        </w:rPr>
        <w:t>Wiley: Chichester, UK, 1981.</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Checkland, P. </w:t>
      </w:r>
      <w:r>
        <w:rPr>
          <w:b w:val="0"/>
          <w:i/>
          <w:sz w:val="18"/>
        </w:rPr>
        <w:t>Systems Thinking, Systems Practice</w:t>
      </w:r>
      <w:r>
        <w:rPr>
          <w:b w:val="0"/>
          <w:i w:val="0"/>
          <w:sz w:val="18"/>
        </w:rPr>
        <w:t xml:space="preserve">; </w:t>
      </w:r>
      <w:r>
        <w:rPr>
          <w:b w:val="0"/>
          <w:i w:val="0"/>
          <w:sz w:val="18"/>
        </w:rPr>
        <w:t>Wiley: Chichester, UK, 1981.</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Weick, K.E.; Sutcliffe, K.M. </w:t>
      </w:r>
      <w:r>
        <w:rPr>
          <w:b w:val="0"/>
          <w:i/>
          <w:sz w:val="18"/>
        </w:rPr>
        <w:t>Managing the Unexpected: Sustained Performance in a Complex World</w:t>
      </w:r>
      <w:r>
        <w:rPr>
          <w:b w:val="0"/>
          <w:i w:val="0"/>
          <w:sz w:val="18"/>
        </w:rPr>
        <w:t xml:space="preserve">, 3rd ed.; </w:t>
      </w:r>
      <w:r>
        <w:rPr>
          <w:b w:val="0"/>
          <w:i w:val="0"/>
          <w:sz w:val="18"/>
        </w:rPr>
        <w:t>Jossey-Bass: San Francisco, CA, USA, 2015.</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Lengnick-Hall, C.A.; Beck, T.E.; Lengnick-Hall, M.L. </w:t>
      </w:r>
      <w:r>
        <w:rPr>
          <w:b w:val="0"/>
          <w:i w:val="0"/>
          <w:sz w:val="18"/>
        </w:rPr>
        <w:t xml:space="preserve">Developing a Capacity for Organizational Resilience through Strategic Human Resource Management. </w:t>
      </w:r>
      <w:r>
        <w:rPr>
          <w:b w:val="0"/>
          <w:i/>
          <w:sz w:val="18"/>
        </w:rPr>
        <w:t xml:space="preserve">Hum. Resour. Manag. Rev. </w:t>
      </w:r>
      <w:r>
        <w:rPr>
          <w:b/>
          <w:i w:val="0"/>
          <w:sz w:val="18"/>
        </w:rPr>
        <w:t>2011</w:t>
      </w:r>
      <w:r>
        <w:rPr>
          <w:b w:val="0"/>
          <w:i w:val="0"/>
          <w:sz w:val="18"/>
        </w:rPr>
        <w:t xml:space="preserve">, </w:t>
      </w:r>
      <w:r>
        <w:rPr>
          <w:b w:val="0"/>
          <w:i/>
          <w:sz w:val="18"/>
        </w:rPr>
        <w:t>21</w:t>
      </w:r>
      <w:r>
        <w:rPr>
          <w:b w:val="0"/>
          <w:i w:val="0"/>
          <w:sz w:val="18"/>
        </w:rPr>
        <w:t>, 243-255.</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Ortiz-de-Mandojana, N.; Bansal, P. </w:t>
      </w:r>
      <w:r>
        <w:rPr>
          <w:b w:val="0"/>
          <w:i w:val="0"/>
          <w:sz w:val="18"/>
        </w:rPr>
        <w:t xml:space="preserve">The Long-Term Benefits of Organizational Resilience through Sustainable Business Practices. </w:t>
      </w:r>
      <w:r>
        <w:rPr>
          <w:b w:val="0"/>
          <w:i/>
          <w:sz w:val="18"/>
        </w:rPr>
        <w:t xml:space="preserve">Strateg. Manag. J. </w:t>
      </w:r>
      <w:r>
        <w:rPr>
          <w:b/>
          <w:i w:val="0"/>
          <w:sz w:val="18"/>
        </w:rPr>
        <w:t>2016</w:t>
      </w:r>
      <w:r>
        <w:rPr>
          <w:b w:val="0"/>
          <w:i w:val="0"/>
          <w:sz w:val="18"/>
        </w:rPr>
        <w:t xml:space="preserve">, </w:t>
      </w:r>
      <w:r>
        <w:rPr>
          <w:b w:val="0"/>
          <w:i/>
          <w:sz w:val="18"/>
        </w:rPr>
        <w:t>37</w:t>
      </w:r>
      <w:r>
        <w:rPr>
          <w:b w:val="0"/>
          <w:i w:val="0"/>
          <w:sz w:val="18"/>
        </w:rPr>
        <w:t>, 1615-1631.</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DesJardine, M.; Bansal, P.; Yang, Y. </w:t>
      </w:r>
      <w:r>
        <w:rPr>
          <w:b w:val="0"/>
          <w:i w:val="0"/>
          <w:sz w:val="18"/>
        </w:rPr>
        <w:t xml:space="preserve">Bouncing Back: Building Resilience through Social and Environmental Practices in the Context of the 2008 Global Financial Crisis. </w:t>
      </w:r>
      <w:r>
        <w:rPr>
          <w:b w:val="0"/>
          <w:i/>
          <w:sz w:val="18"/>
        </w:rPr>
        <w:t xml:space="preserve">J. Manag. </w:t>
      </w:r>
      <w:r>
        <w:rPr>
          <w:b/>
          <w:i w:val="0"/>
          <w:sz w:val="18"/>
        </w:rPr>
        <w:t>2019</w:t>
      </w:r>
      <w:r>
        <w:rPr>
          <w:b w:val="0"/>
          <w:i w:val="0"/>
          <w:sz w:val="18"/>
        </w:rPr>
        <w:t xml:space="preserve">, </w:t>
      </w:r>
      <w:r>
        <w:rPr>
          <w:b w:val="0"/>
          <w:i/>
          <w:sz w:val="18"/>
        </w:rPr>
        <w:t>45</w:t>
      </w:r>
      <w:r>
        <w:rPr>
          <w:b w:val="0"/>
          <w:i w:val="0"/>
          <w:sz w:val="18"/>
        </w:rPr>
        <w:t>, 1434-1460.</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Shannon, C.E. </w:t>
      </w:r>
      <w:r>
        <w:rPr>
          <w:b w:val="0"/>
          <w:i w:val="0"/>
          <w:sz w:val="18"/>
        </w:rPr>
        <w:t xml:space="preserve">A Mathematical Theory of Communication. </w:t>
      </w:r>
      <w:r>
        <w:rPr>
          <w:b w:val="0"/>
          <w:i/>
          <w:sz w:val="18"/>
        </w:rPr>
        <w:t xml:space="preserve">Bell Syst. Tech. J. </w:t>
      </w:r>
      <w:r>
        <w:rPr>
          <w:b/>
          <w:i w:val="0"/>
          <w:sz w:val="18"/>
        </w:rPr>
        <w:t>1948</w:t>
      </w:r>
      <w:r>
        <w:rPr>
          <w:b w:val="0"/>
          <w:i w:val="0"/>
          <w:sz w:val="18"/>
        </w:rPr>
        <w:t xml:space="preserve">, </w:t>
      </w:r>
      <w:r>
        <w:rPr>
          <w:b w:val="0"/>
          <w:i/>
          <w:sz w:val="18"/>
        </w:rPr>
        <w:t>27</w:t>
      </w:r>
      <w:r>
        <w:rPr>
          <w:b w:val="0"/>
          <w:i w:val="0"/>
          <w:sz w:val="18"/>
        </w:rPr>
        <w:t>, 379-423.</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Theil, H. </w:t>
      </w:r>
      <w:r>
        <w:rPr>
          <w:b w:val="0"/>
          <w:i/>
          <w:sz w:val="18"/>
        </w:rPr>
        <w:t>Statistical Decomposition Analysis</w:t>
      </w:r>
      <w:r>
        <w:rPr>
          <w:b w:val="0"/>
          <w:i w:val="0"/>
          <w:sz w:val="18"/>
        </w:rPr>
        <w:t xml:space="preserve">; </w:t>
      </w:r>
      <w:r>
        <w:rPr>
          <w:b w:val="0"/>
          <w:i w:val="0"/>
          <w:sz w:val="18"/>
        </w:rPr>
        <w:t>North-Holland: Amsterdam, The Netherlands, 1972.</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Frenken, K.; Van Oort, F.; Verburg, T. </w:t>
      </w:r>
      <w:r>
        <w:rPr>
          <w:b w:val="0"/>
          <w:i w:val="0"/>
          <w:sz w:val="18"/>
        </w:rPr>
        <w:t xml:space="preserve">Related Variety, Unrelated Variety and Regional Economic Growth. </w:t>
      </w:r>
      <w:r>
        <w:rPr>
          <w:b w:val="0"/>
          <w:i/>
          <w:sz w:val="18"/>
        </w:rPr>
        <w:t xml:space="preserve">Reg. Stud. </w:t>
      </w:r>
      <w:r>
        <w:rPr>
          <w:b/>
          <w:i w:val="0"/>
          <w:sz w:val="18"/>
        </w:rPr>
        <w:t>2007</w:t>
      </w:r>
      <w:r>
        <w:rPr>
          <w:b w:val="0"/>
          <w:i w:val="0"/>
          <w:sz w:val="18"/>
        </w:rPr>
        <w:t xml:space="preserve">, </w:t>
      </w:r>
      <w:r>
        <w:rPr>
          <w:b w:val="0"/>
          <w:i/>
          <w:sz w:val="18"/>
        </w:rPr>
        <w:t>41</w:t>
      </w:r>
      <w:r>
        <w:rPr>
          <w:b w:val="0"/>
          <w:i w:val="0"/>
          <w:sz w:val="18"/>
        </w:rPr>
        <w:t>, 685-697.</w:t>
      </w:r>
      <w:r>
        <w:rPr>
          <w:b w:val="0"/>
          <w:i w:val="0"/>
          <w:sz w:val="18"/>
        </w:rPr>
        <w:t xml:space="preserve"> [CrossRef]</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Boschma, R. </w:t>
      </w:r>
      <w:r>
        <w:rPr>
          <w:b w:val="0"/>
          <w:i w:val="0"/>
          <w:sz w:val="18"/>
        </w:rPr>
        <w:t xml:space="preserve">Proximity and Innovation: A Critical Assessment. </w:t>
      </w:r>
      <w:r>
        <w:rPr>
          <w:b w:val="0"/>
          <w:i/>
          <w:sz w:val="18"/>
        </w:rPr>
        <w:t xml:space="preserve">Reg. Stud. </w:t>
      </w:r>
      <w:r>
        <w:rPr>
          <w:b/>
          <w:i w:val="0"/>
          <w:sz w:val="18"/>
        </w:rPr>
        <w:t>2005</w:t>
      </w:r>
      <w:r>
        <w:rPr>
          <w:b w:val="0"/>
          <w:i w:val="0"/>
          <w:sz w:val="18"/>
        </w:rPr>
        <w:t xml:space="preserve">, </w:t>
      </w:r>
      <w:r>
        <w:rPr>
          <w:b w:val="0"/>
          <w:i/>
          <w:sz w:val="18"/>
        </w:rPr>
        <w:t>39</w:t>
      </w:r>
      <w:r>
        <w:rPr>
          <w:b w:val="0"/>
          <w:i w:val="0"/>
          <w:sz w:val="18"/>
        </w:rPr>
        <w:t>, 61-74.</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Bidwell, M. </w:t>
      </w:r>
      <w:r>
        <w:rPr>
          <w:b w:val="0"/>
          <w:i w:val="0"/>
          <w:sz w:val="18"/>
        </w:rPr>
        <w:t xml:space="preserve">Paying More to Get Less: The Effects of External Hiring versus Internal Mobility. </w:t>
      </w:r>
      <w:r>
        <w:rPr>
          <w:b w:val="0"/>
          <w:i/>
          <w:sz w:val="18"/>
        </w:rPr>
        <w:t xml:space="preserve">Adm. Sci. Q. </w:t>
      </w:r>
      <w:r>
        <w:rPr>
          <w:b/>
          <w:i w:val="0"/>
          <w:sz w:val="18"/>
        </w:rPr>
        <w:t>2011</w:t>
      </w:r>
      <w:r>
        <w:rPr>
          <w:b w:val="0"/>
          <w:i w:val="0"/>
          <w:sz w:val="18"/>
        </w:rPr>
        <w:t xml:space="preserve">, </w:t>
      </w:r>
      <w:r>
        <w:rPr>
          <w:b w:val="0"/>
          <w:i/>
          <w:sz w:val="18"/>
        </w:rPr>
        <w:t>56</w:t>
      </w:r>
      <w:r>
        <w:rPr>
          <w:b w:val="0"/>
          <w:i w:val="0"/>
          <w:sz w:val="18"/>
        </w:rPr>
        <w:t>, 369-407.</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Hong, L.; Page, S.E. </w:t>
      </w:r>
      <w:r>
        <w:rPr>
          <w:b w:val="0"/>
          <w:i w:val="0"/>
          <w:sz w:val="18"/>
        </w:rPr>
        <w:t xml:space="preserve">Groups of Diverse Problem Solvers Can Outperform Groups of High-Ability Problem Solvers. </w:t>
      </w:r>
      <w:r>
        <w:rPr>
          <w:b w:val="0"/>
          <w:i/>
          <w:sz w:val="18"/>
        </w:rPr>
        <w:t xml:space="preserve">Proc. Natl. Acad. Sci. USA </w:t>
      </w:r>
      <w:r>
        <w:rPr>
          <w:b/>
          <w:i w:val="0"/>
          <w:sz w:val="18"/>
        </w:rPr>
        <w:t>2004</w:t>
      </w:r>
      <w:r>
        <w:rPr>
          <w:b w:val="0"/>
          <w:i w:val="0"/>
          <w:sz w:val="18"/>
        </w:rPr>
        <w:t xml:space="preserve">, </w:t>
      </w:r>
      <w:r>
        <w:rPr>
          <w:b w:val="0"/>
          <w:i/>
          <w:sz w:val="18"/>
        </w:rPr>
        <w:t>101</w:t>
      </w:r>
      <w:r>
        <w:rPr>
          <w:b w:val="0"/>
          <w:i w:val="0"/>
          <w:sz w:val="18"/>
        </w:rPr>
        <w:t>, 16385-16389.</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Horwitz, S.K.; Horwitz, I.B. </w:t>
      </w:r>
      <w:r>
        <w:rPr>
          <w:b w:val="0"/>
          <w:i w:val="0"/>
          <w:sz w:val="18"/>
        </w:rPr>
        <w:t xml:space="preserve">The Effects of Team Diversity on Team Outcomes: A Meta-Analytic Review of Team Demography. </w:t>
      </w:r>
      <w:r>
        <w:rPr>
          <w:b w:val="0"/>
          <w:i/>
          <w:sz w:val="18"/>
        </w:rPr>
        <w:t xml:space="preserve">J. Manag. </w:t>
      </w:r>
      <w:r>
        <w:rPr>
          <w:b/>
          <w:i w:val="0"/>
          <w:sz w:val="18"/>
        </w:rPr>
        <w:t>2007</w:t>
      </w:r>
      <w:r>
        <w:rPr>
          <w:b w:val="0"/>
          <w:i w:val="0"/>
          <w:sz w:val="18"/>
        </w:rPr>
        <w:t xml:space="preserve">, </w:t>
      </w:r>
      <w:r>
        <w:rPr>
          <w:b w:val="0"/>
          <w:i/>
          <w:sz w:val="18"/>
        </w:rPr>
        <w:t>33</w:t>
      </w:r>
      <w:r>
        <w:rPr>
          <w:b w:val="0"/>
          <w:i w:val="0"/>
          <w:sz w:val="18"/>
        </w:rPr>
        <w:t>, 987-1015.</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van Knippenberg, D.; Schippers, M.C. </w:t>
      </w:r>
      <w:r>
        <w:rPr>
          <w:b w:val="0"/>
          <w:i w:val="0"/>
          <w:sz w:val="18"/>
        </w:rPr>
        <w:t xml:space="preserve">Work Group Diversity. </w:t>
      </w:r>
      <w:r>
        <w:rPr>
          <w:b w:val="0"/>
          <w:i/>
          <w:sz w:val="18"/>
        </w:rPr>
        <w:t xml:space="preserve">Annu. Rev. Psychol. </w:t>
      </w:r>
      <w:r>
        <w:rPr>
          <w:b/>
          <w:i w:val="0"/>
          <w:sz w:val="18"/>
        </w:rPr>
        <w:t>2007</w:t>
      </w:r>
      <w:r>
        <w:rPr>
          <w:b w:val="0"/>
          <w:i w:val="0"/>
          <w:sz w:val="18"/>
        </w:rPr>
        <w:t xml:space="preserve">, </w:t>
      </w:r>
      <w:r>
        <w:rPr>
          <w:b w:val="0"/>
          <w:i/>
          <w:sz w:val="18"/>
        </w:rPr>
        <w:t>58</w:t>
      </w:r>
      <w:r>
        <w:rPr>
          <w:b w:val="0"/>
          <w:i w:val="0"/>
          <w:sz w:val="18"/>
        </w:rPr>
        <w:t>, 515-541.</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Hansen, B.E. </w:t>
      </w:r>
      <w:r>
        <w:rPr>
          <w:b w:val="0"/>
          <w:i w:val="0"/>
          <w:sz w:val="18"/>
        </w:rPr>
        <w:t xml:space="preserve">Threshold Effects in Non-Dynamic Panels: Estimation, Testing, and Inference. </w:t>
      </w:r>
      <w:r>
        <w:rPr>
          <w:b w:val="0"/>
          <w:i/>
          <w:sz w:val="18"/>
        </w:rPr>
        <w:t xml:space="preserve">J. Econom. </w:t>
      </w:r>
      <w:r>
        <w:rPr>
          <w:b/>
          <w:i w:val="0"/>
          <w:sz w:val="18"/>
        </w:rPr>
        <w:t>1999</w:t>
      </w:r>
      <w:r>
        <w:rPr>
          <w:b w:val="0"/>
          <w:i w:val="0"/>
          <w:sz w:val="18"/>
        </w:rPr>
        <w:t xml:space="preserve">, </w:t>
      </w:r>
      <w:r>
        <w:rPr>
          <w:b w:val="0"/>
          <w:i/>
          <w:sz w:val="18"/>
        </w:rPr>
        <w:t>93</w:t>
      </w:r>
      <w:r>
        <w:rPr>
          <w:b w:val="0"/>
          <w:i w:val="0"/>
          <w:sz w:val="18"/>
        </w:rPr>
        <w:t>, 345-368.</w:t>
      </w:r>
      <w:r>
        <w:rPr>
          <w:b w:val="0"/>
          <w:i w:val="0"/>
          <w:sz w:val="18"/>
        </w:rPr>
        <w:t xml:space="preserve"> [CrossRef]</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Hansen, B.E. </w:t>
      </w:r>
      <w:r>
        <w:rPr>
          <w:b w:val="0"/>
          <w:i w:val="0"/>
          <w:sz w:val="18"/>
        </w:rPr>
        <w:t xml:space="preserve">Inference When a Nuisance Parameter Is Not Identified under the Null Hypothesis. </w:t>
      </w:r>
      <w:r>
        <w:rPr>
          <w:b w:val="0"/>
          <w:i/>
          <w:sz w:val="18"/>
        </w:rPr>
        <w:t xml:space="preserve">Econometrica </w:t>
      </w:r>
      <w:r>
        <w:rPr>
          <w:b/>
          <w:i w:val="0"/>
          <w:sz w:val="18"/>
        </w:rPr>
        <w:t>1996</w:t>
      </w:r>
      <w:r>
        <w:rPr>
          <w:b w:val="0"/>
          <w:i w:val="0"/>
          <w:sz w:val="18"/>
        </w:rPr>
        <w:t xml:space="preserve">, </w:t>
      </w:r>
      <w:r>
        <w:rPr>
          <w:b w:val="0"/>
          <w:i/>
          <w:sz w:val="18"/>
        </w:rPr>
        <w:t>64</w:t>
      </w:r>
      <w:r>
        <w:rPr>
          <w:b w:val="0"/>
          <w:i w:val="0"/>
          <w:sz w:val="18"/>
        </w:rPr>
        <w:t>, 413-430.</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Simon, H.A. </w:t>
      </w:r>
      <w:r>
        <w:rPr>
          <w:b w:val="0"/>
          <w:i w:val="0"/>
          <w:sz w:val="18"/>
        </w:rPr>
        <w:t xml:space="preserve">The Architecture of Complexity. </w:t>
      </w:r>
      <w:r>
        <w:rPr>
          <w:b w:val="0"/>
          <w:i/>
          <w:sz w:val="18"/>
        </w:rPr>
        <w:t xml:space="preserve">Proc. Am. Philos. Soc. </w:t>
      </w:r>
      <w:r>
        <w:rPr>
          <w:b/>
          <w:i w:val="0"/>
          <w:sz w:val="18"/>
        </w:rPr>
        <w:t>1962</w:t>
      </w:r>
      <w:r>
        <w:rPr>
          <w:b w:val="0"/>
          <w:i w:val="0"/>
          <w:sz w:val="18"/>
        </w:rPr>
        <w:t xml:space="preserve">, </w:t>
      </w:r>
      <w:r>
        <w:rPr>
          <w:b w:val="0"/>
          <w:i/>
          <w:sz w:val="18"/>
        </w:rPr>
        <w:t>106</w:t>
      </w:r>
      <w:r>
        <w:rPr>
          <w:b w:val="0"/>
          <w:i w:val="0"/>
          <w:sz w:val="18"/>
        </w:rPr>
        <w:t>, 467-482.</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Levinthal, D.A. </w:t>
      </w:r>
      <w:r>
        <w:rPr>
          <w:b w:val="0"/>
          <w:i w:val="0"/>
          <w:sz w:val="18"/>
        </w:rPr>
        <w:t xml:space="preserve">Adaptation on Rugged Landscapes. </w:t>
      </w:r>
      <w:r>
        <w:rPr>
          <w:b w:val="0"/>
          <w:i/>
          <w:sz w:val="18"/>
        </w:rPr>
        <w:t xml:space="preserve">Manag. Sci. </w:t>
      </w:r>
      <w:r>
        <w:rPr>
          <w:b/>
          <w:i w:val="0"/>
          <w:sz w:val="18"/>
        </w:rPr>
        <w:t>1997</w:t>
      </w:r>
      <w:r>
        <w:rPr>
          <w:b w:val="0"/>
          <w:i w:val="0"/>
          <w:sz w:val="18"/>
        </w:rPr>
        <w:t xml:space="preserve">, </w:t>
      </w:r>
      <w:r>
        <w:rPr>
          <w:b w:val="0"/>
          <w:i/>
          <w:sz w:val="18"/>
        </w:rPr>
        <w:t>43</w:t>
      </w:r>
      <w:r>
        <w:rPr>
          <w:b w:val="0"/>
          <w:i w:val="0"/>
          <w:sz w:val="18"/>
        </w:rPr>
        <w:t>, 934-950.</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Nelson, R.R.; Winter, S.G. </w:t>
      </w:r>
      <w:r>
        <w:rPr>
          <w:b w:val="0"/>
          <w:i/>
          <w:sz w:val="18"/>
        </w:rPr>
        <w:t>An Evolutionary Theory of Economic Change</w:t>
      </w:r>
      <w:r>
        <w:rPr>
          <w:b w:val="0"/>
          <w:i w:val="0"/>
          <w:sz w:val="18"/>
        </w:rPr>
        <w:t xml:space="preserve">; </w:t>
      </w:r>
      <w:r>
        <w:rPr>
          <w:b w:val="0"/>
          <w:i w:val="0"/>
          <w:sz w:val="18"/>
        </w:rPr>
        <w:t>Harvard University Press: Cambridge, MA, USA, 1982.</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Teece, D.J.; Pisano, G.; Shuen, A. </w:t>
      </w:r>
      <w:r>
        <w:rPr>
          <w:b w:val="0"/>
          <w:i w:val="0"/>
          <w:sz w:val="18"/>
        </w:rPr>
        <w:t xml:space="preserve">Dynamic Capabilities and Strategic Management. </w:t>
      </w:r>
      <w:r>
        <w:rPr>
          <w:b w:val="0"/>
          <w:i/>
          <w:sz w:val="18"/>
        </w:rPr>
        <w:t xml:space="preserve">Strateg. Manag. J. </w:t>
      </w:r>
      <w:r>
        <w:rPr>
          <w:b/>
          <w:i w:val="0"/>
          <w:sz w:val="18"/>
        </w:rPr>
        <w:t>1997</w:t>
      </w:r>
      <w:r>
        <w:rPr>
          <w:b w:val="0"/>
          <w:i w:val="0"/>
          <w:sz w:val="18"/>
        </w:rPr>
        <w:t xml:space="preserve">, </w:t>
      </w:r>
      <w:r>
        <w:rPr>
          <w:b w:val="0"/>
          <w:i/>
          <w:sz w:val="18"/>
        </w:rPr>
        <w:t>18</w:t>
      </w:r>
      <w:r>
        <w:rPr>
          <w:b w:val="0"/>
          <w:i w:val="0"/>
          <w:sz w:val="18"/>
        </w:rPr>
        <w:t>, 509–533.</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Doeringer, P.B.; Piore, M.J. </w:t>
      </w:r>
      <w:r>
        <w:rPr>
          <w:b w:val="0"/>
          <w:i/>
          <w:sz w:val="18"/>
        </w:rPr>
        <w:t>Internal Labor Markets and Manpower Analysis</w:t>
      </w:r>
      <w:r>
        <w:rPr>
          <w:b w:val="0"/>
          <w:i w:val="0"/>
          <w:sz w:val="18"/>
        </w:rPr>
        <w:t xml:space="preserve">; </w:t>
      </w:r>
      <w:r>
        <w:rPr>
          <w:b w:val="0"/>
          <w:i w:val="0"/>
          <w:sz w:val="18"/>
        </w:rPr>
        <w:t>D.C. Heath: Lexington, MA, USA, 1971.</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Gibbons, R.; Waldman, M. </w:t>
      </w:r>
      <w:r>
        <w:rPr>
          <w:b w:val="0"/>
          <w:i w:val="0"/>
          <w:sz w:val="18"/>
        </w:rPr>
        <w:t xml:space="preserve">Task-Specific Human Capital. </w:t>
      </w:r>
      <w:r>
        <w:rPr>
          <w:b w:val="0"/>
          <w:i/>
          <w:sz w:val="18"/>
        </w:rPr>
        <w:t xml:space="preserve">Am. Econ. Rev. </w:t>
      </w:r>
      <w:r>
        <w:rPr>
          <w:b/>
          <w:i w:val="0"/>
          <w:sz w:val="18"/>
        </w:rPr>
        <w:t>2004</w:t>
      </w:r>
      <w:r>
        <w:rPr>
          <w:b w:val="0"/>
          <w:i w:val="0"/>
          <w:sz w:val="18"/>
        </w:rPr>
        <w:t xml:space="preserve">, </w:t>
      </w:r>
      <w:r>
        <w:rPr>
          <w:b w:val="0"/>
          <w:i/>
          <w:sz w:val="18"/>
        </w:rPr>
        <w:t>94</w:t>
      </w:r>
      <w:r>
        <w:rPr>
          <w:b w:val="0"/>
          <w:i w:val="0"/>
          <w:sz w:val="18"/>
        </w:rPr>
        <w:t>, 203–207.</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Page, S.E. </w:t>
      </w:r>
      <w:r>
        <w:rPr>
          <w:b w:val="0"/>
          <w:i/>
          <w:sz w:val="18"/>
        </w:rPr>
        <w:t>The Difference: How the Power of Diversity Creates Better Groups, Firms, Schools, and Societies</w:t>
      </w:r>
      <w:r>
        <w:rPr>
          <w:b w:val="0"/>
          <w:i w:val="0"/>
          <w:sz w:val="18"/>
        </w:rPr>
        <w:t xml:space="preserve">; </w:t>
      </w:r>
      <w:r>
        <w:rPr>
          <w:b w:val="0"/>
          <w:i w:val="0"/>
          <w:sz w:val="18"/>
        </w:rPr>
        <w:t>Princeton University Press: Princeton, NJ, USA, 2007.</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Becker, G.S. </w:t>
      </w:r>
      <w:r>
        <w:rPr>
          <w:b w:val="0"/>
          <w:i/>
          <w:sz w:val="18"/>
        </w:rPr>
        <w:t>Human Capital: A Theoretical and Empirical Analysis, with Special Reference to Education</w:t>
      </w:r>
      <w:r>
        <w:rPr>
          <w:b w:val="0"/>
          <w:i w:val="0"/>
          <w:sz w:val="18"/>
        </w:rPr>
        <w:t xml:space="preserve">; </w:t>
      </w:r>
      <w:r>
        <w:rPr>
          <w:b w:val="0"/>
          <w:i w:val="0"/>
          <w:sz w:val="18"/>
        </w:rPr>
        <w:t>National Bureau of Economic Research: New York, NY, USA, 1964.</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Acemoglu, D.; Pischke, J.-S. </w:t>
      </w:r>
      <w:r>
        <w:rPr>
          <w:b w:val="0"/>
          <w:i w:val="0"/>
          <w:sz w:val="18"/>
        </w:rPr>
        <w:t xml:space="preserve">Why Do Firms Train? Theory and Evidence. </w:t>
      </w:r>
      <w:r>
        <w:rPr>
          <w:b w:val="0"/>
          <w:i/>
          <w:sz w:val="18"/>
        </w:rPr>
        <w:t xml:space="preserve">Q. J. Econ. </w:t>
      </w:r>
      <w:r>
        <w:rPr>
          <w:b/>
          <w:i w:val="0"/>
          <w:sz w:val="18"/>
        </w:rPr>
        <w:t>1998</w:t>
      </w:r>
      <w:r>
        <w:rPr>
          <w:b w:val="0"/>
          <w:i w:val="0"/>
          <w:sz w:val="18"/>
        </w:rPr>
        <w:t xml:space="preserve">, </w:t>
      </w:r>
      <w:r>
        <w:rPr>
          <w:b w:val="0"/>
          <w:i/>
          <w:sz w:val="18"/>
        </w:rPr>
        <w:t>113</w:t>
      </w:r>
      <w:r>
        <w:rPr>
          <w:b w:val="0"/>
          <w:i w:val="0"/>
          <w:sz w:val="18"/>
        </w:rPr>
        <w:t>, 79–119.</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Acemoglu, D.; Pischke, J.-S. </w:t>
      </w:r>
      <w:r>
        <w:rPr>
          <w:b w:val="0"/>
          <w:i w:val="0"/>
          <w:sz w:val="18"/>
        </w:rPr>
        <w:t xml:space="preserve">Beyond Becker: Training in Imperfect Labour Markets. </w:t>
      </w:r>
      <w:r>
        <w:rPr>
          <w:b w:val="0"/>
          <w:i/>
          <w:sz w:val="18"/>
        </w:rPr>
        <w:t xml:space="preserve">Econ. J. </w:t>
      </w:r>
      <w:r>
        <w:rPr>
          <w:b/>
          <w:i w:val="0"/>
          <w:sz w:val="18"/>
        </w:rPr>
        <w:t>1999</w:t>
      </w:r>
      <w:r>
        <w:rPr>
          <w:b w:val="0"/>
          <w:i w:val="0"/>
          <w:sz w:val="18"/>
        </w:rPr>
        <w:t xml:space="preserve">, </w:t>
      </w:r>
      <w:r>
        <w:rPr>
          <w:b w:val="0"/>
          <w:i/>
          <w:sz w:val="18"/>
        </w:rPr>
        <w:t>109</w:t>
      </w:r>
      <w:r>
        <w:rPr>
          <w:b w:val="0"/>
          <w:i w:val="0"/>
          <w:sz w:val="18"/>
        </w:rPr>
        <w:t>, F112–F142.</w:t>
      </w:r>
      <w:r>
        <w:rPr>
          <w:b w:val="0"/>
          <w:i w:val="0"/>
          <w:sz w:val="18"/>
        </w:rPr>
        <w:t xml:space="preserve"> [CrossRef]</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Argote, L.; Miron-Spektor, E. </w:t>
      </w:r>
      <w:r>
        <w:rPr>
          <w:b w:val="0"/>
          <w:i w:val="0"/>
          <w:sz w:val="18"/>
        </w:rPr>
        <w:t xml:space="preserve">Organizational Learning: From Experience to Knowledge. </w:t>
      </w:r>
      <w:r>
        <w:rPr>
          <w:b w:val="0"/>
          <w:i/>
          <w:sz w:val="18"/>
        </w:rPr>
        <w:t xml:space="preserve">Organ. Sci. </w:t>
      </w:r>
      <w:r>
        <w:rPr>
          <w:b/>
          <w:i w:val="0"/>
          <w:sz w:val="18"/>
        </w:rPr>
        <w:t>2011</w:t>
      </w:r>
      <w:r>
        <w:rPr>
          <w:b w:val="0"/>
          <w:i w:val="0"/>
          <w:sz w:val="18"/>
        </w:rPr>
        <w:t xml:space="preserve">, </w:t>
      </w:r>
      <w:r>
        <w:rPr>
          <w:b w:val="0"/>
          <w:i/>
          <w:sz w:val="18"/>
        </w:rPr>
        <w:t>22</w:t>
      </w:r>
      <w:r>
        <w:rPr>
          <w:b w:val="0"/>
          <w:i w:val="0"/>
          <w:sz w:val="18"/>
        </w:rPr>
        <w:t>, 1123–1137.</w:t>
      </w:r>
      <w:r>
        <w:rPr>
          <w:b w:val="0"/>
          <w:i w:val="0"/>
          <w:sz w:val="18"/>
        </w:rPr>
        <w:t xml:space="preserve"> [CrossRef]</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Arrow, K.J. </w:t>
      </w:r>
      <w:r>
        <w:rPr>
          <w:b w:val="0"/>
          <w:i w:val="0"/>
          <w:sz w:val="18"/>
        </w:rPr>
        <w:t xml:space="preserve">The Economic Implications of Learning by Doing. </w:t>
      </w:r>
      <w:r>
        <w:rPr>
          <w:b w:val="0"/>
          <w:i/>
          <w:sz w:val="18"/>
        </w:rPr>
        <w:t xml:space="preserve">Rev. Econ. Stud. </w:t>
      </w:r>
      <w:r>
        <w:rPr>
          <w:b/>
          <w:i w:val="0"/>
          <w:sz w:val="18"/>
        </w:rPr>
        <w:t>1962</w:t>
      </w:r>
      <w:r>
        <w:rPr>
          <w:b w:val="0"/>
          <w:i w:val="0"/>
          <w:sz w:val="18"/>
        </w:rPr>
        <w:t xml:space="preserve">, </w:t>
      </w:r>
      <w:r>
        <w:rPr>
          <w:b w:val="0"/>
          <w:i/>
          <w:sz w:val="18"/>
        </w:rPr>
        <w:t>29</w:t>
      </w:r>
      <w:r>
        <w:rPr>
          <w:b w:val="0"/>
          <w:i w:val="0"/>
          <w:sz w:val="18"/>
        </w:rPr>
        <w:t>, 155–173.</w:t>
      </w:r>
      <w:r>
        <w:rPr>
          <w:b w:val="0"/>
          <w:i w:val="0"/>
          <w:sz w:val="18"/>
        </w:rPr>
        <w:t xml:space="preserve"> [CrossRef]</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Levinthal, D.A.; March, J.G. </w:t>
      </w:r>
      <w:r>
        <w:rPr>
          <w:b w:val="0"/>
          <w:i w:val="0"/>
          <w:sz w:val="18"/>
        </w:rPr>
        <w:t xml:space="preserve">The Myopia of Learning. </w:t>
      </w:r>
      <w:r>
        <w:rPr>
          <w:b w:val="0"/>
          <w:i/>
          <w:sz w:val="18"/>
        </w:rPr>
        <w:t xml:space="preserve">Strateg. Manag. J. </w:t>
      </w:r>
      <w:r>
        <w:rPr>
          <w:b/>
          <w:i w:val="0"/>
          <w:sz w:val="18"/>
        </w:rPr>
        <w:t>1993</w:t>
      </w:r>
      <w:r>
        <w:rPr>
          <w:b w:val="0"/>
          <w:i w:val="0"/>
          <w:sz w:val="18"/>
        </w:rPr>
        <w:t xml:space="preserve">, </w:t>
      </w:r>
      <w:r>
        <w:rPr>
          <w:b w:val="0"/>
          <w:i/>
          <w:sz w:val="18"/>
        </w:rPr>
        <w:t>14</w:t>
      </w:r>
      <w:r>
        <w:rPr>
          <w:b w:val="0"/>
          <w:i w:val="0"/>
          <w:sz w:val="18"/>
        </w:rPr>
        <w:t>, 95–112.</w:t>
      </w:r>
      <w:r>
        <w:rPr>
          <w:b w:val="0"/>
          <w:i w:val="0"/>
          <w:sz w:val="18"/>
        </w:rPr>
        <w:t xml:space="preserve"> [CrossRef]</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March, J.G. </w:t>
      </w:r>
      <w:r>
        <w:rPr>
          <w:b w:val="0"/>
          <w:i w:val="0"/>
          <w:sz w:val="18"/>
        </w:rPr>
        <w:t xml:space="preserve">Exploration and Exploitation in Organizational Learning. </w:t>
      </w:r>
      <w:r>
        <w:rPr>
          <w:b w:val="0"/>
          <w:i/>
          <w:sz w:val="18"/>
        </w:rPr>
        <w:t xml:space="preserve">Organ. Sci. </w:t>
      </w:r>
      <w:r>
        <w:rPr>
          <w:b/>
          <w:i w:val="0"/>
          <w:sz w:val="18"/>
        </w:rPr>
        <w:t>1991</w:t>
      </w:r>
      <w:r>
        <w:rPr>
          <w:b w:val="0"/>
          <w:i w:val="0"/>
          <w:sz w:val="18"/>
        </w:rPr>
        <w:t xml:space="preserve">, </w:t>
      </w:r>
      <w:r>
        <w:rPr>
          <w:b w:val="0"/>
          <w:i/>
          <w:sz w:val="18"/>
        </w:rPr>
        <w:t>2</w:t>
      </w:r>
      <w:r>
        <w:rPr>
          <w:b w:val="0"/>
          <w:i w:val="0"/>
          <w:sz w:val="18"/>
        </w:rPr>
        <w:t>, 71–87.</w:t>
      </w:r>
      <w:r>
        <w:rPr>
          <w:b w:val="0"/>
          <w:i w:val="0"/>
          <w:sz w:val="18"/>
        </w:rPr>
        <w:t xml:space="preserve"> [CrossRef]</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von Bertalanffy, L. </w:t>
      </w:r>
      <w:r>
        <w:rPr>
          <w:b w:val="0"/>
          <w:i/>
          <w:sz w:val="18"/>
        </w:rPr>
        <w:t>General System Theory: Foundations, Development, Applications</w:t>
      </w:r>
      <w:r>
        <w:rPr>
          <w:b w:val="0"/>
          <w:i w:val="0"/>
          <w:sz w:val="18"/>
        </w:rPr>
        <w:t xml:space="preserve">; </w:t>
      </w:r>
      <w:r>
        <w:rPr>
          <w:b w:val="0"/>
          <w:i w:val="0"/>
          <w:sz w:val="18"/>
        </w:rPr>
        <w:t>George Braziller: New York, NY, USA, 1968.</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Trist, E.L.; Bamforth, K.W. </w:t>
      </w:r>
      <w:r>
        <w:rPr>
          <w:b w:val="0"/>
          <w:i w:val="0"/>
          <w:sz w:val="18"/>
        </w:rPr>
        <w:t xml:space="preserve">Some Social and Psychological Consequences of the Longwall Method of Coal-Getting. </w:t>
      </w:r>
      <w:r>
        <w:rPr>
          <w:b w:val="0"/>
          <w:i/>
          <w:sz w:val="18"/>
        </w:rPr>
        <w:t xml:space="preserve">Hum. Relat. </w:t>
      </w:r>
      <w:r>
        <w:rPr>
          <w:b/>
          <w:i w:val="0"/>
          <w:sz w:val="18"/>
        </w:rPr>
        <w:t>1951</w:t>
      </w:r>
      <w:r>
        <w:rPr>
          <w:b w:val="0"/>
          <w:i w:val="0"/>
          <w:sz w:val="18"/>
        </w:rPr>
        <w:t xml:space="preserve">, </w:t>
      </w:r>
      <w:r>
        <w:rPr>
          <w:b w:val="0"/>
          <w:i/>
          <w:sz w:val="18"/>
        </w:rPr>
        <w:t>4</w:t>
      </w:r>
      <w:r>
        <w:rPr>
          <w:b w:val="0"/>
          <w:i w:val="0"/>
          <w:sz w:val="18"/>
        </w:rPr>
        <w:t>, 3–38.</w:t>
      </w:r>
      <w:r>
        <w:rPr>
          <w:b w:val="0"/>
          <w:i w:val="0"/>
          <w:sz w:val="18"/>
        </w:rPr>
        <w:t xml:space="preserve"> [CrossRef]</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Emery, F.E.; Trist, E.L. </w:t>
      </w:r>
      <w:r>
        <w:rPr>
          <w:b w:val="0"/>
          <w:i w:val="0"/>
          <w:sz w:val="18"/>
        </w:rPr>
        <w:t xml:space="preserve">The Causal Texture of Organizational Environments. </w:t>
      </w:r>
      <w:r>
        <w:rPr>
          <w:b w:val="0"/>
          <w:i/>
          <w:sz w:val="18"/>
        </w:rPr>
        <w:t xml:space="preserve">Hum. Relat. </w:t>
      </w:r>
      <w:r>
        <w:rPr>
          <w:b/>
          <w:i w:val="0"/>
          <w:sz w:val="18"/>
        </w:rPr>
        <w:t>1965</w:t>
      </w:r>
      <w:r>
        <w:rPr>
          <w:b w:val="0"/>
          <w:i w:val="0"/>
          <w:sz w:val="18"/>
        </w:rPr>
        <w:t xml:space="preserve">, </w:t>
      </w:r>
      <w:r>
        <w:rPr>
          <w:b w:val="0"/>
          <w:i/>
          <w:sz w:val="18"/>
        </w:rPr>
        <w:t>18</w:t>
      </w:r>
      <w:r>
        <w:rPr>
          <w:b w:val="0"/>
          <w:i w:val="0"/>
          <w:sz w:val="18"/>
        </w:rPr>
        <w:t>, 21–32.</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Martin, R.; Sunley, P. </w:t>
      </w:r>
      <w:r>
        <w:rPr>
          <w:b w:val="0"/>
          <w:i w:val="0"/>
          <w:sz w:val="18"/>
        </w:rPr>
        <w:t xml:space="preserve">On the Notion of Regional Economic Resilience: Conceptualization and Explanation. </w:t>
      </w:r>
      <w:r>
        <w:rPr>
          <w:b w:val="0"/>
          <w:i/>
          <w:sz w:val="18"/>
        </w:rPr>
        <w:t xml:space="preserve">J. Econ. Geogr. </w:t>
      </w:r>
      <w:r>
        <w:rPr>
          <w:b/>
          <w:i w:val="0"/>
          <w:sz w:val="18"/>
        </w:rPr>
        <w:t>2015</w:t>
      </w:r>
      <w:r>
        <w:rPr>
          <w:b w:val="0"/>
          <w:i w:val="0"/>
          <w:sz w:val="18"/>
        </w:rPr>
        <w:t xml:space="preserve">, </w:t>
      </w:r>
      <w:r>
        <w:rPr>
          <w:b w:val="0"/>
          <w:i/>
          <w:sz w:val="18"/>
        </w:rPr>
        <w:t>15</w:t>
      </w:r>
      <w:r>
        <w:rPr>
          <w:b w:val="0"/>
          <w:i w:val="0"/>
          <w:sz w:val="18"/>
        </w:rPr>
        <w:t>, 1-42.</w:t>
      </w:r>
      <w:r>
        <w:rPr>
          <w:b w:val="0"/>
          <w:i w:val="0"/>
          <w:sz w:val="18"/>
        </w:rPr>
        <w:t xml:space="preserve"> [CrossRef]</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Acemoglu, D.; Restrepo, P. </w:t>
      </w:r>
      <w:r>
        <w:rPr>
          <w:b w:val="0"/>
          <w:i w:val="0"/>
          <w:sz w:val="18"/>
        </w:rPr>
        <w:t xml:space="preserve">Robots and Jobs: Evidence from US Labor Markets. </w:t>
      </w:r>
      <w:r>
        <w:rPr>
          <w:b w:val="0"/>
          <w:i/>
          <w:sz w:val="18"/>
        </w:rPr>
        <w:t xml:space="preserve">J. Political Econ. </w:t>
      </w:r>
      <w:r>
        <w:rPr>
          <w:b/>
          <w:i w:val="0"/>
          <w:sz w:val="18"/>
        </w:rPr>
        <w:t>2020</w:t>
      </w:r>
      <w:r>
        <w:rPr>
          <w:b w:val="0"/>
          <w:i w:val="0"/>
          <w:sz w:val="18"/>
        </w:rPr>
        <w:t xml:space="preserve">, </w:t>
      </w:r>
      <w:r>
        <w:rPr>
          <w:b w:val="0"/>
          <w:i/>
          <w:sz w:val="18"/>
        </w:rPr>
        <w:t>128</w:t>
      </w:r>
      <w:r>
        <w:rPr>
          <w:b w:val="0"/>
          <w:i w:val="0"/>
          <w:sz w:val="18"/>
        </w:rPr>
        <w:t>, 2188–2244.</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Forrester, J.W. </w:t>
      </w:r>
      <w:r>
        <w:rPr>
          <w:b w:val="0"/>
          <w:i/>
          <w:sz w:val="18"/>
        </w:rPr>
        <w:t>Industrial Dynamics</w:t>
      </w:r>
      <w:r>
        <w:rPr>
          <w:b w:val="0"/>
          <w:i w:val="0"/>
          <w:sz w:val="18"/>
        </w:rPr>
        <w:t xml:space="preserve">; </w:t>
      </w:r>
      <w:r>
        <w:rPr>
          <w:b w:val="0"/>
          <w:i w:val="0"/>
          <w:sz w:val="18"/>
        </w:rPr>
        <w:t>MIT Press: Cambridge, MA, USA, 1961.</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Senge, P.M. </w:t>
      </w:r>
      <w:r>
        <w:rPr>
          <w:b w:val="0"/>
          <w:i/>
          <w:sz w:val="18"/>
        </w:rPr>
        <w:t>The Fifth Discipline: The Art and Practice of the Learning Organization</w:t>
      </w:r>
      <w:r>
        <w:rPr>
          <w:b w:val="0"/>
          <w:i w:val="0"/>
          <w:sz w:val="18"/>
        </w:rPr>
        <w:t xml:space="preserve">; </w:t>
      </w:r>
      <w:r>
        <w:rPr>
          <w:b w:val="0"/>
          <w:i w:val="0"/>
          <w:sz w:val="18"/>
        </w:rPr>
        <w:t>Doubleday: New York, NY, USA, 1990.</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Repenning, N.P.; Sterman, J.D. </w:t>
      </w:r>
      <w:r>
        <w:rPr>
          <w:b w:val="0"/>
          <w:i w:val="0"/>
          <w:sz w:val="18"/>
        </w:rPr>
        <w:t xml:space="preserve">Capability Traps and Self-Confirming Attribution Errors in the Dynamics of Process Improvement. </w:t>
      </w:r>
      <w:r>
        <w:rPr>
          <w:b w:val="0"/>
          <w:i/>
          <w:sz w:val="18"/>
        </w:rPr>
        <w:t xml:space="preserve">Adm. Sci. Q. </w:t>
      </w:r>
      <w:r>
        <w:rPr>
          <w:b/>
          <w:i w:val="0"/>
          <w:sz w:val="18"/>
        </w:rPr>
        <w:t>2002</w:t>
      </w:r>
      <w:r>
        <w:rPr>
          <w:b w:val="0"/>
          <w:i w:val="0"/>
          <w:sz w:val="18"/>
        </w:rPr>
        <w:t xml:space="preserve">, </w:t>
      </w:r>
      <w:r>
        <w:rPr>
          <w:b w:val="0"/>
          <w:i/>
          <w:sz w:val="18"/>
        </w:rPr>
        <w:t>47</w:t>
      </w:r>
      <w:r>
        <w:rPr>
          <w:b w:val="0"/>
          <w:i w:val="0"/>
          <w:sz w:val="18"/>
        </w:rPr>
        <w:t>, 265–295.</w:t>
      </w:r>
      <w:r>
        <w:rPr>
          <w:b w:val="0"/>
          <w:i w:val="0"/>
          <w:sz w:val="18"/>
        </w:rPr>
        <w:t xml:space="preserve"> [CrossRef]</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Rahmandad, H.; Repenning, N. </w:t>
      </w:r>
      <w:r>
        <w:rPr>
          <w:b w:val="0"/>
          <w:i w:val="0"/>
          <w:sz w:val="18"/>
        </w:rPr>
        <w:t xml:space="preserve">Capability Erosion Dynamics. </w:t>
      </w:r>
      <w:r>
        <w:rPr>
          <w:b w:val="0"/>
          <w:i/>
          <w:sz w:val="18"/>
        </w:rPr>
        <w:t xml:space="preserve">Strateg. Manag. J. </w:t>
      </w:r>
      <w:r>
        <w:rPr>
          <w:b/>
          <w:i w:val="0"/>
          <w:sz w:val="18"/>
        </w:rPr>
        <w:t>2016</w:t>
      </w:r>
      <w:r>
        <w:rPr>
          <w:b w:val="0"/>
          <w:i w:val="0"/>
          <w:sz w:val="18"/>
        </w:rPr>
        <w:t xml:space="preserve">, </w:t>
      </w:r>
      <w:r>
        <w:rPr>
          <w:b w:val="0"/>
          <w:i/>
          <w:sz w:val="18"/>
        </w:rPr>
        <w:t>37</w:t>
      </w:r>
      <w:r>
        <w:rPr>
          <w:b w:val="0"/>
          <w:i w:val="0"/>
          <w:sz w:val="18"/>
        </w:rPr>
        <w:t>, 649–672.</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Jacobs, J. </w:t>
      </w:r>
      <w:r>
        <w:rPr>
          <w:b w:val="0"/>
          <w:i/>
          <w:sz w:val="18"/>
        </w:rPr>
        <w:t>The Economy of Cities</w:t>
      </w:r>
      <w:r>
        <w:rPr>
          <w:b w:val="0"/>
          <w:i w:val="0"/>
          <w:sz w:val="18"/>
        </w:rPr>
        <w:t xml:space="preserve">; </w:t>
      </w:r>
      <w:r>
        <w:rPr>
          <w:b w:val="0"/>
          <w:i w:val="0"/>
          <w:sz w:val="18"/>
        </w:rPr>
        <w:t>Random House: New York, NY, USA, 1969.</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Lazear, E.P. </w:t>
      </w:r>
      <w:r>
        <w:rPr>
          <w:b w:val="0"/>
          <w:i w:val="0"/>
          <w:sz w:val="18"/>
        </w:rPr>
        <w:t xml:space="preserve">Firm-Specific Human Capital: A Skill-Weights Approach. </w:t>
      </w:r>
      <w:r>
        <w:rPr>
          <w:b w:val="0"/>
          <w:i/>
          <w:sz w:val="18"/>
        </w:rPr>
        <w:t xml:space="preserve">J. Political Econ. </w:t>
      </w:r>
      <w:r>
        <w:rPr>
          <w:b/>
          <w:i w:val="0"/>
          <w:sz w:val="18"/>
        </w:rPr>
        <w:t>2009</w:t>
      </w:r>
      <w:r>
        <w:rPr>
          <w:b w:val="0"/>
          <w:i w:val="0"/>
          <w:sz w:val="18"/>
        </w:rPr>
        <w:t xml:space="preserve">, </w:t>
      </w:r>
      <w:r>
        <w:rPr>
          <w:b w:val="0"/>
          <w:i/>
          <w:sz w:val="18"/>
        </w:rPr>
        <w:t>117</w:t>
      </w:r>
      <w:r>
        <w:rPr>
          <w:b w:val="0"/>
          <w:i w:val="0"/>
          <w:sz w:val="18"/>
        </w:rPr>
        <w:t>, 914–940.</w:t>
      </w:r>
      <w:r>
        <w:rPr>
          <w:b w:val="0"/>
          <w:i w:val="0"/>
          <w:sz w:val="18"/>
        </w:rPr>
        <w:t xml:space="preserve"> [CrossRef]</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Duncan, O.D.; Duncan, B. </w:t>
      </w:r>
      <w:r>
        <w:rPr>
          <w:b w:val="0"/>
          <w:i w:val="0"/>
          <w:sz w:val="18"/>
        </w:rPr>
        <w:t xml:space="preserve">A Methodological Analysis of Segregation Indexes. </w:t>
      </w:r>
      <w:r>
        <w:rPr>
          <w:b w:val="0"/>
          <w:i/>
          <w:sz w:val="18"/>
        </w:rPr>
        <w:t xml:space="preserve">Am. Sociol. Rev. </w:t>
      </w:r>
      <w:r>
        <w:rPr>
          <w:b/>
          <w:i w:val="0"/>
          <w:sz w:val="18"/>
        </w:rPr>
        <w:t>1955</w:t>
      </w:r>
      <w:r>
        <w:rPr>
          <w:b w:val="0"/>
          <w:i w:val="0"/>
          <w:sz w:val="18"/>
        </w:rPr>
        <w:t xml:space="preserve">, </w:t>
      </w:r>
      <w:r>
        <w:rPr>
          <w:b w:val="0"/>
          <w:i/>
          <w:sz w:val="18"/>
        </w:rPr>
        <w:t>20</w:t>
      </w:r>
      <w:r>
        <w:rPr>
          <w:b w:val="0"/>
          <w:i w:val="0"/>
          <w:sz w:val="18"/>
        </w:rPr>
        <w:t>, 210-217.</w:t>
      </w:r>
      <w:r>
        <w:rPr>
          <w:b w:val="0"/>
          <w:i w:val="0"/>
          <w:sz w:val="18"/>
        </w:rPr>
        <w:t xml:space="preserve"> [CrossRef]</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Weick, K.E. </w:t>
      </w:r>
      <w:r>
        <w:rPr>
          <w:b w:val="0"/>
          <w:i w:val="0"/>
          <w:sz w:val="18"/>
        </w:rPr>
        <w:t xml:space="preserve">The Collapse of Sensemaking in Organizations: The Mann Gulch Disaster. </w:t>
      </w:r>
      <w:r>
        <w:rPr>
          <w:b w:val="0"/>
          <w:i/>
          <w:sz w:val="18"/>
        </w:rPr>
        <w:t xml:space="preserve">Adm. Sci. Q. </w:t>
      </w:r>
      <w:r>
        <w:rPr>
          <w:b/>
          <w:i w:val="0"/>
          <w:sz w:val="18"/>
        </w:rPr>
        <w:t>1993</w:t>
      </w:r>
      <w:r>
        <w:rPr>
          <w:b w:val="0"/>
          <w:i w:val="0"/>
          <w:sz w:val="18"/>
        </w:rPr>
        <w:t xml:space="preserve">, </w:t>
      </w:r>
      <w:r>
        <w:rPr>
          <w:b w:val="0"/>
          <w:i/>
          <w:sz w:val="18"/>
        </w:rPr>
        <w:t>38</w:t>
      </w:r>
      <w:r>
        <w:rPr>
          <w:b w:val="0"/>
          <w:i w:val="0"/>
          <w:sz w:val="18"/>
        </w:rPr>
        <w:t>, 628-652.</w:t>
      </w:r>
      <w:r>
        <w:rPr>
          <w:b w:val="0"/>
          <w:i w:val="0"/>
          <w:sz w:val="18"/>
        </w:rPr>
        <w:t xml:space="preserve"> [CrossRef]</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Kellogg, K.C.; Valentine, M.A.; Christin, A. </w:t>
      </w:r>
      <w:r>
        <w:rPr>
          <w:b w:val="0"/>
          <w:i w:val="0"/>
          <w:sz w:val="18"/>
        </w:rPr>
        <w:t xml:space="preserve">Algorithms at Work: The New Contested Terrain of Control. </w:t>
      </w:r>
      <w:r>
        <w:rPr>
          <w:b w:val="0"/>
          <w:i/>
          <w:sz w:val="18"/>
        </w:rPr>
        <w:t xml:space="preserve">Acad. Manag. Ann. </w:t>
      </w:r>
      <w:r>
        <w:rPr>
          <w:b/>
          <w:i w:val="0"/>
          <w:sz w:val="18"/>
        </w:rPr>
        <w:t>2020</w:t>
      </w:r>
      <w:r>
        <w:rPr>
          <w:b w:val="0"/>
          <w:i w:val="0"/>
          <w:sz w:val="18"/>
        </w:rPr>
        <w:t xml:space="preserve">, </w:t>
      </w:r>
      <w:r>
        <w:rPr>
          <w:b w:val="0"/>
          <w:i/>
          <w:sz w:val="18"/>
        </w:rPr>
        <w:t>14</w:t>
      </w:r>
      <w:r>
        <w:rPr>
          <w:b w:val="0"/>
          <w:i w:val="0"/>
          <w:sz w:val="18"/>
        </w:rPr>
        <w:t>, 366–410.</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Raisch, S.; Krakowski, S. </w:t>
      </w:r>
      <w:r>
        <w:rPr>
          <w:b w:val="0"/>
          <w:i w:val="0"/>
          <w:sz w:val="18"/>
        </w:rPr>
        <w:t xml:space="preserve">Artificial Intelligence and Management: The Automation–Augmentation Paradox.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192–210.</w:t>
      </w:r>
      <w:r>
        <w:rPr>
          <w:b w:val="0"/>
          <w:i w:val="0"/>
          <w:sz w:val="18"/>
        </w:rPr>
        <w:t xml:space="preserve"> [CrossRef]</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Beane, M. </w:t>
      </w:r>
      <w:r>
        <w:rPr>
          <w:b w:val="0"/>
          <w:i w:val="0"/>
          <w:sz w:val="18"/>
        </w:rPr>
        <w:t xml:space="preserve">Shadow Learning: Building Robotic Surgical Skill When Approved Means Fail. </w:t>
      </w:r>
      <w:r>
        <w:rPr>
          <w:b w:val="0"/>
          <w:i/>
          <w:sz w:val="18"/>
        </w:rPr>
        <w:t xml:space="preserve">Adm. Sci. Q. </w:t>
      </w:r>
      <w:r>
        <w:rPr>
          <w:b/>
          <w:i w:val="0"/>
          <w:sz w:val="18"/>
        </w:rPr>
        <w:t>2019</w:t>
      </w:r>
      <w:r>
        <w:rPr>
          <w:b w:val="0"/>
          <w:i w:val="0"/>
          <w:sz w:val="18"/>
        </w:rPr>
        <w:t xml:space="preserve">, </w:t>
      </w:r>
      <w:r>
        <w:rPr>
          <w:b w:val="0"/>
          <w:i/>
          <w:sz w:val="18"/>
        </w:rPr>
        <w:t>64</w:t>
      </w:r>
      <w:r>
        <w:rPr>
          <w:b w:val="0"/>
          <w:i w:val="0"/>
          <w:sz w:val="18"/>
        </w:rPr>
        <w:t>, 87–123.</w:t>
      </w:r>
      <w:r>
        <w:rPr>
          <w:b w:val="0"/>
          <w:i w:val="0"/>
          <w:sz w:val="18"/>
        </w:rPr>
        <w:t xml:space="preserve"> [CrossRef]</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Xue, X.; Li, L.; Chen, J.; Luo, T. </w:t>
      </w:r>
      <w:r>
        <w:rPr>
          <w:b w:val="0"/>
          <w:i w:val="0"/>
          <w:sz w:val="18"/>
        </w:rPr>
        <w:t xml:space="preserve">How Does Digital Technology Innovation Quality Empower Corporate ESG Performance? The Roles of Digital Transformation and Digital Technology Diffusion.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929.</w:t>
      </w:r>
      <w:r>
        <w:rPr>
          <w:b w:val="0"/>
          <w:i w:val="0"/>
          <w:sz w:val="18"/>
        </w:rPr>
        <w:t xml:space="preserve"> [CrossRef]</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Wu, F.; Hu, H.; Lin, H.; Ren, X. </w:t>
      </w:r>
      <w:r>
        <w:rPr>
          <w:b w:val="0"/>
          <w:i w:val="0"/>
          <w:sz w:val="18"/>
        </w:rPr>
        <w:t xml:space="preserve">Enterprise Digital Transformation and Capital Market Performance: Empirical Evidence from Stock Liquidity. </w:t>
      </w:r>
      <w:r>
        <w:rPr>
          <w:b w:val="0"/>
          <w:i/>
          <w:sz w:val="18"/>
        </w:rPr>
        <w:t xml:space="preserve">J. Manag. World </w:t>
      </w:r>
      <w:r>
        <w:rPr>
          <w:b/>
          <w:i w:val="0"/>
          <w:sz w:val="18"/>
        </w:rPr>
        <w:t>2021</w:t>
      </w:r>
      <w:r>
        <w:rPr>
          <w:b w:val="0"/>
          <w:i w:val="0"/>
          <w:sz w:val="18"/>
        </w:rPr>
        <w:t xml:space="preserve">, </w:t>
      </w:r>
      <w:r>
        <w:rPr>
          <w:b w:val="0"/>
          <w:i/>
          <w:sz w:val="18"/>
        </w:rPr>
        <w:t>37</w:t>
      </w:r>
      <w:r>
        <w:rPr>
          <w:b w:val="0"/>
          <w:i w:val="0"/>
          <w:sz w:val="18"/>
        </w:rPr>
        <w:t>, 130–144.</w:t>
      </w:r>
    </w:p>
    <w:p>
      <w:pPr>
        <w:pStyle w:val="MDPI32textnoindent"/>
        <w:spacing w:line="240" w:lineRule="auto" w:before="0" w:after="40"/>
        <w:ind w:left="425" w:hanging="425"/>
        <w:tabs>
          <w:tab w:val="left" w:pos="425"/>
        </w:tabs>
      </w:pPr>
      <w:bookmarkStart w:id="1070" w:name="_Ref_70"/>
      <w:r>
        <w:rPr>
          <w:b w:val="0"/>
          <w:sz w:val="18"/>
        </w:rPr>
        <w:t>70</w:t>
      </w:r>
      <w:bookmarkEnd w:id="1070"/>
      <w:r>
        <w:rPr>
          <w:sz w:val="18"/>
        </w:rPr>
        <w:t>.</w:t>
        <w:tab/>
      </w:r>
      <w:r>
        <w:rPr>
          <w:b w:val="0"/>
          <w:i w:val="0"/>
          <w:sz w:val="18"/>
        </w:rPr>
        <w:t xml:space="preserve">Yuan, C.; Xiao, S.; Geng, C.; Sheng, Y. </w:t>
      </w:r>
      <w:r>
        <w:rPr>
          <w:b w:val="0"/>
          <w:i w:val="0"/>
          <w:sz w:val="18"/>
        </w:rPr>
        <w:t xml:space="preserve">Digital Transformation and Division of Labour between Enterprises: Vertical Specialisation or Vertical Integration. </w:t>
      </w:r>
      <w:r>
        <w:rPr>
          <w:b w:val="0"/>
          <w:i/>
          <w:sz w:val="18"/>
        </w:rPr>
        <w:t xml:space="preserve">China Ind. Econ. </w:t>
      </w:r>
      <w:r>
        <w:rPr>
          <w:b/>
          <w:i w:val="0"/>
          <w:sz w:val="18"/>
        </w:rPr>
        <w:t>2021</w:t>
      </w:r>
      <w:r>
        <w:rPr>
          <w:b w:val="0"/>
          <w:i w:val="0"/>
          <w:sz w:val="18"/>
        </w:rPr>
        <w:t xml:space="preserve">, </w:t>
      </w:r>
      <w:r>
        <w:rPr>
          <w:b w:val="0"/>
          <w:i/>
          <w:sz w:val="18"/>
        </w:rPr>
        <w:t>9</w:t>
      </w:r>
      <w:r>
        <w:rPr>
          <w:b w:val="0"/>
          <w:i w:val="0"/>
          <w:sz w:val="18"/>
        </w:rPr>
        <w:t>, 137–155.</w:t>
      </w:r>
    </w:p>
    <w:p>
      <w:pPr>
        <w:pStyle w:val="MDPI32textnoindent"/>
        <w:spacing w:line="240" w:lineRule="auto" w:before="0" w:after="40"/>
        <w:ind w:left="425" w:hanging="425"/>
        <w:tabs>
          <w:tab w:val="left" w:pos="425"/>
        </w:tabs>
      </w:pPr>
      <w:bookmarkStart w:id="1071" w:name="_Ref_71"/>
      <w:r>
        <w:rPr>
          <w:b w:val="0"/>
          <w:sz w:val="18"/>
        </w:rPr>
        <w:t>71</w:t>
      </w:r>
      <w:bookmarkEnd w:id="1071"/>
      <w:r>
        <w:rPr>
          <w:sz w:val="18"/>
        </w:rPr>
        <w:t>.</w:t>
        <w:tab/>
      </w:r>
      <w:r>
        <w:rPr>
          <w:b w:val="0"/>
          <w:i w:val="0"/>
          <w:sz w:val="18"/>
        </w:rPr>
        <w:t xml:space="preserve">Zhao, C.; Wang, W.; Li, X. </w:t>
      </w:r>
      <w:r>
        <w:rPr>
          <w:b w:val="0"/>
          <w:i w:val="0"/>
          <w:sz w:val="18"/>
        </w:rPr>
        <w:t xml:space="preserve">How Does Digital Transformation Affect the Total Factor Productivity of Enterprises? </w:t>
      </w:r>
      <w:r>
        <w:rPr>
          <w:b w:val="0"/>
          <w:i/>
          <w:sz w:val="18"/>
        </w:rPr>
        <w:t xml:space="preserve">Financ. Trade Econ. </w:t>
      </w:r>
      <w:r>
        <w:rPr>
          <w:b/>
          <w:i w:val="0"/>
          <w:sz w:val="18"/>
        </w:rPr>
        <w:t>2021</w:t>
      </w:r>
      <w:r>
        <w:rPr>
          <w:b w:val="0"/>
          <w:i w:val="0"/>
          <w:sz w:val="18"/>
        </w:rPr>
        <w:t xml:space="preserve">, </w:t>
      </w:r>
      <w:r>
        <w:rPr>
          <w:b w:val="0"/>
          <w:i/>
          <w:sz w:val="18"/>
        </w:rPr>
        <w:t>42</w:t>
      </w:r>
      <w:r>
        <w:rPr>
          <w:b w:val="0"/>
          <w:i w:val="0"/>
          <w:sz w:val="18"/>
        </w:rPr>
        <w:t>, 114–129.</w:t>
      </w:r>
    </w:p>
    <w:p>
      <w:pPr>
        <w:pStyle w:val="MDPI32textnoindent"/>
        <w:spacing w:line="240" w:lineRule="auto" w:before="0" w:after="40"/>
        <w:ind w:left="425" w:hanging="425"/>
        <w:tabs>
          <w:tab w:val="left" w:pos="425"/>
        </w:tabs>
      </w:pPr>
      <w:bookmarkStart w:id="1072" w:name="_Ref_72"/>
      <w:r>
        <w:rPr>
          <w:b w:val="0"/>
          <w:sz w:val="18"/>
        </w:rPr>
        <w:t>72</w:t>
      </w:r>
      <w:bookmarkEnd w:id="1072"/>
      <w:r>
        <w:rPr>
          <w:sz w:val="18"/>
        </w:rPr>
        <w:t>.</w:t>
        <w:tab/>
      </w:r>
      <w:r>
        <w:rPr>
          <w:b w:val="0"/>
          <w:i w:val="0"/>
          <w:sz w:val="18"/>
        </w:rPr>
        <w:t xml:space="preserve">Aiken, L.S.; West, S.G. </w:t>
      </w:r>
      <w:r>
        <w:rPr>
          <w:b w:val="0"/>
          <w:i/>
          <w:sz w:val="18"/>
        </w:rPr>
        <w:t>Multiple Regression: Testing and Interpreting Interactions</w:t>
      </w:r>
      <w:r>
        <w:rPr>
          <w:b w:val="0"/>
          <w:i w:val="0"/>
          <w:sz w:val="18"/>
        </w:rPr>
        <w:t xml:space="preserve">; </w:t>
      </w:r>
      <w:r>
        <w:rPr>
          <w:b w:val="0"/>
          <w:i w:val="0"/>
          <w:sz w:val="18"/>
        </w:rPr>
        <w:t>Sage: Newbury Park, CA, USA, 1991.</w:t>
      </w:r>
    </w:p>
    <w:p>
      <w:pPr>
        <w:pStyle w:val="MDPI32textnoindent"/>
        <w:spacing w:line="240" w:lineRule="auto" w:before="0" w:after="40"/>
        <w:ind w:left="425" w:hanging="425"/>
        <w:tabs>
          <w:tab w:val="left" w:pos="425"/>
        </w:tabs>
      </w:pPr>
      <w:bookmarkStart w:id="1073" w:name="_Ref_73"/>
      <w:r>
        <w:rPr>
          <w:b w:val="0"/>
          <w:sz w:val="18"/>
        </w:rPr>
        <w:t>73</w:t>
      </w:r>
      <w:bookmarkEnd w:id="1073"/>
      <w:r>
        <w:rPr>
          <w:sz w:val="18"/>
        </w:rPr>
        <w:t>.</w:t>
        <w:tab/>
      </w:r>
      <w:r>
        <w:rPr>
          <w:b w:val="0"/>
          <w:i w:val="0"/>
          <w:sz w:val="18"/>
        </w:rPr>
        <w:t xml:space="preserve">Petersen, M.A. </w:t>
      </w:r>
      <w:r>
        <w:rPr>
          <w:b w:val="0"/>
          <w:i w:val="0"/>
          <w:sz w:val="18"/>
        </w:rPr>
        <w:t xml:space="preserve">Estimating Standard Errors in Finance Panel Data Sets: Comparing Approaches. </w:t>
      </w:r>
      <w:r>
        <w:rPr>
          <w:b w:val="0"/>
          <w:i/>
          <w:sz w:val="18"/>
        </w:rPr>
        <w:t xml:space="preserve">Rev. Financ. Stud. </w:t>
      </w:r>
      <w:r>
        <w:rPr>
          <w:b/>
          <w:i w:val="0"/>
          <w:sz w:val="18"/>
        </w:rPr>
        <w:t>2009</w:t>
      </w:r>
      <w:r>
        <w:rPr>
          <w:b w:val="0"/>
          <w:i w:val="0"/>
          <w:sz w:val="18"/>
        </w:rPr>
        <w:t xml:space="preserve">, </w:t>
      </w:r>
      <w:r>
        <w:rPr>
          <w:b w:val="0"/>
          <w:i/>
          <w:sz w:val="18"/>
        </w:rPr>
        <w:t>22</w:t>
      </w:r>
      <w:r>
        <w:rPr>
          <w:b w:val="0"/>
          <w:i w:val="0"/>
          <w:sz w:val="18"/>
        </w:rPr>
        <w:t>, 435–480.</w:t>
      </w:r>
      <w:r>
        <w:rPr>
          <w:b w:val="0"/>
          <w:i w:val="0"/>
          <w:sz w:val="18"/>
        </w:rPr>
        <w:t xml:space="preserve"> [CrossRef]</w:t>
      </w:r>
    </w:p>
    <w:p>
      <w:pPr>
        <w:pStyle w:val="MDPI32textnoindent"/>
        <w:spacing w:line="240" w:lineRule="auto" w:before="0" w:after="40"/>
        <w:ind w:left="425" w:hanging="425"/>
        <w:tabs>
          <w:tab w:val="left" w:pos="425"/>
        </w:tabs>
      </w:pPr>
      <w:bookmarkStart w:id="1074" w:name="_Ref_74"/>
      <w:r>
        <w:rPr>
          <w:b w:val="0"/>
          <w:sz w:val="18"/>
        </w:rPr>
        <w:t>74</w:t>
      </w:r>
      <w:bookmarkEnd w:id="1074"/>
      <w:r>
        <w:rPr>
          <w:sz w:val="18"/>
        </w:rPr>
        <w:t>.</w:t>
        <w:tab/>
      </w:r>
      <w:r>
        <w:rPr>
          <w:b w:val="0"/>
          <w:i w:val="0"/>
          <w:sz w:val="18"/>
        </w:rPr>
        <w:t xml:space="preserve">Abadie, A.; Athey, S.; Imbens, G.W.; Wooldridge, J.M. </w:t>
      </w:r>
      <w:r>
        <w:rPr>
          <w:b w:val="0"/>
          <w:i w:val="0"/>
          <w:sz w:val="18"/>
        </w:rPr>
        <w:t xml:space="preserve">When Should You Adjust Standard Errors for Clustering? </w:t>
      </w:r>
      <w:r>
        <w:rPr>
          <w:b w:val="0"/>
          <w:i/>
          <w:sz w:val="18"/>
        </w:rPr>
        <w:t xml:space="preserve">Q. J. Econ. </w:t>
      </w:r>
      <w:r>
        <w:rPr>
          <w:b/>
          <w:i w:val="0"/>
          <w:sz w:val="18"/>
        </w:rPr>
        <w:t>2023</w:t>
      </w:r>
      <w:r>
        <w:rPr>
          <w:b w:val="0"/>
          <w:i w:val="0"/>
          <w:sz w:val="18"/>
        </w:rPr>
        <w:t xml:space="preserve">, </w:t>
      </w:r>
      <w:r>
        <w:rPr>
          <w:b w:val="0"/>
          <w:i/>
          <w:sz w:val="18"/>
        </w:rPr>
        <w:t>138</w:t>
      </w:r>
      <w:r>
        <w:rPr>
          <w:b w:val="0"/>
          <w:i w:val="0"/>
          <w:sz w:val="18"/>
        </w:rPr>
        <w:t>, 1–35.</w:t>
      </w:r>
      <w:r>
        <w:rPr>
          <w:b w:val="0"/>
          <w:i w:val="0"/>
          <w:sz w:val="18"/>
        </w:rPr>
        <w:t xml:space="preserve"> [CrossRef]</w:t>
      </w:r>
    </w:p>
    <w:p>
      <w:pPr>
        <w:pStyle w:val="MDPI32textnoindent"/>
        <w:spacing w:line="240" w:lineRule="auto" w:before="0" w:after="40"/>
        <w:ind w:left="425" w:hanging="425"/>
        <w:tabs>
          <w:tab w:val="left" w:pos="425"/>
        </w:tabs>
      </w:pPr>
      <w:bookmarkStart w:id="1075" w:name="_Ref_75"/>
      <w:r>
        <w:rPr>
          <w:b w:val="0"/>
          <w:sz w:val="18"/>
        </w:rPr>
        <w:t>75</w:t>
      </w:r>
      <w:bookmarkEnd w:id="1075"/>
      <w:r>
        <w:rPr>
          <w:sz w:val="18"/>
        </w:rPr>
        <w:t>.</w:t>
        <w:tab/>
      </w:r>
      <w:r>
        <w:rPr>
          <w:b w:val="0"/>
          <w:i w:val="0"/>
          <w:sz w:val="18"/>
        </w:rPr>
        <w:t xml:space="preserve">Wooldridge, J.M. </w:t>
      </w:r>
      <w:r>
        <w:rPr>
          <w:b w:val="0"/>
          <w:i/>
          <w:sz w:val="18"/>
        </w:rPr>
        <w:t>Econometric Analysis of Cross Section and Panel Data, 2nd ed.</w:t>
      </w:r>
      <w:r>
        <w:rPr>
          <w:b w:val="0"/>
          <w:i w:val="0"/>
          <w:sz w:val="18"/>
        </w:rPr>
        <w:t xml:space="preserve">; </w:t>
      </w:r>
      <w:r>
        <w:rPr>
          <w:b w:val="0"/>
          <w:i w:val="0"/>
          <w:sz w:val="18"/>
        </w:rPr>
        <w:t>MIT Press: Cambridge, MA, USA, 2010.</w:t>
      </w:r>
    </w:p>
    <w:p>
      <w:pPr>
        <w:pStyle w:val="MDPI32textnoindent"/>
        <w:spacing w:line="240" w:lineRule="auto" w:before="0" w:after="40"/>
        <w:ind w:left="425" w:hanging="425"/>
        <w:tabs>
          <w:tab w:val="left" w:pos="425"/>
        </w:tabs>
      </w:pPr>
      <w:bookmarkStart w:id="1076" w:name="_Ref_76"/>
      <w:r>
        <w:rPr>
          <w:b w:val="0"/>
          <w:sz w:val="18"/>
        </w:rPr>
        <w:t>76</w:t>
      </w:r>
      <w:bookmarkEnd w:id="1076"/>
      <w:r>
        <w:rPr>
          <w:sz w:val="18"/>
        </w:rPr>
        <w:t>.</w:t>
        <w:tab/>
      </w:r>
      <w:r>
        <w:rPr>
          <w:b w:val="0"/>
          <w:i w:val="0"/>
          <w:sz w:val="18"/>
        </w:rPr>
        <w:t xml:space="preserve">Baron, R.M.; Kenny, D.A. </w:t>
      </w:r>
      <w:r>
        <w:rPr>
          <w:b w:val="0"/>
          <w:i w:val="0"/>
          <w:sz w:val="18"/>
        </w:rPr>
        <w:t xml:space="preserve">The Moderator-Mediator Variable Distinction in Social Psychological Research: Conceptual, Strategic, and Statistical Considerations. </w:t>
      </w:r>
      <w:r>
        <w:rPr>
          <w:b w:val="0"/>
          <w:i/>
          <w:sz w:val="18"/>
        </w:rPr>
        <w:t xml:space="preserve">J. Pers. Soc. Psychol. </w:t>
      </w:r>
      <w:r>
        <w:rPr>
          <w:b/>
          <w:i w:val="0"/>
          <w:sz w:val="18"/>
        </w:rPr>
        <w:t>1986</w:t>
      </w:r>
      <w:r>
        <w:rPr>
          <w:b w:val="0"/>
          <w:i w:val="0"/>
          <w:sz w:val="18"/>
        </w:rPr>
        <w:t xml:space="preserve">, </w:t>
      </w:r>
      <w:r>
        <w:rPr>
          <w:b w:val="0"/>
          <w:i/>
          <w:sz w:val="18"/>
        </w:rPr>
        <w:t>51</w:t>
      </w:r>
      <w:r>
        <w:rPr>
          <w:b w:val="0"/>
          <w:i w:val="0"/>
          <w:sz w:val="18"/>
        </w:rPr>
        <w:t>, 1173–1182.</w:t>
      </w:r>
      <w:r>
        <w:rPr>
          <w:b w:val="0"/>
          <w:i w:val="0"/>
          <w:sz w:val="18"/>
        </w:rPr>
        <w:t xml:space="preserve"> [CrossRef]</w:t>
      </w:r>
    </w:p>
    <w:p>
      <w:pPr>
        <w:pStyle w:val="MDPI32textnoindent"/>
        <w:spacing w:line="240" w:lineRule="auto" w:before="0" w:after="40"/>
        <w:ind w:left="425" w:hanging="425"/>
        <w:tabs>
          <w:tab w:val="left" w:pos="425"/>
        </w:tabs>
      </w:pPr>
      <w:bookmarkStart w:id="1077" w:name="_Ref_77"/>
      <w:r>
        <w:rPr>
          <w:b w:val="0"/>
          <w:sz w:val="18"/>
        </w:rPr>
        <w:t>77</w:t>
      </w:r>
      <w:bookmarkEnd w:id="1077"/>
      <w:r>
        <w:rPr>
          <w:sz w:val="18"/>
        </w:rPr>
        <w:t>.</w:t>
        <w:tab/>
      </w:r>
      <w:r>
        <w:rPr>
          <w:b w:val="0"/>
          <w:i w:val="0"/>
          <w:sz w:val="18"/>
        </w:rPr>
        <w:t xml:space="preserve">Preacher, K.J.; Hayes, A.F. </w:t>
      </w:r>
      <w:r>
        <w:rPr>
          <w:b w:val="0"/>
          <w:i w:val="0"/>
          <w:sz w:val="18"/>
        </w:rPr>
        <w:t xml:space="preserve">Asymptotic and Resampling Strategies for Assessing and Comparing Indirect Effects in Multiple Mediator Models. </w:t>
      </w:r>
      <w:r>
        <w:rPr>
          <w:b w:val="0"/>
          <w:i/>
          <w:sz w:val="18"/>
        </w:rPr>
        <w:t xml:space="preserve">Behav. Res. Methods </w:t>
      </w:r>
      <w:r>
        <w:rPr>
          <w:b/>
          <w:i w:val="0"/>
          <w:sz w:val="18"/>
        </w:rPr>
        <w:t>2008</w:t>
      </w:r>
      <w:r>
        <w:rPr>
          <w:b w:val="0"/>
          <w:i w:val="0"/>
          <w:sz w:val="18"/>
        </w:rPr>
        <w:t xml:space="preserve">, </w:t>
      </w:r>
      <w:r>
        <w:rPr>
          <w:b w:val="0"/>
          <w:i/>
          <w:sz w:val="18"/>
        </w:rPr>
        <w:t>40</w:t>
      </w:r>
      <w:r>
        <w:rPr>
          <w:b w:val="0"/>
          <w:i w:val="0"/>
          <w:sz w:val="18"/>
        </w:rPr>
        <w:t>, 879–891.</w:t>
      </w:r>
      <w:r>
        <w:rPr>
          <w:b w:val="0"/>
          <w:i w:val="0"/>
          <w:sz w:val="18"/>
        </w:rPr>
        <w:t xml:space="preserve"> [CrossRef]</w:t>
      </w:r>
    </w:p>
    <w:p>
      <w:pPr>
        <w:pStyle w:val="MDPI32textnoindent"/>
        <w:spacing w:line="240" w:lineRule="auto" w:before="0" w:after="40"/>
        <w:ind w:left="425" w:hanging="425"/>
        <w:tabs>
          <w:tab w:val="left" w:pos="425"/>
        </w:tabs>
      </w:pPr>
      <w:bookmarkStart w:id="1078" w:name="_Ref_78"/>
      <w:r>
        <w:rPr>
          <w:b w:val="0"/>
          <w:sz w:val="18"/>
        </w:rPr>
        <w:t>78</w:t>
      </w:r>
      <w:bookmarkEnd w:id="1078"/>
      <w:r>
        <w:rPr>
          <w:sz w:val="18"/>
        </w:rPr>
        <w:t>.</w:t>
        <w:tab/>
      </w:r>
      <w:r>
        <w:rPr>
          <w:b w:val="0"/>
          <w:i w:val="0"/>
          <w:sz w:val="18"/>
        </w:rPr>
        <w:t xml:space="preserve">Zhao, X.; Lynch, J.G., Jr.; Chen, Q. </w:t>
      </w:r>
      <w:r>
        <w:rPr>
          <w:b w:val="0"/>
          <w:i w:val="0"/>
          <w:sz w:val="18"/>
        </w:rPr>
        <w:t xml:space="preserve">Reconsidering Baron and Kenny: Myths and Truths about Mediation Analysis. </w:t>
      </w:r>
      <w:r>
        <w:rPr>
          <w:b w:val="0"/>
          <w:i/>
          <w:sz w:val="18"/>
        </w:rPr>
        <w:t xml:space="preserve">J. Consum. Res. </w:t>
      </w:r>
      <w:r>
        <w:rPr>
          <w:b/>
          <w:i w:val="0"/>
          <w:sz w:val="18"/>
        </w:rPr>
        <w:t>2010</w:t>
      </w:r>
      <w:r>
        <w:rPr>
          <w:b w:val="0"/>
          <w:i w:val="0"/>
          <w:sz w:val="18"/>
        </w:rPr>
        <w:t xml:space="preserve">, </w:t>
      </w:r>
      <w:r>
        <w:rPr>
          <w:b w:val="0"/>
          <w:i/>
          <w:sz w:val="18"/>
        </w:rPr>
        <w:t>37</w:t>
      </w:r>
      <w:r>
        <w:rPr>
          <w:b w:val="0"/>
          <w:i w:val="0"/>
          <w:sz w:val="18"/>
        </w:rPr>
        <w:t>, 197–206.</w:t>
      </w:r>
      <w:r>
        <w:rPr>
          <w:b w:val="0"/>
          <w:i w:val="0"/>
          <w:sz w:val="18"/>
        </w:rPr>
        <w:t xml:space="preserve"> [CrossRef]</w:t>
      </w:r>
    </w:p>
    <w:p>
      <w:pPr>
        <w:pStyle w:val="MDPI32textnoindent"/>
        <w:spacing w:line="240" w:lineRule="auto" w:before="0" w:after="40"/>
        <w:ind w:left="425" w:hanging="425"/>
        <w:tabs>
          <w:tab w:val="left" w:pos="425"/>
        </w:tabs>
      </w:pPr>
      <w:bookmarkStart w:id="1079" w:name="_Ref_79"/>
      <w:r>
        <w:rPr>
          <w:b w:val="0"/>
          <w:sz w:val="18"/>
        </w:rPr>
        <w:t>79</w:t>
      </w:r>
      <w:bookmarkEnd w:id="1079"/>
      <w:r>
        <w:rPr>
          <w:sz w:val="18"/>
        </w:rPr>
        <w:t>.</w:t>
        <w:tab/>
      </w:r>
      <w:r>
        <w:rPr>
          <w:b w:val="0"/>
          <w:i w:val="0"/>
          <w:sz w:val="18"/>
        </w:rPr>
        <w:t xml:space="preserve">Kleibergen, F.; Paap, R. </w:t>
      </w:r>
      <w:r>
        <w:rPr>
          <w:b w:val="0"/>
          <w:i w:val="0"/>
          <w:sz w:val="18"/>
        </w:rPr>
        <w:t xml:space="preserve">Generalized Reduced Rank Tests Using the Singular Value Decomposition. </w:t>
      </w:r>
      <w:r>
        <w:rPr>
          <w:b w:val="0"/>
          <w:i/>
          <w:sz w:val="18"/>
        </w:rPr>
        <w:t xml:space="preserve">J. Econom. </w:t>
      </w:r>
      <w:r>
        <w:rPr>
          <w:b/>
          <w:i w:val="0"/>
          <w:sz w:val="18"/>
        </w:rPr>
        <w:t>2006</w:t>
      </w:r>
      <w:r>
        <w:rPr>
          <w:b w:val="0"/>
          <w:i w:val="0"/>
          <w:sz w:val="18"/>
        </w:rPr>
        <w:t xml:space="preserve">, </w:t>
      </w:r>
      <w:r>
        <w:rPr>
          <w:b w:val="0"/>
          <w:i/>
          <w:sz w:val="18"/>
        </w:rPr>
        <w:t>133</w:t>
      </w:r>
      <w:r>
        <w:rPr>
          <w:b w:val="0"/>
          <w:i w:val="0"/>
          <w:sz w:val="18"/>
        </w:rPr>
        <w:t>, 97–126.</w:t>
      </w:r>
      <w:r>
        <w:rPr>
          <w:b w:val="0"/>
          <w:i w:val="0"/>
          <w:sz w:val="18"/>
        </w:rPr>
        <w:t xml:space="preserve"> [CrossRef]</w:t>
      </w:r>
    </w:p>
    <w:p>
      <w:pPr>
        <w:pStyle w:val="MDPI32textnoindent"/>
        <w:spacing w:line="240" w:lineRule="auto" w:before="0" w:after="40"/>
        <w:ind w:left="425" w:hanging="425"/>
        <w:tabs>
          <w:tab w:val="left" w:pos="425"/>
        </w:tabs>
      </w:pPr>
      <w:bookmarkStart w:id="1080" w:name="_Ref_80"/>
      <w:r>
        <w:rPr>
          <w:b w:val="0"/>
          <w:sz w:val="18"/>
        </w:rPr>
        <w:t>80</w:t>
      </w:r>
      <w:bookmarkEnd w:id="1080"/>
      <w:r>
        <w:rPr>
          <w:sz w:val="18"/>
        </w:rPr>
        <w:t>.</w:t>
        <w:tab/>
      </w:r>
      <w:r>
        <w:rPr>
          <w:b w:val="0"/>
          <w:i w:val="0"/>
          <w:sz w:val="18"/>
        </w:rPr>
        <w:t xml:space="preserve">Stock, J.H.; Yogo, M. </w:t>
      </w:r>
      <w:r>
        <w:rPr>
          <w:b w:val="0"/>
          <w:i w:val="0"/>
          <w:sz w:val="18"/>
        </w:rPr>
        <w:t xml:space="preserve">Testing for Weak Instruments in Linear IV Regression. </w:t>
      </w:r>
      <w:r>
        <w:rPr>
          <w:b w:val="0"/>
          <w:i w:val="0"/>
          <w:sz w:val="18"/>
        </w:rPr>
        <w:t xml:space="preserve">In </w:t>
      </w:r>
      <w:r>
        <w:rPr>
          <w:b w:val="0"/>
          <w:i/>
          <w:sz w:val="18"/>
        </w:rPr>
        <w:t>Identification and Inference for Econometric Models: Essays in Honor of Thomas Rothenberg</w:t>
      </w:r>
      <w:r>
        <w:rPr>
          <w:b w:val="0"/>
          <w:i w:val="0"/>
          <w:sz w:val="18"/>
        </w:rPr>
        <w:t xml:space="preserve">; Andrews, D.W.K., Stock, J.H., Eds.; </w:t>
      </w:r>
      <w:r>
        <w:rPr>
          <w:b w:val="0"/>
          <w:i w:val="0"/>
          <w:sz w:val="18"/>
        </w:rPr>
        <w:t>Cambridge University Press: Cambridge, UK, 2005; pp. 80–108.</w:t>
      </w:r>
    </w:p>
    <w:p>
      <w:pPr>
        <w:pStyle w:val="MDPI32textnoindent"/>
        <w:spacing w:line="240" w:lineRule="auto" w:before="0" w:after="40"/>
        <w:ind w:left="425" w:hanging="425"/>
        <w:tabs>
          <w:tab w:val="left" w:pos="425"/>
        </w:tabs>
      </w:pPr>
      <w:bookmarkStart w:id="1081" w:name="_Ref_81"/>
      <w:r>
        <w:rPr>
          <w:b w:val="0"/>
          <w:sz w:val="18"/>
        </w:rPr>
        <w:t>81</w:t>
      </w:r>
      <w:bookmarkEnd w:id="1081"/>
      <w:r>
        <w:rPr>
          <w:sz w:val="18"/>
        </w:rPr>
        <w:t>.</w:t>
        <w:tab/>
      </w:r>
      <w:r>
        <w:rPr>
          <w:b w:val="0"/>
          <w:i w:val="0"/>
          <w:sz w:val="18"/>
        </w:rPr>
        <w:t xml:space="preserve">Young, A. </w:t>
      </w:r>
      <w:r>
        <w:rPr>
          <w:b w:val="0"/>
          <w:i w:val="0"/>
          <w:sz w:val="18"/>
        </w:rPr>
        <w:t xml:space="preserve">Consistency without Inference: Instrumental Variables in Practical Application. </w:t>
      </w:r>
      <w:r>
        <w:rPr>
          <w:b w:val="0"/>
          <w:i/>
          <w:sz w:val="18"/>
        </w:rPr>
        <w:t xml:space="preserve">Eur. Econ. Rev. </w:t>
      </w:r>
      <w:r>
        <w:rPr>
          <w:b/>
          <w:i w:val="0"/>
          <w:sz w:val="18"/>
        </w:rPr>
        <w:t>2022</w:t>
      </w:r>
      <w:r>
        <w:rPr>
          <w:b w:val="0"/>
          <w:i w:val="0"/>
          <w:sz w:val="18"/>
        </w:rPr>
        <w:t xml:space="preserve">, </w:t>
      </w:r>
      <w:r>
        <w:rPr>
          <w:b w:val="0"/>
          <w:i/>
          <w:sz w:val="18"/>
        </w:rPr>
        <w:t>147</w:t>
      </w:r>
      <w:r>
        <w:rPr>
          <w:b w:val="0"/>
          <w:i w:val="0"/>
          <w:sz w:val="18"/>
        </w:rPr>
        <w:t>, 104112.</w:t>
      </w:r>
      <w:r>
        <w:rPr>
          <w:b w:val="0"/>
          <w:i w:val="0"/>
          <w:sz w:val="18"/>
        </w:rPr>
        <w:t xml:space="preserve"> [CrossRef]</w:t>
      </w:r>
    </w:p>
    <w:p>
      <w:pPr>
        <w:pStyle w:val="MDPI32textnoindent"/>
        <w:spacing w:line="240" w:lineRule="auto" w:before="0" w:after="40"/>
        <w:ind w:left="425" w:hanging="425"/>
        <w:tabs>
          <w:tab w:val="left" w:pos="425"/>
        </w:tabs>
      </w:pPr>
      <w:bookmarkStart w:id="1082" w:name="_Ref_82"/>
      <w:r>
        <w:rPr>
          <w:b w:val="0"/>
          <w:sz w:val="18"/>
        </w:rPr>
        <w:t>82</w:t>
      </w:r>
      <w:bookmarkEnd w:id="1082"/>
      <w:r>
        <w:rPr>
          <w:sz w:val="18"/>
        </w:rPr>
        <w:t>.</w:t>
        <w:tab/>
      </w:r>
      <w:r>
        <w:rPr>
          <w:b w:val="0"/>
          <w:i w:val="0"/>
          <w:sz w:val="18"/>
        </w:rPr>
        <w:t xml:space="preserve">Rosenbaum, P.R.; Rubin, D.B. </w:t>
      </w:r>
      <w:r>
        <w:rPr>
          <w:b w:val="0"/>
          <w:i w:val="0"/>
          <w:sz w:val="18"/>
        </w:rPr>
        <w:t xml:space="preserve">The Central Role of the Propensity Score in Observational Studies for Causal Effects. </w:t>
      </w:r>
      <w:r>
        <w:rPr>
          <w:b w:val="0"/>
          <w:i/>
          <w:sz w:val="18"/>
        </w:rPr>
        <w:t xml:space="preserve">Biometrika </w:t>
      </w:r>
      <w:r>
        <w:rPr>
          <w:b/>
          <w:i w:val="0"/>
          <w:sz w:val="18"/>
        </w:rPr>
        <w:t>1983</w:t>
      </w:r>
      <w:r>
        <w:rPr>
          <w:b w:val="0"/>
          <w:i w:val="0"/>
          <w:sz w:val="18"/>
        </w:rPr>
        <w:t xml:space="preserve">, </w:t>
      </w:r>
      <w:r>
        <w:rPr>
          <w:b w:val="0"/>
          <w:i/>
          <w:sz w:val="18"/>
        </w:rPr>
        <w:t>70</w:t>
      </w:r>
      <w:r>
        <w:rPr>
          <w:b w:val="0"/>
          <w:i w:val="0"/>
          <w:sz w:val="18"/>
        </w:rPr>
        <w:t>, 41–55.</w:t>
      </w:r>
      <w:r>
        <w:rPr>
          <w:b w:val="0"/>
          <w:i w:val="0"/>
          <w:sz w:val="18"/>
        </w:rPr>
        <w:t xml:space="preserve"> [CrossRef]</w:t>
      </w:r>
    </w:p>
    <w:p>
      <w:pPr>
        <w:pStyle w:val="MDPI32textnoindent"/>
        <w:spacing w:line="240" w:lineRule="auto" w:before="0" w:after="40"/>
        <w:ind w:left="425" w:hanging="425"/>
        <w:tabs>
          <w:tab w:val="left" w:pos="425"/>
        </w:tabs>
      </w:pPr>
      <w:bookmarkStart w:id="1083" w:name="_Ref_83"/>
      <w:r>
        <w:rPr>
          <w:b w:val="0"/>
          <w:sz w:val="18"/>
        </w:rPr>
        <w:t>83</w:t>
      </w:r>
      <w:bookmarkEnd w:id="1083"/>
      <w:r>
        <w:rPr>
          <w:sz w:val="18"/>
        </w:rPr>
        <w:t>.</w:t>
        <w:tab/>
      </w:r>
      <w:r>
        <w:rPr>
          <w:b w:val="0"/>
          <w:i w:val="0"/>
          <w:sz w:val="18"/>
        </w:rPr>
        <w:t xml:space="preserve">Oster, E. </w:t>
      </w:r>
      <w:r>
        <w:rPr>
          <w:b w:val="0"/>
          <w:i w:val="0"/>
          <w:sz w:val="18"/>
        </w:rPr>
        <w:t xml:space="preserve">Unobservable Selection and Coefficient Stability: Theory and Evidence. </w:t>
      </w:r>
      <w:r>
        <w:rPr>
          <w:b w:val="0"/>
          <w:i/>
          <w:sz w:val="18"/>
        </w:rPr>
        <w:t xml:space="preserve">J. Bus. Econ. Stat. </w:t>
      </w:r>
      <w:r>
        <w:rPr>
          <w:b/>
          <w:i w:val="0"/>
          <w:sz w:val="18"/>
        </w:rPr>
        <w:t>2019</w:t>
      </w:r>
      <w:r>
        <w:rPr>
          <w:b w:val="0"/>
          <w:i w:val="0"/>
          <w:sz w:val="18"/>
        </w:rPr>
        <w:t xml:space="preserve">, </w:t>
      </w:r>
      <w:r>
        <w:rPr>
          <w:b w:val="0"/>
          <w:i/>
          <w:sz w:val="18"/>
        </w:rPr>
        <w:t>37</w:t>
      </w:r>
      <w:r>
        <w:rPr>
          <w:b w:val="0"/>
          <w:i w:val="0"/>
          <w:sz w:val="18"/>
        </w:rPr>
        <w:t>, 187–204.</w:t>
      </w:r>
      <w:r>
        <w:rPr>
          <w:b w:val="0"/>
          <w:i w:val="0"/>
          <w:sz w:val="18"/>
        </w:rPr>
        <w:t xml:space="preserve"> [CrossRef]</w:t>
      </w:r>
    </w:p>
    <w:p>
      <w:pPr>
        <w:pStyle w:val="MDPI32textnoindent"/>
        <w:spacing w:line="240" w:lineRule="auto" w:before="0" w:after="40"/>
        <w:ind w:left="425" w:hanging="425"/>
        <w:tabs>
          <w:tab w:val="left" w:pos="425"/>
        </w:tabs>
      </w:pPr>
      <w:bookmarkStart w:id="1084" w:name="_Ref_84"/>
      <w:r>
        <w:rPr>
          <w:b w:val="0"/>
          <w:sz w:val="18"/>
        </w:rPr>
        <w:t>84</w:t>
      </w:r>
      <w:bookmarkEnd w:id="1084"/>
      <w:r>
        <w:rPr>
          <w:sz w:val="18"/>
        </w:rPr>
        <w:t>.</w:t>
        <w:tab/>
      </w:r>
      <w:r>
        <w:rPr>
          <w:b w:val="0"/>
          <w:i w:val="0"/>
          <w:sz w:val="18"/>
        </w:rPr>
        <w:t xml:space="preserve">Cameron, A.C.; Gelbach, J.B.; Miller, D.L. </w:t>
      </w:r>
      <w:r>
        <w:rPr>
          <w:b w:val="0"/>
          <w:i w:val="0"/>
          <w:sz w:val="18"/>
        </w:rPr>
        <w:t xml:space="preserve">Bootstrap-Based Improvements for Inference with Clustered Errors. </w:t>
      </w:r>
      <w:r>
        <w:rPr>
          <w:b w:val="0"/>
          <w:i/>
          <w:sz w:val="18"/>
        </w:rPr>
        <w:t xml:space="preserve">Rev. Econ. Stat. </w:t>
      </w:r>
      <w:r>
        <w:rPr>
          <w:b/>
          <w:i w:val="0"/>
          <w:sz w:val="18"/>
        </w:rPr>
        <w:t>2008</w:t>
      </w:r>
      <w:r>
        <w:rPr>
          <w:b w:val="0"/>
          <w:i w:val="0"/>
          <w:sz w:val="18"/>
        </w:rPr>
        <w:t xml:space="preserve">, </w:t>
      </w:r>
      <w:r>
        <w:rPr>
          <w:b w:val="0"/>
          <w:i/>
          <w:sz w:val="18"/>
        </w:rPr>
        <w:t>90</w:t>
      </w:r>
      <w:r>
        <w:rPr>
          <w:b w:val="0"/>
          <w:i w:val="0"/>
          <w:sz w:val="18"/>
        </w:rPr>
        <w:t>, 414–427.</w:t>
      </w:r>
      <w:r>
        <w:rPr>
          <w:b w:val="0"/>
          <w:i w:val="0"/>
          <w:sz w:val="18"/>
        </w:rPr>
        <w:t xml:space="preserve"> [CrossRef]</w:t>
      </w:r>
    </w:p>
    <w:p>
      <w:pPr>
        <w:pStyle w:val="MDPI32textnoindent"/>
        <w:spacing w:line="240" w:lineRule="auto" w:before="0" w:after="40"/>
        <w:ind w:left="425" w:hanging="425"/>
        <w:tabs>
          <w:tab w:val="left" w:pos="425"/>
        </w:tabs>
      </w:pPr>
      <w:bookmarkStart w:id="1085" w:name="_Ref_85"/>
      <w:r>
        <w:rPr>
          <w:b w:val="0"/>
          <w:sz w:val="18"/>
        </w:rPr>
        <w:t>85</w:t>
      </w:r>
      <w:bookmarkEnd w:id="1085"/>
      <w:r>
        <w:rPr>
          <w:sz w:val="18"/>
        </w:rPr>
        <w:t>.</w:t>
        <w:tab/>
      </w:r>
      <w:r>
        <w:rPr>
          <w:b w:val="0"/>
          <w:i w:val="0"/>
          <w:sz w:val="18"/>
        </w:rPr>
        <w:t xml:space="preserve">Roodman, D.; Nielsen, M.Ø.; MacKinnon, J.G.; Webb, M.D. </w:t>
      </w:r>
      <w:r>
        <w:rPr>
          <w:b w:val="0"/>
          <w:i w:val="0"/>
          <w:sz w:val="18"/>
        </w:rPr>
        <w:t xml:space="preserve">Fast and Wild: Bootstrap Inference in Stata Using boottest. </w:t>
      </w:r>
      <w:r>
        <w:rPr>
          <w:b w:val="0"/>
          <w:i/>
          <w:sz w:val="18"/>
        </w:rPr>
        <w:t xml:space="preserve">Stata J. </w:t>
      </w:r>
      <w:r>
        <w:rPr>
          <w:b/>
          <w:i w:val="0"/>
          <w:sz w:val="18"/>
        </w:rPr>
        <w:t>2019</w:t>
      </w:r>
      <w:r>
        <w:rPr>
          <w:b w:val="0"/>
          <w:i w:val="0"/>
          <w:sz w:val="18"/>
        </w:rPr>
        <w:t xml:space="preserve">, </w:t>
      </w:r>
      <w:r>
        <w:rPr>
          <w:b w:val="0"/>
          <w:i/>
          <w:sz w:val="18"/>
        </w:rPr>
        <w:t>19</w:t>
      </w:r>
      <w:r>
        <w:rPr>
          <w:b w:val="0"/>
          <w:i w:val="0"/>
          <w:sz w:val="18"/>
        </w:rPr>
        <w:t>, 4–60.</w:t>
      </w:r>
      <w:r>
        <w:rPr>
          <w:b w:val="0"/>
          <w:i w:val="0"/>
          <w:sz w:val="18"/>
        </w:rPr>
        <w:t xml:space="preserve"> [CrossRef]</w:t>
      </w:r>
    </w:p>
    <w:p>
      <w:pPr>
        <w:pStyle w:val="MDPI32textnoindent"/>
        <w:spacing w:line="240" w:lineRule="auto" w:before="0" w:after="40"/>
        <w:ind w:left="425" w:hanging="425"/>
        <w:tabs>
          <w:tab w:val="left" w:pos="425"/>
        </w:tabs>
      </w:pPr>
      <w:bookmarkStart w:id="1086" w:name="_Ref_86"/>
      <w:r>
        <w:rPr>
          <w:b w:val="0"/>
          <w:sz w:val="18"/>
        </w:rPr>
        <w:t>86</w:t>
      </w:r>
      <w:bookmarkEnd w:id="1086"/>
      <w:r>
        <w:rPr>
          <w:sz w:val="18"/>
        </w:rPr>
        <w:t>.</w:t>
        <w:tab/>
      </w:r>
      <w:r>
        <w:rPr>
          <w:b w:val="0"/>
          <w:i w:val="0"/>
          <w:sz w:val="18"/>
        </w:rPr>
        <w:t xml:space="preserve">Meadows, D.H. </w:t>
      </w:r>
      <w:r>
        <w:rPr>
          <w:b w:val="0"/>
          <w:i/>
          <w:sz w:val="18"/>
        </w:rPr>
        <w:t>Thinking in Systems: A Primer</w:t>
      </w:r>
      <w:r>
        <w:rPr>
          <w:b w:val="0"/>
          <w:i w:val="0"/>
          <w:sz w:val="18"/>
        </w:rPr>
        <w:t xml:space="preserve">; </w:t>
      </w:r>
      <w:r>
        <w:rPr>
          <w:b w:val="0"/>
          <w:i w:val="0"/>
          <w:sz w:val="18"/>
        </w:rPr>
        <w:t>Chelsea Green Publishing: White River Junction, VT, USA, 2008.</w:t>
      </w:r>
    </w:p>
    <w:p>
      <w:pPr>
        <w:pStyle w:val="MDPI32textnoindent"/>
        <w:spacing w:line="240" w:lineRule="auto" w:before="0" w:after="40"/>
        <w:ind w:left="425" w:hanging="425"/>
        <w:tabs>
          <w:tab w:val="left" w:pos="425"/>
        </w:tabs>
      </w:pPr>
      <w:bookmarkStart w:id="1087" w:name="_Ref_87"/>
      <w:r>
        <w:rPr>
          <w:b w:val="0"/>
          <w:sz w:val="18"/>
        </w:rPr>
        <w:t>87</w:t>
      </w:r>
      <w:bookmarkEnd w:id="1087"/>
      <w:r>
        <w:rPr>
          <w:sz w:val="18"/>
        </w:rPr>
        <w:t>.</w:t>
        <w:tab/>
      </w:r>
      <w:r>
        <w:rPr>
          <w:b w:val="0"/>
          <w:i w:val="0"/>
          <w:sz w:val="18"/>
        </w:rPr>
        <w:t xml:space="preserve">Sterman, J.D. </w:t>
      </w:r>
      <w:r>
        <w:rPr>
          <w:b w:val="0"/>
          <w:i/>
          <w:sz w:val="18"/>
        </w:rPr>
        <w:t>Business Dynamics: Systems Thinking and Modeling for a Complex World</w:t>
      </w:r>
      <w:r>
        <w:rPr>
          <w:b w:val="0"/>
          <w:i w:val="0"/>
          <w:sz w:val="18"/>
        </w:rPr>
        <w:t xml:space="preserve">; </w:t>
      </w:r>
      <w:r>
        <w:rPr>
          <w:b w:val="0"/>
          <w:i w:val="0"/>
          <w:sz w:val="18"/>
        </w:rPr>
        <w:t>Irwin/McGraw-Hill: Boston, MA, USA, 2000.</w:t>
      </w:r>
    </w:p>
    <w:p>
      <w:pPr>
        <w:pStyle w:val="MDPI32textnoindent"/>
        <w:spacing w:line="240" w:lineRule="auto" w:before="0" w:after="40"/>
        <w:ind w:left="425" w:hanging="425"/>
        <w:tabs>
          <w:tab w:val="left" w:pos="425"/>
        </w:tabs>
      </w:pPr>
      <w:bookmarkStart w:id="1088" w:name="_Ref_88"/>
      <w:r>
        <w:rPr>
          <w:b w:val="0"/>
          <w:sz w:val="18"/>
        </w:rPr>
        <w:t>88</w:t>
      </w:r>
      <w:bookmarkEnd w:id="1088"/>
      <w:r>
        <w:rPr>
          <w:sz w:val="18"/>
        </w:rPr>
        <w:t>.</w:t>
        <w:tab/>
      </w:r>
      <w:r>
        <w:rPr>
          <w:b w:val="0"/>
          <w:i w:val="0"/>
          <w:sz w:val="18"/>
        </w:rPr>
        <w:t xml:space="preserve">State Council of the People’s Republic of China. </w:t>
      </w:r>
      <w:r>
        <w:rPr>
          <w:b w:val="0"/>
          <w:i w:val="0"/>
          <w:sz w:val="18"/>
        </w:rPr>
        <w:t xml:space="preserve">Opinions on Deepening the Implementation of the “Artificial Intelligence Plus” Initiative. </w:t>
      </w:r>
      <w:r>
        <w:rPr>
          <w:b w:val="0"/>
          <w:i w:val="0"/>
          <w:sz w:val="18"/>
        </w:rPr>
        <w:t>Available online: https://www.gov.cn/ (accessed on 20 March 2026).</w:t>
      </w:r>
    </w:p>
    <w:p>
      <w:pPr>
        <w:pStyle w:val="MDPI32textnoindent"/>
        <w:spacing w:line="240" w:lineRule="auto" w:before="0" w:after="40"/>
        <w:ind w:left="425" w:hanging="425"/>
        <w:tabs>
          <w:tab w:val="left" w:pos="425"/>
        </w:tabs>
      </w:pPr>
      <w:bookmarkStart w:id="1089" w:name="_Ref_89"/>
      <w:r>
        <w:rPr>
          <w:b w:val="0"/>
          <w:sz w:val="18"/>
        </w:rPr>
        <w:t>89</w:t>
      </w:r>
      <w:bookmarkEnd w:id="1089"/>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p>
      <w:pPr>
        <w:pStyle w:val="MDPI32textnoindent"/>
        <w:spacing w:line="240" w:lineRule="auto" w:before="0" w:after="40"/>
        <w:ind w:left="425" w:hanging="425"/>
        <w:tabs>
          <w:tab w:val="left" w:pos="425"/>
        </w:tabs>
      </w:pPr>
      <w:bookmarkStart w:id="1090" w:name="_Ref_90"/>
      <w:r>
        <w:rPr>
          <w:b w:val="0"/>
          <w:sz w:val="18"/>
        </w:rPr>
        <w:t>90</w:t>
      </w:r>
      <w:bookmarkEnd w:id="1090"/>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091" w:name="_Ref_91"/>
      <w:r>
        <w:rPr>
          <w:b w:val="0"/>
          <w:sz w:val="18"/>
        </w:rPr>
        <w:t>91</w:t>
      </w:r>
      <w:bookmarkEnd w:id="1091"/>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92" w:name="_Ref_92"/>
      <w:r>
        <w:rPr>
          <w:b w:val="0"/>
          <w:sz w:val="18"/>
        </w:rPr>
        <w:t>92</w:t>
      </w:r>
      <w:bookmarkEnd w:id="1092"/>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93" w:name="_Ref_93"/>
      <w:r>
        <w:rPr>
          <w:b w:val="0"/>
          <w:sz w:val="18"/>
        </w:rPr>
        <w:t>93</w:t>
      </w:r>
      <w:bookmarkEnd w:id="1093"/>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94" w:name="_Ref_94"/>
      <w:r>
        <w:rPr>
          <w:b w:val="0"/>
          <w:sz w:val="18"/>
        </w:rPr>
        <w:t>94</w:t>
      </w:r>
      <w:bookmarkEnd w:id="1094"/>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95" w:name="_Ref_95"/>
      <w:r>
        <w:rPr>
          <w:b w:val="0"/>
          <w:sz w:val="18"/>
        </w:rPr>
        <w:t>95</w:t>
      </w:r>
      <w:bookmarkEnd w:id="1095"/>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96" w:name="_Ref_96"/>
      <w:r>
        <w:rPr>
          <w:b w:val="0"/>
          <w:sz w:val="18"/>
        </w:rPr>
        <w:t>96</w:t>
      </w:r>
      <w:bookmarkEnd w:id="1096"/>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