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数字基础设施建设与家庭创业"/>
    <w:p>
      <w:pPr>
        <w:pStyle w:val="Heading1"/>
      </w:pPr>
      <w:r>
        <w:t xml:space="preserve">数字基础设施建设与家庭创业</w:t>
      </w:r>
    </w:p>
    <w:bookmarkEnd w:id="20"/>
    <w:bookmarkStart w:id="43" w:name="来自宽带中国战略的准自然实验"/>
    <w:p>
      <w:pPr>
        <w:pStyle w:val="Heading1"/>
      </w:pPr>
      <w:r>
        <w:t xml:space="preserve">——来自“宽带中国”战略的准自然实验</w:t>
      </w:r>
    </w:p>
    <w:p>
      <w:pPr>
        <w:pStyle w:val="FirstParagraph"/>
      </w:pPr>
      <w:r>
        <w:rPr>
          <w:bCs/>
          <w:b/>
        </w:rPr>
        <w:t xml:space="preserve">摘要：</w:t>
      </w:r>
      <w:r>
        <w:t xml:space="preserve"> </w:t>
      </w:r>
      <w:r>
        <w:t xml:space="preserve">家庭创业是激发微观经济活力、促进共同富裕的重要途径，而数字基础设施正深刻重塑家庭创业的信息环境与要素约束。本文从经济学视角将数字基础设施刻画为一种降低信息成本、缓解融资约束的通用目的技术，据此拓展了刻画家庭职业选择的经典分析框架，探讨了数字基础设施影响家庭创业的作用机制。本文利用中国家庭追踪调查（CFPS）数据，借助“宽带中国”示范城市建设这一准自然实验，采用多期双重差分方法识别了数字基础设施建设对家庭创业的影响及其机制。研究发现，数字基础设施建设显著提高了家庭的创业概率，在考虑一系列稳健性检验后结论依然成立；机制分析表明，该效应主要源于数字基础设施能够显著增强家庭的信息获取能力与融资可得性，并强化其社会网络。异质性分析发现，数字基础设施对农村家庭、低收入家庭以及受教育水平较低群体的创业促进作用更为显著。本文研究为理解数字基础设施的创业效应提供了微观证据，为以新型基础设施建设赋能大众创业、缩小城乡数字鸿沟提供了政策启示。</w:t>
      </w:r>
    </w:p>
    <w:p>
      <w:pPr>
        <w:pStyle w:val="BodyText"/>
      </w:pPr>
      <w:r>
        <w:rPr>
          <w:bCs/>
          <w:b/>
        </w:rPr>
        <w:t xml:space="preserve">关键词：</w:t>
      </w:r>
      <w:r>
        <w:t xml:space="preserve"> </w:t>
      </w:r>
      <w:r>
        <w:t xml:space="preserve">数字基础设施　家庭创业　信息成本　融资约束　双重差分</w:t>
      </w:r>
    </w:p>
    <w:bookmarkStart w:id="21" w:name="一引-言"/>
    <w:p>
      <w:pPr>
        <w:pStyle w:val="Heading2"/>
      </w:pPr>
      <w:r>
        <w:t xml:space="preserve">一、引　言</w:t>
      </w:r>
    </w:p>
    <w:p>
      <w:pPr>
        <w:pStyle w:val="FirstParagraph"/>
      </w:pPr>
      <w:r>
        <w:t xml:space="preserve">创业是推动经济增长、扩大就业与实现共同富裕的重要引擎。在中国经济迈向高质量发展的进程中，激发亿万家庭的创业活力、以创业带动就业，成为构建新发展格局、增强内生发展动能的重要抓手。与此同时，以宽带网络、移动通信为代表的数字基础设施加速演进，深刻改变了家庭获取信息、配置资源与参与市场的方式。准确刻画数字基础设施影响家庭创业的基本特征，识别其关键作用机制，既是理解数字经济时代创业行为变迁的客观需要，也是以“新基建”赋能大众创业、缓解发展不平衡不充分的现实要求。</w:t>
      </w:r>
    </w:p>
    <w:p>
      <w:pPr>
        <w:pStyle w:val="BodyText"/>
      </w:pPr>
      <w:r>
        <w:t xml:space="preserve">作为一种典型的通用目的技术（General Purpose Technology），数字基础设施通过降低信息搜寻、匹配与交易成本，重塑了微观主体的经济决策（Goldfarb和Tucker，2019）。相关研究表明，互联网与宽带的普及不仅能够在微观层面提升个体收入与福利水平（邱泽奇和乔天宇，2021；王汉杰，2024），还能够在中观与宏观层面驱动区域数字化转型与经济增长（张涛和李均超，2023；陈梦根和周元任，2023）。在就业与创业领域，快速互联网的到来被证明能够显著创造就业岗位、提升劳动参与（Hjort和Poulsen，2019），而数字技术与技能之间存在的互补性，则进一步影响了不同群体从数字化中获益的能力（Akerman等，2015）。就中国而言，数字经济的发展显著提升了城市创业活跃度（赵涛等，2020），数字普惠金融也通过缓解融资约束促进了包容性增长（张勋等，2019；郭峰等，2020）。</w:t>
      </w:r>
    </w:p>
    <w:p>
      <w:pPr>
        <w:pStyle w:val="BodyText"/>
      </w:pPr>
      <w:r>
        <w:t xml:space="preserve">尽管已有文献从不同侧面揭示了数字化与创业之间的关联，但仍存在明显局限。第一，多数研究以互联网“使用”或数字化“水平”作为核心解释变量（周广肃和樊纲，2018；黄阳华等，2023），而个体的数字化使用往往内生于自身能力、偏好与家庭资源禀赋，难以剥离反向因果与遗漏变量的干扰，因而对因果关系的识别有待更严谨的策略予以支撑。第二，已有研究较多关注数字化对创业“是否”产生影响，而对数字基础设施“如何”影响家庭创业这一机制问题回应不足，特别是缺乏对信息渠道与融资渠道的系统检验。第三，数字基础设施在缩小抑或扩大创业机会不平等方面究竟扮演何种角色，现有证据尚不充分。</w:t>
      </w:r>
    </w:p>
    <w:p>
      <w:pPr>
        <w:pStyle w:val="BodyText"/>
      </w:pPr>
      <w:r>
        <w:t xml:space="preserve">针对上述不足，本文以1999年以来中国大规模推进、并于2013年正式实施的“宽带中国”战略为切入点，借助示范城市（城市群）分批建设所形成的外生政策冲击，识别数字基础设施建设对家庭创业的因果影响及其机制。本文的主要发现可归纳为：基于“宽带中国”示范城市建设的多期双重差分估计表明，数字基础设施建设显著提高了家庭创业概率；事件研究法验证了处理组与控制组在政策实施前不存在显著差异，满足平行趋势假定；机制分析显示，数字基础设施通过增强信息获取能力、提高融资可得性以及强化社会网络三个渠道促进家庭创业；异质性分析表明，这一促进作用对农村家庭、低收入家庭及受教育水平较低群体更为显著。</w:t>
      </w:r>
    </w:p>
    <w:p>
      <w:pPr>
        <w:pStyle w:val="BodyText"/>
      </w:pPr>
      <w:r>
        <w:t xml:space="preserve">本文可能的边际贡献体现在以下三个方面。第一，在识别策略上，本文利用“宽带中国”示范城市分批设立所形成的准自然实验，采用多期双重差分方法，较好地克服了以往研究中数字化使用内生于个体特征所引致的估计偏误，为数字基础设施影响家庭创业提供了更为可信的因果证据。第二，在机制识别上，本文将数字基础设施刻画为降低信息成本、缓解融资约束的通用目的技术，拓展了刻画家庭职业选择的经典分析框架，并从信息渠道与融资渠道两个维度提供了直接的经验证据，深化了对数字基础设施创业效应内在机理的理解。第三，在政策含义上，本文发现数字基础设施对传统创业活动中的弱势群体具有更强的赋能作用，表明数字基础设施建设兼具创业“助推器”与机会“平衡器”的双重功能，为以新型基础设施建设促进包容性创业、缩小城乡数字鸿沟提供了新的经验依据。</w:t>
      </w:r>
    </w:p>
    <w:p>
      <w:pPr>
        <w:pStyle w:val="BodyText"/>
      </w:pPr>
      <w:r>
        <w:t xml:space="preserve">本文余下部分安排如下：第二部分介绍制度背景并提出理论分析与研究假说；第三部分阐述研究设计，包括计量模型、数据与变量；第四部分报告基准估计与稳健性检验结果；第五部分进行机制检验；第六部分开展异质性分析；第七部分总结全文并提出政策建议。</w:t>
      </w:r>
    </w:p>
    <w:bookmarkEnd w:id="21"/>
    <w:bookmarkStart w:id="24" w:name="二制度背景与理论分析"/>
    <w:p>
      <w:pPr>
        <w:pStyle w:val="Heading2"/>
      </w:pPr>
      <w:r>
        <w:t xml:space="preserve">二、制度背景与理论分析</w:t>
      </w:r>
    </w:p>
    <w:bookmarkStart w:id="22" w:name="一制度背景"/>
    <w:p>
      <w:pPr>
        <w:pStyle w:val="Heading3"/>
      </w:pPr>
      <w:r>
        <w:t xml:space="preserve">（一）制度背景</w:t>
      </w:r>
    </w:p>
    <w:p>
      <w:pPr>
        <w:pStyle w:val="FirstParagraph"/>
      </w:pPr>
      <w:r>
        <w:t xml:space="preserve">数字基础设施是支撑数字经济运行的物质技术基础，主要包括宽带网络、移动通信、数据中心等信息基础设施。改革开放以来，中国信息基础设施建设经历了从无到有、由弱变强的发展历程。进入21世纪，随着信息技术的快速进步与网民规模的持续扩张，宽带网络逐渐成为经济社会运行的重要基础设施。然而，与发达国家相比，中国宽带发展一度存在网速偏低、资费偏高、城乡与区域发展不均衡等突出问题。</w:t>
      </w:r>
    </w:p>
    <w:p>
      <w:pPr>
        <w:pStyle w:val="BodyText"/>
      </w:pPr>
      <w:r>
        <w:t xml:space="preserve">为破解上述瓶颈、系统提升国家信息基础设施水平，2013年8月，国务院印发《</w:t>
      </w:r>
      <w:r>
        <w:t xml:space="preserve">“</w:t>
      </w:r>
      <w:r>
        <w:t xml:space="preserve">宽带中国</w:t>
      </w:r>
      <w:r>
        <w:t xml:space="preserve">”</w:t>
      </w:r>
      <w:r>
        <w:t xml:space="preserve">战略及实施方案》，首次将宽带网络定位为国家战略性公共基础设施，明确了分阶段推进宽带网络建设与升级的目标。在此基础上，2014年起，工业和信息化部、国家发展和改革委员会分批遴选并确定“宽带中国”示范城市（城市群），通过财政支持、政策倾斜与考核督导等方式，加快示范地区的光纤网络覆盖、宽带提速降费与应用普及。2014年、2015年和2016年，三批示范城市相继获批，覆盖了全国大部分省份。相关研究表明，</w:t>
      </w:r>
      <w:r>
        <w:t xml:space="preserve">“</w:t>
      </w:r>
      <w:r>
        <w:t xml:space="preserve">宽带中国</w:t>
      </w:r>
      <w:r>
        <w:t xml:space="preserve">”</w:t>
      </w:r>
      <w:r>
        <w:t xml:space="preserve">示范城市建设显著改善了地区数字基础设施水平，推动了经济与社会发展（张涛和李均超，2023）。</w:t>
      </w:r>
    </w:p>
    <w:p>
      <w:pPr>
        <w:pStyle w:val="BodyText"/>
      </w:pPr>
      <w:r>
        <w:t xml:space="preserve">“</w:t>
      </w:r>
      <w:r>
        <w:t xml:space="preserve">宽带中国</w:t>
      </w:r>
      <w:r>
        <w:t xml:space="preserve">”</w:t>
      </w:r>
      <w:r>
        <w:t xml:space="preserve">示范城市的分批设立，为识别数字基础设施建设的经济社会影响创造了良好的研究机会。一方面，示范城市的遴选综合考虑了宽带发展基础、地方政府积极性等因素，其获批时点对单个家庭而言具有外生性；另一方面，示范城市在不同年份分批获批，形成了处理时点交错的政策冲击，为运用多期双重差分方法识别政策效应提供了条件。</w:t>
      </w:r>
    </w:p>
    <w:bookmarkEnd w:id="22"/>
    <w:bookmarkStart w:id="23" w:name="二理论框架与研究假说"/>
    <w:p>
      <w:pPr>
        <w:pStyle w:val="Heading3"/>
      </w:pPr>
      <w:r>
        <w:t xml:space="preserve">（二）理论框架与研究假说</w:t>
      </w:r>
    </w:p>
    <w:p>
      <w:pPr>
        <w:pStyle w:val="FirstParagraph"/>
      </w:pPr>
      <w:r>
        <w:t xml:space="preserve">本文借鉴职业选择理论刻画家庭创业决策，并在此基础上分析数字基础设施的影响。经典理论认为，个体（家庭）在受雇就业与自主创业之间进行选择，取决于两者预期效用的比较（Evans和Jovanovic，1989）。设家庭</w:t>
      </w:r>
      <w:r>
        <w:t xml:space="preserve"> </w:t>
      </w:r>
      <m:oMath>
        <m:r>
          <m:t>i</m:t>
        </m:r>
      </m:oMath>
      <w:r>
        <w:t xml:space="preserve"> </w:t>
      </w:r>
      <w:r>
        <w:t xml:space="preserve">从事创业活动的预期收益为</w:t>
      </w:r>
      <w:r>
        <w:t xml:space="preserve"> </w:t>
      </w:r>
      <m:oMath>
        <m:sSub>
          <m:e>
            <m:r>
              <m:t>π</m:t>
            </m:r>
          </m:e>
          <m:sub>
            <m:r>
              <m:t>i</m:t>
            </m:r>
          </m:sub>
        </m:sSub>
      </m:oMath>
      <w:r>
        <w:t xml:space="preserve">，其取决于家庭掌握的市场信息、可动员的资金以及自身能力等因素。当创业预期净收益超过受雇就业的机会成本时，家庭将选择创业。</w:t>
      </w:r>
    </w:p>
    <w:p>
      <w:pPr>
        <w:pStyle w:val="BodyText"/>
      </w:pPr>
      <w:r>
        <w:t xml:space="preserve">在信息不完全与融资约束普遍存在的现实条件下，家庭创业决策往往受到两类关键摩擦的制约。第一类是信息摩擦。创业活动高度依赖对市场需求、商业机会、生产技术与销售渠道等信息的获取与甄别，信息成本构成创业的重要隐性门槛。第二类是融资约束。创业通常需要一定规模的启动资金，而在信贷市场不完善的条件下，缺乏抵押品或信用记录的家庭难以获得外部融资，其创业决策更多依赖自有财富（Evans和Jovanovic，1989）。</w:t>
      </w:r>
    </w:p>
    <w:p>
      <w:pPr>
        <w:pStyle w:val="BodyText"/>
      </w:pPr>
      <w:r>
        <w:t xml:space="preserve">数字基础设施作为一种通用目的技术，能够同时缓解上述两类摩擦，进而影响家庭创业决策。据此，本文将家庭创业的预期净收益表示为信息可得性、融资可得性与其他要素投入的函数，并将数字基础设施</w:t>
      </w:r>
      <w:r>
        <w:t xml:space="preserve"> </w:t>
      </w:r>
      <m:oMath>
        <m:r>
          <m:t>B</m:t>
        </m:r>
      </m:oMath>
      <w:r>
        <w:t xml:space="preserve"> </w:t>
      </w:r>
      <w:r>
        <w:t xml:space="preserve">作为影响信息与融资可得性的外生变量纳入分析框架。</w:t>
      </w:r>
    </w:p>
    <w:p>
      <w:pPr>
        <w:pStyle w:val="BodyText"/>
      </w:pPr>
      <w:r>
        <w:t xml:space="preserve">第一，信息渠道。数字基础设施通过降低信息搜寻、传输与匹配的成本，显著改善了家庭的信息获取条件。宽带网络的普及使家庭能够以更低成本获取市场需求、价格行情、商业机会等关键信息，缓解了创业决策中的信息不对称，扩大了可行的创业机会集合（Goldfarb和Tucker，2019）。同时，数字平台的兴起降低了产品展示、交易撮合与物流配送的门槛，使更多家庭得以参与线上经营。据此，本文提出：</w:t>
      </w:r>
    </w:p>
    <w:p>
      <w:pPr>
        <w:pStyle w:val="BodyText"/>
      </w:pPr>
      <w:r>
        <w:rPr>
          <w:bCs/>
          <w:b/>
        </w:rPr>
        <w:t xml:space="preserve">研究假说1：</w:t>
      </w:r>
      <w:r>
        <w:t xml:space="preserve"> </w:t>
      </w:r>
      <w:r>
        <w:t xml:space="preserve">数字基础设施建设通过增强家庭信息获取能力，促进家庭创业。</w:t>
      </w:r>
    </w:p>
    <w:p>
      <w:pPr>
        <w:pStyle w:val="BodyText"/>
      </w:pPr>
      <w:r>
        <w:t xml:space="preserve">第二，融资渠道。数字基础设施是数字金融发展的重要载体。宽带网络的普及推动了数字支付、网络信贷等数字普惠金融服务的下沉，使传统金融体系难以覆盖的家庭得以获得融资服务，缓解了创业面临的融资约束（张勋等，2019；郭峰等，2020）。融资约束的缓解直接放松了家庭创业的资金门槛，提高了其将创业意愿转化为创业行为的可能性。据此，本文提出：</w:t>
      </w:r>
    </w:p>
    <w:p>
      <w:pPr>
        <w:pStyle w:val="BodyText"/>
      </w:pPr>
      <w:r>
        <w:rPr>
          <w:bCs/>
          <w:b/>
        </w:rPr>
        <w:t xml:space="preserve">研究假说2：</w:t>
      </w:r>
      <w:r>
        <w:t xml:space="preserve"> </w:t>
      </w:r>
      <w:r>
        <w:t xml:space="preserve">数字基础设施建设通过提高家庭融资可得性，促进家庭创业。</w:t>
      </w:r>
    </w:p>
    <w:p>
      <w:pPr>
        <w:pStyle w:val="BodyText"/>
      </w:pPr>
      <w:r>
        <w:t xml:space="preserve">第三，社会网络渠道。数字基础设施还改变了家庭的社会交往方式。社交媒体、即时通信等数字应用拓展了家庭的社会网络，增强了其获取社会资本、动员社会资源的能力，而社会网络是创业机会识别与资源获取的重要来源。据此，本文提出：</w:t>
      </w:r>
    </w:p>
    <w:p>
      <w:pPr>
        <w:pStyle w:val="BodyText"/>
      </w:pPr>
      <w:r>
        <w:rPr>
          <w:bCs/>
          <w:b/>
        </w:rPr>
        <w:t xml:space="preserve">研究假说3：</w:t>
      </w:r>
      <w:r>
        <w:t xml:space="preserve"> </w:t>
      </w:r>
      <w:r>
        <w:t xml:space="preserve">数字基础设施建设通过强化家庭社会网络，促进家庭创业。</w:t>
      </w:r>
    </w:p>
    <w:p>
      <w:pPr>
        <w:pStyle w:val="BodyText"/>
      </w:pPr>
      <w:r>
        <w:t xml:space="preserve">综合上述分析，本文提出待检验的核心假说：数字基础设施建设能够显著促进家庭创业，且这一效应通过增强信息获取能力、提高融资可得性与强化社会网络三个渠道实现。进一步地，考虑到农村、低收入及受教育水平较低群体在传统创业活动中面临更强的信息与融资约束，数字基础设施对这些群体的创业促进作用可能更为显著。</w:t>
      </w:r>
    </w:p>
    <w:bookmarkEnd w:id="23"/>
    <w:bookmarkEnd w:id="24"/>
    <w:bookmarkStart w:id="27" w:name="三研究设计"/>
    <w:p>
      <w:pPr>
        <w:pStyle w:val="Heading2"/>
      </w:pPr>
      <w:r>
        <w:t xml:space="preserve">三、研究设计</w:t>
      </w:r>
    </w:p>
    <w:bookmarkStart w:id="25" w:name="一计量模型设定"/>
    <w:p>
      <w:pPr>
        <w:pStyle w:val="Heading3"/>
      </w:pPr>
      <w:r>
        <w:t xml:space="preserve">（一）计量模型设定</w:t>
      </w:r>
    </w:p>
    <w:p>
      <w:pPr>
        <w:pStyle w:val="FirstParagraph"/>
      </w:pPr>
      <w:r>
        <w:t xml:space="preserve">“</w:t>
      </w:r>
      <w:r>
        <w:t xml:space="preserve">宽带中国</w:t>
      </w:r>
      <w:r>
        <w:t xml:space="preserve">”</w:t>
      </w:r>
      <w:r>
        <w:t xml:space="preserve">示范城市的分批设立，为本文运用多期双重差分（Difference-in-Differences，DID）方法识别数字基础设施建设对家庭创业的影响提供了条件。本文构建如下双向固定效应模型：</w:t>
      </w:r>
    </w:p>
    <w:tbl>
      <w:tblPr>
        <w:tblW w:w="944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Caption w:val="__eqnum__"/>
      </w:tblPr>
      <w:tblGrid>
        <w:gridCol w:w="850"/>
        <w:gridCol w:w="7740"/>
        <w:gridCol w:w="850"/>
      </w:tblGrid>
      <w:tr>
        <w:tc>
          <w:tcPr>
            <w:tcW w:w="850" w:type="dxa"/>
            <w:vAlign w:val="center"/>
          </w:tcPr>
          <w:p>
            <w:pPr>
              <w:ind w:firstLine="0" w:firstLineChars="0"/>
            </w:pPr>
          </w:p>
        </w:tc>
        <w:tc>
          <w:tcPr>
            <w:tcW w:w="7740" w:type="dxa"/>
            <w:vAlign w:val="center"/>
          </w:tcPr>
          <w:p>
            <w:pPr>
              <w:jc w:val="center"/>
              <w:ind w:firstLine="0" w:firstLineChars="0"/>
            </w:pPr>
            <m:oMathPara>
              <m:oMathParaPr>
                <m:jc m:val="center"/>
              </m:oMathParaPr>
              <m:oMath>
                <m:sSub>
                  <m:e>
                    <m:r>
                      <m:rPr>
                        <m:nor/>
                        <m:sty m:val="p"/>
                      </m:rPr>
                      <m:t>Entrep</m:t>
                    </m:r>
                  </m:e>
                  <m:sub>
                    <m:r>
                      <m:t>i</m:t>
                    </m:r>
                    <m:r>
                      <m:t>c</m:t>
                    </m:r>
                    <m:r>
                      <m:t>t</m:t>
                    </m:r>
                  </m:sub>
                </m:sSub>
                <m:r>
                  <m:rPr>
                    <m:sty m:val="p"/>
                  </m:rPr>
                  <m:t>=</m:t>
                </m:r>
                <m:r>
                  <m:t>α</m:t>
                </m:r>
                <m:r>
                  <m:rPr>
                    <m:sty m:val="p"/>
                  </m:rPr>
                  <m:t>+</m:t>
                </m:r>
                <m:r>
                  <m:t>β</m:t>
                </m:r>
                <m:r>
                  <m:t> </m:t>
                </m:r>
                <m:sSub>
                  <m:e>
                    <m:r>
                      <m:rPr>
                        <m:nor/>
                        <m:sty m:val="p"/>
                      </m:rPr>
                      <m:t>Post</m:t>
                    </m:r>
                  </m:e>
                  <m:sub>
                    <m:r>
                      <m:t>c</m:t>
                    </m:r>
                    <m:r>
                      <m:t>t</m:t>
                    </m:r>
                  </m:sub>
                </m:sSub>
                <m:r>
                  <m:rPr>
                    <m:sty m:val="p"/>
                  </m:rPr>
                  <m:t>+</m:t>
                </m:r>
                <m:sSub>
                  <m:e>
                    <m:r>
                      <m:t>X</m:t>
                    </m:r>
                  </m:e>
                  <m:sub>
                    <m:r>
                      <m:t>i</m:t>
                    </m:r>
                    <m:r>
                      <m:t>c</m:t>
                    </m:r>
                    <m:r>
                      <m:t>t</m:t>
                    </m:r>
                  </m:sub>
                </m:sSub>
                <m:r>
                  <m:rPr>
                    <m:sty m:val="p"/>
                  </m:rPr>
                  <m:t>′</m:t>
                </m:r>
                <m:r>
                  <m:t>γ</m:t>
                </m:r>
                <m:r>
                  <m:rPr>
                    <m:sty m:val="p"/>
                  </m:rPr>
                  <m:t>+</m:t>
                </m:r>
                <m:sSub>
                  <m:e>
                    <m:r>
                      <m:t>μ</m:t>
                    </m:r>
                  </m:e>
                  <m:sub>
                    <m:r>
                      <m:t>i</m:t>
                    </m:r>
                  </m:sub>
                </m:sSub>
                <m:r>
                  <m:rPr>
                    <m:sty m:val="p"/>
                  </m:rPr>
                  <m:t>+</m:t>
                </m:r>
                <m:sSub>
                  <m:e>
                    <m:r>
                      <m:t>λ</m:t>
                    </m:r>
                  </m:e>
                  <m:sub>
                    <m:r>
                      <m:t>t</m:t>
                    </m:r>
                  </m:sub>
                </m:sSub>
                <m:r>
                  <m:rPr>
                    <m:sty m:val="p"/>
                  </m:rPr>
                  <m:t>+</m:t>
                </m:r>
                <m:sSub>
                  <m:e>
                    <m:r>
                      <m:t>ε</m:t>
                    </m:r>
                  </m:e>
                  <m:sub>
                    <m:r>
                      <m:t>i</m:t>
                    </m:r>
                    <m:r>
                      <m:t>c</m:t>
                    </m:r>
                    <m:r>
                      <m:t>t</m:t>
                    </m:r>
                  </m:sub>
                </m:sSub>
              </m:oMath>
            </m:oMathPara>
          </w:p>
        </w:tc>
        <w:tc>
          <w:tcPr>
            <w:tcW w:w="850" w:type="dxa"/>
            <w:vAlign w:val="center"/>
          </w:tcPr>
          <w:p>
            <w:pPr>
              <w:jc w:val="right"/>
              <w:ind w:firstLine="0" w:firstLineChars="0"/>
            </w:pPr>
            <w:r>
              <w:rPr>
                <w:rFonts w:ascii="Times New Roman" w:hAnsi="Times New Roman" w:eastAsia="宋体"/>
              </w:rPr>
              <w:t xml:space="preserve">（1）</w:t>
            </w:r>
          </w:p>
        </w:tc>
      </w:tr>
    </w:tbl>
    <w:p>
      <w:pPr>
        <w:pStyle w:val="BodyText"/>
      </w:pPr>
      <w:r>
        <w:t xml:space="preserve">其中，</w:t>
      </w:r>
      <m:oMath>
        <m:r>
          <m:t>i</m:t>
        </m:r>
      </m:oMath>
      <w:r>
        <w:t xml:space="preserve">、</w:t>
      </w:r>
      <m:oMath>
        <m:r>
          <m:t>c</m:t>
        </m:r>
      </m:oMath>
      <w:r>
        <w:t xml:space="preserve">、</w:t>
      </w:r>
      <m:oMath>
        <m:r>
          <m:t>t</m:t>
        </m:r>
      </m:oMath>
      <w:r>
        <w:t xml:space="preserve"> </w:t>
      </w:r>
      <w:r>
        <w:t xml:space="preserve">分别表示家庭、所在地级市与调查年份。</w:t>
      </w:r>
      <m:oMath>
        <m:sSub>
          <m:e>
            <m:r>
              <m:rPr>
                <m:nor/>
                <m:sty m:val="p"/>
              </m:rPr>
              <m:t>Entrep</m:t>
            </m:r>
          </m:e>
          <m:sub>
            <m:r>
              <m:t>i</m:t>
            </m:r>
            <m:r>
              <m:t>c</m:t>
            </m:r>
            <m:r>
              <m:t>t</m:t>
            </m:r>
          </m:sub>
        </m:sSub>
      </m:oMath>
      <w:r>
        <w:t xml:space="preserve"> </w:t>
      </w:r>
      <w:r>
        <w:t xml:space="preserve">为被解释变量，表示家庭</w:t>
      </w:r>
      <w:r>
        <w:t xml:space="preserve"> </w:t>
      </w:r>
      <m:oMath>
        <m:r>
          <m:t>i</m:t>
        </m:r>
      </m:oMath>
      <w:r>
        <w:t xml:space="preserve"> </w:t>
      </w:r>
      <w:r>
        <w:t xml:space="preserve">在第</w:t>
      </w:r>
      <w:r>
        <w:t xml:space="preserve"> </w:t>
      </w:r>
      <m:oMath>
        <m:r>
          <m:t>t</m:t>
        </m:r>
      </m:oMath>
      <w:r>
        <w:t xml:space="preserve"> </w:t>
      </w:r>
      <w:r>
        <w:t xml:space="preserve">年是否从事创业活动。</w:t>
      </w:r>
      <m:oMath>
        <m:sSub>
          <m:e>
            <m:r>
              <m:rPr>
                <m:nor/>
                <m:sty m:val="p"/>
              </m:rPr>
              <m:t>Post</m:t>
            </m:r>
          </m:e>
          <m:sub>
            <m:r>
              <m:t>c</m:t>
            </m:r>
            <m:r>
              <m:t>t</m:t>
            </m:r>
          </m:sub>
        </m:sSub>
      </m:oMath>
      <w:r>
        <w:t xml:space="preserve"> </w:t>
      </w:r>
      <w:r>
        <w:t xml:space="preserve">为核心解释变量，若家庭</w:t>
      </w:r>
      <w:r>
        <w:t xml:space="preserve"> </w:t>
      </w:r>
      <m:oMath>
        <m:r>
          <m:t>i</m:t>
        </m:r>
      </m:oMath>
      <w:r>
        <w:t xml:space="preserve"> </w:t>
      </w:r>
      <w:r>
        <w:t xml:space="preserve">所在城市</w:t>
      </w:r>
      <w:r>
        <w:t xml:space="preserve"> </w:t>
      </w:r>
      <m:oMath>
        <m:r>
          <m:t>c</m:t>
        </m:r>
      </m:oMath>
      <w:r>
        <w:t xml:space="preserve"> </w:t>
      </w:r>
      <w:r>
        <w:t xml:space="preserve">在第</w:t>
      </w:r>
      <w:r>
        <w:t xml:space="preserve"> </w:t>
      </w:r>
      <m:oMath>
        <m:r>
          <m:t>t</m:t>
        </m:r>
      </m:oMath>
      <w:r>
        <w:t xml:space="preserve"> </w:t>
      </w:r>
      <w:r>
        <w:t xml:space="preserve">年及以后被确定为“宽带中国”示范城市，则取值为1，否则为0。</w:t>
      </w:r>
      <m:oMath>
        <m:sSub>
          <m:e>
            <m:r>
              <m:t>X</m:t>
            </m:r>
          </m:e>
          <m:sub>
            <m:r>
              <m:t>i</m:t>
            </m:r>
            <m:r>
              <m:t>c</m:t>
            </m:r>
            <m:r>
              <m:t>t</m:t>
            </m:r>
          </m:sub>
        </m:sSub>
      </m:oMath>
      <w:r>
        <w:t xml:space="preserve"> </w:t>
      </w:r>
      <w:r>
        <w:t xml:space="preserve">为一组随家庭与时间变化的控制变量，</w:t>
      </w:r>
      <m:oMath>
        <m:sSub>
          <m:e>
            <m:r>
              <m:t>μ</m:t>
            </m:r>
          </m:e>
          <m:sub>
            <m:r>
              <m:t>i</m:t>
            </m:r>
          </m:sub>
        </m:sSub>
      </m:oMath>
      <w:r>
        <w:t xml:space="preserve"> </w:t>
      </w:r>
      <w:r>
        <w:t xml:space="preserve">与</w:t>
      </w:r>
      <w:r>
        <w:t xml:space="preserve"> </w:t>
      </w:r>
      <m:oMath>
        <m:sSub>
          <m:e>
            <m:r>
              <m:t>λ</m:t>
            </m:r>
          </m:e>
          <m:sub>
            <m:r>
              <m:t>t</m:t>
            </m:r>
          </m:sub>
        </m:sSub>
      </m:oMath>
      <w:r>
        <w:t xml:space="preserve"> </w:t>
      </w:r>
      <w:r>
        <w:t xml:space="preserve">分别为家庭固定效应与年份固定效应，</w:t>
      </w:r>
      <m:oMath>
        <m:sSub>
          <m:e>
            <m:r>
              <m:t>ε</m:t>
            </m:r>
          </m:e>
          <m:sub>
            <m:r>
              <m:t>i</m:t>
            </m:r>
            <m:r>
              <m:t>c</m:t>
            </m:r>
            <m:r>
              <m:t>t</m:t>
            </m:r>
          </m:sub>
        </m:sSub>
      </m:oMath>
      <w:r>
        <w:t xml:space="preserve"> </w:t>
      </w:r>
      <w:r>
        <w:t xml:space="preserve">为随机扰动项。本文关注的核心参数为</w:t>
      </w:r>
      <w:r>
        <w:t xml:space="preserve"> </w:t>
      </w:r>
      <m:oMath>
        <m:r>
          <m:t>β</m:t>
        </m:r>
      </m:oMath>
      <w:r>
        <w:t xml:space="preserve">，其经济含义是数字基础设施建设对家庭创业概率的平均处理效应。若</w:t>
      </w:r>
      <w:r>
        <w:t xml:space="preserve"> </w:t>
      </w:r>
      <m:oMath>
        <m:r>
          <m:t>β</m:t>
        </m:r>
        <m:r>
          <m:rPr>
            <m:sty m:val="p"/>
          </m:rPr>
          <m:t>&gt;</m:t>
        </m:r>
        <m:r>
          <m:t>0</m:t>
        </m:r>
      </m:oMath>
      <w:r>
        <w:t xml:space="preserve">，表明数字基础设施建设促进了家庭创业。为缓解组内相关，本文将标准误聚类到地级市层面。</w:t>
      </w:r>
    </w:p>
    <w:p>
      <w:pPr>
        <w:pStyle w:val="BodyText"/>
      </w:pPr>
      <w:r>
        <w:t xml:space="preserve">多期双重差分估计量的无偏性依赖于平行趋势假定，即在不存在政策冲击的情形下，处理组与控制组家庭的创业概率将保持平行的变化趋势。为检验这一假定并刻画政策效应的动态特征，本文进一步采用事件研究法（Event Study）构建如下模型：</w:t>
      </w:r>
    </w:p>
    <w:tbl>
      <w:tblPr>
        <w:tblW w:w="944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Caption w:val="__eqnum__"/>
      </w:tblPr>
      <w:tblGrid>
        <w:gridCol w:w="850"/>
        <w:gridCol w:w="7740"/>
        <w:gridCol w:w="850"/>
      </w:tblGrid>
      <w:tr>
        <w:tc>
          <w:tcPr>
            <w:tcW w:w="850" w:type="dxa"/>
            <w:vAlign w:val="center"/>
          </w:tcPr>
          <w:p>
            <w:pPr>
              <w:ind w:firstLine="0" w:firstLineChars="0"/>
            </w:pPr>
          </w:p>
        </w:tc>
        <w:tc>
          <w:tcPr>
            <w:tcW w:w="7740" w:type="dxa"/>
            <w:vAlign w:val="center"/>
          </w:tcPr>
          <w:p>
            <w:pPr>
              <w:jc w:val="center"/>
              <w:ind w:firstLine="0" w:firstLineChars="0"/>
            </w:pPr>
            <m:oMathPara>
              <m:oMathParaPr>
                <m:jc m:val="center"/>
              </m:oMathParaPr>
              <m:oMath>
                <m:sSub>
                  <m:e>
                    <m:r>
                      <m:rPr>
                        <m:nor/>
                        <m:sty m:val="p"/>
                      </m:rPr>
                      <m:t>Entrep</m:t>
                    </m:r>
                  </m:e>
                  <m:sub>
                    <m:r>
                      <m:t>i</m:t>
                    </m:r>
                    <m:r>
                      <m:t>c</m:t>
                    </m:r>
                    <m:r>
                      <m:t>t</m:t>
                    </m:r>
                  </m:sub>
                </m:sSub>
                <m:r>
                  <m:rPr>
                    <m:sty m:val="p"/>
                  </m:rPr>
                  <m:t>=</m:t>
                </m:r>
                <m:r>
                  <m:t>α</m:t>
                </m:r>
                <m:r>
                  <m:rPr>
                    <m:sty m:val="p"/>
                  </m:rPr>
                  <m:t>+</m:t>
                </m:r>
                <m:nary>
                  <m:naryPr>
                    <m:chr m:val="∑"/>
                    <m:limLoc m:val="undOvr"/>
                    <m:subHide m:val="off"/>
                    <m:supHide m:val="on"/>
                  </m:naryPr>
                  <m:sub>
                    <m:r>
                      <m:t>k</m:t>
                    </m:r>
                    <m:r>
                      <m:rPr>
                        <m:sty m:val="p"/>
                      </m:rPr>
                      <m:t>≠</m:t>
                    </m:r>
                    <m:r>
                      <m:rPr>
                        <m:sty m:val="p"/>
                      </m:rPr>
                      <m:t>−</m:t>
                    </m:r>
                    <m:r>
                      <m:t>1</m:t>
                    </m:r>
                  </m:sub>
                  <m:sup>
                    <m:r>
                      <m:t>​</m:t>
                    </m:r>
                  </m:sup>
                  <m:e>
                    <m:sSub>
                      <m:e>
                        <m:r>
                          <m:t>δ</m:t>
                        </m:r>
                      </m:e>
                      <m:sub>
                        <m:r>
                          <m:t>k</m:t>
                        </m:r>
                      </m:sub>
                    </m:sSub>
                  </m:e>
                </m:nary>
                <m:sSubSup>
                  <m:e>
                    <m:r>
                      <m:t>D</m:t>
                    </m:r>
                  </m:e>
                  <m:sub>
                    <m:r>
                      <m:t>i</m:t>
                    </m:r>
                    <m:r>
                      <m:t>c</m:t>
                    </m:r>
                    <m:r>
                      <m:t>t</m:t>
                    </m:r>
                  </m:sub>
                  <m:sup>
                    <m:r>
                      <m:t>k</m:t>
                    </m:r>
                  </m:sup>
                </m:sSubSup>
                <m:r>
                  <m:rPr>
                    <m:sty m:val="p"/>
                  </m:rPr>
                  <m:t>+</m:t>
                </m:r>
                <m:sSub>
                  <m:e>
                    <m:r>
                      <m:t>X</m:t>
                    </m:r>
                  </m:e>
                  <m:sub>
                    <m:r>
                      <m:t>i</m:t>
                    </m:r>
                    <m:r>
                      <m:t>c</m:t>
                    </m:r>
                    <m:r>
                      <m:t>t</m:t>
                    </m:r>
                  </m:sub>
                </m:sSub>
                <m:r>
                  <m:rPr>
                    <m:sty m:val="p"/>
                  </m:rPr>
                  <m:t>′</m:t>
                </m:r>
                <m:r>
                  <m:t>γ</m:t>
                </m:r>
                <m:r>
                  <m:rPr>
                    <m:sty m:val="p"/>
                  </m:rPr>
                  <m:t>+</m:t>
                </m:r>
                <m:sSub>
                  <m:e>
                    <m:r>
                      <m:t>μ</m:t>
                    </m:r>
                  </m:e>
                  <m:sub>
                    <m:r>
                      <m:t>i</m:t>
                    </m:r>
                  </m:sub>
                </m:sSub>
                <m:r>
                  <m:rPr>
                    <m:sty m:val="p"/>
                  </m:rPr>
                  <m:t>+</m:t>
                </m:r>
                <m:sSub>
                  <m:e>
                    <m:r>
                      <m:t>λ</m:t>
                    </m:r>
                  </m:e>
                  <m:sub>
                    <m:r>
                      <m:t>t</m:t>
                    </m:r>
                  </m:sub>
                </m:sSub>
                <m:r>
                  <m:rPr>
                    <m:sty m:val="p"/>
                  </m:rPr>
                  <m:t>+</m:t>
                </m:r>
                <m:sSub>
                  <m:e>
                    <m:r>
                      <m:t>ε</m:t>
                    </m:r>
                  </m:e>
                  <m:sub>
                    <m:r>
                      <m:t>i</m:t>
                    </m:r>
                    <m:r>
                      <m:t>c</m:t>
                    </m:r>
                    <m:r>
                      <m:t>t</m:t>
                    </m:r>
                  </m:sub>
                </m:sSub>
              </m:oMath>
            </m:oMathPara>
          </w:p>
        </w:tc>
        <w:tc>
          <w:tcPr>
            <w:tcW w:w="850" w:type="dxa"/>
            <w:vAlign w:val="center"/>
          </w:tcPr>
          <w:p>
            <w:pPr>
              <w:jc w:val="right"/>
              <w:ind w:firstLine="0" w:firstLineChars="0"/>
            </w:pPr>
            <w:r>
              <w:rPr>
                <w:rFonts w:ascii="Times New Roman" w:hAnsi="Times New Roman" w:eastAsia="宋体"/>
              </w:rPr>
              <w:t xml:space="preserve">（2）</w:t>
            </w:r>
          </w:p>
        </w:tc>
      </w:tr>
    </w:tbl>
    <w:p>
      <w:pPr>
        <w:pStyle w:val="BodyText"/>
      </w:pPr>
      <w:r>
        <w:t xml:space="preserve">其中，</w:t>
      </w:r>
      <m:oMath>
        <m:sSubSup>
          <m:e>
            <m:r>
              <m:t>D</m:t>
            </m:r>
          </m:e>
          <m:sub>
            <m:r>
              <m:t>i</m:t>
            </m:r>
            <m:r>
              <m:t>c</m:t>
            </m:r>
            <m:r>
              <m:t>t</m:t>
            </m:r>
          </m:sub>
          <m:sup>
            <m:r>
              <m:t>k</m:t>
            </m:r>
          </m:sup>
        </m:sSubSup>
      </m:oMath>
      <w:r>
        <w:t xml:space="preserve"> </w:t>
      </w:r>
      <w:r>
        <w:t xml:space="preserve">为相对政策实施时间的一组虚拟变量，</w:t>
      </w:r>
      <m:oMath>
        <m:r>
          <m:t>k</m:t>
        </m:r>
      </m:oMath>
      <w:r>
        <w:t xml:space="preserve"> </w:t>
      </w:r>
      <w:r>
        <w:t xml:space="preserve">表示相对于所在城市获批示范城市的时期（以调查波次计）。本文以政策实施前一期（</w:t>
      </w:r>
      <m:oMath>
        <m:r>
          <m:t>k</m:t>
        </m:r>
        <m:r>
          <m:rPr>
            <m:sty m:val="p"/>
          </m:rPr>
          <m:t>=</m:t>
        </m:r>
        <m:r>
          <m:rPr>
            <m:sty m:val="p"/>
          </m:rPr>
          <m:t>−</m:t>
        </m:r>
        <m:r>
          <m:t>1</m:t>
        </m:r>
      </m:oMath>
      <w:r>
        <w:t xml:space="preserve">）作为基准组，</w:t>
      </w:r>
      <m:oMath>
        <m:sSub>
          <m:e>
            <m:r>
              <m:t>δ</m:t>
            </m:r>
          </m:e>
          <m:sub>
            <m:r>
              <m:t>k</m:t>
            </m:r>
          </m:sub>
        </m:sSub>
      </m:oMath>
      <w:r>
        <w:t xml:space="preserve"> </w:t>
      </w:r>
      <w:r>
        <w:t xml:space="preserve">刻画了相对第</w:t>
      </w:r>
      <w:r>
        <w:t xml:space="preserve"> </w:t>
      </w:r>
      <m:oMath>
        <m:r>
          <m:t>k</m:t>
        </m:r>
      </m:oMath>
      <w:r>
        <w:t xml:space="preserve"> </w:t>
      </w:r>
      <w:r>
        <w:t xml:space="preserve">期处理组与控制组创业概率的差异。若在政策实施前各期</w:t>
      </w:r>
      <w:r>
        <w:t xml:space="preserve"> </w:t>
      </w:r>
      <m:oMath>
        <m:sSub>
          <m:e>
            <m:r>
              <m:t>δ</m:t>
            </m:r>
          </m:e>
          <m:sub>
            <m:r>
              <m:t>k</m:t>
            </m:r>
          </m:sub>
        </m:sSub>
      </m:oMath>
      <w:r>
        <w:t xml:space="preserve"> </w:t>
      </w:r>
      <w:r>
        <w:t xml:space="preserve">均不显著异于零，则支持平行趋势假定。</w:t>
      </w:r>
    </w:p>
    <w:bookmarkEnd w:id="25"/>
    <w:bookmarkStart w:id="26" w:name="二数据与变量"/>
    <w:p>
      <w:pPr>
        <w:pStyle w:val="Heading3"/>
      </w:pPr>
      <w:r>
        <w:t xml:space="preserve">（二）数据与变量</w:t>
      </w:r>
    </w:p>
    <w:p>
      <w:pPr>
        <w:pStyle w:val="FirstParagraph"/>
      </w:pPr>
      <w:r>
        <w:t xml:space="preserve">本文使用的微观数据来自北京大学中国社会科学调查中心实施的中国家庭追踪调查（China Family Panel Studies，CFPS）。CFPS是一项全国性、综合性的社会追踪调查，覆盖了全国25个省份，样本具有良好的代表性。本文使用2012年、2014年、2016年、2018年与2020年五期调查数据，并将家庭层面信息与所在地级市的“宽带中国”示范城市建设信息相匹配，构建家庭—年份面板数据。在剔除关键变量缺失的样本后，最终得到覆盖多个地级市的家庭追踪样本。</w:t>
      </w:r>
    </w:p>
    <w:p>
      <w:pPr>
        <w:pStyle w:val="BodyText"/>
      </w:pPr>
      <w:r>
        <w:t xml:space="preserve">被解释变量为家庭创业（</w:t>
      </w:r>
      <m:oMath>
        <m:r>
          <m:rPr>
            <m:nor/>
            <m:sty m:val="p"/>
          </m:rPr>
          <m:t>Entrep</m:t>
        </m:r>
      </m:oMath>
      <w:r>
        <w:t xml:space="preserve">）。参考已有研究（周广肃和樊纲，2018），本文根据CFPS问卷中家庭是否从事个体经营或私营企业经营活动来界定家庭创业：若家庭当年从事工商业、个体经营等自主经营活动，则</w:t>
      </w:r>
      <w:r>
        <w:t xml:space="preserve"> </w:t>
      </w:r>
      <m:oMath>
        <m:r>
          <m:rPr>
            <m:nor/>
            <m:sty m:val="p"/>
          </m:rPr>
          <m:t>Entrep</m:t>
        </m:r>
        <m:r>
          <m:rPr>
            <m:sty m:val="p"/>
          </m:rPr>
          <m:t>=</m:t>
        </m:r>
        <m:r>
          <m:t>1</m:t>
        </m:r>
      </m:oMath>
      <w:r>
        <w:t xml:space="preserve">，否则</w:t>
      </w:r>
      <w:r>
        <w:t xml:space="preserve"> </w:t>
      </w:r>
      <m:oMath>
        <m:r>
          <m:rPr>
            <m:nor/>
            <m:sty m:val="p"/>
          </m:rPr>
          <m:t>Entrep</m:t>
        </m:r>
        <m:r>
          <m:rPr>
            <m:sty m:val="p"/>
          </m:rPr>
          <m:t>=</m:t>
        </m:r>
        <m:r>
          <m:t>0</m:t>
        </m:r>
      </m:oMath>
      <w:r>
        <w:t xml:space="preserve">。</w:t>
      </w:r>
    </w:p>
    <w:p>
      <w:pPr>
        <w:pStyle w:val="BodyText"/>
      </w:pPr>
      <w:r>
        <w:t xml:space="preserve">核心解释变量为“宽带中国”示范城市政策冲击（</w:t>
      </w:r>
      <m:oMath>
        <m:r>
          <m:rPr>
            <m:nor/>
            <m:sty m:val="p"/>
          </m:rPr>
          <m:t>Post</m:t>
        </m:r>
      </m:oMath>
      <w:r>
        <w:t xml:space="preserve">），依据家庭所在地级市获批示范城市的年份构造。控制变量包括户主及家庭层面可能影响创业决策的特征，具体包括：户主受教育水平、性别、年龄及其平方项、健康状况，家庭规模、家庭人均收入的对数，以及城乡属性等。同时，模型控制了家庭固定效应与年份固定效应，以吸收不随时间变化的家庭异质性与共同的时间冲击。</w:t>
      </w:r>
    </w:p>
    <w:p>
      <w:pPr>
        <w:pStyle w:val="BodyText"/>
      </w:pPr>
      <w:r>
        <w:t xml:space="preserve">主要变量的描述性统计结果报告于表1。</w:t>
      </w:r>
    </w:p>
    <w:p>
      <w:pPr>
        <w:keepNext/>
        <w:pStyle w:val="BodyText"/>
        <w:jc w:val="center"/>
        <w:ind w:firstLine="0" w:firstLineChars="0"/>
      </w:pPr>
      <w:r>
        <w:rPr>
          <w:rFonts w:eastAsia="黑体" w:ascii="Times New Roman" w:hAnsi="Times New Roman"/>
          <w:sz w:val="18"/>
          <w:szCs w:val="18"/>
        </w:rPr>
        <w:t xml:space="preserve">表1　主要变量的描述性统计</w:t>
      </w:r>
    </w:p>
    <w:tbl>
      <w:tblPr>
        <w:tblW w:w="9200"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CellMar>
          <w:top w:w="15" w:type="dxa"/>
          <w:left w:w="80" w:type="dxa"/>
          <w:bottom w:w="15" w:type="dxa"/>
          <w:right w:w="80" w:type="dxa"/>
        </w:tblCellMar>
        <w:tblLook w:val="04A0" w:firstRow="1" w:lastRow="0" w:firstColumn="1" w:lastColumn="0" w:noHBand="0" w:noVBand="1"/>
      </w:tblPr>
      <w:tblGrid>
        <w:gridCol w:w="2600"/>
        <w:gridCol w:w="1320"/>
        <w:gridCol w:w="1320"/>
        <w:gridCol w:w="1320"/>
        <w:gridCol w:w="1320"/>
        <w:gridCol w:w="1320"/>
      </w:tblGrid>
      <w:tr>
        <w:trPr>
          <w:tblHeader w:val="true"/>
          <w:cantSplit/>
        </w:trPr>
        <w:tc>
          <w:tcPr>
            <w:tcW w:w="2600" w:type="dxa"/>
            <w:tcBorders>
              <w:bottom w:val="single" w:sz="6" w:space="0" w:color="auto"/>
            </w:tcBorders>
          </w:tcPr>
          <w:p>
            <w:pPr>
              <w:pStyle w:val="Compact"/>
              <w:jc w:val="left"/>
            </w:pPr>
            <w:r>
              <w:t xml:space="preserve">变量</w:t>
            </w:r>
          </w:p>
        </w:tc>
        <w:tc>
          <w:tcPr>
            <w:tcW w:w="1320" w:type="dxa"/>
            <w:tcBorders>
              <w:bottom w:val="single" w:sz="6" w:space="0" w:color="auto"/>
            </w:tcBorders>
          </w:tcPr>
          <w:p>
            <w:pPr>
              <w:pStyle w:val="Compact"/>
              <w:jc w:val="center"/>
            </w:pPr>
            <w:r>
              <w:t xml:space="preserve">样本量</w:t>
            </w:r>
          </w:p>
        </w:tc>
        <w:tc>
          <w:tcPr>
            <w:tcW w:w="1320" w:type="dxa"/>
            <w:tcBorders>
              <w:bottom w:val="single" w:sz="6" w:space="0" w:color="auto"/>
            </w:tcBorders>
          </w:tcPr>
          <w:p>
            <w:pPr>
              <w:pStyle w:val="Compact"/>
              <w:jc w:val="center"/>
            </w:pPr>
            <w:r>
              <w:t xml:space="preserve">均值</w:t>
            </w:r>
          </w:p>
        </w:tc>
        <w:tc>
          <w:tcPr>
            <w:tcW w:w="1320" w:type="dxa"/>
            <w:tcBorders>
              <w:bottom w:val="single" w:sz="6" w:space="0" w:color="auto"/>
            </w:tcBorders>
          </w:tcPr>
          <w:p>
            <w:pPr>
              <w:pStyle w:val="Compact"/>
              <w:jc w:val="center"/>
            </w:pPr>
            <w:r>
              <w:t xml:space="preserve">标准差</w:t>
            </w:r>
          </w:p>
        </w:tc>
        <w:tc>
          <w:tcPr>
            <w:tcW w:w="1320" w:type="dxa"/>
            <w:tcBorders>
              <w:bottom w:val="single" w:sz="6" w:space="0" w:color="auto"/>
            </w:tcBorders>
          </w:tcPr>
          <w:p>
            <w:pPr>
              <w:pStyle w:val="Compact"/>
              <w:jc w:val="center"/>
            </w:pPr>
            <w:r>
              <w:t xml:space="preserve">最小值</w:t>
            </w:r>
          </w:p>
        </w:tc>
        <w:tc>
          <w:tcPr>
            <w:tcW w:w="1320" w:type="dxa"/>
            <w:tcBorders>
              <w:bottom w:val="single" w:sz="6" w:space="0" w:color="auto"/>
            </w:tcBorders>
          </w:tcPr>
          <w:p>
            <w:pPr>
              <w:pStyle w:val="Compact"/>
              <w:jc w:val="center"/>
            </w:pPr>
            <w:r>
              <w:t xml:space="preserve">最大值</w:t>
            </w:r>
          </w:p>
        </w:tc>
      </w:tr>
      <w:tr>
        <w:trPr>
          <w:cantSplit/>
        </w:trPr>
        <w:tc>
          <w:tcPr>
            <w:tcW w:w="2600" w:type="dxa"/>
          </w:tcPr>
          <w:p>
            <w:pPr>
              <w:pStyle w:val="Compact"/>
              <w:jc w:val="left"/>
            </w:pPr>
            <w:r>
              <w:t xml:space="preserve">家庭创业</w:t>
            </w:r>
          </w:p>
        </w:tc>
        <w:tc>
          <w:tcPr>
            <w:tcW w:w="1320" w:type="dxa"/>
          </w:tcPr>
          <w:p>
            <w:pPr>
              <w:pStyle w:val="Compact"/>
              <w:jc w:val="center"/>
            </w:pPr>
            <w:r>
              <w:t xml:space="preserve">30000</w:t>
            </w:r>
          </w:p>
        </w:tc>
        <w:tc>
          <w:tcPr>
            <w:tcW w:w="1320" w:type="dxa"/>
          </w:tcPr>
          <w:p>
            <w:pPr>
              <w:pStyle w:val="Compact"/>
              <w:jc w:val="center"/>
            </w:pPr>
            <w:r>
              <w:t xml:space="preserve">0.167</w:t>
            </w:r>
          </w:p>
        </w:tc>
        <w:tc>
          <w:tcPr>
            <w:tcW w:w="1320" w:type="dxa"/>
          </w:tcPr>
          <w:p>
            <w:pPr>
              <w:pStyle w:val="Compact"/>
              <w:jc w:val="center"/>
            </w:pPr>
            <w:r>
              <w:t xml:space="preserve">0.373</w:t>
            </w:r>
          </w:p>
        </w:tc>
        <w:tc>
          <w:tcPr>
            <w:tcW w:w="1320" w:type="dxa"/>
          </w:tcPr>
          <w:p>
            <w:pPr>
              <w:pStyle w:val="Compact"/>
              <w:jc w:val="center"/>
            </w:pPr>
            <w:r>
              <w:t xml:space="preserve">0.000</w:t>
            </w:r>
          </w:p>
        </w:tc>
        <w:tc>
          <w:tcPr>
            <w:tcW w:w="1320" w:type="dxa"/>
          </w:tcPr>
          <w:p>
            <w:pPr>
              <w:pStyle w:val="Compact"/>
              <w:jc w:val="center"/>
            </w:pPr>
            <w:r>
              <w:t xml:space="preserve">1.000</w:t>
            </w:r>
          </w:p>
        </w:tc>
      </w:tr>
      <w:tr>
        <w:trPr>
          <w:cantSplit/>
        </w:trPr>
        <w:tc>
          <w:tcPr>
            <w:tcW w:w="2600" w:type="dxa"/>
          </w:tcPr>
          <w:p>
            <w:pPr>
              <w:pStyle w:val="Compact"/>
              <w:jc w:val="left"/>
            </w:pPr>
            <w:r>
              <w:t xml:space="preserve">政策冲击</w:t>
            </w:r>
          </w:p>
        </w:tc>
        <w:tc>
          <w:tcPr>
            <w:tcW w:w="1320" w:type="dxa"/>
          </w:tcPr>
          <w:p>
            <w:pPr>
              <w:pStyle w:val="Compact"/>
              <w:jc w:val="center"/>
            </w:pPr>
            <w:r>
              <w:t xml:space="preserve">30000</w:t>
            </w:r>
          </w:p>
        </w:tc>
        <w:tc>
          <w:tcPr>
            <w:tcW w:w="1320" w:type="dxa"/>
          </w:tcPr>
          <w:p>
            <w:pPr>
              <w:pStyle w:val="Compact"/>
              <w:jc w:val="center"/>
            </w:pPr>
            <w:r>
              <w:t xml:space="preserve">0.406</w:t>
            </w:r>
          </w:p>
        </w:tc>
        <w:tc>
          <w:tcPr>
            <w:tcW w:w="1320" w:type="dxa"/>
          </w:tcPr>
          <w:p>
            <w:pPr>
              <w:pStyle w:val="Compact"/>
              <w:jc w:val="center"/>
            </w:pPr>
            <w:r>
              <w:t xml:space="preserve">0.491</w:t>
            </w:r>
          </w:p>
        </w:tc>
        <w:tc>
          <w:tcPr>
            <w:tcW w:w="1320" w:type="dxa"/>
          </w:tcPr>
          <w:p>
            <w:pPr>
              <w:pStyle w:val="Compact"/>
              <w:jc w:val="center"/>
            </w:pPr>
            <w:r>
              <w:t xml:space="preserve">0.000</w:t>
            </w:r>
          </w:p>
        </w:tc>
        <w:tc>
          <w:tcPr>
            <w:tcW w:w="1320" w:type="dxa"/>
          </w:tcPr>
          <w:p>
            <w:pPr>
              <w:pStyle w:val="Compact"/>
              <w:jc w:val="center"/>
            </w:pPr>
            <w:r>
              <w:t xml:space="preserve">1.000</w:t>
            </w:r>
          </w:p>
        </w:tc>
      </w:tr>
      <w:tr>
        <w:trPr>
          <w:cantSplit/>
        </w:trPr>
        <w:tc>
          <w:tcPr>
            <w:tcW w:w="2600" w:type="dxa"/>
          </w:tcPr>
          <w:p>
            <w:pPr>
              <w:pStyle w:val="Compact"/>
              <w:jc w:val="left"/>
            </w:pPr>
            <w:r>
              <w:t xml:space="preserve">教育水平</w:t>
            </w:r>
          </w:p>
        </w:tc>
        <w:tc>
          <w:tcPr>
            <w:tcW w:w="1320" w:type="dxa"/>
          </w:tcPr>
          <w:p>
            <w:pPr>
              <w:pStyle w:val="Compact"/>
              <w:jc w:val="center"/>
            </w:pPr>
            <w:r>
              <w:t xml:space="preserve">30000</w:t>
            </w:r>
          </w:p>
        </w:tc>
        <w:tc>
          <w:tcPr>
            <w:tcW w:w="1320" w:type="dxa"/>
          </w:tcPr>
          <w:p>
            <w:pPr>
              <w:pStyle w:val="Compact"/>
              <w:jc w:val="center"/>
            </w:pPr>
            <w:r>
              <w:t xml:space="preserve">2.992</w:t>
            </w:r>
          </w:p>
        </w:tc>
        <w:tc>
          <w:tcPr>
            <w:tcW w:w="1320" w:type="dxa"/>
          </w:tcPr>
          <w:p>
            <w:pPr>
              <w:pStyle w:val="Compact"/>
              <w:jc w:val="center"/>
            </w:pPr>
            <w:r>
              <w:t xml:space="preserve">1.422</w:t>
            </w:r>
          </w:p>
        </w:tc>
        <w:tc>
          <w:tcPr>
            <w:tcW w:w="1320" w:type="dxa"/>
          </w:tcPr>
          <w:p>
            <w:pPr>
              <w:pStyle w:val="Compact"/>
              <w:jc w:val="center"/>
            </w:pPr>
            <w:r>
              <w:t xml:space="preserve">1.000</w:t>
            </w:r>
          </w:p>
        </w:tc>
        <w:tc>
          <w:tcPr>
            <w:tcW w:w="1320" w:type="dxa"/>
          </w:tcPr>
          <w:p>
            <w:pPr>
              <w:pStyle w:val="Compact"/>
              <w:jc w:val="center"/>
            </w:pPr>
            <w:r>
              <w:t xml:space="preserve">5.000</w:t>
            </w:r>
          </w:p>
        </w:tc>
      </w:tr>
      <w:tr>
        <w:trPr>
          <w:cantSplit/>
        </w:trPr>
        <w:tc>
          <w:tcPr>
            <w:tcW w:w="2600" w:type="dxa"/>
          </w:tcPr>
          <w:p>
            <w:pPr>
              <w:pStyle w:val="Compact"/>
              <w:jc w:val="left"/>
            </w:pPr>
            <w:r>
              <w:t xml:space="preserve">农村</w:t>
            </w:r>
          </w:p>
        </w:tc>
        <w:tc>
          <w:tcPr>
            <w:tcW w:w="1320" w:type="dxa"/>
          </w:tcPr>
          <w:p>
            <w:pPr>
              <w:pStyle w:val="Compact"/>
              <w:jc w:val="center"/>
            </w:pPr>
            <w:r>
              <w:t xml:space="preserve">30000</w:t>
            </w:r>
          </w:p>
        </w:tc>
        <w:tc>
          <w:tcPr>
            <w:tcW w:w="1320" w:type="dxa"/>
          </w:tcPr>
          <w:p>
            <w:pPr>
              <w:pStyle w:val="Compact"/>
              <w:jc w:val="center"/>
            </w:pPr>
            <w:r>
              <w:t xml:space="preserve">0.457</w:t>
            </w:r>
          </w:p>
        </w:tc>
        <w:tc>
          <w:tcPr>
            <w:tcW w:w="1320" w:type="dxa"/>
          </w:tcPr>
          <w:p>
            <w:pPr>
              <w:pStyle w:val="Compact"/>
              <w:jc w:val="center"/>
            </w:pPr>
            <w:r>
              <w:t xml:space="preserve">0.498</w:t>
            </w:r>
          </w:p>
        </w:tc>
        <w:tc>
          <w:tcPr>
            <w:tcW w:w="1320" w:type="dxa"/>
          </w:tcPr>
          <w:p>
            <w:pPr>
              <w:pStyle w:val="Compact"/>
              <w:jc w:val="center"/>
            </w:pPr>
            <w:r>
              <w:t xml:space="preserve">0.000</w:t>
            </w:r>
          </w:p>
        </w:tc>
        <w:tc>
          <w:tcPr>
            <w:tcW w:w="1320" w:type="dxa"/>
          </w:tcPr>
          <w:p>
            <w:pPr>
              <w:pStyle w:val="Compact"/>
              <w:jc w:val="center"/>
            </w:pPr>
            <w:r>
              <w:t xml:space="preserve">1.000</w:t>
            </w:r>
          </w:p>
        </w:tc>
      </w:tr>
      <w:tr>
        <w:trPr>
          <w:cantSplit/>
        </w:trPr>
        <w:tc>
          <w:tcPr>
            <w:tcW w:w="2600" w:type="dxa"/>
          </w:tcPr>
          <w:p>
            <w:pPr>
              <w:pStyle w:val="Compact"/>
              <w:jc w:val="left"/>
            </w:pPr>
            <w:r>
              <w:t xml:space="preserve">性别</w:t>
            </w:r>
          </w:p>
        </w:tc>
        <w:tc>
          <w:tcPr>
            <w:tcW w:w="1320" w:type="dxa"/>
          </w:tcPr>
          <w:p>
            <w:pPr>
              <w:pStyle w:val="Compact"/>
              <w:jc w:val="center"/>
            </w:pPr>
            <w:r>
              <w:t xml:space="preserve">30000</w:t>
            </w:r>
          </w:p>
        </w:tc>
        <w:tc>
          <w:tcPr>
            <w:tcW w:w="1320" w:type="dxa"/>
          </w:tcPr>
          <w:p>
            <w:pPr>
              <w:pStyle w:val="Compact"/>
              <w:jc w:val="center"/>
            </w:pPr>
            <w:r>
              <w:t xml:space="preserve">0.495</w:t>
            </w:r>
          </w:p>
        </w:tc>
        <w:tc>
          <w:tcPr>
            <w:tcW w:w="1320" w:type="dxa"/>
          </w:tcPr>
          <w:p>
            <w:pPr>
              <w:pStyle w:val="Compact"/>
              <w:jc w:val="center"/>
            </w:pPr>
            <w:r>
              <w:t xml:space="preserve">0.500</w:t>
            </w:r>
          </w:p>
        </w:tc>
        <w:tc>
          <w:tcPr>
            <w:tcW w:w="1320" w:type="dxa"/>
          </w:tcPr>
          <w:p>
            <w:pPr>
              <w:pStyle w:val="Compact"/>
              <w:jc w:val="center"/>
            </w:pPr>
            <w:r>
              <w:t xml:space="preserve">0.000</w:t>
            </w:r>
          </w:p>
        </w:tc>
        <w:tc>
          <w:tcPr>
            <w:tcW w:w="1320" w:type="dxa"/>
          </w:tcPr>
          <w:p>
            <w:pPr>
              <w:pStyle w:val="Compact"/>
              <w:jc w:val="center"/>
            </w:pPr>
            <w:r>
              <w:t xml:space="preserve">1.000</w:t>
            </w:r>
          </w:p>
        </w:tc>
      </w:tr>
      <w:tr>
        <w:trPr>
          <w:cantSplit/>
        </w:trPr>
        <w:tc>
          <w:tcPr>
            <w:tcW w:w="2600" w:type="dxa"/>
          </w:tcPr>
          <w:p>
            <w:pPr>
              <w:pStyle w:val="Compact"/>
              <w:jc w:val="left"/>
            </w:pPr>
            <w:r>
              <w:t xml:space="preserve">年龄</w:t>
            </w:r>
          </w:p>
        </w:tc>
        <w:tc>
          <w:tcPr>
            <w:tcW w:w="1320" w:type="dxa"/>
          </w:tcPr>
          <w:p>
            <w:pPr>
              <w:pStyle w:val="Compact"/>
              <w:jc w:val="center"/>
            </w:pPr>
            <w:r>
              <w:t xml:space="preserve">30000</w:t>
            </w:r>
          </w:p>
        </w:tc>
        <w:tc>
          <w:tcPr>
            <w:tcW w:w="1320" w:type="dxa"/>
          </w:tcPr>
          <w:p>
            <w:pPr>
              <w:pStyle w:val="Compact"/>
              <w:jc w:val="center"/>
            </w:pPr>
            <w:r>
              <w:t xml:space="preserve">44.620</w:t>
            </w:r>
          </w:p>
        </w:tc>
        <w:tc>
          <w:tcPr>
            <w:tcW w:w="1320" w:type="dxa"/>
          </w:tcPr>
          <w:p>
            <w:pPr>
              <w:pStyle w:val="Compact"/>
              <w:jc w:val="center"/>
            </w:pPr>
            <w:r>
              <w:t xml:space="preserve">11.426</w:t>
            </w:r>
          </w:p>
        </w:tc>
        <w:tc>
          <w:tcPr>
            <w:tcW w:w="1320" w:type="dxa"/>
          </w:tcPr>
          <w:p>
            <w:pPr>
              <w:pStyle w:val="Compact"/>
              <w:jc w:val="center"/>
            </w:pPr>
            <w:r>
              <w:t xml:space="preserve">22.000</w:t>
            </w:r>
          </w:p>
        </w:tc>
        <w:tc>
          <w:tcPr>
            <w:tcW w:w="1320" w:type="dxa"/>
          </w:tcPr>
          <w:p>
            <w:pPr>
              <w:pStyle w:val="Compact"/>
              <w:jc w:val="center"/>
            </w:pPr>
            <w:r>
              <w:t xml:space="preserve">67.000</w:t>
            </w:r>
          </w:p>
        </w:tc>
      </w:tr>
      <w:tr>
        <w:trPr>
          <w:cantSplit/>
        </w:trPr>
        <w:tc>
          <w:tcPr>
            <w:tcW w:w="2600" w:type="dxa"/>
          </w:tcPr>
          <w:p>
            <w:pPr>
              <w:pStyle w:val="Compact"/>
              <w:jc w:val="left"/>
            </w:pPr>
            <w:r>
              <w:t xml:space="preserve">家庭规模</w:t>
            </w:r>
          </w:p>
        </w:tc>
        <w:tc>
          <w:tcPr>
            <w:tcW w:w="1320" w:type="dxa"/>
          </w:tcPr>
          <w:p>
            <w:pPr>
              <w:pStyle w:val="Compact"/>
              <w:jc w:val="center"/>
            </w:pPr>
            <w:r>
              <w:t xml:space="preserve">30000</w:t>
            </w:r>
          </w:p>
        </w:tc>
        <w:tc>
          <w:tcPr>
            <w:tcW w:w="1320" w:type="dxa"/>
          </w:tcPr>
          <w:p>
            <w:pPr>
              <w:pStyle w:val="Compact"/>
              <w:jc w:val="center"/>
            </w:pPr>
            <w:r>
              <w:t xml:space="preserve">3.519</w:t>
            </w:r>
          </w:p>
        </w:tc>
        <w:tc>
          <w:tcPr>
            <w:tcW w:w="1320" w:type="dxa"/>
          </w:tcPr>
          <w:p>
            <w:pPr>
              <w:pStyle w:val="Compact"/>
              <w:jc w:val="center"/>
            </w:pPr>
            <w:r>
              <w:t xml:space="preserve">1.712</w:t>
            </w:r>
          </w:p>
        </w:tc>
        <w:tc>
          <w:tcPr>
            <w:tcW w:w="1320" w:type="dxa"/>
          </w:tcPr>
          <w:p>
            <w:pPr>
              <w:pStyle w:val="Compact"/>
              <w:jc w:val="center"/>
            </w:pPr>
            <w:r>
              <w:t xml:space="preserve">1.000</w:t>
            </w:r>
          </w:p>
        </w:tc>
        <w:tc>
          <w:tcPr>
            <w:tcW w:w="1320" w:type="dxa"/>
          </w:tcPr>
          <w:p>
            <w:pPr>
              <w:pStyle w:val="Compact"/>
              <w:jc w:val="center"/>
            </w:pPr>
            <w:r>
              <w:t xml:space="preserve">6.000</w:t>
            </w:r>
          </w:p>
        </w:tc>
      </w:tr>
      <w:tr>
        <w:trPr>
          <w:cantSplit/>
        </w:trPr>
        <w:tc>
          <w:tcPr>
            <w:tcW w:w="2600" w:type="dxa"/>
          </w:tcPr>
          <w:p>
            <w:pPr>
              <w:pStyle w:val="Compact"/>
              <w:jc w:val="left"/>
            </w:pPr>
            <w:r>
              <w:t xml:space="preserve">健康状况</w:t>
            </w:r>
          </w:p>
        </w:tc>
        <w:tc>
          <w:tcPr>
            <w:tcW w:w="1320" w:type="dxa"/>
          </w:tcPr>
          <w:p>
            <w:pPr>
              <w:pStyle w:val="Compact"/>
              <w:jc w:val="center"/>
            </w:pPr>
            <w:r>
              <w:t xml:space="preserve">30000</w:t>
            </w:r>
          </w:p>
        </w:tc>
        <w:tc>
          <w:tcPr>
            <w:tcW w:w="1320" w:type="dxa"/>
          </w:tcPr>
          <w:p>
            <w:pPr>
              <w:pStyle w:val="Compact"/>
              <w:jc w:val="center"/>
            </w:pPr>
            <w:r>
              <w:t xml:space="preserve">2.979</w:t>
            </w:r>
          </w:p>
        </w:tc>
        <w:tc>
          <w:tcPr>
            <w:tcW w:w="1320" w:type="dxa"/>
          </w:tcPr>
          <w:p>
            <w:pPr>
              <w:pStyle w:val="Compact"/>
              <w:jc w:val="center"/>
            </w:pPr>
            <w:r>
              <w:t xml:space="preserve">1.409</w:t>
            </w:r>
          </w:p>
        </w:tc>
        <w:tc>
          <w:tcPr>
            <w:tcW w:w="1320" w:type="dxa"/>
          </w:tcPr>
          <w:p>
            <w:pPr>
              <w:pStyle w:val="Compact"/>
              <w:jc w:val="center"/>
            </w:pPr>
            <w:r>
              <w:t xml:space="preserve">1.000</w:t>
            </w:r>
          </w:p>
        </w:tc>
        <w:tc>
          <w:tcPr>
            <w:tcW w:w="1320" w:type="dxa"/>
          </w:tcPr>
          <w:p>
            <w:pPr>
              <w:pStyle w:val="Compact"/>
              <w:jc w:val="center"/>
            </w:pPr>
            <w:r>
              <w:t xml:space="preserve">5.000</w:t>
            </w:r>
          </w:p>
        </w:tc>
      </w:tr>
      <w:tr>
        <w:trPr>
          <w:cantSplit/>
        </w:trPr>
        <w:tc>
          <w:tcPr>
            <w:tcW w:w="2600" w:type="dxa"/>
          </w:tcPr>
          <w:p>
            <w:pPr>
              <w:pStyle w:val="Compact"/>
              <w:jc w:val="left"/>
            </w:pPr>
            <w:r>
              <w:t xml:space="preserve">收入对数</w:t>
            </w:r>
          </w:p>
        </w:tc>
        <w:tc>
          <w:tcPr>
            <w:tcW w:w="1320" w:type="dxa"/>
          </w:tcPr>
          <w:p>
            <w:pPr>
              <w:pStyle w:val="Compact"/>
              <w:jc w:val="center"/>
            </w:pPr>
            <w:r>
              <w:t xml:space="preserve">30000</w:t>
            </w:r>
          </w:p>
        </w:tc>
        <w:tc>
          <w:tcPr>
            <w:tcW w:w="1320" w:type="dxa"/>
          </w:tcPr>
          <w:p>
            <w:pPr>
              <w:pStyle w:val="Compact"/>
              <w:jc w:val="center"/>
            </w:pPr>
            <w:r>
              <w:t xml:space="preserve">10.705</w:t>
            </w:r>
          </w:p>
        </w:tc>
        <w:tc>
          <w:tcPr>
            <w:tcW w:w="1320" w:type="dxa"/>
          </w:tcPr>
          <w:p>
            <w:pPr>
              <w:pStyle w:val="Compact"/>
              <w:jc w:val="center"/>
            </w:pPr>
            <w:r>
              <w:t xml:space="preserve">0.602</w:t>
            </w:r>
          </w:p>
        </w:tc>
        <w:tc>
          <w:tcPr>
            <w:tcW w:w="1320" w:type="dxa"/>
          </w:tcPr>
          <w:p>
            <w:pPr>
              <w:pStyle w:val="Compact"/>
              <w:jc w:val="center"/>
            </w:pPr>
            <w:r>
              <w:t xml:space="preserve">8.491</w:t>
            </w:r>
          </w:p>
        </w:tc>
        <w:tc>
          <w:tcPr>
            <w:tcW w:w="1320" w:type="dxa"/>
          </w:tcPr>
          <w:p>
            <w:pPr>
              <w:pStyle w:val="Compact"/>
              <w:jc w:val="center"/>
            </w:pPr>
            <w:r>
              <w:t xml:space="preserve">13.054</w:t>
            </w:r>
          </w:p>
        </w:tc>
      </w:tr>
    </w:tbl>
    <w:bookmarkEnd w:id="26"/>
    <w:bookmarkEnd w:id="27"/>
    <w:bookmarkStart w:id="37" w:name="四实证结果"/>
    <w:p>
      <w:pPr>
        <w:pStyle w:val="Heading2"/>
      </w:pPr>
      <w:r>
        <w:t xml:space="preserve">四、实证结果</w:t>
      </w:r>
    </w:p>
    <w:bookmarkStart w:id="28" w:name="一基准回归结果"/>
    <w:p>
      <w:pPr>
        <w:pStyle w:val="Heading3"/>
      </w:pPr>
      <w:r>
        <w:t xml:space="preserve">（一）基准回归结果</w:t>
      </w:r>
    </w:p>
    <w:p>
      <w:pPr>
        <w:keepNext/>
        <w:pStyle w:val="FirstParagraph"/>
        <w:jc w:val="center"/>
        <w:ind w:firstLine="0" w:firstLineChars="0"/>
      </w:pPr>
      <w:r>
        <w:rPr>
          <w:rFonts w:eastAsia="黑体" w:ascii="Times New Roman" w:hAnsi="Times New Roman"/>
          <w:sz w:val="18"/>
          <w:szCs w:val="18"/>
        </w:rPr>
        <w:t xml:space="preserve">表2报告了数字基础设施建设影响家庭创业的多期双重差分基准估计结果。列（1）未加入控制变量与固定效应，列（2）加入家庭与年份固定效应，列（3）在列（2）基础上进一步纳入全部控制变量。</w:t>
      </w:r>
    </w:p>
    <w:p>
      <w:pPr>
        <w:keepNext/>
        <w:pStyle w:val="BodyText"/>
        <w:jc w:val="center"/>
        <w:ind w:firstLine="0" w:firstLineChars="0"/>
      </w:pPr>
      <w:r>
        <w:rPr>
          <w:rFonts w:eastAsia="黑体" w:ascii="Times New Roman" w:hAnsi="Times New Roman"/>
          <w:sz w:val="18"/>
          <w:szCs w:val="18"/>
        </w:rPr>
        <w:t xml:space="preserve">表2　数字基础设施与家庭创业：基准回归结果</w:t>
      </w:r>
    </w:p>
    <w:tbl>
      <w:tblPr>
        <w:tblW w:w="9200"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CellMar>
          <w:top w:w="15" w:type="dxa"/>
          <w:left w:w="80" w:type="dxa"/>
          <w:bottom w:w="15" w:type="dxa"/>
          <w:right w:w="80" w:type="dxa"/>
        </w:tblCellMar>
        <w:tblLook w:val="04A0" w:firstRow="1" w:lastRow="0" w:firstColumn="1" w:lastColumn="0" w:noHBand="0" w:noVBand="1"/>
      </w:tblPr>
      <w:tblGrid>
        <w:gridCol w:w="2600"/>
        <w:gridCol w:w="2200"/>
        <w:gridCol w:w="2200"/>
        <w:gridCol w:w="2200"/>
      </w:tblGrid>
      <w:tr>
        <w:trPr>
          <w:tblHeader w:val="true"/>
          <w:cantSplit/>
        </w:trPr>
        <w:tc>
          <w:tcPr>
            <w:tcW w:w="2600" w:type="dxa"/>
            <w:tcBorders>
              <w:bottom w:val="single" w:sz="6" w:space="0" w:color="auto"/>
            </w:tcBorders>
          </w:tcPr>
          <w:p>
            <w:pPr>
              <w:pStyle w:val="Compact"/>
              <w:jc w:val="left"/>
            </w:pPr>
            <w:r>
              <w:t xml:space="preserve">变量</w:t>
            </w:r>
          </w:p>
        </w:tc>
        <w:tc>
          <w:tcPr>
            <w:tcW w:w="2200" w:type="dxa"/>
            <w:tcBorders>
              <w:bottom w:val="single" w:sz="6" w:space="0" w:color="auto"/>
            </w:tcBorders>
          </w:tcPr>
          <w:p>
            <w:pPr>
              <w:pStyle w:val="Compact"/>
              <w:jc w:val="center"/>
            </w:pPr>
            <w:r>
              <w:t xml:space="preserve">（1）</w:t>
            </w:r>
          </w:p>
        </w:tc>
        <w:tc>
          <w:tcPr>
            <w:tcW w:w="2200" w:type="dxa"/>
            <w:tcBorders>
              <w:bottom w:val="single" w:sz="6" w:space="0" w:color="auto"/>
            </w:tcBorders>
          </w:tcPr>
          <w:p>
            <w:pPr>
              <w:pStyle w:val="Compact"/>
              <w:jc w:val="center"/>
            </w:pPr>
            <w:r>
              <w:t xml:space="preserve">（2）</w:t>
            </w:r>
          </w:p>
        </w:tc>
        <w:tc>
          <w:tcPr>
            <w:tcW w:w="2200" w:type="dxa"/>
            <w:tcBorders>
              <w:bottom w:val="single" w:sz="6" w:space="0" w:color="auto"/>
            </w:tcBorders>
          </w:tcPr>
          <w:p>
            <w:pPr>
              <w:pStyle w:val="Compact"/>
              <w:jc w:val="center"/>
            </w:pPr>
            <w:r>
              <w:t xml:space="preserve">（3）</w:t>
            </w:r>
          </w:p>
        </w:tc>
      </w:tr>
      <w:tr>
        <w:trPr>
          <w:cantSplit/>
        </w:trPr>
        <w:tc>
          <w:tcPr>
            <w:tcW w:w="2600" w:type="dxa"/>
          </w:tcPr>
          <w:p>
            <w:pPr>
              <w:pStyle w:val="Compact"/>
              <w:jc w:val="left"/>
            </w:pPr>
            <w:r>
              <w:t xml:space="preserve">宽带中国政策冲击</w:t>
            </w:r>
          </w:p>
        </w:tc>
        <w:tc>
          <w:tcPr>
            <w:tcW w:w="2200" w:type="dxa"/>
          </w:tcPr>
          <w:p>
            <w:pPr>
              <w:pStyle w:val="Compact"/>
              <w:jc w:val="center"/>
            </w:pPr>
            <w:r>
              <w:t xml:space="preserve">0.052***</w:t>
            </w:r>
          </w:p>
        </w:tc>
        <w:tc>
          <w:tcPr>
            <w:tcW w:w="2200" w:type="dxa"/>
          </w:tcPr>
          <w:p>
            <w:pPr>
              <w:pStyle w:val="Compact"/>
              <w:jc w:val="center"/>
            </w:pPr>
            <w:r>
              <w:t xml:space="preserve">0.047***</w:t>
            </w:r>
          </w:p>
        </w:tc>
        <w:tc>
          <w:tcPr>
            <w:tcW w:w="2200" w:type="dxa"/>
          </w:tcPr>
          <w:p>
            <w:pPr>
              <w:pStyle w:val="Compact"/>
              <w:jc w:val="center"/>
            </w:pPr>
            <w:r>
              <w:t xml:space="preserve">0.047***</w:t>
            </w:r>
          </w:p>
        </w:tc>
      </w:tr>
      <w:tr>
        <w:trPr>
          <w:cantSplit/>
        </w:trPr>
        <w:tc>
          <w:tcPr>
            <w:tcW w:w="2600" w:type="dxa"/>
          </w:tcPr>
          <w:p>
            <w:pPr>
              <w:pStyle w:val="Compact"/>
            </w:pPr>
          </w:p>
        </w:tc>
        <w:tc>
          <w:tcPr>
            <w:tcW w:w="2200" w:type="dxa"/>
          </w:tcPr>
          <w:p>
            <w:pPr>
              <w:pStyle w:val="Compact"/>
              <w:jc w:val="center"/>
            </w:pPr>
            <w:r>
              <w:t xml:space="preserve">（0.005）</w:t>
            </w:r>
          </w:p>
        </w:tc>
        <w:tc>
          <w:tcPr>
            <w:tcW w:w="2200" w:type="dxa"/>
          </w:tcPr>
          <w:p>
            <w:pPr>
              <w:pStyle w:val="Compact"/>
              <w:jc w:val="center"/>
            </w:pPr>
            <w:r>
              <w:t xml:space="preserve">（0.008）</w:t>
            </w:r>
          </w:p>
        </w:tc>
        <w:tc>
          <w:tcPr>
            <w:tcW w:w="2200" w:type="dxa"/>
          </w:tcPr>
          <w:p>
            <w:pPr>
              <w:pStyle w:val="Compact"/>
              <w:jc w:val="center"/>
            </w:pPr>
            <w:r>
              <w:t xml:space="preserve">（0.008）</w:t>
            </w:r>
          </w:p>
        </w:tc>
      </w:tr>
      <w:tr>
        <w:trPr>
          <w:cantSplit/>
        </w:trPr>
        <w:tc>
          <w:tcPr>
            <w:tcW w:w="2600" w:type="dxa"/>
          </w:tcPr>
          <w:p>
            <w:pPr>
              <w:pStyle w:val="Compact"/>
              <w:jc w:val="left"/>
            </w:pPr>
            <w:r>
              <w:t xml:space="preserve">控制变量</w:t>
            </w:r>
          </w:p>
        </w:tc>
        <w:tc>
          <w:tcPr>
            <w:tcW w:w="2200" w:type="dxa"/>
          </w:tcPr>
          <w:p>
            <w:pPr>
              <w:pStyle w:val="Compact"/>
              <w:jc w:val="center"/>
            </w:pPr>
            <w:r>
              <w:t xml:space="preserve">否</w:t>
            </w:r>
          </w:p>
        </w:tc>
        <w:tc>
          <w:tcPr>
            <w:tcW w:w="2200" w:type="dxa"/>
          </w:tcPr>
          <w:p>
            <w:pPr>
              <w:pStyle w:val="Compact"/>
              <w:jc w:val="center"/>
            </w:pPr>
            <w:r>
              <w:t xml:space="preserve">否</w:t>
            </w:r>
          </w:p>
        </w:tc>
        <w:tc>
          <w:tcPr>
            <w:tcW w:w="2200" w:type="dxa"/>
          </w:tcPr>
          <w:p>
            <w:pPr>
              <w:pStyle w:val="Compact"/>
              <w:jc w:val="center"/>
            </w:pPr>
            <w:r>
              <w:t xml:space="preserve">是</w:t>
            </w:r>
          </w:p>
        </w:tc>
      </w:tr>
      <w:tr>
        <w:trPr>
          <w:cantSplit/>
        </w:trPr>
        <w:tc>
          <w:tcPr>
            <w:tcW w:w="2600" w:type="dxa"/>
          </w:tcPr>
          <w:p>
            <w:pPr>
              <w:pStyle w:val="Compact"/>
              <w:jc w:val="left"/>
            </w:pPr>
            <w:r>
              <w:t xml:space="preserve">家庭固定效应</w:t>
            </w:r>
          </w:p>
        </w:tc>
        <w:tc>
          <w:tcPr>
            <w:tcW w:w="2200" w:type="dxa"/>
          </w:tcPr>
          <w:p>
            <w:pPr>
              <w:pStyle w:val="Compact"/>
              <w:jc w:val="center"/>
            </w:pPr>
            <w:r>
              <w:t xml:space="preserve">否</w:t>
            </w:r>
          </w:p>
        </w:tc>
        <w:tc>
          <w:tcPr>
            <w:tcW w:w="2200" w:type="dxa"/>
          </w:tcPr>
          <w:p>
            <w:pPr>
              <w:pStyle w:val="Compact"/>
              <w:jc w:val="center"/>
            </w:pPr>
            <w:r>
              <w:t xml:space="preserve">是</w:t>
            </w:r>
          </w:p>
        </w:tc>
        <w:tc>
          <w:tcPr>
            <w:tcW w:w="2200" w:type="dxa"/>
          </w:tcPr>
          <w:p>
            <w:pPr>
              <w:pStyle w:val="Compact"/>
              <w:jc w:val="center"/>
            </w:pPr>
            <w:r>
              <w:t xml:space="preserve">是</w:t>
            </w:r>
          </w:p>
        </w:tc>
      </w:tr>
      <w:tr>
        <w:trPr>
          <w:cantSplit/>
        </w:trPr>
        <w:tc>
          <w:tcPr>
            <w:tcW w:w="2600" w:type="dxa"/>
          </w:tcPr>
          <w:p>
            <w:pPr>
              <w:pStyle w:val="Compact"/>
              <w:jc w:val="left"/>
            </w:pPr>
            <w:r>
              <w:t xml:space="preserve">年份固定效应</w:t>
            </w:r>
          </w:p>
        </w:tc>
        <w:tc>
          <w:tcPr>
            <w:tcW w:w="2200" w:type="dxa"/>
          </w:tcPr>
          <w:p>
            <w:pPr>
              <w:pStyle w:val="Compact"/>
              <w:jc w:val="center"/>
            </w:pPr>
            <w:r>
              <w:t xml:space="preserve">否</w:t>
            </w:r>
          </w:p>
        </w:tc>
        <w:tc>
          <w:tcPr>
            <w:tcW w:w="2200" w:type="dxa"/>
          </w:tcPr>
          <w:p>
            <w:pPr>
              <w:pStyle w:val="Compact"/>
              <w:jc w:val="center"/>
            </w:pPr>
            <w:r>
              <w:t xml:space="preserve">是</w:t>
            </w:r>
          </w:p>
        </w:tc>
        <w:tc>
          <w:tcPr>
            <w:tcW w:w="2200" w:type="dxa"/>
          </w:tcPr>
          <w:p>
            <w:pPr>
              <w:pStyle w:val="Compact"/>
              <w:jc w:val="center"/>
            </w:pPr>
            <w:r>
              <w:t xml:space="preserve">是</w:t>
            </w:r>
          </w:p>
        </w:tc>
      </w:tr>
      <w:tr>
        <w:trPr>
          <w:cantSplit/>
        </w:trPr>
        <w:tc>
          <w:tcPr>
            <w:tcW w:w="2600" w:type="dxa"/>
          </w:tcPr>
          <w:p>
            <w:pPr>
              <w:pStyle w:val="Compact"/>
              <w:jc w:val="left"/>
            </w:pPr>
            <w:r>
              <w:t xml:space="preserve">观测值</w:t>
            </w:r>
          </w:p>
        </w:tc>
        <w:tc>
          <w:tcPr>
            <w:tcW w:w="2200" w:type="dxa"/>
          </w:tcPr>
          <w:p>
            <w:pPr>
              <w:pStyle w:val="Compact"/>
              <w:jc w:val="center"/>
            </w:pPr>
            <w:r>
              <w:t xml:space="preserve">30000</w:t>
            </w:r>
          </w:p>
        </w:tc>
        <w:tc>
          <w:tcPr>
            <w:tcW w:w="2200" w:type="dxa"/>
          </w:tcPr>
          <w:p>
            <w:pPr>
              <w:pStyle w:val="Compact"/>
              <w:jc w:val="center"/>
            </w:pPr>
            <w:r>
              <w:t xml:space="preserve">30000</w:t>
            </w:r>
          </w:p>
        </w:tc>
        <w:tc>
          <w:tcPr>
            <w:tcW w:w="2200" w:type="dxa"/>
          </w:tcPr>
          <w:p>
            <w:pPr>
              <w:pStyle w:val="Compact"/>
              <w:jc w:val="center"/>
            </w:pPr>
            <w:r>
              <w:t xml:space="preserve">30000</w:t>
            </w:r>
          </w:p>
        </w:tc>
      </w:tr>
      <w:tr>
        <w:trPr>
          <w:cantSplit/>
        </w:trPr>
        <w:tc>
          <w:tcPr>
            <w:tcW w:w="2600" w:type="dxa"/>
          </w:tcPr>
          <w:p>
            <w:pPr>
              <w:pStyle w:val="Compact"/>
              <w:jc w:val="left"/>
            </w:pPr>
            <m:oMath>
              <m:sSup>
                <m:e>
                  <m:r>
                    <m:t>R</m:t>
                  </m:r>
                </m:e>
                <m:sup>
                  <m:r>
                    <m:t>2</m:t>
                  </m:r>
                </m:sup>
              </m:sSup>
            </m:oMath>
          </w:p>
        </w:tc>
        <w:tc>
          <w:tcPr>
            <w:tcW w:w="2200" w:type="dxa"/>
          </w:tcPr>
          <w:p>
            <w:pPr>
              <w:pStyle w:val="Compact"/>
              <w:jc w:val="center"/>
            </w:pPr>
            <w:r>
              <w:t xml:space="preserve">0.005</w:t>
            </w:r>
          </w:p>
        </w:tc>
        <w:tc>
          <w:tcPr>
            <w:tcW w:w="2200" w:type="dxa"/>
          </w:tcPr>
          <w:p>
            <w:pPr>
              <w:pStyle w:val="Compact"/>
              <w:jc w:val="center"/>
            </w:pPr>
            <w:r>
              <w:t xml:space="preserve">0.012</w:t>
            </w:r>
          </w:p>
        </w:tc>
        <w:tc>
          <w:tcPr>
            <w:tcW w:w="2200" w:type="dxa"/>
          </w:tcPr>
          <w:p>
            <w:pPr>
              <w:pStyle w:val="Compact"/>
              <w:jc w:val="center"/>
            </w:pPr>
            <w:r>
              <w:t xml:space="preserve">0.018</w:t>
            </w:r>
          </w:p>
        </w:tc>
      </w:tr>
    </w:tbl>
    <w:p>
      <w:pPr>
        <w:pStyle w:val="BodyText"/>
        <w:jc w:val="left"/>
        <w:ind w:firstLine="0" w:firstLineChars="0"/>
      </w:pPr>
      <w:r>
        <w:rPr>
          <w:rFonts w:eastAsia="宋体" w:ascii="Times New Roman" w:hAnsi="Times New Roman"/>
          <w:sz w:val="18"/>
          <w:szCs w:val="18"/>
        </w:rPr>
        <w:t xml:space="preserve">注：括号内为聚类到地级市层面的稳健标准误；*、**、*** 分别表示在10%、5%、1%的水平上显著。下表同。</w:t>
      </w:r>
    </w:p>
    <w:p>
      <w:pPr>
        <w:pStyle w:val="BodyText"/>
      </w:pPr>
      <w:r>
        <w:t xml:space="preserve">结果显示，在逐步加入固定效应与控制变量后，核心解释变量</w:t>
      </w:r>
      <w:r>
        <w:t xml:space="preserve"> </w:t>
      </w:r>
      <m:oMath>
        <m:r>
          <m:rPr>
            <m:nor/>
            <m:sty m:val="p"/>
          </m:rPr>
          <m:t>Post</m:t>
        </m:r>
      </m:oMath>
      <w:r>
        <w:t xml:space="preserve"> </w:t>
      </w:r>
      <w:r>
        <w:t xml:space="preserve">的估计系数始终显著为正。以控制变量与固定效应最为完整的列（3）为例，</w:t>
      </w:r>
      <m:oMath>
        <m:r>
          <m:rPr>
            <m:nor/>
            <m:sty m:val="p"/>
          </m:rPr>
          <m:t>Post</m:t>
        </m:r>
      </m:oMath>
      <w:r>
        <w:t xml:space="preserve"> </w:t>
      </w:r>
      <w:r>
        <w:t xml:space="preserve">的估计系数为 0.047***，且在1%的水平上显著，表明在其他条件相同的情况下，所在城市被确定为“宽带中国”示范城市使家庭创业概率平均提高约 4.7 个百分点。相对于样本中约 16.7% 的家庭创业率，这一效应在经济意义上不容忽视。基准回归结果初步验证了数字基础设施建设对家庭创业的促进作用。</w:t>
      </w:r>
    </w:p>
    <w:bookmarkEnd w:id="28"/>
    <w:bookmarkStart w:id="35" w:name="二平行趋势检验"/>
    <w:p>
      <w:pPr>
        <w:pStyle w:val="Heading3"/>
      </w:pPr>
      <w:r>
        <w:t xml:space="preserve">（二）平行趋势检验</w:t>
      </w:r>
    </w:p>
    <w:p>
      <w:pPr>
        <w:pStyle w:val="FirstParagraph"/>
      </w:pPr>
      <w:r>
        <w:t xml:space="preserve">多期双重差分估计的有效性依赖于平行趋势假定。图1报告了基于式（2）的事件研究估计结果。可以看出，在政策实施前各期，估计系数</w:t>
      </w:r>
      <w:r>
        <w:t xml:space="preserve"> </w:t>
      </w:r>
      <m:oMath>
        <m:sSub>
          <m:e>
            <m:r>
              <m:t>δ</m:t>
            </m:r>
          </m:e>
          <m:sub>
            <m:r>
              <m:t>k</m:t>
            </m:r>
          </m:sub>
        </m:sSub>
      </m:oMath>
      <w:r>
        <w:t xml:space="preserve"> </w:t>
      </w:r>
      <w:r>
        <w:t xml:space="preserve">均不显著异于零，且围绕零值波动，表明在“宽带中国”示范城市获批之前，处理组与控制组家庭的创业概率不存在系统性差异，平行趋势假定得到满足。在政策实施当期及以后，估计系数显著为正且随时间推移逐步上升，表明数字基础设施建设对家庭创业的促进作用具有一定的持续性与累积性，这与数字基础设施建设及其应用普及需要一定时间的现实相符。</w:t>
      </w:r>
    </w:p>
    <w:p>
      <w:pPr>
        <w:pStyle w:val="BodyText"/>
        <w:spacing w:before="60" w:after="60" w:line="240" w:lineRule="auto"/>
        <w:jc w:val="center"/>
        <w:ind w:firstLine="0" w:firstLineChars="0"/>
      </w:pPr>
      <w:r>
        <w:drawing>
          <wp:inline>
            <wp:extent cx="3840480" cy="2321858"/>
            <wp:effectExtent b="0" l="0" r="0" t="0"/>
            <wp:docPr descr="" title="" id="30" name="Picture"/>
            <a:graphic>
              <a:graphicData uri="http://schemas.openxmlformats.org/drawingml/2006/picture">
                <pic:pic>
                  <pic:nvPicPr>
                    <pic:cNvPr descr="p1_fig1_event.png" id="31" name="Picture"/>
                    <pic:cNvPicPr>
                      <a:picLocks noChangeArrowheads="1" noChangeAspect="1"/>
                    </pic:cNvPicPr>
                  </pic:nvPicPr>
                  <pic:blipFill>
                    <a:blip r:embed="rId29"/>
                    <a:stretch>
                      <a:fillRect/>
                    </a:stretch>
                  </pic:blipFill>
                  <pic:spPr bwMode="auto">
                    <a:xfrm>
                      <a:off x="0" y="0"/>
                      <a:ext cx="3840480" cy="2321858"/>
                    </a:xfrm>
                    <a:prstGeom prst="rect">
                      <a:avLst/>
                    </a:prstGeom>
                    <a:noFill/>
                    <a:ln w="9525">
                      <a:noFill/>
                      <a:headEnd/>
                      <a:tailEnd/>
                    </a:ln>
                  </pic:spPr>
                </pic:pic>
              </a:graphicData>
            </a:graphic>
          </wp:inline>
        </w:drawing>
      </w:r>
    </w:p>
    <w:p>
      <w:pPr>
        <w:pStyle w:val="BodyText"/>
        <w:jc w:val="center"/>
        <w:ind w:firstLine="0" w:firstLineChars="0"/>
      </w:pPr>
      <w:r>
        <w:rPr>
          <w:rFonts w:eastAsia="黑体" w:ascii="Times New Roman" w:hAnsi="Times New Roman"/>
          <w:sz w:val="18"/>
          <w:szCs w:val="18"/>
        </w:rPr>
        <w:t xml:space="preserve">图1　平行趋势检验与动态效应</w:t>
      </w:r>
    </w:p>
    <w:p>
      <w:pPr>
        <w:pStyle w:val="BodyText"/>
      </w:pPr>
      <w:r>
        <w:t xml:space="preserve">为更直观地展示处理组与控制组的差异，图2进一步绘制了两组家庭创业率随时间变化的趋势。可以看出，在政策实施之前，两组家庭的创业率变化趋势基本平行；在示范城市获批之后，处理组家庭的创业率相对控制组呈现明显上升，与事件研究的结论一致。</w:t>
      </w:r>
    </w:p>
    <w:p>
      <w:pPr>
        <w:pStyle w:val="BodyText"/>
        <w:spacing w:before="60" w:after="60" w:line="240" w:lineRule="auto"/>
        <w:jc w:val="center"/>
        <w:ind w:firstLine="0" w:firstLineChars="0"/>
      </w:pPr>
      <w:r>
        <w:drawing>
          <wp:inline>
            <wp:extent cx="3840480" cy="2321858"/>
            <wp:effectExtent b="0" l="0" r="0" t="0"/>
            <wp:docPr descr="" title="" id="33" name="Picture"/>
            <a:graphic>
              <a:graphicData uri="http://schemas.openxmlformats.org/drawingml/2006/picture">
                <pic:pic>
                  <pic:nvPicPr>
                    <pic:cNvPr descr="p1_fig2_trend.png" id="34" name="Picture"/>
                    <pic:cNvPicPr>
                      <a:picLocks noChangeArrowheads="1" noChangeAspect="1"/>
                    </pic:cNvPicPr>
                  </pic:nvPicPr>
                  <pic:blipFill>
                    <a:blip r:embed="rId32"/>
                    <a:stretch>
                      <a:fillRect/>
                    </a:stretch>
                  </pic:blipFill>
                  <pic:spPr bwMode="auto">
                    <a:xfrm>
                      <a:off x="0" y="0"/>
                      <a:ext cx="3840480" cy="2321858"/>
                    </a:xfrm>
                    <a:prstGeom prst="rect">
                      <a:avLst/>
                    </a:prstGeom>
                    <a:noFill/>
                    <a:ln w="9525">
                      <a:noFill/>
                      <a:headEnd/>
                      <a:tailEnd/>
                    </a:ln>
                  </pic:spPr>
                </pic:pic>
              </a:graphicData>
            </a:graphic>
          </wp:inline>
        </w:drawing>
      </w:r>
    </w:p>
    <w:p>
      <w:pPr>
        <w:pStyle w:val="BodyText"/>
        <w:jc w:val="center"/>
        <w:ind w:firstLine="0" w:firstLineChars="0"/>
      </w:pPr>
      <w:r>
        <w:rPr>
          <w:rFonts w:eastAsia="黑体" w:ascii="Times New Roman" w:hAnsi="Times New Roman"/>
          <w:sz w:val="18"/>
          <w:szCs w:val="18"/>
        </w:rPr>
        <w:t xml:space="preserve">图2　处理组与控制组家庭创业率的时间趋势</w:t>
      </w:r>
    </w:p>
    <w:bookmarkEnd w:id="35"/>
    <w:bookmarkStart w:id="36" w:name="三稳健性检验"/>
    <w:p>
      <w:pPr>
        <w:pStyle w:val="Heading3"/>
      </w:pPr>
      <w:r>
        <w:t xml:space="preserve">（三）稳健性检验</w:t>
      </w:r>
    </w:p>
    <w:p>
      <w:pPr>
        <w:pStyle w:val="FirstParagraph"/>
      </w:pPr>
      <w:r>
        <w:t xml:space="preserve">为确保基准结论的可靠性，本文进行了一系列稳健性检验。</w:t>
      </w:r>
    </w:p>
    <w:p>
      <w:pPr>
        <w:pStyle w:val="BodyText"/>
      </w:pPr>
      <w:r>
        <w:rPr>
          <w:bCs/>
          <w:b/>
        </w:rPr>
        <w:t xml:space="preserve">1. 安慰剂检验。</w:t>
      </w:r>
      <w:r>
        <w:t xml:space="preserve"> </w:t>
      </w:r>
      <w:r>
        <w:t xml:space="preserve">为排除不可观测的随机因素驱动估计结果的可能性，本文进行安慰剂检验。具体地，在保持处理组与控制组结构不变的前提下，随机分配各城市的政策实施时点，重新估计式（1），并重复该过程500次。结果显示，500次随机化估计得到的系数均值为0.000，紧密分布于零附近，且没有任何一次随机估计的系数绝对值超过基准估计值（0.047）。 这表明基准估计得到的政策效应并非由随机因素所致。</w:t>
      </w:r>
    </w:p>
    <w:p>
      <w:pPr>
        <w:pStyle w:val="BodyText"/>
      </w:pPr>
      <w:r>
        <w:rPr>
          <w:bCs/>
          <w:b/>
        </w:rPr>
        <w:t xml:space="preserve">2. 倾向得分匹配—双重差分（PSM-DID）。</w:t>
      </w:r>
      <w:r>
        <w:t xml:space="preserve"> </w:t>
      </w:r>
      <w:r>
        <w:t xml:space="preserve">考虑到示范城市的家庭与非示范城市的家庭在可观测特征上可能存在系统性差异，本文采用倾向得分匹配的思路，以户主受教育水平、城乡、性别、家庭规模与健康状况为匹配变量估计倾向得分，并据此构造逆概率权重，对基准模型进行加权估计。结果显示，</w:t>
      </w:r>
      <m:oMath>
        <m:r>
          <m:rPr>
            <m:nor/>
            <m:sty m:val="p"/>
          </m:rPr>
          <m:t>Post</m:t>
        </m:r>
      </m:oMath>
      <w:r>
        <w:t xml:space="preserve"> </w:t>
      </w:r>
      <w:r>
        <w:t xml:space="preserve">的估计系数为 0.046***，仍在1%的水平上显著，与基准结果基本一致。</w:t>
      </w:r>
    </w:p>
    <w:p>
      <w:pPr>
        <w:pStyle w:val="BodyText"/>
      </w:pPr>
      <w:r>
        <w:rPr>
          <w:bCs/>
          <w:b/>
        </w:rPr>
        <w:t xml:space="preserve">3. 排除同期政策干扰。</w:t>
      </w:r>
      <w:r>
        <w:t xml:space="preserve"> </w:t>
      </w:r>
      <w:r>
        <w:t xml:space="preserve">样本期内，</w:t>
      </w:r>
      <w:r>
        <w:t xml:space="preserve">“</w:t>
      </w:r>
      <w:r>
        <w:t xml:space="preserve">电子商务进农村综合示范</w:t>
      </w:r>
      <w:r>
        <w:t xml:space="preserve">”</w:t>
      </w:r>
      <w:r>
        <w:t xml:space="preserve">“</w:t>
      </w:r>
      <w:r>
        <w:t xml:space="preserve">国家智慧城市试点</w:t>
      </w:r>
      <w:r>
        <w:t xml:space="preserve">”</w:t>
      </w:r>
      <w:r>
        <w:t xml:space="preserve">等政策也可能影响家庭创业。考虑到这些政策与“宽带中国”战略在实施时点与覆盖地区上存在差异，且本文模型已控制城市不随时间变化的特征与共同的时间趋势，同期政策对本文结论的干扰相对有限。进一步剔除同期实施其他重点政策的城市样本后，核心结论保持稳健（限于篇幅，结果留存备索）。</w:t>
      </w:r>
    </w:p>
    <w:bookmarkEnd w:id="36"/>
    <w:bookmarkEnd w:id="37"/>
    <w:bookmarkStart w:id="38" w:name="五机制检验"/>
    <w:p>
      <w:pPr>
        <w:pStyle w:val="Heading2"/>
      </w:pPr>
      <w:r>
        <w:t xml:space="preserve">五、机制检验</w:t>
      </w:r>
    </w:p>
    <w:p>
      <w:pPr>
        <w:pStyle w:val="FirstParagraph"/>
      </w:pPr>
      <w:r>
        <w:t xml:space="preserve">基准回归与稳健性检验表明，数字基础设施建设显著促进了家庭创业。本部分进一步检验这一效应的作用机制，以回应研究假说1至研究假说3。根据前文理论分析，数字基础设施主要通过增强信息获取能力、提高融资可得性与强化社会网络三个渠道影响家庭创业。本文将基准模型中的被解释变量分别替换为上述三类机制变量，并进行估计，结果报告于表3。</w:t>
      </w:r>
    </w:p>
    <w:p>
      <w:pPr>
        <w:keepNext/>
        <w:pStyle w:val="BodyText"/>
        <w:jc w:val="center"/>
        <w:ind w:firstLine="0" w:firstLineChars="0"/>
      </w:pPr>
      <w:r>
        <w:rPr>
          <w:rFonts w:eastAsia="黑体" w:ascii="Times New Roman" w:hAnsi="Times New Roman"/>
          <w:sz w:val="18"/>
          <w:szCs w:val="18"/>
        </w:rPr>
        <w:t xml:space="preserve">表3　机制检验：信息、融资与社会网络</w:t>
      </w:r>
    </w:p>
    <w:tbl>
      <w:tblPr>
        <w:tblW w:w="9200"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CellMar>
          <w:top w:w="15" w:type="dxa"/>
          <w:left w:w="80" w:type="dxa"/>
          <w:bottom w:w="15" w:type="dxa"/>
          <w:right w:w="80" w:type="dxa"/>
        </w:tblCellMar>
        <w:tblLook w:val="04A0" w:firstRow="1" w:lastRow="0" w:firstColumn="1" w:lastColumn="0" w:noHBand="0" w:noVBand="1"/>
      </w:tblPr>
      <w:tblGrid>
        <w:gridCol w:w="2600"/>
        <w:gridCol w:w="2200"/>
        <w:gridCol w:w="2200"/>
        <w:gridCol w:w="2200"/>
      </w:tblGrid>
      <w:tr>
        <w:trPr>
          <w:tblHeader w:val="true"/>
          <w:cantSplit/>
        </w:trPr>
        <w:tc>
          <w:tcPr>
            <w:tcW w:w="2600" w:type="dxa"/>
            <w:tcBorders>
              <w:bottom w:val="single" w:sz="6" w:space="0" w:color="auto"/>
            </w:tcBorders>
          </w:tcPr>
          <w:p>
            <w:pPr>
              <w:pStyle w:val="Compact"/>
              <w:jc w:val="left"/>
            </w:pPr>
            <w:r>
              <w:t xml:space="preserve">变量</w:t>
            </w:r>
          </w:p>
        </w:tc>
        <w:tc>
          <w:tcPr>
            <w:tcW w:w="2200" w:type="dxa"/>
            <w:tcBorders>
              <w:bottom w:val="single" w:sz="6" w:space="0" w:color="auto"/>
            </w:tcBorders>
          </w:tcPr>
          <w:p>
            <w:pPr>
              <w:pStyle w:val="Compact"/>
              <w:jc w:val="center"/>
            </w:pPr>
            <w:r>
              <w:t xml:space="preserve">（1）信息获取</w:t>
            </w:r>
          </w:p>
        </w:tc>
        <w:tc>
          <w:tcPr>
            <w:tcW w:w="2200" w:type="dxa"/>
            <w:tcBorders>
              <w:bottom w:val="single" w:sz="6" w:space="0" w:color="auto"/>
            </w:tcBorders>
          </w:tcPr>
          <w:p>
            <w:pPr>
              <w:pStyle w:val="Compact"/>
              <w:jc w:val="center"/>
            </w:pPr>
            <w:r>
              <w:t xml:space="preserve">（2）融资可得</w:t>
            </w:r>
          </w:p>
        </w:tc>
        <w:tc>
          <w:tcPr>
            <w:tcW w:w="2200" w:type="dxa"/>
            <w:tcBorders>
              <w:bottom w:val="single" w:sz="6" w:space="0" w:color="auto"/>
            </w:tcBorders>
          </w:tcPr>
          <w:p>
            <w:pPr>
              <w:pStyle w:val="Compact"/>
              <w:jc w:val="center"/>
            </w:pPr>
            <w:r>
              <w:t xml:space="preserve">（3）社会网络</w:t>
            </w:r>
          </w:p>
        </w:tc>
      </w:tr>
      <w:tr>
        <w:trPr>
          <w:cantSplit/>
        </w:trPr>
        <w:tc>
          <w:tcPr>
            <w:tcW w:w="2600" w:type="dxa"/>
          </w:tcPr>
          <w:p>
            <w:pPr>
              <w:pStyle w:val="Compact"/>
              <w:jc w:val="left"/>
            </w:pPr>
            <w:r>
              <w:t xml:space="preserve">宽带中国政策冲击</w:t>
            </w:r>
          </w:p>
        </w:tc>
        <w:tc>
          <w:tcPr>
            <w:tcW w:w="2200" w:type="dxa"/>
          </w:tcPr>
          <w:p>
            <w:pPr>
              <w:pStyle w:val="Compact"/>
              <w:jc w:val="center"/>
            </w:pPr>
            <w:r>
              <w:t xml:space="preserve">0.360***</w:t>
            </w:r>
          </w:p>
        </w:tc>
        <w:tc>
          <w:tcPr>
            <w:tcW w:w="2200" w:type="dxa"/>
          </w:tcPr>
          <w:p>
            <w:pPr>
              <w:pStyle w:val="Compact"/>
              <w:jc w:val="center"/>
            </w:pPr>
            <w:r>
              <w:t xml:space="preserve">0.369***</w:t>
            </w:r>
          </w:p>
        </w:tc>
        <w:tc>
          <w:tcPr>
            <w:tcW w:w="2200" w:type="dxa"/>
          </w:tcPr>
          <w:p>
            <w:pPr>
              <w:pStyle w:val="Compact"/>
              <w:jc w:val="center"/>
            </w:pPr>
            <w:r>
              <w:t xml:space="preserve">0.208***</w:t>
            </w:r>
          </w:p>
        </w:tc>
      </w:tr>
      <w:tr>
        <w:trPr>
          <w:cantSplit/>
        </w:trPr>
        <w:tc>
          <w:tcPr>
            <w:tcW w:w="2600" w:type="dxa"/>
          </w:tcPr>
          <w:p>
            <w:pPr>
              <w:pStyle w:val="Compact"/>
            </w:pPr>
          </w:p>
        </w:tc>
        <w:tc>
          <w:tcPr>
            <w:tcW w:w="2200" w:type="dxa"/>
          </w:tcPr>
          <w:p>
            <w:pPr>
              <w:pStyle w:val="Compact"/>
              <w:jc w:val="center"/>
            </w:pPr>
            <w:r>
              <w:t xml:space="preserve">（0.021）</w:t>
            </w:r>
          </w:p>
        </w:tc>
        <w:tc>
          <w:tcPr>
            <w:tcW w:w="2200" w:type="dxa"/>
          </w:tcPr>
          <w:p>
            <w:pPr>
              <w:pStyle w:val="Compact"/>
              <w:jc w:val="center"/>
            </w:pPr>
            <w:r>
              <w:t xml:space="preserve">（0.022）</w:t>
            </w:r>
          </w:p>
        </w:tc>
        <w:tc>
          <w:tcPr>
            <w:tcW w:w="2200" w:type="dxa"/>
          </w:tcPr>
          <w:p>
            <w:pPr>
              <w:pStyle w:val="Compact"/>
              <w:jc w:val="center"/>
            </w:pPr>
            <w:r>
              <w:t xml:space="preserve">（0.022）</w:t>
            </w:r>
          </w:p>
        </w:tc>
      </w:tr>
      <w:tr>
        <w:trPr>
          <w:cantSplit/>
        </w:trPr>
        <w:tc>
          <w:tcPr>
            <w:tcW w:w="2600" w:type="dxa"/>
          </w:tcPr>
          <w:p>
            <w:pPr>
              <w:pStyle w:val="Compact"/>
              <w:jc w:val="left"/>
            </w:pPr>
            <w:r>
              <w:t xml:space="preserve">控制变量</w:t>
            </w:r>
          </w:p>
        </w:tc>
        <w:tc>
          <w:tcPr>
            <w:tcW w:w="2200" w:type="dxa"/>
          </w:tcPr>
          <w:p>
            <w:pPr>
              <w:pStyle w:val="Compact"/>
              <w:jc w:val="center"/>
            </w:pPr>
            <w:r>
              <w:t xml:space="preserve">是</w:t>
            </w:r>
          </w:p>
        </w:tc>
        <w:tc>
          <w:tcPr>
            <w:tcW w:w="2200" w:type="dxa"/>
          </w:tcPr>
          <w:p>
            <w:pPr>
              <w:pStyle w:val="Compact"/>
              <w:jc w:val="center"/>
            </w:pPr>
            <w:r>
              <w:t xml:space="preserve">是</w:t>
            </w:r>
          </w:p>
        </w:tc>
        <w:tc>
          <w:tcPr>
            <w:tcW w:w="2200" w:type="dxa"/>
          </w:tcPr>
          <w:p>
            <w:pPr>
              <w:pStyle w:val="Compact"/>
              <w:jc w:val="center"/>
            </w:pPr>
            <w:r>
              <w:t xml:space="preserve">是</w:t>
            </w:r>
          </w:p>
        </w:tc>
      </w:tr>
      <w:tr>
        <w:trPr>
          <w:cantSplit/>
        </w:trPr>
        <w:tc>
          <w:tcPr>
            <w:tcW w:w="2600" w:type="dxa"/>
          </w:tcPr>
          <w:p>
            <w:pPr>
              <w:pStyle w:val="Compact"/>
              <w:jc w:val="left"/>
            </w:pPr>
            <w:r>
              <w:t xml:space="preserve">家庭、年份固定效应</w:t>
            </w:r>
          </w:p>
        </w:tc>
        <w:tc>
          <w:tcPr>
            <w:tcW w:w="2200" w:type="dxa"/>
          </w:tcPr>
          <w:p>
            <w:pPr>
              <w:pStyle w:val="Compact"/>
              <w:jc w:val="center"/>
            </w:pPr>
            <w:r>
              <w:t xml:space="preserve">是</w:t>
            </w:r>
          </w:p>
        </w:tc>
        <w:tc>
          <w:tcPr>
            <w:tcW w:w="2200" w:type="dxa"/>
          </w:tcPr>
          <w:p>
            <w:pPr>
              <w:pStyle w:val="Compact"/>
              <w:jc w:val="center"/>
            </w:pPr>
            <w:r>
              <w:t xml:space="preserve">是</w:t>
            </w:r>
          </w:p>
        </w:tc>
        <w:tc>
          <w:tcPr>
            <w:tcW w:w="2200" w:type="dxa"/>
          </w:tcPr>
          <w:p>
            <w:pPr>
              <w:pStyle w:val="Compact"/>
              <w:jc w:val="center"/>
            </w:pPr>
            <w:r>
              <w:t xml:space="preserve">是</w:t>
            </w:r>
          </w:p>
        </w:tc>
      </w:tr>
      <w:tr>
        <w:trPr>
          <w:cantSplit/>
        </w:trPr>
        <w:tc>
          <w:tcPr>
            <w:tcW w:w="2600" w:type="dxa"/>
          </w:tcPr>
          <w:p>
            <w:pPr>
              <w:pStyle w:val="Compact"/>
              <w:jc w:val="left"/>
            </w:pPr>
            <w:r>
              <w:t xml:space="preserve">观测值</w:t>
            </w:r>
          </w:p>
        </w:tc>
        <w:tc>
          <w:tcPr>
            <w:tcW w:w="2200" w:type="dxa"/>
          </w:tcPr>
          <w:p>
            <w:pPr>
              <w:pStyle w:val="Compact"/>
              <w:jc w:val="center"/>
            </w:pPr>
            <w:r>
              <w:t xml:space="preserve">30000</w:t>
            </w:r>
          </w:p>
        </w:tc>
        <w:tc>
          <w:tcPr>
            <w:tcW w:w="2200" w:type="dxa"/>
          </w:tcPr>
          <w:p>
            <w:pPr>
              <w:pStyle w:val="Compact"/>
              <w:jc w:val="center"/>
            </w:pPr>
            <w:r>
              <w:t xml:space="preserve">30000</w:t>
            </w:r>
          </w:p>
        </w:tc>
        <w:tc>
          <w:tcPr>
            <w:tcW w:w="2200" w:type="dxa"/>
          </w:tcPr>
          <w:p>
            <w:pPr>
              <w:pStyle w:val="Compact"/>
              <w:jc w:val="center"/>
            </w:pPr>
            <w:r>
              <w:t xml:space="preserve">30000</w:t>
            </w:r>
          </w:p>
        </w:tc>
      </w:tr>
      <w:tr>
        <w:trPr>
          <w:cantSplit/>
        </w:trPr>
        <w:tc>
          <w:tcPr>
            <w:tcW w:w="2600" w:type="dxa"/>
          </w:tcPr>
          <w:p>
            <w:pPr>
              <w:pStyle w:val="Compact"/>
              <w:jc w:val="left"/>
            </w:pPr>
            <m:oMath>
              <m:sSup>
                <m:e>
                  <m:r>
                    <m:t>R</m:t>
                  </m:r>
                </m:e>
                <m:sup>
                  <m:r>
                    <m:t>2</m:t>
                  </m:r>
                </m:sup>
              </m:sSup>
            </m:oMath>
          </w:p>
        </w:tc>
        <w:tc>
          <w:tcPr>
            <w:tcW w:w="2200" w:type="dxa"/>
          </w:tcPr>
          <w:p>
            <w:pPr>
              <w:pStyle w:val="Compact"/>
              <w:jc w:val="center"/>
            </w:pPr>
            <w:r>
              <w:t xml:space="preserve">0.145</w:t>
            </w:r>
          </w:p>
        </w:tc>
        <w:tc>
          <w:tcPr>
            <w:tcW w:w="2200" w:type="dxa"/>
          </w:tcPr>
          <w:p>
            <w:pPr>
              <w:pStyle w:val="Compact"/>
              <w:jc w:val="center"/>
            </w:pPr>
            <w:r>
              <w:t xml:space="preserve">0.096</w:t>
            </w:r>
          </w:p>
        </w:tc>
        <w:tc>
          <w:tcPr>
            <w:tcW w:w="2200" w:type="dxa"/>
          </w:tcPr>
          <w:p>
            <w:pPr>
              <w:pStyle w:val="Compact"/>
              <w:jc w:val="center"/>
            </w:pPr>
            <w:r>
              <w:t xml:space="preserve">0.046</w:t>
            </w:r>
          </w:p>
        </w:tc>
      </w:tr>
    </w:tbl>
    <w:p>
      <w:pPr>
        <w:pStyle w:val="BodyText"/>
        <w:jc w:val="left"/>
        <w:ind w:firstLine="0" w:firstLineChars="0"/>
      </w:pPr>
      <w:r>
        <w:rPr>
          <w:rFonts w:eastAsia="宋体" w:ascii="Times New Roman" w:hAnsi="Times New Roman"/>
          <w:sz w:val="18"/>
          <w:szCs w:val="18"/>
        </w:rPr>
        <w:t xml:space="preserve">注：三个机制变量均已标准化为均值0、标准差1的指标。</w:t>
      </w:r>
    </w:p>
    <w:p>
      <w:pPr>
        <w:pStyle w:val="BodyText"/>
      </w:pPr>
      <w:r>
        <w:t xml:space="preserve">第一，信息渠道。表3列（1）以家庭信息获取能力作为被解释变量。该变量基于家庭利用互联网获取经济、商业与市场信息的频率与广度构造，并进行标准化处理。结果显示，</w:t>
      </w:r>
      <m:oMath>
        <m:r>
          <m:rPr>
            <m:nor/>
            <m:sty m:val="p"/>
          </m:rPr>
          <m:t>Post</m:t>
        </m:r>
      </m:oMath>
      <w:r>
        <w:t xml:space="preserve"> </w:t>
      </w:r>
      <w:r>
        <w:t xml:space="preserve">的估计系数为 0.360***，在1%的水平上显著为正，表明数字基础设施建设显著增强了家庭的信息获取能力，研究假说1得到支持。</w:t>
      </w:r>
    </w:p>
    <w:p>
      <w:pPr>
        <w:pStyle w:val="BodyText"/>
      </w:pPr>
      <w:r>
        <w:t xml:space="preserve">第二，融资渠道。表3列（2）以家庭融资可得性作为被解释变量，该变量基于家庭使用数字支付、网络信贷等数字金融服务的情况构造并标准化。结果显示，</w:t>
      </w:r>
      <m:oMath>
        <m:r>
          <m:rPr>
            <m:nor/>
            <m:sty m:val="p"/>
          </m:rPr>
          <m:t>Post</m:t>
        </m:r>
      </m:oMath>
      <w:r>
        <w:t xml:space="preserve"> </w:t>
      </w:r>
      <w:r>
        <w:t xml:space="preserve">的估计系数为 0.369***，在1%的水平上显著为正，表明数字基础设施建设显著提高了家庭的融资可得性，研究假说2得到支持。</w:t>
      </w:r>
    </w:p>
    <w:p>
      <w:pPr>
        <w:pStyle w:val="BodyText"/>
      </w:pPr>
      <w:r>
        <w:t xml:space="preserve">第三，社会网络渠道。表3列（3）以家庭社会网络作为被解释变量。结果显示，</w:t>
      </w:r>
      <m:oMath>
        <m:r>
          <m:rPr>
            <m:nor/>
            <m:sty m:val="p"/>
          </m:rPr>
          <m:t>Post</m:t>
        </m:r>
      </m:oMath>
      <w:r>
        <w:t xml:space="preserve"> </w:t>
      </w:r>
      <w:r>
        <w:t xml:space="preserve">的估计系数为 0.208***，在1%的水平上显著为正，表明数字基础设施建设强化了家庭的社会网络，研究假说3得到支持。</w:t>
      </w:r>
    </w:p>
    <w:p>
      <w:pPr>
        <w:pStyle w:val="BodyText"/>
      </w:pPr>
      <w:r>
        <w:t xml:space="preserve">综合机制检验结果可知，数字基础设施建设主要通过增强信息获取能力与提高融资可得性两个渠道促进家庭创业，同时社会网络的强化也发挥了积极作用。这一发现从信息成本与融资约束两个维度，揭示了数字基础设施影响家庭创业的内在机理。</w:t>
      </w:r>
    </w:p>
    <w:bookmarkEnd w:id="38"/>
    <w:bookmarkStart w:id="39" w:name="六异质性分析"/>
    <w:p>
      <w:pPr>
        <w:pStyle w:val="Heading2"/>
      </w:pPr>
      <w:r>
        <w:t xml:space="preserve">六、异质性分析</w:t>
      </w:r>
    </w:p>
    <w:p>
      <w:pPr>
        <w:pStyle w:val="FirstParagraph"/>
      </w:pPr>
      <w:r>
        <w:t xml:space="preserve">前文识别了数字基础设施建设对家庭创业的平均处理效应及其机制。本部分进一步考察这一效应在不同家庭群体间的异质性，以判断数字基础设施在创业机会分配中所扮演的角色。本文在基准模型中依次加入城乡、收入、受教育水平与地区分组变量及其与</w:t>
      </w:r>
      <w:r>
        <w:t xml:space="preserve"> </w:t>
      </w:r>
      <m:oMath>
        <m:r>
          <m:rPr>
            <m:nor/>
            <m:sty m:val="p"/>
          </m:rPr>
          <m:t>Post</m:t>
        </m:r>
      </m:oMath>
      <w:r>
        <w:t xml:space="preserve"> </w:t>
      </w:r>
      <w:r>
        <w:t xml:space="preserve">的交互项，估计结果报告于表4。</w:t>
      </w:r>
    </w:p>
    <w:p>
      <w:pPr>
        <w:keepNext/>
        <w:pStyle w:val="BodyText"/>
        <w:jc w:val="center"/>
        <w:ind w:firstLine="0" w:firstLineChars="0"/>
      </w:pPr>
      <w:r>
        <w:rPr>
          <w:rFonts w:eastAsia="黑体" w:ascii="Times New Roman" w:hAnsi="Times New Roman"/>
          <w:sz w:val="18"/>
          <w:szCs w:val="18"/>
        </w:rPr>
        <w:t xml:space="preserve">表4　异质性分析</w:t>
      </w:r>
    </w:p>
    <w:tbl>
      <w:tblPr>
        <w:tblW w:w="9200"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CellMar>
          <w:top w:w="15" w:type="dxa"/>
          <w:left w:w="80" w:type="dxa"/>
          <w:bottom w:w="15" w:type="dxa"/>
          <w:right w:w="80" w:type="dxa"/>
        </w:tblCellMar>
        <w:tblLook w:val="04A0" w:firstRow="1" w:lastRow="0" w:firstColumn="1" w:lastColumn="0" w:noHBand="0" w:noVBand="1"/>
      </w:tblPr>
      <w:tblGrid>
        <w:gridCol w:w="2600"/>
        <w:gridCol w:w="1650"/>
        <w:gridCol w:w="1650"/>
        <w:gridCol w:w="1650"/>
        <w:gridCol w:w="1650"/>
      </w:tblGrid>
      <w:tr>
        <w:trPr>
          <w:tblHeader w:val="true"/>
          <w:cantSplit/>
        </w:trPr>
        <w:tc>
          <w:tcPr>
            <w:tcW w:w="2600" w:type="dxa"/>
            <w:tcBorders>
              <w:bottom w:val="single" w:sz="6" w:space="0" w:color="auto"/>
            </w:tcBorders>
          </w:tcPr>
          <w:p>
            <w:pPr>
              <w:pStyle w:val="Compact"/>
              <w:jc w:val="left"/>
            </w:pPr>
            <w:r>
              <w:t xml:space="preserve">变量</w:t>
            </w:r>
          </w:p>
        </w:tc>
        <w:tc>
          <w:tcPr>
            <w:tcW w:w="1650" w:type="dxa"/>
            <w:tcBorders>
              <w:bottom w:val="single" w:sz="6" w:space="0" w:color="auto"/>
            </w:tcBorders>
          </w:tcPr>
          <w:p>
            <w:pPr>
              <w:pStyle w:val="Compact"/>
              <w:jc w:val="center"/>
            </w:pPr>
            <w:r>
              <w:t xml:space="preserve">（1）城乡</w:t>
            </w:r>
          </w:p>
        </w:tc>
        <w:tc>
          <w:tcPr>
            <w:tcW w:w="1650" w:type="dxa"/>
            <w:tcBorders>
              <w:bottom w:val="single" w:sz="6" w:space="0" w:color="auto"/>
            </w:tcBorders>
          </w:tcPr>
          <w:p>
            <w:pPr>
              <w:pStyle w:val="Compact"/>
              <w:jc w:val="center"/>
            </w:pPr>
            <w:r>
              <w:t xml:space="preserve">（2）收入</w:t>
            </w:r>
          </w:p>
        </w:tc>
        <w:tc>
          <w:tcPr>
            <w:tcW w:w="1650" w:type="dxa"/>
            <w:tcBorders>
              <w:bottom w:val="single" w:sz="6" w:space="0" w:color="auto"/>
            </w:tcBorders>
          </w:tcPr>
          <w:p>
            <w:pPr>
              <w:pStyle w:val="Compact"/>
              <w:jc w:val="center"/>
            </w:pPr>
            <w:r>
              <w:t xml:space="preserve">（3）教育</w:t>
            </w:r>
          </w:p>
        </w:tc>
        <w:tc>
          <w:tcPr>
            <w:tcW w:w="1650" w:type="dxa"/>
            <w:tcBorders>
              <w:bottom w:val="single" w:sz="6" w:space="0" w:color="auto"/>
            </w:tcBorders>
          </w:tcPr>
          <w:p>
            <w:pPr>
              <w:pStyle w:val="Compact"/>
              <w:jc w:val="center"/>
            </w:pPr>
            <w:r>
              <w:t xml:space="preserve">（4）区域</w:t>
            </w:r>
          </w:p>
        </w:tc>
      </w:tr>
      <w:tr>
        <w:trPr>
          <w:cantSplit/>
        </w:trPr>
        <w:tc>
          <w:tcPr>
            <w:tcW w:w="2600" w:type="dxa"/>
          </w:tcPr>
          <w:p>
            <w:pPr>
              <w:pStyle w:val="Compact"/>
              <w:jc w:val="left"/>
            </w:pPr>
            <w:r>
              <w:t xml:space="preserve">宽带中国政策冲击</w:t>
            </w:r>
          </w:p>
        </w:tc>
        <w:tc>
          <w:tcPr>
            <w:tcW w:w="1650" w:type="dxa"/>
          </w:tcPr>
          <w:p>
            <w:pPr>
              <w:pStyle w:val="Compact"/>
              <w:jc w:val="center"/>
            </w:pPr>
            <w:r>
              <w:t xml:space="preserve">0.038</w:t>
            </w:r>
          </w:p>
        </w:tc>
        <w:tc>
          <w:tcPr>
            <w:tcW w:w="1650" w:type="dxa"/>
          </w:tcPr>
          <w:p>
            <w:pPr>
              <w:pStyle w:val="Compact"/>
              <w:jc w:val="center"/>
            </w:pPr>
            <w:r>
              <w:t xml:space="preserve">0.041</w:t>
            </w:r>
          </w:p>
        </w:tc>
        <w:tc>
          <w:tcPr>
            <w:tcW w:w="1650" w:type="dxa"/>
          </w:tcPr>
          <w:p>
            <w:pPr>
              <w:pStyle w:val="Compact"/>
              <w:jc w:val="center"/>
            </w:pPr>
            <w:r>
              <w:t xml:space="preserve">0.061</w:t>
            </w:r>
          </w:p>
        </w:tc>
        <w:tc>
          <w:tcPr>
            <w:tcW w:w="1650" w:type="dxa"/>
          </w:tcPr>
          <w:p>
            <w:pPr>
              <w:pStyle w:val="Compact"/>
              <w:jc w:val="center"/>
            </w:pPr>
            <w:r>
              <w:t xml:space="preserve">0.043</w:t>
            </w:r>
          </w:p>
        </w:tc>
      </w:tr>
      <w:tr>
        <w:trPr>
          <w:cantSplit/>
        </w:trPr>
        <w:tc>
          <w:tcPr>
            <w:tcW w:w="2600" w:type="dxa"/>
          </w:tcPr>
          <w:p>
            <w:pPr>
              <w:pStyle w:val="Compact"/>
            </w:pPr>
          </w:p>
        </w:tc>
        <w:tc>
          <w:tcPr>
            <w:tcW w:w="1650" w:type="dxa"/>
          </w:tcPr>
          <w:p>
            <w:pPr>
              <w:pStyle w:val="Compact"/>
              <w:jc w:val="center"/>
            </w:pPr>
            <w:r>
              <w:t xml:space="preserve">（0.009）</w:t>
            </w:r>
          </w:p>
        </w:tc>
        <w:tc>
          <w:tcPr>
            <w:tcW w:w="1650" w:type="dxa"/>
          </w:tcPr>
          <w:p>
            <w:pPr>
              <w:pStyle w:val="Compact"/>
              <w:jc w:val="center"/>
            </w:pPr>
            <w:r>
              <w:t xml:space="preserve">（0.009）</w:t>
            </w:r>
          </w:p>
        </w:tc>
        <w:tc>
          <w:tcPr>
            <w:tcW w:w="1650" w:type="dxa"/>
          </w:tcPr>
          <w:p>
            <w:pPr>
              <w:pStyle w:val="Compact"/>
              <w:jc w:val="center"/>
            </w:pPr>
            <w:r>
              <w:t xml:space="preserve">（0.009）</w:t>
            </w:r>
          </w:p>
        </w:tc>
        <w:tc>
          <w:tcPr>
            <w:tcW w:w="1650" w:type="dxa"/>
          </w:tcPr>
          <w:p>
            <w:pPr>
              <w:pStyle w:val="Compact"/>
              <w:jc w:val="center"/>
            </w:pPr>
            <w:r>
              <w:t xml:space="preserve">（0.008）</w:t>
            </w:r>
          </w:p>
        </w:tc>
      </w:tr>
      <w:tr>
        <w:trPr>
          <w:cantSplit/>
        </w:trPr>
        <w:tc>
          <w:tcPr>
            <w:tcW w:w="2600" w:type="dxa"/>
          </w:tcPr>
          <w:p>
            <w:pPr>
              <w:pStyle w:val="Compact"/>
              <w:jc w:val="left"/>
            </w:pPr>
            <w:r>
              <w:t xml:space="preserve">政策冲击×分组</w:t>
            </w:r>
          </w:p>
        </w:tc>
        <w:tc>
          <w:tcPr>
            <w:tcW w:w="1650" w:type="dxa"/>
          </w:tcPr>
          <w:p>
            <w:pPr>
              <w:pStyle w:val="Compact"/>
              <w:jc w:val="center"/>
            </w:pPr>
            <w:r>
              <w:t xml:space="preserve">0.020**</w:t>
            </w:r>
          </w:p>
        </w:tc>
        <w:tc>
          <w:tcPr>
            <w:tcW w:w="1650" w:type="dxa"/>
          </w:tcPr>
          <w:p>
            <w:pPr>
              <w:pStyle w:val="Compact"/>
              <w:jc w:val="center"/>
            </w:pPr>
            <w:r>
              <w:t xml:space="preserve">0.027**</w:t>
            </w:r>
          </w:p>
        </w:tc>
        <w:tc>
          <w:tcPr>
            <w:tcW w:w="1650" w:type="dxa"/>
          </w:tcPr>
          <w:p>
            <w:pPr>
              <w:pStyle w:val="Compact"/>
              <w:jc w:val="center"/>
            </w:pPr>
            <w:r>
              <w:t xml:space="preserve">-0.034***</w:t>
            </w:r>
          </w:p>
        </w:tc>
        <w:tc>
          <w:tcPr>
            <w:tcW w:w="1650" w:type="dxa"/>
          </w:tcPr>
          <w:p>
            <w:pPr>
              <w:pStyle w:val="Compact"/>
              <w:jc w:val="center"/>
            </w:pPr>
            <w:r>
              <w:t xml:space="preserve">0.013</w:t>
            </w:r>
          </w:p>
        </w:tc>
      </w:tr>
      <w:tr>
        <w:trPr>
          <w:cantSplit/>
        </w:trPr>
        <w:tc>
          <w:tcPr>
            <w:tcW w:w="2600" w:type="dxa"/>
          </w:tcPr>
          <w:p>
            <w:pPr>
              <w:pStyle w:val="Compact"/>
            </w:pPr>
          </w:p>
        </w:tc>
        <w:tc>
          <w:tcPr>
            <w:tcW w:w="1650" w:type="dxa"/>
          </w:tcPr>
          <w:p>
            <w:pPr>
              <w:pStyle w:val="Compact"/>
              <w:jc w:val="center"/>
            </w:pPr>
            <w:r>
              <w:t xml:space="preserve">（0.010）</w:t>
            </w:r>
          </w:p>
        </w:tc>
        <w:tc>
          <w:tcPr>
            <w:tcW w:w="1650" w:type="dxa"/>
          </w:tcPr>
          <w:p>
            <w:pPr>
              <w:pStyle w:val="Compact"/>
              <w:jc w:val="center"/>
            </w:pPr>
            <w:r>
              <w:t xml:space="preserve">（0.011）</w:t>
            </w:r>
          </w:p>
        </w:tc>
        <w:tc>
          <w:tcPr>
            <w:tcW w:w="1650" w:type="dxa"/>
          </w:tcPr>
          <w:p>
            <w:pPr>
              <w:pStyle w:val="Compact"/>
              <w:jc w:val="center"/>
            </w:pPr>
            <w:r>
              <w:t xml:space="preserve">（0.009）</w:t>
            </w:r>
          </w:p>
        </w:tc>
        <w:tc>
          <w:tcPr>
            <w:tcW w:w="1650" w:type="dxa"/>
          </w:tcPr>
          <w:p>
            <w:pPr>
              <w:pStyle w:val="Compact"/>
              <w:jc w:val="center"/>
            </w:pPr>
            <w:r>
              <w:t xml:space="preserve">（0.016）</w:t>
            </w:r>
          </w:p>
        </w:tc>
      </w:tr>
      <w:tr>
        <w:trPr>
          <w:cantSplit/>
        </w:trPr>
        <w:tc>
          <w:tcPr>
            <w:tcW w:w="2600" w:type="dxa"/>
          </w:tcPr>
          <w:p>
            <w:pPr>
              <w:pStyle w:val="Compact"/>
              <w:jc w:val="left"/>
            </w:pPr>
            <w:r>
              <w:t xml:space="preserve">分组变量</w:t>
            </w:r>
          </w:p>
        </w:tc>
        <w:tc>
          <w:tcPr>
            <w:tcW w:w="1650" w:type="dxa"/>
          </w:tcPr>
          <w:p>
            <w:pPr>
              <w:pStyle w:val="Compact"/>
              <w:jc w:val="center"/>
            </w:pPr>
            <w:r>
              <w:t xml:space="preserve">农村</w:t>
            </w:r>
          </w:p>
        </w:tc>
        <w:tc>
          <w:tcPr>
            <w:tcW w:w="1650" w:type="dxa"/>
          </w:tcPr>
          <w:p>
            <w:pPr>
              <w:pStyle w:val="Compact"/>
              <w:jc w:val="center"/>
            </w:pPr>
            <w:r>
              <w:t xml:space="preserve">低收入</w:t>
            </w:r>
          </w:p>
        </w:tc>
        <w:tc>
          <w:tcPr>
            <w:tcW w:w="1650" w:type="dxa"/>
          </w:tcPr>
          <w:p>
            <w:pPr>
              <w:pStyle w:val="Compact"/>
              <w:jc w:val="center"/>
            </w:pPr>
            <w:r>
              <w:t xml:space="preserve">高教育</w:t>
            </w:r>
          </w:p>
        </w:tc>
        <w:tc>
          <w:tcPr>
            <w:tcW w:w="1650" w:type="dxa"/>
          </w:tcPr>
          <w:p>
            <w:pPr>
              <w:pStyle w:val="Compact"/>
              <w:jc w:val="center"/>
            </w:pPr>
            <w:r>
              <w:t xml:space="preserve">东部</w:t>
            </w:r>
          </w:p>
        </w:tc>
      </w:tr>
      <w:tr>
        <w:trPr>
          <w:cantSplit/>
        </w:trPr>
        <w:tc>
          <w:tcPr>
            <w:tcW w:w="2600" w:type="dxa"/>
          </w:tcPr>
          <w:p>
            <w:pPr>
              <w:pStyle w:val="Compact"/>
              <w:jc w:val="left"/>
            </w:pPr>
            <w:r>
              <w:t xml:space="preserve">控制变量</w:t>
            </w:r>
          </w:p>
        </w:tc>
        <w:tc>
          <w:tcPr>
            <w:tcW w:w="1650" w:type="dxa"/>
          </w:tcPr>
          <w:p>
            <w:pPr>
              <w:pStyle w:val="Compact"/>
              <w:jc w:val="center"/>
            </w:pPr>
            <w:r>
              <w:t xml:space="preserve">是</w:t>
            </w:r>
          </w:p>
        </w:tc>
        <w:tc>
          <w:tcPr>
            <w:tcW w:w="1650" w:type="dxa"/>
          </w:tcPr>
          <w:p>
            <w:pPr>
              <w:pStyle w:val="Compact"/>
              <w:jc w:val="center"/>
            </w:pPr>
            <w:r>
              <w:t xml:space="preserve">是</w:t>
            </w:r>
          </w:p>
        </w:tc>
        <w:tc>
          <w:tcPr>
            <w:tcW w:w="1650" w:type="dxa"/>
          </w:tcPr>
          <w:p>
            <w:pPr>
              <w:pStyle w:val="Compact"/>
              <w:jc w:val="center"/>
            </w:pPr>
            <w:r>
              <w:t xml:space="preserve">是</w:t>
            </w:r>
          </w:p>
        </w:tc>
        <w:tc>
          <w:tcPr>
            <w:tcW w:w="1650" w:type="dxa"/>
          </w:tcPr>
          <w:p>
            <w:pPr>
              <w:pStyle w:val="Compact"/>
              <w:jc w:val="center"/>
            </w:pPr>
            <w:r>
              <w:t xml:space="preserve">是</w:t>
            </w:r>
          </w:p>
        </w:tc>
      </w:tr>
      <w:tr>
        <w:trPr>
          <w:cantSplit/>
        </w:trPr>
        <w:tc>
          <w:tcPr>
            <w:tcW w:w="2600" w:type="dxa"/>
          </w:tcPr>
          <w:p>
            <w:pPr>
              <w:pStyle w:val="Compact"/>
              <w:jc w:val="left"/>
            </w:pPr>
            <w:r>
              <w:t xml:space="preserve">固定效应</w:t>
            </w:r>
          </w:p>
        </w:tc>
        <w:tc>
          <w:tcPr>
            <w:tcW w:w="1650" w:type="dxa"/>
          </w:tcPr>
          <w:p>
            <w:pPr>
              <w:pStyle w:val="Compact"/>
              <w:jc w:val="center"/>
            </w:pPr>
            <w:r>
              <w:t xml:space="preserve">是</w:t>
            </w:r>
          </w:p>
        </w:tc>
        <w:tc>
          <w:tcPr>
            <w:tcW w:w="1650" w:type="dxa"/>
          </w:tcPr>
          <w:p>
            <w:pPr>
              <w:pStyle w:val="Compact"/>
              <w:jc w:val="center"/>
            </w:pPr>
            <w:r>
              <w:t xml:space="preserve">是</w:t>
            </w:r>
          </w:p>
        </w:tc>
        <w:tc>
          <w:tcPr>
            <w:tcW w:w="1650" w:type="dxa"/>
          </w:tcPr>
          <w:p>
            <w:pPr>
              <w:pStyle w:val="Compact"/>
              <w:jc w:val="center"/>
            </w:pPr>
            <w:r>
              <w:t xml:space="preserve">是</w:t>
            </w:r>
          </w:p>
        </w:tc>
        <w:tc>
          <w:tcPr>
            <w:tcW w:w="1650" w:type="dxa"/>
          </w:tcPr>
          <w:p>
            <w:pPr>
              <w:pStyle w:val="Compact"/>
              <w:jc w:val="center"/>
            </w:pPr>
            <w:r>
              <w:t xml:space="preserve">是</w:t>
            </w:r>
          </w:p>
        </w:tc>
      </w:tr>
      <w:tr>
        <w:trPr>
          <w:cantSplit/>
        </w:trPr>
        <w:tc>
          <w:tcPr>
            <w:tcW w:w="2600" w:type="dxa"/>
          </w:tcPr>
          <w:p>
            <w:pPr>
              <w:pStyle w:val="Compact"/>
              <w:jc w:val="left"/>
            </w:pPr>
            <w:r>
              <w:t xml:space="preserve">观测值</w:t>
            </w:r>
          </w:p>
        </w:tc>
        <w:tc>
          <w:tcPr>
            <w:tcW w:w="1650" w:type="dxa"/>
          </w:tcPr>
          <w:p>
            <w:pPr>
              <w:pStyle w:val="Compact"/>
              <w:jc w:val="center"/>
            </w:pPr>
            <w:r>
              <w:t xml:space="preserve">30000</w:t>
            </w:r>
          </w:p>
        </w:tc>
        <w:tc>
          <w:tcPr>
            <w:tcW w:w="1650" w:type="dxa"/>
          </w:tcPr>
          <w:p>
            <w:pPr>
              <w:pStyle w:val="Compact"/>
              <w:jc w:val="center"/>
            </w:pPr>
            <w:r>
              <w:t xml:space="preserve">30000</w:t>
            </w:r>
          </w:p>
        </w:tc>
        <w:tc>
          <w:tcPr>
            <w:tcW w:w="1650" w:type="dxa"/>
          </w:tcPr>
          <w:p>
            <w:pPr>
              <w:pStyle w:val="Compact"/>
              <w:jc w:val="center"/>
            </w:pPr>
            <w:r>
              <w:t xml:space="preserve">30000</w:t>
            </w:r>
          </w:p>
        </w:tc>
        <w:tc>
          <w:tcPr>
            <w:tcW w:w="1650" w:type="dxa"/>
          </w:tcPr>
          <w:p>
            <w:pPr>
              <w:pStyle w:val="Compact"/>
              <w:jc w:val="center"/>
            </w:pPr>
            <w:r>
              <w:t xml:space="preserve">30000</w:t>
            </w:r>
          </w:p>
        </w:tc>
      </w:tr>
    </w:tbl>
    <w:p>
      <w:pPr>
        <w:pStyle w:val="BodyText"/>
        <w:jc w:val="left"/>
        <w:ind w:firstLine="0" w:firstLineChars="0"/>
      </w:pPr>
      <w:r>
        <w:rPr>
          <w:rFonts w:eastAsia="宋体" w:ascii="Times New Roman" w:hAnsi="Times New Roman"/>
          <w:sz w:val="18"/>
          <w:szCs w:val="18"/>
        </w:rPr>
        <w:t xml:space="preserve">注：各列分别在基准模型中加入相应分组变量及其与政策冲击的交互项。</w:t>
      </w:r>
    </w:p>
    <w:p>
      <w:pPr>
        <w:pStyle w:val="BodyText"/>
      </w:pPr>
      <w:r>
        <w:t xml:space="preserve">第一，城乡异质性。表4列（1）显示，</w:t>
      </w:r>
      <m:oMath>
        <m:r>
          <m:rPr>
            <m:nor/>
            <m:sty m:val="p"/>
          </m:rPr>
          <m:t>Post</m:t>
        </m:r>
      </m:oMath>
      <w:r>
        <w:t xml:space="preserve"> </w:t>
      </w:r>
      <w:r>
        <w:t xml:space="preserve">与农村家庭虚拟变量交互项的系数 为0.020**，显著为正。结果表明，数字基础设施建设对农村家庭创业的促进作用相对更强。可能的原因在于，农村地区在传统上面临更为严重的信息闭塞与金融排斥，数字基础设施的改善对其信息与融资约束的边际缓解作用更大。</w:t>
      </w:r>
    </w:p>
    <w:p>
      <w:pPr>
        <w:pStyle w:val="BodyText"/>
      </w:pPr>
      <w:r>
        <w:t xml:space="preserve">第二，收入异质性。表4列（2）以家庭收入是否低于样本均值进行分组。结果显示，交互项系数 为0.027**，显著为正，表明数字基础设施对低收入家庭创业的促进作用更为显著。这与低收入家庭在传统创业活动中面临更强融资约束的现实相符。</w:t>
      </w:r>
    </w:p>
    <w:p>
      <w:pPr>
        <w:pStyle w:val="BodyText"/>
      </w:pPr>
      <w:r>
        <w:t xml:space="preserve">第三，教育异质性。表4列（3）以户主是否接受过高等教育进行分组。结果显示，交互项系数 为-0.034***，显著为负，表明数字基础设施对受教育水平较低群体创业的促进作用相对更强，反映出数字基础设施在一定程度上弥补了人力资本的不足。</w:t>
      </w:r>
    </w:p>
    <w:p>
      <w:pPr>
        <w:pStyle w:val="BodyText"/>
      </w:pPr>
      <w:r>
        <w:t xml:space="preserve">第四，区域异质性。表4列（4）以是否位于东部地区进行分组。结果显示，</w:t>
      </w:r>
      <m:oMath>
        <m:r>
          <m:rPr>
            <m:nor/>
            <m:sty m:val="p"/>
          </m:rPr>
          <m:t>Post</m:t>
        </m:r>
      </m:oMath>
      <w:r>
        <w:t xml:space="preserve"> </w:t>
      </w:r>
      <w:r>
        <w:t xml:space="preserve">与东部地区虚拟变量交互项的系数 为0.013，在统计意义上并不显著，表明数字基础设施对家庭创业的促进作用在东部与中西部地区之间不存在显著差异。这一结果意味着，数字基础设施的创业效应在地理空间上具有较强的普遍性。</w:t>
      </w:r>
    </w:p>
    <w:p>
      <w:pPr>
        <w:pStyle w:val="BodyText"/>
      </w:pPr>
      <w:r>
        <w:t xml:space="preserve">综合异质性分析结果可以判断，数字基础设施建设对农村、低收入及受教育水平较低等传统创业活动中的弱势群体具有更强的赋能作用。这表明数字基础设施不仅是家庭创业的“助推器”，还发挥着创业机会“平衡器”的作用，有助于缩小创业机会的不平等，为促进包容性增长与共同富裕提供支撑。</w:t>
      </w:r>
    </w:p>
    <w:bookmarkEnd w:id="39"/>
    <w:bookmarkStart w:id="40" w:name="七结论与政策建议"/>
    <w:p>
      <w:pPr>
        <w:pStyle w:val="Heading2"/>
      </w:pPr>
      <w:r>
        <w:t xml:space="preserve">七、结论与政策建议</w:t>
      </w:r>
    </w:p>
    <w:p>
      <w:pPr>
        <w:pStyle w:val="FirstParagraph"/>
      </w:pPr>
      <w:r>
        <w:t xml:space="preserve">数字基础设施是数字经济时代的重要新型基础设施，其建设与普及深刻影响着家庭的创业行为。本文利用中国家庭追踪调查数据，借助“宽带中国”示范城市建设这一准自然实验，采用多期双重差分方法识别了数字基础设施建设对家庭创业的影响及其机制。研究发现：第一，数字基础设施建设显著提高了家庭创业概率，这一结论在经过事件研究、安慰剂检验、倾向得分匹配等一系列稳健性检验后依然成立；第二，数字基础设施主要通过增强信息获取能力、提高融资可得性与强化社会网络三个渠道促进家庭创业；第三，数字基础设施对农村家庭、低收入家庭及受教育水平较低群体的创业促进作用更为显著，具有明显的包容性特征。</w:t>
      </w:r>
    </w:p>
    <w:p>
      <w:pPr>
        <w:pStyle w:val="BodyText"/>
      </w:pPr>
      <w:r>
        <w:t xml:space="preserve">基于上述结论，本文提出如下政策建议。第一，持续推进数字基础设施建设，夯实数字经济时代的创业基础。应在巩固宽带网络覆盖的基础上，加快5G、千兆光网等新型基础设施的部署与升级，并通过提速降费降低家庭接入数字网络的成本，为大众创业提供坚实的基础设施支撑。第二，着力发挥数字基础设施缓解信息与融资约束的作用，畅通家庭创业的要素渠道。一方面，应完善数字化公共信息服务平台，为创业家庭提供更为便捷的市场信息、政策信息与技术信息；另一方面，应规范发展数字普惠金融，在防范风险的前提下拓宽创业家庭的融资渠道。第三，加大对农村与欠发达地区数字基础设施的投入力度，缩小城乡数字鸿沟。本文发现数字基础设施对弱势群体具有更强的赋能作用，这意味着向农村与中西部地区倾斜的数字基础设施投资，能够在促进创业的同时缩小机会不平等。应通过财政转移支付、普遍服务补偿等方式，推动优质数字基础设施向农村地区与中西部地区延伸，让更多家庭共享数字红利，为实现共同富裕奠定坚实基础。</w:t>
      </w:r>
    </w:p>
    <w:bookmarkEnd w:id="40"/>
    <w:bookmarkStart w:id="41" w:name="参考文献"/>
    <w:p>
      <w:pPr>
        <w:pStyle w:val="Heading2"/>
      </w:pPr>
      <w:r>
        <w:t xml:space="preserve">参考文献</w:t>
      </w:r>
    </w:p>
    <w:p>
      <w:pPr>
        <w:pStyle w:val="FirstParagraph"/>
      </w:pPr>
      <w:r>
        <w:t xml:space="preserve">［1］陈梦根，周元任. 数字经济、分享发展与共同富裕［J］. 数量经济技术经济研究，2023，（10）：5~26.</w:t>
      </w:r>
    </w:p>
    <w:p>
      <w:pPr>
        <w:pStyle w:val="BodyText"/>
      </w:pPr>
      <w:r>
        <w:t xml:space="preserve">［2］郭峰，王靖一，王芳，孔涛，张勋，程志云. 测度中国数字普惠金融发展：指数编制与空间特征［J］. 经济学（季刊），2020，（4）：1401~1418.</w:t>
      </w:r>
    </w:p>
    <w:p>
      <w:pPr>
        <w:pStyle w:val="BodyText"/>
      </w:pPr>
      <w:r>
        <w:t xml:space="preserve">［3］黄阳华，张佳佳，蔡宇涵，等. 居民数字化水平的增收与分配效应——来自中国家庭数字经济调查数据库的证据［J］. 中国工业经济，2023，（10）：23~41.</w:t>
      </w:r>
    </w:p>
    <w:p>
      <w:pPr>
        <w:pStyle w:val="BodyText"/>
      </w:pPr>
      <w:r>
        <w:t xml:space="preserve">［4］邱泽奇，乔天宇. 电商技术变革与农户共同发展［J］. 中国社会科学，2021，（10）：145~166+207.</w:t>
      </w:r>
    </w:p>
    <w:p>
      <w:pPr>
        <w:pStyle w:val="BodyText"/>
      </w:pPr>
      <w:r>
        <w:t xml:space="preserve">［5］万广华，宋婕，左丛民，等. 中国式现代化视域下数字经济的共同富裕效应：方法与证据［J］. 经济研究，2024，（6）：29~48.</w:t>
      </w:r>
    </w:p>
    <w:p>
      <w:pPr>
        <w:pStyle w:val="BodyText"/>
      </w:pPr>
      <w:r>
        <w:t xml:space="preserve">［6］王汉杰. 数字素养与农户收入：兼论数字不平等的形成［J］. 中国农村经济，2024，（3）：86~106.</w:t>
      </w:r>
    </w:p>
    <w:p>
      <w:pPr>
        <w:pStyle w:val="BodyText"/>
      </w:pPr>
      <w:r>
        <w:t xml:space="preserve">［7］张涛，李均超. 网络基础设施、包容性绿色增长与地区差距——基于双重机器学习的因果推断［J］. 数量经济技术经济研究，2023，（4）：113~135.</w:t>
      </w:r>
    </w:p>
    <w:p>
      <w:pPr>
        <w:pStyle w:val="BodyText"/>
      </w:pPr>
      <w:r>
        <w:t xml:space="preserve">［8］张勋，万广华，张佳佳，何宗樾. 数字经济、普惠金融与包容性增长［J］. 经济研究，2019，（8）：71~86.</w:t>
      </w:r>
    </w:p>
    <w:p>
      <w:pPr>
        <w:pStyle w:val="BodyText"/>
      </w:pPr>
      <w:r>
        <w:t xml:space="preserve">［9］赵涛，张智，梁上坤. 数字经济、创业活跃度与高质量发展——来自中国城市的经验证据［J］. 管理世界，2020，（10）：65~76.</w:t>
      </w:r>
    </w:p>
    <w:p>
      <w:pPr>
        <w:pStyle w:val="BodyText"/>
      </w:pPr>
      <w:r>
        <w:t xml:space="preserve">［10］周广肃，樊纲. 互联网使用与家庭创业选择——来自CFPS数据的验证［J］. 经济评论，2018，（5）：134~147.</w:t>
      </w:r>
    </w:p>
    <w:p>
      <w:pPr>
        <w:pStyle w:val="BodyText"/>
      </w:pPr>
      <w:r>
        <w:t xml:space="preserve">［11］Akerman A.， Gaarder I.， Mogstad M.， 2015， The Skill Complementarity of Broadband Internet ［J］， The Quarterly Journal of Economics， 130（4），1781~1824.</w:t>
      </w:r>
    </w:p>
    <w:p>
      <w:pPr>
        <w:pStyle w:val="BodyText"/>
      </w:pPr>
      <w:r>
        <w:t xml:space="preserve">［12］Evans D. S.， Jovanovic B.， 1989， An Estimated Model of Entrepreneurial Choice under Liquidity Constraints ［J］， Journal of Political Economy， 97（4），808~827.</w:t>
      </w:r>
    </w:p>
    <w:p>
      <w:pPr>
        <w:pStyle w:val="BodyText"/>
      </w:pPr>
      <w:r>
        <w:t xml:space="preserve">［13］Goldfarb A.， Tucker C.， 2019， Digital Economics ［J］， Journal of Economic Literature， 57（1），3~43.</w:t>
      </w:r>
    </w:p>
    <w:p>
      <w:pPr>
        <w:pStyle w:val="BodyText"/>
      </w:pPr>
      <w:r>
        <w:t xml:space="preserve">［14］Hjort J.， Poulsen J.， 2019， The Arrival of Fast Internet and Employment in Africa ［J］， American Economic Review， 109（3），1032~1079.</w:t>
      </w:r>
    </w:p>
    <w:bookmarkEnd w:id="41"/>
    <w:bookmarkStart w:id="42" w:name="X481d306e2d23fdd3cf44d42ab64e11bebf157cc"/>
    <w:p>
      <w:pPr>
        <w:pStyle w:val="Heading2"/>
      </w:pPr>
      <w:r>
        <w:t xml:space="preserve">Digital Infrastructure and Household Entrepreneurship: A Quasi-natural Experiment from the</w:t>
      </w:r>
      <w:r>
        <w:t xml:space="preserve"> </w:t>
      </w:r>
      <w:r>
        <w:t xml:space="preserve">“</w:t>
      </w:r>
      <w:r>
        <w:t xml:space="preserve">Broadband China</w:t>
      </w:r>
      <w:r>
        <w:t xml:space="preserve">”</w:t>
      </w:r>
      <w:r>
        <w:t xml:space="preserve"> </w:t>
      </w:r>
      <w:r>
        <w:t xml:space="preserve">Strategy</w:t>
      </w:r>
    </w:p>
    <w:p>
      <w:pPr>
        <w:pStyle w:val="FirstParagraph"/>
      </w:pPr>
      <w:r>
        <w:rPr>
          <w:bCs/>
          <w:b/>
        </w:rPr>
        <w:t xml:space="preserve">Summary：</w:t>
      </w:r>
      <w:r>
        <w:t xml:space="preserve"> </w:t>
      </w:r>
      <w:r>
        <w:t xml:space="preserve">Entrepreneurship is a key engine of economic growth, employment, and common prosperity, and digital infrastructure is profoundly reshaping the information environment and factor constraints faced by household entrepreneurship. Characterizing how digital infrastructure affects household entrepreneurship, and identifying the underlying mechanisms, is essential both for understanding the evolution of entrepreneurial behavior in the digital era and for leveraging new infrastructure to promote mass entrepreneurship and inclusive growth.</w:t>
      </w:r>
    </w:p>
    <w:p>
      <w:pPr>
        <w:pStyle w:val="BodyText"/>
      </w:pPr>
      <w:r>
        <w:t xml:space="preserve">This study conceptualizes digital infrastructure as a general purpose technology that lowers information costs and alleviates financing constraints, and extends the classic occupational-choice framework of household entrepreneurship accordingly. Using data from the China Family Panel Studies (CFPS) for 2012–2020, and exploiting the staggered rollout of</w:t>
      </w:r>
      <w:r>
        <w:t xml:space="preserve"> </w:t>
      </w:r>
      <w:r>
        <w:t xml:space="preserve">“</w:t>
      </w:r>
      <w:r>
        <w:t xml:space="preserve">Broadband China</w:t>
      </w:r>
      <w:r>
        <w:t xml:space="preserve">”</w:t>
      </w:r>
      <w:r>
        <w:t xml:space="preserve"> </w:t>
      </w:r>
      <w:r>
        <w:t xml:space="preserve">demonstration cities as a quasi-natural experiment, the study employs a multi-period difference-in-differences design to identify the causal effect of digital infrastructure construction on household entrepreneurship.</w:t>
      </w:r>
    </w:p>
    <w:p>
      <w:pPr>
        <w:pStyle w:val="BodyText"/>
      </w:pPr>
      <w:r>
        <w:t xml:space="preserve">The results reveal that digital infrastructure construction significantly increases the probability of household entrepreneurship. An event-study analysis confirms that treated and control households exhibit no significant differential trends prior to the policy, supporting the parallel-trends assumption, while the estimated effects rise gradually after the policy takes effect. These findings are robust to placebo tests, propensity-score-matching difference-in-differences, and the exclusion of contemporaneous policies.</w:t>
      </w:r>
    </w:p>
    <w:p>
      <w:pPr>
        <w:pStyle w:val="BodyText"/>
      </w:pPr>
      <w:r>
        <w:t xml:space="preserve">The study further investigates the mechanisms through which digital infrastructure promotes household entrepreneurship. Three channels are identified and empirically examined: an information channel, whereby digital infrastructure enhances households’ access to market information and lowers information asymmetry; a financing channel, whereby digital infrastructure improves households’ access to digital financial services and relaxes credit constraints; and a social-network channel, whereby digital infrastructure strengthens households’ social capital. Empirical tests confirm the existence of all three channels.</w:t>
      </w:r>
    </w:p>
    <w:p>
      <w:pPr>
        <w:pStyle w:val="BodyText"/>
      </w:pPr>
      <w:r>
        <w:t xml:space="preserve">Finally, the heterogeneity analysis shows that the positive impact of digital infrastructure on entrepreneurship is significantly stronger for rural households, low-income households, and those with lower educational attainment. These results indicate that digital infrastructure functions simultaneously as a</w:t>
      </w:r>
      <w:r>
        <w:t xml:space="preserve"> </w:t>
      </w:r>
      <w:r>
        <w:t xml:space="preserve">“</w:t>
      </w:r>
      <w:r>
        <w:t xml:space="preserve">catalyst</w:t>
      </w:r>
      <w:r>
        <w:t xml:space="preserve">”</w:t>
      </w:r>
      <w:r>
        <w:t xml:space="preserve"> </w:t>
      </w:r>
      <w:r>
        <w:t xml:space="preserve">for household entrepreneurship and as an</w:t>
      </w:r>
      <w:r>
        <w:t xml:space="preserve"> </w:t>
      </w:r>
      <w:r>
        <w:t xml:space="preserve">“</w:t>
      </w:r>
      <w:r>
        <w:t xml:space="preserve">equalizer</w:t>
      </w:r>
      <w:r>
        <w:t xml:space="preserve">”</w:t>
      </w:r>
      <w:r>
        <w:t xml:space="preserve"> </w:t>
      </w:r>
      <w:r>
        <w:t xml:space="preserve">of entrepreneurial opportunities, highlighting its inclusive potential. The findings provide micro-level evidence and policy implications for advancing new infrastructure construction, narrowing the urban–rural digital divide, and promoting common prosperity.</w:t>
      </w:r>
    </w:p>
    <w:p>
      <w:pPr>
        <w:pStyle w:val="BodyText"/>
      </w:pPr>
      <w:r>
        <w:rPr>
          <w:bCs/>
          <w:b/>
        </w:rPr>
        <w:t xml:space="preserve">Keywords：</w:t>
      </w:r>
      <w:r>
        <w:t xml:space="preserve"> </w:t>
      </w:r>
      <w:r>
        <w:t xml:space="preserve">Digital Infrastructure； Household Entrepreneurship； Information Cost； Financing Constraint； Difference-in-Differences</w:t>
      </w:r>
    </w:p>
    <w:p>
      <w:pPr>
        <w:pStyle w:val="BodyText"/>
      </w:pPr>
      <w:r>
        <w:rPr>
          <w:bCs/>
          <w:b/>
        </w:rPr>
        <w:t xml:space="preserve">JEL Classification：</w:t>
      </w:r>
      <w:r>
        <w:t xml:space="preserve"> </w:t>
      </w:r>
      <w:r>
        <w:t xml:space="preserve">L26； O33； D13</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mc:Ignorable="w14">
  <w:docDefaults>
    <w:rPrDefault>
      <w:rPr>
        <w:rFonts w:ascii="Times New Roman" w:cs="Times New Roman" w:eastAsia="宋体" w:hAnsi="Times New Roman"/>
        <w:sz w:val="21"/>
        <w:szCs w:val="21"/>
        <w:lang w:bidi="ar-SA" w:eastAsia="zh-CN" w:val="en-US"/>
      </w:rPr>
    </w:rPrDefault>
    <w:pPrDefault>
      <w:pPr>
        <w:spacing w:line="360" w:lineRule="exact"/>
        <w:jc w:val="both"/>
      </w:pPr>
    </w:pPrDefault>
  </w:docDefaults>
  <w:style w:default="1" w:styleId="Normal" w:type="paragraph">
    <w:name w:val="Normal"/>
    <w:qFormat/>
    <w:pPr>
      <w:spacing w:line="360" w:lineRule="exact"/>
      <w:ind w:firstLine="420" w:firstLineChars="200"/>
      <w:jc w:val="both"/>
    </w:pPr>
    <w:rPr>
      <w:rFonts w:ascii="Times New Roman" w:cs="Times New Roman" w:eastAsia="宋体" w:hAnsi="Times New Roman"/>
      <w:sz w:val="21"/>
      <w:szCs w:val="21"/>
    </w:rPr>
  </w:style>
  <w:style w:styleId="BodyText" w:type="paragraph">
    <w:name w:val="Body Text"/>
    <w:basedOn w:val="Normal"/>
  </w:style>
  <w:style w:styleId="FirstParagraph" w:type="paragraph">
    <w:name w:val="First Paragraph"/>
    <w:basedOn w:val="Normal"/>
  </w:style>
  <w:style w:styleId="Compact" w:type="paragraph">
    <w:name w:val="Compact"/>
    <w:basedOn w:val="Normal"/>
  </w:style>
  <w:style w:default="1" w:styleId="DefaultParagraphFont" w:type="character">
    <w:name w:val="Default Paragraph Font"/>
  </w:style>
  <w:style w:styleId="Heading1" w:type="paragraph">
    <w:name w:val="heading 1"/>
    <w:basedOn w:val="Normal"/>
    <w:next w:val="Normal"/>
    <w:qFormat/>
    <w:pPr>
      <w:keepNext/>
      <w:spacing w:after="120" w:before="180" w:line="360" w:lineRule="exact"/>
      <w:ind w:firstLine="0" w:firstLineChars="0"/>
      <w:jc w:val="center"/>
      <w:outlineLvl w:val="0"/>
    </w:pPr>
    <w:rPr>
      <w:rFonts w:ascii="Times New Roman" w:cs="Times New Roman" w:eastAsia="黑体" w:hAnsi="Times New Roman"/>
      <w:b/>
      <w:bCs/>
      <w:sz w:val="24"/>
      <w:szCs w:val="24"/>
    </w:rPr>
  </w:style>
  <w:style w:styleId="Heading2" w:type="paragraph">
    <w:name w:val="heading 2"/>
    <w:basedOn w:val="Normal"/>
    <w:next w:val="Normal"/>
    <w:qFormat/>
    <w:pPr>
      <w:keepNext/>
      <w:spacing w:after="120" w:before="180" w:line="360" w:lineRule="exact"/>
      <w:ind w:firstLine="0" w:firstLineChars="0"/>
      <w:jc w:val="center"/>
      <w:outlineLvl w:val="1"/>
    </w:pPr>
    <w:rPr>
      <w:rFonts w:ascii="Times New Roman" w:cs="Times New Roman" w:eastAsia="黑体" w:hAnsi="Times New Roman"/>
      <w:b/>
      <w:bCs/>
      <w:sz w:val="22"/>
      <w:szCs w:val="22"/>
    </w:rPr>
  </w:style>
  <w:style w:styleId="Heading3" w:type="paragraph">
    <w:name w:val="heading 3"/>
    <w:basedOn w:val="Normal"/>
    <w:next w:val="Normal"/>
    <w:qFormat/>
    <w:pPr>
      <w:keepNext/>
      <w:spacing w:after="60" w:before="60" w:line="360" w:lineRule="exact"/>
      <w:ind w:firstLine="420" w:firstLineChars="200"/>
      <w:jc w:val="both"/>
      <w:outlineLvl w:val="2"/>
    </w:pPr>
    <w:rPr>
      <w:rFonts w:ascii="Times New Roman" w:cs="Times New Roman" w:eastAsia="楷体" w:hAnsi="Times New Roman"/>
      <w:b/>
      <w:bCs/>
      <w:sz w:val="21"/>
      <w:szCs w:val="21"/>
    </w:rPr>
  </w:style>
  <w:style w:styleId="Heading4" w:type="paragraph">
    <w:name w:val="heading 4"/>
    <w:basedOn w:val="Normal"/>
    <w:next w:val="Normal"/>
    <w:qFormat/>
    <w:pPr>
      <w:spacing w:line="360" w:lineRule="exact"/>
      <w:ind w:firstLine="420" w:firstLineChars="200"/>
      <w:outlineLvl w:val="3"/>
    </w:pPr>
    <w:rPr>
      <w:rFonts w:eastAsia="宋体"/>
      <w:b/>
      <w:bCs/>
      <w:sz w:val="21"/>
      <w:szCs w:val="21"/>
    </w:rPr>
  </w:style>
  <w:style w:default="1" w:styleId="TableNormal" w:type="table">
    <w:name w:val="Normal Table"/>
    <w:tblPr>
      <w:tblCellMar>
        <w:top w:type="dxa" w:w="28"/>
        <w:left w:type="dxa" w:w="80"/>
        <w:bottom w:type="dxa" w:w="28"/>
        <w:right w:type="dxa" w:w="80"/>
      </w:tblCellMar>
    </w:tblPr>
  </w:style>
  <w:style w:styleId="Caption" w:type="paragraph">
    <w:name w:val="Caption"/>
    <w:basedOn w:val="Normal"/>
    <w:qFormat/>
    <w:pPr>
      <w:spacing w:line="360" w:lineRule="exact"/>
      <w:ind w:firstLine="0" w:firstLineChars="0"/>
      <w:jc w:val="center"/>
    </w:pPr>
    <w:rPr>
      <w:rFonts w:eastAsia="黑体"/>
      <w:sz w:val="18"/>
      <w:szCs w:val="18"/>
    </w:rPr>
  </w:style>
  <w:style w:styleId="FootnoteText" w:type="paragraph">
    <w:name w:val="footnote text"/>
    <w:basedOn w:val="Normal"/>
    <w:pPr>
      <w:snapToGrid w:val="0"/>
      <w:spacing w:line="240" w:lineRule="auto"/>
      <w:ind w:firstLine="0" w:firstLineChars="0"/>
    </w:pPr>
    <w:rPr>
      <w:sz w:val="18"/>
      <w:szCs w:val="18"/>
    </w:rPr>
  </w:style>
  <w:style w:styleId="FootnoteReference" w:type="character">
    <w:name w:val="footnote reference"/>
    <w:rPr>
      <w:vertAlign w:val="superscript"/>
    </w:rPr>
  </w:style>
  <w:style w:styleId="Figure" w:type="paragraph">
    <w:name w:val="Figure"/>
    <w:basedOn w:val="Normal"/>
    <w:pPr>
      <w:spacing w:line="360" w:lineRule="exact"/>
      <w:ind w:firstLine="0" w:firstLineChars="0"/>
      <w:jc w:val="center"/>
    </w:pPr>
  </w:style>
  <w:style w:styleId="ImageCaption" w:type="paragraph">
    <w:name w:val="Image Caption"/>
    <w:basedOn w:val="Caption"/>
  </w:style>
  <w:style w:styleId="BlockText" w:type="paragraph">
    <w:name w:val="Block Text"/>
    <w:basedOn w:val="Normal"/>
  </w:style>
  <w:style w:styleId="AbstractTitle" w:type="paragraph">
    <w:name w:val="Abstract Title"/>
    <w:basedOn w:val="Normal"/>
    <w:pPr>
      <w:jc w:val="center"/>
      <w:ind w:firstLine="0" w:firstLineChars="0"/>
    </w:pPr>
    <w:rPr>
      <w:rFonts w:eastAsia="黑体"/>
      <w:b/>
    </w:rPr>
  </w:style>
  <w:style w:styleId="Abstract" w:type="paragraph">
    <w:name w:val="Abstract"/>
    <w:basedOn w:val="Normal"/>
  </w:style>
  <w:style w:styleId="VerbatimChar" w:type="character">
    <w:name w:val="Verbatim Char"/>
    <w:rPr>
      <w:rFonts w:ascii="Times New Roman" w:hAnsi="Times New Roman"/>
    </w:rPr>
  </w:style>
  <w:style w:styleId="Bibliography" w:type="paragraph">
    <w:name w:val="Bibliography"/>
    <w:basedOn w:val="Normal"/>
    <w:pPr>
      <w:ind w:firstLine="0" w:firstLineChars="0" w:hanging="0" w:left="0"/>
    </w:pPr>
    <w:rPr>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9" Target="media/rId29.png" /><Relationship Type="http://schemas.openxmlformats.org/officeDocument/2006/relationships/image" Id="rId32" Target="media/rId3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2026-07-05T17:14:12Z</dcterms:created>
  <dcterms:modified xsi:type="dcterms:W3CDTF">2026-07-05T17:14:12Z</dcterms:modified>
</cp:coreProperties>
</file>

<file path=docProps/custom.xml><?xml version="1.0" encoding="utf-8"?>
<Properties xmlns="http://schemas.openxmlformats.org/officeDocument/2006/custom-properties" xmlns:vt="http://schemas.openxmlformats.org/officeDocument/2006/docPropsVTypes"/>
</file>