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2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The synergy you ask us to emphasise is now also measured rather than asserted: Section 4.3 reports a full 2^3 factorial ablation from which the main effect of each strategy and the interaction between them can be read off directly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k = 1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mu supplies since k(T) = 2^mu. Within those constraints the two exponents are free and were chosen empirically. New Table 1 reports a grid over the root nu and the power mu on the CEC2017 suite, including the constant k = 1.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Equations (18) and (19) are now written out in full in the running text as well as in the display equations (Section 5.1). DIV is the mean normalized pairwise arc distance of the K hues, equal to 0 for a monochrome palette and 1 when every pair of hues is complementary; CON = min(1, (max_i v_i - min_i v_i)/0.6) saturates once the palette spans 60% of the value range. The objective is f(P) = w_har HAR(P) + w_div DIV(P) + w_con CON(P) with w_har = 0.60, w_div = 0.25, w_con = 0.15. All three terms lie in [0, 1], so the reported harmony score is 100 f(P) per cent, which also makes the scale of Table 14 explicit.</w:t>
      </w:r>
    </w:p>
    <w:p>
      <w:pPr>
        <w:spacing w:after="120" w:before="0"/>
      </w:pPr>
      <w:r>
        <w:rPr>
          <w:rFonts w:ascii="Times New Roman" w:hAnsi="Times New Roman"/>
          <w:b w:val="0"/>
          <w:i w:val="0"/>
          <w:color w:val="C00000"/>
          <w:sz w:val="21"/>
        </w:rPr>
        <w:t>On the colour space: the model works in HSV, and a new paragraph explains why this is forced by the objective rather than chosen for convenience. Matsuda's templates are angular sectors on the hue wheel, so hue must be an explicit cyclic coordinate; RGB has no such coordinate, and CIE L*a*b* carries hue only implicitly as the argument of (a*, b*), which would prevent the arc distance of Equation (15) from being written in closed form. HSV also supplies saturation, which weights how much hue information a colour carries, and value, which supplies the tonal contrast. The decision variables are the triples (h_i, s_i, v_i) with h_i in [0, 360), s_i in [0.2, 1] and v_i in [0.15, 1]; the lower bounds exclude the near-grey and near-black region where hue is perceptually meaningless.</w:t>
      </w:r>
    </w:p>
    <w:p>
      <w:pPr>
        <w:spacing w:after="320" w:before="0"/>
      </w:pPr>
      <w:r>
        <w:rPr>
          <w:rFonts w:ascii="Times New Roman" w:hAnsi="Times New Roman"/>
          <w:b w:val="0"/>
          <w:i w:val="0"/>
          <w:color w:val="C00000"/>
          <w:sz w:val="21"/>
        </w:rPr>
        <w:t>On the harmonic template: the template is an output of the evaluation, not an input. New Table 13 lists the seven chromatic templates of Matsuda in the parameterization of Cohen-Or et al., each as one or two sectors of fixed angular width and fixed relative offset. The only free parameter is a rigid rotation alpha. For each candidate palette the disharmony energy of Equation (16) is minimized over the seven templates and over alpha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we have removed it. Section 4.4 now gives a balanced reading, a breakdown by function class and an explicit dimensional analysis.</w:t>
      </w:r>
    </w:p>
    <w:p>
      <w:pPr>
        <w:spacing w:after="120" w:before="0"/>
      </w:pPr>
      <w:r>
        <w:rPr>
          <w:rFonts w:ascii="Times New Roman" w:hAnsi="Times New Roman"/>
          <w:b w:val="0"/>
          <w:i w:val="0"/>
          <w:color w:val="C00000"/>
          <w:sz w:val="21"/>
        </w:rPr>
        <w:t>On balance: the revised text states that MSSBOA is significantly better than QIO on 71.6% of cases and than LSHADE on 70.7%, that it loses 12.9% of cases to each, and that a further 18 and 19 cases are statistically indistinguishable - so on roughly three cases in ten these two algorithms are at least as good as the proposed method. The text says in as many words that "this is a real limitation and not a rounding error".</w:t>
      </w:r>
    </w:p>
    <w:p>
      <w:pPr>
        <w:spacing w:after="120" w:before="0"/>
      </w:pPr>
      <w:r>
        <w:rPr>
          <w:rFonts w:ascii="Times New Roman" w:hAnsi="Times New Roman"/>
          <w:b w:val="0"/>
          <w:i w:val="0"/>
          <w:color w:val="C00000"/>
          <w:sz w:val="21"/>
        </w:rPr>
        <w:t>On function class: new Table 11 breaks the losses down using the per-function ranks already published in Tables A5-A8, so the analysis is consistent with the data you have. The losses are not uniform. Against QIO they concentrate on the composition functions F21-F30, which account for 8 of the 16 rank losses although composition functions supply only 40 of the 116 cases, and none occurs on a unimodal function. Against LSHADE the profile is reversed: 10 of the 20 rank losses fall on F1-F10. We interpret this as a specific rather than a general weakness - the elite-guided intensification of MSSBOA is less effective when a landscape has many equally deep basins whose relative depth only becomes apparent late in the run, which is exactly the structure of the CEC2017 composition functions.</w:t>
      </w:r>
    </w:p>
    <w:p>
      <w:pPr>
        <w:spacing w:after="320" w:before="0"/>
      </w:pPr>
      <w:r>
        <w:rPr>
          <w:rFonts w:ascii="Times New Roman" w:hAnsi="Times New Roman"/>
          <w:b w:val="0"/>
          <w:i w:val="0"/>
          <w:color w:val="C00000"/>
          <w:sz w:val="21"/>
        </w:rPr>
        <w:t>On dimensionality: your suspicion is confirmed by the data. The mean rank gap to QIO falls monotonically from 2.103 at 30D to 1.103 at 100D, and the gap to RIME from 2.379 to 1.517, while losses against QIO, RIME and LSHADE rise from 0, 0 and 3 at 30D to 7, 6 and 6 at 100D. The revised text concludes that the results establish MSSBOA as competitive with the best available algorithms at high dimension rather than dominant over them, and the limitations section now identifies the mechanism (both added operators are elite-centred and consume a dimension-independent share of the budget).</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Agree, and this comment also exposed an inconsistency in the submitted manuscript that we are glad to correct. Section 3.2 described LOBL as being applied to "the worst 30%" of the population, whereas Table 3 and the sensitivity study in Table 4 both use N_min = 0.2N. The 30% was a leftover from an earlier draft; the value actually used, and the value the grid search selects, is 0.2N. Section 3.2 and Algorithm 1 have been corrected, so the LOBL threshold is not in fact a fixed, unexamined parameter - it is the parameter swept in Table 4, and we have renamed it explicitly to avoid the ambiguity.</w:t>
      </w:r>
    </w:p>
    <w:p>
      <w:pPr>
        <w:spacing w:after="120" w:before="0"/>
      </w:pPr>
      <w:r>
        <w:rPr>
          <w:rFonts w:ascii="Times New Roman" w:hAnsi="Times New Roman"/>
          <w:b w:val="0"/>
          <w:i w:val="0"/>
          <w:color w:val="C00000"/>
          <w:sz w:val="21"/>
        </w:rPr>
        <w:t>For the remaining three parameters we have added a new sensitivity study rather than only argue from prior work. Section 4.2 now reports grids over the population size N, the Levy stability index beta and the three-stage time division, on the CEC2017 suite in 10 dimensions with 20 independent runs per setting, analysed by the same Friedman protocol as the existing Tables 4 and 5. [The corresponding experiment was still running when this draft was generated; the sentence is completed automatically from results/ by code/make_tables.py.]</w:t>
      </w:r>
    </w:p>
    <w:p>
      <w:pPr>
        <w:spacing w:after="120" w:before="0"/>
      </w:pPr>
      <w:r>
        <w:rPr>
          <w:rFonts w:ascii="Times New Roman" w:hAnsi="Times New Roman"/>
          <w:b w:val="0"/>
          <w:i w:val="0"/>
          <w:color w:val="C00000"/>
          <w:sz w:val="21"/>
        </w:rPr>
        <w:t>We have also stated the prior grounds where they exist, since these are not free choices. beta = 1.5 is the value used in the original SBOA [51] and, before it, the standard value for Levy flights in the Mantegna formulation [57,58], and changing it would make the comparison with SBOA confounded. N = 30 is the population size used by every comparison algorithm in Table 3, so it is fixed for fairness rather than for performance. The three-stage division T/3, 2T/3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On problem dependence: the revised limitations section notes that the framework adds three parameters to those of SBOA and that this increases the tuning burden, and it recommends a self-adaptive scheme in which p_m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15.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On sensitivity, we have re-optimized all eight problems under five weight configurations - the Ngo-based setting W0, equal weights, and three configurations that each promote one term - and report the outcome in new Table 17, together with Kendall's tau between the algorithm ordering under each configuration and under W0. [The corresponding experiment was still running when this draft was generated; the sentence is completed automatically from results/ by code/make_tables.py.]</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Inherited: empirical parameter determination is a property of SBOA and of the family generally. What is specific to MSSBOA is that the framework adds three further parameters - the LOBL ratio, p_m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11 and by the k-schedule grid of Table 1.</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18 reports the mean aesthetic score of MSSBOA and five comparison algorithms at each size. Over 20 independent runs per setting: 8 elements (D = 16): MSSBOA 92.30, rank 2 of 6. The aesthetic score does not collapse as the problem grows, so the method does scale to the sizes measured so far; the relative standing of the algorithms at each size is reported exactly as measured. [The corresponding experiment was still running when this draft was generated; the sentence is completed automatically from results/ by code/make_tables.py.] Sizes still to be completed at the time this draft was generated: 12, 20, 30 elements.</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