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36"/>
        </w:rPr>
        <w:t>标准词元与智能经济</w:t>
      </w:r>
    </w:p>
    <w:p>
      <w:pPr>
        <w:jc w:val="center"/>
      </w:pPr>
      <w:r>
        <w:rPr>
          <w:rFonts w:ascii="黑体" w:hAnsi="黑体" w:eastAsia="黑体"/>
          <w:b/>
          <w:sz w:val="36"/>
        </w:rPr>
        <w:t>——Token的价值计量、定价机制与配置效率研究</w:t>
      </w:r>
    </w:p>
    <w:p/>
    <w:p/>
    <w:p/>
    <w:p/>
    <w:p/>
    <w:p/>
    <w:p>
      <w:pPr>
        <w:jc w:val="center"/>
      </w:pPr>
      <w:r>
        <w:rPr>
          <w:rFonts w:ascii="宋体" w:hAnsi="宋体" w:eastAsia="宋体"/>
          <w:sz w:val="28"/>
        </w:rPr>
        <w:t>蔡鑫宇  著</w:t>
      </w:r>
    </w:p>
    <w:p>
      <w:r>
        <w:br w:type="page"/>
      </w:r>
    </w:p>
    <w:p>
      <w:pPr>
        <w:keepNext/>
        <w:spacing w:before="240" w:after="160" w:line="360" w:lineRule="auto"/>
        <w:jc w:val="center"/>
        <w:outlineLvl w:val="0"/>
      </w:pPr>
      <w:r>
        <w:rPr>
          <w:rFonts w:ascii="黑体" w:hAnsi="黑体" w:eastAsia="黑体"/>
          <w:b/>
          <w:sz w:val="30"/>
        </w:rPr>
        <w:t>目  录</w:t>
      </w:r>
    </w:p>
    <w:p>
      <w:fldSimple w:instr="TOC \o &quot;1-2&quot; \h \z \u">
        <w:r>
          <w:t>（在 Word 中右键此处选择“更新域”生成目录）</w:t>
        </w:r>
      </w:fldSimple>
    </w:p>
    <w:p>
      <w:r>
        <w:br w:type="page"/>
      </w:r>
    </w:p>
    <w:p>
      <w:pPr>
        <w:keepNext/>
        <w:spacing w:before="240" w:after="160" w:line="360" w:lineRule="auto"/>
        <w:jc w:val="center"/>
        <w:outlineLvl w:val="0"/>
      </w:pPr>
      <w:r>
        <w:rPr>
          <w:rFonts w:ascii="黑体" w:hAnsi="黑体" w:eastAsia="黑体"/>
          <w:b/>
          <w:sz w:val="30"/>
        </w:rPr>
        <w:t>内容摘要</w:t>
      </w:r>
    </w:p>
    <w:p>
      <w:pPr>
        <w:spacing w:line="360" w:lineRule="auto" w:after="0"/>
        <w:ind w:firstLineChars="200" w:firstLine="480"/>
        <w:jc w:val="both"/>
      </w:pPr>
      <w:r>
        <w:rPr>
          <w:rFonts w:ascii="宋体" w:hAnsi="宋体" w:eastAsia="宋体"/>
          <w:sz w:val="24"/>
        </w:rPr>
        <w:t>以大语言模型为代表的新一轮人工智能革命，正在把经济形态由数字经济推向智能经济。2026年3月，全国科学技术名词审定委员会发布公告，优先推荐并面向全社会发布试用人工智能领域名词token的中文名“词元”；同月，国家数据局负责人在中国发展高层论坛年会上提出词元具有可计量、可定价、可交易的特征，是“智能时代的价值锚点”。人工智能由模型能力的竞争进一步转向词元生产能力的竞争：数据中心不再只是存储数据的仓库，而正在演变为生产智能产出的“词元工厂”；我国日均词元调用量由2024年初的1000亿枚增至2026年3月的140万亿枚以上、两年增长约1400倍；苏州、嘉兴、温州、广州、上海等地相继设立城市级词元运营中心或将词元消耗纳入企业技术改造补贴，词元由模型服务的计价单位演变为城市公共基础设施。然而，这一高速扩张建立在一个尚未解决的计量地基之上：同样数量的词元，由不同规模的模型在不同任务中生成，其算力消耗与信息含量可以相差十倍乃至百倍。物理词元并不等值。计量不等值，则定价缺乏公允基准、补贴缺乏核定依据、统计缺乏可加口径、出海缺乏互认凭证——这正是词元经济从技术概念走向经济制度所必须跨越的第一道门槛。</w:t>
      </w:r>
    </w:p>
    <w:p>
      <w:pPr>
        <w:spacing w:line="360" w:lineRule="auto" w:after="0"/>
        <w:ind w:firstLineChars="200" w:firstLine="480"/>
        <w:jc w:val="both"/>
      </w:pPr>
      <w:r>
        <w:rPr>
          <w:rFonts w:ascii="宋体" w:hAnsi="宋体" w:eastAsia="宋体"/>
          <w:sz w:val="24"/>
        </w:rPr>
        <w:t>本书由此提出全书的核心命题：词元是智能经济的计量单位，但物理词元不是合格的价值单位；只有经效值折算得到的“标准词元”，才能承担价值尺度、定价基准、配置信号与增长核算变量这四重经济职能。围绕这一命题，本书沿“计量—定价—配置”的主线展开。在计量层面，本书借鉴能源经济学“标准煤”、航运业“标准箱”与气候核算“二氧化碳当量”的当量化传统，构建以算力强度、推理质量与场景效用三维合成的标准词元折算体系，给出基准归一、单调性、可加性与传递一致性四条公理，并证明公理约束下折算函数的形式限制；实证显示，折算可使单位价格的变异系数由0.92降至0.31，异质词元由此获得可比、可加的共同尺度。在定价层面，本书把词元价格分解为成本底价层、效值溢价层与场景租金层，据此解释“通用词元价格持续下行”与“高效值词元溢价扩大”并存的结构性分化；编制的词元价格指数与标准词元价格指数显示，两年间79%的表观降价中约53%来自效值提升而非真实降价——这一发现对补贴核定与统计核算具有直接意义。在配置层面，本书构建算力向有效标准词元的转化函数，将“智算利用率仅五至七成而算力仍在扩建”的悖论分解为空转、批次、匹配与效值四项损失，证明统一调度经任务—模型最优匹配可获得的效率改进上界；并以平台—企业—政府三方演化博弈刻画城市词元运营中心的制度逻辑，求解“五个统一”安排的激励相容条件与财政补贴的退出条件。最后，本书把标准词元流量作为可观测变量引入智能经济生产函数，将人工智能的增长贡献从索洛残差中显性分离，回应索洛生产率悖论在人工智能时代的再现。</w:t>
      </w:r>
    </w:p>
    <w:p>
      <w:pPr>
        <w:spacing w:line="360" w:lineRule="auto" w:after="0"/>
        <w:ind w:firstLineChars="200" w:firstLine="480"/>
        <w:jc w:val="both"/>
      </w:pPr>
      <w:r>
        <w:rPr>
          <w:rFonts w:ascii="宋体" w:hAnsi="宋体" w:eastAsia="宋体"/>
          <w:sz w:val="24"/>
        </w:rPr>
        <w:t>本书的研究表明：词元经济的当务之急不是继续扩大算力规模，而是补齐计量、定价与调度三项制度基础设施；标准词元的建立既是一项计量技术，更是一项市场制度，它决定了智能能力能否像电力一样被公平计价、有效配置与可靠核算。本书可供数字经济学、产业组织与技术经济研究者，各级数据与经信主管部门，算力与模型服务运营机构，以及关注人工智能商业化的企业管理者阅读参考。</w:t>
      </w:r>
    </w:p>
    <w:p>
      <w:r>
        <w:br w:type="page"/>
      </w:r>
    </w:p>
    <w:p>
      <w:pPr>
        <w:keepNext/>
        <w:spacing w:before="240" w:after="160" w:line="360" w:lineRule="auto"/>
        <w:jc w:val="center"/>
        <w:outlineLvl w:val="0"/>
      </w:pPr>
      <w:r>
        <w:rPr>
          <w:rFonts w:ascii="黑体" w:hAnsi="黑体" w:eastAsia="黑体"/>
          <w:b/>
          <w:sz w:val="30"/>
        </w:rPr>
        <w:t>前  言</w:t>
      </w:r>
    </w:p>
    <w:p>
      <w:pPr>
        <w:spacing w:line="360" w:lineRule="auto" w:after="0"/>
        <w:ind w:firstLineChars="200" w:firstLine="480"/>
        <w:jc w:val="both"/>
      </w:pPr>
      <w:r>
        <w:rPr>
          <w:rFonts w:ascii="宋体" w:hAnsi="宋体" w:eastAsia="宋体"/>
          <w:sz w:val="24"/>
        </w:rPr>
        <w:t>每一个经济时代都有属于自己的计量单位。农业时代计量劳动的是工时，工业时代计量能量的是千瓦时，数字时代计量信息的是字节。当人工智能开始大规模地替代与增强人类的认知劳动时，一个新的问题随之出现：智能本身该如何计量？词元给出了迄今为止最接近答案的候选——它是模型处理信息的基本粒度，是智能服务计费的通行依据，也是连接算力、模型与应用的核心接口。全国科学技术名词审定委员会为它定下中文推荐名“词元”并发布试用，国家数据局则把它称作“智能时代的价值锚点”——这个原本纯粹的技术概念，就此进入经济治理的视野。</w:t>
      </w:r>
    </w:p>
    <w:p>
      <w:pPr>
        <w:spacing w:line="360" w:lineRule="auto" w:after="0"/>
        <w:ind w:firstLineChars="200" w:firstLine="480"/>
        <w:jc w:val="both"/>
      </w:pPr>
      <w:r>
        <w:rPr>
          <w:rFonts w:ascii="宋体" w:hAnsi="宋体" w:eastAsia="宋体"/>
          <w:sz w:val="24"/>
        </w:rPr>
        <w:t>但把词元当作计量单位来用，很快会遇到一个尴尬：千瓦时之所以能计量能量，是因为一度电就是一度电，不因发电方式而改变；字节之所以能计量信息，是因为一个字节就是八个比特，不因存储介质而改变。词元却不然。同样一万枚词元，由轻量模型生成还是由推理增强模型生成，其背后的算力消耗、信息含量与经济价值可以相差一个数量级。当我们说“今天调用了140万亿枚词元”，这句话的经济含义其实是模糊的——正如在标准煤概念出现之前，说“今天消耗了一万吨燃料”一样模糊。能源经济学用标准煤解决了这个问题，航运业用标准箱解决了这个问题，气候核算用二氧化碳当量解决了这个问题。词元经济也需要属于自己的当量。这就是本书写作的起点。</w:t>
      </w:r>
    </w:p>
    <w:p>
      <w:pPr>
        <w:spacing w:line="360" w:lineRule="auto" w:after="0"/>
        <w:ind w:firstLineChars="200" w:firstLine="480"/>
        <w:jc w:val="both"/>
      </w:pPr>
      <w:r>
        <w:rPr>
          <w:rFonts w:ascii="宋体" w:hAnsi="宋体" w:eastAsia="宋体"/>
          <w:sz w:val="24"/>
        </w:rPr>
        <w:t>本书的另一重关切来自现实。笔者所在的嘉兴，是国家算力枢纽节点城市，集聚了四个万卡级算力中心，算力规模占浙江省六成以上；2026年7月，长三角（嘉兴）Token运营中心由一家传统城建投资型国企运营启动。一家过去修路建桥的公司开始“卖词元”，这个看似突兀的转身，恰恰揭示了词元经济的基础设施属性：它需要土地、电力、机房、带宽，也需要计量、结算、审计与信任——前者是城投的存量资产，后者是市场亟缺的公共品。与此同时，苏州以运营商为主体做出海联盟，温州以数据集团做绿色词元，广州以数据交易所做市场组织方，上海把词元消耗写进技术改造补贴目录。五座城市、五种主体、五种打法，为经济学研究提供了难得的制度实验场。本书的第10章与第13章正是围绕这一实验场展开的。</w:t>
      </w:r>
    </w:p>
    <w:p>
      <w:pPr>
        <w:spacing w:line="360" w:lineRule="auto" w:after="0"/>
        <w:ind w:firstLineChars="200" w:firstLine="480"/>
        <w:jc w:val="both"/>
      </w:pPr>
      <w:r>
        <w:rPr>
          <w:rFonts w:ascii="宋体" w:hAnsi="宋体" w:eastAsia="宋体"/>
          <w:sz w:val="24"/>
        </w:rPr>
        <w:t>需要说明的是，书中的模型估计与情景模拟结果，基于作者构建的词元服务面板数据、模型效值测试集与公开统计校准复算得到，旨在完整展示方法体系的应用逻辑；书中对模型档位一律使用类别名而非具体产品名，以避免把校准复算值挂靠到特定商业产品之上。相关数字随数据扩充与方法改进仍会更新，请读者以方法论的眼光看待。词元经济是一个正在剧烈演化的对象，本书写作期间，价格、调用量与制度安排都在以月为单位变化，书中难免有疏漏与不当之处，敬请学界同仁与广大读者批评指正。</w:t>
      </w:r>
    </w:p>
    <w:p>
      <w:pPr>
        <w:spacing w:line="360" w:lineRule="auto" w:after="0"/>
        <w:jc w:val="right"/>
      </w:pPr>
      <w:r>
        <w:rPr>
          <w:rFonts w:ascii="宋体" w:hAnsi="宋体" w:eastAsia="宋体"/>
          <w:sz w:val="24"/>
        </w:rPr>
        <w:t>蔡鑫宇</w:t>
      </w:r>
    </w:p>
    <w:p>
      <w:pPr>
        <w:spacing w:line="360" w:lineRule="auto" w:after="0"/>
        <w:jc w:val="right"/>
      </w:pPr>
      <w:r>
        <w:rPr>
          <w:rFonts w:ascii="宋体" w:hAnsi="宋体" w:eastAsia="宋体"/>
          <w:sz w:val="24"/>
        </w:rPr>
        <w:t>2026年8月于嘉兴</w:t>
      </w:r>
    </w:p>
    <w:p>
      <w:r>
        <w:br w:type="page"/>
      </w:r>
    </w:p>
    <w:p>
      <w:pPr>
        <w:keepNext/>
        <w:spacing w:before="240" w:after="160" w:line="360" w:lineRule="auto"/>
        <w:jc w:val="center"/>
        <w:outlineLvl w:val="0"/>
      </w:pPr>
      <w:r>
        <w:rPr>
          <w:rFonts w:ascii="黑体" w:hAnsi="黑体" w:eastAsia="黑体"/>
          <w:b/>
          <w:sz w:val="30"/>
        </w:rPr>
        <w:t>第1章  导论：从数据经济到词元经济</w:t>
      </w:r>
    </w:p>
    <w:p>
      <w:pPr>
        <w:keepNext/>
        <w:spacing w:before="160" w:after="120" w:line="360" w:lineRule="auto"/>
        <w:outlineLvl w:val="1"/>
      </w:pPr>
      <w:r>
        <w:rPr>
          <w:rFonts w:ascii="黑体" w:hAnsi="黑体" w:eastAsia="黑体"/>
          <w:sz w:val="28"/>
        </w:rPr>
        <w:t>1.1  研究背景：智能经济为什么需要一个新的计量单位</w:t>
      </w:r>
    </w:p>
    <w:p>
      <w:pPr>
        <w:keepNext/>
        <w:spacing w:before="160" w:after="120" w:line="360" w:lineRule="auto"/>
        <w:outlineLvl w:val="2"/>
      </w:pPr>
      <w:r>
        <w:rPr>
          <w:rFonts w:ascii="黑体" w:hAnsi="黑体" w:eastAsia="黑体"/>
          <w:sz w:val="24"/>
        </w:rPr>
        <w:t>1.1.1  计量单位的更替与数据要素的计量困境</w:t>
      </w:r>
    </w:p>
    <w:p>
      <w:pPr>
        <w:spacing w:line="360" w:lineRule="auto" w:after="0"/>
        <w:ind w:firstLineChars="200" w:firstLine="480"/>
        <w:jc w:val="both"/>
      </w:pPr>
      <w:r>
        <w:rPr>
          <w:rFonts w:ascii="宋体" w:hAnsi="宋体" w:eastAsia="宋体"/>
          <w:sz w:val="24"/>
        </w:rPr>
        <w:t>经济形态的每一次跃迁，都伴随着一次计量单位的更替，而计量单位的确立往往比技术本身更深刻地重塑经济组织方式。工业经济以工时度量劳动、以千瓦时度量能量、以「标准煤」把煤、油、气、电折算为可加总的综合能耗（国家市场监督管理总局和国家标准化管理委员会，2020），以「标准箱」把形态各异的货物折算为可比的运输量；气候治理以「二氧化碳当量」把甲烷、氧化亚氮等异质气体折算到同一尺度（「WRI和WBCSD，2011」；「ISO，2018」；国家市场监督管理总局和国家标准化管理委员会，2024），从而使排放可核算、可交易、可考核。这些计量单位的共同特征有四：可数、可加、可折算、可入账。缺少其中任何一条，一种经济活动都难以进入价格体系、财政体系与统计体系。计量标准并非中性的技术约定，而是具有强网络外部性的制度基础设施——标准的选择与协调直接决定市场能否形成（Farrell和Saloner，1985；Simcoe，2012），而标准化在中国物流领域的准自然实验证据显示，统一计量与统一规格可以显著提升企业全要素生产率（何凡等，2025）。</w:t>
      </w:r>
    </w:p>
    <w:p>
      <w:pPr>
        <w:spacing w:line="360" w:lineRule="auto" w:after="0"/>
        <w:ind w:firstLineChars="200" w:firstLine="480"/>
        <w:jc w:val="both"/>
      </w:pPr>
      <w:r>
        <w:rPr>
          <w:rFonts w:ascii="宋体" w:hAnsi="宋体" w:eastAsia="宋体"/>
          <w:sz w:val="24"/>
        </w:rPr>
        <w:t>数字经济时代把数据列为生产要素，但数据的计量始终未能过关。理论上，数据的非竞争性意味着同一份数据可以被无限次同时使用而不减损，其配置效率与产权安排因此不同于传统要素（Jones和Tonetti，2020）；实践中，围绕数据的界权、流通与定价形成了丰富的研究谱系（熊巧琴和汤珂，2021；欧阳日辉和杜青青，2022；Pei，2022），会计上以成本法将数据资源有条件入表（财政部，2023；罗玫等，2023），统计上则以卫星账户与增加值测算的方式估计数字经济规模（杨仲山和张美慧，2019；许宪春等，2021；蔡跃洲和牛新星，2021）。然而，所有这些努力都必须绕开一个根本障碍：数据没有天然的物理计量单位。字节数与价值的相关性极弱——一段冗余日志与一份经过清洗标注的高质量样本集，在字节口径下不可区分；数据的价值高度依赖使用场景与结合方式，跨主体流动又受制于确权与安全约束（蔡跃洲和马文君，2021）。计量单位的缺位使数据要素长期停留在「重要但难以定价」的状态：既无法形成公允的市场价格，也无法进入增长核算的投入侧，只能以间接指标近似。</w:t>
      </w:r>
    </w:p>
    <w:p>
      <w:pPr>
        <w:spacing w:line="360" w:lineRule="auto" w:after="0"/>
        <w:ind w:firstLineChars="200" w:firstLine="480"/>
        <w:jc w:val="both"/>
      </w:pPr>
      <w:r>
        <w:rPr>
          <w:rFonts w:ascii="宋体" w:hAnsi="宋体" w:eastAsia="宋体"/>
          <w:sz w:val="24"/>
        </w:rPr>
        <w:t>生成式人工智能的兴起改变了这一格局，其改变的方式颇具意味——不是让数据变得可计量，而是让「使用数据与算力所生产出的认知服务」第一次变得可计量。大模型的工作方式是把连续的自然语言、代码、图像与音视频切分为离散的符号单元，再以自回归方式逐枚生成。切分依据的是分词器：字节对编码通过合并高频字节对构造子词词表（Sennrich等，2016），无监督的子词切分与语言无关实现进一步使这一过程可以直接作用于原始文本（Kudo和Richardson，2018）。由此产生的技术后果是决定性的：模型服务的产出被自然地离散化为可逐枚计数的单元，服务商逐枚计费，调用方逐枚核对，监管方逐枚统计。认知劳动的产出第一次具备了逐笔留痕、实时可计、跨主体可核对的技术基础，这正是「词元何以成为智能经济计量单位」的技术根源，也是本书全部讨论的起点。</w:t>
      </w:r>
    </w:p>
    <w:p>
      <w:pPr>
        <w:spacing w:line="360" w:lineRule="auto" w:after="0"/>
        <w:ind w:firstLineChars="200" w:firstLine="480"/>
        <w:jc w:val="both"/>
      </w:pPr>
      <w:r>
        <w:rPr>
          <w:rFonts w:ascii="宋体" w:hAnsi="宋体" w:eastAsia="宋体"/>
          <w:sz w:val="24"/>
        </w:rPr>
        <w:t>但同一技术特征也在其内部埋下了不可比的种子。词元的边界由分词器决定，不同分词器对同一段文本切出的词元数量并不相同；跨语言的切分效率差异更为悬殊，同等语义内容在非拉丁语系与低资源语言下往往需要更多词元来承载，从而在按词元计费的定价体系中形成系统性的「语言税」（Rust等，2021；Petrov等，2023；Ahia等，2023）。切分口径之外，更实质的差异来自生产端：生成单枚词元所需的浮点运算量随模型规模与推理策略而变，单枚词元所承载的任务达成度亦随模型能力而变，二者的跨模型跨度均以数倍乃至数十倍计。于是，「可计数」并不等于「可比较」，「可比较」也不等于「可加总」。这是本书反复回到的核心事实：物理词元是一个合格的计数单位，却不是一个合格的价值单位。</w:t>
      </w:r>
    </w:p>
    <w:p>
      <w:pPr>
        <w:keepNext/>
        <w:spacing w:before="160" w:after="120" w:line="360" w:lineRule="auto"/>
        <w:outlineLvl w:val="2"/>
      </w:pPr>
      <w:r>
        <w:rPr>
          <w:rFonts w:ascii="黑体" w:hAnsi="黑体" w:eastAsia="黑体"/>
          <w:sz w:val="24"/>
        </w:rPr>
        <w:t>1.1.2  从技术术语到经济范畴：词元的定名与政策确认</w:t>
      </w:r>
    </w:p>
    <w:p>
      <w:pPr>
        <w:spacing w:line="360" w:lineRule="auto" w:after="0"/>
        <w:ind w:firstLineChars="200" w:firstLine="480"/>
        <w:jc w:val="both"/>
      </w:pPr>
      <w:r>
        <w:rPr>
          <w:rFonts w:ascii="宋体" w:hAnsi="宋体" w:eastAsia="宋体"/>
          <w:sz w:val="24"/>
        </w:rPr>
        <w:t>词元由技术术语上升为经济范畴，在中国有两个清晰而必须严格区分的标志性事件，二者的主体、性质与效力层级各不相同。其一是术语层面的定名。2026年3月25日，全国科学技术名词审定委员会发布《关于发布试用人工智能领域名词 token 中文名「词元」的公告》，由其责成第四届计算机科学技术名词审定委员会启动「科技新词快速审定发布流程」，经多轮审定会议并综合社会意见后确定。公告的用语是「优先推荐」「词元」作为 token 的中文名，并「面向全社会发布试用」，同时明确该中文定名将在计算机科学技术名词常态化审定工作中结合社会推广应用情况最终确认。因此，准确的表述是「发布试用、优先推荐，尚待常态化审定最终确认」，而非「正式定名」，更不构成国家标准。名词委给出的定义是术语学口径：词元是人工智能时代智能设备中信息存储、处理和交换的具有一定语义的基本符号单元，特别是在大模型中作为模型处理和交换信息的最小单位。这一定名终结了此前「代币」「令牌」等混译并存的局面——在网络外部性显著的标准形成过程中，命名的统一本身即是降低沟通成本与缔约成本的制度产品（Farrell和Saloner，1985；Katz和Shapiro，1985；Simcoe，2012）。</w:t>
      </w:r>
    </w:p>
    <w:p>
      <w:pPr>
        <w:spacing w:line="360" w:lineRule="auto" w:after="0"/>
        <w:ind w:firstLineChars="200" w:firstLine="480"/>
        <w:jc w:val="both"/>
      </w:pPr>
      <w:r>
        <w:rPr>
          <w:rFonts w:ascii="宋体" w:hAnsi="宋体" w:eastAsia="宋体"/>
          <w:sz w:val="24"/>
        </w:rPr>
        <w:t>其二是经济计量层面的确认。同在2026年3月，中国发展高层论坛2026年年会期间，国家发展改革委党组成员、国家数据局局长发表题为《深化数据赋能人工智能发展，加快培育智能经济新形态》的演讲，使用并推介「词元」这一译名，提出词元是大模型处理信息的最小信息单元，具有「可计量、可定价、可交易」的特征，是「智能时代的价值锚点」和「连接技术供给与商业需求的结算单位」。2026年5月22日，国家数据局召开词元经济座谈会，明确将推动词元经济发展纳入工作体系，并把词元界定为大模型处理文本、代码、图像、音频、视频等所有信息时采用的最小运算单元，正在成为人工智能服务的计量单位、结算单位和统计单位。两套口径不可互相替换，也不可拼接为一句话：名词委强调的是「具有一定语义的基本符号单元」，属语言学与计算机科学口径；国家数据局强调的是「可计量、可定价、可交易的最小信息单元」，属经济计量口径。本书的写作纪律是：讨论术语规范时引前者，讨论价值计量、定价与核算时引后者。「可计量、可定价、可交易」这一三元表述之所以关键，是因为它恰好对应了本书三个科学问题的次序——计量是定价的前提，定价是交易与配置的前提。</w:t>
      </w:r>
    </w:p>
    <w:p>
      <w:pPr>
        <w:spacing w:line="360" w:lineRule="auto" w:after="0"/>
        <w:ind w:firstLineChars="200" w:firstLine="480"/>
        <w:jc w:val="both"/>
      </w:pPr>
      <w:r>
        <w:rPr>
          <w:rFonts w:ascii="宋体" w:hAnsi="宋体" w:eastAsia="宋体"/>
          <w:sz w:val="24"/>
        </w:rPr>
        <w:t>与定名同步展开的是制度化进程，但其效力层级必须被准确刻画，否则极易高估现实的制度供给。截至2026年8月，词元领域已发布的规范性成果主要是团体标准与机构评估规范：《人工智能词元（Token）运营管理能力要求》（AIIA/T 0308—2026）由中国人工智能产业发展联盟归口、中国信息通信研究院人工智能研究所联合行业企业编制，2026年8月发布，用于规范词元运营管理平台的能力要求；团体标准的效力层级低于国家标准与行业标准，尚未见以「词元计量」或「词元计费」为题的国家标准或行业标准立项公开。与之并行的是四套主体不同、维度不同、用途不同的既有评价工作：中国信息通信研究院《人工智能 Token 服务质量能力要求》所依托的「可信 AI-Token 服务质量评估」，含模型服务能力、Token 服务性能、Token 服务可信、Token 服务运维、Token 服务用户体验、Token 计量计费六个维度；中国信息通信研究院于2026年6月16日发布的「高质量 Token 服务标准体系」，含服务质量、运营能力、生产能力、安全能力四个维度，其云计算与大数据研究所负责人明确提出「不能只看单价，行业亟须一套衡量『高质量 Token』的标尺」；中国工业互联网研究院《Token 驱动智能经济研究报告（2026年）》构建了生产成本、生产效率、准确性、生态价值、安全五个维度的价值度量体系；清华大学翟季冬团队联合企业于2026年5月发布的「开源模型 Token 服务性能榜」，采用首词元时延（P90分位）、输出吞吐与缓存命中率三项实测指标。四者各有其明确主体与适用范围，维度名称不可合并、平均或交叉引用。</w:t>
      </w:r>
    </w:p>
    <w:p>
      <w:pPr>
        <w:spacing w:line="360" w:lineRule="auto" w:after="0"/>
        <w:ind w:firstLineChars="200" w:firstLine="480"/>
        <w:jc w:val="both"/>
      </w:pPr>
      <w:r>
        <w:rPr>
          <w:rFonts w:ascii="宋体" w:hAnsi="宋体" w:eastAsia="宋体"/>
          <w:sz w:val="24"/>
        </w:rPr>
        <w:t>把上述四套工作放在一起观察，可以看清既有制度供给的边界所在：它们都是「多维评价」，产出的是并列的维度得分或达标基线——例如中国信息通信研究院2026年6月启动的「词元（Token）服务能力攀登计划」，首批企业达成的企业级通用场景性能基线为吞吐不低于每秒55枚词元、首词元时延不高于0.9秒、调用成功率99.9%。多维评价可以回答「谁家的词元服务更好」，却无法回答「一枚甲模型的词元等于几枚乙模型的词元」。而后一个问题才是价格指数编制、财政补贴核定、增加值核算与跨境互认所必需的。本书的理论增量正在于此：从「多维评价」推进到「当量折算」，给出一个公理化的合成函数，使异质词元获得可比、可加的共同尺度。需要特别声明的是，本书使用的算力强度、推理质量与场景效用三维折算体系是作者自主构建的理论框架，与上述任一机构的评价体系均无对应关系，也不得被指称为任何机构的既有成果。</w:t>
      </w:r>
    </w:p>
    <w:p>
      <w:pPr>
        <w:keepNext/>
        <w:spacing w:before="160" w:after="120" w:line="360" w:lineRule="auto"/>
        <w:outlineLvl w:val="2"/>
      </w:pPr>
      <w:r>
        <w:rPr>
          <w:rFonts w:ascii="黑体" w:hAnsi="黑体" w:eastAsia="黑体"/>
          <w:sz w:val="24"/>
        </w:rPr>
        <w:t>1.1.3  词元经济的现实图景：调用量、产能与运营组织</w:t>
      </w:r>
    </w:p>
    <w:p>
      <w:pPr>
        <w:spacing w:line="360" w:lineRule="auto" w:after="0"/>
        <w:ind w:firstLineChars="200" w:firstLine="480"/>
        <w:jc w:val="both"/>
      </w:pPr>
      <w:r>
        <w:rPr>
          <w:rFonts w:ascii="宋体" w:hAnsi="宋体" w:eastAsia="宋体"/>
          <w:sz w:val="24"/>
        </w:rPr>
        <w:t>词元由技术概念变为经济范畴，其现实基础是需求侧极为陡峭的规模扩张。按国家数据局公开发布的口径，我国日均词元调用量在2024年初约为1000亿枚，至2025年6月底突破30万亿枚，2025年底跃升至100万亿枚，2026年3月突破140万亿枚，两年间增长约1400倍。这一序列必须严格按其口径使用：它是全国、全渠道、消耗侧的日均调用量，官方未公开统计边界（是否涵盖厂商官方接口、云端模型即服务、自建推理与端侧推理）与测算方法，既不等于任何厂商财报中的词元消耗，也不等于评测中的吞吐指标，更不能除以人口或企业数得出「人均调用量」；千倍增长的基期是2024年初，不可与以其他年份为基期的增速直接同比。官方仅发布上述四个锚点，其余时点在本书中均为校准复算插值，凡出现处一律标注，图表中亦以不同标记加以区分。</w:t>
      </w:r>
    </w:p>
    <w:p>
      <w:pPr>
        <w:spacing w:line="360" w:lineRule="auto" w:after="0"/>
        <w:ind w:firstLineChars="200" w:firstLine="480"/>
        <w:jc w:val="both"/>
      </w:pPr>
      <w:r>
        <w:rPr>
          <w:rFonts w:ascii="宋体" w:hAnsi="宋体" w:eastAsia="宋体"/>
          <w:sz w:val="24"/>
        </w:rPr>
        <w:t>供给侧的扩张同样迅猛，但其计量口径的分裂比需求侧更甚。按工业和信息化部口径，截至2026年6月底我国智能算力规模达2185 EFLOPS（FP16精度基准的已建成规模），同比增长177%，全国算力设施整体上架率71.4%；截至2025年底已建成万卡智算集群42个，智能算力规模超过1590 EFLOPS。需要提醒的是，算力规模至少存在三套互不相通的计量单位——数据中心口径的标准机架、算力性能口径的每秒浮点运算次数、加速卡口径的卡数，三者之间没有公开的官方换算系数，且不同精度基准（FP16与FP32折算）下的数字相差可达一倍，因此严禁互相折算或同图并列。算力供给的组织形态也在发生变化：从「东数西算」工程与全国一体化算力网的顶层布局（「国家发展改革委等，2021」；国家发展改革委等，2023），到面向推理服务的「词元工厂」这一新型产能形态的出现，算力的价值实现方式正由「租算力」转向「卖词元」。智算中心建设对企业全要素生产率的影响（许诺等，2025）与需求侧算力共享机制的研究（王勇等，2025）均已表明，算力的经济效应高度依赖其被有效使用的程度，而非其名义规模。</w:t>
      </w:r>
    </w:p>
    <w:p>
      <w:pPr>
        <w:spacing w:line="360" w:lineRule="auto" w:after="0"/>
        <w:ind w:firstLineChars="200" w:firstLine="480"/>
        <w:jc w:val="both"/>
      </w:pPr>
      <w:r>
        <w:rPr>
          <w:rFonts w:ascii="宋体" w:hAnsi="宋体" w:eastAsia="宋体"/>
          <w:sz w:val="24"/>
        </w:rPr>
        <w:t>介于供给与需求之间的，是2026年夏季密集出现的城市级词元运营组织。2026年7月15日，东南词元（Token）运营中心在温州启动，由国资控股的专门运营公司承担具体运营，其董事长由温州市数据集团总经理兼任，基础电信运营商及其云平台提供智算底座；7月30日，长三角（嘉兴）Token 运营中心启动，由嘉兴市城市投资发展集团承担面向市场的统一服务窗口运营，门户提出统一接口入口、统一词元计量、统一费用结算、统一政策抵扣、统一安全审计的「五个统一」；同日，广东词元交易和服务中心在广州南沙揭牌，依托广州数据交易所建设，承担词元标准制定、合规鉴证、场内交易、惠企扶持与跨境流通职能；8月11日，江苏省首个词元运营中心在苏州工业园区揭牌，依托基础电信运营商的云底座与词元运营平台，提供模型广场、技能市场、应用超市、补贴专区、安全风控、指标监测六大类服务，同日成立词元出海服务联盟；亦在8月11日，《上海市软件和信息服务业发展「十五五」规划》印发，提出「探索将词元、数据治理、大模型部署及再训练等投入，纳入企业技术改造支持方向」（「上海市经济和信息化委员会，2026」）。</w:t>
      </w:r>
    </w:p>
    <w:p>
      <w:pPr>
        <w:spacing w:line="360" w:lineRule="auto" w:after="0"/>
        <w:ind w:firstLineChars="200" w:firstLine="480"/>
        <w:jc w:val="both"/>
      </w:pPr>
      <w:r>
        <w:rPr>
          <w:rFonts w:ascii="宋体" w:hAnsi="宋体" w:eastAsia="宋体"/>
          <w:sz w:val="24"/>
        </w:rPr>
        <w:t>这五地实践在主体类型上恰好构成一组完整的比较样本——基础电信运营商、城投集团、数据集团、数据交易所与政策制定者，其资产禀赋与职能定位各不相同，第10章将以比较制度分析展开，第13章将做跨案例比较。此处仅强调三点口径纪律。第一，三类主体不可混为一谈：「词元工厂」属推理产能供给侧，其指标是日产能；「词元运营中心」属流通服务侧，其指标是接入模型数与服务企业数；「词元交易中心」属交易组织侧，其指标是场内成交额。三者的「首个」称号各有限定语，去掉限定语即会相互冲突。第二，各地的「五个统一」「六个统一」「六大类服务」是三套异构清单，条目数不构成能力强弱的比较。第三，「词元交易额」与「词元调用量」是两个完全不同的计量对象，前者是成交金额，后者是技术调用规模，二者之间不存在换算关系。政策工具的变化同样值得注意：2026年6月广东印发全国首份省级词元经济专项政策，同年8月初北京经济技术开发区发布聚焦词元全产业链的系统性支持政策，补贴对象由「建算力」转向「用词元」。这一转向意味着财政资金的核定基准从设备投资额转移到了词元消耗量，从而把「词元如何计量」直接推到了公共财政的门口——若计量口径不统一、不可比，补贴核定便无从谈起。</w:t>
      </w:r>
    </w:p>
    <w:p>
      <w:pPr>
        <w:keepNext/>
        <w:spacing w:before="160" w:after="120" w:line="360" w:lineRule="auto"/>
        <w:outlineLvl w:val="2"/>
      </w:pPr>
      <w:r>
        <w:rPr>
          <w:rFonts w:ascii="黑体" w:hAnsi="黑体" w:eastAsia="黑体"/>
          <w:sz w:val="24"/>
        </w:rPr>
        <w:t>1.1.4  繁荣表象之下：三重悖论与计量地基的缺失</w:t>
      </w:r>
    </w:p>
    <w:p>
      <w:pPr>
        <w:spacing w:line="360" w:lineRule="auto" w:after="0"/>
        <w:ind w:firstLineChars="200" w:firstLine="480"/>
        <w:jc w:val="both"/>
      </w:pPr>
      <w:r>
        <w:rPr>
          <w:rFonts w:ascii="宋体" w:hAnsi="宋体" w:eastAsia="宋体"/>
          <w:sz w:val="24"/>
        </w:rPr>
        <w:t>词元经济的高速扩张之下，并存着三个相互关联、却难以用现有分析框架同时解释的悖论。悖论一是「价格持续下行与高质量词元稀缺并存」。第三方支出加权指数显示，全市场每百万词元的实际成交均价由2026年5月31日的2.04美元回落至8月6—8日的1.16—1.18美元，约两个月跌逾四成，为年内最低；该指数是支出加权的全市场成交均价，不是任何单一模型的挂牌价，也不等于「人工智能总支出」的变化。但与价格下行同时发生的，是行业对「高质量词元」的普遍焦虑：单价的下降既可能来自真实的效率改进，也可能来自服务质量的下沉，而在缺乏统一效值尺度的条件下，二者在价格数据上无法区分。本书的测算给出了区分的方法与结果：以2024年第一季度为基期，物理词元价格指数至2026年第二季度降至21（累计下降79%），而标准词元价格指数仅降至47（累计下降53%）；对累计降幅的结构分解表明，其中约53%来自效值提升（同样的支出买到了能力更强的词元），约47%才是真实降价。二者的背离正是「降价」与「降质」在统计上的分野，详见第7章。</w:t>
      </w:r>
    </w:p>
    <w:p>
      <w:pPr>
        <w:spacing w:line="360" w:lineRule="auto" w:after="0"/>
        <w:ind w:firstLineChars="200" w:firstLine="480"/>
        <w:jc w:val="both"/>
      </w:pPr>
      <w:r>
        <w:rPr>
          <w:rFonts w:ascii="宋体" w:hAnsi="宋体" w:eastAsia="宋体"/>
          <w:sz w:val="24"/>
        </w:rPr>
        <w:t>悖论二是「算力持续扩建与利用率长期不足并存」。国际数据公司与中国信息通信研究院2026年联合开展的调研显示，近半数企业的智算资源利用率处于51%—70%的中等区间，6.7%的企业仅为31%—50%，利用率达到70%以上的企业不足35%，制造与政务行业低于平均水平；该指标是企业侧调研自报值，统计对象为企业自建自用的智算资源，与机架上架率、加速卡卡时利用率的实测采样并非同一件事，不可互证。既有讨论多把利用率不足归因于调度平台缺失与资源池化不足，这一判断方向正确却不够彻底：即便算力被百分之百地占用，如果被占用去生产低效值词元，从价值创造的角度看仍然是一种浪费。本书因此把名义利用率62%分解为空转损失18%、批次损失9%、匹配损失12%与效值损失7%四项（合计46%），得到有效效值利用率仅38%；在任务—模型最优匹配下这一指标可升至54%，相对改进42%，理论上界为61%。其中「匹配损失」与「效值损失」两项，恰恰只有在建立标准词元尺度之后才可能被识别，详见第9章。</w:t>
      </w:r>
    </w:p>
    <w:p>
      <w:pPr>
        <w:spacing w:line="360" w:lineRule="auto" w:after="0"/>
        <w:ind w:firstLineChars="200" w:firstLine="480"/>
        <w:jc w:val="both"/>
      </w:pPr>
      <w:r>
        <w:rPr>
          <w:rFonts w:ascii="宋体" w:hAnsi="宋体" w:eastAsia="宋体"/>
          <w:sz w:val="24"/>
        </w:rPr>
        <w:t>悖论三是「调用量千倍增长与宏观生产率统计无感并存」，即索洛生产率悖论在人工智能时代的再现。一端是微观层面日益丰富的效率证据：生成式人工智能在客服、软件开发、写作等任务上的生产率提升已被多项随机对照与准实验研究记录（Noy和Zhang，2023；Brynjolfsson等，2025），企业与个人的采纳速度快于历次通用技术（Czarnitzki等，2023；Bick等，2024；Humlum和Vestergaard，2025）；另一端是宏观测算的审慎：以赫尔滕定理为框架、按受影响任务比例与单任务成本节约推算，人工智能在未来十年带来的全要素生产率累计增幅上限约为0.66%，作者其后进一步修正为低于0.53%（Acemoglu，2025）。需要强调的是，该数字是十年累计的全要素生产率口径，与经济合作与发展组织给出的「高暴露度经济体年度劳动生产率增长可获得0.4—1.3个百分点增量」（「OECD，2024」）在量纲与期限上完全不同，两者的差异主要是口径差异而非观点分歧。生产率J曲线理论则给出了第三种解释：通用目的技术需要互补性无形投资，而这些投入在会计上被费用化而非资本化，因而被系统性错误计量，形成先降后升的轨迹（Brynjolfsson等，2019；Brynjolfsson等，2021）；对错误计量解释的质疑同样存在（Syverson，2017），云计算等前置技术的核算经验亦提示，新型数字投入进入国民经济核算始终存在时滞（Byrne等，2018；DeStefano等，2025）。</w:t>
      </w:r>
    </w:p>
    <w:p>
      <w:pPr>
        <w:spacing w:line="360" w:lineRule="auto" w:after="0"/>
        <w:ind w:firstLineChars="200" w:firstLine="480"/>
        <w:jc w:val="both"/>
      </w:pPr>
      <w:r>
        <w:rPr>
          <w:rFonts w:ascii="宋体" w:hAnsi="宋体" w:eastAsia="宋体"/>
          <w:sz w:val="24"/>
        </w:rPr>
        <w:t>本书认为，上述三重悖论并非三个独立的经验难题，而是同一个计量缺陷在价格、配置与核算三个界面上的投影：物理词元是一个合格的计数单位，却不是一个合格的价值单位。支持这一判断的证据是词元的三重离散。其一是生产端离散：按本书对六个模型档位的校准复算，生成单枚词元的算力强度从轻量蒸馏级的0.22到推理增强级的8.4（以中型通用级为1），跨度约38倍；单位算力的标准词元转化效率在轻量蒸馏级与推理增强级之间相差约13.5倍。其二是价格端离散：六档位每百万物理词元的市场价从0.40元到14.00元，跨度35倍，单位价格的变异系数高达0.92，最高与最低之比达12.6倍。其三是价值端离散：同样数量的词元用于科研分析与用于日常问答，其替代的人类认知劳动的价值密度相差数倍。三重离散叠加的结果是，「词元」这个在技术上完全同名的单位，在经济上根本不是同一种东西。</w:t>
      </w:r>
    </w:p>
    <w:p>
      <w:pPr>
        <w:spacing w:line="360" w:lineRule="auto" w:after="0"/>
        <w:ind w:firstLineChars="200" w:firstLine="480"/>
        <w:jc w:val="both"/>
      </w:pPr>
      <w:r>
        <w:rPr>
          <w:rFonts w:ascii="宋体" w:hAnsi="宋体" w:eastAsia="宋体"/>
          <w:sz w:val="24"/>
        </w:rPr>
        <w:t>计量地基的缺失会沿四条路径向外传导，本书概括为四个「无」。定价无公允基准：买卖双方无法就「一枚词元值多少钱」形成共同参照，质量不可观测使市场面临典型的柠檬问题（Akerlof，1970；Dranove和Jin，2010），本书测算显示企业对所购词元效值的认知偏差均值达0.44，由此导致低效值档位的过度采购份额达27%。补贴无核定依据：地方政府按物理词元量核定技改补贴，会系统性地激励企业采购单价低、效值也低的词元，政策目标与政策效果发生背离。统计无可加口径：跨模型、跨任务的词元量不可直接加总，词元流量便无法作为一个合格变量进入增长核算，人工智能的贡献只能继续沉没在索洛残差之中。出海无互认凭证：词元服务的跨境交付缺乏效值与碳足迹的互认标尺——截至2026年8月，国际上最接近的文件是关于人工智能系统环境可持续性方面的技术报告，其性质为技术报告而非可认证标准，尚无面向词元的专项碳足迹核算规则；欧盟碳边境调节机制的覆盖行业为水泥、钢铁、铝、化肥、电力与氢，不含数字服务，但若词元以嵌入产品或跨境电力形态出现，其电力项下的核算要求仍将构成约束（「European Parliament和Council，2023」）。人工智能推理的能耗与碳排放测算已有相当积累（Patterson等，2022；Luccioni等，2024；IEA，2025），但公开测算的分母普遍是「一次查询」而非「一千枚词元」，Token级的核算规则仍是空白——这恰恰是标准词元计量体系可以填补的制度空白，详见第11章。</w:t>
      </w:r>
    </w:p>
    <w:p>
      <w:pPr>
        <w:keepNext/>
        <w:spacing w:before="160" w:after="120" w:line="360" w:lineRule="auto"/>
        <w:outlineLvl w:val="1"/>
      </w:pPr>
      <w:r>
        <w:rPr>
          <w:rFonts w:ascii="黑体" w:hAnsi="黑体" w:eastAsia="黑体"/>
          <w:sz w:val="28"/>
        </w:rPr>
        <w:t>1.2  问题提出：核心命题与三个科学问题</w:t>
      </w:r>
    </w:p>
    <w:p>
      <w:pPr>
        <w:spacing w:line="360" w:lineRule="auto" w:after="0"/>
        <w:ind w:firstLineChars="200" w:firstLine="480"/>
        <w:jc w:val="both"/>
      </w:pPr>
      <w:r>
        <w:rPr>
          <w:rFonts w:ascii="宋体" w:hAnsi="宋体" w:eastAsia="宋体"/>
          <w:sz w:val="24"/>
        </w:rPr>
        <w:t>基于上述背景，本书提出并论证如下核心命题，它构成全书的理论主轴：词元是智能经济的计量单位，但物理词元不是合格的价值单位；只有经效值折算得到的标准词元，才能同时承担价值尺度、定价基准、配置信号与增长核算变量这四重经济职能。这一命题包含三层递进的断言。第一层是否定性的：物理词元在生产端、价格端与价值端均高度离散，跨模型跨任务不可比、不可加，因而不满足价值单位的基本要求。第二层是建设性的：存在一个满足若干合意公理的折算函数，可以把异质的物理词元映射为同质的标准词元，且在给定公理下这一函数的形式受到严格约束。第三层是功能性的：一旦标准词元被建立，价格指数、补贴核定、调度优化、碳强度核算与增长核算这五项此前彼此割裂的工作，便获得了共同的计量基础，从而可以相互校验、相互衔接。围绕这一命题，本书提出三个科学问题。</w:t>
      </w:r>
    </w:p>
    <w:p>
      <w:pPr>
        <w:spacing w:line="360" w:lineRule="auto" w:after="0"/>
        <w:ind w:firstLineChars="200" w:firstLine="480"/>
        <w:jc w:val="both"/>
      </w:pPr>
      <w:r>
        <w:rPr>
          <w:rFonts w:ascii="宋体" w:hAnsi="宋体" w:eastAsia="宋体"/>
          <w:sz w:val="24"/>
        </w:rPr>
        <w:t>科学问题一（计量）：词元的经济价值由什么决定，异质词元如何折算为可比、可加的标准计量单位？这一问题可拆解为三个子问题。其一是价值决定：词元的价值究竟来自其消耗的算力（成本侧）、承载的信息量与任务达成度（能力侧），还是其所替代的人类认知劳动的价值密度（场景侧）？三者是并列关系还是有主从之分？其二是折算的可行性：一个合意的折算函数应当满足哪些公理，这些公理是否足以把函数形式唯一确定到可标定的程度，还是仅能确定到某一函数族？其三是折算的可靠性：折算系数如何标定、如何做稳健性检验，折算能否显著改善异质词元的可比性？本书将在第3章刻画词元的技术属性与经济属性并形式化不可比问题，在第5章构建折算体系，在第6章讨论价值创造、实现与增值的机理。</w:t>
      </w:r>
    </w:p>
    <w:p>
      <w:pPr>
        <w:spacing w:line="360" w:lineRule="auto" w:after="0"/>
        <w:ind w:firstLineChars="200" w:firstLine="480"/>
        <w:jc w:val="both"/>
      </w:pPr>
      <w:r>
        <w:rPr>
          <w:rFonts w:ascii="宋体" w:hAnsi="宋体" w:eastAsia="宋体"/>
          <w:sz w:val="24"/>
        </w:rPr>
        <w:t>科学问题二（定价）：标准词元的价格如何形成、如何演化，词元市场呈现何种结构与均衡？零边际成本与巨额固定成本并存的技术特征使古典的边际成本定价失效，质量分层与版本划分成为必然的定价策略（Mussa和Rosen，1978；Bhargava和Choudhary，2008），而算力方、模型方、平台与应用方之间的多边结构又使定价必须考虑交叉网络外部性（Armstrong，2006；Jullien等，2021）。本书要回答的是：词元价格的结构由哪几层构成，各层的决定因素与变动方向是否一致？「通用词元价格持续下行」与「高效值词元溢价扩大」为何能够并存？在质量快速变化的市场中，价格指数应当如何编制才能不把质量改进误记为通货紧缩——这正是特征价格方法所处理的经典问题（Griliches，1961；Pakes，2003；Groshen等，2017）。相应内容见第7、8章。</w:t>
      </w:r>
    </w:p>
    <w:p>
      <w:pPr>
        <w:spacing w:line="360" w:lineRule="auto" w:after="0"/>
        <w:ind w:firstLineChars="200" w:firstLine="480"/>
        <w:jc w:val="both"/>
      </w:pPr>
      <w:r>
        <w:rPr>
          <w:rFonts w:ascii="宋体" w:hAnsi="宋体" w:eastAsia="宋体"/>
          <w:sz w:val="24"/>
        </w:rPr>
        <w:t>科学问题三（配置与增长）：词元如何在算力、模型与场景之间实现有效配置，其对经济增长的贡献如何测度？配置侧的核心是把「算力—词元」的转化过程打开：从每秒浮点运算次数到有效标准词元之间究竟损失在何处，统一调度能够挽回多少，理论上界又在哪里；组织侧的核心是城市词元运营中心这一新型制度安排的可持续性，即在何种条件下平台、企业与政府三方的策略选择能够收敛到「深度运营—深度采纳—补贴退出」的良性均衡。增长侧的核心则是把标准词元流量作为可观测变量引入生产函数，把人工智能的贡献从索洛残差中显性分离出来，与资本服务测度的核算传统对话。相应内容见第9至第13章。</w:t>
      </w:r>
    </w:p>
    <w:p>
      <w:pPr>
        <w:spacing w:line="360" w:lineRule="auto" w:after="0"/>
        <w:ind w:firstLineChars="200" w:firstLine="480"/>
        <w:jc w:val="both"/>
      </w:pPr>
      <w:r>
        <w:rPr>
          <w:rFonts w:ascii="宋体" w:hAnsi="宋体" w:eastAsia="宋体"/>
          <w:sz w:val="24"/>
        </w:rPr>
        <w:t>三个科学问题之间是严格的递进关系而非并列关系：没有可比可加的计量单位，价格指数无从编制、补贴无从核定；没有公允的价格信号，配置效率无从判断、市场均衡无从刻画；没有可入账的流量变量，增长贡献无从测度。这一递进关系也决定了本书的篇章顺序与图1.1所示技术路线的主干走向。</w:t>
      </w:r>
    </w:p>
    <w:p>
      <w:pPr>
        <w:spacing w:line="360" w:lineRule="auto" w:after="0"/>
        <w:ind w:firstLineChars="200" w:firstLine="480"/>
        <w:jc w:val="both"/>
      </w:pPr>
      <w:r>
        <w:rPr>
          <w:rFonts w:ascii="宋体" w:hAnsi="宋体" w:eastAsia="宋体"/>
          <w:sz w:val="24"/>
        </w:rPr>
        <w:t>核心命题的价值取决于它是否可被证伪，因此有必要预先说明其检验策略与可能被推翻的条件。本书为核心命题设置了四道相互独立的检验。其一是离散度检验：若标准词元确实是更合格的价值单位，则以标准词元计价后，同类服务单位价格的离散程度应显著收敛、趋近一价定律；若折算前后离散度无明显差别，则折算并未提供额外信息，命题的建设性部分即告失败。其二是可加性检验：折算函数须满足链式一致，即先分段折算再合成与直接折算的结果不得出现系统性偏差；若传递误差随折算链条延长而累积放大，则标准词元不具备加总资格。其三是解释力检验：以标准词元流量替代物理词元流量进入生产函数，若弹性估计的显著性、稳定性与跨期可比性均未改善，甚至全要素生产率残差不降反升，则「显性分离」的主张不成立。其四是实践一致性检验：若城市词元运营中心的实践、企业采纳的障碍编码与本书定量结论系统性背离——例如企业反映的首要障碍并非计量不透明而是别的因素——则说明计量并非当前的主要约束，命题的现实针对性需要重估。四道检验分别在第5、5、12、13章执行，其结果将在第14章汇总回顾。预先声明检验标准，是为了避免把「折算体系可以构造」误当作「折算体系确有必要」。</w:t>
      </w:r>
    </w:p>
    <w:p>
      <w:pPr>
        <w:keepNext/>
        <w:spacing w:before="160" w:after="120" w:line="360" w:lineRule="auto"/>
        <w:outlineLvl w:val="1"/>
      </w:pPr>
      <w:r>
        <w:rPr>
          <w:rFonts w:ascii="黑体" w:hAnsi="黑体" w:eastAsia="黑体"/>
          <w:sz w:val="28"/>
        </w:rPr>
        <w:t>1.3  研究意义</w:t>
      </w:r>
    </w:p>
    <w:p>
      <w:pPr>
        <w:keepNext/>
        <w:spacing w:before="160" w:after="120" w:line="360" w:lineRule="auto"/>
        <w:outlineLvl w:val="2"/>
      </w:pPr>
      <w:r>
        <w:rPr>
          <w:rFonts w:ascii="黑体" w:hAnsi="黑体" w:eastAsia="黑体"/>
          <w:sz w:val="24"/>
        </w:rPr>
        <w:t>1.3.1  理论意义</w:t>
      </w:r>
    </w:p>
    <w:p>
      <w:pPr>
        <w:spacing w:line="360" w:lineRule="auto" w:after="0"/>
        <w:ind w:firstLineChars="200" w:firstLine="480"/>
        <w:jc w:val="both"/>
      </w:pPr>
      <w:r>
        <w:rPr>
          <w:rFonts w:ascii="宋体" w:hAnsi="宋体" w:eastAsia="宋体"/>
          <w:sz w:val="24"/>
        </w:rPr>
        <w:t>本书的理论意义首先在于为一个正在生成中的经济形态提供计量论基础。经济学对新要素的接纳，通常沿「现象描述—属性刻画—计量单位—价格形成—配置与增长」的次序展开，数据要素的研究进程即是显例：在确权与定价研究已相当丰富的同时（熊巧琴和汤珂，2021；欧阳日辉和杜青青，2022），计量单位的缺位始终限制着其进入核算体系的深度。词元提供了一个罕见的机会：它天然可数，因而计量论的讨论可以直接从「如何折算」而非「能否计数」开始。本书把能源经济学的标准煤、航运的标准箱与气候核算的二氧化碳当量所共享的当量化传统，系统地引入认知产品领域，并以公理化方法给出折算函数的形式约束，是对当量折算这一计量传统的一次实质性扩展。</w:t>
      </w:r>
    </w:p>
    <w:p>
      <w:pPr>
        <w:spacing w:line="360" w:lineRule="auto" w:after="0"/>
        <w:ind w:firstLineChars="200" w:firstLine="480"/>
        <w:jc w:val="both"/>
      </w:pPr>
      <w:r>
        <w:rPr>
          <w:rFonts w:ascii="宋体" w:hAnsi="宋体" w:eastAsia="宋体"/>
          <w:sz w:val="24"/>
        </w:rPr>
        <w:t>其次在于为通用目的技术理论与索洛悖论的当代讨论提供一个新的观测变量。通用目的技术的经济效应之所以难以测度，很大程度上源于其投入与产出均难以直接观测（Bresnahan和Trajtenberg，1995；Crafts，2021）；标准词元流量的意义在于，它把人工智能的「使用强度」变成了一个高频、可分解、可跨区域比较的观测量。这使得人工智能对增长的贡献有可能从残差测度转向过程观测，从而在方法论上回应关于人工智能宏观效应的分歧（Brynjolfsson等，2021；Acemoglu，2025）。第三，在价值理论层面，词元的生产同时凝结了数据劳动、算法劳动与知识工程劳动等活劳动，以及算力设施与模型资产等物化劳动，其价值实现又高度依赖应用场景，这为在认知生产条件下重新审视价值创造与价值实现的分离提供了具体载体，也与新质生产力的相关讨论形成呼应（周文和许凌云，2023；洪银兴，2024；黄群慧和盛方富，2024）。</w:t>
      </w:r>
    </w:p>
    <w:p>
      <w:pPr>
        <w:keepNext/>
        <w:spacing w:before="160" w:after="120" w:line="360" w:lineRule="auto"/>
        <w:outlineLvl w:val="2"/>
      </w:pPr>
      <w:r>
        <w:rPr>
          <w:rFonts w:ascii="黑体" w:hAnsi="黑体" w:eastAsia="黑体"/>
          <w:sz w:val="24"/>
        </w:rPr>
        <w:t>1.3.2  方法论意义</w:t>
      </w:r>
    </w:p>
    <w:p>
      <w:pPr>
        <w:spacing w:line="360" w:lineRule="auto" w:after="0"/>
        <w:ind w:firstLineChars="200" w:firstLine="480"/>
        <w:jc w:val="both"/>
      </w:pPr>
      <w:r>
        <w:rPr>
          <w:rFonts w:ascii="宋体" w:hAnsi="宋体" w:eastAsia="宋体"/>
          <w:sz w:val="24"/>
        </w:rPr>
        <w:t>本书在方法上尝试建立一条从公理到政策的完整链条。折算体系不是以拟合优度为唯一标准的经验构造，而是先由基准归一、单调性、可加性与传递一致性四条公理约束函数形式，再以基准任务集的实测数据标定参数，最后以放宽形式假定的交叉验证检验公理推论是否被数据拒绝。这种「先公理、后标定、再证伪」的次序，可以避免当量折算研究中常见的循环论证——即用待解释的价格数据去构造本应独立于价格的折算权重。此外，全书对数据纪律作了严格区分：宏观事实一律标注发布主体、统计边界与时点，不同口径不得混用同比；模型结果一律来自统一的校准复算体系，其锚点、随机种子与生成规则可复现；凡官方未单独发布的时点，一律标明为插值而不冒充实测。这一做法本身也是对数字经济统计中口径混用问题的一种回应（许宪春等，2021；蔡跃洲和牛新星，2021）。</w:t>
      </w:r>
    </w:p>
    <w:p>
      <w:pPr>
        <w:keepNext/>
        <w:spacing w:before="160" w:after="120" w:line="360" w:lineRule="auto"/>
        <w:outlineLvl w:val="2"/>
      </w:pPr>
      <w:r>
        <w:rPr>
          <w:rFonts w:ascii="黑体" w:hAnsi="黑体" w:eastAsia="黑体"/>
          <w:sz w:val="24"/>
        </w:rPr>
        <w:t>1.3.3  现实意义</w:t>
      </w:r>
    </w:p>
    <w:p>
      <w:pPr>
        <w:spacing w:line="360" w:lineRule="auto" w:after="0"/>
        <w:ind w:firstLineChars="200" w:firstLine="480"/>
        <w:jc w:val="both"/>
      </w:pPr>
      <w:r>
        <w:rPr>
          <w:rFonts w:ascii="宋体" w:hAnsi="宋体" w:eastAsia="宋体"/>
          <w:sz w:val="24"/>
        </w:rPr>
        <w:t>现实意义体现在六个可直接对接的政策界面。其一是计量标准：本书给出的标准词元折算框架可为词元计量的国家标准与统计口径建设提供技术方案，填补当前只有团体标准与机构评估规范的制度空白。其二是价格监测：物理词元价格指数与标准词元价格指数的双轨编制，可使价格主管部门与市场同时看到「名义降价」与「质量调整后降价」的差别，避免把质量改进误读为价格战。其三是补贴核定：以标准词元而非物理词元作为技改补贴与词元券的核定基准，可以消除「买便宜词元套补贴」的逆向激励，本书第10章给出的三方演化博弈进一步刻画了补贴退出的条件。其四是调度考核：以有效效值利用率替代名义上架率作为智算中心的考核指标，可以把考核压力从「建得多」转向「用得好」，与全国一体化算力网的建设目标一致（国家发展改革委等，2023）。其五是绿色认证：以每千标准词元的二氧化碳当量排放作为碳强度指标，可与产品碳足迹管理体系相衔接（生态环境部等，2024；国家市场监督管理总局和国家标准化管理委员会，2024）。其六是词元出海：可比、可加、可溯源的计量凭证是跨境互认的前提，也是「人工智能+」行动在国际层面落地的基础性条件（国务院，2025）。</w:t>
      </w:r>
    </w:p>
    <w:p>
      <w:pPr>
        <w:keepNext/>
        <w:spacing w:before="160" w:after="120" w:line="360" w:lineRule="auto"/>
        <w:outlineLvl w:val="1"/>
      </w:pPr>
      <w:r>
        <w:rPr>
          <w:rFonts w:ascii="黑体" w:hAnsi="黑体" w:eastAsia="黑体"/>
          <w:sz w:val="28"/>
        </w:rPr>
        <w:t>1.4  核心概念界定</w:t>
      </w:r>
    </w:p>
    <w:p>
      <w:pPr>
        <w:keepNext/>
        <w:spacing w:before="160" w:after="120" w:line="360" w:lineRule="auto"/>
        <w:outlineLvl w:val="2"/>
      </w:pPr>
      <w:r>
        <w:rPr>
          <w:rFonts w:ascii="黑体" w:hAnsi="黑体" w:eastAsia="黑体"/>
          <w:sz w:val="24"/>
        </w:rPr>
        <w:t>1.4.1  物理词元、效值系数与标准词元</w:t>
      </w:r>
    </w:p>
    <w:p>
      <w:pPr>
        <w:spacing w:line="360" w:lineRule="auto" w:after="0"/>
        <w:ind w:firstLineChars="200" w:firstLine="480"/>
        <w:jc w:val="both"/>
      </w:pPr>
      <w:r>
        <w:rPr>
          <w:rFonts w:ascii="宋体" w:hAnsi="宋体" w:eastAsia="宋体"/>
          <w:sz w:val="24"/>
        </w:rPr>
        <w:t>为避免歧义，本节先行界定全书反复使用的核心概念，其形式化与性质证明留待第5章展开。所谓</w:t>
      </w:r>
      <w:r>
        <w:rPr>
          <w:rFonts w:ascii="宋体" w:hAnsi="宋体" w:eastAsia="宋体"/>
          <w:b/>
          <w:sz w:val="24"/>
        </w:rPr>
        <w:t>物理词元</w:t>
      </w:r>
      <w:r>
        <w:rPr>
          <w:rFonts w:ascii="宋体" w:hAnsi="宋体" w:eastAsia="宋体"/>
          <w:sz w:val="24"/>
        </w:rPr>
        <w:t>，记为</w:t>
      </w:r>
      <m:oMath>
        <m:r>
          <m:t>T</m:t>
        </m:r>
      </m:oMath>
      <w:r>
        <w:rPr>
          <w:rFonts w:ascii="宋体" w:hAnsi="宋体" w:eastAsia="宋体"/>
          <w:sz w:val="24"/>
        </w:rPr>
        <w:t>，指大模型分词器切分并据以计费的原始词元计数，不区分生成它的模型与承载它的任务；这是当前所有计费系统、平台统计与政策文件中「词元」一词的默认含义。所谓</w:t>
      </w:r>
      <w:r>
        <w:rPr>
          <w:rFonts w:ascii="宋体" w:hAnsi="宋体" w:eastAsia="宋体"/>
          <w:b/>
          <w:sz w:val="24"/>
        </w:rPr>
        <w:t>标准词元</w:t>
      </w:r>
      <w:r>
        <w:rPr>
          <w:rFonts w:ascii="宋体" w:hAnsi="宋体" w:eastAsia="宋体"/>
          <w:sz w:val="24"/>
        </w:rPr>
        <w:t>（Standard Token Equivalent，STE），记为</w:t>
      </w:r>
      <m:oMath>
        <m:acc>
          <m:accPr>
            <m:chr m:val="̃"/>
          </m:accPr>
          <m:e>
            <m:r>
              <m:t>T</m:t>
            </m:r>
          </m:e>
        </m:acc>
      </m:oMath>
      <w:r>
        <w:rPr>
          <w:rFonts w:ascii="宋体" w:hAnsi="宋体" w:eastAsia="宋体"/>
          <w:sz w:val="24"/>
        </w:rPr>
        <w:t>，指经效值折算后的当量词元，其基准是「基准档模型在基准任务集上生成的1枚词元恒等于1个标准词元」。连接二者的是</w:t>
      </w:r>
      <w:r>
        <w:rPr>
          <w:rFonts w:ascii="宋体" w:hAnsi="宋体" w:eastAsia="宋体"/>
          <w:b/>
          <w:sz w:val="24"/>
        </w:rPr>
        <w:t>效值系数</w:t>
      </w:r>
      <m:oMath>
        <m:r>
          <m:t>η</m:t>
        </m:r>
      </m:oMath>
      <w:r>
        <w:rPr>
          <w:rFonts w:ascii="宋体" w:hAnsi="宋体" w:eastAsia="宋体"/>
          <w:sz w:val="24"/>
        </w:rPr>
        <w:t>，即单枚物理词元相对基准的当量倍数。设模型集合为</w:t>
      </w:r>
      <m:oMath>
        <m:r>
          <m:rPr>
            <m:scr m:val="script"/>
            <m:sty m:val="p"/>
          </m:rPr>
          <m:t>M</m:t>
        </m:r>
      </m:oMath>
      <w:r>
        <w:rPr>
          <w:rFonts w:ascii="宋体" w:hAnsi="宋体" w:eastAsia="宋体"/>
          <w:sz w:val="24"/>
        </w:rPr>
        <w:t>、任务集合为</w:t>
      </w:r>
      <m:oMath>
        <m:r>
          <m:rPr>
            <m:scr m:val="script"/>
            <m:sty m:val="p"/>
          </m:rPr>
          <m:t>J</m:t>
        </m:r>
      </m:oMath>
      <w:r>
        <w:rPr>
          <w:rFonts w:ascii="宋体" w:hAnsi="宋体" w:eastAsia="宋体"/>
          <w:sz w:val="24"/>
        </w:rPr>
        <w:t>，模型</w:t>
      </w:r>
      <m:oMath>
        <m:r>
          <m:t>m</m:t>
        </m:r>
      </m:oMath>
      <w:r>
        <w:rPr>
          <w:rFonts w:ascii="宋体" w:hAnsi="宋体" w:eastAsia="宋体"/>
          <w:sz w:val="24"/>
        </w:rPr>
        <w:t>在任务</w:t>
      </w:r>
      <m:oMath>
        <m:r>
          <m:t>j</m:t>
        </m:r>
      </m:oMath>
      <w:r>
        <w:rPr>
          <w:rFonts w:ascii="宋体" w:hAnsi="宋体" w:eastAsia="宋体"/>
          <w:sz w:val="24"/>
        </w:rPr>
        <w:t>上于第</w:t>
      </w:r>
      <m:oMath>
        <m:r>
          <m:t>t</m:t>
        </m:r>
      </m:oMath>
      <w:r>
        <w:rPr>
          <w:rFonts w:ascii="宋体" w:hAnsi="宋体" w:eastAsia="宋体"/>
          <w:sz w:val="24"/>
        </w:rPr>
        <w:t>期生成的物理词元数为</w:t>
      </w:r>
      <m:oMath>
        <m:sSub>
          <m:e>
            <m:r>
              <m:t>T</m:t>
            </m:r>
          </m:e>
          <m:sub>
            <m:r>
              <m:t>m</m:t>
            </m:r>
            <m:r>
              <m:t>j</m:t>
            </m:r>
            <m:r>
              <m:t>t</m:t>
            </m:r>
          </m:sub>
        </m:sSub>
      </m:oMath>
      <w:r>
        <w:rPr>
          <w:rFonts w:ascii="宋体" w:hAnsi="宋体" w:eastAsia="宋体"/>
          <w:sz w:val="24"/>
        </w:rPr>
        <w:t>，则该期标准词元流量为：</w:t>
      </w:r>
    </w:p>
    <w:p>
      <w:pPr>
        <w:tabs>
          <w:tab w:pos="4252" w:val="center"/>
          <w:tab w:pos="8504" w:val="right"/>
        </w:tabs>
        <w:spacing w:line="360" w:lineRule="auto" w:before="80" w:after="80"/>
      </w:pPr>
      <w:r>
        <w:tab/>
      </w:r>
      <m:oMath>
        <m:sSub>
          <m:e>
            <m:acc>
              <m:accPr>
                <m:chr m:val="̃"/>
              </m:accPr>
              <m:e>
                <m:r>
                  <m:t>T</m:t>
                </m:r>
              </m:e>
            </m:acc>
          </m:e>
          <m:sub>
            <m:r>
              <m:t>t</m:t>
            </m:r>
          </m:sub>
        </m:sSub>
        <m:r>
          <m:rPr>
            <m:sty m:val="p"/>
          </m:rPr>
          <m:t>=</m:t>
        </m:r>
        <m:nary>
          <m:naryPr>
            <m:chr m:val="∑"/>
            <m:limLoc m:val="undOvr"/>
            <m:subHide m:val="off"/>
            <m:supHide m:val="on"/>
          </m:naryPr>
          <m:sub>
            <m:r>
              <m:t>m</m:t>
            </m:r>
            <m:r>
              <m:rPr>
                <m:sty m:val="p"/>
              </m:rPr>
              <m:t>∈</m:t>
            </m:r>
            <m:r>
              <m:rPr>
                <m:scr m:val="script"/>
                <m:sty m:val="p"/>
              </m:rPr>
              <m:t>M</m:t>
            </m:r>
          </m:sub>
          <m:sup>
            <m:r>
              <m:t>​</m:t>
            </m:r>
          </m:sup>
          <m:e>
            <m:nary>
              <m:naryPr>
                <m:chr m:val="∑"/>
                <m:limLoc m:val="undOvr"/>
                <m:subHide m:val="off"/>
                <m:supHide m:val="on"/>
              </m:naryPr>
              <m:sub>
                <m:r>
                  <m:t>j</m:t>
                </m:r>
                <m:r>
                  <m:rPr>
                    <m:sty m:val="p"/>
                  </m:rPr>
                  <m:t>∈</m:t>
                </m:r>
                <m:r>
                  <m:rPr>
                    <m:scr m:val="script"/>
                    <m:sty m:val="p"/>
                  </m:rPr>
                  <m:t>J</m:t>
                </m:r>
              </m:sub>
              <m:sup>
                <m:r>
                  <m:t>​</m:t>
                </m:r>
              </m:sup>
              <m:e>
                <m:r>
                  <m:t>η</m:t>
                </m:r>
              </m:e>
            </m:nary>
          </m:e>
        </m:nary>
        <m:d>
          <m:dPr>
            <m:begChr m:val="("/>
            <m:endChr m:val=")"/>
            <m:grow/>
          </m:dPr>
          <m:e>
            <m:sSub>
              <m:e>
                <m:r>
                  <m:t>P</m:t>
                </m:r>
              </m:e>
              <m:sub>
                <m:r>
                  <m:t>m</m:t>
                </m:r>
              </m:sub>
            </m:sSub>
            <m:r>
              <m:rPr>
                <m:sty m:val="p"/>
              </m:rPr>
              <m:t>,</m:t>
            </m:r>
            <m:sSub>
              <m:e>
                <m:r>
                  <m:t>R</m:t>
                </m:r>
              </m:e>
              <m:sub>
                <m:r>
                  <m:t>m</m:t>
                </m:r>
              </m:sub>
            </m:sSub>
            <m:r>
              <m:rPr>
                <m:sty m:val="p"/>
              </m:rPr>
              <m:t>,</m:t>
            </m:r>
            <m:sSub>
              <m:e>
                <m:r>
                  <m:t>S</m:t>
                </m:r>
              </m:e>
              <m:sub>
                <m:r>
                  <m:t>j</m:t>
                </m:r>
              </m:sub>
            </m:sSub>
          </m:e>
        </m:d>
        <m:r>
          <m:t> </m:t>
        </m:r>
        <m:sSub>
          <m:e>
            <m:r>
              <m:t>T</m:t>
            </m:r>
          </m:e>
          <m:sub>
            <m:r>
              <m:t>m</m:t>
            </m:r>
            <m:r>
              <m:t>j</m:t>
            </m:r>
            <m:r>
              <m:t>t</m:t>
            </m:r>
          </m:sub>
        </m:sSub>
      </m:oMath>
      <w:r>
        <w:tab/>
      </w:r>
      <w:r>
        <w:rPr>
          <w:rFonts w:ascii="Times New Roman" w:hAnsi="Times New Roman" w:eastAsia="宋体"/>
          <w:sz w:val="24"/>
        </w:rPr>
        <w:t>(1-1)</w:t>
      </w:r>
    </w:p>
    <w:p>
      <w:pPr>
        <w:spacing w:line="360" w:lineRule="auto" w:after="0"/>
        <w:jc w:val="both"/>
      </w:pPr>
      <w:r>
        <w:rPr>
          <w:rFonts w:ascii="宋体" w:hAnsi="宋体" w:eastAsia="宋体"/>
          <w:sz w:val="24"/>
        </w:rPr>
        <w:t>其中，</w:t>
      </w:r>
      <m:oMath>
        <m:sSub>
          <m:e>
            <m:r>
              <m:t>P</m:t>
            </m:r>
          </m:e>
          <m:sub>
            <m:r>
              <m:t>m</m:t>
            </m:r>
          </m:sub>
        </m:sSub>
      </m:oMath>
      <w:r>
        <w:rPr>
          <w:rFonts w:ascii="宋体" w:hAnsi="宋体" w:eastAsia="宋体"/>
          <w:sz w:val="24"/>
        </w:rPr>
        <w:t>为模型</w:t>
      </w:r>
      <m:oMath>
        <m:r>
          <m:t>m</m:t>
        </m:r>
      </m:oMath>
      <w:r>
        <w:rPr>
          <w:rFonts w:ascii="宋体" w:hAnsi="宋体" w:eastAsia="宋体"/>
          <w:sz w:val="24"/>
        </w:rPr>
        <w:t>的算力强度，</w:t>
      </w:r>
      <m:oMath>
        <m:sSub>
          <m:e>
            <m:r>
              <m:t>R</m:t>
            </m:r>
          </m:e>
          <m:sub>
            <m:r>
              <m:t>m</m:t>
            </m:r>
          </m:sub>
        </m:sSub>
      </m:oMath>
      <w:r>
        <w:rPr>
          <w:rFonts w:ascii="宋体" w:hAnsi="宋体" w:eastAsia="宋体"/>
          <w:sz w:val="24"/>
        </w:rPr>
        <w:t>为其推理质量，</w:t>
      </w:r>
      <m:oMath>
        <m:sSub>
          <m:e>
            <m:r>
              <m:t>S</m:t>
            </m:r>
          </m:e>
          <m:sub>
            <m:r>
              <m:t>j</m:t>
            </m:r>
          </m:sub>
        </m:sSub>
      </m:oMath>
      <w:r>
        <w:rPr>
          <w:rFonts w:ascii="宋体" w:hAnsi="宋体" w:eastAsia="宋体"/>
          <w:sz w:val="24"/>
        </w:rPr>
        <w:t>为任务</w:t>
      </w:r>
      <m:oMath>
        <m:r>
          <m:t>j</m:t>
        </m:r>
      </m:oMath>
      <w:r>
        <w:rPr>
          <w:rFonts w:ascii="宋体" w:hAnsi="宋体" w:eastAsia="宋体"/>
          <w:sz w:val="24"/>
        </w:rPr>
        <w:t>的场景效用，三者均以基准档模型在基准任务集上的取值归一为1；</w:t>
      </w:r>
      <m:oMath>
        <m:r>
          <m:t>η</m:t>
        </m:r>
        <m:d>
          <m:dPr>
            <m:begChr m:val="("/>
            <m:endChr m:val=")"/>
            <m:grow/>
          </m:dPr>
          <m:e>
            <m:r>
              <m:rPr>
                <m:sty m:val="p"/>
              </m:rPr>
              <m:t>⋅</m:t>
            </m:r>
          </m:e>
        </m:d>
      </m:oMath>
      <w:r>
        <w:rPr>
          <w:rFonts w:ascii="宋体" w:hAnsi="宋体" w:eastAsia="宋体"/>
          <w:sz w:val="24"/>
        </w:rPr>
        <w:t>为效值折算函数。</w:t>
      </w:r>
    </w:p>
    <w:p>
      <w:pPr>
        <w:spacing w:line="360" w:lineRule="auto" w:after="0"/>
        <w:ind w:firstLineChars="200" w:firstLine="480"/>
        <w:jc w:val="both"/>
      </w:pPr>
      <w:r>
        <w:rPr>
          <w:rFonts w:ascii="宋体" w:hAnsi="宋体" w:eastAsia="宋体"/>
          <w:sz w:val="24"/>
        </w:rPr>
        <w:t>式(1-1)的结构包含三点须予说明的性质。第一，它是一个加权计数式而非估值式：权重</w:t>
      </w:r>
      <m:oMath>
        <m:r>
          <m:t>η</m:t>
        </m:r>
      </m:oMath>
      <w:r>
        <w:rPr>
          <w:rFonts w:ascii="宋体" w:hAnsi="宋体" w:eastAsia="宋体"/>
          <w:sz w:val="24"/>
        </w:rPr>
        <w:t>刻画的是「当量」而非「价格」，因而与市场价格相互独立，可以用来检验价格是否公允，这是折算体系不能以价格数据标定权重的根本原因。第二，加总在双重指标上进行，意味着标准词元流量同时吸收了模型结构与任务结构的变化：即便物理词元总量不变，若调用结构由低效值档位向高效值档位迁移，标准词元流量仍会上升，这正是「同样的调用量，不同的经济含义」的形式表达。第三，可加性并非天然成立，而是折算函数须满足的公理之一；第5章将证明，在基准归一、各维严格单调、可加与传递一致四条公理约束下，折算函数必为幂积形式</w:t>
      </w:r>
      <m:oMath>
        <m:r>
          <m:t>η</m:t>
        </m:r>
        <m:r>
          <m:rPr>
            <m:sty m:val="p"/>
          </m:rPr>
          <m:t>=</m:t>
        </m:r>
        <m:sSup>
          <m:e>
            <m:r>
              <m:t>P</m:t>
            </m:r>
          </m:e>
          <m:sup>
            <m:sSub>
              <m:e>
                <m:r>
                  <m:t>w</m:t>
                </m:r>
              </m:e>
              <m:sub>
                <m:r>
                  <m:t>P</m:t>
                </m:r>
              </m:sub>
            </m:sSub>
          </m:sup>
        </m:sSup>
        <m:sSup>
          <m:e>
            <m:r>
              <m:t>R</m:t>
            </m:r>
          </m:e>
          <m:sup>
            <m:sSub>
              <m:e>
                <m:r>
                  <m:t>w</m:t>
                </m:r>
              </m:e>
              <m:sub>
                <m:r>
                  <m:t>R</m:t>
                </m:r>
              </m:sub>
            </m:sSub>
          </m:sup>
        </m:sSup>
        <m:sSup>
          <m:e>
            <m:r>
              <m:t>S</m:t>
            </m:r>
          </m:e>
          <m:sup>
            <m:sSub>
              <m:e>
                <m:r>
                  <m:t>w</m:t>
                </m:r>
              </m:e>
              <m:sub>
                <m:r>
                  <m:t>S</m:t>
                </m:r>
              </m:sub>
            </m:sSub>
          </m:sup>
        </m:sSup>
      </m:oMath>
      <w:r>
        <w:rPr>
          <w:rFonts w:ascii="宋体" w:hAnsi="宋体" w:eastAsia="宋体"/>
          <w:sz w:val="24"/>
        </w:rPr>
        <w:t>，其权重经基准任务集标定为</w:t>
      </w:r>
      <m:oMath>
        <m:sSub>
          <m:e>
            <m:r>
              <m:t>w</m:t>
            </m:r>
          </m:e>
          <m:sub>
            <m:r>
              <m:t>P</m:t>
            </m:r>
          </m:sub>
        </m:sSub>
      </m:oMath>
      <w:r>
        <w:rPr>
          <w:rFonts w:ascii="宋体" w:hAnsi="宋体" w:eastAsia="宋体"/>
          <w:sz w:val="24"/>
        </w:rPr>
        <w:t>＝0.4383、</w:t>
      </w:r>
      <m:oMath>
        <m:sSub>
          <m:e>
            <m:r>
              <m:t>w</m:t>
            </m:r>
          </m:e>
          <m:sub>
            <m:r>
              <m:t>R</m:t>
            </m:r>
          </m:sub>
        </m:sSub>
      </m:oMath>
      <w:r>
        <w:rPr>
          <w:rFonts w:ascii="宋体" w:hAnsi="宋体" w:eastAsia="宋体"/>
          <w:sz w:val="24"/>
        </w:rPr>
        <w:t>＝0.2964、</w:t>
      </w:r>
      <m:oMath>
        <m:sSub>
          <m:e>
            <m:r>
              <m:t>w</m:t>
            </m:r>
          </m:e>
          <m:sub>
            <m:r>
              <m:t>S</m:t>
            </m:r>
          </m:sub>
        </m:sSub>
      </m:oMath>
      <w:r>
        <w:rPr>
          <w:rFonts w:ascii="宋体" w:hAnsi="宋体" w:eastAsia="宋体"/>
          <w:sz w:val="24"/>
        </w:rPr>
        <w:t>＝0.2653（和为1），拟合优度达0.9996；把折算函数放宽为常替代弹性形式独立标定，所得替代参数为0.0794，统计上无法拒绝其为零，即常替代弹性形式恰在此处退化为加权几何平均，实证标定与公理推论相互印证。</w:t>
      </w:r>
    </w:p>
    <w:p>
      <w:pPr>
        <w:keepNext/>
        <w:spacing w:before="160" w:after="120" w:line="360" w:lineRule="auto"/>
        <w:outlineLvl w:val="2"/>
      </w:pPr>
      <w:r>
        <w:rPr>
          <w:rFonts w:ascii="黑体" w:hAnsi="黑体" w:eastAsia="黑体"/>
          <w:sz w:val="24"/>
        </w:rPr>
        <w:t>1.4.2  效值三维：算力强度、推理质量与场景效用</w:t>
      </w:r>
    </w:p>
    <w:p>
      <w:pPr>
        <w:spacing w:line="360" w:lineRule="auto" w:after="0"/>
        <w:ind w:firstLineChars="200" w:firstLine="480"/>
        <w:jc w:val="both"/>
      </w:pPr>
      <w:r>
        <w:rPr>
          <w:rFonts w:ascii="宋体" w:hAnsi="宋体" w:eastAsia="宋体"/>
          <w:b/>
          <w:sz w:val="24"/>
        </w:rPr>
        <w:t>算力强度</w:t>
      </w:r>
      <m:oMath>
        <m:r>
          <m:t>P</m:t>
        </m:r>
      </m:oMath>
      <w:r>
        <w:rPr>
          <w:rFonts w:ascii="宋体" w:hAnsi="宋体" w:eastAsia="宋体"/>
          <w:sz w:val="24"/>
        </w:rPr>
        <w:t>定义为生成单枚词元所耗浮点运算量相对基准的倍数，刻画词元的生产成本侧属性，其技术决定因素包括模型参数规模、上下文长度、注意力实现方式、键值缓存策略与批处理组织（Dao等，2022；Yu等，2022；Pope等，2023；Kwon等，2023；Agrawal等，2024）。</w:t>
      </w:r>
      <w:r>
        <w:rPr>
          <w:rFonts w:ascii="宋体" w:hAnsi="宋体" w:eastAsia="宋体"/>
          <w:b/>
          <w:sz w:val="24"/>
        </w:rPr>
        <w:t>推理质量</w:t>
      </w:r>
      <m:oMath>
        <m:r>
          <m:t>R</m:t>
        </m:r>
      </m:oMath>
      <w:r>
        <w:rPr>
          <w:rFonts w:ascii="宋体" w:hAnsi="宋体" w:eastAsia="宋体"/>
          <w:sz w:val="24"/>
        </w:rPr>
        <w:t>定义为单枚词元承载的有效信息量与任务达成度相对基准的倍数，刻画词元的能力侧属性，其测度依托标准化评测传统（Hendrycks等，2021；Liang等，2022；Zheng等，2023），并须在同一基准任务集上完成以保证跨模型可比。</w:t>
      </w:r>
      <w:r>
        <w:rPr>
          <w:rFonts w:ascii="宋体" w:hAnsi="宋体" w:eastAsia="宋体"/>
          <w:b/>
          <w:sz w:val="24"/>
        </w:rPr>
        <w:t>场景效用</w:t>
      </w:r>
      <m:oMath>
        <m:r>
          <m:t>S</m:t>
        </m:r>
      </m:oMath>
      <w:r>
        <w:rPr>
          <w:rFonts w:ascii="宋体" w:hAnsi="宋体" w:eastAsia="宋体"/>
          <w:sz w:val="24"/>
        </w:rPr>
        <w:t>定义为应用场景的价值系数，反映单位词元所替代的人类认知劳动的价值密度，刻画词元的需求侧属性。三维的划分并非任意：它对应了任何一种当量折算都必须同时处理的成本、能力与用途三个面向，也与词元价格的三层结构（成本底价、效值溢价、场景租金）形成一一对应，这一对应关系是第5章与第7章相互衔接的枢纽。</w:t>
      </w:r>
    </w:p>
    <w:p>
      <w:pPr>
        <w:spacing w:line="360" w:lineRule="auto" w:after="0"/>
        <w:ind w:firstLineChars="200" w:firstLine="480"/>
        <w:jc w:val="both"/>
      </w:pPr>
      <w:r>
        <w:rPr>
          <w:rFonts w:ascii="宋体" w:hAnsi="宋体" w:eastAsia="宋体"/>
          <w:sz w:val="24"/>
        </w:rPr>
        <w:t>必须再次强调，本书的三维效值折算体系是作者自主构建的理论框架。如1.1.2节所述，既有的四套词元评价工作分属不同机构、维度数各异、用途亦不相同，它们与本书体系构成文献对话关系而非承继关系；本书既不使用任何机构未曾提出的术语去指称其成果，也不把本书的校准复算结果挂靠到任何具体商业产品之上。为此，全书统一采用六个能力档位的中文名称来组织模型层面的讨论与图表——轻量蒸馏级、中型通用级（基准档，效值系数恒为1）、开源旗舰级、旗舰闭源级、推理增强级与多模态级，正文与图表中不出现任何真实商业模型的产品名。按本书标定，六档位的效值系数依次为0.38、1.00、1.96、2.94、4.28与2.62，最高与最低之比约11.3倍——这意味着，把不同档位的物理词元直接相加，其失真程度与把煤炭吨数和电力度数直接相加是同一量级的错误。</w:t>
      </w:r>
    </w:p>
    <w:p>
      <w:pPr>
        <w:keepNext/>
        <w:spacing w:before="160" w:after="120" w:line="360" w:lineRule="auto"/>
        <w:outlineLvl w:val="2"/>
      </w:pPr>
      <w:r>
        <w:rPr>
          <w:rFonts w:ascii="黑体" w:hAnsi="黑体" w:eastAsia="黑体"/>
          <w:sz w:val="24"/>
        </w:rPr>
        <w:t>1.4.3  词元价格与标准词元价格</w:t>
      </w:r>
    </w:p>
    <w:p>
      <w:pPr>
        <w:spacing w:line="360" w:lineRule="auto" w:after="0"/>
        <w:ind w:firstLineChars="200" w:firstLine="480"/>
        <w:jc w:val="both"/>
      </w:pPr>
      <w:r>
        <w:rPr>
          <w:rFonts w:ascii="宋体" w:hAnsi="宋体" w:eastAsia="宋体"/>
          <w:b/>
          <w:sz w:val="24"/>
        </w:rPr>
        <w:t>词元价格</w:t>
      </w:r>
      <m:oMath>
        <m:r>
          <m:t>p</m:t>
        </m:r>
      </m:oMath>
      <w:r>
        <w:rPr>
          <w:rFonts w:ascii="宋体" w:hAnsi="宋体" w:eastAsia="宋体"/>
          <w:sz w:val="24"/>
        </w:rPr>
        <w:t>指单位物理词元的价格（本书统一以元／百万物理词元表示），</w:t>
      </w:r>
      <w:r>
        <w:rPr>
          <w:rFonts w:ascii="宋体" w:hAnsi="宋体" w:eastAsia="宋体"/>
          <w:b/>
          <w:sz w:val="24"/>
        </w:rPr>
        <w:t>标准词元价格</w:t>
      </w:r>
      <m:oMath>
        <m:acc>
          <m:accPr>
            <m:chr m:val="̃"/>
          </m:accPr>
          <m:e>
            <m:r>
              <m:t>p</m:t>
            </m:r>
          </m:e>
        </m:acc>
      </m:oMath>
      <w:r>
        <w:rPr>
          <w:rFonts w:ascii="宋体" w:hAnsi="宋体" w:eastAsia="宋体"/>
          <w:sz w:val="24"/>
        </w:rPr>
        <w:t>指单位标准词元的价格。二者由效值系数连接，并可进一步给出增长率形式：</w:t>
      </w:r>
    </w:p>
    <w:p>
      <w:pPr>
        <w:tabs>
          <w:tab w:pos="4252" w:val="center"/>
          <w:tab w:pos="8504" w:val="right"/>
        </w:tabs>
        <w:spacing w:line="360" w:lineRule="auto" w:before="80" w:after="80"/>
      </w:pPr>
      <w:r>
        <w:tab/>
      </w:r>
      <m:oMath>
        <m:sSub>
          <m:e>
            <m:acc>
              <m:accPr>
                <m:chr m:val="̃"/>
              </m:accPr>
              <m:e>
                <m:r>
                  <m:t>p</m:t>
                </m:r>
              </m:e>
            </m:acc>
          </m:e>
          <m:sub>
            <m:r>
              <m:t>m</m:t>
            </m:r>
            <m:r>
              <m:t>j</m:t>
            </m:r>
          </m:sub>
        </m:sSub>
        <m:r>
          <m:rPr>
            <m:sty m:val="p"/>
          </m:rPr>
          <m:t>=</m:t>
        </m:r>
        <m:f>
          <m:fPr>
            <m:type m:val="bar"/>
          </m:fPr>
          <m:num>
            <m:sSub>
              <m:e>
                <m:r>
                  <m:t>p</m:t>
                </m:r>
              </m:e>
              <m:sub>
                <m:r>
                  <m:t>m</m:t>
                </m:r>
                <m:r>
                  <m:t>j</m:t>
                </m:r>
              </m:sub>
            </m:sSub>
          </m:num>
          <m:den>
            <m:r>
              <m:t>η</m:t>
            </m:r>
            <m:d>
              <m:dPr>
                <m:begChr m:val="("/>
                <m:endChr m:val=")"/>
                <m:grow/>
              </m:dPr>
              <m:e>
                <m:sSub>
                  <m:e>
                    <m:r>
                      <m:t>P</m:t>
                    </m:r>
                  </m:e>
                  <m:sub>
                    <m:r>
                      <m:t>m</m:t>
                    </m:r>
                  </m:sub>
                </m:sSub>
                <m:r>
                  <m:rPr>
                    <m:sty m:val="p"/>
                  </m:rPr>
                  <m:t>,</m:t>
                </m:r>
                <m:sSub>
                  <m:e>
                    <m:r>
                      <m:t>R</m:t>
                    </m:r>
                  </m:e>
                  <m:sub>
                    <m:r>
                      <m:t>m</m:t>
                    </m:r>
                  </m:sub>
                </m:sSub>
                <m:r>
                  <m:rPr>
                    <m:sty m:val="p"/>
                  </m:rPr>
                  <m:t>,</m:t>
                </m:r>
                <m:sSub>
                  <m:e>
                    <m:r>
                      <m:t>S</m:t>
                    </m:r>
                  </m:e>
                  <m:sub>
                    <m:r>
                      <m:t>j</m:t>
                    </m:r>
                  </m:sub>
                </m:sSub>
              </m:e>
            </m:d>
          </m:den>
        </m:f>
        <m:r>
          <m:rPr>
            <m:sty m:val="p"/>
          </m:rPr>
          <m:t>,</m:t>
        </m:r>
        <m:r>
          <m:t>  </m:t>
        </m:r>
        <m:f>
          <m:fPr>
            <m:type m:val="bar"/>
          </m:fPr>
          <m:num>
            <m:r>
              <m:rPr>
                <m:sty m:val="p"/>
              </m:rPr>
              <m:t>d</m:t>
            </m:r>
            <m:r>
              <m:rPr>
                <m:sty m:val="p"/>
              </m:rPr>
              <m:t>ln</m:t>
            </m:r>
            <m:acc>
              <m:accPr>
                <m:chr m:val="̃"/>
              </m:accPr>
              <m:e>
                <m:r>
                  <m:t>p</m:t>
                </m:r>
              </m:e>
            </m:acc>
          </m:num>
          <m:den>
            <m:r>
              <m:rPr>
                <m:sty m:val="p"/>
              </m:rPr>
              <m:t>d</m:t>
            </m:r>
            <m:r>
              <m:t>t</m:t>
            </m:r>
          </m:den>
        </m:f>
        <m:r>
          <m:rPr>
            <m:sty m:val="p"/>
          </m:rPr>
          <m:t>=</m:t>
        </m:r>
        <m:f>
          <m:fPr>
            <m:type m:val="bar"/>
          </m:fPr>
          <m:num>
            <m:r>
              <m:rPr>
                <m:sty m:val="p"/>
              </m:rPr>
              <m:t>d</m:t>
            </m:r>
            <m:r>
              <m:rPr>
                <m:sty m:val="p"/>
              </m:rPr>
              <m:t>ln</m:t>
            </m:r>
            <m:r>
              <m:t>p</m:t>
            </m:r>
          </m:num>
          <m:den>
            <m:r>
              <m:rPr>
                <m:sty m:val="p"/>
              </m:rPr>
              <m:t>d</m:t>
            </m:r>
            <m:r>
              <m:t>t</m:t>
            </m:r>
          </m:den>
        </m:f>
        <m:r>
          <m:rPr>
            <m:sty m:val="p"/>
          </m:rPr>
          <m:t>−</m:t>
        </m:r>
        <m:f>
          <m:fPr>
            <m:type m:val="bar"/>
          </m:fPr>
          <m:num>
            <m:r>
              <m:rPr>
                <m:sty m:val="p"/>
              </m:rPr>
              <m:t>d</m:t>
            </m:r>
            <m:r>
              <m:rPr>
                <m:sty m:val="p"/>
              </m:rPr>
              <m:t>ln</m:t>
            </m:r>
            <m:r>
              <m:t>η</m:t>
            </m:r>
          </m:num>
          <m:den>
            <m:r>
              <m:rPr>
                <m:sty m:val="p"/>
              </m:rPr>
              <m:t>d</m:t>
            </m:r>
            <m:r>
              <m:t>t</m:t>
            </m:r>
          </m:den>
        </m:f>
      </m:oMath>
      <w:r>
        <w:tab/>
      </w:r>
      <w:r>
        <w:rPr>
          <w:rFonts w:ascii="Times New Roman" w:hAnsi="Times New Roman" w:eastAsia="宋体"/>
          <w:sz w:val="24"/>
        </w:rPr>
        <w:t>(1-2)</w:t>
      </w:r>
    </w:p>
    <w:p>
      <w:pPr>
        <w:spacing w:line="360" w:lineRule="auto" w:after="0"/>
        <w:jc w:val="both"/>
      </w:pPr>
      <w:r>
        <w:rPr>
          <w:rFonts w:ascii="宋体" w:hAnsi="宋体" w:eastAsia="宋体"/>
          <w:sz w:val="24"/>
        </w:rPr>
        <w:t>其中，左式为水平关系，右式为对时间求导后的增长率分解；</w:t>
      </w:r>
      <m:oMath>
        <m:r>
          <m:rPr>
            <m:sty m:val="p"/>
          </m:rPr>
          <m:t>d</m:t>
        </m:r>
        <m:r>
          <m:rPr>
            <m:sty m:val="p"/>
          </m:rPr>
          <m:t>ln</m:t>
        </m:r>
        <m:r>
          <m:t>η</m:t>
        </m:r>
        <m:r>
          <m:rPr>
            <m:sty m:val="p"/>
          </m:rPr>
          <m:t>/</m:t>
        </m:r>
        <m:r>
          <m:rPr>
            <m:sty m:val="p"/>
          </m:rPr>
          <m:t>d</m:t>
        </m:r>
        <m:r>
          <m:t>t</m:t>
        </m:r>
      </m:oMath>
      <w:r>
        <w:rPr>
          <w:rFonts w:ascii="宋体" w:hAnsi="宋体" w:eastAsia="宋体"/>
          <w:sz w:val="24"/>
        </w:rPr>
        <w:t>为效值的时间变化率，即技术进步带来的单枚词元能力提升速度。</w:t>
      </w:r>
    </w:p>
    <w:p>
      <w:pPr>
        <w:spacing w:line="360" w:lineRule="auto" w:after="0"/>
        <w:ind w:firstLineChars="200" w:firstLine="480"/>
        <w:jc w:val="both"/>
      </w:pPr>
      <w:r>
        <w:rPr>
          <w:rFonts w:ascii="宋体" w:hAnsi="宋体" w:eastAsia="宋体"/>
          <w:sz w:val="24"/>
        </w:rPr>
        <w:t>式(1-2)右端的分解具有直接的政策含义。观测到的名义价格下降</w:t>
      </w:r>
      <m:oMath>
        <m:r>
          <m:rPr>
            <m:sty m:val="p"/>
          </m:rPr>
          <m:t>d</m:t>
        </m:r>
        <m:r>
          <m:rPr>
            <m:sty m:val="p"/>
          </m:rPr>
          <m:t>ln</m:t>
        </m:r>
        <m:r>
          <m:t>p</m:t>
        </m:r>
        <m:r>
          <m:rPr>
            <m:sty m:val="p"/>
          </m:rPr>
          <m:t>/</m:t>
        </m:r>
        <m:r>
          <m:rPr>
            <m:sty m:val="p"/>
          </m:rPr>
          <m:t>d</m:t>
        </m:r>
        <m:r>
          <m:t>t</m:t>
        </m:r>
        <m:r>
          <m:rPr>
            <m:sty m:val="p"/>
          </m:rPr>
          <m:t>&lt;</m:t>
        </m:r>
        <m:r>
          <m:t>0</m:t>
        </m:r>
      </m:oMath>
      <w:r>
        <w:rPr>
          <w:rFonts w:ascii="宋体" w:hAnsi="宋体" w:eastAsia="宋体"/>
          <w:sz w:val="24"/>
        </w:rPr>
        <w:t>，可以分解为两个来源：一是效值提升</w:t>
      </w:r>
      <m:oMath>
        <m:r>
          <m:rPr>
            <m:sty m:val="p"/>
          </m:rPr>
          <m:t>d</m:t>
        </m:r>
        <m:r>
          <m:rPr>
            <m:sty m:val="p"/>
          </m:rPr>
          <m:t>ln</m:t>
        </m:r>
        <m:r>
          <m:t>η</m:t>
        </m:r>
        <m:r>
          <m:rPr>
            <m:sty m:val="p"/>
          </m:rPr>
          <m:t>/</m:t>
        </m:r>
        <m:r>
          <m:rPr>
            <m:sty m:val="p"/>
          </m:rPr>
          <m:t>d</m:t>
        </m:r>
        <m:r>
          <m:t>t</m:t>
        </m:r>
        <m:r>
          <m:rPr>
            <m:sty m:val="p"/>
          </m:rPr>
          <m:t>&gt;</m:t>
        </m:r>
        <m:r>
          <m:t>0</m:t>
        </m:r>
      </m:oMath>
      <w:r>
        <w:rPr>
          <w:rFonts w:ascii="宋体" w:hAnsi="宋体" w:eastAsia="宋体"/>
          <w:sz w:val="24"/>
        </w:rPr>
        <w:t>，即同样一枚词元变得更有能力，此时质量调整后的真实价格未必下降；二是真实降价，即</w:t>
      </w:r>
      <m:oMath>
        <m:r>
          <m:rPr>
            <m:sty m:val="p"/>
          </m:rPr>
          <m:t>d</m:t>
        </m:r>
        <m:r>
          <m:rPr>
            <m:sty m:val="p"/>
          </m:rPr>
          <m:t>ln</m:t>
        </m:r>
        <m:acc>
          <m:accPr>
            <m:chr m:val="̃"/>
          </m:accPr>
          <m:e>
            <m:r>
              <m:t>p</m:t>
            </m:r>
          </m:e>
        </m:acc>
        <m:r>
          <m:rPr>
            <m:sty m:val="p"/>
          </m:rPr>
          <m:t>/</m:t>
        </m:r>
        <m:r>
          <m:rPr>
            <m:sty m:val="p"/>
          </m:rPr>
          <m:t>d</m:t>
        </m:r>
        <m:r>
          <m:t>t</m:t>
        </m:r>
        <m:r>
          <m:rPr>
            <m:sty m:val="p"/>
          </m:rPr>
          <m:t>&lt;</m:t>
        </m:r>
        <m:r>
          <m:t>0</m:t>
        </m:r>
      </m:oMath>
      <w:r>
        <w:rPr>
          <w:rFonts w:ascii="宋体" w:hAnsi="宋体" w:eastAsia="宋体"/>
          <w:sz w:val="24"/>
        </w:rPr>
        <w:t>。二者的经济含义截然不同：前者是技术进步，对应生产者剩余与消费者剩余的共同扩大；后者是竞争加剧或成本下降，对应租金的重新分配。若价格统计只观测</w:t>
      </w:r>
      <m:oMath>
        <m:r>
          <m:t>p</m:t>
        </m:r>
      </m:oMath>
      <w:r>
        <w:rPr>
          <w:rFonts w:ascii="宋体" w:hAnsi="宋体" w:eastAsia="宋体"/>
          <w:sz w:val="24"/>
        </w:rPr>
        <w:t>而不观测</w:t>
      </w:r>
      <m:oMath>
        <m:r>
          <m:t>η</m:t>
        </m:r>
      </m:oMath>
      <w:r>
        <w:rPr>
          <w:rFonts w:ascii="宋体" w:hAnsi="宋体" w:eastAsia="宋体"/>
          <w:sz w:val="24"/>
        </w:rPr>
        <w:t>，就会把技术进步全部记为通货紧缩，这正是特征价格指数方法在耐用消费品与信息技术产品领域长期试图纠正的偏误（Griliches，1961；Erickson和Pakes，2011；Redding和Weinstein，2020）。本书据此并行编制物理词元价格指数与标准词元价格指数，二者的背离幅度即为质量调整的规模，其编制方法、权重与链式处理见第7章。</w:t>
      </w:r>
    </w:p>
    <w:p>
      <w:pPr>
        <w:keepNext/>
        <w:spacing w:before="160" w:after="120" w:line="360" w:lineRule="auto"/>
        <w:outlineLvl w:val="2"/>
      </w:pPr>
      <w:r>
        <w:rPr>
          <w:rFonts w:ascii="黑体" w:hAnsi="黑体" w:eastAsia="黑体"/>
          <w:sz w:val="24"/>
        </w:rPr>
        <w:t>1.4.4  转化效率、绿色词元与碳强度</w:t>
      </w:r>
    </w:p>
    <w:p>
      <w:pPr>
        <w:spacing w:line="360" w:lineRule="auto" w:after="0"/>
        <w:ind w:firstLineChars="200" w:firstLine="480"/>
        <w:jc w:val="both"/>
      </w:pPr>
      <w:r>
        <w:rPr>
          <w:rFonts w:ascii="宋体" w:hAnsi="宋体" w:eastAsia="宋体"/>
          <w:b/>
          <w:sz w:val="24"/>
        </w:rPr>
        <w:t>转化效率</w:t>
      </w:r>
      <m:oMath>
        <m:r>
          <m:t>θ</m:t>
        </m:r>
      </m:oMath>
      <w:r>
        <w:rPr>
          <w:rFonts w:ascii="宋体" w:hAnsi="宋体" w:eastAsia="宋体"/>
          <w:sz w:val="24"/>
        </w:rPr>
        <w:t>定义为单位算力（每 PFLOPS·h）产出的有效标准词元数，是连接算力投入与词元产出的技术系数，也是第9章配置分析的核心变量；按本书校准复算，六档位的转化效率从轻量蒸馏级的42.0万标准词元／PFLOPS·h递减至推理增强级的3.1万，其递减本身即说明「产能」与「产值」在词元生产中并不同向。</w:t>
      </w:r>
      <w:r>
        <w:rPr>
          <w:rFonts w:ascii="宋体" w:hAnsi="宋体" w:eastAsia="宋体"/>
          <w:b/>
          <w:sz w:val="24"/>
        </w:rPr>
        <w:t>绿色词元</w:t>
      </w:r>
      <m:oMath>
        <m:sSup>
          <m:e>
            <m:acc>
              <m:accPr>
                <m:chr m:val="̃"/>
              </m:accPr>
              <m:e>
                <m:r>
                  <m:t>T</m:t>
                </m:r>
              </m:e>
            </m:acc>
          </m:e>
          <m:sup>
            <m:r>
              <m:t>g</m:t>
            </m:r>
          </m:sup>
        </m:sSup>
      </m:oMath>
      <w:r>
        <w:rPr>
          <w:rFonts w:ascii="宋体" w:hAnsi="宋体" w:eastAsia="宋体"/>
          <w:sz w:val="24"/>
        </w:rPr>
        <w:t>定义为附有碳足迹凭证、且碳强度低于既定阈值的标准词元；</w:t>
      </w:r>
      <w:r>
        <w:rPr>
          <w:rFonts w:ascii="宋体" w:hAnsi="宋体" w:eastAsia="宋体"/>
          <w:b/>
          <w:sz w:val="24"/>
        </w:rPr>
        <w:t>碳强度</w:t>
      </w:r>
      <m:oMath>
        <m:r>
          <m:t>ι</m:t>
        </m:r>
      </m:oMath>
      <w:r>
        <w:rPr>
          <w:rFonts w:ascii="宋体" w:hAnsi="宋体" w:eastAsia="宋体"/>
          <w:sz w:val="24"/>
        </w:rPr>
        <w:t>定义为单位标准词元的二氧化碳当量排放，全书统一以 gCO₂e／千标准词元表示。这一量纲的选择有一个便利的性质：每百万标准词元耗电量（kWh）与电力排放因子（kgCO₂／kWh）相乘，所得即为每千标准词元的克数，换算系数恰为1，因而能耗强度与碳强度可以在同一张图上直接对读而无须换算。按本书测算，2026年用量加权平均碳强度为2.263 gCO₂e／千标准词元，绿色词元的界定阈值取1.0 gCO₂e／千标准词元，约为当前平均水平的44%，意味着达标需要绿电占比与服务效率的双重改进；出海导向企业对绿色词元的支付意愿溢价约8.3%。需要说明的是，公开的推理能耗测算其分母普遍是「一次查询」而非「一千枚词元」，且综合口径（含空闲备机与数据中心开销）与窄口径（仅计加速器）之间存在两倍以上差距，故本书凡涉及词元级能耗与碳排的数值一律标注为换算与校准复算结果，不表述为实测值。</w:t>
      </w:r>
    </w:p>
    <w:p>
      <w:pPr>
        <w:keepNext/>
        <w:spacing w:before="160" w:after="120" w:line="360" w:lineRule="auto"/>
        <w:outlineLvl w:val="2"/>
      </w:pPr>
      <w:r>
        <w:rPr>
          <w:rFonts w:ascii="黑体" w:hAnsi="黑体" w:eastAsia="黑体"/>
          <w:sz w:val="24"/>
        </w:rPr>
        <w:t>1.4.5  标准词元流量与智能经济生产函数</w:t>
      </w:r>
    </w:p>
    <w:p>
      <w:pPr>
        <w:spacing w:line="360" w:lineRule="auto" w:after="0"/>
        <w:ind w:firstLineChars="200" w:firstLine="480"/>
        <w:jc w:val="both"/>
      </w:pPr>
      <w:r>
        <w:rPr>
          <w:rFonts w:ascii="宋体" w:hAnsi="宋体" w:eastAsia="宋体"/>
          <w:sz w:val="24"/>
        </w:rPr>
        <w:t>把标准词元流量引入生产函数，是本书第五项创新的形式起点。按全书符号约定，记产出为</w:t>
      </w:r>
      <m:oMath>
        <m:r>
          <m:t>Y</m:t>
        </m:r>
      </m:oMath>
      <w:r>
        <w:rPr>
          <w:rFonts w:ascii="宋体" w:hAnsi="宋体" w:eastAsia="宋体"/>
          <w:sz w:val="24"/>
        </w:rPr>
        <w:t>、资本为</w:t>
      </w:r>
      <m:oMath>
        <m:r>
          <m:t>K</m:t>
        </m:r>
      </m:oMath>
      <w:r>
        <w:rPr>
          <w:rFonts w:ascii="宋体" w:hAnsi="宋体" w:eastAsia="宋体"/>
          <w:sz w:val="24"/>
        </w:rPr>
        <w:t>、劳动为</w:t>
      </w:r>
      <m:oMath>
        <m:r>
          <m:t>L</m:t>
        </m:r>
      </m:oMath>
      <w:r>
        <w:rPr>
          <w:rFonts w:ascii="宋体" w:hAnsi="宋体" w:eastAsia="宋体"/>
          <w:sz w:val="24"/>
        </w:rPr>
        <w:t>、数据要素为</w:t>
      </w:r>
      <m:oMath>
        <m:r>
          <m:t>D</m:t>
        </m:r>
      </m:oMath>
      <w:r>
        <w:rPr>
          <w:rFonts w:ascii="宋体" w:hAnsi="宋体" w:eastAsia="宋体"/>
          <w:sz w:val="24"/>
        </w:rPr>
        <w:t>、标准词元流量为</w:t>
      </w:r>
      <m:oMath>
        <m:acc>
          <m:accPr>
            <m:chr m:val="̃"/>
          </m:accPr>
          <m:e>
            <m:r>
              <m:t>T</m:t>
            </m:r>
          </m:e>
        </m:acc>
      </m:oMath>
      <w:r>
        <w:rPr>
          <w:rFonts w:ascii="宋体" w:hAnsi="宋体" w:eastAsia="宋体"/>
          <w:sz w:val="24"/>
        </w:rPr>
        <w:t>，其产出弹性依次记为</w:t>
      </w:r>
      <m:oMath>
        <m:sSub>
          <m:e>
            <m:r>
              <m:t>α</m:t>
            </m:r>
          </m:e>
          <m:sub>
            <m:r>
              <m:t>K</m:t>
            </m:r>
          </m:sub>
        </m:sSub>
      </m:oMath>
      <w:r>
        <w:rPr>
          <w:rFonts w:ascii="宋体" w:hAnsi="宋体" w:eastAsia="宋体"/>
          <w:sz w:val="24"/>
        </w:rPr>
        <w:t>、</w:t>
      </w:r>
      <m:oMath>
        <m:sSub>
          <m:e>
            <m:r>
              <m:t>α</m:t>
            </m:r>
          </m:e>
          <m:sub>
            <m:r>
              <m:t>L</m:t>
            </m:r>
          </m:sub>
        </m:sSub>
      </m:oMath>
      <w:r>
        <w:rPr>
          <w:rFonts w:ascii="宋体" w:hAnsi="宋体" w:eastAsia="宋体"/>
          <w:sz w:val="24"/>
        </w:rPr>
        <w:t>、</w:t>
      </w:r>
      <m:oMath>
        <m:sSub>
          <m:e>
            <m:r>
              <m:t>α</m:t>
            </m:r>
          </m:e>
          <m:sub>
            <m:r>
              <m:t>D</m:t>
            </m:r>
          </m:sub>
        </m:sSub>
      </m:oMath>
      <w:r>
        <w:rPr>
          <w:rFonts w:ascii="宋体" w:hAnsi="宋体" w:eastAsia="宋体"/>
          <w:sz w:val="24"/>
        </w:rPr>
        <w:t>与</w:t>
      </w:r>
      <m:oMath>
        <m:sSub>
          <m:e>
            <m:r>
              <m:t>α</m:t>
            </m:r>
          </m:e>
          <m:sub>
            <m:r>
              <m:t>T</m:t>
            </m:r>
          </m:sub>
        </m:sSub>
      </m:oMath>
      <w:r>
        <w:rPr>
          <w:rFonts w:ascii="宋体" w:hAnsi="宋体" w:eastAsia="宋体"/>
          <w:sz w:val="24"/>
        </w:rPr>
        <w:t>（本书不使用</w:t>
      </w:r>
      <m:oMath>
        <m:r>
          <m:t>α</m:t>
        </m:r>
      </m:oMath>
      <w:r>
        <w:rPr>
          <w:rFonts w:ascii="宋体" w:hAnsi="宋体" w:eastAsia="宋体"/>
          <w:sz w:val="24"/>
        </w:rPr>
        <w:t>、</w:t>
      </w:r>
      <m:oMath>
        <m:r>
          <m:t>β</m:t>
        </m:r>
      </m:oMath>
      <w:r>
        <w:rPr>
          <w:rFonts w:ascii="宋体" w:hAnsi="宋体" w:eastAsia="宋体"/>
          <w:sz w:val="24"/>
        </w:rPr>
        <w:t>等简写，以免与匹配函数与博弈参数混淆），设定柯布—道格拉斯形式的智能经济生产函数：</w:t>
      </w:r>
    </w:p>
    <w:p>
      <w:pPr>
        <w:tabs>
          <w:tab w:pos="4252" w:val="center"/>
          <w:tab w:pos="8504" w:val="right"/>
        </w:tabs>
        <w:spacing w:line="360" w:lineRule="auto" w:before="80" w:after="80"/>
      </w:pPr>
      <w:r>
        <w:tab/>
      </w:r>
      <m:oMath>
        <m:sSub>
          <m:e>
            <m:r>
              <m:t>Y</m:t>
            </m:r>
          </m:e>
          <m:sub>
            <m:r>
              <m:t>t</m:t>
            </m:r>
          </m:sub>
        </m:sSub>
        <m:r>
          <m:rPr>
            <m:sty m:val="p"/>
          </m:rPr>
          <m:t>=</m:t>
        </m:r>
        <m:sSub>
          <m:e>
            <m:r>
              <m:t>A</m:t>
            </m:r>
          </m:e>
          <m:sub>
            <m:r>
              <m:t>t</m:t>
            </m:r>
          </m:sub>
        </m:sSub>
        <m:r>
          <m:t> </m:t>
        </m:r>
        <m:sSubSup>
          <m:e>
            <m:r>
              <m:t>K</m:t>
            </m:r>
          </m:e>
          <m:sub>
            <m:r>
              <m:t>t</m:t>
            </m:r>
          </m:sub>
          <m:sup>
            <m:sSub>
              <m:e>
                <m:r>
                  <m:t>α</m:t>
                </m:r>
              </m:e>
              <m:sub>
                <m:r>
                  <m:t>K</m:t>
                </m:r>
              </m:sub>
            </m:sSub>
          </m:sup>
        </m:sSubSup>
        <m:r>
          <m:t> </m:t>
        </m:r>
        <m:sSubSup>
          <m:e>
            <m:r>
              <m:t>L</m:t>
            </m:r>
          </m:e>
          <m:sub>
            <m:r>
              <m:t>t</m:t>
            </m:r>
          </m:sub>
          <m:sup>
            <m:sSub>
              <m:e>
                <m:r>
                  <m:t>α</m:t>
                </m:r>
              </m:e>
              <m:sub>
                <m:r>
                  <m:t>L</m:t>
                </m:r>
              </m:sub>
            </m:sSub>
          </m:sup>
        </m:sSubSup>
        <m:r>
          <m:t> </m:t>
        </m:r>
        <m:sSubSup>
          <m:e>
            <m:r>
              <m:t>D</m:t>
            </m:r>
          </m:e>
          <m:sub>
            <m:r>
              <m:t>t</m:t>
            </m:r>
          </m:sub>
          <m:sup>
            <m:sSub>
              <m:e>
                <m:r>
                  <m:t>α</m:t>
                </m:r>
              </m:e>
              <m:sub>
                <m:r>
                  <m:t>D</m:t>
                </m:r>
              </m:sub>
            </m:sSub>
          </m:sup>
        </m:sSubSup>
        <m:r>
          <m:t> </m:t>
        </m:r>
        <m:sSubSup>
          <m:e>
            <m:acc>
              <m:accPr>
                <m:chr m:val="̃"/>
              </m:accPr>
              <m:e>
                <m:r>
                  <m:t>T</m:t>
                </m:r>
              </m:e>
            </m:acc>
          </m:e>
          <m:sub>
            <m:r>
              <m:t>t</m:t>
            </m:r>
          </m:sub>
          <m:sup>
            <m:sSub>
              <m:e>
                <m:r>
                  <m:t>α</m:t>
                </m:r>
              </m:e>
              <m:sub>
                <m:r>
                  <m:t>T</m:t>
                </m:r>
              </m:sub>
            </m:sSub>
          </m:sup>
        </m:sSubSup>
      </m:oMath>
      <w:r>
        <w:tab/>
      </w:r>
      <w:r>
        <w:rPr>
          <w:rFonts w:ascii="Times New Roman" w:hAnsi="Times New Roman" w:eastAsia="宋体"/>
          <w:sz w:val="24"/>
        </w:rPr>
        <w:t>(1-3)</w:t>
      </w:r>
    </w:p>
    <w:p>
      <w:pPr>
        <w:spacing w:line="360" w:lineRule="auto" w:after="0"/>
        <w:jc w:val="both"/>
      </w:pPr>
      <w:r>
        <w:rPr>
          <w:rFonts w:ascii="宋体" w:hAnsi="宋体" w:eastAsia="宋体"/>
          <w:sz w:val="24"/>
        </w:rPr>
        <w:t>其中，</w:t>
      </w:r>
      <m:oMath>
        <m:sSub>
          <m:e>
            <m:r>
              <m:t>A</m:t>
            </m:r>
          </m:e>
          <m:sub>
            <m:r>
              <m:t>t</m:t>
            </m:r>
          </m:sub>
        </m:sSub>
      </m:oMath>
      <w:r>
        <w:rPr>
          <w:rFonts w:ascii="宋体" w:hAnsi="宋体" w:eastAsia="宋体"/>
          <w:sz w:val="24"/>
        </w:rPr>
        <w:t>为全要素生产率，</w:t>
      </w:r>
      <m:oMath>
        <m:sSub>
          <m:e>
            <m:r>
              <m:t>α</m:t>
            </m:r>
          </m:e>
          <m:sub>
            <m:r>
              <m:t>T</m:t>
            </m:r>
          </m:sub>
        </m:sSub>
      </m:oMath>
      <w:r>
        <w:rPr>
          <w:rFonts w:ascii="宋体" w:hAnsi="宋体" w:eastAsia="宋体"/>
          <w:sz w:val="24"/>
        </w:rPr>
        <w:t>即标准词元流量的产出弹性，是本书从残差测度转向过程观测的关键参数。</w:t>
      </w:r>
    </w:p>
    <w:p>
      <w:pPr>
        <w:spacing w:line="360" w:lineRule="auto" w:after="0"/>
        <w:ind w:firstLineChars="200" w:firstLine="480"/>
        <w:jc w:val="both"/>
      </w:pPr>
      <w:r>
        <w:rPr>
          <w:rFonts w:ascii="宋体" w:hAnsi="宋体" w:eastAsia="宋体"/>
          <w:sz w:val="24"/>
        </w:rPr>
        <w:t>式(1-3)的意义在于把人工智能的贡献从</w:t>
      </w:r>
      <m:oMath>
        <m:sSub>
          <m:e>
            <m:r>
              <m:t>A</m:t>
            </m:r>
          </m:e>
          <m:sub>
            <m:r>
              <m:t>t</m:t>
            </m:r>
          </m:sub>
        </m:sSub>
      </m:oMath>
      <w:r>
        <w:rPr>
          <w:rFonts w:ascii="宋体" w:hAnsi="宋体" w:eastAsia="宋体"/>
          <w:sz w:val="24"/>
        </w:rPr>
        <w:t>中显性分离出来。在传统三要素核算中，人工智能的影响只能经由全要素生产率残差被间接感知，既无法区分「使用强度上升」与「使用效率提高」，也无法在区域与行业间做结构分解。引入</w:t>
      </w:r>
      <m:oMath>
        <m:acc>
          <m:accPr>
            <m:chr m:val="̃"/>
          </m:accPr>
          <m:e>
            <m:r>
              <m:t>T</m:t>
            </m:r>
          </m:e>
        </m:acc>
      </m:oMath>
      <w:r>
        <w:rPr>
          <w:rFonts w:ascii="宋体" w:hAnsi="宋体" w:eastAsia="宋体"/>
          <w:sz w:val="24"/>
        </w:rPr>
        <w:t>之后，增长核算式变为各要素增长率的弹性加权和加上残差，人工智能的直接贡献即为</w:t>
      </w:r>
      <m:oMath>
        <m:sSub>
          <m:e>
            <m:r>
              <m:t>α</m:t>
            </m:r>
          </m:e>
          <m:sub>
            <m:r>
              <m:t>T</m:t>
            </m:r>
          </m:sub>
        </m:sSub>
      </m:oMath>
      <w:r>
        <w:rPr>
          <w:rFonts w:ascii="宋体" w:hAnsi="宋体" w:eastAsia="宋体"/>
          <w:sz w:val="24"/>
        </w:rPr>
        <w:t>与标准词元流量增长率之积。这里必须使用标准词元而非物理词元：若以物理词元入式，模型结构变化引起的效值变动会被错误地计入弹性估计，导致系数不稳定且缺乏跨期可比性。按本书基于区域面板的估计，四项弹性分别为0.318、0.276、0.094与0.108，均在1%水平显著；2026年标准词元流量对产出增长的直接贡献为0.34个百分点，占实际增长率的6.8%；不引入词元变量时全要素生产率残差为2.41%，引入后降至2.12%，残差高估0.29个百分点。这一结果与资本服务测度传统的启示同构：把此前未被单独计量的投入显性化，残差便相应缩小，增长的来源随之变得可解释。完整设定、识别策略与稳健性检验见第12章。</w:t>
      </w:r>
    </w:p>
    <w:p>
      <w:pPr>
        <w:keepNext/>
        <w:spacing w:before="160" w:after="120" w:line="360" w:lineRule="auto"/>
        <w:outlineLvl w:val="1"/>
      </w:pPr>
      <w:r>
        <w:rPr>
          <w:rFonts w:ascii="黑体" w:hAnsi="黑体" w:eastAsia="黑体"/>
          <w:sz w:val="28"/>
        </w:rPr>
        <w:t>1.5  研究思路、方法与技术路线</w:t>
      </w:r>
    </w:p>
    <w:p>
      <w:pPr>
        <w:spacing w:line="360" w:lineRule="auto" w:after="0"/>
        <w:ind w:firstLineChars="200" w:firstLine="480"/>
        <w:jc w:val="both"/>
      </w:pPr>
      <w:r>
        <w:rPr>
          <w:rFonts w:ascii="宋体" w:hAnsi="宋体" w:eastAsia="宋体"/>
          <w:sz w:val="24"/>
        </w:rPr>
        <w:t>本书的研究思路可概括为「一条主线、三大模块、两级转化」。一条主线是标准词元，即以效值折算把物理词元变换为可比、可加的当量单位，并使其依次承担价值尺度、定价基准、配置信号与增长核算变量四重职能；三大模块是计量、定价与配置增长，分别回应三个科学问题；两级转化是指全部理论结论先经区域实践与案例证据的检验，再转化为可操作的政策建议，并由政策实施的反馈回到参数再标定。与之匹配的方法体系是多方法组合而非单一方法：概念界定与属性刻画采用规范分析与形式化建模；折算体系采用公理化方法，先由公理约束函数形式，再以基准任务集标定参数，并以放宽形式假定的交叉验证做证伪检验；价格分析采用指数编制方法与面板计量，需求侧估计词元需求的价格弹性；配置分析采用整数规划与其线性松弛刻画任务—模型匹配，以排队论刻画并发与时延；组织与机制分析采用比较制度分析、三方演化博弈与层次分析法；区域实践部分采用多案例比较与扎根理论编码，并与定量结论做三角验证。本书的技术路线如图1.1所示。</w:t>
      </w:r>
    </w:p>
    <w:p>
      <w:pPr>
        <w:spacing w:before="120" w:after="40"/>
        <w:jc w:val="center"/>
      </w:pPr>
      <w:r>
        <w:drawing>
          <wp:inline xmlns:a="http://schemas.openxmlformats.org/drawingml/2006/main" xmlns:pic="http://schemas.openxmlformats.org/drawingml/2006/picture">
            <wp:extent cx="4860000" cy="4860000"/>
            <wp:docPr id="1" name="Picture 1"/>
            <wp:cNvGraphicFramePr>
              <a:graphicFrameLocks noChangeAspect="1"/>
            </wp:cNvGraphicFramePr>
            <a:graphic>
              <a:graphicData uri="http://schemas.openxmlformats.org/drawingml/2006/picture">
                <pic:pic>
                  <pic:nvPicPr>
                    <pic:cNvPr id="0" name="fig1_1.png"/>
                    <pic:cNvPicPr/>
                  </pic:nvPicPr>
                  <pic:blipFill>
                    <a:blip r:embed="rId9"/>
                    <a:stretch>
                      <a:fillRect/>
                    </a:stretch>
                  </pic:blipFill>
                  <pic:spPr>
                    <a:xfrm>
                      <a:off x="0" y="0"/>
                      <a:ext cx="4860000" cy="4860000"/>
                    </a:xfrm>
                    <a:prstGeom prst="rect"/>
                  </pic:spPr>
                </pic:pic>
              </a:graphicData>
            </a:graphic>
          </wp:inline>
        </w:drawing>
      </w:r>
    </w:p>
    <w:p>
      <w:pPr>
        <w:keepNext w:val="0"/>
        <w:spacing w:after="200"/>
        <w:jc w:val="center"/>
      </w:pPr>
      <w:r>
        <w:rPr>
          <w:rFonts w:ascii="黑体" w:hAnsi="黑体" w:eastAsia="黑体"/>
          <w:sz w:val="21"/>
        </w:rPr>
        <w:t>图1.1  本书研究技术路线</w:t>
      </w:r>
    </w:p>
    <w:p>
      <w:pPr>
        <w:spacing w:line="360" w:lineRule="auto" w:after="0"/>
        <w:ind w:firstLineChars="200" w:firstLine="480"/>
        <w:jc w:val="both"/>
      </w:pPr>
      <w:r>
        <w:rPr>
          <w:rFonts w:ascii="宋体" w:hAnsi="宋体" w:eastAsia="宋体"/>
          <w:sz w:val="24"/>
        </w:rPr>
        <w:t>图1.1的结构体现了本书的三个方法论主张。其一，问题的起点不是理论缺口而是现实矛盾：顶端的「物理词元不等值」并非从文献中推演出来的假设，而是由第3、4章的经验事实所确证的现象，它经由定价、补贴、统计与出海四个界面外化为四类具体障碍，构成本书的问题域。其二，三个科学问题与三大研究模块严格对应，且模块之间是单向依赖而非相互独立：计量模块的输出（效值系数与标准词元口径）是定价模块的输入，定价模块的输出（标准词元价格与价格指数）又是配置模块判断资源是否错配的依据。这一依赖结构决定了本书各章不可打乱阅读顺序。其三，左侧贯通全图的纵向主线标明了标准词元在四种职能之间的流转，右侧的虚线反馈回路则表示政策实施与实践检验对参数标定的修订作用——这一回路的存在意味着本书的折算权重、阈值与情景参数都是可随实践更新的开放参数，而非一次性给定的常数。</w:t>
      </w:r>
    </w:p>
    <w:p>
      <w:pPr>
        <w:spacing w:line="360" w:lineRule="auto" w:after="0"/>
        <w:ind w:firstLineChars="200" w:firstLine="480"/>
        <w:jc w:val="both"/>
      </w:pPr>
      <w:r>
        <w:rPr>
          <w:rFonts w:ascii="宋体" w:hAnsi="宋体" w:eastAsia="宋体"/>
          <w:sz w:val="24"/>
        </w:rPr>
        <w:t>在数据与结果的使用上，本书恪守两条纪律，并在此一并声明，后续各章不再逐一重复。第一，宏观事实一律取自经过逐条核实的事实库，标注发布主体、统计边界与时点；不同口径的数字不并列比较，不做跨口径折算与除法；凡官方未单独发布的时点，一律标明为校准复算插值。第二，模型估计与模拟结果一律取自统一的校准复算体系，其锚点、随机种子与生成规则固定且可复现；表中数值与正文数值同源，不存在手工调整。之所以强调这两条，是因为词元领域的数字环境格外嘈杂：调用量、算力规模、利用率、价格与能耗各自都有三套以上互不相通的口径，稍有不慎便会得出「中国智能算力超过全球总量」一类的荒谬结论。计量研究若自身不守计量纪律，其结论便无从取信。</w:t>
      </w:r>
    </w:p>
    <w:p>
      <w:pPr>
        <w:keepNext/>
        <w:spacing w:before="160" w:after="120" w:line="360" w:lineRule="auto"/>
        <w:outlineLvl w:val="1"/>
      </w:pPr>
      <w:r>
        <w:rPr>
          <w:rFonts w:ascii="黑体" w:hAnsi="黑体" w:eastAsia="黑体"/>
          <w:sz w:val="28"/>
        </w:rPr>
        <w:t>1.6  结构安排</w:t>
      </w:r>
    </w:p>
    <w:p>
      <w:pPr>
        <w:spacing w:line="360" w:lineRule="auto" w:after="0"/>
        <w:ind w:firstLineChars="200" w:firstLine="480"/>
        <w:jc w:val="both"/>
      </w:pPr>
      <w:r>
        <w:rPr>
          <w:rFonts w:ascii="宋体" w:hAnsi="宋体" w:eastAsia="宋体"/>
          <w:sz w:val="24"/>
        </w:rPr>
        <w:t>全书共14章，按逻辑功能分为五篇。第一篇总起，含第1、2章：第1章为导论，第2章系统梳理价值理论在认知生产中的拓展、计量单位演进的经济学、当量折算的经济学传统、通用目的技术与索洛生产率悖论、数字产品定价与双边平台理论以及增长核算的理论脉络，并在文献述评中定位本书的研究缺口。第二篇属性与事实，含第3、4章：第3章刻画词元的技术属性与八项经济属性，并以各档位模型的算力—价格—质量三维离散度形式化地提出非同质性问题；第4章描述词元经济的发展格局与典型事实，包括调用量演进、模型市场结构、场景结构、价格演进、算力供给格局与利用率现状。第三篇计量与价值，含第5、6章，是全书的理论核心：第5章构建标准词元效值折算体系，第6章讨论词元的价值创造、实现与增值。第四篇定价与市场，含第7、8章：第7章提出词元定价的三层结构理论并编制两套价格指数；第8章分析词元市场的结构、竞争与均衡，包括需求弹性、成本曲线、市场集中度与市场失灵。第五篇配置、增长与实践，含第9至14章：第9章分析算力—词元转化效率与配置优化；第10章研究城市词元运营中心的组织模式与机制设计；第11章讨论绿色词元的能耗、碳足迹与可信溯源；第12章测度词元经济的增长贡献；第13章开展区域实践与多案例研究；第14章归纳结论、提出政策建议并展望后续研究。全书结构与章节安排如图1.2所示。</w:t>
      </w:r>
    </w:p>
    <w:p>
      <w:pPr>
        <w:spacing w:before="120" w:after="40"/>
        <w:jc w:val="center"/>
      </w:pPr>
      <w:r>
        <w:drawing>
          <wp:inline xmlns:a="http://schemas.openxmlformats.org/drawingml/2006/main" xmlns:pic="http://schemas.openxmlformats.org/drawingml/2006/picture">
            <wp:extent cx="4860000" cy="4669071"/>
            <wp:docPr id="2" name="Picture 2"/>
            <wp:cNvGraphicFramePr>
              <a:graphicFrameLocks noChangeAspect="1"/>
            </wp:cNvGraphicFramePr>
            <a:graphic>
              <a:graphicData uri="http://schemas.openxmlformats.org/drawingml/2006/picture">
                <pic:pic>
                  <pic:nvPicPr>
                    <pic:cNvPr id="0" name="fig1_2.png"/>
                    <pic:cNvPicPr/>
                  </pic:nvPicPr>
                  <pic:blipFill>
                    <a:blip r:embed="rId10"/>
                    <a:stretch>
                      <a:fillRect/>
                    </a:stretch>
                  </pic:blipFill>
                  <pic:spPr>
                    <a:xfrm>
                      <a:off x="0" y="0"/>
                      <a:ext cx="4860000" cy="4669071"/>
                    </a:xfrm>
                    <a:prstGeom prst="rect"/>
                  </pic:spPr>
                </pic:pic>
              </a:graphicData>
            </a:graphic>
          </wp:inline>
        </w:drawing>
      </w:r>
    </w:p>
    <w:p>
      <w:pPr>
        <w:keepNext w:val="0"/>
        <w:spacing w:after="200"/>
        <w:jc w:val="center"/>
      </w:pPr>
      <w:r>
        <w:rPr>
          <w:rFonts w:ascii="黑体" w:hAnsi="黑体" w:eastAsia="黑体"/>
          <w:sz w:val="21"/>
        </w:rPr>
        <w:t>图1.2  全书结构与章节安排</w:t>
      </w:r>
    </w:p>
    <w:p>
      <w:pPr>
        <w:spacing w:line="360" w:lineRule="auto" w:after="0"/>
        <w:ind w:firstLineChars="200" w:firstLine="480"/>
        <w:jc w:val="both"/>
      </w:pPr>
      <w:r>
        <w:rPr>
          <w:rFonts w:ascii="宋体" w:hAnsi="宋体" w:eastAsia="宋体"/>
          <w:sz w:val="24"/>
        </w:rPr>
        <w:t>图1.2所示的五篇结构并非简单的主题分组，而是对应着从概念到证据、从证据到理论、从理论到机制、从机制到政策的完整链条。其中有三处衔接需要读者特别留意。第一处是第3章末与第5章的衔接：第3章以经验证据证明物理词元不可加，是「问题的提出」；第5章给出折算体系，是「问题的解决」，二者之间的第4章提供的是问题的宏观规模与紧迫性。第二处是第5章与第7、9、11、12章的衔接：效值系数一经标定，即同时作为价格指数的质量调整因子、配置分析中的效值损失度量、碳强度核算的分母以及增长核算的流量变量进入后续四章——这四条输出线是标准词元「一体四用」的具体体现，也是检验折算体系是否真正有用的四块试金石。第三处是第13章与前面各定量章节的衔接：多案例研究不是理论的例证，而是对定量结论的独立检验，其五城能力画像与访谈编码结果将与第5、7、9、12章的测算结论做三角验证，若二者背离，则须回到模型设定重新审视。</w:t>
      </w:r>
    </w:p>
    <w:p>
      <w:pPr>
        <w:spacing w:line="360" w:lineRule="auto" w:after="0"/>
        <w:ind w:firstLineChars="200" w:firstLine="480"/>
        <w:jc w:val="both"/>
      </w:pPr>
      <w:r>
        <w:rPr>
          <w:rFonts w:ascii="宋体" w:hAnsi="宋体" w:eastAsia="宋体"/>
          <w:sz w:val="24"/>
        </w:rPr>
        <w:t>考虑到读者背景的差异，此处给出三条阅读路径。关注计量方法的读者，可循第1章、第3章、第5章、第12章的主干阅读，这条路径完整呈现了「问题—折算—核算」的方法链条；关注产业与市场的读者，可循第4章、第7章、第8章、第9章阅读，这条路径侧重典型事实、价格结构、市场均衡与配置效率；关注政策制定与地方实践的读者，可循第4章、第10章、第11章、第13章、第14章阅读，这条路径以运营组织、绿色治理、区域案例与政策建议为主。需要提醒的是，三条路径均以第5章为交汇点：效值折算体系既是方法路径的核心，也是产业路径中价格与效率分析的前提，还是政策路径中补贴核定与绿色认证的计量依据。跳过第5章而直接阅读后续章节，将难以理解各章中反复出现的「标准词元」究竟如何得来、其权重为何如此设定。</w:t>
      </w:r>
    </w:p>
    <w:p>
      <w:pPr>
        <w:keepNext/>
        <w:spacing w:before="160" w:after="120" w:line="360" w:lineRule="auto"/>
        <w:outlineLvl w:val="1"/>
      </w:pPr>
      <w:r>
        <w:rPr>
          <w:rFonts w:ascii="黑体" w:hAnsi="黑体" w:eastAsia="黑体"/>
          <w:sz w:val="28"/>
        </w:rPr>
        <w:t>1.7  主要创新</w:t>
      </w:r>
    </w:p>
    <w:p>
      <w:pPr>
        <w:spacing w:line="360" w:lineRule="auto" w:after="0"/>
        <w:ind w:firstLineChars="200" w:firstLine="480"/>
        <w:jc w:val="both"/>
      </w:pPr>
      <w:r>
        <w:rPr>
          <w:rFonts w:ascii="宋体" w:hAnsi="宋体" w:eastAsia="宋体"/>
          <w:sz w:val="24"/>
        </w:rPr>
        <w:t>本书的创新集中于五个方面，其相对既有研究的理论增量与关键测算结果见表1.1。总体而言，这五项创新围绕同一条主轴展开：把「计量」这一被普遍视为技术性、辅助性的环节，重新确立为智能经济分析的理论前提，并由此重新组织定价、配置与增长三个传统议题。</w:t>
      </w:r>
    </w:p>
    <w:p>
      <w:pPr>
        <w:keepNext/>
        <w:spacing w:before="160" w:after="40"/>
        <w:jc w:val="center"/>
      </w:pPr>
      <w:r>
        <w:rPr>
          <w:rFonts w:ascii="黑体" w:hAnsi="黑体" w:eastAsia="黑体"/>
          <w:sz w:val="21"/>
        </w:rPr>
        <w:t>表1.1  本书五项理论创新及其核心内容</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创新点</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相对既有研究的理论增量</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关键测算结果</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对应章节</w:t>
            </w:r>
          </w:p>
        </w:tc>
      </w:tr>
      <w:tr>
        <w:tc>
          <w:tcPr>
            <w:tcW w:type="dxa" w:w="2126"/>
            <w:vAlign w:val="center"/>
          </w:tcPr>
          <w:p>
            <w:pPr>
              <w:spacing w:line="240" w:lineRule="auto" w:after="20" w:before="20"/>
              <w:jc w:val="left"/>
            </w:pPr>
            <w:r/>
            <w:r>
              <w:rPr>
                <w:rFonts w:ascii="宋体" w:hAnsi="宋体" w:eastAsia="宋体"/>
                <w:sz w:val="21"/>
              </w:rPr>
              <w:t>标准词元效值折算体系</w:t>
            </w:r>
          </w:p>
        </w:tc>
        <w:tc>
          <w:tcPr>
            <w:tcW w:type="dxa" w:w="2126"/>
            <w:vAlign w:val="center"/>
          </w:tcPr>
          <w:p>
            <w:pPr>
              <w:spacing w:line="240" w:lineRule="auto" w:after="20" w:before="20"/>
              <w:jc w:val="left"/>
            </w:pPr>
            <w:r/>
            <w:r>
              <w:rPr>
                <w:rFonts w:ascii="宋体" w:hAnsi="宋体" w:eastAsia="宋体"/>
                <w:sz w:val="21"/>
              </w:rPr>
              <w:t>既有词元评价工作均为多维并列评分，产出的是维度得分或达标基线，无法把异质词元合成为可加总、可计价、可入账的单一当量；本书由基准归一、单调性、可加性与传递一致性四条公理约束折算函数的形式，证明其必为幂积形式并给出标定与证伪程序，实现由「多维评价」向「当量折算」的推进</w:t>
            </w:r>
          </w:p>
        </w:tc>
        <w:tc>
          <w:tcPr>
            <w:tcW w:type="dxa" w:w="2126"/>
            <w:vAlign w:val="center"/>
          </w:tcPr>
          <w:p>
            <w:pPr>
              <w:spacing w:line="240" w:lineRule="auto" w:after="20" w:before="20"/>
              <w:jc w:val="left"/>
            </w:pPr>
            <w:r/>
            <w:r>
              <w:rPr>
                <w:rFonts w:ascii="宋体" w:hAnsi="宋体" w:eastAsia="宋体"/>
                <w:sz w:val="21"/>
              </w:rPr>
              <w:t>折算前后单位价格的变异系数由0.92降至0.31（下降约66%），基尼系数由0.47降至0.17，最高与最低之比由12.6倍收敛至2.4倍</w:t>
            </w:r>
          </w:p>
        </w:tc>
        <w:tc>
          <w:tcPr>
            <w:tcW w:type="dxa" w:w="2126"/>
            <w:vAlign w:val="center"/>
          </w:tcPr>
          <w:p>
            <w:pPr>
              <w:spacing w:line="240" w:lineRule="auto" w:after="20" w:before="20"/>
              <w:jc w:val="center"/>
            </w:pPr>
            <w:r/>
            <w:r>
              <w:rPr>
                <w:rFonts w:ascii="宋体" w:hAnsi="宋体" w:eastAsia="宋体"/>
                <w:sz w:val="21"/>
              </w:rPr>
              <w:t>第5章</w:t>
            </w:r>
          </w:p>
        </w:tc>
      </w:tr>
      <w:tr>
        <w:tc>
          <w:tcPr>
            <w:tcW w:type="dxa" w:w="2126"/>
            <w:vAlign w:val="center"/>
          </w:tcPr>
          <w:p>
            <w:pPr>
              <w:spacing w:line="240" w:lineRule="auto" w:after="20" w:before="20"/>
              <w:jc w:val="left"/>
            </w:pPr>
            <w:r/>
            <w:r>
              <w:rPr>
                <w:rFonts w:ascii="宋体" w:hAnsi="宋体" w:eastAsia="宋体"/>
                <w:sz w:val="21"/>
              </w:rPr>
              <w:t>词元定价的三层结构理论</w:t>
            </w:r>
          </w:p>
        </w:tc>
        <w:tc>
          <w:tcPr>
            <w:tcW w:type="dxa" w:w="2126"/>
            <w:vAlign w:val="center"/>
          </w:tcPr>
          <w:p>
            <w:pPr>
              <w:spacing w:line="240" w:lineRule="auto" w:after="20" w:before="20"/>
              <w:jc w:val="left"/>
            </w:pPr>
            <w:r/>
            <w:r>
              <w:rPr>
                <w:rFonts w:ascii="宋体" w:hAnsi="宋体" w:eastAsia="宋体"/>
                <w:sz w:val="21"/>
              </w:rPr>
              <w:t>在零边际成本条件下重构定价分析，把词元价格分解为由算力与能源决定的成本底价层、由模型能力决定的效值溢价层与由应用价值可占有份额决定的场景租金层，据此同时解释通用词元价格下行与高效值词元溢价扩大的并存，并给出质量调整的价格指数编制方案</w:t>
            </w:r>
          </w:p>
        </w:tc>
        <w:tc>
          <w:tcPr>
            <w:tcW w:type="dxa" w:w="2126"/>
            <w:vAlign w:val="center"/>
          </w:tcPr>
          <w:p>
            <w:pPr>
              <w:spacing w:line="240" w:lineRule="auto" w:after="20" w:before="20"/>
              <w:jc w:val="left"/>
            </w:pPr>
            <w:r/>
            <w:r>
              <w:rPr>
                <w:rFonts w:ascii="宋体" w:hAnsi="宋体" w:eastAsia="宋体"/>
                <w:sz w:val="21"/>
              </w:rPr>
              <w:t>以2024年第一季度为100，2026年第二季度物理词元价格指数降至21、标准词元价格指数为47；累计降幅中约53%来自效值提升、约47%为真实降价；需求价格弹性-1.34</w:t>
            </w:r>
          </w:p>
        </w:tc>
        <w:tc>
          <w:tcPr>
            <w:tcW w:type="dxa" w:w="2126"/>
            <w:vAlign w:val="center"/>
          </w:tcPr>
          <w:p>
            <w:pPr>
              <w:spacing w:line="240" w:lineRule="auto" w:after="20" w:before="20"/>
              <w:jc w:val="center"/>
            </w:pPr>
            <w:r/>
            <w:r>
              <w:rPr>
                <w:rFonts w:ascii="宋体" w:hAnsi="宋体" w:eastAsia="宋体"/>
                <w:sz w:val="21"/>
              </w:rPr>
              <w:t>第7章</w:t>
            </w:r>
          </w:p>
        </w:tc>
      </w:tr>
      <w:tr>
        <w:tc>
          <w:tcPr>
            <w:tcW w:type="dxa" w:w="2126"/>
            <w:vAlign w:val="center"/>
          </w:tcPr>
          <w:p>
            <w:pPr>
              <w:spacing w:line="240" w:lineRule="auto" w:after="20" w:before="20"/>
              <w:jc w:val="left"/>
            </w:pPr>
            <w:r/>
            <w:r>
              <w:rPr>
                <w:rFonts w:ascii="宋体" w:hAnsi="宋体" w:eastAsia="宋体"/>
                <w:sz w:val="21"/>
              </w:rPr>
              <w:t>算力—词元转化效率与配置悖论分解</w:t>
            </w:r>
          </w:p>
        </w:tc>
        <w:tc>
          <w:tcPr>
            <w:tcW w:type="dxa" w:w="2126"/>
            <w:vAlign w:val="center"/>
          </w:tcPr>
          <w:p>
            <w:pPr>
              <w:spacing w:line="240" w:lineRule="auto" w:after="20" w:before="20"/>
              <w:jc w:val="left"/>
            </w:pPr>
            <w:r/>
            <w:r>
              <w:rPr>
                <w:rFonts w:ascii="宋体" w:hAnsi="宋体" w:eastAsia="宋体"/>
                <w:sz w:val="21"/>
              </w:rPr>
              <w:t>构造由算力到有效标准词元的转化函数，把「智算利用率仅五至七成而算力仍在扩建」的悖论分解为空转、批次、匹配与效值四项损失，其中后两项只有在建立标准词元尺度后方可识别，并以任务—模型最优匹配给出统一调度的效率改进上界</w:t>
            </w:r>
          </w:p>
        </w:tc>
        <w:tc>
          <w:tcPr>
            <w:tcW w:type="dxa" w:w="2126"/>
            <w:vAlign w:val="center"/>
          </w:tcPr>
          <w:p>
            <w:pPr>
              <w:spacing w:line="240" w:lineRule="auto" w:after="20" w:before="20"/>
              <w:jc w:val="left"/>
            </w:pPr>
            <w:r/>
            <w:r>
              <w:rPr>
                <w:rFonts w:ascii="宋体" w:hAnsi="宋体" w:eastAsia="宋体"/>
                <w:sz w:val="21"/>
              </w:rPr>
              <w:t>名义利用率62%，有效效值利用率仅38%；最优匹配后升至54%（相对改进42%），理论上界61%</w:t>
            </w:r>
          </w:p>
        </w:tc>
        <w:tc>
          <w:tcPr>
            <w:tcW w:type="dxa" w:w="2126"/>
            <w:vAlign w:val="center"/>
          </w:tcPr>
          <w:p>
            <w:pPr>
              <w:spacing w:line="240" w:lineRule="auto" w:after="20" w:before="20"/>
              <w:jc w:val="center"/>
            </w:pPr>
            <w:r/>
            <w:r>
              <w:rPr>
                <w:rFonts w:ascii="宋体" w:hAnsi="宋体" w:eastAsia="宋体"/>
                <w:sz w:val="21"/>
              </w:rPr>
              <w:t>第9章</w:t>
            </w:r>
          </w:p>
        </w:tc>
      </w:tr>
      <w:tr>
        <w:tc>
          <w:tcPr>
            <w:tcW w:type="dxa" w:w="2126"/>
            <w:vAlign w:val="center"/>
          </w:tcPr>
          <w:p>
            <w:pPr>
              <w:spacing w:line="240" w:lineRule="auto" w:after="20" w:before="20"/>
              <w:jc w:val="left"/>
            </w:pPr>
            <w:r/>
            <w:r>
              <w:rPr>
                <w:rFonts w:ascii="宋体" w:hAnsi="宋体" w:eastAsia="宋体"/>
                <w:sz w:val="21"/>
              </w:rPr>
              <w:t>城市词元运营中心的组织模式与机制设计</w:t>
            </w:r>
          </w:p>
        </w:tc>
        <w:tc>
          <w:tcPr>
            <w:tcW w:type="dxa" w:w="2126"/>
            <w:vAlign w:val="center"/>
          </w:tcPr>
          <w:p>
            <w:pPr>
              <w:spacing w:line="240" w:lineRule="auto" w:after="20" w:before="20"/>
              <w:jc w:val="left"/>
            </w:pPr>
            <w:r/>
            <w:r>
              <w:rPr>
                <w:rFonts w:ascii="宋体" w:hAnsi="宋体" w:eastAsia="宋体"/>
                <w:sz w:val="21"/>
              </w:rPr>
              <w:t>以比较制度分析刻画基础电信运营商、城投集团、数据集团、数据交易所与政策制定者五类主体的资产禀赋—职能匹配关系，为存量基础设施资产的再打包给出资产逻辑；以平台—企业—政府三方演化博弈求解「五个统一」制度安排的激励相容条件与补贴退出条件</w:t>
            </w:r>
          </w:p>
        </w:tc>
        <w:tc>
          <w:tcPr>
            <w:tcW w:type="dxa" w:w="2126"/>
            <w:vAlign w:val="center"/>
          </w:tcPr>
          <w:p>
            <w:pPr>
              <w:spacing w:line="240" w:lineRule="auto" w:after="20" w:before="20"/>
              <w:jc w:val="left"/>
            </w:pPr>
            <w:r/>
            <w:r>
              <w:rPr>
                <w:rFonts w:ascii="宋体" w:hAnsi="宋体" w:eastAsia="宋体"/>
                <w:sz w:val="21"/>
              </w:rPr>
              <w:t>企业深度采纳成为演化稳定策略的临界红利为1.55，基准情景的1.5仅低约3%，却收敛于政府被锁定在强激励挡位的「平台热、企业冷」均衡；制度要件中统一计量的组合权重最高，为0.271</w:t>
            </w:r>
          </w:p>
        </w:tc>
        <w:tc>
          <w:tcPr>
            <w:tcW w:type="dxa" w:w="2126"/>
            <w:vAlign w:val="center"/>
          </w:tcPr>
          <w:p>
            <w:pPr>
              <w:spacing w:line="240" w:lineRule="auto" w:after="20" w:before="20"/>
              <w:jc w:val="center"/>
            </w:pPr>
            <w:r/>
            <w:r>
              <w:rPr>
                <w:rFonts w:ascii="宋体" w:hAnsi="宋体" w:eastAsia="宋体"/>
                <w:sz w:val="21"/>
              </w:rPr>
              <w:t>第10章</w:t>
            </w:r>
          </w:p>
        </w:tc>
      </w:tr>
      <w:tr>
        <w:tc>
          <w:tcPr>
            <w:tcW w:type="dxa" w:w="2126"/>
            <w:vAlign w:val="center"/>
          </w:tcPr>
          <w:p>
            <w:pPr>
              <w:spacing w:line="240" w:lineRule="auto" w:after="20" w:before="20"/>
              <w:jc w:val="left"/>
            </w:pPr>
            <w:r/>
            <w:r>
              <w:rPr>
                <w:rFonts w:ascii="宋体" w:hAnsi="宋体" w:eastAsia="宋体"/>
                <w:sz w:val="21"/>
              </w:rPr>
              <w:t>基于词元流量的增长贡献核算</w:t>
            </w:r>
          </w:p>
        </w:tc>
        <w:tc>
          <w:tcPr>
            <w:tcW w:type="dxa" w:w="2126"/>
            <w:vAlign w:val="center"/>
          </w:tcPr>
          <w:p>
            <w:pPr>
              <w:spacing w:line="240" w:lineRule="auto" w:after="20" w:before="20"/>
              <w:jc w:val="left"/>
            </w:pPr>
            <w:r/>
            <w:r>
              <w:rPr>
                <w:rFonts w:ascii="宋体" w:hAnsi="宋体" w:eastAsia="宋体"/>
                <w:sz w:val="21"/>
              </w:rPr>
              <w:t>把标准词元流量作为可观测变量引入智能经济生产函数，把人工智能的增长贡献由残差测度推进到过程观测，从索洛残差中显性分离，并与资本服务测度传统对话</w:t>
            </w:r>
          </w:p>
        </w:tc>
        <w:tc>
          <w:tcPr>
            <w:tcW w:type="dxa" w:w="2126"/>
            <w:vAlign w:val="center"/>
          </w:tcPr>
          <w:p>
            <w:pPr>
              <w:spacing w:line="240" w:lineRule="auto" w:after="20" w:before="20"/>
              <w:jc w:val="left"/>
            </w:pPr>
            <w:r/>
            <w:r>
              <w:rPr>
                <w:rFonts w:ascii="宋体" w:hAnsi="宋体" w:eastAsia="宋体"/>
                <w:sz w:val="21"/>
              </w:rPr>
              <w:t>标准词元流量的产出弹性为0.108；2026年直接贡献0.34个百分点、占实际增长率的6.8%；不引入词元变量时全要素生产率残差高估0.29个百分点</w:t>
            </w:r>
          </w:p>
        </w:tc>
        <w:tc>
          <w:tcPr>
            <w:tcW w:type="dxa" w:w="2126"/>
            <w:vAlign w:val="center"/>
          </w:tcPr>
          <w:p>
            <w:pPr>
              <w:spacing w:line="240" w:lineRule="auto" w:after="20" w:before="20"/>
              <w:jc w:val="center"/>
            </w:pPr>
            <w:r/>
            <w:r>
              <w:rPr>
                <w:rFonts w:ascii="宋体" w:hAnsi="宋体" w:eastAsia="宋体"/>
                <w:sz w:val="21"/>
              </w:rPr>
              <w:t>第12章</w:t>
            </w:r>
          </w:p>
        </w:tc>
      </w:tr>
    </w:tbl>
    <w:p>
      <w:pPr>
        <w:spacing w:after="200" w:line="240" w:lineRule="auto"/>
        <w:jc w:val="both"/>
      </w:pPr>
      <w:r>
        <w:rPr>
          <w:rFonts w:ascii="宋体" w:hAnsi="宋体" w:eastAsia="宋体"/>
          <w:sz w:val="18"/>
        </w:rPr>
        <w:t>注：表中数值为本书第5、7、9、10、12章的校准复算结果，各自的模型设定、数据来源、参数标定与稳健性检验详见相应章节；价格指数以2024年第一季度＝100；效值系数、价格与利用率均以中型通用级模型在基准任务集上的取值为基准归一。</w:t>
      </w:r>
    </w:p>
    <w:p>
      <w:pPr>
        <w:spacing w:line="360" w:lineRule="auto" w:after="0"/>
        <w:ind w:firstLineChars="200" w:firstLine="480"/>
        <w:jc w:val="both"/>
      </w:pPr>
      <w:r>
        <w:rPr>
          <w:rFonts w:ascii="宋体" w:hAnsi="宋体" w:eastAsia="宋体"/>
          <w:sz w:val="24"/>
        </w:rPr>
        <w:t>表1.1所列五项创新之间存在明确的支撑关系，而非五个并列的贡献点。第一项是地基：若折算体系不成立，其余四项均失去计量前提。第二、三项分别是折算体系在价格界面与配置界面的应用，二者共同回答「标准词元是否真的比物理词元更有解释力」这一实证问题——价格离散度的收敛与利用率损失的可分解性，是折算体系有效性的两个独立检验。第四项把分析从市场推进到组织，回答「谁来提供统一计量这一公共品、其激励如何相容」；这一问题之所以必要，是因为标准词元并不会自发产生，它需要一个愿意承担计量基础设施成本的组织主体。第五项则把标准词元送入国民经济核算，回答「这一切在宏观上意味着什么」。五项创新连成一条从微观计量到宏观核算的完整链路，也构成了本书与既有文献对话的五个具体接口。</w:t>
      </w:r>
    </w:p>
    <w:p>
      <w:pPr>
        <w:spacing w:line="360" w:lineRule="auto" w:after="0"/>
        <w:ind w:firstLineChars="200" w:firstLine="480"/>
        <w:jc w:val="both"/>
      </w:pPr>
      <w:r>
        <w:rPr>
          <w:rFonts w:ascii="宋体" w:hAnsi="宋体" w:eastAsia="宋体"/>
          <w:sz w:val="24"/>
        </w:rPr>
        <w:t>与此同时，本书亦须坦陈其边界。第一，折算体系的权重标定依赖基准任务集的选择，任务集的代表性直接影响推理质量维度的测度，本书虽以交叉验证与稳健性检验加以约束，但基准任务集本身的更新机制仍是开放问题。第二，场景效用维度涉及对人类认知劳动价值密度的估计，其测度不可避免地带有规范性色彩，本书采取的是可复核的相对赋值而非绝对估值。第三，宏观测算受制于官方统计的口径缺位——目前尚无按模型档位、按场景分类的官方词元流量统计，本书的结构参数来自校准复算而非普查数据，其精度将随统计基础设施的完善而提升。这三点局限恰恰指向本书政策建议的第一条：把标准词元计量纳入国家统计与标准体系，是后续一切实证工作的前提。</w:t>
      </w:r>
    </w:p>
    <w:p>
      <w:pPr>
        <w:keepNext/>
        <w:spacing w:before="160" w:after="120" w:line="360" w:lineRule="auto"/>
        <w:outlineLvl w:val="1"/>
      </w:pPr>
      <w:r>
        <w:rPr>
          <w:rFonts w:ascii="黑体" w:hAnsi="黑体" w:eastAsia="黑体"/>
          <w:sz w:val="28"/>
        </w:rPr>
        <w:t>1.8  本章小结</w:t>
      </w:r>
    </w:p>
    <w:p>
      <w:pPr>
        <w:spacing w:line="360" w:lineRule="auto" w:after="0"/>
        <w:ind w:firstLineChars="200" w:firstLine="480"/>
        <w:jc w:val="both"/>
      </w:pPr>
      <w:r>
        <w:rPr>
          <w:rFonts w:ascii="宋体" w:hAnsi="宋体" w:eastAsia="宋体"/>
          <w:sz w:val="24"/>
        </w:rPr>
        <w:t>本章确立了全书的问题域、核心命题与分析框架。从计量单位演进的长时段视角看，每一次经济形态的跃迁都以一个新计量单位的确立为标志，而计量单位的合格标准是可数、可加、可折算、可入账。数据要素因缺乏天然的物理计量单位，长期困于「重要但难以定价」的状态；生成式人工智能的兴起改变了这一格局，它使认知服务的产出第一次被离散化为可逐枚计数的词元，从而为智能经济提供了计量单位的候选者。2026年3月25日，全国科学技术名词审定委员会发布公告，优先推荐并面向全社会发布试用token 的中文名「词元」，并明确该定名将在常态化审定中结合社会推广应用情况最终确认；同月，国家数据局局长在中国发展高层论坛2026年年会上使用并推介这一译名，提出词元具有「可计量、可定价、可交易」的特征，是「智能时代的价值锚点」。术语学口径与经济计量口径由此并存，本书讨论价值计量时引后者，讨论术语规范时引前者，二者不可拼接。</w:t>
      </w:r>
    </w:p>
    <w:p>
      <w:pPr>
        <w:spacing w:line="360" w:lineRule="auto" w:after="0"/>
        <w:ind w:firstLineChars="200" w:firstLine="480"/>
        <w:jc w:val="both"/>
      </w:pPr>
      <w:r>
        <w:rPr>
          <w:rFonts w:ascii="宋体" w:hAnsi="宋体" w:eastAsia="宋体"/>
          <w:sz w:val="24"/>
        </w:rPr>
        <w:t>本章随后刻画了词元经济的现实图景与三重悖论。按国家数据局口径，我国日均词元调用量由2024年初的1000亿枚增至2025年6月底的30万亿枚、2025年底的100万亿枚，2026年3月突破140万亿枚，两年增长约1400倍；供给侧的智能算力规模与万卡集群数量同步扩张；流通侧则在2026年7月中旬至8月中旬出现了主体类型各异的城市级词元运营组织，政策工具亦由「建算力」转向「用词元」。然而繁荣之下并存三重悖论：价格持续下行与高质量词元稀缺并存，算力扩建与利用率不足并存，调用量千倍增长与宏观生产率统计无感并存。本章论证，三者并非独立难题，而是同一计量缺陷在价格、配置与核算三个界面上的投影——物理词元是合格的计数单位，却不是合格的价值单位。生产端算力强度的跨档位跨度、价格端逾十倍的报价跨度与价值端的场景离散共同表明，技术上完全同名的「词元」，在经济上根本不是同一种东西。计量地基的缺失沿四条路径外化为定价无公允基准、补贴无核定依据、统计无可加口径与出海无互认凭证。</w:t>
      </w:r>
    </w:p>
    <w:p>
      <w:pPr>
        <w:spacing w:line="360" w:lineRule="auto" w:after="0"/>
        <w:ind w:firstLineChars="200" w:firstLine="480"/>
        <w:jc w:val="both"/>
      </w:pPr>
      <w:r>
        <w:rPr>
          <w:rFonts w:ascii="宋体" w:hAnsi="宋体" w:eastAsia="宋体"/>
          <w:sz w:val="24"/>
        </w:rPr>
        <w:t>据此，本章提出全书核心命题——词元是智能经济的计量单位，但物理词元不是合格的价值单位，只有经效值折算得到的标准词元才能承担价值尺度、定价基准、配置信号与增长核算变量四重职能——并将其展开为计量、定价、配置与增长三个递进的科学问题。本章界定了物理词元、标准词元、效值系数、算力强度、推理质量、场景效用、词元价格、标准词元价格、转化效率、绿色词元与碳强度等核心概念，给出了标准词元流量的加总式、标准词元价格及其增长率分解式与引入词元流量的智能经济生产函数三个基础关系式，并说明了各式的性质与经济含义。本章还交代了研究思路、多方法组合、技术路线与全书五篇14章的结构安排，归纳了五项理论创新及其相互支撑关系，同时坦陈了基准任务集依赖、场景效用测度的规范性色彩与官方分类统计缺位三点局限。</w:t>
      </w:r>
    </w:p>
    <w:p>
      <w:pPr>
        <w:spacing w:line="360" w:lineRule="auto" w:after="0"/>
        <w:ind w:firstLineChars="200" w:firstLine="480"/>
        <w:jc w:val="both"/>
      </w:pPr>
      <w:r>
        <w:rPr>
          <w:rFonts w:ascii="宋体" w:hAnsi="宋体" w:eastAsia="宋体"/>
          <w:sz w:val="24"/>
        </w:rPr>
        <w:t>需要在此重申两条贯穿全书的写作纪律。其一是口径纪律：词元领域的数字环境异常嘈杂，调用量、算力规模、利用率、价格与能耗各自都有数套互不相通的口径，本书凡引用宏观事实一律标注发布主体、统计边界与时点，不同口径不并列比较、不互相折算，官方未单独发布的时点一律标明为校准复算插值。其二是归属纪律：本书的三维效值折算体系是作者自主构建的理论框架，与任何机构的既有评价体系均不存在承继关系；全书以六个能力档位的中文名称组织模型层面的讨论，正文与图表中不出现真实商业模型的产品名，以免把校准复算结果误挂到具体产品之上。守住这两条纪律，是一部以计量为主题的著作最基本的自我要求。下一章将转入理论基础与文献述评，系统梳理价值理论、计量单位演进、当量折算传统、通用目的技术与增长核算五条脉络，并在其中定位本书的研究缺口与理论坐标。</w:t>
      </w:r>
    </w:p>
    <w:p>
      <w:r>
        <w:br w:type="page"/>
      </w:r>
    </w:p>
    <w:p>
      <w:pPr>
        <w:keepNext/>
        <w:spacing w:before="240" w:after="160" w:line="360" w:lineRule="auto"/>
        <w:jc w:val="center"/>
        <w:outlineLvl w:val="0"/>
      </w:pPr>
      <w:r>
        <w:rPr>
          <w:rFonts w:ascii="黑体" w:hAnsi="黑体" w:eastAsia="黑体"/>
          <w:b/>
          <w:sz w:val="30"/>
        </w:rPr>
        <w:t>第2章  理论基础与文献述评</w:t>
      </w:r>
    </w:p>
    <w:p>
      <w:pPr>
        <w:spacing w:line="360" w:lineRule="auto" w:after="0"/>
        <w:ind w:firstLineChars="200" w:firstLine="480"/>
        <w:jc w:val="both"/>
      </w:pPr>
      <w:r>
        <w:rPr>
          <w:rFonts w:ascii="宋体" w:hAnsi="宋体" w:eastAsia="宋体"/>
          <w:sz w:val="24"/>
        </w:rPr>
        <w:t>第1章从现实出发提出了本书的三个科学问题：异质词元如何折算为可比、可加的标准计量单位（计量），标准词元的价格如何形成与演化（定价），词元如何在算力、模型与场景之间实现有效配置并如何进入增长核算（配置）。三个问题看似分属计量学、产业组织与增长理论三个领域，实则共享同一个理论前提：一种新的经济计量单位要真正成立，必须依次通过三重理论检验——它所计量的究竟是何种价值（价值论检验）、它凭什么可以在异质个体之间加总（计量论与当量折算论检验）、它进入价格体系与国民经济核算之后会产生什么后果（定价论与核算论检验）。任何一重检验不过关，所谓“计量单位”就只是一个记账符号，而不是经济尺度。本章的任务，就是沿这三重检验依次梳理支撑本书命题的理论脉络，并在既有文献的坐标系中标定本书的位置。</w:t>
      </w:r>
    </w:p>
    <w:p>
      <w:pPr>
        <w:spacing w:line="360" w:lineRule="auto" w:after="0"/>
        <w:ind w:firstLineChars="200" w:firstLine="480"/>
        <w:jc w:val="both"/>
      </w:pPr>
      <w:r>
        <w:rPr>
          <w:rFonts w:ascii="宋体" w:hAnsi="宋体" w:eastAsia="宋体"/>
          <w:sz w:val="24"/>
        </w:rPr>
        <w:t>需要先行申明本章的一个方法论立场：本书不把词元当作一个纯粹的技术概念，而把它当作一项正在生成中的经济制度。计量单位的经济学史反复表明，单位的确立从来不只是技术约定，而是降低交易费用的制度创新——度量衡的统一之于商品交换、标准煤之于能源统计、标准箱之于集装箱运输、二氧化碳当量之于气候治理，无一例外。标准的经济学研究早已指出，标准既是协调装置又是分配装置，其确立过程伴随着显著的网络效应与利益博弈（Farrell和Saloner，1985；Katz和Shapiro，1985；Simcoe，2012）；来自中国物流领域的经验证据进一步显示，标准化本身即可通过降低交易与协调成本显著提升企业全要素生产率（何凡等，2025）。词元计量之所以值得写成一本经济学专著，正因为它处在这样一个从技术约定向经济制度转化的临界点上。</w:t>
      </w:r>
    </w:p>
    <w:p>
      <w:pPr>
        <w:spacing w:line="360" w:lineRule="auto" w:after="0"/>
        <w:ind w:firstLineChars="200" w:firstLine="480"/>
        <w:jc w:val="both"/>
      </w:pPr>
      <w:r>
        <w:rPr>
          <w:rFonts w:ascii="宋体" w:hAnsi="宋体" w:eastAsia="宋体"/>
          <w:sz w:val="24"/>
        </w:rPr>
        <w:t>本章结构如下：2.1节在价值理论层面考察劳动价值论、效用价值论与信息产品价值论在认知生产中的拓展，回答“词元计量的是什么价值”；2.2节梳理计量单位演进的经济学，论证标准化计量降低交易费用的机制，回答“词元为何暂不是合格的价值单位”；2.3节考察标准煤、标准箱与二氧化碳当量三项当量折算传统，给出当量折算的一般形式并揭示词元折算相对于既有范例的特殊性，回答“多维异质对象如何获得单一当量”；2.4节讨论通用目的技术理论与索洛生产率悖论在人工智能时代的再现，回答“为何需要一个可观测的中间变量”；2.5节梳理数字产品定价、质量分级与双边平台理论，回答“标准词元进入价格体系后价格结构将如何组织”；2.6节回顾增长核算的理论脉络与数据要素核算的探索，回答“标准词元流量如何进入生产函数”；2.7节以文献计量刻画研究进展，归纳研究缺口并给出本书的理论定位与分析框架；2.8节为本章小结。</w:t>
      </w:r>
    </w:p>
    <w:p>
      <w:pPr>
        <w:keepNext/>
        <w:spacing w:before="160" w:after="120" w:line="360" w:lineRule="auto"/>
        <w:outlineLvl w:val="1"/>
      </w:pPr>
      <w:r>
        <w:rPr>
          <w:rFonts w:ascii="黑体" w:hAnsi="黑体" w:eastAsia="黑体"/>
          <w:sz w:val="28"/>
        </w:rPr>
        <w:t>2.1  价值理论在认知生产中的拓展</w:t>
      </w:r>
    </w:p>
    <w:p>
      <w:pPr>
        <w:keepNext/>
        <w:spacing w:before="160" w:after="120" w:line="360" w:lineRule="auto"/>
        <w:outlineLvl w:val="2"/>
      </w:pPr>
      <w:r>
        <w:rPr>
          <w:rFonts w:ascii="黑体" w:hAnsi="黑体" w:eastAsia="黑体"/>
          <w:sz w:val="24"/>
        </w:rPr>
        <w:t>2.1.1  劳动价值论视角：词元作为认知劳动的物化载体</w:t>
      </w:r>
    </w:p>
    <w:p>
      <w:pPr>
        <w:spacing w:line="360" w:lineRule="auto" w:after="0"/>
        <w:ind w:firstLineChars="200" w:firstLine="480"/>
        <w:jc w:val="both"/>
      </w:pPr>
      <w:r>
        <w:rPr>
          <w:rFonts w:ascii="宋体" w:hAnsi="宋体" w:eastAsia="宋体"/>
          <w:sz w:val="24"/>
        </w:rPr>
        <w:t>词元是大模型在推理过程中生成并交付的最小信息单元，它既不是原始数据，也不是最终产品，而是介于二者之间的中间产物——一种被物化了的认知劳动。从劳动价值论的视角看，一枚词元的价值由两部分构成：一是在生产过程中被转移过来的物化劳动价值，包括智算设施的折旧、电力等能源的耗费与模型资产的摊销；二是在本期生产中由活劳动新创造的价值，包括数据劳动（语料采集、清洗、标注与合规审查）、算法劳动（模型训练、微调、对齐与推理优化）与知识工程劳动（提示工程、智能体编排与业务流程再造）。记第</w:t>
      </w:r>
      <m:oMath>
        <m:r>
          <m:t>t</m:t>
        </m:r>
      </m:oMath>
      <w:r>
        <w:rPr>
          <w:rFonts w:ascii="宋体" w:hAnsi="宋体" w:eastAsia="宋体"/>
          <w:sz w:val="24"/>
        </w:rPr>
        <w:t>期投入的智算设施资本存量为</w:t>
      </w:r>
      <m:oMath>
        <m:sSub>
          <m:e>
            <m:r>
              <m:t>K</m:t>
            </m:r>
          </m:e>
          <m:sub>
            <m:r>
              <m:t>t</m:t>
            </m:r>
          </m:sub>
        </m:sSub>
      </m:oMath>
      <w:r>
        <w:rPr>
          <w:rFonts w:ascii="宋体" w:hAnsi="宋体" w:eastAsia="宋体"/>
          <w:sz w:val="24"/>
        </w:rPr>
        <w:t>、折旧率为</w:t>
      </w:r>
      <m:oMath>
        <m:r>
          <m:t>δ</m:t>
        </m:r>
      </m:oMath>
      <w:r>
        <w:rPr>
          <w:rFonts w:ascii="宋体" w:hAnsi="宋体" w:eastAsia="宋体"/>
          <w:sz w:val="24"/>
        </w:rPr>
        <w:t>，用电量为</w:t>
      </w:r>
      <m:oMath>
        <m:sSub>
          <m:e>
            <m:r>
              <m:t>E</m:t>
            </m:r>
          </m:e>
          <m:sub>
            <m:r>
              <m:t>t</m:t>
            </m:r>
          </m:sub>
        </m:sSub>
      </m:oMath>
      <w:r>
        <w:rPr>
          <w:rFonts w:ascii="宋体" w:hAnsi="宋体" w:eastAsia="宋体"/>
          <w:sz w:val="24"/>
        </w:rPr>
        <w:t>、电价为</w:t>
      </w:r>
      <m:oMath>
        <m:sSub>
          <m:e>
            <m:r>
              <m:t>q</m:t>
            </m:r>
          </m:e>
          <m:sub>
            <m:r>
              <m:t>t</m:t>
            </m:r>
          </m:sub>
        </m:sSub>
      </m:oMath>
      <w:r>
        <w:rPr>
          <w:rFonts w:ascii="宋体" w:hAnsi="宋体" w:eastAsia="宋体"/>
          <w:sz w:val="24"/>
        </w:rPr>
        <w:t>，模型资产账面价值为</w:t>
      </w:r>
      <m:oMath>
        <m:sSub>
          <m:e>
            <m:r>
              <m:t>M</m:t>
            </m:r>
          </m:e>
          <m:sub>
            <m:r>
              <m:t>t</m:t>
            </m:r>
          </m:sub>
        </m:sSub>
      </m:oMath>
      <w:r>
        <w:rPr>
          <w:rFonts w:ascii="宋体" w:hAnsi="宋体" w:eastAsia="宋体"/>
          <w:sz w:val="24"/>
        </w:rPr>
        <w:t>、摊销率为</w:t>
      </w:r>
      <m:oMath>
        <m:r>
          <m:t>ϕ</m:t>
        </m:r>
      </m:oMath>
      <w:r>
        <w:rPr>
          <w:rFonts w:ascii="宋体" w:hAnsi="宋体" w:eastAsia="宋体"/>
          <w:sz w:val="24"/>
        </w:rPr>
        <w:t>，活劳动新创造的价值为</w:t>
      </w:r>
      <m:oMath>
        <m:sSub>
          <m:e>
            <m:r>
              <m:t>N</m:t>
            </m:r>
          </m:e>
          <m:sub>
            <m:r>
              <m:t>t</m:t>
            </m:r>
          </m:sub>
        </m:sSub>
      </m:oMath>
      <w:r>
        <w:rPr>
          <w:rFonts w:ascii="宋体" w:hAnsi="宋体" w:eastAsia="宋体"/>
          <w:sz w:val="24"/>
        </w:rPr>
        <w:t>，该期生成的物理词元量为</w:t>
      </w:r>
      <m:oMath>
        <m:sSub>
          <m:e>
            <m:r>
              <m:t>T</m:t>
            </m:r>
          </m:e>
          <m:sub>
            <m:r>
              <m:t>t</m:t>
            </m:r>
          </m:sub>
        </m:sSub>
      </m:oMath>
      <w:r>
        <w:rPr>
          <w:rFonts w:ascii="宋体" w:hAnsi="宋体" w:eastAsia="宋体"/>
          <w:sz w:val="24"/>
        </w:rPr>
        <w:t>，则单位物理词元的价值可写为：</w:t>
      </w:r>
    </w:p>
    <w:p>
      <w:pPr>
        <w:tabs>
          <w:tab w:pos="4252" w:val="center"/>
          <w:tab w:pos="8504" w:val="right"/>
        </w:tabs>
        <w:spacing w:line="360" w:lineRule="auto" w:before="80" w:after="80"/>
      </w:pPr>
      <w:r>
        <w:tab/>
      </w:r>
      <m:oMath>
        <m:sSub>
          <m:e>
            <m:r>
              <m:t>v</m:t>
            </m:r>
          </m:e>
          <m:sub>
            <m:r>
              <m:t>t</m:t>
            </m:r>
          </m:sub>
        </m:sSub>
        <m:r>
          <m:rPr>
            <m:sty m:val="p"/>
          </m:rPr>
          <m:t>=</m:t>
        </m:r>
        <m:f>
          <m:fPr>
            <m:type m:val="bar"/>
          </m:fPr>
          <m:num>
            <m:r>
              <m:t>δ</m:t>
            </m:r>
            <m:sSub>
              <m:e>
                <m:r>
                  <m:t>K</m:t>
                </m:r>
              </m:e>
              <m:sub>
                <m:r>
                  <m:t>t</m:t>
                </m:r>
              </m:sub>
            </m:sSub>
            <m:r>
              <m:rPr>
                <m:sty m:val="p"/>
              </m:rPr>
              <m:t>+</m:t>
            </m:r>
            <m:sSub>
              <m:e>
                <m:r>
                  <m:t>q</m:t>
                </m:r>
              </m:e>
              <m:sub>
                <m:r>
                  <m:t>t</m:t>
                </m:r>
              </m:sub>
            </m:sSub>
            <m:sSub>
              <m:e>
                <m:r>
                  <m:t>E</m:t>
                </m:r>
              </m:e>
              <m:sub>
                <m:r>
                  <m:t>t</m:t>
                </m:r>
              </m:sub>
            </m:sSub>
            <m:r>
              <m:rPr>
                <m:sty m:val="p"/>
              </m:rPr>
              <m:t>+</m:t>
            </m:r>
            <m:r>
              <m:t>ϕ</m:t>
            </m:r>
            <m:sSub>
              <m:e>
                <m:r>
                  <m:t>M</m:t>
                </m:r>
              </m:e>
              <m:sub>
                <m:r>
                  <m:t>t</m:t>
                </m:r>
              </m:sub>
            </m:sSub>
            <m:r>
              <m:rPr>
                <m:sty m:val="p"/>
              </m:rPr>
              <m:t>+</m:t>
            </m:r>
            <m:sSub>
              <m:e>
                <m:r>
                  <m:t>N</m:t>
                </m:r>
              </m:e>
              <m:sub>
                <m:r>
                  <m:t>t</m:t>
                </m:r>
              </m:sub>
            </m:sSub>
          </m:num>
          <m:den>
            <m:sSub>
              <m:e>
                <m:r>
                  <m:t>T</m:t>
                </m:r>
              </m:e>
              <m:sub>
                <m:r>
                  <m:t>t</m:t>
                </m:r>
              </m:sub>
            </m:sSub>
          </m:den>
        </m:f>
      </m:oMath>
      <w:r>
        <w:tab/>
      </w:r>
      <w:r>
        <w:rPr>
          <w:rFonts w:ascii="Times New Roman" w:hAnsi="Times New Roman" w:eastAsia="宋体"/>
          <w:sz w:val="24"/>
        </w:rPr>
        <w:t>(2-1)</w:t>
      </w:r>
    </w:p>
    <w:p>
      <w:pPr>
        <w:spacing w:line="360" w:lineRule="auto" w:after="0"/>
        <w:jc w:val="both"/>
      </w:pPr>
      <w:r>
        <w:rPr>
          <w:rFonts w:ascii="宋体" w:hAnsi="宋体" w:eastAsia="宋体"/>
          <w:sz w:val="24"/>
        </w:rPr>
        <w:t>其中，</w:t>
      </w:r>
      <m:oMath>
        <m:r>
          <m:t>δ</m:t>
        </m:r>
        <m:sSub>
          <m:e>
            <m:r>
              <m:t>K</m:t>
            </m:r>
          </m:e>
          <m:sub>
            <m:r>
              <m:t>t</m:t>
            </m:r>
          </m:sub>
        </m:sSub>
        <m:r>
          <m:rPr>
            <m:sty m:val="p"/>
          </m:rPr>
          <m:t>+</m:t>
        </m:r>
        <m:sSub>
          <m:e>
            <m:r>
              <m:t>q</m:t>
            </m:r>
          </m:e>
          <m:sub>
            <m:r>
              <m:t>t</m:t>
            </m:r>
          </m:sub>
        </m:sSub>
        <m:sSub>
          <m:e>
            <m:r>
              <m:t>E</m:t>
            </m:r>
          </m:e>
          <m:sub>
            <m:r>
              <m:t>t</m:t>
            </m:r>
          </m:sub>
        </m:sSub>
        <m:r>
          <m:rPr>
            <m:sty m:val="p"/>
          </m:rPr>
          <m:t>+</m:t>
        </m:r>
        <m:r>
          <m:t>ϕ</m:t>
        </m:r>
        <m:sSub>
          <m:e>
            <m:r>
              <m:t>M</m:t>
            </m:r>
          </m:e>
          <m:sub>
            <m:r>
              <m:t>t</m:t>
            </m:r>
          </m:sub>
        </m:sSub>
      </m:oMath>
      <w:r>
        <w:rPr>
          <w:rFonts w:ascii="宋体" w:hAnsi="宋体" w:eastAsia="宋体"/>
          <w:sz w:val="24"/>
        </w:rPr>
        <w:t>为转移的物化劳动价值，</w:t>
      </w:r>
      <m:oMath>
        <m:sSub>
          <m:e>
            <m:r>
              <m:t>N</m:t>
            </m:r>
          </m:e>
          <m:sub>
            <m:r>
              <m:t>t</m:t>
            </m:r>
          </m:sub>
        </m:sSub>
      </m:oMath>
      <w:r>
        <w:rPr>
          <w:rFonts w:ascii="宋体" w:hAnsi="宋体" w:eastAsia="宋体"/>
          <w:sz w:val="24"/>
        </w:rPr>
        <w:t>为活劳动新创造的价值，</w:t>
      </w:r>
      <m:oMath>
        <m:sSub>
          <m:e>
            <m:r>
              <m:t>v</m:t>
            </m:r>
          </m:e>
          <m:sub>
            <m:r>
              <m:t>t</m:t>
            </m:r>
          </m:sub>
        </m:sSub>
      </m:oMath>
      <w:r>
        <w:rPr>
          <w:rFonts w:ascii="宋体" w:hAnsi="宋体" w:eastAsia="宋体"/>
          <w:sz w:val="24"/>
        </w:rPr>
        <w:t>为单位物理词元的价值。</w:t>
      </w:r>
    </w:p>
    <w:p>
      <w:pPr>
        <w:spacing w:line="360" w:lineRule="auto" w:after="0"/>
        <w:ind w:firstLineChars="200" w:firstLine="480"/>
        <w:jc w:val="both"/>
      </w:pPr>
      <w:r>
        <w:rPr>
          <w:rFonts w:ascii="宋体" w:hAnsi="宋体" w:eastAsia="宋体"/>
          <w:sz w:val="24"/>
        </w:rPr>
        <w:t>式(2-1)虽然形式简单，却已经蕴含三项对本书至关重要的性质。其一，单位价值对产量的递减性：分子中的折旧、摊销与相当一部分活劳动（尤其是训练期的算法劳动）在短期内近似固定，因而</w:t>
      </w:r>
      <m:oMath>
        <m:r>
          <m:rPr>
            <m:sty m:val="p"/>
          </m:rPr>
          <m:t>∂</m:t>
        </m:r>
        <m:sSub>
          <m:e>
            <m:r>
              <m:t>v</m:t>
            </m:r>
          </m:e>
          <m:sub>
            <m:r>
              <m:t>t</m:t>
            </m:r>
          </m:sub>
        </m:sSub>
        <m:r>
          <m:rPr>
            <m:sty m:val="p"/>
          </m:rPr>
          <m:t>/</m:t>
        </m:r>
        <m:r>
          <m:rPr>
            <m:sty m:val="p"/>
          </m:rPr>
          <m:t>∂</m:t>
        </m:r>
        <m:sSub>
          <m:e>
            <m:r>
              <m:t>T</m:t>
            </m:r>
          </m:e>
          <m:sub>
            <m:r>
              <m:t>t</m:t>
            </m:r>
          </m:sub>
        </m:sSub>
        <m:r>
          <m:rPr>
            <m:sty m:val="p"/>
          </m:rPr>
          <m:t>&lt;</m:t>
        </m:r>
        <m:r>
          <m:t>0</m:t>
        </m:r>
      </m:oMath>
      <w:r>
        <w:rPr>
          <w:rFonts w:ascii="宋体" w:hAnsi="宋体" w:eastAsia="宋体"/>
          <w:sz w:val="24"/>
        </w:rPr>
        <w:t>，产量扩张会摊薄单位价值。这意味着词元价格的长期下行趋势首先是价值规律的表现，而不能一概归因于补贴或价格战——第7章将证明，表观降价中相当大的份额其实来自单位价值构成的变化而非厂商让利。其二，价值构成的资本密集特征：与传统服务业不同，认知生产中物化劳动的占比极高，活劳动主要以“过去劳动”的形式凝结在模型权重之中，本期活劳动的直接投入相对稀薄。词元因而在价值构成上更接近资本品的产出而非劳务的产出，这一点决定了它的成本曲线、规模经济性质与定价机理都不能照搬传统服务业的分析框架。其三，也是最关键的一点：式(2-1)的分子随模型档位而系统性变化。同样生成一万枚词元，轻量蒸馏级模型与推理增强级模型所消耗的算力、电力与模型资产摊销可以相差一个数量级，其</w:t>
      </w:r>
      <m:oMath>
        <m:sSub>
          <m:e>
            <m:r>
              <m:t>v</m:t>
            </m:r>
          </m:e>
          <m:sub>
            <m:r>
              <m:t>t</m:t>
            </m:r>
          </m:sub>
        </m:sSub>
      </m:oMath>
      <w:r>
        <w:rPr>
          <w:rFonts w:ascii="宋体" w:hAnsi="宋体" w:eastAsia="宋体"/>
          <w:sz w:val="24"/>
        </w:rPr>
        <w:t>自然相差一个数量级。既然价值不等，物理词元的简单加总就失去了价值论根据——“词元总量”这个变量在经济学意义上是不可解释的。</w:t>
      </w:r>
    </w:p>
    <w:p>
      <w:pPr>
        <w:spacing w:line="360" w:lineRule="auto" w:after="0"/>
        <w:ind w:firstLineChars="200" w:firstLine="480"/>
        <w:jc w:val="both"/>
      </w:pPr>
      <w:r>
        <w:rPr>
          <w:rFonts w:ascii="宋体" w:hAnsi="宋体" w:eastAsia="宋体"/>
          <w:sz w:val="24"/>
        </w:rPr>
        <w:t>这一判断与国内政治经济学界关于新质生产力的讨论具有内在一致性。新质生产力被界定为以科技创新为核心驱动、以劳动者、劳动资料与劳动对象及其优化组合的跃升为基本内涵的先进生产力质态（周文和许凌云，2023；洪银兴，2024）；从系统论视角看，其要素特质在于知识、数据与算力等新型要素替代传统要素成为结构承载（黄群慧和盛方富，2024），相应的水平测算亦已展开（韩文龙等，2024）。人工智能把“劳动资料”从机器扩展到模型、把“劳动对象”从物质扩展到信息，词元恰是这一跃升在生产端留下的可计数痕迹。因此，从劳动价值论出发研究词元，并非把一个技术名词强行塞进古典范畴，而是承认认知生产已经形成了自己的价值实体与计量载体——本书第6章将沿这一线索完整展开词元的价值创造、实现与增值机理。</w:t>
      </w:r>
    </w:p>
    <w:p>
      <w:pPr>
        <w:keepNext/>
        <w:spacing w:before="160" w:after="120" w:line="360" w:lineRule="auto"/>
        <w:outlineLvl w:val="2"/>
      </w:pPr>
      <w:r>
        <w:rPr>
          <w:rFonts w:ascii="黑体" w:hAnsi="黑体" w:eastAsia="黑体"/>
          <w:sz w:val="24"/>
        </w:rPr>
        <w:t>2.1.2  效用价值论视角：以替代认知劳动衡量的支付意愿</w:t>
      </w:r>
    </w:p>
    <w:p>
      <w:pPr>
        <w:spacing w:line="360" w:lineRule="auto" w:after="0"/>
        <w:ind w:firstLineChars="200" w:firstLine="480"/>
        <w:jc w:val="both"/>
      </w:pPr>
      <w:r>
        <w:rPr>
          <w:rFonts w:ascii="宋体" w:hAnsi="宋体" w:eastAsia="宋体"/>
          <w:sz w:val="24"/>
        </w:rPr>
        <w:t>价值的另一侧在需求端。企业购买词元并非为了持有词元，而是为了用机器的认知输出替代或增强人的认知劳动，因此其支付意愿的上界由被替代认知劳动的价格决定。设场景</w:t>
      </w:r>
      <m:oMath>
        <m:r>
          <m:t>j</m:t>
        </m:r>
      </m:oMath>
      <w:r>
        <w:rPr>
          <w:rFonts w:ascii="宋体" w:hAnsi="宋体" w:eastAsia="宋体"/>
          <w:sz w:val="24"/>
        </w:rPr>
        <w:t>中被替代的认知劳动单位时间报酬为</w:t>
      </w:r>
      <m:oMath>
        <m:sSub>
          <m:e>
            <m:r>
              <m:t>w</m:t>
            </m:r>
          </m:e>
          <m:sub>
            <m:r>
              <m:t>j</m:t>
            </m:r>
          </m:sub>
        </m:sSub>
      </m:oMath>
      <w:r>
        <w:rPr>
          <w:rFonts w:ascii="宋体" w:hAnsi="宋体" w:eastAsia="宋体"/>
          <w:sz w:val="24"/>
        </w:rPr>
        <w:t>，完成单位任务原需人工工时</w:t>
      </w:r>
      <m:oMath>
        <m:sSub>
          <m:e>
            <m:r>
              <m:t>h</m:t>
            </m:r>
          </m:e>
          <m:sub>
            <m:r>
              <m:t>j</m:t>
            </m:r>
          </m:sub>
        </m:sSub>
      </m:oMath>
      <w:r>
        <w:rPr>
          <w:rFonts w:ascii="宋体" w:hAnsi="宋体" w:eastAsia="宋体"/>
          <w:sz w:val="24"/>
        </w:rPr>
        <w:t>、现需消耗词元</w:t>
      </w:r>
      <m:oMath>
        <m:sSub>
          <m:e>
            <m:r>
              <m:t>T</m:t>
            </m:r>
          </m:e>
          <m:sub>
            <m:r>
              <m:t>j</m:t>
            </m:r>
          </m:sub>
        </m:sSub>
      </m:oMath>
      <w:r>
        <w:rPr>
          <w:rFonts w:ascii="宋体" w:hAnsi="宋体" w:eastAsia="宋体"/>
          <w:sz w:val="24"/>
        </w:rPr>
        <w:t>，模型在该场景的任务达成度为</w:t>
      </w:r>
      <m:oMath>
        <m:sSub>
          <m:e>
            <m:r>
              <m:t>q</m:t>
            </m:r>
          </m:e>
          <m:sub>
            <m:r>
              <m:t>j</m:t>
            </m:r>
          </m:sub>
        </m:sSub>
        <m:r>
          <m:rPr>
            <m:sty m:val="p"/>
          </m:rPr>
          <m:t>∈</m:t>
        </m:r>
        <m:d>
          <m:dPr>
            <m:begChr m:val="("/>
            <m:endChr m:val="]"/>
            <m:grow/>
          </m:dPr>
          <m:e>
            <m:r>
              <m:t>0</m:t>
            </m:r>
            <m:r>
              <m:rPr>
                <m:sty m:val="p"/>
              </m:rPr>
              <m:t>,</m:t>
            </m:r>
            <m:r>
              <m:t>1</m:t>
            </m:r>
          </m:e>
        </m:d>
      </m:oMath>
      <w:r>
        <w:rPr>
          <w:rFonts w:ascii="宋体" w:hAnsi="宋体" w:eastAsia="宋体"/>
          <w:sz w:val="24"/>
        </w:rPr>
        <w:t>（达成度刻画机器输出相对于合格人工输出的可用比例，包含返工与复核的折扣），则买方对单位物理词元的最高支付意愿为：</w:t>
      </w:r>
    </w:p>
    <w:p>
      <w:pPr>
        <w:tabs>
          <w:tab w:pos="4252" w:val="center"/>
          <w:tab w:pos="8504" w:val="right"/>
        </w:tabs>
        <w:spacing w:line="360" w:lineRule="auto" w:before="80" w:after="80"/>
      </w:pPr>
      <w:r>
        <w:tab/>
      </w:r>
      <m:oMath>
        <m:sSubSup>
          <m:e>
            <m:r>
              <m:t>p</m:t>
            </m:r>
          </m:e>
          <m:sub>
            <m:r>
              <m:t>j</m:t>
            </m:r>
          </m:sub>
          <m:sup>
            <m:r>
              <m:rPr>
                <m:sty m:val="p"/>
              </m:rPr>
              <m:t>max</m:t>
            </m:r>
          </m:sup>
        </m:sSubSup>
        <m:r>
          <m:rPr>
            <m:sty m:val="p"/>
          </m:rPr>
          <m:t>=</m:t>
        </m:r>
        <m:sSub>
          <m:e>
            <m:r>
              <m:t>w</m:t>
            </m:r>
          </m:e>
          <m:sub>
            <m:r>
              <m:t>j</m:t>
            </m:r>
          </m:sub>
        </m:sSub>
        <m:r>
          <m:t> </m:t>
        </m:r>
        <m:f>
          <m:fPr>
            <m:type m:val="bar"/>
          </m:fPr>
          <m:num>
            <m:sSub>
              <m:e>
                <m:r>
                  <m:t>h</m:t>
                </m:r>
              </m:e>
              <m:sub>
                <m:r>
                  <m:t>j</m:t>
                </m:r>
              </m:sub>
            </m:sSub>
          </m:num>
          <m:den>
            <m:sSub>
              <m:e>
                <m:r>
                  <m:t>T</m:t>
                </m:r>
              </m:e>
              <m:sub>
                <m:r>
                  <m:t>j</m:t>
                </m:r>
              </m:sub>
            </m:sSub>
          </m:den>
        </m:f>
        <m:r>
          <m:t> </m:t>
        </m:r>
        <m:sSub>
          <m:e>
            <m:r>
              <m:t>q</m:t>
            </m:r>
          </m:e>
          <m:sub>
            <m:r>
              <m:t>j</m:t>
            </m:r>
          </m:sub>
        </m:sSub>
      </m:oMath>
      <w:r>
        <w:tab/>
      </w:r>
      <w:r>
        <w:rPr>
          <w:rFonts w:ascii="Times New Roman" w:hAnsi="Times New Roman" w:eastAsia="宋体"/>
          <w:sz w:val="24"/>
        </w:rPr>
        <w:t>(2-2)</w:t>
      </w:r>
    </w:p>
    <w:p>
      <w:pPr>
        <w:spacing w:line="360" w:lineRule="auto" w:after="0"/>
        <w:jc w:val="both"/>
      </w:pPr>
      <w:r>
        <w:rPr>
          <w:rFonts w:ascii="宋体" w:hAnsi="宋体" w:eastAsia="宋体"/>
          <w:sz w:val="24"/>
        </w:rPr>
        <w:t>其中，</w:t>
      </w:r>
      <m:oMath>
        <m:sSub>
          <m:e>
            <m:r>
              <m:t>h</m:t>
            </m:r>
          </m:e>
          <m:sub>
            <m:r>
              <m:t>j</m:t>
            </m:r>
          </m:sub>
        </m:sSub>
        <m:r>
          <m:rPr>
            <m:sty m:val="p"/>
          </m:rPr>
          <m:t>/</m:t>
        </m:r>
        <m:sSub>
          <m:e>
            <m:r>
              <m:t>T</m:t>
            </m:r>
          </m:e>
          <m:sub>
            <m:r>
              <m:t>j</m:t>
            </m:r>
          </m:sub>
        </m:sSub>
      </m:oMath>
      <w:r>
        <w:rPr>
          <w:rFonts w:ascii="宋体" w:hAnsi="宋体" w:eastAsia="宋体"/>
          <w:sz w:val="24"/>
        </w:rPr>
        <w:t>为单枚词元所替代的人工工时，</w:t>
      </w:r>
      <m:oMath>
        <m:sSub>
          <m:e>
            <m:r>
              <m:t>q</m:t>
            </m:r>
          </m:e>
          <m:sub>
            <m:r>
              <m:t>j</m:t>
            </m:r>
          </m:sub>
        </m:sSub>
      </m:oMath>
      <w:r>
        <w:rPr>
          <w:rFonts w:ascii="宋体" w:hAnsi="宋体" w:eastAsia="宋体"/>
          <w:sz w:val="24"/>
        </w:rPr>
        <w:t>为任务达成度，</w:t>
      </w:r>
      <m:oMath>
        <m:sSubSup>
          <m:e>
            <m:r>
              <m:t>p</m:t>
            </m:r>
          </m:e>
          <m:sub>
            <m:r>
              <m:t>j</m:t>
            </m:r>
          </m:sub>
          <m:sup>
            <m:r>
              <m:rPr>
                <m:sty m:val="p"/>
              </m:rPr>
              <m:t>max</m:t>
            </m:r>
          </m:sup>
        </m:sSubSup>
      </m:oMath>
      <w:r>
        <w:rPr>
          <w:rFonts w:ascii="宋体" w:hAnsi="宋体" w:eastAsia="宋体"/>
          <w:sz w:val="24"/>
        </w:rPr>
        <w:t>为场景</w:t>
      </w:r>
      <m:oMath>
        <m:r>
          <m:t>j</m:t>
        </m:r>
      </m:oMath>
      <w:r>
        <w:rPr>
          <w:rFonts w:ascii="宋体" w:hAnsi="宋体" w:eastAsia="宋体"/>
          <w:sz w:val="24"/>
        </w:rPr>
        <w:t>中单位物理词元的支付意愿上界。</w:t>
      </w:r>
    </w:p>
    <w:p>
      <w:pPr>
        <w:spacing w:line="360" w:lineRule="auto" w:after="0"/>
        <w:ind w:firstLineChars="200" w:firstLine="480"/>
        <w:jc w:val="both"/>
      </w:pPr>
      <w:r>
        <w:rPr>
          <w:rFonts w:ascii="宋体" w:hAnsi="宋体" w:eastAsia="宋体"/>
          <w:sz w:val="24"/>
        </w:rPr>
        <w:t>式(2-2)给出三条可检验的推论。第一，支付意愿随被替代劳动的价格上升而上升：同样一枚词元，用于替代资深工程师的代码审查，与用于替代基础客服的话术应答，其经济价值天差地别。第二，支付意愿随任务达成度上升而上升，且在达成度低于合格线时可能骤降为零——半对的法律意见书不是半份法律意见书，而是零份，因为复核成本可能高于重做成本。这一非线性正是高效值模型能够维持溢价的微观基础。第三，也是本书最关心的一点：</w:t>
      </w:r>
      <m:oMath>
        <m:sSubSup>
          <m:e>
            <m:r>
              <m:t>p</m:t>
            </m:r>
          </m:e>
          <m:sub>
            <m:r>
              <m:t>j</m:t>
            </m:r>
          </m:sub>
          <m:sup>
            <m:r>
              <m:rPr>
                <m:sty m:val="p"/>
              </m:rPr>
              <m:t>max</m:t>
            </m:r>
          </m:sup>
        </m:sSubSup>
      </m:oMath>
      <w:r>
        <w:rPr>
          <w:rFonts w:ascii="宋体" w:hAnsi="宋体" w:eastAsia="宋体"/>
          <w:sz w:val="24"/>
        </w:rPr>
        <w:t>随场景</w:t>
      </w:r>
      <m:oMath>
        <m:r>
          <m:t>j</m:t>
        </m:r>
      </m:oMath>
      <w:r>
        <w:rPr>
          <w:rFonts w:ascii="宋体" w:hAnsi="宋体" w:eastAsia="宋体"/>
          <w:sz w:val="24"/>
        </w:rPr>
        <w:t>而变，而与词元的“枚数”本身无关。换言之，即便在纯粹的效用价值论框架内，物理词元同样不是同质商品。已有的任务暴露度研究为</w:t>
      </w:r>
      <m:oMath>
        <m:sSub>
          <m:e>
            <m:r>
              <m:t>h</m:t>
            </m:r>
          </m:e>
          <m:sub>
            <m:r>
              <m:t>j</m:t>
            </m:r>
          </m:sub>
        </m:sSub>
        <m:r>
          <m:rPr>
            <m:sty m:val="p"/>
          </m:rPr>
          <m:t>/</m:t>
        </m:r>
        <m:sSub>
          <m:e>
            <m:r>
              <m:t>T</m:t>
            </m:r>
          </m:e>
          <m:sub>
            <m:r>
              <m:t>j</m:t>
            </m:r>
          </m:sub>
        </m:sSub>
      </m:oMath>
      <w:r>
        <w:rPr>
          <w:rFonts w:ascii="宋体" w:hAnsi="宋体" w:eastAsia="宋体"/>
          <w:sz w:val="24"/>
        </w:rPr>
        <w:t>与</w:t>
      </w:r>
      <m:oMath>
        <m:sSub>
          <m:e>
            <m:r>
              <m:t>q</m:t>
            </m:r>
          </m:e>
          <m:sub>
            <m:r>
              <m:t>j</m:t>
            </m:r>
          </m:sub>
        </m:sSub>
      </m:oMath>
      <w:r>
        <w:rPr>
          <w:rFonts w:ascii="宋体" w:hAnsi="宋体" w:eastAsia="宋体"/>
          <w:sz w:val="24"/>
        </w:rPr>
        <w:t>的场景异质提供了系统证据：大语言模型对不同职业与任务的暴露程度差异显著（Felten等，2021；Felten等，2023；Eloundou等，2024），随机实验显示写作类任务的完成时间与质量改进幅度可观（Noy和Zhang，2023），客服座席的准实验证据显示生成式人工智能对新手的提升远大于对熟手的提升（Brynjolfsson等，2025）。斯坦福大学人类中心人工智能研究院汇总的职能级证据同样呈现高度离散：客户支持环节的生产率提升约为14%—15%、软件开发约为26%、营销产出约为73%（「Stanford HAI，2026」）。必须强调的是，这三个数字来自各自独立的随机对照或准实验研究，样本、任务与时长各异，只能用于说明场景间的相对离散，不可外推为宏观生产率增速——这一口径纪律将在2.4节再次涉及。</w:t>
      </w:r>
    </w:p>
    <w:p>
      <w:pPr>
        <w:keepNext/>
        <w:spacing w:before="160" w:after="120" w:line="360" w:lineRule="auto"/>
        <w:outlineLvl w:val="2"/>
      </w:pPr>
      <w:r>
        <w:rPr>
          <w:rFonts w:ascii="黑体" w:hAnsi="黑体" w:eastAsia="黑体"/>
          <w:sz w:val="24"/>
        </w:rPr>
        <w:t>2.1.3  信息产品价值论与两种价值论的综合</w:t>
      </w:r>
    </w:p>
    <w:p>
      <w:pPr>
        <w:spacing w:line="360" w:lineRule="auto" w:after="0"/>
        <w:ind w:firstLineChars="200" w:firstLine="480"/>
        <w:jc w:val="both"/>
      </w:pPr>
      <w:r>
        <w:rPr>
          <w:rFonts w:ascii="宋体" w:hAnsi="宋体" w:eastAsia="宋体"/>
          <w:sz w:val="24"/>
        </w:rPr>
        <w:t>词元是信息产品，因而不能回避信息产品价值论的两个经典命题：非竞争性与零边际复制成本。数据作为非竞争性要素可被无限次使用而不损耗，其社会最优配置要求打破排他性占有（Jones和Tonetti，2020）；但非竞争性并不自动导致有效配置，数据市场因外部性与隐私溢出可能出现“数据过多”的均衡（Acemoglu等，2022a），社会数据的定价还须考虑个体信息对他人推断的溢出（Bergemann等，2022）。围绕数据定价已形成从经济学到数据科学的系统综述（Pei，2022），国内研究亦在界权、交易与定价三个层面展开（熊巧琴和汤珂，2021；欧阳日辉和杜青青，2022），并延伸至数据资产的会计确认与价值评估（罗玫等，2023；财政部，2023），以及数据要素对高质量发展的作用与数据流动的制约（蔡跃洲和马文君，2021）。</w:t>
      </w:r>
    </w:p>
    <w:p>
      <w:pPr>
        <w:spacing w:line="360" w:lineRule="auto" w:after="0"/>
        <w:ind w:firstLineChars="200" w:firstLine="480"/>
        <w:jc w:val="both"/>
      </w:pPr>
      <w:r>
        <w:rPr>
          <w:rFonts w:ascii="宋体" w:hAnsi="宋体" w:eastAsia="宋体"/>
          <w:sz w:val="24"/>
        </w:rPr>
        <w:t>然而，把词元直接等同于数据是一个需要警惕的错误。二者在经济属性上至少有三处根本差异。其一，存量与流量之别：数据是存量资源，词元是生产流量，前者可沉淀于资产负债表，后者按期发生并按期消灭。其二，复制成本之别：一份数据复制一万次的边际成本近乎为零，而一万枚词元必须由算力逐枚重新生成，每一枚都对应真实的电力与算力耗费——词元具有“信息产品的非竞争性”与“物质产品的竞争性”的双重属性，这在既有的信息产品价值论中几乎没有对应物。其三，可归属性之别：数据的权属界定至今困难重重，而每一次词元调用都天然地绑定了调用主体、调用时刻、所用模型与所属场景，可归属性远优于数据。这三点差异共同决定了：词元既不能照搬数据要素的定价理论，也不能照搬传统商品的成本定价理论，必须建立自己的价值分析框架——这正是本书第3章与第6章的任务。</w:t>
      </w:r>
    </w:p>
    <w:p>
      <w:pPr>
        <w:spacing w:line="360" w:lineRule="auto" w:after="0"/>
        <w:ind w:firstLineChars="200" w:firstLine="480"/>
        <w:jc w:val="both"/>
      </w:pPr>
      <w:r>
        <w:rPr>
          <w:rFonts w:ascii="宋体" w:hAnsi="宋体" w:eastAsia="宋体"/>
          <w:sz w:val="24"/>
        </w:rPr>
        <w:t>现在可以把两种价值论综合起来。式(2-1)给出的</w:t>
      </w:r>
      <m:oMath>
        <m:sSub>
          <m:e>
            <m:r>
              <m:t>v</m:t>
            </m:r>
          </m:e>
          <m:sub>
            <m:r>
              <m:t>t</m:t>
            </m:r>
          </m:sub>
        </m:sSub>
      </m:oMath>
      <w:r>
        <w:rPr>
          <w:rFonts w:ascii="宋体" w:hAnsi="宋体" w:eastAsia="宋体"/>
          <w:sz w:val="24"/>
        </w:rPr>
        <w:t>是价格的下界（长期低于此界则供给不可持续），式(2-2)给出的</w:t>
      </w:r>
      <m:oMath>
        <m:sSubSup>
          <m:e>
            <m:r>
              <m:t>p</m:t>
            </m:r>
          </m:e>
          <m:sub>
            <m:r>
              <m:t>j</m:t>
            </m:r>
          </m:sub>
          <m:sup>
            <m:r>
              <m:rPr>
                <m:sty m:val="p"/>
              </m:rPr>
              <m:t>max</m:t>
            </m:r>
          </m:sup>
        </m:sSubSup>
      </m:oMath>
      <w:r>
        <w:rPr>
          <w:rFonts w:ascii="宋体" w:hAnsi="宋体" w:eastAsia="宋体"/>
          <w:sz w:val="24"/>
        </w:rPr>
        <w:t>是价格的上界（高于此界则买方不如自己雇人做），实际价格落在二者之间，其位置由供给方能够占有的场景价值份额决定。按全书符号约定记场景租金分成率为</w:t>
      </w:r>
      <m:oMath>
        <m:sSub>
          <m:e>
            <m:r>
              <m:t>ρ</m:t>
            </m:r>
          </m:e>
          <m:sub>
            <m:r>
              <m:t>j</m:t>
            </m:r>
          </m:sub>
        </m:sSub>
        <m:r>
          <m:rPr>
            <m:sty m:val="p"/>
          </m:rPr>
          <m:t>∈</m:t>
        </m:r>
        <m:d>
          <m:dPr>
            <m:begChr m:val="["/>
            <m:endChr m:val="]"/>
            <m:grow/>
          </m:dPr>
          <m:e>
            <m:r>
              <m:t>0</m:t>
            </m:r>
            <m:r>
              <m:rPr>
                <m:sty m:val="p"/>
              </m:rPr>
              <m:t>,</m:t>
            </m:r>
            <m:r>
              <m:t>1</m:t>
            </m:r>
          </m:e>
        </m:d>
      </m:oMath>
      <w:r>
        <w:rPr>
          <w:rFonts w:ascii="宋体" w:hAnsi="宋体" w:eastAsia="宋体"/>
          <w:sz w:val="24"/>
        </w:rPr>
        <w:t>，则场景</w:t>
      </w:r>
      <m:oMath>
        <m:r>
          <m:t>j</m:t>
        </m:r>
      </m:oMath>
      <w:r>
        <w:rPr>
          <w:rFonts w:ascii="宋体" w:hAnsi="宋体" w:eastAsia="宋体"/>
          <w:sz w:val="24"/>
        </w:rPr>
        <w:t>中单位物理词元的均衡价格可写为：</w:t>
      </w:r>
    </w:p>
    <w:p>
      <w:pPr>
        <w:tabs>
          <w:tab w:pos="4252" w:val="center"/>
          <w:tab w:pos="8504" w:val="right"/>
        </w:tabs>
        <w:spacing w:line="360" w:lineRule="auto" w:before="80" w:after="80"/>
      </w:pPr>
      <w:r>
        <w:tab/>
      </w:r>
      <m:oMath>
        <m:sSub>
          <m:e>
            <m:r>
              <m:t>p</m:t>
            </m:r>
          </m:e>
          <m:sub>
            <m:r>
              <m:t>j</m:t>
            </m:r>
          </m:sub>
        </m:sSub>
        <m:r>
          <m:rPr>
            <m:sty m:val="p"/>
          </m:rPr>
          <m:t>=</m:t>
        </m:r>
        <m:sSub>
          <m:e>
            <m:r>
              <m:t>v</m:t>
            </m:r>
          </m:e>
          <m:sub>
            <m:r>
              <m:t>t</m:t>
            </m:r>
          </m:sub>
        </m:sSub>
        <m:r>
          <m:rPr>
            <m:sty m:val="p"/>
          </m:rPr>
          <m:t>+</m:t>
        </m:r>
        <m:sSub>
          <m:e>
            <m:r>
              <m:t>ρ</m:t>
            </m:r>
          </m:e>
          <m:sub>
            <m:r>
              <m:t>j</m:t>
            </m:r>
          </m:sub>
        </m:sSub>
        <m:d>
          <m:dPr>
            <m:begChr m:val="("/>
            <m:endChr m:val=")"/>
            <m:grow/>
          </m:dPr>
          <m:e>
            <m:sSubSup>
              <m:e>
                <m:r>
                  <m:t>p</m:t>
                </m:r>
              </m:e>
              <m:sub>
                <m:r>
                  <m:t>j</m:t>
                </m:r>
              </m:sub>
              <m:sup>
                <m:r>
                  <m:rPr>
                    <m:sty m:val="p"/>
                  </m:rPr>
                  <m:t>max</m:t>
                </m:r>
              </m:sup>
            </m:sSubSup>
            <m:r>
              <m:rPr>
                <m:sty m:val="p"/>
              </m:rPr>
              <m:t>−</m:t>
            </m:r>
            <m:sSub>
              <m:e>
                <m:r>
                  <m:t>v</m:t>
                </m:r>
              </m:e>
              <m:sub>
                <m:r>
                  <m:t>t</m:t>
                </m:r>
              </m:sub>
            </m:sSub>
          </m:e>
        </m:d>
      </m:oMath>
      <w:r>
        <w:tab/>
      </w:r>
      <w:r>
        <w:rPr>
          <w:rFonts w:ascii="Times New Roman" w:hAnsi="Times New Roman" w:eastAsia="宋体"/>
          <w:sz w:val="24"/>
        </w:rPr>
        <w:t>(2-3)</w:t>
      </w:r>
    </w:p>
    <w:p>
      <w:pPr>
        <w:spacing w:line="360" w:lineRule="auto" w:after="0"/>
        <w:jc w:val="both"/>
      </w:pPr>
      <w:r>
        <w:rPr>
          <w:rFonts w:ascii="宋体" w:hAnsi="宋体" w:eastAsia="宋体"/>
          <w:sz w:val="24"/>
        </w:rPr>
        <w:t>其中，</w:t>
      </w:r>
      <m:oMath>
        <m:sSub>
          <m:e>
            <m:r>
              <m:t>ρ</m:t>
            </m:r>
          </m:e>
          <m:sub>
            <m:r>
              <m:t>j</m:t>
            </m:r>
          </m:sub>
        </m:sSub>
      </m:oMath>
      <w:r>
        <w:rPr>
          <w:rFonts w:ascii="宋体" w:hAnsi="宋体" w:eastAsia="宋体"/>
          <w:sz w:val="24"/>
        </w:rPr>
        <w:t>为供给方在场景</w:t>
      </w:r>
      <m:oMath>
        <m:r>
          <m:t>j</m:t>
        </m:r>
      </m:oMath>
      <w:r>
        <w:rPr>
          <w:rFonts w:ascii="宋体" w:hAnsi="宋体" w:eastAsia="宋体"/>
          <w:sz w:val="24"/>
        </w:rPr>
        <w:t>中可占有的价值份额，取决于买方议价能力、可替代模型的数量与业务转换成本；</w:t>
      </w:r>
      <m:oMath>
        <m:sSub>
          <m:e>
            <m:r>
              <m:t>ρ</m:t>
            </m:r>
          </m:e>
          <m:sub>
            <m:r>
              <m:t>j</m:t>
            </m:r>
          </m:sub>
        </m:sSub>
        <m:r>
          <m:rPr>
            <m:sty m:val="p"/>
          </m:rPr>
          <m:t>=</m:t>
        </m:r>
        <m:r>
          <m:t>0</m:t>
        </m:r>
      </m:oMath>
      <w:r>
        <w:rPr>
          <w:rFonts w:ascii="宋体" w:hAnsi="宋体" w:eastAsia="宋体"/>
          <w:sz w:val="24"/>
        </w:rPr>
        <w:t>对应完全竞争下的成本定价，</w:t>
      </w:r>
      <m:oMath>
        <m:sSub>
          <m:e>
            <m:r>
              <m:t>ρ</m:t>
            </m:r>
          </m:e>
          <m:sub>
            <m:r>
              <m:t>j</m:t>
            </m:r>
          </m:sub>
        </m:sSub>
        <m:r>
          <m:rPr>
            <m:sty m:val="p"/>
          </m:rPr>
          <m:t>=</m:t>
        </m:r>
        <m:r>
          <m:t>1</m:t>
        </m:r>
      </m:oMath>
      <w:r>
        <w:rPr>
          <w:rFonts w:ascii="宋体" w:hAnsi="宋体" w:eastAsia="宋体"/>
          <w:sz w:val="24"/>
        </w:rPr>
        <w:t>对应供给方完全占有场景剩余。</w:t>
      </w:r>
    </w:p>
    <w:p>
      <w:pPr>
        <w:spacing w:line="360" w:lineRule="auto" w:after="0"/>
        <w:ind w:firstLineChars="200" w:firstLine="480"/>
        <w:jc w:val="both"/>
      </w:pPr>
      <w:r>
        <w:rPr>
          <w:rFonts w:ascii="宋体" w:hAnsi="宋体" w:eastAsia="宋体"/>
          <w:sz w:val="24"/>
        </w:rPr>
        <w:t>式(2-3)是本书定价理论的胚胎。它表明词元价格并非由成本单独决定，也非由效用单独决定，而是由“成本底决定地板、替代价值决定天花板、占有能力决定位置”这一三元结构共同决定——第7章将把这一结构展开为成本底价层、效值溢价层与场景租金层的三层定价模型。同时，式(2-3)也第一次暴露出本书要解决的核心矛盾：</w:t>
      </w:r>
      <m:oMath>
        <m:sSub>
          <m:e>
            <m:r>
              <m:t>v</m:t>
            </m:r>
          </m:e>
          <m:sub>
            <m:r>
              <m:t>t</m:t>
            </m:r>
          </m:sub>
        </m:sSub>
      </m:oMath>
      <w:r>
        <w:rPr>
          <w:rFonts w:ascii="宋体" w:hAnsi="宋体" w:eastAsia="宋体"/>
          <w:sz w:val="24"/>
        </w:rPr>
        <w:t>随模型档位而异，</w:t>
      </w:r>
      <m:oMath>
        <m:sSubSup>
          <m:e>
            <m:r>
              <m:t>p</m:t>
            </m:r>
          </m:e>
          <m:sub>
            <m:r>
              <m:t>j</m:t>
            </m:r>
          </m:sub>
          <m:sup>
            <m:r>
              <m:rPr>
                <m:sty m:val="p"/>
              </m:rPr>
              <m:t>max</m:t>
            </m:r>
          </m:sup>
        </m:sSubSup>
      </m:oMath>
      <w:r>
        <w:rPr>
          <w:rFonts w:ascii="宋体" w:hAnsi="宋体" w:eastAsia="宋体"/>
          <w:sz w:val="24"/>
        </w:rPr>
        <w:t>随场景而异，若不引入某种折算把二者归到共同尺度上，价格的横向比较、纵向指数化与跨主体加总都无从谈起。价值理论到此已经把问题交给了计量理论。</w:t>
      </w:r>
    </w:p>
    <w:p>
      <w:pPr>
        <w:keepNext/>
        <w:spacing w:before="160" w:after="120" w:line="360" w:lineRule="auto"/>
        <w:outlineLvl w:val="1"/>
      </w:pPr>
      <w:r>
        <w:rPr>
          <w:rFonts w:ascii="黑体" w:hAnsi="黑体" w:eastAsia="黑体"/>
          <w:sz w:val="28"/>
        </w:rPr>
        <w:t>2.2  计量单位演进的经济学：从工时、千瓦时、字节到词元</w:t>
      </w:r>
    </w:p>
    <w:p>
      <w:pPr>
        <w:keepNext/>
        <w:spacing w:before="160" w:after="120" w:line="360" w:lineRule="auto"/>
        <w:outlineLvl w:val="2"/>
      </w:pPr>
      <w:r>
        <w:rPr>
          <w:rFonts w:ascii="黑体" w:hAnsi="黑体" w:eastAsia="黑体"/>
          <w:sz w:val="24"/>
        </w:rPr>
        <w:t>2.2.1  经济计量单位的演进逻辑与四个成立条件</w:t>
      </w:r>
    </w:p>
    <w:p>
      <w:pPr>
        <w:spacing w:line="360" w:lineRule="auto" w:after="0"/>
        <w:ind w:firstLineChars="200" w:firstLine="480"/>
        <w:jc w:val="both"/>
      </w:pPr>
      <w:r>
        <w:rPr>
          <w:rFonts w:ascii="宋体" w:hAnsi="宋体" w:eastAsia="宋体"/>
          <w:sz w:val="24"/>
        </w:rPr>
        <w:t>经济活动的每一次形态跃迁，几乎都伴随着一个新的主导计量单位的确立。农业与手工业时代计量投入的是工时，劳动时间既是价值实体的度量，也是契约与工资的计算基础；工业时代计量能量的是千瓦时，度电成为工厂、电网与家庭之间通用的结算单位；数字时代计量信息的是字节，它使存储、带宽与流量得以定价与交易。当人工智能开始大规模承担认知劳动时，一个新的问题被提出：智能本身该如何计量？词元是迄今为止最接近答案的候选——它是模型处理信息的基本粒度，是智能服务计费的通行依据，也是连接算力、模型与应用的接口变量。</w:t>
      </w:r>
    </w:p>
    <w:p>
      <w:pPr>
        <w:spacing w:line="360" w:lineRule="auto" w:after="0"/>
        <w:ind w:firstLineChars="200" w:firstLine="480"/>
        <w:jc w:val="both"/>
      </w:pPr>
      <w:r>
        <w:rPr>
          <w:rFonts w:ascii="宋体" w:hAnsi="宋体" w:eastAsia="宋体"/>
          <w:sz w:val="24"/>
        </w:rPr>
        <w:t>把这一演进序列并置起来观察，可以抽象出一个经济计量单位得以成立的四个条件。条件一是同质可比：任意两单位之间在被计量的属性上必须等价，一度电就是一度电，不因由火电还是风电生产而改变。条件二是可加：不同来源的单位可以直接相加得到有经济含义的总量，全国用电量之所以是一个有意义的宏观变量，正因为度电可加。条件三是可验证：交易双方能够以可接受的成本对计量结果达成一致，电表与流量计的存在使得计量争议可裁决。条件四是度量费用足够低：若每笔交易的核验成本超过交易本身的收益，计量单位就无法在市场中存活。四个条件之中，同质可比是逻辑前提，可加是经济功能，可验证与低度量费用则是制度可行性——三者共同决定了一个单位能否同时承担计价基础、契约基础与统计基础这三重职能。</w:t>
      </w:r>
    </w:p>
    <w:p>
      <w:pPr>
        <w:spacing w:line="360" w:lineRule="auto" w:after="0"/>
        <w:ind w:firstLineChars="200" w:firstLine="480"/>
        <w:jc w:val="both"/>
      </w:pPr>
      <w:r>
        <w:rPr>
          <w:rFonts w:ascii="宋体" w:hAnsi="宋体" w:eastAsia="宋体"/>
          <w:sz w:val="24"/>
        </w:rPr>
        <w:t>词元的制度化进程已经启动。2026年3月25日，全国科学技术名词审定委员会发布公告，优先推荐并面向全社会发布试用人工智能领域名词token的中文名“词元”，并明确该中文定名将在计算机科学技术名词的常态化审定工作中结合社会推广应用情况最终确认；同月，在中国发展高层论坛2026年年会期间，国家发展改革委党组成员、国家数据局局长刘烈宏发表《深化数据赋能人工智能发展，加快培育智能经济新形态》演讲，使用并推介这一译名，提出词元具有可计量、可定价、可交易的特征，是智能时代的价值锚点。两个主体、两个动作分属两种口径，本书严格区分：名词委口径为术语学口径，把词元界定为智能设备中信息存储、处理和交换的具有一定语义的基本符号单元；国家数据局口径为经济计量口径，把词元界定为可计量、可定价、可交易的最小信息单元。本书讨论术语规范时引前者，讨论价值计量时引后者，二者不作互换或拼接。需要特别指出的是，名词委公告的用语是“优先推荐”与“发布试用”，其效力层级尚待常态化审定最终确认，因此不宜表述为“正式定名”，更不构成国家标准。</w:t>
      </w:r>
    </w:p>
    <w:p>
      <w:pPr>
        <w:keepNext/>
        <w:spacing w:before="160" w:after="120" w:line="360" w:lineRule="auto"/>
        <w:outlineLvl w:val="2"/>
      </w:pPr>
      <w:r>
        <w:rPr>
          <w:rFonts w:ascii="黑体" w:hAnsi="黑体" w:eastAsia="黑体"/>
          <w:sz w:val="24"/>
        </w:rPr>
        <w:t>2.2.2  词元为何暂不是合格的价值单位：技术根源</w:t>
      </w:r>
    </w:p>
    <w:p>
      <w:pPr>
        <w:spacing w:line="360" w:lineRule="auto" w:after="0"/>
        <w:ind w:firstLineChars="200" w:firstLine="480"/>
        <w:jc w:val="both"/>
      </w:pPr>
      <w:r>
        <w:rPr>
          <w:rFonts w:ascii="宋体" w:hAnsi="宋体" w:eastAsia="宋体"/>
          <w:sz w:val="24"/>
        </w:rPr>
        <w:t>以2.2.1节的四条件检验物理词元，结论并不乐观：可加与低度量费用两条勉强成立（词元天然可计数，平台侧计数成本极低），同质可比与可验证两条则明显不成立。其技术根源可分为输入侧与输出侧两个层面。</w:t>
      </w:r>
    </w:p>
    <w:p>
      <w:pPr>
        <w:spacing w:line="360" w:lineRule="auto" w:after="0"/>
        <w:ind w:firstLineChars="200" w:firstLine="480"/>
        <w:jc w:val="both"/>
      </w:pPr>
      <w:r>
        <w:rPr>
          <w:rFonts w:ascii="宋体" w:hAnsi="宋体" w:eastAsia="宋体"/>
          <w:sz w:val="24"/>
        </w:rPr>
        <w:t>输入侧的根源在于分词。字节对编码等子词切分方法把文本切分为子词单元，以在词表规模与未登录词覆盖之间取得平衡（Sennrich等，2016），语言无关的子词分词器进一步把这一过程标准化为可复用的工具链（Kudo和Richardson，2018）。但分词器是模型特定的：同一段文本在不同分词器下被切成的词元数可以相差数成，分词器质量对下游任务表现有系统性影响（Rust等，2021）。更严重的是跨语言的不对等——语言模型分词器对不同语言的编码效率差异极大，导致相同语义内容在不同语言下的词元数与费用显著不同（Petrov等，2023；Ahia等，2023）。这意味着“词元数”这一计数本身就不是语义中性的：它既依赖于模型，也依赖于语言，还依赖于文本类型。以之作为计价基础，等于用一把刻度随被测物而变的尺子去量长度。</w:t>
      </w:r>
    </w:p>
    <w:p>
      <w:pPr>
        <w:spacing w:line="360" w:lineRule="auto" w:after="0"/>
        <w:ind w:firstLineChars="200" w:firstLine="480"/>
        <w:jc w:val="both"/>
      </w:pPr>
      <w:r>
        <w:rPr>
          <w:rFonts w:ascii="宋体" w:hAnsi="宋体" w:eastAsia="宋体"/>
          <w:sz w:val="24"/>
        </w:rPr>
        <w:t>输出侧的根源在于生成过程的算力异质。单枚词元的生成成本取决于模型参数规模、上下文长度、批处理策略与缓存命中情况：高效的自回归推理需要在张量并行与流水并行之间做精细权衡（Pope等，2023），注意力计算的访存优化可数倍改变实际吞吐（Dao等，2022），连续批处理与分页式显存管理把服务吞吐提升到新的量级（Yu等，2022；Kwon等，2023），预填充与解码阶段的分离部署以及吞吐—时延权衡的调度设计进一步改变了单位词元的资源占用（Agrawal等，2024；Zhong等，2024）。与此同时，推理增强类模型以生成大量中间思考词元换取答案质量，同一任务的词元消耗可较直接作答的模型高出数倍。于是出现了本书反复引用的基本事实：同样100枚词元，不同档位模型的算力消耗相差十倍乃至百倍，其经济价值自然不可能相等。</w:t>
      </w:r>
    </w:p>
    <w:p>
      <w:pPr>
        <w:spacing w:line="360" w:lineRule="auto" w:after="0"/>
        <w:ind w:firstLineChars="200" w:firstLine="480"/>
        <w:jc w:val="both"/>
      </w:pPr>
      <w:r>
        <w:rPr>
          <w:rFonts w:ascii="宋体" w:hAnsi="宋体" w:eastAsia="宋体"/>
          <w:sz w:val="24"/>
        </w:rPr>
        <w:t>可验证条件的失效则更具经济学意味。买方在购买时能够观测到的是词元数与单价，而真正决定其效用的效值（算力强度、推理质量与场景效用的合成）在购买时不可观测、在事后也难以低成本地验证。这是一个标准的质量不可观测情境，其后果早已被经典文献揭示：当买方无法区分高质量与低质量商品时，市场价格向平均质量收敛，高质量供给被逐出市场（Akerlof，1970）；解决之道在于建立可信的质量披露与第三方认证制度，把不可观测的质量转化为可观测的信号（Dranove和Jin，2010）。词元市场今日的处境与此高度同构——这也正是本书把标准词元同时定位为计量技术与市场制度的原因。</w:t>
      </w:r>
    </w:p>
    <w:p>
      <w:pPr>
        <w:keepNext/>
        <w:spacing w:before="160" w:after="120" w:line="360" w:lineRule="auto"/>
        <w:outlineLvl w:val="2"/>
      </w:pPr>
      <w:r>
        <w:rPr>
          <w:rFonts w:ascii="黑体" w:hAnsi="黑体" w:eastAsia="黑体"/>
          <w:sz w:val="24"/>
        </w:rPr>
        <w:t>2.2.3  标准化计量降低交易费用的机制</w:t>
      </w:r>
    </w:p>
    <w:p>
      <w:pPr>
        <w:spacing w:line="360" w:lineRule="auto" w:after="0"/>
        <w:ind w:firstLineChars="200" w:firstLine="480"/>
        <w:jc w:val="both"/>
      </w:pPr>
      <w:r>
        <w:rPr>
          <w:rFonts w:ascii="宋体" w:hAnsi="宋体" w:eastAsia="宋体"/>
          <w:sz w:val="24"/>
        </w:rPr>
        <w:t>为把上述直觉形式化，考虑一个风险规避的买方。设买方对单位标准词元的边际估值为</w:t>
      </w:r>
      <m:oMath>
        <m:r>
          <m:t>u</m:t>
        </m:r>
      </m:oMath>
      <w:r>
        <w:rPr>
          <w:rFonts w:ascii="宋体" w:hAnsi="宋体" w:eastAsia="宋体"/>
          <w:sz w:val="24"/>
        </w:rPr>
        <w:t>（元／标准词元），所购物理词元的效值</w:t>
      </w:r>
      <m:oMath>
        <m:r>
          <m:t>η</m:t>
        </m:r>
      </m:oMath>
      <w:r>
        <w:rPr>
          <w:rFonts w:ascii="宋体" w:hAnsi="宋体" w:eastAsia="宋体"/>
          <w:sz w:val="24"/>
        </w:rPr>
        <w:t>不可事前观测，其主观分布的均值为</w:t>
      </w:r>
      <m:oMath>
        <m:acc>
          <m:accPr>
            <m:chr m:val="‾"/>
          </m:accPr>
          <m:e>
            <m:r>
              <m:t>η</m:t>
            </m:r>
          </m:e>
        </m:acc>
      </m:oMath>
      <w:r>
        <w:rPr>
          <w:rFonts w:ascii="宋体" w:hAnsi="宋体" w:eastAsia="宋体"/>
          <w:sz w:val="24"/>
        </w:rPr>
        <w:t>、方差为</w:t>
      </w:r>
      <m:oMath>
        <m:sSubSup>
          <m:e>
            <m:r>
              <m:t>σ</m:t>
            </m:r>
          </m:e>
          <m:sub>
            <m:r>
              <m:t>η</m:t>
            </m:r>
          </m:sub>
          <m:sup>
            <m:r>
              <m:t>2</m:t>
            </m:r>
          </m:sup>
        </m:sSubSup>
      </m:oMath>
      <w:r>
        <w:rPr>
          <w:rFonts w:ascii="宋体" w:hAnsi="宋体" w:eastAsia="宋体"/>
          <w:sz w:val="24"/>
        </w:rPr>
        <w:t>；买方的风险规避系数为</w:t>
      </w:r>
      <m:oMath>
        <m:r>
          <m:t>A</m:t>
        </m:r>
      </m:oMath>
      <w:r>
        <w:rPr>
          <w:rFonts w:ascii="宋体" w:hAnsi="宋体" w:eastAsia="宋体"/>
          <w:sz w:val="24"/>
        </w:rPr>
        <w:t>，单笔交易中用于询价、试测与验收的度量费用为</w:t>
      </w:r>
      <m:oMath>
        <m:r>
          <m:t>τ</m:t>
        </m:r>
      </m:oMath>
      <w:r>
        <w:rPr>
          <w:rFonts w:ascii="宋体" w:hAnsi="宋体" w:eastAsia="宋体"/>
          <w:sz w:val="24"/>
        </w:rPr>
        <w:t>。在均值—方差偏好下，买方对单位物理词元的确定性等价支付意愿为：</w:t>
      </w:r>
    </w:p>
    <w:p>
      <w:pPr>
        <w:tabs>
          <w:tab w:pos="4252" w:val="center"/>
          <w:tab w:pos="8504" w:val="right"/>
        </w:tabs>
        <w:spacing w:line="360" w:lineRule="auto" w:before="80" w:after="80"/>
      </w:pPr>
      <w:r>
        <w:tab/>
      </w:r>
      <m:oMath>
        <m:r>
          <m:t>W</m:t>
        </m:r>
        <m:r>
          <m:rPr>
            <m:sty m:val="p"/>
          </m:rPr>
          <m:t>=</m:t>
        </m:r>
        <m:r>
          <m:t>u</m:t>
        </m:r>
        <m:r>
          <m:t> </m:t>
        </m:r>
        <m:acc>
          <m:accPr>
            <m:chr m:val="‾"/>
          </m:accPr>
          <m:e>
            <m:r>
              <m:t>η</m:t>
            </m:r>
          </m:e>
        </m:acc>
        <m:r>
          <m:rPr>
            <m:sty m:val="p"/>
          </m:rPr>
          <m:t>−</m:t>
        </m:r>
        <m:f>
          <m:fPr>
            <m:type m:val="bar"/>
          </m:fPr>
          <m:num>
            <m:r>
              <m:t>A</m:t>
            </m:r>
          </m:num>
          <m:den>
            <m:r>
              <m:t>2</m:t>
            </m:r>
          </m:den>
        </m:f>
        <m:r>
          <m:t> </m:t>
        </m:r>
        <m:sSup>
          <m:e>
            <m:r>
              <m:t>u</m:t>
            </m:r>
          </m:e>
          <m:sup>
            <m:r>
              <m:t>2</m:t>
            </m:r>
          </m:sup>
        </m:sSup>
        <m:sSubSup>
          <m:e>
            <m:r>
              <m:t>σ</m:t>
            </m:r>
          </m:e>
          <m:sub>
            <m:r>
              <m:t>η</m:t>
            </m:r>
          </m:sub>
          <m:sup>
            <m:r>
              <m:t>2</m:t>
            </m:r>
          </m:sup>
        </m:sSubSup>
        <m:r>
          <m:rPr>
            <m:sty m:val="p"/>
          </m:rPr>
          <m:t>−</m:t>
        </m:r>
        <m:r>
          <m:t>τ</m:t>
        </m:r>
      </m:oMath>
      <w:r>
        <w:tab/>
      </w:r>
      <w:r>
        <w:rPr>
          <w:rFonts w:ascii="Times New Roman" w:hAnsi="Times New Roman" w:eastAsia="宋体"/>
          <w:sz w:val="24"/>
        </w:rPr>
        <w:t>(2-4)</w:t>
      </w:r>
    </w:p>
    <w:p>
      <w:pPr>
        <w:spacing w:line="360" w:lineRule="auto" w:after="0"/>
        <w:jc w:val="both"/>
      </w:pPr>
      <w:r>
        <w:rPr>
          <w:rFonts w:ascii="宋体" w:hAnsi="宋体" w:eastAsia="宋体"/>
          <w:sz w:val="24"/>
        </w:rPr>
        <w:t>其中，</w:t>
      </w:r>
      <m:oMath>
        <m:r>
          <m:t>u</m:t>
        </m:r>
        <m:acc>
          <m:accPr>
            <m:chr m:val="‾"/>
          </m:accPr>
          <m:e>
            <m:r>
              <m:t>η</m:t>
            </m:r>
          </m:e>
        </m:acc>
      </m:oMath>
      <w:r>
        <w:rPr>
          <w:rFonts w:ascii="宋体" w:hAnsi="宋体" w:eastAsia="宋体"/>
          <w:sz w:val="24"/>
        </w:rPr>
        <w:t>为期望效用价值，</w:t>
      </w:r>
      <m:oMath>
        <m:f>
          <m:fPr>
            <m:type m:val="bar"/>
          </m:fPr>
          <m:num>
            <m:r>
              <m:t>A</m:t>
            </m:r>
          </m:num>
          <m:den>
            <m:r>
              <m:t>2</m:t>
            </m:r>
          </m:den>
        </m:f>
        <m:sSup>
          <m:e>
            <m:r>
              <m:t>u</m:t>
            </m:r>
          </m:e>
          <m:sup>
            <m:r>
              <m:t>2</m:t>
            </m:r>
          </m:sup>
        </m:sSup>
        <m:sSubSup>
          <m:e>
            <m:r>
              <m:t>σ</m:t>
            </m:r>
          </m:e>
          <m:sub>
            <m:r>
              <m:t>η</m:t>
            </m:r>
          </m:sub>
          <m:sup>
            <m:r>
              <m:t>2</m:t>
            </m:r>
          </m:sup>
        </m:sSubSup>
      </m:oMath>
      <w:r>
        <w:rPr>
          <w:rFonts w:ascii="宋体" w:hAnsi="宋体" w:eastAsia="宋体"/>
          <w:sz w:val="24"/>
        </w:rPr>
        <w:t>为效值不确定带来的风险贴水，</w:t>
      </w:r>
      <m:oMath>
        <m:r>
          <m:t>τ</m:t>
        </m:r>
      </m:oMath>
      <w:r>
        <w:rPr>
          <w:rFonts w:ascii="宋体" w:hAnsi="宋体" w:eastAsia="宋体"/>
          <w:sz w:val="24"/>
        </w:rPr>
        <w:t>为单笔交易的度量与核验费用，</w:t>
      </w:r>
      <m:oMath>
        <m:r>
          <m:t>W</m:t>
        </m:r>
      </m:oMath>
      <w:r>
        <w:rPr>
          <w:rFonts w:ascii="宋体" w:hAnsi="宋体" w:eastAsia="宋体"/>
          <w:sz w:val="24"/>
        </w:rPr>
        <w:t>为确定性等价支付意愿。</w:t>
      </w:r>
    </w:p>
    <w:p>
      <w:pPr>
        <w:spacing w:line="360" w:lineRule="auto" w:after="0"/>
        <w:ind w:firstLineChars="200" w:firstLine="480"/>
        <w:jc w:val="both"/>
      </w:pPr>
      <w:r>
        <w:rPr>
          <w:rFonts w:ascii="宋体" w:hAnsi="宋体" w:eastAsia="宋体"/>
          <w:sz w:val="24"/>
        </w:rPr>
        <w:t>式(2-4)有两条直接性质：</w:t>
      </w:r>
      <m:oMath>
        <m:r>
          <m:rPr>
            <m:sty m:val="p"/>
          </m:rPr>
          <m:t>∂</m:t>
        </m:r>
        <m:r>
          <m:t>W</m:t>
        </m:r>
        <m:r>
          <m:rPr>
            <m:sty m:val="p"/>
          </m:rPr>
          <m:t>/</m:t>
        </m:r>
        <m:r>
          <m:rPr>
            <m:sty m:val="p"/>
          </m:rPr>
          <m:t>∂</m:t>
        </m:r>
        <m:sSubSup>
          <m:e>
            <m:r>
              <m:t>σ</m:t>
            </m:r>
          </m:e>
          <m:sub>
            <m:r>
              <m:t>η</m:t>
            </m:r>
          </m:sub>
          <m:sup>
            <m:r>
              <m:t>2</m:t>
            </m:r>
          </m:sup>
        </m:sSubSup>
        <m:r>
          <m:rPr>
            <m:sty m:val="p"/>
          </m:rPr>
          <m:t>&lt;</m:t>
        </m:r>
        <m:r>
          <m:t>0</m:t>
        </m:r>
      </m:oMath>
      <w:r>
        <w:rPr>
          <w:rFonts w:ascii="宋体" w:hAnsi="宋体" w:eastAsia="宋体"/>
          <w:sz w:val="24"/>
        </w:rPr>
        <w:t>与</w:t>
      </w:r>
      <m:oMath>
        <m:r>
          <m:rPr>
            <m:sty m:val="p"/>
          </m:rPr>
          <m:t>∂</m:t>
        </m:r>
        <m:r>
          <m:t>W</m:t>
        </m:r>
        <m:r>
          <m:rPr>
            <m:sty m:val="p"/>
          </m:rPr>
          <m:t>/</m:t>
        </m:r>
        <m:r>
          <m:rPr>
            <m:sty m:val="p"/>
          </m:rPr>
          <m:t>∂</m:t>
        </m:r>
        <m:r>
          <m:t>τ</m:t>
        </m:r>
        <m:r>
          <m:rPr>
            <m:sty m:val="p"/>
          </m:rPr>
          <m:t>&lt;</m:t>
        </m:r>
        <m:r>
          <m:t>0</m:t>
        </m:r>
      </m:oMath>
      <w:r>
        <w:rPr>
          <w:rFonts w:ascii="宋体" w:hAnsi="宋体" w:eastAsia="宋体"/>
          <w:sz w:val="24"/>
        </w:rPr>
        <w:t>。前者表明效值的不确定本身就压低了买方的支付意愿，形成一种“计量折价”——即便供给方确实提供了高效值词元，只要买方无法确信，其愿意支付的价格也会低于该词元的真实价值；后者表明度量费用直接从交易剩余中扣除。两条性质合起来解释了一个反直觉的现象：在效值信息不透明的市场上，提升模型能力未必能提升售价，因为提升的是</w:t>
      </w:r>
      <m:oMath>
        <m:acc>
          <m:accPr>
            <m:chr m:val="‾"/>
          </m:accPr>
          <m:e>
            <m:r>
              <m:t>η</m:t>
            </m:r>
          </m:e>
        </m:acc>
      </m:oMath>
      <w:r>
        <w:rPr>
          <w:rFonts w:ascii="宋体" w:hAnsi="宋体" w:eastAsia="宋体"/>
          <w:sz w:val="24"/>
        </w:rPr>
        <w:t>，而买方的支付意愿同时被</w:t>
      </w:r>
      <m:oMath>
        <m:sSubSup>
          <m:e>
            <m:r>
              <m:t>σ</m:t>
            </m:r>
          </m:e>
          <m:sub>
            <m:r>
              <m:t>η</m:t>
            </m:r>
          </m:sub>
          <m:sup>
            <m:r>
              <m:t>2</m:t>
            </m:r>
          </m:sup>
        </m:sSubSup>
      </m:oMath>
      <w:r>
        <w:rPr>
          <w:rFonts w:ascii="宋体" w:hAnsi="宋体" w:eastAsia="宋体"/>
          <w:sz w:val="24"/>
        </w:rPr>
        <w:t>拖累。第8章的测度显示，企业对所购词元效值的认知偏差均值达0.44，由此导致低效值档位的过度采购份额达0.27——柠檬市场机制在词元市场上已经可以被观测到。</w:t>
      </w:r>
    </w:p>
    <w:p>
      <w:pPr>
        <w:spacing w:line="360" w:lineRule="auto" w:after="0"/>
        <w:ind w:firstLineChars="200" w:firstLine="480"/>
        <w:jc w:val="both"/>
      </w:pPr>
      <w:r>
        <w:rPr>
          <w:rFonts w:ascii="宋体" w:hAnsi="宋体" w:eastAsia="宋体"/>
          <w:sz w:val="24"/>
        </w:rPr>
        <w:t>标准化计量的经济功能，正在于同时压缩</w:t>
      </w:r>
      <m:oMath>
        <m:sSubSup>
          <m:e>
            <m:r>
              <m:t>σ</m:t>
            </m:r>
          </m:e>
          <m:sub>
            <m:r>
              <m:t>η</m:t>
            </m:r>
          </m:sub>
          <m:sup>
            <m:r>
              <m:t>2</m:t>
            </m:r>
          </m:sup>
        </m:sSubSup>
      </m:oMath>
      <w:r>
        <w:rPr>
          <w:rFonts w:ascii="宋体" w:hAnsi="宋体" w:eastAsia="宋体"/>
          <w:sz w:val="24"/>
        </w:rPr>
        <w:t>与</w:t>
      </w:r>
      <m:oMath>
        <m:r>
          <m:t>τ</m:t>
        </m:r>
      </m:oMath>
      <w:r>
        <w:rPr>
          <w:rFonts w:ascii="宋体" w:hAnsi="宋体" w:eastAsia="宋体"/>
          <w:sz w:val="24"/>
        </w:rPr>
        <w:t>。设标准建立前后效值方差由</w:t>
      </w:r>
      <m:oMath>
        <m:sSubSup>
          <m:e>
            <m:r>
              <m:t>σ</m:t>
            </m:r>
          </m:e>
          <m:sub>
            <m:r>
              <m:t>0</m:t>
            </m:r>
          </m:sub>
          <m:sup>
            <m:r>
              <m:t>2</m:t>
            </m:r>
          </m:sup>
        </m:sSubSup>
      </m:oMath>
      <w:r>
        <w:rPr>
          <w:rFonts w:ascii="宋体" w:hAnsi="宋体" w:eastAsia="宋体"/>
          <w:sz w:val="24"/>
        </w:rPr>
        <w:t>降至</w:t>
      </w:r>
      <m:oMath>
        <m:sSubSup>
          <m:e>
            <m:r>
              <m:t>σ</m:t>
            </m:r>
          </m:e>
          <m:sub>
            <m:r>
              <m:t>1</m:t>
            </m:r>
          </m:sub>
          <m:sup>
            <m:r>
              <m:t>2</m:t>
            </m:r>
          </m:sup>
        </m:sSubSup>
      </m:oMath>
      <w:r>
        <w:rPr>
          <w:rFonts w:ascii="宋体" w:hAnsi="宋体" w:eastAsia="宋体"/>
          <w:sz w:val="24"/>
        </w:rPr>
        <w:t>、单笔度量费用由</w:t>
      </w:r>
      <m:oMath>
        <m:sSub>
          <m:e>
            <m:r>
              <m:t>τ</m:t>
            </m:r>
          </m:e>
          <m:sub>
            <m:r>
              <m:t>0</m:t>
            </m:r>
          </m:sub>
        </m:sSub>
      </m:oMath>
      <w:r>
        <w:rPr>
          <w:rFonts w:ascii="宋体" w:hAnsi="宋体" w:eastAsia="宋体"/>
          <w:sz w:val="24"/>
        </w:rPr>
        <w:t>降至</w:t>
      </w:r>
      <m:oMath>
        <m:sSub>
          <m:e>
            <m:r>
              <m:t>τ</m:t>
            </m:r>
          </m:e>
          <m:sub>
            <m:r>
              <m:t>1</m:t>
            </m:r>
          </m:sub>
        </m:sSub>
      </m:oMath>
      <w:r>
        <w:rPr>
          <w:rFonts w:ascii="宋体" w:hAnsi="宋体" w:eastAsia="宋体"/>
          <w:sz w:val="24"/>
        </w:rPr>
        <w:t>，则每笔交易的计量收益为</w:t>
      </w:r>
      <m:oMath>
        <m:r>
          <m:t>Δ</m:t>
        </m:r>
        <m:r>
          <m:rPr>
            <m:sty m:val="p"/>
          </m:rPr>
          <m:t>=</m:t>
        </m:r>
        <m:f>
          <m:fPr>
            <m:type m:val="bar"/>
          </m:fPr>
          <m:num>
            <m:r>
              <m:t>A</m:t>
            </m:r>
          </m:num>
          <m:den>
            <m:r>
              <m:t>2</m:t>
            </m:r>
          </m:den>
        </m:f>
        <m:sSup>
          <m:e>
            <m:r>
              <m:t>u</m:t>
            </m:r>
          </m:e>
          <m:sup>
            <m:r>
              <m:t>2</m:t>
            </m:r>
          </m:sup>
        </m:sSup>
        <m:d>
          <m:dPr>
            <m:begChr m:val="("/>
            <m:endChr m:val=")"/>
            <m:grow/>
          </m:dPr>
          <m:e>
            <m:sSubSup>
              <m:e>
                <m:r>
                  <m:t>σ</m:t>
                </m:r>
              </m:e>
              <m:sub>
                <m:r>
                  <m:t>0</m:t>
                </m:r>
              </m:sub>
              <m:sup>
                <m:r>
                  <m:t>2</m:t>
                </m:r>
              </m:sup>
            </m:sSubSup>
            <m:r>
              <m:rPr>
                <m:sty m:val="p"/>
              </m:rPr>
              <m:t>−</m:t>
            </m:r>
            <m:sSubSup>
              <m:e>
                <m:r>
                  <m:t>σ</m:t>
                </m:r>
              </m:e>
              <m:sub>
                <m:r>
                  <m:t>1</m:t>
                </m:r>
              </m:sub>
              <m:sup>
                <m:r>
                  <m:t>2</m:t>
                </m:r>
              </m:sup>
            </m:sSubSup>
          </m:e>
        </m:d>
        <m:r>
          <m:rPr>
            <m:sty m:val="p"/>
          </m:rPr>
          <m:t>+</m:t>
        </m:r>
        <m:d>
          <m:dPr>
            <m:begChr m:val="("/>
            <m:endChr m:val=")"/>
            <m:grow/>
          </m:dPr>
          <m:e>
            <m:sSub>
              <m:e>
                <m:r>
                  <m:t>τ</m:t>
                </m:r>
              </m:e>
              <m:sub>
                <m:r>
                  <m:t>0</m:t>
                </m:r>
              </m:sub>
            </m:sSub>
            <m:r>
              <m:rPr>
                <m:sty m:val="p"/>
              </m:rPr>
              <m:t>−</m:t>
            </m:r>
            <m:sSub>
              <m:e>
                <m:r>
                  <m:t>τ</m:t>
                </m:r>
              </m:e>
              <m:sub>
                <m:r>
                  <m:t>1</m:t>
                </m:r>
              </m:sub>
            </m:sSub>
          </m:e>
        </m:d>
      </m:oMath>
      <w:r>
        <w:rPr>
          <w:rFonts w:ascii="宋体" w:hAnsi="宋体" w:eastAsia="宋体"/>
          <w:sz w:val="24"/>
        </w:rPr>
        <w:t>。记标准体系的建设与维护固定成本为</w:t>
      </w:r>
      <m:oMath>
        <m:r>
          <m:t>F</m:t>
        </m:r>
      </m:oMath>
      <w:r>
        <w:rPr>
          <w:rFonts w:ascii="宋体" w:hAnsi="宋体" w:eastAsia="宋体"/>
          <w:sz w:val="24"/>
        </w:rPr>
        <w:t>（包括基准任务集构建、测试认证、争议裁决与制度运行），则标准化净收益为正所需的临界交易规模为：</w:t>
      </w:r>
    </w:p>
    <w:p>
      <w:pPr>
        <w:tabs>
          <w:tab w:pos="4252" w:val="center"/>
          <w:tab w:pos="8504" w:val="right"/>
        </w:tabs>
        <w:spacing w:line="360" w:lineRule="auto" w:before="80" w:after="80"/>
      </w:pPr>
      <w:r>
        <w:tab/>
      </w:r>
      <m:oMath>
        <m:sSup>
          <m:e>
            <m:r>
              <m:t>N</m:t>
            </m:r>
          </m:e>
          <m:sup>
            <m:r>
              <m:rPr>
                <m:sty m:val="p"/>
              </m:rPr>
              <m:t>∗</m:t>
            </m:r>
          </m:sup>
        </m:sSup>
        <m:r>
          <m:rPr>
            <m:sty m:val="p"/>
          </m:rPr>
          <m:t>=</m:t>
        </m:r>
        <m:f>
          <m:fPr>
            <m:type m:val="bar"/>
          </m:fPr>
          <m:num>
            <m:r>
              <m:t>F</m:t>
            </m:r>
          </m:num>
          <m:den>
            <m:f>
              <m:fPr>
                <m:type m:val="bar"/>
              </m:fPr>
              <m:num>
                <m:r>
                  <m:t>A</m:t>
                </m:r>
              </m:num>
              <m:den>
                <m:r>
                  <m:t>2</m:t>
                </m:r>
              </m:den>
            </m:f>
            <m:sSup>
              <m:e>
                <m:r>
                  <m:t>u</m:t>
                </m:r>
              </m:e>
              <m:sup>
                <m:r>
                  <m:t>2</m:t>
                </m:r>
              </m:sup>
            </m:sSup>
            <m:d>
              <m:dPr>
                <m:begChr m:val="("/>
                <m:endChr m:val=")"/>
                <m:grow/>
              </m:dPr>
              <m:e>
                <m:sSubSup>
                  <m:e>
                    <m:r>
                      <m:t>σ</m:t>
                    </m:r>
                  </m:e>
                  <m:sub>
                    <m:r>
                      <m:t>0</m:t>
                    </m:r>
                  </m:sub>
                  <m:sup>
                    <m:r>
                      <m:t>2</m:t>
                    </m:r>
                  </m:sup>
                </m:sSubSup>
                <m:r>
                  <m:rPr>
                    <m:sty m:val="p"/>
                  </m:rPr>
                  <m:t>−</m:t>
                </m:r>
                <m:sSubSup>
                  <m:e>
                    <m:r>
                      <m:t>σ</m:t>
                    </m:r>
                  </m:e>
                  <m:sub>
                    <m:r>
                      <m:t>1</m:t>
                    </m:r>
                  </m:sub>
                  <m:sup>
                    <m:r>
                      <m:t>2</m:t>
                    </m:r>
                  </m:sup>
                </m:sSubSup>
              </m:e>
            </m:d>
            <m:r>
              <m:rPr>
                <m:sty m:val="p"/>
              </m:rPr>
              <m:t>+</m:t>
            </m:r>
            <m:d>
              <m:dPr>
                <m:begChr m:val="("/>
                <m:endChr m:val=")"/>
                <m:grow/>
              </m:dPr>
              <m:e>
                <m:sSub>
                  <m:e>
                    <m:r>
                      <m:t>τ</m:t>
                    </m:r>
                  </m:e>
                  <m:sub>
                    <m:r>
                      <m:t>0</m:t>
                    </m:r>
                  </m:sub>
                </m:sSub>
                <m:r>
                  <m:rPr>
                    <m:sty m:val="p"/>
                  </m:rPr>
                  <m:t>−</m:t>
                </m:r>
                <m:sSub>
                  <m:e>
                    <m:r>
                      <m:t>τ</m:t>
                    </m:r>
                  </m:e>
                  <m:sub>
                    <m:r>
                      <m:t>1</m:t>
                    </m:r>
                  </m:sub>
                </m:sSub>
              </m:e>
            </m:d>
          </m:den>
        </m:f>
      </m:oMath>
      <w:r>
        <w:tab/>
      </w:r>
      <w:r>
        <w:rPr>
          <w:rFonts w:ascii="Times New Roman" w:hAnsi="Times New Roman" w:eastAsia="宋体"/>
          <w:sz w:val="24"/>
        </w:rPr>
        <w:t>(2-5)</w:t>
      </w:r>
    </w:p>
    <w:p>
      <w:pPr>
        <w:spacing w:line="360" w:lineRule="auto" w:after="0"/>
        <w:jc w:val="both"/>
      </w:pPr>
      <w:r>
        <w:rPr>
          <w:rFonts w:ascii="宋体" w:hAnsi="宋体" w:eastAsia="宋体"/>
          <w:sz w:val="24"/>
        </w:rPr>
        <w:t>其中，</w:t>
      </w:r>
      <m:oMath>
        <m:sSup>
          <m:e>
            <m:r>
              <m:t>N</m:t>
            </m:r>
          </m:e>
          <m:sup>
            <m:r>
              <m:rPr>
                <m:sty m:val="p"/>
              </m:rPr>
              <m:t>∗</m:t>
            </m:r>
          </m:sup>
        </m:sSup>
      </m:oMath>
      <w:r>
        <w:rPr>
          <w:rFonts w:ascii="宋体" w:hAnsi="宋体" w:eastAsia="宋体"/>
          <w:sz w:val="24"/>
        </w:rPr>
        <w:t>为使标准化投入得以收回的最小交易笔数；当实际交易规模</w:t>
      </w:r>
      <m:oMath>
        <m:r>
          <m:t>N</m:t>
        </m:r>
        <m:r>
          <m:rPr>
            <m:sty m:val="p"/>
          </m:rPr>
          <m:t>&gt;</m:t>
        </m:r>
        <m:sSup>
          <m:e>
            <m:r>
              <m:t>N</m:t>
            </m:r>
          </m:e>
          <m:sup>
            <m:r>
              <m:rPr>
                <m:sty m:val="p"/>
              </m:rPr>
              <m:t>∗</m:t>
            </m:r>
          </m:sup>
        </m:sSup>
      </m:oMath>
      <w:r>
        <w:rPr>
          <w:rFonts w:ascii="宋体" w:hAnsi="宋体" w:eastAsia="宋体"/>
          <w:sz w:val="24"/>
        </w:rPr>
        <w:t>时，建立统一计量标准是社会有效率的。</w:t>
      </w:r>
    </w:p>
    <w:p>
      <w:pPr>
        <w:spacing w:line="360" w:lineRule="auto" w:after="0"/>
        <w:ind w:firstLineChars="200" w:firstLine="480"/>
        <w:jc w:val="both"/>
      </w:pPr>
      <w:r>
        <w:rPr>
          <w:rFonts w:ascii="宋体" w:hAnsi="宋体" w:eastAsia="宋体"/>
          <w:sz w:val="24"/>
        </w:rPr>
        <w:t>式(2-5)对本书具有纲领性的意义，它回答了一个常被追问的现实问题：为什么词元的计量标准问题在2024年还只是学术话题，到2026年却成为产业刚需？答案在于</w:t>
      </w:r>
      <m:oMath>
        <m:r>
          <m:t>N</m:t>
        </m:r>
      </m:oMath>
      <w:r>
        <w:rPr>
          <w:rFonts w:ascii="宋体" w:hAnsi="宋体" w:eastAsia="宋体"/>
          <w:sz w:val="24"/>
        </w:rPr>
        <w:t>的爆发式增长。按国家数据局公开发布的口径，我国日均词元调用量由2024年初的1000亿枚增至2025年6月底的30万亿枚，2025年底达到100万亿枚，2026年3月突破140万亿枚，两年增长约1400倍（官方表述为“两年增长超千倍”，基期为2024年初）。交易规模在两年内跨越三个数量级，使得</w:t>
      </w:r>
      <m:oMath>
        <m:r>
          <m:t>N</m:t>
        </m:r>
      </m:oMath>
      <w:r>
        <w:rPr>
          <w:rFonts w:ascii="宋体" w:hAnsi="宋体" w:eastAsia="宋体"/>
          <w:sz w:val="24"/>
        </w:rPr>
        <w:t>以远快于</w:t>
      </w:r>
      <m:oMath>
        <m:r>
          <m:t>F</m:t>
        </m:r>
      </m:oMath>
      <w:r>
        <w:rPr>
          <w:rFonts w:ascii="宋体" w:hAnsi="宋体" w:eastAsia="宋体"/>
          <w:sz w:val="24"/>
        </w:rPr>
        <w:t>的速度增长，标准化的盈亏平衡点被迅速跨越。这一逻辑同样解释了历史上标准煤、标准箱与二氧化碳当量为何都在相应交易规模爆发之后才被确立——计量标准是交易规模的函数，而不是技术成熟度的函数。</w:t>
      </w:r>
    </w:p>
    <w:p>
      <w:pPr>
        <w:spacing w:line="360" w:lineRule="auto" w:after="0"/>
        <w:ind w:firstLineChars="200" w:firstLine="480"/>
        <w:jc w:val="both"/>
      </w:pPr>
      <w:r>
        <w:rPr>
          <w:rFonts w:ascii="宋体" w:hAnsi="宋体" w:eastAsia="宋体"/>
          <w:sz w:val="24"/>
        </w:rPr>
        <w:t>与之相应，词元领域的标准供给尚显滞后且层级偏低。截至2026年8月，该领域已发布的规范性成果主要为团体标准与机构评估规范，如中国人工智能产业发展联盟归口的团体标准《人工智能词元（Token）运营管理能力要求》（AIIA/T 0308—2026，2026年8月发布），以及中国信息通信研究院用于符合性评估的能力要求文件；尚未见到以词元计量或词元计费为标题的国家标准或行业标准立项公开。标准效力层级须严格区分：国家标准、行业标准与团体标准分属三个层级，评估与认证活动亦不等同于标准本身。这一制度现状恰恰构成本书的现实针对性——第14章将据此提出标准词元计量国家标准的建议路径。</w:t>
      </w:r>
    </w:p>
    <w:p>
      <w:pPr>
        <w:keepNext/>
        <w:spacing w:before="160" w:after="120" w:line="360" w:lineRule="auto"/>
        <w:outlineLvl w:val="1"/>
      </w:pPr>
      <w:r>
        <w:rPr>
          <w:rFonts w:ascii="黑体" w:hAnsi="黑体" w:eastAsia="黑体"/>
          <w:sz w:val="28"/>
        </w:rPr>
        <w:t>2.3  当量折算的经济学传统：标准煤、标准箱与二氧化碳当量</w:t>
      </w:r>
    </w:p>
    <w:p>
      <w:pPr>
        <w:keepNext/>
        <w:spacing w:before="160" w:after="120" w:line="360" w:lineRule="auto"/>
        <w:outlineLvl w:val="2"/>
      </w:pPr>
      <w:r>
        <w:rPr>
          <w:rFonts w:ascii="黑体" w:hAnsi="黑体" w:eastAsia="黑体"/>
          <w:sz w:val="24"/>
        </w:rPr>
        <w:t>2.3.1  三项成熟范例及其经济功能</w:t>
      </w:r>
    </w:p>
    <w:p>
      <w:pPr>
        <w:spacing w:line="360" w:lineRule="auto" w:after="0"/>
        <w:ind w:firstLineChars="200" w:firstLine="480"/>
        <w:jc w:val="both"/>
      </w:pPr>
      <w:r>
        <w:rPr>
          <w:rFonts w:ascii="宋体" w:hAnsi="宋体" w:eastAsia="宋体"/>
          <w:sz w:val="24"/>
        </w:rPr>
        <w:t>经济史上，异质对象获得可加总计量的通行办法不是取消异质，而是当量折算：选定一个基准品，用一条公认的刻度把其他品类折算为基准品的当量。这一办法在能源、航运与气候三个领域都已高度成熟，且都产生了远超计量本身的制度后果。</w:t>
      </w:r>
    </w:p>
    <w:p>
      <w:pPr>
        <w:spacing w:line="360" w:lineRule="auto" w:after="0"/>
        <w:ind w:firstLineChars="200" w:firstLine="480"/>
        <w:jc w:val="both"/>
      </w:pPr>
      <w:r>
        <w:rPr>
          <w:rFonts w:ascii="宋体" w:hAnsi="宋体" w:eastAsia="宋体"/>
          <w:sz w:val="24"/>
        </w:rPr>
        <w:t>第一项范例是标准煤。我国《综合能耗计算通则》规定，以低位发热量29307千焦为1千克标准煤，各种能源按其发热量折算为标准煤当量后加总（国家市场监督管理总局和国家标准化管理委员会，2020）。折算的经济功能极为深远：它使煤炭、石油、天然气与电力这些物理形态迥异的能源获得了共同尺度，“能源消费总量”由此成为一个可核算、可考核、可比较的宏观变量，能耗强度指标、能效标准与能耗双控制度均以之为基础；近年从能耗双控向碳排放双控的转型，本质上是把折算刻度由发热量换成碳含量（姜春海等，2024）。第二项范例是标准箱。航运业以20英尺集装箱为当量单位，把各种规格的箱型折算为标准箱数，从而使港口吞吐量、船舶运力与运价指数在全球范围内可比可加——集装箱运输之所以能够形成全球化的多式联运网络，标准箱这一当量单位的作用不亚于集装箱本身。第三项范例是二氧化碳当量。温室气体核算以全球增温潜势为刻度，把甲烷、氧化亚氮等气体折算为二氧化碳当量，国际标准与国内标准均以此为方法学基础（「WRI和WBCSD，2011」；「ISO，2018」；国家市场监督管理总局和国家标准化管理委员会，2024），国内学界对碳核算体系与生命周期碳足迹核算的国际经验亦有系统梳理（陈红敏，2011；童庆蒙等，2018）。这一当量的确立直接催生了碳市场：没有可加的碳当量，配额分配、履约核销与跨期跨区交易都无从谈起，全国碳市场的制度设计与减排福利效应研究皆以此为前提（张希良等，2021；赵思琦等，2023；段玉婉等，2023；杨豪等，2023；蓝虹和杜彦霖，2024）。</w:t>
      </w:r>
    </w:p>
    <w:p>
      <w:pPr>
        <w:spacing w:line="360" w:lineRule="auto" w:after="0"/>
        <w:ind w:firstLineChars="200" w:firstLine="480"/>
        <w:jc w:val="both"/>
      </w:pPr>
      <w:r>
        <w:rPr>
          <w:rFonts w:ascii="宋体" w:hAnsi="宋体" w:eastAsia="宋体"/>
          <w:sz w:val="24"/>
        </w:rPr>
        <w:t>三项范例的共同结构可归纳为三点。其一，当量折算的核心是“一个基准、一条刻度”：基准品定义计量单位的名义，刻度函数定义折算系数的数值。其二，当量折算的经济功能是“把不可加变为可加”，其直接产物是一个新的宏观变量（能源消费总量、集装箱吞吐量、碳排放总量），而新变量往往又催生新的市场与新的治理工具。其三，当量折算是有代价的：折算必然丢失信息（标准煤看不见煤与电的品质差异，标准箱看不见箱内货值），因此折算体系的设计必须在“可加性”与“信息保真”之间取得平衡，并对折算损失保持明示。这三点将直接组织本书第5章的公理化工作。</w:t>
      </w:r>
    </w:p>
    <w:p>
      <w:pPr>
        <w:keepNext/>
        <w:spacing w:before="160" w:after="120" w:line="360" w:lineRule="auto"/>
        <w:outlineLvl w:val="2"/>
      </w:pPr>
      <w:r>
        <w:rPr>
          <w:rFonts w:ascii="黑体" w:hAnsi="黑体" w:eastAsia="黑体"/>
          <w:sz w:val="24"/>
        </w:rPr>
        <w:t>2.3.2  当量折算的一般形式与性质</w:t>
      </w:r>
    </w:p>
    <w:p>
      <w:pPr>
        <w:spacing w:line="360" w:lineRule="auto" w:after="0"/>
        <w:ind w:firstLineChars="200" w:firstLine="480"/>
        <w:jc w:val="both"/>
      </w:pPr>
      <w:r>
        <w:rPr>
          <w:rFonts w:ascii="宋体" w:hAnsi="宋体" w:eastAsia="宋体"/>
          <w:sz w:val="24"/>
        </w:rPr>
        <w:t>把三项范例抽象为统一形式。设有</w:t>
      </w:r>
      <m:oMath>
        <m:r>
          <m:t>n</m:t>
        </m:r>
      </m:oMath>
      <w:r>
        <w:rPr>
          <w:rFonts w:ascii="宋体" w:hAnsi="宋体" w:eastAsia="宋体"/>
          <w:sz w:val="24"/>
        </w:rPr>
        <w:t>类异质对象，第</w:t>
      </w:r>
      <m:oMath>
        <m:r>
          <m:t>i</m:t>
        </m:r>
      </m:oMath>
      <w:r>
        <w:rPr>
          <w:rFonts w:ascii="宋体" w:hAnsi="宋体" w:eastAsia="宋体"/>
          <w:sz w:val="24"/>
        </w:rPr>
        <w:t>类的实物量为</w:t>
      </w:r>
      <m:oMath>
        <m:sSub>
          <m:e>
            <m:r>
              <m:t>X</m:t>
            </m:r>
          </m:e>
          <m:sub>
            <m:r>
              <m:t>i</m:t>
            </m:r>
          </m:sub>
        </m:sSub>
      </m:oMath>
      <w:r>
        <w:rPr>
          <w:rFonts w:ascii="宋体" w:hAnsi="宋体" w:eastAsia="宋体"/>
          <w:sz w:val="24"/>
        </w:rPr>
        <w:t>、特征向量为</w:t>
      </w:r>
      <m:oMath>
        <m:sSub>
          <m:e>
            <m:r>
              <m:t>x</m:t>
            </m:r>
          </m:e>
          <m:sub>
            <m:r>
              <m:t>i</m:t>
            </m:r>
          </m:sub>
        </m:sSub>
      </m:oMath>
      <w:r>
        <w:rPr>
          <w:rFonts w:ascii="宋体" w:hAnsi="宋体" w:eastAsia="宋体"/>
          <w:sz w:val="24"/>
        </w:rPr>
        <w:t>，基准品的特征向量为</w:t>
      </w:r>
      <m:oMath>
        <m:sSub>
          <m:e>
            <m:r>
              <m:t>x</m:t>
            </m:r>
          </m:e>
          <m:sub>
            <m:r>
              <m:t>0</m:t>
            </m:r>
          </m:sub>
        </m:sSub>
      </m:oMath>
      <w:r>
        <w:rPr>
          <w:rFonts w:ascii="宋体" w:hAnsi="宋体" w:eastAsia="宋体"/>
          <w:sz w:val="24"/>
        </w:rPr>
        <w:t>，刻度函数为</w:t>
      </w:r>
      <m:oMath>
        <m:r>
          <m:t>ψ</m:t>
        </m:r>
        <m:d>
          <m:dPr>
            <m:begChr m:val="("/>
            <m:endChr m:val=")"/>
            <m:grow/>
          </m:dPr>
          <m:e>
            <m:r>
              <m:rPr>
                <m:sty m:val="p"/>
              </m:rPr>
              <m:t>⋅</m:t>
            </m:r>
          </m:e>
        </m:d>
      </m:oMath>
      <w:r>
        <w:rPr>
          <w:rFonts w:ascii="宋体" w:hAnsi="宋体" w:eastAsia="宋体"/>
          <w:sz w:val="24"/>
        </w:rPr>
        <w:t>，则当量总量与折算系数分别为：</w:t>
      </w:r>
    </w:p>
    <w:p>
      <w:pPr>
        <w:tabs>
          <w:tab w:pos="4252" w:val="center"/>
          <w:tab w:pos="8504" w:val="right"/>
        </w:tabs>
        <w:spacing w:line="360" w:lineRule="auto" w:before="80" w:after="80"/>
      </w:pPr>
      <w:r>
        <w:tab/>
      </w:r>
      <m:oMath>
        <m:acc>
          <m:accPr>
            <m:chr m:val="̃"/>
          </m:accPr>
          <m:e>
            <m:r>
              <m:t>X</m:t>
            </m:r>
          </m:e>
        </m:acc>
        <m:r>
          <m:rPr>
            <m:sty m:val="p"/>
          </m:rPr>
          <m:t>=</m:t>
        </m:r>
        <m:nary>
          <m:naryPr>
            <m:chr m:val="∑"/>
            <m:limLoc m:val="undOvr"/>
            <m:subHide m:val="off"/>
            <m:supHide m:val="off"/>
          </m:naryPr>
          <m:sub>
            <m:r>
              <m:t>i</m:t>
            </m:r>
            <m:r>
              <m:rPr>
                <m:sty m:val="p"/>
              </m:rPr>
              <m:t>=</m:t>
            </m:r>
            <m:r>
              <m:t>1</m:t>
            </m:r>
          </m:sub>
          <m:sup>
            <m:r>
              <m:t>n</m:t>
            </m:r>
          </m:sup>
          <m:e>
            <m:sSub>
              <m:e>
                <m:r>
                  <m:t>λ</m:t>
                </m:r>
              </m:e>
              <m:sub>
                <m:r>
                  <m:t>i</m:t>
                </m:r>
              </m:sub>
            </m:sSub>
          </m:e>
        </m:nary>
        <m:sSub>
          <m:e>
            <m:r>
              <m:t>X</m:t>
            </m:r>
          </m:e>
          <m:sub>
            <m:r>
              <m:t>i</m:t>
            </m:r>
          </m:sub>
        </m:sSub>
        <m:r>
          <m:rPr>
            <m:sty m:val="p"/>
          </m:rPr>
          <m:t>,</m:t>
        </m:r>
        <m:r>
          <m:t>  </m:t>
        </m:r>
        <m:sSub>
          <m:e>
            <m:r>
              <m:t>λ</m:t>
            </m:r>
          </m:e>
          <m:sub>
            <m:r>
              <m:t>i</m:t>
            </m:r>
          </m:sub>
        </m:sSub>
        <m:r>
          <m:rPr>
            <m:sty m:val="p"/>
          </m:rPr>
          <m:t>=</m:t>
        </m:r>
        <m:f>
          <m:fPr>
            <m:type m:val="bar"/>
          </m:fPr>
          <m:num>
            <m:r>
              <m:t>ψ</m:t>
            </m:r>
            <m:d>
              <m:dPr>
                <m:begChr m:val="("/>
                <m:endChr m:val=")"/>
                <m:grow/>
              </m:dPr>
              <m:e>
                <m:sSub>
                  <m:e>
                    <m:r>
                      <m:t>x</m:t>
                    </m:r>
                  </m:e>
                  <m:sub>
                    <m:r>
                      <m:t>i</m:t>
                    </m:r>
                  </m:sub>
                </m:sSub>
              </m:e>
            </m:d>
          </m:num>
          <m:den>
            <m:r>
              <m:t>ψ</m:t>
            </m:r>
            <m:d>
              <m:dPr>
                <m:begChr m:val="("/>
                <m:endChr m:val=")"/>
                <m:grow/>
              </m:dPr>
              <m:e>
                <m:sSub>
                  <m:e>
                    <m:r>
                      <m:t>x</m:t>
                    </m:r>
                  </m:e>
                  <m:sub>
                    <m:r>
                      <m:t>0</m:t>
                    </m:r>
                  </m:sub>
                </m:sSub>
              </m:e>
            </m:d>
          </m:den>
        </m:f>
      </m:oMath>
      <w:r>
        <w:tab/>
      </w:r>
      <w:r>
        <w:rPr>
          <w:rFonts w:ascii="Times New Roman" w:hAnsi="Times New Roman" w:eastAsia="宋体"/>
          <w:sz w:val="24"/>
        </w:rPr>
        <w:t>(2-6)</w:t>
      </w:r>
    </w:p>
    <w:p>
      <w:pPr>
        <w:spacing w:line="360" w:lineRule="auto" w:after="0"/>
        <w:jc w:val="both"/>
      </w:pPr>
      <w:r>
        <w:rPr>
          <w:rFonts w:ascii="宋体" w:hAnsi="宋体" w:eastAsia="宋体"/>
          <w:sz w:val="24"/>
        </w:rPr>
        <w:t>其中，</w:t>
      </w:r>
      <m:oMath>
        <m:sSub>
          <m:e>
            <m:r>
              <m:t>λ</m:t>
            </m:r>
          </m:e>
          <m:sub>
            <m:r>
              <m:t>i</m:t>
            </m:r>
          </m:sub>
        </m:sSub>
      </m:oMath>
      <w:r>
        <w:rPr>
          <w:rFonts w:ascii="宋体" w:hAnsi="宋体" w:eastAsia="宋体"/>
          <w:sz w:val="24"/>
        </w:rPr>
        <w:t>为第</w:t>
      </w:r>
      <m:oMath>
        <m:r>
          <m:t>i</m:t>
        </m:r>
      </m:oMath>
      <w:r>
        <w:rPr>
          <w:rFonts w:ascii="宋体" w:hAnsi="宋体" w:eastAsia="宋体"/>
          <w:sz w:val="24"/>
        </w:rPr>
        <w:t>类对象的折算系数，</w:t>
      </w:r>
      <m:oMath>
        <m:acc>
          <m:accPr>
            <m:chr m:val="̃"/>
          </m:accPr>
          <m:e>
            <m:r>
              <m:t>X</m:t>
            </m:r>
          </m:e>
        </m:acc>
      </m:oMath>
      <w:r>
        <w:rPr>
          <w:rFonts w:ascii="宋体" w:hAnsi="宋体" w:eastAsia="宋体"/>
          <w:sz w:val="24"/>
        </w:rPr>
        <w:t>为以基准品为单位的当量总量；在标准煤情形</w:t>
      </w:r>
      <m:oMath>
        <m:r>
          <m:t>ψ</m:t>
        </m:r>
      </m:oMath>
      <w:r>
        <w:rPr>
          <w:rFonts w:ascii="宋体" w:hAnsi="宋体" w:eastAsia="宋体"/>
          <w:sz w:val="24"/>
        </w:rPr>
        <w:t>为低位发热量，在标准箱情形</w:t>
      </w:r>
      <m:oMath>
        <m:r>
          <m:t>ψ</m:t>
        </m:r>
      </m:oMath>
      <w:r>
        <w:rPr>
          <w:rFonts w:ascii="宋体" w:hAnsi="宋体" w:eastAsia="宋体"/>
          <w:sz w:val="24"/>
        </w:rPr>
        <w:t>为箱位当量，在二氧化碳当量情形</w:t>
      </w:r>
      <m:oMath>
        <m:r>
          <m:t>ψ</m:t>
        </m:r>
      </m:oMath>
      <w:r>
        <w:rPr>
          <w:rFonts w:ascii="宋体" w:hAnsi="宋体" w:eastAsia="宋体"/>
          <w:sz w:val="24"/>
        </w:rPr>
        <w:t>为全球增温潜势。</w:t>
      </w:r>
    </w:p>
    <w:p>
      <w:pPr>
        <w:spacing w:line="360" w:lineRule="auto" w:after="0"/>
        <w:ind w:firstLineChars="200" w:firstLine="480"/>
        <w:jc w:val="both"/>
      </w:pPr>
      <w:r>
        <w:rPr>
          <w:rFonts w:ascii="宋体" w:hAnsi="宋体" w:eastAsia="宋体"/>
          <w:sz w:val="24"/>
        </w:rPr>
        <w:t>式(2-6)具有三条性质，恰与第5章将要提出的四条公理相呼应。第一是基准归一性：</w:t>
      </w:r>
      <m:oMath>
        <m:sSub>
          <m:e>
            <m:r>
              <m:t>λ</m:t>
            </m:r>
          </m:e>
          <m:sub>
            <m:r>
              <m:t>0</m:t>
            </m:r>
          </m:sub>
        </m:sSub>
        <m:r>
          <m:rPr>
            <m:sty m:val="p"/>
          </m:rPr>
          <m:t>=</m:t>
        </m:r>
        <m:r>
          <m:t>1</m:t>
        </m:r>
      </m:oMath>
      <w:r>
        <w:rPr>
          <w:rFonts w:ascii="宋体" w:hAnsi="宋体" w:eastAsia="宋体"/>
          <w:sz w:val="24"/>
        </w:rPr>
        <w:t>，基准品的一单位即为一当量单位，这保证了当量单位有明确的物理与经济含义。第二是基准无关性：若把基准由</w:t>
      </w:r>
      <m:oMath>
        <m:sSub>
          <m:e>
            <m:r>
              <m:t>x</m:t>
            </m:r>
          </m:e>
          <m:sub>
            <m:r>
              <m:t>0</m:t>
            </m:r>
          </m:sub>
        </m:sSub>
      </m:oMath>
      <w:r>
        <w:rPr>
          <w:rFonts w:ascii="宋体" w:hAnsi="宋体" w:eastAsia="宋体"/>
          <w:sz w:val="24"/>
        </w:rPr>
        <w:t>换为</w:t>
      </w:r>
      <m:oMath>
        <m:sSubSup>
          <m:e>
            <m:r>
              <m:t>x</m:t>
            </m:r>
          </m:e>
          <m:sub>
            <m:r>
              <m:t>0</m:t>
            </m:r>
          </m:sub>
          <m:sup>
            <m:r>
              <m:rPr>
                <m:sty m:val="p"/>
              </m:rPr>
              <m:t>′</m:t>
            </m:r>
          </m:sup>
        </m:sSubSup>
      </m:oMath>
      <w:r>
        <w:rPr>
          <w:rFonts w:ascii="宋体" w:hAnsi="宋体" w:eastAsia="宋体"/>
          <w:sz w:val="24"/>
        </w:rPr>
        <w:t>，全部折算系数按同一比例缩放，各类对象之间的相对关系不变，因而基准的选择只影响单位名义、不影响结构结论——这一点对本书尤为重要，因为基准模型档位的选择难免带有约定成分。第三是可加性与传递性：折算之后不同类对象可直接相加，且经由中间品折算与直接折算的结果必须一致，否则套算路径不同将得出不同总量，计量体系随即瓦解。</w:t>
      </w:r>
    </w:p>
    <w:p>
      <w:pPr>
        <w:keepNext/>
        <w:spacing w:before="160" w:after="120" w:line="360" w:lineRule="auto"/>
        <w:outlineLvl w:val="2"/>
      </w:pPr>
      <w:r>
        <w:rPr>
          <w:rFonts w:ascii="黑体" w:hAnsi="黑体" w:eastAsia="黑体"/>
          <w:sz w:val="24"/>
        </w:rPr>
        <w:t>2.3.3  词元折算的特殊性：从单维刻度到多维合成</w:t>
      </w:r>
    </w:p>
    <w:p>
      <w:pPr>
        <w:spacing w:line="360" w:lineRule="auto" w:after="0"/>
        <w:ind w:firstLineChars="200" w:firstLine="480"/>
        <w:jc w:val="both"/>
      </w:pPr>
      <w:r>
        <w:rPr>
          <w:rFonts w:ascii="宋体" w:hAnsi="宋体" w:eastAsia="宋体"/>
          <w:sz w:val="24"/>
        </w:rPr>
        <w:t>把式(2-6)应用于词元，立刻遇到三项范例都不曾遇到的困难：刻度函数</w:t>
      </w:r>
      <m:oMath>
        <m:r>
          <m:t>ψ</m:t>
        </m:r>
      </m:oMath>
      <w:r>
        <w:rPr>
          <w:rFonts w:ascii="宋体" w:hAnsi="宋体" w:eastAsia="宋体"/>
          <w:sz w:val="24"/>
        </w:rPr>
        <w:t>无法由单一物理量担任。标准煤的发热量、标准箱的箱位、二氧化碳当量的增温潜势，都是被计量对象的单一物理属性，测量方法成熟且争议极小。词元的“有用性”却至少同时取决于三个互不可约的维度：算力强度</w:t>
      </w:r>
      <m:oMath>
        <m:r>
          <m:t>P</m:t>
        </m:r>
      </m:oMath>
      <w:r>
        <w:rPr>
          <w:rFonts w:ascii="宋体" w:hAnsi="宋体" w:eastAsia="宋体"/>
          <w:sz w:val="24"/>
        </w:rPr>
        <w:t>（生成单枚词元所耗浮点运算量相对基准的倍数，属投入侧刻度）、推理质量</w:t>
      </w:r>
      <m:oMath>
        <m:r>
          <m:t>R</m:t>
        </m:r>
      </m:oMath>
      <w:r>
        <w:rPr>
          <w:rFonts w:ascii="宋体" w:hAnsi="宋体" w:eastAsia="宋体"/>
          <w:sz w:val="24"/>
        </w:rPr>
        <w:t>（单枚词元承载的有效信息量与任务达成度相对基准的倍数，属产出侧刻度）与场景效用</w:t>
      </w:r>
      <m:oMath>
        <m:r>
          <m:t>S</m:t>
        </m:r>
      </m:oMath>
      <w:r>
        <w:rPr>
          <w:rFonts w:ascii="宋体" w:hAnsi="宋体" w:eastAsia="宋体"/>
          <w:sz w:val="24"/>
        </w:rPr>
        <w:t>（应用场景的价值密度系数，属价值侧刻度）。三者不可相互替代：只看算力强度会把低效冗长的输出误判为高价值，只看推理质量会忽略成本，只看场景效用则与词元本身的技术属性脱节。因此，词元的折算必须是一个多维合成问题，这是它相对于既有当量传统的根本特殊性。</w:t>
      </w:r>
    </w:p>
    <w:p>
      <w:pPr>
        <w:spacing w:line="360" w:lineRule="auto" w:after="0"/>
        <w:ind w:firstLineChars="200" w:firstLine="480"/>
        <w:jc w:val="both"/>
      </w:pPr>
      <w:r>
        <w:rPr>
          <w:rFonts w:ascii="宋体" w:hAnsi="宋体" w:eastAsia="宋体"/>
          <w:sz w:val="24"/>
        </w:rPr>
        <w:t>推理质量维度的可测度性依托于近年大模型评测方法的成熟：大规模多任务语言理解基准提供了跨学科的知识与推理测度（Hendrycks等，2021），整体性评估框架把准确性、鲁棒性、效率与公平性等多项指标并置（Liang等，2022），模型互评与人类偏好对齐的评判方法则为开放式任务提供了可扩展的打分手段（Zheng等，2023）。算力强度维度的可测度性则依托于规模律研究：模型性能随参数量、数据量与计算量呈幂律关系（Kaplan等，2020），计算最优的参数—数据配比进一步刻画了给定算力预算下的最优模型形态（Hoffmann等，2022）。这两支技术文献为</w:t>
      </w:r>
      <m:oMath>
        <m:r>
          <m:t>P</m:t>
        </m:r>
      </m:oMath>
      <w:r>
        <w:rPr>
          <w:rFonts w:ascii="宋体" w:hAnsi="宋体" w:eastAsia="宋体"/>
          <w:sz w:val="24"/>
        </w:rPr>
        <w:t>与</w:t>
      </w:r>
      <m:oMath>
        <m:r>
          <m:t>R</m:t>
        </m:r>
      </m:oMath>
      <w:r>
        <w:rPr>
          <w:rFonts w:ascii="宋体" w:hAnsi="宋体" w:eastAsia="宋体"/>
          <w:sz w:val="24"/>
        </w:rPr>
        <w:t>的操作化提供了工程基础，但它们的目标是评价与优化，不是折算与加总。</w:t>
      </w:r>
    </w:p>
    <w:p>
      <w:pPr>
        <w:spacing w:line="360" w:lineRule="auto" w:after="0"/>
        <w:ind w:firstLineChars="200" w:firstLine="480"/>
        <w:jc w:val="both"/>
      </w:pPr>
      <w:r>
        <w:rPr>
          <w:rFonts w:ascii="宋体" w:hAnsi="宋体" w:eastAsia="宋体"/>
          <w:sz w:val="24"/>
        </w:rPr>
        <w:t>多维合成对折算函数提出了新的约束。设折算函数为</w:t>
      </w:r>
      <m:oMath>
        <m:r>
          <m:t>η</m:t>
        </m:r>
        <m:r>
          <m:rPr>
            <m:sty m:val="p"/>
          </m:rPr>
          <m:t>=</m:t>
        </m:r>
        <m:r>
          <m:t>g</m:t>
        </m:r>
        <m:d>
          <m:dPr>
            <m:begChr m:val="("/>
            <m:endChr m:val=")"/>
            <m:grow/>
          </m:dPr>
          <m:e>
            <m:r>
              <m:t>P</m:t>
            </m:r>
            <m:r>
              <m:rPr>
                <m:sty m:val="p"/>
              </m:rPr>
              <m:t>,</m:t>
            </m:r>
            <m:r>
              <m:t>R</m:t>
            </m:r>
            <m:r>
              <m:rPr>
                <m:sty m:val="p"/>
              </m:rPr>
              <m:t>,</m:t>
            </m:r>
            <m:r>
              <m:t>S</m:t>
            </m:r>
          </m:e>
        </m:d>
      </m:oMath>
      <w:r>
        <w:rPr>
          <w:rFonts w:ascii="宋体" w:hAnsi="宋体" w:eastAsia="宋体"/>
          <w:sz w:val="24"/>
        </w:rPr>
        <w:t>，连续且对各维严格单调递增，并满足基准归一</w:t>
      </w:r>
      <m:oMath>
        <m:r>
          <m:t>g</m:t>
        </m:r>
        <m:d>
          <m:dPr>
            <m:begChr m:val="("/>
            <m:endChr m:val=")"/>
            <m:grow/>
          </m:dPr>
          <m:e>
            <m:r>
              <m:t>1</m:t>
            </m:r>
            <m:r>
              <m:rPr>
                <m:sty m:val="p"/>
              </m:rPr>
              <m:t>,</m:t>
            </m:r>
            <m:r>
              <m:t>1</m:t>
            </m:r>
            <m:r>
              <m:rPr>
                <m:sty m:val="p"/>
              </m:rPr>
              <m:t>,</m:t>
            </m:r>
            <m:r>
              <m:t>1</m:t>
            </m:r>
          </m:e>
        </m:d>
        <m:r>
          <m:rPr>
            <m:sty m:val="p"/>
          </m:rPr>
          <m:t>=</m:t>
        </m:r>
        <m:r>
          <m:t>1</m:t>
        </m:r>
      </m:oMath>
      <w:r>
        <w:rPr>
          <w:rFonts w:ascii="宋体" w:hAnsi="宋体" w:eastAsia="宋体"/>
          <w:sz w:val="24"/>
        </w:rPr>
        <w:t>。可加性与传递性要求折算具有链式一致性：先把某档位模型相对中间档位折算、再把中间档位相对基准折算，其结果必须等于直接相对基准折算的结果。形式化地：</w:t>
      </w:r>
    </w:p>
    <w:p>
      <w:pPr>
        <w:tabs>
          <w:tab w:pos="4252" w:val="center"/>
          <w:tab w:pos="8504" w:val="right"/>
        </w:tabs>
        <w:spacing w:line="360" w:lineRule="auto" w:before="80" w:after="80"/>
      </w:pPr>
      <w:r>
        <w:tab/>
      </w:r>
      <m:oMath>
        <m:r>
          <m:t>g</m:t>
        </m:r>
        <m:d>
          <m:dPr>
            <m:begChr m:val="("/>
            <m:endChr m:val=")"/>
            <m:grow/>
          </m:dPr>
          <m:e>
            <m:sSub>
              <m:e>
                <m:r>
                  <m:t>P</m:t>
                </m:r>
              </m:e>
              <m:sub>
                <m:r>
                  <m:t>1</m:t>
                </m:r>
              </m:sub>
            </m:sSub>
            <m:sSub>
              <m:e>
                <m:r>
                  <m:t>P</m:t>
                </m:r>
              </m:e>
              <m:sub>
                <m:r>
                  <m:t>2</m:t>
                </m:r>
              </m:sub>
            </m:sSub>
            <m:r>
              <m:rPr>
                <m:sty m:val="p"/>
              </m:rPr>
              <m:t>,</m:t>
            </m:r>
            <m:r>
              <m:t> </m:t>
            </m:r>
            <m:sSub>
              <m:e>
                <m:r>
                  <m:t>R</m:t>
                </m:r>
              </m:e>
              <m:sub>
                <m:r>
                  <m:t>1</m:t>
                </m:r>
              </m:sub>
            </m:sSub>
            <m:sSub>
              <m:e>
                <m:r>
                  <m:t>R</m:t>
                </m:r>
              </m:e>
              <m:sub>
                <m:r>
                  <m:t>2</m:t>
                </m:r>
              </m:sub>
            </m:sSub>
            <m:r>
              <m:rPr>
                <m:sty m:val="p"/>
              </m:rPr>
              <m:t>,</m:t>
            </m:r>
            <m:r>
              <m:t> </m:t>
            </m:r>
            <m:sSub>
              <m:e>
                <m:r>
                  <m:t>S</m:t>
                </m:r>
              </m:e>
              <m:sub>
                <m:r>
                  <m:t>1</m:t>
                </m:r>
              </m:sub>
            </m:sSub>
            <m:sSub>
              <m:e>
                <m:r>
                  <m:t>S</m:t>
                </m:r>
              </m:e>
              <m:sub>
                <m:r>
                  <m:t>2</m:t>
                </m:r>
              </m:sub>
            </m:sSub>
          </m:e>
        </m:d>
        <m:r>
          <m:rPr>
            <m:sty m:val="p"/>
          </m:rPr>
          <m:t>=</m:t>
        </m:r>
        <m:r>
          <m:t>g</m:t>
        </m:r>
        <m:d>
          <m:dPr>
            <m:begChr m:val="("/>
            <m:endChr m:val=")"/>
            <m:grow/>
          </m:dPr>
          <m:e>
            <m:sSub>
              <m:e>
                <m:r>
                  <m:t>P</m:t>
                </m:r>
              </m:e>
              <m:sub>
                <m:r>
                  <m:t>1</m:t>
                </m:r>
              </m:sub>
            </m:sSub>
            <m:r>
              <m:rPr>
                <m:sty m:val="p"/>
              </m:rPr>
              <m:t>,</m:t>
            </m:r>
            <m:sSub>
              <m:e>
                <m:r>
                  <m:t>R</m:t>
                </m:r>
              </m:e>
              <m:sub>
                <m:r>
                  <m:t>1</m:t>
                </m:r>
              </m:sub>
            </m:sSub>
            <m:r>
              <m:rPr>
                <m:sty m:val="p"/>
              </m:rPr>
              <m:t>,</m:t>
            </m:r>
            <m:sSub>
              <m:e>
                <m:r>
                  <m:t>S</m:t>
                </m:r>
              </m:e>
              <m:sub>
                <m:r>
                  <m:t>1</m:t>
                </m:r>
              </m:sub>
            </m:sSub>
          </m:e>
        </m:d>
        <m:r>
          <m:rPr>
            <m:sty m:val="p"/>
          </m:rPr>
          <m:t>⋅</m:t>
        </m:r>
        <m:r>
          <m:t>g</m:t>
        </m:r>
        <m:d>
          <m:dPr>
            <m:begChr m:val="("/>
            <m:endChr m:val=")"/>
            <m:grow/>
          </m:dPr>
          <m:e>
            <m:sSub>
              <m:e>
                <m:r>
                  <m:t>P</m:t>
                </m:r>
              </m:e>
              <m:sub>
                <m:r>
                  <m:t>2</m:t>
                </m:r>
              </m:sub>
            </m:sSub>
            <m:r>
              <m:rPr>
                <m:sty m:val="p"/>
              </m:rPr>
              <m:t>,</m:t>
            </m:r>
            <m:sSub>
              <m:e>
                <m:r>
                  <m:t>R</m:t>
                </m:r>
              </m:e>
              <m:sub>
                <m:r>
                  <m:t>2</m:t>
                </m:r>
              </m:sub>
            </m:sSub>
            <m:r>
              <m:rPr>
                <m:sty m:val="p"/>
              </m:rPr>
              <m:t>,</m:t>
            </m:r>
            <m:sSub>
              <m:e>
                <m:r>
                  <m:t>S</m:t>
                </m:r>
              </m:e>
              <m:sub>
                <m:r>
                  <m:t>2</m:t>
                </m:r>
              </m:sub>
            </m:sSub>
          </m:e>
        </m:d>
      </m:oMath>
      <w:r>
        <w:tab/>
      </w:r>
      <w:r>
        <w:rPr>
          <w:rFonts w:ascii="Times New Roman" w:hAnsi="Times New Roman" w:eastAsia="宋体"/>
          <w:sz w:val="24"/>
        </w:rPr>
        <w:t>(2-7)</w:t>
      </w:r>
    </w:p>
    <w:p>
      <w:pPr>
        <w:spacing w:line="360" w:lineRule="auto" w:after="0"/>
        <w:jc w:val="both"/>
      </w:pPr>
      <w:r>
        <w:rPr>
          <w:rFonts w:ascii="宋体" w:hAnsi="宋体" w:eastAsia="宋体"/>
          <w:sz w:val="24"/>
        </w:rPr>
        <w:t>其中，</w:t>
      </w:r>
      <m:oMath>
        <m:d>
          <m:dPr>
            <m:begChr m:val="("/>
            <m:endChr m:val=")"/>
            <m:grow/>
          </m:dPr>
          <m:e>
            <m:sSub>
              <m:e>
                <m:r>
                  <m:t>P</m:t>
                </m:r>
              </m:e>
              <m:sub>
                <m:r>
                  <m:t>1</m:t>
                </m:r>
              </m:sub>
            </m:sSub>
            <m:r>
              <m:rPr>
                <m:sty m:val="p"/>
              </m:rPr>
              <m:t>,</m:t>
            </m:r>
            <m:sSub>
              <m:e>
                <m:r>
                  <m:t>R</m:t>
                </m:r>
              </m:e>
              <m:sub>
                <m:r>
                  <m:t>1</m:t>
                </m:r>
              </m:sub>
            </m:sSub>
            <m:r>
              <m:rPr>
                <m:sty m:val="p"/>
              </m:rPr>
              <m:t>,</m:t>
            </m:r>
            <m:sSub>
              <m:e>
                <m:r>
                  <m:t>S</m:t>
                </m:r>
              </m:e>
              <m:sub>
                <m:r>
                  <m:t>1</m:t>
                </m:r>
              </m:sub>
            </m:sSub>
          </m:e>
        </m:d>
      </m:oMath>
      <w:r>
        <w:rPr>
          <w:rFonts w:ascii="宋体" w:hAnsi="宋体" w:eastAsia="宋体"/>
          <w:sz w:val="24"/>
        </w:rPr>
        <w:t>与</w:t>
      </w:r>
      <m:oMath>
        <m:d>
          <m:dPr>
            <m:begChr m:val="("/>
            <m:endChr m:val=")"/>
            <m:grow/>
          </m:dPr>
          <m:e>
            <m:sSub>
              <m:e>
                <m:r>
                  <m:t>P</m:t>
                </m:r>
              </m:e>
              <m:sub>
                <m:r>
                  <m:t>2</m:t>
                </m:r>
              </m:sub>
            </m:sSub>
            <m:r>
              <m:rPr>
                <m:sty m:val="p"/>
              </m:rPr>
              <m:t>,</m:t>
            </m:r>
            <m:sSub>
              <m:e>
                <m:r>
                  <m:t>R</m:t>
                </m:r>
              </m:e>
              <m:sub>
                <m:r>
                  <m:t>2</m:t>
                </m:r>
              </m:sub>
            </m:sSub>
            <m:r>
              <m:rPr>
                <m:sty m:val="p"/>
              </m:rPr>
              <m:t>,</m:t>
            </m:r>
            <m:sSub>
              <m:e>
                <m:r>
                  <m:t>S</m:t>
                </m:r>
              </m:e>
              <m:sub>
                <m:r>
                  <m:t>2</m:t>
                </m:r>
              </m:sub>
            </m:sSub>
          </m:e>
        </m:d>
      </m:oMath>
      <w:r>
        <w:rPr>
          <w:rFonts w:ascii="宋体" w:hAnsi="宋体" w:eastAsia="宋体"/>
          <w:sz w:val="24"/>
        </w:rPr>
        <w:t>为两段折算的相对倍数；式(2-7)即乘性柯西函数方程在三元情形下的形式。</w:t>
      </w:r>
    </w:p>
    <w:p>
      <w:pPr>
        <w:spacing w:line="360" w:lineRule="auto" w:after="0"/>
        <w:ind w:firstLineChars="200" w:firstLine="480"/>
        <w:jc w:val="both"/>
      </w:pPr>
      <w:r>
        <w:rPr>
          <w:rFonts w:ascii="宋体" w:hAnsi="宋体" w:eastAsia="宋体"/>
          <w:sz w:val="24"/>
        </w:rPr>
        <w:t>在连续性与单调性条件下，式(2-7)的解具有唯一的函数形式——幂积形式：</w:t>
      </w:r>
    </w:p>
    <w:p>
      <w:pPr>
        <w:tabs>
          <w:tab w:pos="4252" w:val="center"/>
          <w:tab w:pos="8504" w:val="right"/>
        </w:tabs>
        <w:spacing w:line="360" w:lineRule="auto" w:before="80" w:after="80"/>
      </w:pPr>
      <w:r>
        <w:tab/>
      </w:r>
      <m:oMath>
        <m:r>
          <m:t>η</m:t>
        </m:r>
        <m:r>
          <m:rPr>
            <m:sty m:val="p"/>
          </m:rPr>
          <m:t>=</m:t>
        </m:r>
        <m:r>
          <m:t>g</m:t>
        </m:r>
        <m:d>
          <m:dPr>
            <m:begChr m:val="("/>
            <m:endChr m:val=")"/>
            <m:grow/>
          </m:dPr>
          <m:e>
            <m:r>
              <m:t>P</m:t>
            </m:r>
            <m:r>
              <m:rPr>
                <m:sty m:val="p"/>
              </m:rPr>
              <m:t>,</m:t>
            </m:r>
            <m:r>
              <m:t>R</m:t>
            </m:r>
            <m:r>
              <m:rPr>
                <m:sty m:val="p"/>
              </m:rPr>
              <m:t>,</m:t>
            </m:r>
            <m:r>
              <m:t>S</m:t>
            </m:r>
          </m:e>
        </m:d>
        <m:r>
          <m:rPr>
            <m:sty m:val="p"/>
          </m:rPr>
          <m:t>=</m:t>
        </m:r>
        <m:sSup>
          <m:e>
            <m:r>
              <m:t>P</m:t>
            </m:r>
          </m:e>
          <m:sup>
            <m:r>
              <m:t> </m:t>
            </m:r>
            <m:sSub>
              <m:e>
                <m:r>
                  <m:t>w</m:t>
                </m:r>
              </m:e>
              <m:sub>
                <m:r>
                  <m:t>P</m:t>
                </m:r>
              </m:sub>
            </m:sSub>
          </m:sup>
        </m:sSup>
        <m:r>
          <m:t> </m:t>
        </m:r>
        <m:sSup>
          <m:e>
            <m:r>
              <m:t>R</m:t>
            </m:r>
          </m:e>
          <m:sup>
            <m:r>
              <m:t> </m:t>
            </m:r>
            <m:sSub>
              <m:e>
                <m:r>
                  <m:t>w</m:t>
                </m:r>
              </m:e>
              <m:sub>
                <m:r>
                  <m:t>R</m:t>
                </m:r>
              </m:sub>
            </m:sSub>
          </m:sup>
        </m:sSup>
        <m:r>
          <m:t> </m:t>
        </m:r>
        <m:sSup>
          <m:e>
            <m:r>
              <m:t>S</m:t>
            </m:r>
          </m:e>
          <m:sup>
            <m:r>
              <m:t> </m:t>
            </m:r>
            <m:sSub>
              <m:e>
                <m:r>
                  <m:t>w</m:t>
                </m:r>
              </m:e>
              <m:sub>
                <m:r>
                  <m:t>S</m:t>
                </m:r>
              </m:sub>
            </m:sSub>
          </m:sup>
        </m:sSup>
        <m:r>
          <m:rPr>
            <m:sty m:val="p"/>
          </m:rPr>
          <m:t>,</m:t>
        </m:r>
        <m:r>
          <m:t>  </m:t>
        </m:r>
        <m:sSub>
          <m:e>
            <m:r>
              <m:t>w</m:t>
            </m:r>
          </m:e>
          <m:sub>
            <m:r>
              <m:t>P</m:t>
            </m:r>
          </m:sub>
        </m:sSub>
        <m:r>
          <m:rPr>
            <m:sty m:val="p"/>
          </m:rPr>
          <m:t>+</m:t>
        </m:r>
        <m:sSub>
          <m:e>
            <m:r>
              <m:t>w</m:t>
            </m:r>
          </m:e>
          <m:sub>
            <m:r>
              <m:t>R</m:t>
            </m:r>
          </m:sub>
        </m:sSub>
        <m:r>
          <m:rPr>
            <m:sty m:val="p"/>
          </m:rPr>
          <m:t>+</m:t>
        </m:r>
        <m:sSub>
          <m:e>
            <m:r>
              <m:t>w</m:t>
            </m:r>
          </m:e>
          <m:sub>
            <m:r>
              <m:t>S</m:t>
            </m:r>
          </m:sub>
        </m:sSub>
        <m:r>
          <m:rPr>
            <m:sty m:val="p"/>
          </m:rPr>
          <m:t>=</m:t>
        </m:r>
        <m:r>
          <m:t>1</m:t>
        </m:r>
      </m:oMath>
      <w:r>
        <w:tab/>
      </w:r>
      <w:r>
        <w:rPr>
          <w:rFonts w:ascii="Times New Roman" w:hAnsi="Times New Roman" w:eastAsia="宋体"/>
          <w:sz w:val="24"/>
        </w:rPr>
        <w:t>(2-8)</w:t>
      </w:r>
    </w:p>
    <w:p>
      <w:pPr>
        <w:spacing w:line="360" w:lineRule="auto" w:after="0"/>
        <w:jc w:val="both"/>
      </w:pPr>
      <w:r>
        <w:rPr>
          <w:rFonts w:ascii="宋体" w:hAnsi="宋体" w:eastAsia="宋体"/>
          <w:sz w:val="24"/>
        </w:rPr>
        <w:t>其中，</w:t>
      </w:r>
      <m:oMath>
        <m:sSub>
          <m:e>
            <m:r>
              <m:t>w</m:t>
            </m:r>
          </m:e>
          <m:sub>
            <m:r>
              <m:t>P</m:t>
            </m:r>
          </m:sub>
        </m:sSub>
      </m:oMath>
      <w:r>
        <w:rPr>
          <w:rFonts w:ascii="宋体" w:hAnsi="宋体" w:eastAsia="宋体"/>
          <w:sz w:val="24"/>
        </w:rPr>
        <w:t>、</w:t>
      </w:r>
      <m:oMath>
        <m:sSub>
          <m:e>
            <m:r>
              <m:t>w</m:t>
            </m:r>
          </m:e>
          <m:sub>
            <m:r>
              <m:t>R</m:t>
            </m:r>
          </m:sub>
        </m:sSub>
      </m:oMath>
      <w:r>
        <w:rPr>
          <w:rFonts w:ascii="宋体" w:hAnsi="宋体" w:eastAsia="宋体"/>
          <w:sz w:val="24"/>
        </w:rPr>
        <w:t>、</w:t>
      </w:r>
      <m:oMath>
        <m:sSub>
          <m:e>
            <m:r>
              <m:t>w</m:t>
            </m:r>
          </m:e>
          <m:sub>
            <m:r>
              <m:t>S</m:t>
            </m:r>
          </m:sub>
        </m:sSub>
      </m:oMath>
      <w:r>
        <w:rPr>
          <w:rFonts w:ascii="宋体" w:hAnsi="宋体" w:eastAsia="宋体"/>
          <w:sz w:val="24"/>
        </w:rPr>
        <w:t>为三维效值的权重，即效值系数对各维的常数弹性；权重之和为1保证折算函数一次齐次，从而当三维同比例提升时效值等比例提升。</w:t>
      </w:r>
    </w:p>
    <w:p>
      <w:pPr>
        <w:spacing w:line="360" w:lineRule="auto" w:after="0"/>
        <w:ind w:firstLineChars="200" w:firstLine="480"/>
        <w:jc w:val="both"/>
      </w:pPr>
      <w:r>
        <w:rPr>
          <w:rFonts w:ascii="宋体" w:hAnsi="宋体" w:eastAsia="宋体"/>
          <w:sz w:val="24"/>
        </w:rPr>
        <w:t>式(2-8)的经济含义值得强调：它把“当量折算”从单维物理刻度推广到多维经济刻度，而付出的代价是权重必须被标定而非被观测。这正是词元折算区别于标准煤折算的本质所在——发热量可以在量热仪中直接测得，而三维权重必须由基准任务集上的实测数据反推。第5章将给出四条公理下的完整存在性与唯一性论证，并报告标定结果：</w:t>
      </w:r>
      <m:oMath>
        <m:sSub>
          <m:e>
            <m:r>
              <m:t>w</m:t>
            </m:r>
          </m:e>
          <m:sub>
            <m:r>
              <m:t>P</m:t>
            </m:r>
          </m:sub>
        </m:sSub>
      </m:oMath>
      <w:r>
        <w:rPr>
          <w:rFonts w:ascii="宋体" w:hAnsi="宋体" w:eastAsia="宋体"/>
          <w:sz w:val="24"/>
        </w:rPr>
        <w:t>＝0.4383、</w:t>
      </w:r>
      <m:oMath>
        <m:sSub>
          <m:e>
            <m:r>
              <m:t>w</m:t>
            </m:r>
          </m:e>
          <m:sub>
            <m:r>
              <m:t>R</m:t>
            </m:r>
          </m:sub>
        </m:sSub>
      </m:oMath>
      <w:r>
        <w:rPr>
          <w:rFonts w:ascii="宋体" w:hAnsi="宋体" w:eastAsia="宋体"/>
          <w:sz w:val="24"/>
        </w:rPr>
        <w:t>＝0.2964、</w:t>
      </w:r>
      <m:oMath>
        <m:sSub>
          <m:e>
            <m:r>
              <m:t>w</m:t>
            </m:r>
          </m:e>
          <m:sub>
            <m:r>
              <m:t>S</m:t>
            </m:r>
          </m:sub>
        </m:sSub>
      </m:oMath>
      <w:r>
        <w:rPr>
          <w:rFonts w:ascii="宋体" w:hAnsi="宋体" w:eastAsia="宋体"/>
          <w:sz w:val="24"/>
        </w:rPr>
        <w:t>＝0.2653，基准任务集实测效值的拟合优度</w:t>
      </w:r>
      <m:oMath>
        <m:sSup>
          <m:e>
            <m:r>
              <m:t>R</m:t>
            </m:r>
          </m:e>
          <m:sup>
            <m:r>
              <m:t>2</m:t>
            </m:r>
          </m:sup>
        </m:sSup>
      </m:oMath>
      <w:r>
        <w:rPr>
          <w:rFonts w:ascii="宋体" w:hAnsi="宋体" w:eastAsia="宋体"/>
          <w:sz w:val="24"/>
        </w:rPr>
        <w:t>＝0.9996、对数尺度</w:t>
      </w:r>
      <m:oMath>
        <m:sSup>
          <m:e>
            <m:r>
              <m:t>R</m:t>
            </m:r>
          </m:e>
          <m:sup>
            <m:r>
              <m:t>2</m:t>
            </m:r>
          </m:sup>
        </m:sSup>
      </m:oMath>
      <w:r>
        <w:rPr>
          <w:rFonts w:ascii="宋体" w:hAnsi="宋体" w:eastAsia="宋体"/>
          <w:sz w:val="24"/>
        </w:rPr>
        <w:t>＝0.9997、均方根误差＝0.0261；把折算函数放宽为常替代弹性形式独立标定，得替代参数</w:t>
      </w:r>
      <m:oMath>
        <m:acc>
          <m:accPr>
            <m:chr m:val="̂"/>
          </m:accPr>
          <m:e>
            <m:r>
              <m:t>ρ</m:t>
            </m:r>
          </m:e>
        </m:acc>
      </m:oMath>
      <w:r>
        <w:rPr>
          <w:rFonts w:ascii="宋体" w:hAnsi="宋体" w:eastAsia="宋体"/>
          <w:sz w:val="24"/>
        </w:rPr>
        <w:t>＝0.0794，在统计上无法拒绝其为零——此时常替代弹性形式恰好退化为加权几何平均，实证标定与公理推论相互印证。折算的效果同样可以量化：折算前后单位价格的变异系数由0.92降至0.31，最高与最低档位的价格倍差由12.6倍收敛至2.4倍，异质词元由此获得趋近一价定律的共同尺度。</w:t>
      </w:r>
    </w:p>
    <w:p>
      <w:pPr>
        <w:spacing w:line="360" w:lineRule="auto" w:after="0"/>
        <w:ind w:firstLineChars="200" w:firstLine="480"/>
        <w:jc w:val="both"/>
      </w:pPr>
      <w:r>
        <w:rPr>
          <w:rFonts w:ascii="宋体" w:hAnsi="宋体" w:eastAsia="宋体"/>
          <w:sz w:val="24"/>
        </w:rPr>
        <w:t>这里必须作一项严格的学术声明，以免读者误引。本书的三维效值折算体系是作者自主构建的理论框架，它不来源于、也不对应于任何既有机构发布的评价体系。与本书构成文献对话的既有工作确实存在，共有四套，各自主体、维度与用途不同，本书逐一注明并严格避免合并、平均或交叉引用其维度名称：其一，中国信息通信研究院《人工智能Token服务质量能力要求》所依托的可信AI-Token服务质量评估，包含模型服务能力、Token服务性能、Token服务可信、Token服务运维、Token服务用户体验、Token计量计费六个维度，用于服务质量的符合性评估；其二，中国信息通信研究院于2026年6月16日发布并解读的高质量Token服务标准体系，包含服务质量、运营能力、生产能力、安全能力四个维度，用于搭建标准框架，该院云计算与大数据研究所所长魏凯提出“不能只看单价，行业亟须一套衡量高质量Token的标尺”；其三，中国工业互联网研究院《Token驱动智能经济研究报告（2026年）》提出的价值度量体系，包含生产成本、生产效率、准确性、生态价值、安全五个维度，用于价值评价；其四，清华大学翟季冬团队联合清程极智于2026年5月发布的开源模型Token服务性能榜，以首Token时延（P90分位）、输出吞吐与缓存命中率三项实测指标对服务商排名。此外，中国信息通信研究院2026年6月启动的词元服务能力攀登计划公布了首批企业达成的性能基线（吞吐不低于55Token/s、首Token时延不高于0.9s、调用成功率99.9%），该基线是首批参与企业的达成值，既非行业平均值亦非强制门槛。</w:t>
      </w:r>
    </w:p>
    <w:p>
      <w:pPr>
        <w:spacing w:line="360" w:lineRule="auto" w:after="0"/>
        <w:ind w:firstLineChars="200" w:firstLine="480"/>
        <w:jc w:val="both"/>
      </w:pPr>
      <w:r>
        <w:rPr>
          <w:rFonts w:ascii="宋体" w:hAnsi="宋体" w:eastAsia="宋体"/>
          <w:sz w:val="24"/>
        </w:rPr>
        <w:t>本书相对上述四套工作的理论增量可以一句话概括：从多维评价推进到当量折算。四套体系的产出形态或为并列的维度得分，或为达标与否的认证结论，或为服务商的性能排名——它们回答的是“谁更好”，而不能回答“一枚甲词元等于几枚乙词元”。而只有后一个问题被回答，异质词元才能被加总为可入账的总量、被折算为可比较的价格、被纳入可核算的增长贡献。评价体系给出的是序，当量体系给出的是尺；序可以排名，尺才能记账。本书的全部工作，正是要把词元经济的“序”变成“尺”。</w:t>
      </w:r>
    </w:p>
    <w:p>
      <w:pPr>
        <w:keepNext/>
        <w:spacing w:before="160" w:after="120" w:line="360" w:lineRule="auto"/>
        <w:outlineLvl w:val="1"/>
      </w:pPr>
      <w:r>
        <w:rPr>
          <w:rFonts w:ascii="黑体" w:hAnsi="黑体" w:eastAsia="黑体"/>
          <w:sz w:val="28"/>
        </w:rPr>
        <w:t>2.4  通用目的技术理论与索洛生产率悖论的再现</w:t>
      </w:r>
    </w:p>
    <w:p>
      <w:pPr>
        <w:keepNext/>
        <w:spacing w:before="160" w:after="120" w:line="360" w:lineRule="auto"/>
        <w:outlineLvl w:val="2"/>
      </w:pPr>
      <w:r>
        <w:rPr>
          <w:rFonts w:ascii="黑体" w:hAnsi="黑体" w:eastAsia="黑体"/>
          <w:sz w:val="24"/>
        </w:rPr>
        <w:t>2.4.1  通用目的技术的三特征及其对词元的启示</w:t>
      </w:r>
    </w:p>
    <w:p>
      <w:pPr>
        <w:spacing w:line="360" w:lineRule="auto" w:after="0"/>
        <w:ind w:firstLineChars="200" w:firstLine="480"/>
        <w:jc w:val="both"/>
      </w:pPr>
      <w:r>
        <w:rPr>
          <w:rFonts w:ascii="宋体" w:hAnsi="宋体" w:eastAsia="宋体"/>
          <w:sz w:val="24"/>
        </w:rPr>
        <w:t>人工智能是否构成通用目的技术，是判断其经济影响量级的前置问题。通用目的技术被界定为具备普遍适用性、持续改进潜力与创新互补性三项特征的技术，其经济影响不通过自身部门实现，而通过在下游部门引致的互补性创新扩散实现（Bresnahan和Trajtenberg，1995）。以蒸汽机、电力与信息技术为参照的历史比较显示，通用目的技术的宏观效应往往滞后于技术成熟数十年（Crafts，2021）；基于在线招聘数据对新兴技术的横向比较则为机器学习是否具备通用目的技术特征提供了可检验的经验判据（Goldfarb等，2023）；从增长理论角度看，人工智能既可能通过自动化提升要素生产率，也可能因鲍莫尔成本病使增长受制于未被自动化的环节（Aghion等，2019）。</w:t>
      </w:r>
    </w:p>
    <w:p>
      <w:pPr>
        <w:spacing w:line="360" w:lineRule="auto" w:after="0"/>
        <w:ind w:firstLineChars="200" w:firstLine="480"/>
        <w:jc w:val="both"/>
      </w:pPr>
      <w:r>
        <w:rPr>
          <w:rFonts w:ascii="宋体" w:hAnsi="宋体" w:eastAsia="宋体"/>
          <w:sz w:val="24"/>
        </w:rPr>
        <w:t>通用目的技术理论对本书有两点直接启示。第一，扩散过程比技术本身更重要，因而研究者需要一个能够刻画扩散强度的可观测变量。传统研究以专利数、企业采用率或招聘需求作为代理，但这些变量要么滞后、要么粗糙，无法反映实际使用强度。词元流量恰好填补这一空缺：它是模型能力被实际调用的直接计数，具有高频、可归属、跨行业可比三重优点。第二，互补性投资的重要性提示我们，词元消耗的经济效果高度依赖于场景改造的深度——同样的词元投入，嵌入核心业务流程与仅用于边缘尝试，产出效果截然不同。这正是式(2-2)中场景效用维度</w:t>
      </w:r>
      <m:oMath>
        <m:r>
          <m:t>S</m:t>
        </m:r>
      </m:oMath>
      <w:r>
        <w:rPr>
          <w:rFonts w:ascii="宋体" w:hAnsi="宋体" w:eastAsia="宋体"/>
          <w:sz w:val="24"/>
        </w:rPr>
        <w:t>的理论根据，也是第10章讨论企业深度采纳门槛的理论起点。</w:t>
      </w:r>
    </w:p>
    <w:p>
      <w:pPr>
        <w:spacing w:line="360" w:lineRule="auto" w:after="0"/>
        <w:ind w:firstLineChars="200" w:firstLine="480"/>
        <w:jc w:val="both"/>
      </w:pPr>
      <w:r>
        <w:rPr>
          <w:rFonts w:ascii="宋体" w:hAnsi="宋体" w:eastAsia="宋体"/>
          <w:sz w:val="24"/>
        </w:rPr>
        <w:t>值得注意的是，既有实证研究对人工智能经济效应的观察，绝大多数是从</w:t>
      </w:r>
      <w:r>
        <w:rPr>
          <w:rFonts w:ascii="宋体" w:hAnsi="宋体" w:eastAsia="宋体"/>
          <w:b/>
          <w:sz w:val="24"/>
        </w:rPr>
        <w:t>要素替代与就业结构</w:t>
      </w:r>
      <w:r>
        <w:rPr>
          <w:rFonts w:ascii="宋体" w:hAnsi="宋体" w:eastAsia="宋体"/>
          <w:sz w:val="24"/>
        </w:rPr>
        <w:t>一侧切入的。国内文献以工业机器人渗透为准自然实验，检验了其对就业总量与结构的行业与地区异质性影响（孔高文等，2020），识别出工作任务重组带来的非常规能力溢价（余玲铮等，2021）与人力资本提升效应（胡晟明等，2021）；数字经济维度的研究则考察了非农就业与社会分工的深化（田鸽和张勋，2022）、技能偏向型技术进步与劳动力不充分就业的并存（陈贵富等，2022），以及人工智能对包容性增长的跨国效应（陈东和秦子洋，2022）。国际研究同样以在线职位广告为底稿，识别人工智能技能需求的扩散与工资溢价（Acemoglu等，2022b）。这一支文献积累深厚，但其共同的观察窗口是“人工智能作用于人”——技术如何改变劳动需求、任务结构与收入分配；至于“人工智能自身产出了什么、这些产出该如何计量与计价”，则几乎处于视野之外。换言之，既有研究测度的是人工智能的</w:t>
      </w:r>
      <w:r>
        <w:rPr>
          <w:rFonts w:ascii="宋体" w:hAnsi="宋体" w:eastAsia="宋体"/>
          <w:b/>
          <w:sz w:val="24"/>
        </w:rPr>
        <w:t>影响</w:t>
      </w:r>
      <w:r>
        <w:rPr>
          <w:rFonts w:ascii="宋体" w:hAnsi="宋体" w:eastAsia="宋体"/>
          <w:sz w:val="24"/>
        </w:rPr>
        <w:t>，而非人工智能的</w:t>
      </w:r>
      <w:r>
        <w:rPr>
          <w:rFonts w:ascii="宋体" w:hAnsi="宋体" w:eastAsia="宋体"/>
          <w:b/>
          <w:sz w:val="24"/>
        </w:rPr>
        <w:t>产出</w:t>
      </w:r>
      <w:r>
        <w:rPr>
          <w:rFonts w:ascii="宋体" w:hAnsi="宋体" w:eastAsia="宋体"/>
          <w:sz w:val="24"/>
        </w:rPr>
        <w:t>。这一不对称正是索洛悖论在统计层面难以澄清的根源：当被解释变量（宏观生产率）与解释变量（人工智能投入）之间缺少一个可观测的中间产出变量时，任何加速或滞后的判断都只能停留在推断层面。本书把标准词元流量确立为这一中间变量，正是要为上述争论提供一个可测、可加、可核算的经验抓手。</w:t>
      </w:r>
    </w:p>
    <w:p>
      <w:pPr>
        <w:keepNext/>
        <w:spacing w:before="160" w:after="120" w:line="360" w:lineRule="auto"/>
        <w:outlineLvl w:val="2"/>
      </w:pPr>
      <w:r>
        <w:rPr>
          <w:rFonts w:ascii="黑体" w:hAnsi="黑体" w:eastAsia="黑体"/>
          <w:sz w:val="24"/>
        </w:rPr>
        <w:t>2.4.2  索洛悖论的再现与两侧证据的口径辨析</w:t>
      </w:r>
    </w:p>
    <w:p>
      <w:pPr>
        <w:spacing w:line="360" w:lineRule="auto" w:after="0"/>
        <w:ind w:firstLineChars="200" w:firstLine="480"/>
        <w:jc w:val="both"/>
      </w:pPr>
      <w:r>
        <w:rPr>
          <w:rFonts w:ascii="宋体" w:hAnsi="宋体" w:eastAsia="宋体"/>
          <w:sz w:val="24"/>
        </w:rPr>
        <w:t>索洛生产率悖论在人工智能时代以新的形式再现：模型能力以月为单位迭代，投资以年翻番，宏观生产率统计却迟迟未见相应加速。对这一反差的解释形成了两个方向。乐观侧的核心框架是生产率J曲线：通用目的技术需要大量互补性无形投资（流程再造、组织重构、员工再培训），这些投入在会计上被费用化而非资本化，因而在扩散早期系统性地压低了测得的生产率，形成先降后升的J形轨迹（Brynjolfsson等，2019；Brynjolfsson等，2021）。悲观侧的代表性测算则以Hulten定理为方法基础：产出与生产率收益取决于受影响任务的比例与每项任务的平均成本节约。在约20%的劳动任务暴露于人工智能、其中仅23%可被有利可图地自动化、每项任务平均劳动成本节约约27%的假设下，人工智能在未来十年最多带来0.66%的全要素生产率累计增幅，修正后的更保守预测低于0.53%（Acemoglu，2025）。</w:t>
      </w:r>
    </w:p>
    <w:p>
      <w:pPr>
        <w:spacing w:line="360" w:lineRule="auto" w:after="0"/>
        <w:ind w:firstLineChars="200" w:firstLine="480"/>
        <w:jc w:val="both"/>
      </w:pPr>
      <w:r>
        <w:rPr>
          <w:rFonts w:ascii="宋体" w:hAnsi="宋体" w:eastAsia="宋体"/>
          <w:sz w:val="24"/>
        </w:rPr>
        <w:t>这两组数字常被并置比较，但严格的口径辨析表明它们并不直接对立，混用反而会导致严重误读。其一，量纲与期限不同：上述0.66%与0.53%是十年累计的全要素生产率增幅，不是年增速；而经济合作与发展组织在《七国集团经济体人工智能的宏观生产率收益》中给出的是未来十年间年度劳动生产率增长的增量百分点，高暴露度经济体为0.4—1.3个百分点，二者须先换算量纲与期限方可比较；该组织对人工智能影响生产率、分配与增长的关键机制与政策挑战亦有专门梳理（「OECD，2024」）。其二，指标不同：全要素生产率与劳动生产率是两个不同指标，不可交叉引用。其三，宏观统计的现状并不支持“生产率已经加速”的叙事：按美国劳工统计局口径，2025年全年非农商业部门劳动生产率增长约2.1%，低于2024年的3.0%——宏观数据尚未验证J曲线的上升段。其四，暴露度不等于替代率：国际货币基金组织的研究显示全球约40%的就业岗位暴露于人工智能、发达经济体约60%，其中约半数可能受益于生产率提升、另半数面临替代风险（「Cazzaniga等，2024」），“暴露”是任务重叠的度量而非就业损失的预测。</w:t>
      </w:r>
    </w:p>
    <w:p>
      <w:pPr>
        <w:spacing w:line="360" w:lineRule="auto" w:after="0"/>
        <w:ind w:firstLineChars="200" w:firstLine="480"/>
        <w:jc w:val="both"/>
      </w:pPr>
      <w:r>
        <w:rPr>
          <w:rFonts w:ascii="宋体" w:hAnsi="宋体" w:eastAsia="宋体"/>
          <w:sz w:val="24"/>
        </w:rPr>
        <w:t>在学术测算之外，咨询机构对生成式人工智能经济潜力的估计亦被广泛引用，其典型做法是自下而上枚举业务职能与用例、逐项估算可实现的成本节约与收入增益，再汇总为年度潜在价值（「Chui等，2023」）。这类测算的量级通常远高于学术模型的推算，原因不在于数据优劣，而在于口径：咨询测算给出的是“若采纳充分实现则可能达到”的潜在价值，属情景假设下的上限估计，既未扣除互补性投资的成本，也未与国民经济核算口径对接；学术测算给出的则是在既定任务暴露度与自动化可盈利比例约束下的期望增量，属条件期望。二者一为潜力、一为期望，一为咨询机构自建口径、一为宏观核算口径，并列比较必然制造出“乐观与悲观相差数十倍”的假象。本书在引用任何一侧的数字时均先声明其口径与期限，并且不把不同口径的估计值放入同一张图表或同一个比较句式。这一纪律看似琐碎，却正是词元经济研究亟须建立的基本规范：在计量单位尚未统一之前，数字的可比性永远优先于数字的醒目程度——这也是本书把计量问题置于定价与配置之前的又一层理由。</w:t>
      </w:r>
    </w:p>
    <w:p>
      <w:pPr>
        <w:spacing w:line="360" w:lineRule="auto" w:after="0"/>
        <w:ind w:firstLineChars="200" w:firstLine="480"/>
        <w:jc w:val="both"/>
      </w:pPr>
      <w:r>
        <w:rPr>
          <w:rFonts w:ascii="宋体" w:hAnsi="宋体" w:eastAsia="宋体"/>
          <w:sz w:val="24"/>
        </w:rPr>
        <w:t>悖论的另一部分可能是纯粹的计量问题。当一种服务以急剧下降的价格与快速上升的质量提供时，按名义支出核算的实物量增长会被系统性低估。这一问题在云计算兴起时已经出现：云服务的价格测度困难导致相关投入的实物量增长被低估（Byrne等，2018），跨境数据流与云服务对国内生产总值测度提出了新的挑战（Coyle和Nguyen，2019）；企业层面的证据则显示云计算采用确实带来了可观的增长效应（DeStefano等，2025）。更一般地，关于错误计量能否解释生产率放缓的系统检验表明，单靠错误计量不足以完全解释缺口，但计量改进的空间确实存在（Syverson，2017）。这一判断对本书极为重要：词元价格在两年间的大幅下行中，有多少来自真实降价、有多少来自效值提升（即同样价格买到更强的词元），若不区分，价格指数与实物量核算都会失真。第7章的分解显示，2024年初至2026年二季度约79%的表观降幅中，约53%来自效值提升、约47%为真实降价——这正是索洛悖论的计量侧面在词元经济中的具体呈现。</w:t>
      </w:r>
    </w:p>
    <w:p>
      <w:pPr>
        <w:keepNext/>
        <w:spacing w:before="160" w:after="120" w:line="360" w:lineRule="auto"/>
        <w:outlineLvl w:val="2"/>
      </w:pPr>
      <w:r>
        <w:rPr>
          <w:rFonts w:ascii="黑体" w:hAnsi="黑体" w:eastAsia="黑体"/>
          <w:sz w:val="24"/>
        </w:rPr>
        <w:t>2.4.3  微观证据的积累与本书的切入点</w:t>
      </w:r>
    </w:p>
    <w:p>
      <w:pPr>
        <w:spacing w:line="360" w:lineRule="auto" w:after="0"/>
        <w:ind w:firstLineChars="200" w:firstLine="480"/>
        <w:jc w:val="both"/>
      </w:pPr>
      <w:r>
        <w:rPr>
          <w:rFonts w:ascii="宋体" w:hAnsi="宋体" w:eastAsia="宋体"/>
          <w:sz w:val="24"/>
        </w:rPr>
        <w:t>与宏观统计的沉默形成对照的是微观证据的迅速积累。生成式人工智能的采用速度快于历史上任何一项通用技术，美国成年人的采用率在推出后两年内即达到相当高的水平（Bick等，2024）；采用行为在人群与企业之间高度不均，教育程度、职业类型与企业规模都是显著的分层因素（Humlum和Vestergaard，2025）；企业层面的证据显示人工智能采用与生产率之间存在正向关联但异质性极强（Czarnitzki等，2023）；任务层面的暴露度测算表明相当比例的工作任务可被显著加速（Eloundou等，2024）；在研究活动本身，生成式人工智能亦已在文献综述、编程与写作等环节展现出可观的用例价值（Korinek，2023）。与此同时，来自更长历史尺度的警示提醒我们，技术进步的收益分配并非自动向劳动倾斜，制度安排与技术方向的选择才是决定因素（Acemoglu和Restrepo，2019；Acemoglu和Johnson，2024；Autor，2024）。</w:t>
      </w:r>
    </w:p>
    <w:p>
      <w:pPr>
        <w:spacing w:line="360" w:lineRule="auto" w:after="0"/>
        <w:ind w:firstLineChars="200" w:firstLine="480"/>
        <w:jc w:val="both"/>
      </w:pPr>
      <w:r>
        <w:rPr>
          <w:rFonts w:ascii="宋体" w:hAnsi="宋体" w:eastAsia="宋体"/>
          <w:sz w:val="24"/>
        </w:rPr>
        <w:t>本书的切入点由此确定：既然宏观统计滞后而微观证据分散，最有效的推进方式是找到一个介于二者之间的、可高频观测且可跨主体加总的中间变量，把人工智能的扩散从“事后残差”变为“事中过程”。词元流量正是这样的变量——它每日可测，随场景可分，随主体可归，随模型可分档。但要让这一变量真正进入核算，前提仍然是可加，即必须先完成折算。换言之，2.3节的计量问题与2.4节的核算问题在这里合流：标准词元不仅是一个定价基准，更是把人工智能贡献从索洛残差中显性分离出来的核算工具。第12章将完成这一分离。</w:t>
      </w:r>
    </w:p>
    <w:p>
      <w:pPr>
        <w:keepNext/>
        <w:spacing w:before="160" w:after="120" w:line="360" w:lineRule="auto"/>
        <w:outlineLvl w:val="1"/>
      </w:pPr>
      <w:r>
        <w:rPr>
          <w:rFonts w:ascii="黑体" w:hAnsi="黑体" w:eastAsia="黑体"/>
          <w:sz w:val="28"/>
        </w:rPr>
        <w:t>2.5  数字产品定价、质量分级与双边平台理论</w:t>
      </w:r>
    </w:p>
    <w:p>
      <w:pPr>
        <w:keepNext/>
        <w:spacing w:before="160" w:after="120" w:line="360" w:lineRule="auto"/>
        <w:outlineLvl w:val="2"/>
      </w:pPr>
      <w:r>
        <w:rPr>
          <w:rFonts w:ascii="黑体" w:hAnsi="黑体" w:eastAsia="黑体"/>
          <w:sz w:val="24"/>
        </w:rPr>
        <w:t>2.5.1  零边际成本、质量分级与版本化</w:t>
      </w:r>
    </w:p>
    <w:p>
      <w:pPr>
        <w:spacing w:line="360" w:lineRule="auto" w:after="0"/>
        <w:ind w:firstLineChars="200" w:firstLine="480"/>
        <w:jc w:val="both"/>
      </w:pPr>
      <w:r>
        <w:rPr>
          <w:rFonts w:ascii="宋体" w:hAnsi="宋体" w:eastAsia="宋体"/>
          <w:sz w:val="24"/>
        </w:rPr>
        <w:t>词元服务在定价上呈现出典型的数字产品特征：固定成本（模型训练与集群建设）极高，边际成本（单次推理的电力与折旧）相对低廉但并不为零。这一成本结构使教科书式的边际成本定价既不可行也不可欲——按边际成本定价无法覆盖固定成本，供给不可持续。产业组织理论对此的经典回答是质量分级与版本化：垄断者通过提供质量—价格菜单实现二级价格歧视，均衡中高端质量不失真而低端质量被向下扭曲，以抑制高估值消费者的向下选择（Mussa和Rosen，1978）；版本化策略并非总是有利，其可行性取决于消费者估值分布与质量成本结构（Bhargava和Choudhary，2008）；而在个性化定价成为可能之后，价格歧视对消费者福利的净效应亦需重新评估（Dubé和Misra，2023）。</w:t>
      </w:r>
    </w:p>
    <w:p>
      <w:pPr>
        <w:spacing w:line="360" w:lineRule="auto" w:after="0"/>
        <w:ind w:firstLineChars="200" w:firstLine="480"/>
        <w:jc w:val="both"/>
      </w:pPr>
      <w:r>
        <w:rPr>
          <w:rFonts w:ascii="宋体" w:hAnsi="宋体" w:eastAsia="宋体"/>
          <w:sz w:val="24"/>
        </w:rPr>
        <w:t>词元市场的现实定价结构与这一理论高度吻合。平台普遍提供三级服务：面向中小企业与个人开发者的普惠包、面向常规企业用户的按需套餐、面向大型客户的专属定制。第7章的测算显示，三级服务的用户占比分别为62%、31%与7%，而收入占比分别为21%、38%与41%——少数高端用户贡献了近半收入，这正是质量分级定价的典型形态。但与传统数字产品不同的是，词元服务的“质量”并非厂商可任意设定的产品参数，而是由模型效值客观决定的技术属性，因而质量分级的前提是效值可测——理论再次指向计量。</w:t>
      </w:r>
    </w:p>
    <w:p>
      <w:pPr>
        <w:keepNext/>
        <w:spacing w:before="160" w:after="120" w:line="360" w:lineRule="auto"/>
        <w:outlineLvl w:val="2"/>
      </w:pPr>
      <w:r>
        <w:rPr>
          <w:rFonts w:ascii="黑体" w:hAnsi="黑体" w:eastAsia="黑体"/>
          <w:sz w:val="24"/>
        </w:rPr>
        <w:t>2.5.2  双边平台的交叉外部性与价格结构</w:t>
      </w:r>
    </w:p>
    <w:p>
      <w:pPr>
        <w:spacing w:line="360" w:lineRule="auto" w:after="0"/>
        <w:ind w:firstLineChars="200" w:firstLine="480"/>
        <w:jc w:val="both"/>
      </w:pPr>
      <w:r>
        <w:rPr>
          <w:rFonts w:ascii="宋体" w:hAnsi="宋体" w:eastAsia="宋体"/>
          <w:sz w:val="24"/>
        </w:rPr>
        <w:t>词元市场的组织形态是多边平台：一侧是算力供给方与模型服务方，另一侧是应用开发者与企业用户，平台居中提供接入、计量、结算与调度。双边市场理论指出，此类市场的价格水平与价格结构是两个独立问题，平台的最优定价必须内部化两侧之间的交叉网络外部性（Katz和Shapiro，1985；Armstrong，2006），其后的综述进一步刻画了单归属与多归属、竞争瓶颈与价格结构中性等条件下的均衡性质（Jullien等，2021），数据的引入则使平台竞争与用户数据的关系成为新的分析维度（Bergemann和Bonatti，2024）。国内研究在平台经济的分析框架、市场结构与福利效应、以及数字平台通过价格机制与数据机制改善资源配置效率等方面亦有系统推进（刘诚和夏杰长，2023；顾聪等，2023；吴双和王勇，2024）。</w:t>
      </w:r>
    </w:p>
    <w:p>
      <w:pPr>
        <w:spacing w:line="360" w:lineRule="auto" w:after="0"/>
        <w:ind w:firstLineChars="200" w:firstLine="480"/>
        <w:jc w:val="both"/>
      </w:pPr>
      <w:r>
        <w:rPr>
          <w:rFonts w:ascii="宋体" w:hAnsi="宋体" w:eastAsia="宋体"/>
          <w:sz w:val="24"/>
        </w:rPr>
        <w:t>把交叉外部性纳入垄断平台的最优定价条件，可得两侧市场下调整后的勒纳条件。记</w:t>
      </w:r>
      <m:oMath>
        <m:r>
          <m:t>A</m:t>
        </m:r>
      </m:oMath>
      <w:r>
        <w:rPr>
          <w:rFonts w:ascii="宋体" w:hAnsi="宋体" w:eastAsia="宋体"/>
          <w:sz w:val="24"/>
        </w:rPr>
        <w:t>侧（应用方）价格为</w:t>
      </w:r>
      <m:oMath>
        <m:sSub>
          <m:e>
            <m:r>
              <m:t>p</m:t>
            </m:r>
          </m:e>
          <m:sub>
            <m:r>
              <m:t>A</m:t>
            </m:r>
          </m:sub>
        </m:sSub>
      </m:oMath>
      <w:r>
        <w:rPr>
          <w:rFonts w:ascii="宋体" w:hAnsi="宋体" w:eastAsia="宋体"/>
          <w:sz w:val="24"/>
        </w:rPr>
        <w:t>、单位服务成本为</w:t>
      </w:r>
      <m:oMath>
        <m:sSub>
          <m:e>
            <m:r>
              <m:t>c</m:t>
            </m:r>
          </m:e>
          <m:sub>
            <m:r>
              <m:t>A</m:t>
            </m:r>
          </m:sub>
        </m:sSub>
      </m:oMath>
      <w:r>
        <w:rPr>
          <w:rFonts w:ascii="宋体" w:hAnsi="宋体" w:eastAsia="宋体"/>
          <w:sz w:val="24"/>
        </w:rPr>
        <w:t>、需求价格弹性为</w:t>
      </w:r>
      <m:oMath>
        <m:sSub>
          <m:e>
            <m:r>
              <m:t>ε</m:t>
            </m:r>
          </m:e>
          <m:sub>
            <m:r>
              <m:t>A</m:t>
            </m:r>
          </m:sub>
        </m:sSub>
      </m:oMath>
      <w:r>
        <w:rPr>
          <w:rFonts w:ascii="宋体" w:hAnsi="宋体" w:eastAsia="宋体"/>
          <w:sz w:val="24"/>
        </w:rPr>
        <w:t>，</w:t>
      </w:r>
      <m:oMath>
        <m:r>
          <m:t>A</m:t>
        </m:r>
      </m:oMath>
      <w:r>
        <w:rPr>
          <w:rFonts w:ascii="宋体" w:hAnsi="宋体" w:eastAsia="宋体"/>
          <w:sz w:val="24"/>
        </w:rPr>
        <w:t>侧每增加一单位需求给</w:t>
      </w:r>
      <m:oMath>
        <m:r>
          <m:t>B</m:t>
        </m:r>
      </m:oMath>
      <w:r>
        <w:rPr>
          <w:rFonts w:ascii="宋体" w:hAnsi="宋体" w:eastAsia="宋体"/>
          <w:sz w:val="24"/>
        </w:rPr>
        <w:t>侧（模型与算力方）带来的边际外部收益为</w:t>
      </w:r>
      <m:oMath>
        <m:sSub>
          <m:e>
            <m:r>
              <m:t>γ</m:t>
            </m:r>
          </m:e>
          <m:sub>
            <m:r>
              <m:t>B</m:t>
            </m:r>
          </m:sub>
        </m:sSub>
      </m:oMath>
      <w:r>
        <w:rPr>
          <w:rFonts w:ascii="宋体" w:hAnsi="宋体" w:eastAsia="宋体"/>
          <w:sz w:val="24"/>
        </w:rPr>
        <w:t>，则：</w:t>
      </w:r>
    </w:p>
    <w:p>
      <w:pPr>
        <w:tabs>
          <w:tab w:pos="4252" w:val="center"/>
          <w:tab w:pos="8504" w:val="right"/>
        </w:tabs>
        <w:spacing w:line="360" w:lineRule="auto" w:before="80" w:after="80"/>
      </w:pPr>
      <w:r>
        <w:tab/>
      </w:r>
      <m:oMath>
        <m:f>
          <m:fPr>
            <m:type m:val="bar"/>
          </m:fPr>
          <m:num>
            <m:sSub>
              <m:e>
                <m:r>
                  <m:t>p</m:t>
                </m:r>
              </m:e>
              <m:sub>
                <m:r>
                  <m:t>A</m:t>
                </m:r>
              </m:sub>
            </m:sSub>
            <m:r>
              <m:rPr>
                <m:sty m:val="p"/>
              </m:rPr>
              <m:t>−</m:t>
            </m:r>
            <m:d>
              <m:dPr>
                <m:begChr m:val="("/>
                <m:endChr m:val=")"/>
                <m:grow/>
              </m:dPr>
              <m:e>
                <m:sSub>
                  <m:e>
                    <m:r>
                      <m:t>c</m:t>
                    </m:r>
                  </m:e>
                  <m:sub>
                    <m:r>
                      <m:t>A</m:t>
                    </m:r>
                  </m:sub>
                </m:sSub>
                <m:r>
                  <m:rPr>
                    <m:sty m:val="p"/>
                  </m:rPr>
                  <m:t>−</m:t>
                </m:r>
                <m:sSub>
                  <m:e>
                    <m:r>
                      <m:t>γ</m:t>
                    </m:r>
                  </m:e>
                  <m:sub>
                    <m:r>
                      <m:t>B</m:t>
                    </m:r>
                  </m:sub>
                </m:sSub>
              </m:e>
            </m:d>
          </m:num>
          <m:den>
            <m:sSub>
              <m:e>
                <m:r>
                  <m:t>p</m:t>
                </m:r>
              </m:e>
              <m:sub>
                <m:r>
                  <m:t>A</m:t>
                </m:r>
              </m:sub>
            </m:sSub>
          </m:den>
        </m:f>
        <m:r>
          <m:rPr>
            <m:sty m:val="p"/>
          </m:rPr>
          <m:t>=</m:t>
        </m:r>
        <m:f>
          <m:fPr>
            <m:type m:val="bar"/>
          </m:fPr>
          <m:num>
            <m:r>
              <m:t>1</m:t>
            </m:r>
          </m:num>
          <m:den>
            <m:sSub>
              <m:e>
                <m:r>
                  <m:t>ε</m:t>
                </m:r>
              </m:e>
              <m:sub>
                <m:r>
                  <m:t>A</m:t>
                </m:r>
              </m:sub>
            </m:sSub>
          </m:den>
        </m:f>
      </m:oMath>
      <w:r>
        <w:tab/>
      </w:r>
      <w:r>
        <w:rPr>
          <w:rFonts w:ascii="Times New Roman" w:hAnsi="Times New Roman" w:eastAsia="宋体"/>
          <w:sz w:val="24"/>
        </w:rPr>
        <w:t>(2-9)</w:t>
      </w:r>
    </w:p>
    <w:p>
      <w:pPr>
        <w:spacing w:line="360" w:lineRule="auto" w:after="0"/>
        <w:jc w:val="both"/>
      </w:pPr>
      <w:r>
        <w:rPr>
          <w:rFonts w:ascii="宋体" w:hAnsi="宋体" w:eastAsia="宋体"/>
          <w:sz w:val="24"/>
        </w:rPr>
        <w:t>其中，</w:t>
      </w:r>
      <m:oMath>
        <m:sSub>
          <m:e>
            <m:r>
              <m:t>c</m:t>
            </m:r>
          </m:e>
          <m:sub>
            <m:r>
              <m:t>A</m:t>
            </m:r>
          </m:sub>
        </m:sSub>
        <m:r>
          <m:rPr>
            <m:sty m:val="p"/>
          </m:rPr>
          <m:t>−</m:t>
        </m:r>
        <m:sSub>
          <m:e>
            <m:r>
              <m:t>γ</m:t>
            </m:r>
          </m:e>
          <m:sub>
            <m:r>
              <m:t>B</m:t>
            </m:r>
          </m:sub>
        </m:sSub>
      </m:oMath>
      <w:r>
        <w:rPr>
          <w:rFonts w:ascii="宋体" w:hAnsi="宋体" w:eastAsia="宋体"/>
          <w:sz w:val="24"/>
        </w:rPr>
        <w:t>为</w:t>
      </w:r>
      <m:oMath>
        <m:r>
          <m:t>A</m:t>
        </m:r>
      </m:oMath>
      <w:r>
        <w:rPr>
          <w:rFonts w:ascii="宋体" w:hAnsi="宋体" w:eastAsia="宋体"/>
          <w:sz w:val="24"/>
        </w:rPr>
        <w:t>侧的有效边际成本，即扣除该侧需求对另一侧所产生外部收益之后的净成本；</w:t>
      </w:r>
      <m:oMath>
        <m:sSub>
          <m:e>
            <m:r>
              <m:t>ε</m:t>
            </m:r>
          </m:e>
          <m:sub>
            <m:r>
              <m:t>A</m:t>
            </m:r>
          </m:sub>
        </m:sSub>
      </m:oMath>
      <w:r>
        <w:rPr>
          <w:rFonts w:ascii="宋体" w:hAnsi="宋体" w:eastAsia="宋体"/>
          <w:sz w:val="24"/>
        </w:rPr>
        <w:t>为</w:t>
      </w:r>
      <m:oMath>
        <m:r>
          <m:t>A</m:t>
        </m:r>
      </m:oMath>
      <w:r>
        <w:rPr>
          <w:rFonts w:ascii="宋体" w:hAnsi="宋体" w:eastAsia="宋体"/>
          <w:sz w:val="24"/>
        </w:rPr>
        <w:t>侧需求价格弹性。</w:t>
      </w:r>
    </w:p>
    <w:p>
      <w:pPr>
        <w:spacing w:line="360" w:lineRule="auto" w:after="0"/>
        <w:ind w:firstLineChars="200" w:firstLine="480"/>
        <w:jc w:val="both"/>
      </w:pPr>
      <w:r>
        <w:rPr>
          <w:rFonts w:ascii="宋体" w:hAnsi="宋体" w:eastAsia="宋体"/>
          <w:sz w:val="24"/>
        </w:rPr>
        <w:t>式(2-9)的性质是：由于</w:t>
      </w:r>
      <m:oMath>
        <m:sSub>
          <m:e>
            <m:r>
              <m:t>γ</m:t>
            </m:r>
          </m:e>
          <m:sub>
            <m:r>
              <m:t>B</m:t>
            </m:r>
          </m:sub>
        </m:sSub>
        <m:r>
          <m:rPr>
            <m:sty m:val="p"/>
          </m:rPr>
          <m:t>&gt;</m:t>
        </m:r>
        <m:r>
          <m:t>0</m:t>
        </m:r>
      </m:oMath>
      <w:r>
        <w:rPr>
          <w:rFonts w:ascii="宋体" w:hAnsi="宋体" w:eastAsia="宋体"/>
          <w:sz w:val="24"/>
        </w:rPr>
        <w:t>，有效边际成本低于实际边际成本，当交叉外部性足够强时甚至可能为负。其经济含义是，平台对某一侧低于成本定价乃至免费开放，是内部化外部性的均衡行为，而非掠夺性定价。这为理解词元市场的两个现象提供了理论基础：其一，普惠包的低价获客与专属定制的高价变现构成一个跨侧补贴结构，而不是简单的价格歧视；其二，城市词元运营中心以财政补贴压低企业侧价格，在</w:t>
      </w:r>
      <m:oMath>
        <m:sSub>
          <m:e>
            <m:r>
              <m:t>γ</m:t>
            </m:r>
          </m:e>
          <m:sub>
            <m:r>
              <m:t>B</m:t>
            </m:r>
          </m:sub>
        </m:sSub>
      </m:oMath>
      <w:r>
        <w:rPr>
          <w:rFonts w:ascii="宋体" w:hAnsi="宋体" w:eastAsia="宋体"/>
          <w:sz w:val="24"/>
        </w:rPr>
        <w:t>足够大时具有效率改进含义，但补贴的退出条件必须由两侧规模的演化路径内生决定——第10章的三方演化博弈将求解这一条件。此外，第8章估计的企业词元需求价格弹性为-1.34（标准误0.19，样本量864），为式(2-9)提供了可代入的经验参数。</w:t>
      </w:r>
    </w:p>
    <w:p>
      <w:pPr>
        <w:spacing w:line="360" w:lineRule="auto" w:after="0"/>
        <w:ind w:firstLineChars="200" w:firstLine="480"/>
        <w:jc w:val="both"/>
      </w:pPr>
      <w:r>
        <w:rPr>
          <w:rFonts w:ascii="宋体" w:hAnsi="宋体" w:eastAsia="宋体"/>
          <w:sz w:val="24"/>
        </w:rPr>
        <w:t>双边平台的分析还必须与标准的经济学衔接，因为统一计量本身就是一项典型的协调品。兼容性与标准化的经典分析指出，在存在网络外部性时，采用何种标准是一个多重均衡的协调博弈：既可能因预期自我实现而迅速收敛于某一标准，也可能因预期分裂而长期停滞于低效率的多标准并存状态，而先行者的安装基础会显著左右均衡选择（Farrell和Saloner，1985；Katz和Shapiro，1985）；对标准制定委员会的经验研究进一步显示，共识治理下的标准产出速度取决于参与主体的利益分歧程度，分歧越大、拖延越久（Simcoe，2012）。把这两条结论移植到词元市场，可以得到三点判断。其一，统一的效值计量标准具有正的网络外部性：接入该标准的模型方与应用方越多，任一参与者据以比价、结算与审计的价值越高，因而标准的采纳呈现临界规模特征，这与式(2-5)给出的临界交易规模</w:t>
      </w:r>
      <m:oMath>
        <m:sSup>
          <m:e>
            <m:r>
              <m:t>N</m:t>
            </m:r>
          </m:e>
          <m:sup>
            <m:r>
              <m:rPr>
                <m:sty m:val="p"/>
              </m:rPr>
              <m:t>∗</m:t>
            </m:r>
          </m:sup>
        </m:sSup>
      </m:oMath>
      <w:r>
        <w:rPr>
          <w:rFonts w:ascii="宋体" w:hAnsi="宋体" w:eastAsia="宋体"/>
          <w:sz w:val="24"/>
        </w:rPr>
        <w:t>在机制上同源。其二，头部平台既是标准的最大受益者，也可能是最大阻力：统一计量削弱了以口径不透明维持的价格歧视空间与转换成本，因而平台的私人激励与社会最优未必一致——这正是第8章讨论平台锁定、第10章讨论“统一计量”为何往往需要由城市级运营主体而非市场自发供给的理论根据。其三，标准的协调收益与分配冲突并存，意味着计量标准的确立不可能是纯技术过程，必须辅以中立的第三方测评、公开的基准任务集与可申诉的争议裁决机制，否则“统一尺度”会退化为强势一方的私器。</w:t>
      </w:r>
    </w:p>
    <w:p>
      <w:pPr>
        <w:keepNext/>
        <w:spacing w:before="160" w:after="120" w:line="360" w:lineRule="auto"/>
        <w:outlineLvl w:val="2"/>
      </w:pPr>
      <w:r>
        <w:rPr>
          <w:rFonts w:ascii="黑体" w:hAnsi="黑体" w:eastAsia="黑体"/>
          <w:sz w:val="24"/>
        </w:rPr>
        <w:t>2.5.3  质量不可观测、认证制度与价格指数方法</w:t>
      </w:r>
    </w:p>
    <w:p>
      <w:pPr>
        <w:spacing w:line="360" w:lineRule="auto" w:after="0"/>
        <w:ind w:firstLineChars="200" w:firstLine="480"/>
        <w:jc w:val="both"/>
      </w:pPr>
      <w:r>
        <w:rPr>
          <w:rFonts w:ascii="宋体" w:hAnsi="宋体" w:eastAsia="宋体"/>
          <w:sz w:val="24"/>
        </w:rPr>
        <w:t>2.2.2节已指出词元市场存在效值信息不对称。把这一问题放在平台语境下会更加尖锐：平台既是撮合者又常常是供给者，其披露激励并不天然与买方利益一致。质量披露与第三方认证的经济学分析表明，强制披露与自愿认证的效果取决于披露成本、买方解读能力与认证机构的声誉约束（Dranove和Jin，2010）。这一结论对本书的政策含义是明确的：标准词元体系若要发挥作用，仅有折算公式不够，还必须配套可信的第三方测评与凭证制度——第11章讨论的可信溯源与第14章建议的认证与国际互认皆循此逻辑。</w:t>
      </w:r>
    </w:p>
    <w:p>
      <w:pPr>
        <w:spacing w:line="360" w:lineRule="auto" w:after="0"/>
        <w:ind w:firstLineChars="200" w:firstLine="480"/>
        <w:jc w:val="both"/>
      </w:pPr>
      <w:r>
        <w:rPr>
          <w:rFonts w:ascii="宋体" w:hAnsi="宋体" w:eastAsia="宋体"/>
          <w:sz w:val="24"/>
        </w:rPr>
        <w:t>把质量变化从价格变化中剥离出来，是价格指数理论的经典课题。特征价格方法以产品特征回归价格，得到隐含特征价格，从而构造质量调整后的价格指数（Griliches，1961；Pakes，2003）；对高技术产品，实验性成分指数进一步尝试处理产品更替过于频繁导致的匹配困难（Erickson和Pakes，2011）；数字经济对官方统计提出的系统性挑战与统一价格指数的构造亦已有专门讨论（Groshen等，2017；Redding和Weinstein，2020）。本书编制的词元价格指数与标准词元价格指数正是这一传统的延伸，但方法上有一处重要改进：特征价格法的隐含价格由市场价格回归得到，因而质量与价格的因果方向难以分离；而标准词元价格指数的质量调整因子来自工程可测的效值系数，与价格数据相互独立，因此可复现、可审计，且不受市场结构变化的污染。第7章将证明，二者的背离幅度本身就是一个具有政策价值的监测指标。</w:t>
      </w:r>
    </w:p>
    <w:p>
      <w:pPr>
        <w:keepNext/>
        <w:spacing w:before="160" w:after="120" w:line="360" w:lineRule="auto"/>
        <w:outlineLvl w:val="1"/>
      </w:pPr>
      <w:r>
        <w:rPr>
          <w:rFonts w:ascii="黑体" w:hAnsi="黑体" w:eastAsia="黑体"/>
          <w:sz w:val="28"/>
        </w:rPr>
        <w:t>2.6  增长核算理论脉络与数据要素核算的探索</w:t>
      </w:r>
    </w:p>
    <w:p>
      <w:pPr>
        <w:keepNext/>
        <w:spacing w:before="160" w:after="120" w:line="360" w:lineRule="auto"/>
        <w:outlineLvl w:val="2"/>
      </w:pPr>
      <w:r>
        <w:rPr>
          <w:rFonts w:ascii="黑体" w:hAnsi="黑体" w:eastAsia="黑体"/>
          <w:sz w:val="24"/>
        </w:rPr>
        <w:t>2.6.1  从索洛残差到资本服务测度：核算精细化的百年努力</w:t>
      </w:r>
    </w:p>
    <w:p>
      <w:pPr>
        <w:spacing w:line="360" w:lineRule="auto" w:after="0"/>
        <w:ind w:firstLineChars="200" w:firstLine="480"/>
        <w:jc w:val="both"/>
      </w:pPr>
      <w:r>
        <w:rPr>
          <w:rFonts w:ascii="宋体" w:hAnsi="宋体" w:eastAsia="宋体"/>
          <w:sz w:val="24"/>
        </w:rPr>
        <w:t>增长核算的基本框架把产出增长分解为要素投入的贡献与一个无法由投入解释的残差，后者被称为全要素生产率。残差的经济含义历来含混——它既包含技术进步，也包含配置效率改善、规模经济、测度误差乃至遗漏要素，因而被称作“我们无知的度量”。此后半个多世纪的增长核算史，本质上是一部不断把残差中的可解释部分显性化的历史：以资本服务流量代替资本存量、按资产类别与使用者成本加权、以质量调整的劳动投入代替人头数、把研发与软件等无形资产资本化——每一次改进，都是把原本落入残差的贡献归还给某项可观测的投入。乔根森开创的资本服务测度传统正是其中影响最深远的一支。</w:t>
      </w:r>
    </w:p>
    <w:p>
      <w:pPr>
        <w:spacing w:line="360" w:lineRule="auto" w:after="0"/>
        <w:ind w:firstLineChars="200" w:firstLine="480"/>
        <w:jc w:val="both"/>
      </w:pPr>
      <w:r>
        <w:rPr>
          <w:rFonts w:ascii="宋体" w:hAnsi="宋体" w:eastAsia="宋体"/>
          <w:sz w:val="24"/>
        </w:rPr>
        <w:t>这一学说史对本书具有直接的方法论启示。人工智能今天在核算体系中的处境，与信息技术资本在二十世纪八九十年代的处境高度相似：投入真实发生、效果广泛存在，却因缺乏合适的计量变量而只能沉入残差。既有研究对错误计量能否解释生产率放缓的检验（Syverson，2017）、对云计算价格测度困难的分析（Byrne等，2018）与对跨境数字服务核算难题的讨论（Coyle和Nguyen，2019），共同指向同一个结论：核算的改进依赖于新变量的引入，而新变量的引入依赖于计量单位的可加。本书正是沿着这条路径，试图把标准词元流量确立为智能经济核算中的新变量。</w:t>
      </w:r>
    </w:p>
    <w:p>
      <w:pPr>
        <w:keepNext/>
        <w:spacing w:before="160" w:after="120" w:line="360" w:lineRule="auto"/>
        <w:outlineLvl w:val="2"/>
      </w:pPr>
      <w:r>
        <w:rPr>
          <w:rFonts w:ascii="黑体" w:hAnsi="黑体" w:eastAsia="黑体"/>
          <w:sz w:val="24"/>
        </w:rPr>
        <w:t>2.6.2  数据要素核算的探索及其未竟之处</w:t>
      </w:r>
    </w:p>
    <w:p>
      <w:pPr>
        <w:spacing w:line="360" w:lineRule="auto" w:after="0"/>
        <w:ind w:firstLineChars="200" w:firstLine="480"/>
        <w:jc w:val="both"/>
      </w:pPr>
      <w:r>
        <w:rPr>
          <w:rFonts w:ascii="宋体" w:hAnsi="宋体" w:eastAsia="宋体"/>
          <w:sz w:val="24"/>
        </w:rPr>
        <w:t>与人工智能核算最接近的先行探索是数据要素核算。国内研究在数字经济增加值规模测算与结构分析（蔡跃洲和牛新星，2021）、数字化转型对经济社会统计的挑战与创新（许宪春等，2021）、数字经济卫星账户的国际经验与中国编制方案（杨仲山和张美慧，2019）等方面已形成较为完整的方法体系；在微观层面，数据资产的会计确认与价值评估亦取得实质进展（罗玫等，2023），财政部《企业数据资源相关会计处理暂行规定》的出台为数据资源入表提供了制度依据（财政部，2023）。理论层面，数据的非竞争性意味着其社会最优使用强度远高于市场均衡水平（Jones和Tonetti，2020），这为数据要素的公共政策干预提供了福利经济学根据。</w:t>
      </w:r>
    </w:p>
    <w:p>
      <w:pPr>
        <w:spacing w:line="360" w:lineRule="auto" w:after="0"/>
        <w:ind w:firstLineChars="200" w:firstLine="480"/>
        <w:jc w:val="both"/>
      </w:pPr>
      <w:r>
        <w:rPr>
          <w:rFonts w:ascii="宋体" w:hAnsi="宋体" w:eastAsia="宋体"/>
          <w:sz w:val="24"/>
        </w:rPr>
        <w:t>但数据要素核算至今面临三重未解的困难。其一，缺乏统一的物理计量单位：字节数衡量的是存储规模而非信息价值，同样1TB的日志数据与标注数据价值悬殊。其二，缺乏市场价格：绝大多数数据不经市场交易而在企业内部使用，估值只能依赖成本法或收益法，主观性强。其三，权属界定困难，导致贡献难以归属到特定主体。相比之下，词元在这三点上都具有结构性优势：它天然可计数（每次调用即一次计数）、天然有市场价格（按枚计费是行业通行做法）、天然可归属（调用记录绑定主体、时刻、模型与场景）。这三重优势使词元有可能成为智能经济核算中第一个真正可操作的中间变量——前提仍然是解决异质性，即完成折算。数据要素核算所缺的“可比尺度”，恰是本书标准词元体系试图为词元提供的东西。</w:t>
      </w:r>
    </w:p>
    <w:p>
      <w:pPr>
        <w:spacing w:line="360" w:lineRule="auto" w:after="0"/>
        <w:ind w:firstLineChars="200" w:firstLine="480"/>
        <w:jc w:val="both"/>
      </w:pPr>
      <w:r>
        <w:rPr>
          <w:rFonts w:ascii="宋体" w:hAnsi="宋体" w:eastAsia="宋体"/>
          <w:sz w:val="24"/>
        </w:rPr>
        <w:t>就我国而言，支撑智能经济核算的统计基础设施正在快速搭建，但其口径重心仍在“存量与规模”一侧。国家层面已建立数据资源的年度调查制度，对数据生产、存储、流通与应用状况形成常态化统计（「国家数据局，2026」）；产业研究机构则分别从算力经济与人工智能产业两条线索发布年度报告，系统刻画算力规模、产业结构与应用扩散（「中国信息通信研究院，2025」；「中国信息通信研究院，2026」）。这些工作的价值毋庸置疑：没有它们，智能经济连基本的规模轮廓都无从描述。但从核算的要求看，现有统计存在一处共同的结构性空缺——所测度的多为投入端的存量（算力规模、数据体量、企业数量）与结果端的产值（产业规模、市场收入），而对“投入如何转化为结果”的过程量几乎没有可加的口径。算力规模不等于算力被使用，数据体量不等于数据被调用，产业收入亦不能分解为要素贡献。词元流量恰好位于这一空缺的位置上：它是投入被实际使用的直接计数，是结果被实际生产的直接凭据，因而具备成为“过程口径”的天然资格。本书要补的，正是让这一过程量从可计数走向可加总的最后一步。</w:t>
      </w:r>
    </w:p>
    <w:p>
      <w:pPr>
        <w:keepNext/>
        <w:spacing w:before="160" w:after="120" w:line="360" w:lineRule="auto"/>
        <w:outlineLvl w:val="2"/>
      </w:pPr>
      <w:r>
        <w:rPr>
          <w:rFonts w:ascii="黑体" w:hAnsi="黑体" w:eastAsia="黑体"/>
          <w:sz w:val="24"/>
        </w:rPr>
        <w:t>2.6.3  引入标准词元流量的增长核算框架</w:t>
      </w:r>
    </w:p>
    <w:p>
      <w:pPr>
        <w:spacing w:line="360" w:lineRule="auto" w:after="0"/>
        <w:ind w:firstLineChars="200" w:firstLine="480"/>
        <w:jc w:val="both"/>
      </w:pPr>
      <w:r>
        <w:rPr>
          <w:rFonts w:ascii="宋体" w:hAnsi="宋体" w:eastAsia="宋体"/>
          <w:sz w:val="24"/>
        </w:rPr>
        <w:t>按全书符号约定，记产出为</w:t>
      </w:r>
      <m:oMath>
        <m:r>
          <m:t>Y</m:t>
        </m:r>
      </m:oMath>
      <w:r>
        <w:rPr>
          <w:rFonts w:ascii="宋体" w:hAnsi="宋体" w:eastAsia="宋体"/>
          <w:sz w:val="24"/>
        </w:rPr>
        <w:t>、资本为</w:t>
      </w:r>
      <m:oMath>
        <m:r>
          <m:t>K</m:t>
        </m:r>
      </m:oMath>
      <w:r>
        <w:rPr>
          <w:rFonts w:ascii="宋体" w:hAnsi="宋体" w:eastAsia="宋体"/>
          <w:sz w:val="24"/>
        </w:rPr>
        <w:t>、劳动为</w:t>
      </w:r>
      <m:oMath>
        <m:r>
          <m:t>L</m:t>
        </m:r>
      </m:oMath>
      <w:r>
        <w:rPr>
          <w:rFonts w:ascii="宋体" w:hAnsi="宋体" w:eastAsia="宋体"/>
          <w:sz w:val="24"/>
        </w:rPr>
        <w:t>、数据为</w:t>
      </w:r>
      <m:oMath>
        <m:r>
          <m:t>D</m:t>
        </m:r>
      </m:oMath>
      <w:r>
        <w:rPr>
          <w:rFonts w:ascii="宋体" w:hAnsi="宋体" w:eastAsia="宋体"/>
          <w:sz w:val="24"/>
        </w:rPr>
        <w:t>、标准词元流量为</w:t>
      </w:r>
      <m:oMath>
        <m:acc>
          <m:accPr>
            <m:chr m:val="̃"/>
          </m:accPr>
          <m:e>
            <m:r>
              <m:t>T</m:t>
            </m:r>
          </m:e>
        </m:acc>
      </m:oMath>
      <w:r>
        <w:rPr>
          <w:rFonts w:ascii="宋体" w:hAnsi="宋体" w:eastAsia="宋体"/>
          <w:sz w:val="24"/>
        </w:rPr>
        <w:t>，其产出弹性依次为</w:t>
      </w:r>
      <m:oMath>
        <m:sSub>
          <m:e>
            <m:r>
              <m:t>α</m:t>
            </m:r>
          </m:e>
          <m:sub>
            <m:r>
              <m:t>K</m:t>
            </m:r>
          </m:sub>
        </m:sSub>
      </m:oMath>
      <w:r>
        <w:rPr>
          <w:rFonts w:ascii="宋体" w:hAnsi="宋体" w:eastAsia="宋体"/>
          <w:sz w:val="24"/>
        </w:rPr>
        <w:t>、</w:t>
      </w:r>
      <m:oMath>
        <m:sSub>
          <m:e>
            <m:r>
              <m:t>α</m:t>
            </m:r>
          </m:e>
          <m:sub>
            <m:r>
              <m:t>L</m:t>
            </m:r>
          </m:sub>
        </m:sSub>
      </m:oMath>
      <w:r>
        <w:rPr>
          <w:rFonts w:ascii="宋体" w:hAnsi="宋体" w:eastAsia="宋体"/>
          <w:sz w:val="24"/>
        </w:rPr>
        <w:t>、</w:t>
      </w:r>
      <m:oMath>
        <m:sSub>
          <m:e>
            <m:r>
              <m:t>α</m:t>
            </m:r>
          </m:e>
          <m:sub>
            <m:r>
              <m:t>D</m:t>
            </m:r>
          </m:sub>
        </m:sSub>
      </m:oMath>
      <w:r>
        <w:rPr>
          <w:rFonts w:ascii="宋体" w:hAnsi="宋体" w:eastAsia="宋体"/>
          <w:sz w:val="24"/>
        </w:rPr>
        <w:t>、</w:t>
      </w:r>
      <m:oMath>
        <m:sSub>
          <m:e>
            <m:r>
              <m:t>α</m:t>
            </m:r>
          </m:e>
          <m:sub>
            <m:r>
              <m:t>T</m:t>
            </m:r>
          </m:sub>
        </m:sSub>
      </m:oMath>
      <w:r>
        <w:rPr>
          <w:rFonts w:ascii="宋体" w:hAnsi="宋体" w:eastAsia="宋体"/>
          <w:sz w:val="24"/>
        </w:rPr>
        <w:t>，希克斯中性技术水平为</w:t>
      </w:r>
      <m:oMath>
        <m:r>
          <m:t>A</m:t>
        </m:r>
      </m:oMath>
      <w:r>
        <w:rPr>
          <w:rFonts w:ascii="宋体" w:hAnsi="宋体" w:eastAsia="宋体"/>
          <w:sz w:val="24"/>
        </w:rPr>
        <w:t>。对生产函数取对数并对时间求导，得到扩展的增长核算恒等式：</w:t>
      </w:r>
    </w:p>
    <w:p>
      <w:pPr>
        <w:tabs>
          <w:tab w:pos="4252" w:val="center"/>
          <w:tab w:pos="8504" w:val="right"/>
        </w:tabs>
        <w:spacing w:line="360" w:lineRule="auto" w:before="80" w:after="80"/>
      </w:pPr>
      <w:r>
        <w:tab/>
      </w:r>
      <m:oMath>
        <m:sSub>
          <m:e>
            <m:r>
              <m:t>g</m:t>
            </m:r>
          </m:e>
          <m:sub>
            <m:r>
              <m:t>Y</m:t>
            </m:r>
          </m:sub>
        </m:sSub>
        <m:r>
          <m:rPr>
            <m:sty m:val="p"/>
          </m:rPr>
          <m:t>=</m:t>
        </m:r>
        <m:sSub>
          <m:e>
            <m:r>
              <m:t>α</m:t>
            </m:r>
          </m:e>
          <m:sub>
            <m:r>
              <m:t>K</m:t>
            </m:r>
          </m:sub>
        </m:sSub>
        <m:sSub>
          <m:e>
            <m:r>
              <m:t>g</m:t>
            </m:r>
          </m:e>
          <m:sub>
            <m:r>
              <m:t>K</m:t>
            </m:r>
          </m:sub>
        </m:sSub>
        <m:r>
          <m:rPr>
            <m:sty m:val="p"/>
          </m:rPr>
          <m:t>+</m:t>
        </m:r>
        <m:sSub>
          <m:e>
            <m:r>
              <m:t>α</m:t>
            </m:r>
          </m:e>
          <m:sub>
            <m:r>
              <m:t>L</m:t>
            </m:r>
          </m:sub>
        </m:sSub>
        <m:sSub>
          <m:e>
            <m:r>
              <m:t>g</m:t>
            </m:r>
          </m:e>
          <m:sub>
            <m:r>
              <m:t>L</m:t>
            </m:r>
          </m:sub>
        </m:sSub>
        <m:r>
          <m:rPr>
            <m:sty m:val="p"/>
          </m:rPr>
          <m:t>+</m:t>
        </m:r>
        <m:sSub>
          <m:e>
            <m:r>
              <m:t>α</m:t>
            </m:r>
          </m:e>
          <m:sub>
            <m:r>
              <m:t>D</m:t>
            </m:r>
          </m:sub>
        </m:sSub>
        <m:sSub>
          <m:e>
            <m:r>
              <m:t>g</m:t>
            </m:r>
          </m:e>
          <m:sub>
            <m:r>
              <m:t>D</m:t>
            </m:r>
          </m:sub>
        </m:sSub>
        <m:r>
          <m:rPr>
            <m:sty m:val="p"/>
          </m:rPr>
          <m:t>+</m:t>
        </m:r>
        <m:sSub>
          <m:e>
            <m:r>
              <m:t>α</m:t>
            </m:r>
          </m:e>
          <m:sub>
            <m:r>
              <m:t>T</m:t>
            </m:r>
          </m:sub>
        </m:sSub>
        <m:sSub>
          <m:e>
            <m:r>
              <m:t>g</m:t>
            </m:r>
          </m:e>
          <m:sub>
            <m:acc>
              <m:accPr>
                <m:chr m:val="̃"/>
              </m:accPr>
              <m:e>
                <m:r>
                  <m:t>T</m:t>
                </m:r>
              </m:e>
            </m:acc>
          </m:sub>
        </m:sSub>
        <m:r>
          <m:rPr>
            <m:sty m:val="p"/>
          </m:rPr>
          <m:t>+</m:t>
        </m:r>
        <m:sSub>
          <m:e>
            <m:r>
              <m:t>g</m:t>
            </m:r>
          </m:e>
          <m:sub>
            <m:r>
              <m:t>A</m:t>
            </m:r>
          </m:sub>
        </m:sSub>
      </m:oMath>
      <w:r>
        <w:tab/>
      </w:r>
      <w:r>
        <w:rPr>
          <w:rFonts w:ascii="Times New Roman" w:hAnsi="Times New Roman" w:eastAsia="宋体"/>
          <w:sz w:val="24"/>
        </w:rPr>
        <w:t>(2-10)</w:t>
      </w:r>
    </w:p>
    <w:p>
      <w:pPr>
        <w:spacing w:line="360" w:lineRule="auto" w:after="0"/>
        <w:jc w:val="both"/>
      </w:pPr>
      <w:r>
        <w:rPr>
          <w:rFonts w:ascii="宋体" w:hAnsi="宋体" w:eastAsia="宋体"/>
          <w:sz w:val="24"/>
        </w:rPr>
        <w:t>其中，</w:t>
      </w:r>
      <m:oMath>
        <m:sSub>
          <m:e>
            <m:r>
              <m:t>g</m:t>
            </m:r>
          </m:e>
          <m:sub>
            <m:r>
              <m:t>X</m:t>
            </m:r>
          </m:sub>
        </m:sSub>
      </m:oMath>
      <w:r>
        <w:rPr>
          <w:rFonts w:ascii="宋体" w:hAnsi="宋体" w:eastAsia="宋体"/>
          <w:sz w:val="24"/>
        </w:rPr>
        <w:t>表示变量</w:t>
      </w:r>
      <m:oMath>
        <m:r>
          <m:t>X</m:t>
        </m:r>
      </m:oMath>
      <w:r>
        <w:rPr>
          <w:rFonts w:ascii="宋体" w:hAnsi="宋体" w:eastAsia="宋体"/>
          <w:sz w:val="24"/>
        </w:rPr>
        <w:t>的增长率，</w:t>
      </w:r>
      <m:oMath>
        <m:sSub>
          <m:e>
            <m:r>
              <m:t>g</m:t>
            </m:r>
          </m:e>
          <m:sub>
            <m:r>
              <m:t>A</m:t>
            </m:r>
          </m:sub>
        </m:sSub>
      </m:oMath>
      <w:r>
        <w:rPr>
          <w:rFonts w:ascii="宋体" w:hAnsi="宋体" w:eastAsia="宋体"/>
          <w:sz w:val="24"/>
        </w:rPr>
        <w:t>为全要素生产率增长率即索洛残差；</w:t>
      </w:r>
      <m:oMath>
        <m:sSub>
          <m:e>
            <m:r>
              <m:t>α</m:t>
            </m:r>
          </m:e>
          <m:sub>
            <m:r>
              <m:t>T</m:t>
            </m:r>
          </m:sub>
        </m:sSub>
        <m:sSub>
          <m:e>
            <m:r>
              <m:t>g</m:t>
            </m:r>
          </m:e>
          <m:sub>
            <m:acc>
              <m:accPr>
                <m:chr m:val="̃"/>
              </m:accPr>
              <m:e>
                <m:r>
                  <m:t>T</m:t>
                </m:r>
              </m:e>
            </m:acc>
          </m:sub>
        </m:sSub>
      </m:oMath>
      <w:r>
        <w:rPr>
          <w:rFonts w:ascii="宋体" w:hAnsi="宋体" w:eastAsia="宋体"/>
          <w:sz w:val="24"/>
        </w:rPr>
        <w:t>为标准词元流量对产出增长的直接贡献。</w:t>
      </w:r>
    </w:p>
    <w:p>
      <w:pPr>
        <w:spacing w:line="360" w:lineRule="auto" w:after="0"/>
        <w:ind w:firstLineChars="200" w:firstLine="480"/>
        <w:jc w:val="both"/>
      </w:pPr>
      <w:r>
        <w:rPr>
          <w:rFonts w:ascii="宋体" w:hAnsi="宋体" w:eastAsia="宋体"/>
          <w:sz w:val="24"/>
        </w:rPr>
        <w:t>式(2-10)的核心性质在于遗漏偏误的方向。若真实数据生成过程中</w:t>
      </w:r>
      <m:oMath>
        <m:sSub>
          <m:e>
            <m:r>
              <m:t>α</m:t>
            </m:r>
          </m:e>
          <m:sub>
            <m:r>
              <m:t>T</m:t>
            </m:r>
          </m:sub>
        </m:sSub>
        <m:r>
          <m:rPr>
            <m:sty m:val="p"/>
          </m:rPr>
          <m:t>&gt;</m:t>
        </m:r>
        <m:r>
          <m:t>0</m:t>
        </m:r>
      </m:oMath>
      <w:r>
        <w:rPr>
          <w:rFonts w:ascii="宋体" w:hAnsi="宋体" w:eastAsia="宋体"/>
          <w:sz w:val="24"/>
        </w:rPr>
        <w:t>而核算时遗漏</w:t>
      </w:r>
      <m:oMath>
        <m:acc>
          <m:accPr>
            <m:chr m:val="̃"/>
          </m:accPr>
          <m:e>
            <m:r>
              <m:t>T</m:t>
            </m:r>
          </m:e>
        </m:acc>
      </m:oMath>
      <w:r>
        <w:rPr>
          <w:rFonts w:ascii="宋体" w:hAnsi="宋体" w:eastAsia="宋体"/>
          <w:sz w:val="24"/>
        </w:rPr>
        <w:t>，则</w:t>
      </w:r>
      <m:oMath>
        <m:sSub>
          <m:e>
            <m:r>
              <m:t>α</m:t>
            </m:r>
          </m:e>
          <m:sub>
            <m:r>
              <m:t>T</m:t>
            </m:r>
          </m:sub>
        </m:sSub>
        <m:sSub>
          <m:e>
            <m:r>
              <m:t>g</m:t>
            </m:r>
          </m:e>
          <m:sub>
            <m:acc>
              <m:accPr>
                <m:chr m:val="̃"/>
              </m:accPr>
              <m:e>
                <m:r>
                  <m:t>T</m:t>
                </m:r>
              </m:e>
            </m:acc>
          </m:sub>
        </m:sSub>
      </m:oMath>
      <w:r>
        <w:rPr>
          <w:rFonts w:ascii="宋体" w:hAnsi="宋体" w:eastAsia="宋体"/>
          <w:sz w:val="24"/>
        </w:rPr>
        <w:t>将被吸收进残差</w:t>
      </w:r>
      <m:oMath>
        <m:sSub>
          <m:e>
            <m:r>
              <m:t>g</m:t>
            </m:r>
          </m:e>
          <m:sub>
            <m:r>
              <m:t>A</m:t>
            </m:r>
          </m:sub>
        </m:sSub>
      </m:oMath>
      <w:r>
        <w:rPr>
          <w:rFonts w:ascii="宋体" w:hAnsi="宋体" w:eastAsia="宋体"/>
          <w:sz w:val="24"/>
        </w:rPr>
        <w:t>，造成全要素生产率增长的系统性高估；且由于</w:t>
      </w:r>
      <m:oMath>
        <m:sSub>
          <m:e>
            <m:r>
              <m:t>g</m:t>
            </m:r>
          </m:e>
          <m:sub>
            <m:acc>
              <m:accPr>
                <m:chr m:val="̃"/>
              </m:accPr>
              <m:e>
                <m:r>
                  <m:t>T</m:t>
                </m:r>
              </m:e>
            </m:acc>
          </m:sub>
        </m:sSub>
      </m:oMath>
      <w:r>
        <w:rPr>
          <w:rFonts w:ascii="宋体" w:hAnsi="宋体" w:eastAsia="宋体"/>
          <w:sz w:val="24"/>
        </w:rPr>
        <w:t>在样本期内极高，高估幅度会随时间推移而扩大。第12章的估计证实了这一推断：生产函数中标准词元流量的产出弹性为0.108（标准误0.024），在1%水平显著；不引入词元变量时全要素生产率残差为2.41%，引入后降至2.12%，残差高估幅度为0.29个百分点。这一发现与资本服务测度传统的启示同构：每引入一个此前遗漏的可观测投入，残差就缩小一分，我们对增长来源的“无知”就减少一分。</w:t>
      </w:r>
    </w:p>
    <w:p>
      <w:pPr>
        <w:spacing w:line="360" w:lineRule="auto" w:after="0"/>
        <w:ind w:firstLineChars="200" w:firstLine="480"/>
        <w:jc w:val="both"/>
      </w:pPr>
      <w:r>
        <w:rPr>
          <w:rFonts w:ascii="宋体" w:hAnsi="宋体" w:eastAsia="宋体"/>
          <w:sz w:val="24"/>
        </w:rPr>
        <w:t>国内学界对人工智能与经济增长关系的研究已有相当积累：从人工智能、老龄化与经济增长的理论建模（陈彦斌等，2019），到新技术革命下人工智能与高质量增长、高质量就业的系统分析（蔡跃洲和陈楠，2019），再到企业层面人工智能技术创新与全要素生产率的实证检验（任英华等，2023）。近年研究更进一步下沉到算力基础设施层面：基于智算中心的证据显示，算力部署与数据跨域流动可显著提升企业全要素生产率（许诺等，2025）；从需求侧出发的算力资源配置研究则揭示了算力共享与算力市场培育的机制（王勇等，2025）。政策层面，全国一体化算力网建设与“数据要素×”“人工智能+”等行动为这一研究议程提供了制度背景（「国家发展改革委等，2021」；「国家数据局等，2023」；国家发展改革委等，2023；国务院，2025）。这些研究的共同特征是把算力作为投入端变量、把生产率作为产出端结果，中间缺少一个刻画“算力被如何使用、使用得如何”的过程变量——本书第9章提出的算力—词元转化效率与本章式(2-10)中的</w:t>
      </w:r>
      <m:oMath>
        <m:acc>
          <m:accPr>
            <m:chr m:val="̃"/>
          </m:accPr>
          <m:e>
            <m:r>
              <m:t>T</m:t>
            </m:r>
          </m:e>
        </m:acc>
      </m:oMath>
      <w:r>
        <w:rPr>
          <w:rFonts w:ascii="宋体" w:hAnsi="宋体" w:eastAsia="宋体"/>
          <w:sz w:val="24"/>
        </w:rPr>
        <w:t>，正是为填补这一中间环节而设。计算机系统领域对生产环境中大规模异构图形处理器集群的负载分析恰好从另一侧印证了这一空缺的严重性：真实机器学习服务负载的任务规模、运行时长与资源占用高度长尾，集群的实际资源利用远低于名义容量，而低利用的成因主要在调度与匹配环节而非硬件本身（Weng等，2022）。这类工程证据说明，投入端的算力统计与产出端的生产率统计之间确实存在一个可观测、可改进却长期未被经济学纳入的中间环节；把它经由标准词元纳入核算，既是计量的补课，也是配置研究的入口。</w:t>
      </w:r>
    </w:p>
    <w:p>
      <w:pPr>
        <w:keepNext/>
        <w:spacing w:before="160" w:after="120" w:line="360" w:lineRule="auto"/>
        <w:outlineLvl w:val="1"/>
      </w:pPr>
      <w:r>
        <w:rPr>
          <w:rFonts w:ascii="黑体" w:hAnsi="黑体" w:eastAsia="黑体"/>
          <w:sz w:val="28"/>
        </w:rPr>
        <w:t>2.7  文献述评、研究缺口与本书的理论定位</w:t>
      </w:r>
    </w:p>
    <w:p>
      <w:pPr>
        <w:keepNext/>
        <w:spacing w:before="160" w:after="120" w:line="360" w:lineRule="auto"/>
        <w:outlineLvl w:val="2"/>
      </w:pPr>
      <w:r>
        <w:rPr>
          <w:rFonts w:ascii="黑体" w:hAnsi="黑体" w:eastAsia="黑体"/>
          <w:sz w:val="24"/>
        </w:rPr>
        <w:t>2.7.1  研究进展的文献计量刻画</w:t>
      </w:r>
    </w:p>
    <w:p>
      <w:pPr>
        <w:spacing w:line="360" w:lineRule="auto" w:after="0"/>
        <w:ind w:firstLineChars="200" w:firstLine="480"/>
        <w:jc w:val="both"/>
      </w:pPr>
      <w:r>
        <w:rPr>
          <w:rFonts w:ascii="宋体" w:hAnsi="宋体" w:eastAsia="宋体"/>
          <w:sz w:val="24"/>
        </w:rPr>
        <w:t>在归纳研究缺口之前，有必要先对相关研究的总体进展作一个量的刻画。以“人工智能经济学”“词元经济”“算力经济”等主题词在Web of Science核心合集与中国知网检索，2015—2026年的年度发文量如图2.1所示。</w:t>
      </w:r>
    </w:p>
    <w:p>
      <w:pPr>
        <w:spacing w:before="120" w:after="40"/>
        <w:jc w:val="center"/>
      </w:pPr>
      <w:r>
        <w:drawing>
          <wp:inline xmlns:a="http://schemas.openxmlformats.org/drawingml/2006/main" xmlns:pic="http://schemas.openxmlformats.org/drawingml/2006/picture">
            <wp:extent cx="4860000" cy="2839930"/>
            <wp:docPr id="3" name="Picture 3"/>
            <wp:cNvGraphicFramePr>
              <a:graphicFrameLocks noChangeAspect="1"/>
            </wp:cNvGraphicFramePr>
            <a:graphic>
              <a:graphicData uri="http://schemas.openxmlformats.org/drawingml/2006/picture">
                <pic:pic>
                  <pic:nvPicPr>
                    <pic:cNvPr id="0" name="fig2_1.png"/>
                    <pic:cNvPicPr/>
                  </pic:nvPicPr>
                  <pic:blipFill>
                    <a:blip r:embed="rId11"/>
                    <a:stretch>
                      <a:fillRect/>
                    </a:stretch>
                  </pic:blipFill>
                  <pic:spPr>
                    <a:xfrm>
                      <a:off x="0" y="0"/>
                      <a:ext cx="4860000" cy="2839930"/>
                    </a:xfrm>
                    <a:prstGeom prst="rect"/>
                  </pic:spPr>
                </pic:pic>
              </a:graphicData>
            </a:graphic>
          </wp:inline>
        </w:drawing>
      </w:r>
    </w:p>
    <w:p>
      <w:pPr>
        <w:keepNext w:val="0"/>
        <w:spacing w:after="40"/>
        <w:jc w:val="center"/>
      </w:pPr>
      <w:r>
        <w:rPr>
          <w:rFonts w:ascii="黑体" w:hAnsi="黑体" w:eastAsia="黑体"/>
          <w:sz w:val="21"/>
        </w:rPr>
        <w:t>图2.1  词元经济相关研究年度发文趋势（2015—2026）</w:t>
      </w:r>
    </w:p>
    <w:p>
      <w:pPr>
        <w:spacing w:after="200" w:line="240" w:lineRule="auto"/>
        <w:jc w:val="both"/>
      </w:pPr>
      <w:r>
        <w:rPr>
          <w:rFonts w:ascii="宋体" w:hAnsi="宋体" w:eastAsia="宋体"/>
          <w:sz w:val="18"/>
        </w:rPr>
        <w:t>注：WOS检索范围为核心合集，主题词为人工智能经济学、通用目的技术、算力与词元经济相关英文表达的组合；CNKI检索范围为期刊库，主题词为数字经济、算力、人工智能与词元的组合；两库收录范围与主题标引规则不同，宜作趋势比较、不宜作绝对量比较；2026年为截至当年8月检索结果的年化推算。资料来源：作者依两库公开检索结果校准复算。</w:t>
      </w:r>
    </w:p>
    <w:p>
      <w:pPr>
        <w:spacing w:line="360" w:lineRule="auto" w:after="0"/>
        <w:ind w:firstLineChars="200" w:firstLine="480"/>
        <w:jc w:val="both"/>
      </w:pPr>
      <w:r>
        <w:rPr>
          <w:rFonts w:ascii="宋体" w:hAnsi="宋体" w:eastAsia="宋体"/>
          <w:sz w:val="24"/>
        </w:rPr>
        <w:t>图2.1呈现出清晰的两阶段特征。2015—2022年为缓慢积累期，中文文献由420篇增至3800篇，英文文献由180篇增至1600篇，年均增速温和；2022年末大模型浪潮之后进入陡增期，至2026年中文文献达8900篇、英文文献达5600篇，四年间分别增至2.3倍与3.5倍。值得注意的是中英文文献的结构差异：中文文献的绝对数量始终高于英文文献，且在2020年前后即出现第一次加速，这与我国数字经济与算力政策的密集出台在时间上吻合；英文文献的加速则更集中于2023年之后，且主题更偏向劳动力市场影响与生产率效应。这一结构差异提示，中文学界对“基础设施—要素—政策”这条线索的关注更早也更强，恰是本书选题的学术土壤。</w:t>
      </w:r>
    </w:p>
    <w:p>
      <w:pPr>
        <w:spacing w:line="360" w:lineRule="auto" w:after="0"/>
        <w:ind w:firstLineChars="200" w:firstLine="480"/>
        <w:jc w:val="both"/>
      </w:pPr>
      <w:r>
        <w:rPr>
          <w:rFonts w:ascii="宋体" w:hAnsi="宋体" w:eastAsia="宋体"/>
          <w:sz w:val="24"/>
        </w:rPr>
        <w:t>但发文量的爆发掩盖了一个结构性事实：增量文献高度集中于技术方法与应用效果两端，而对“计量单位”本身的经济学研究极为稀少。以词元的计量、折算、定价基准与核算口径为主题的经济学文献仍屈指可数，检索所得条目绝大多数为技术性能评测或产业分析报告，缺乏规范的经济学建模。文献的这一分布形态，与2.3.3节所述的四套既有评价体系的定位是一致的：产业界与学术界都已意识到“需要一把尺子”，但尚未有人系统回答“这把尺子在经济学上应当满足什么公理、如何标定、标定之后能做什么”。</w:t>
      </w:r>
    </w:p>
    <w:p>
      <w:pPr>
        <w:keepNext/>
        <w:spacing w:before="160" w:after="120" w:line="360" w:lineRule="auto"/>
        <w:outlineLvl w:val="2"/>
      </w:pPr>
      <w:r>
        <w:rPr>
          <w:rFonts w:ascii="黑体" w:hAnsi="黑体" w:eastAsia="黑体"/>
          <w:sz w:val="24"/>
        </w:rPr>
        <w:t>2.7.2  六条理论脉络的贡献与对本书的支撑</w:t>
      </w:r>
    </w:p>
    <w:p>
      <w:pPr>
        <w:spacing w:line="360" w:lineRule="auto" w:after="0"/>
        <w:ind w:firstLineChars="200" w:firstLine="480"/>
        <w:jc w:val="both"/>
      </w:pPr>
      <w:r>
        <w:rPr>
          <w:rFonts w:ascii="宋体" w:hAnsi="宋体" w:eastAsia="宋体"/>
          <w:sz w:val="24"/>
        </w:rPr>
        <w:t>把2.1至2.6节梳理的理论资源按“贡献—局限—本书推进”三栏归纳，可得表2.1。该表既是本章的浓缩，也是全书理论谱系的索引。</w:t>
      </w:r>
    </w:p>
    <w:p>
      <w:pPr>
        <w:keepNext/>
        <w:spacing w:before="160" w:after="40"/>
        <w:jc w:val="center"/>
      </w:pPr>
      <w:r>
        <w:rPr>
          <w:rFonts w:ascii="黑体" w:hAnsi="黑体" w:eastAsia="黑体"/>
          <w:sz w:val="21"/>
        </w:rPr>
        <w:t>表2.1  六条理论脉络及其对本书的支撑与本书的推进</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理论脉络</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代表性文献</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核心命题</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对本书的支撑</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本书的推进</w:t>
            </w:r>
          </w:p>
        </w:tc>
      </w:tr>
      <w:tr>
        <w:tc>
          <w:tcPr>
            <w:tcW w:type="dxa" w:w="1701"/>
            <w:vAlign w:val="center"/>
          </w:tcPr>
          <w:p>
            <w:pPr>
              <w:spacing w:line="240" w:lineRule="auto" w:after="20" w:before="20"/>
              <w:jc w:val="left"/>
            </w:pPr>
            <w:r/>
            <w:r>
              <w:rPr>
                <w:rFonts w:ascii="宋体" w:hAnsi="宋体" w:eastAsia="宋体"/>
                <w:sz w:val="21"/>
              </w:rPr>
              <w:t>价值理论在认知生产中的拓展</w:t>
            </w:r>
          </w:p>
        </w:tc>
        <w:tc>
          <w:tcPr>
            <w:tcW w:type="dxa" w:w="1701"/>
            <w:vAlign w:val="center"/>
          </w:tcPr>
          <w:p>
            <w:pPr>
              <w:spacing w:line="240" w:lineRule="auto" w:after="20" w:before="20"/>
              <w:jc w:val="left"/>
            </w:pPr>
            <w:r/>
            <w:r>
              <w:rPr>
                <w:rFonts w:ascii="宋体" w:hAnsi="宋体" w:eastAsia="宋体"/>
                <w:sz w:val="21"/>
              </w:rPr>
              <w:t>（Jones和Tonetti，2020；Pei，2022；Bergemann等，2022；罗玫等，2023）</w:t>
            </w:r>
          </w:p>
        </w:tc>
        <w:tc>
          <w:tcPr>
            <w:tcW w:type="dxa" w:w="1701"/>
            <w:vAlign w:val="center"/>
          </w:tcPr>
          <w:p>
            <w:pPr>
              <w:spacing w:line="240" w:lineRule="auto" w:after="20" w:before="20"/>
              <w:jc w:val="left"/>
            </w:pPr>
            <w:r/>
            <w:r>
              <w:rPr>
                <w:rFonts w:ascii="宋体" w:hAnsi="宋体" w:eastAsia="宋体"/>
                <w:sz w:val="21"/>
              </w:rPr>
              <w:t>信息产品的非竞争性与零边际复制成本改变了价值决定机制</w:t>
            </w:r>
          </w:p>
        </w:tc>
        <w:tc>
          <w:tcPr>
            <w:tcW w:type="dxa" w:w="1701"/>
            <w:vAlign w:val="center"/>
          </w:tcPr>
          <w:p>
            <w:pPr>
              <w:spacing w:line="240" w:lineRule="auto" w:after="20" w:before="20"/>
              <w:jc w:val="left"/>
            </w:pPr>
            <w:r/>
            <w:r>
              <w:rPr>
                <w:rFonts w:ascii="宋体" w:hAnsi="宋体" w:eastAsia="宋体"/>
                <w:sz w:val="21"/>
              </w:rPr>
              <w:t>给出词元价值的成本底与替代天花板，形成式(2-1)—式(2-3)</w:t>
            </w:r>
          </w:p>
        </w:tc>
        <w:tc>
          <w:tcPr>
            <w:tcW w:type="dxa" w:w="1701"/>
            <w:vAlign w:val="center"/>
          </w:tcPr>
          <w:p>
            <w:pPr>
              <w:spacing w:line="240" w:lineRule="auto" w:after="20" w:before="20"/>
              <w:jc w:val="left"/>
            </w:pPr>
            <w:r/>
            <w:r>
              <w:rPr>
                <w:rFonts w:ascii="宋体" w:hAnsi="宋体" w:eastAsia="宋体"/>
                <w:sz w:val="21"/>
              </w:rPr>
              <w:t>揭示词元兼具信息产品非竞争性与物质产品竞争性的双重属性</w:t>
            </w:r>
          </w:p>
        </w:tc>
      </w:tr>
      <w:tr>
        <w:tc>
          <w:tcPr>
            <w:tcW w:type="dxa" w:w="1701"/>
            <w:vAlign w:val="center"/>
          </w:tcPr>
          <w:p>
            <w:pPr>
              <w:spacing w:line="240" w:lineRule="auto" w:after="20" w:before="20"/>
              <w:jc w:val="left"/>
            </w:pPr>
            <w:r/>
            <w:r>
              <w:rPr>
                <w:rFonts w:ascii="宋体" w:hAnsi="宋体" w:eastAsia="宋体"/>
                <w:sz w:val="21"/>
              </w:rPr>
              <w:t>计量单位演进与标准化经济学</w:t>
            </w:r>
          </w:p>
        </w:tc>
        <w:tc>
          <w:tcPr>
            <w:tcW w:type="dxa" w:w="1701"/>
            <w:vAlign w:val="center"/>
          </w:tcPr>
          <w:p>
            <w:pPr>
              <w:spacing w:line="240" w:lineRule="auto" w:after="20" w:before="20"/>
              <w:jc w:val="left"/>
            </w:pPr>
            <w:r/>
            <w:r>
              <w:rPr>
                <w:rFonts w:ascii="宋体" w:hAnsi="宋体" w:eastAsia="宋体"/>
                <w:sz w:val="21"/>
              </w:rPr>
              <w:t>（Akerlof，1970；Farrell和Saloner，1985；Dranove和Jin，2010；何凡等，2025）</w:t>
            </w:r>
          </w:p>
        </w:tc>
        <w:tc>
          <w:tcPr>
            <w:tcW w:type="dxa" w:w="1701"/>
            <w:vAlign w:val="center"/>
          </w:tcPr>
          <w:p>
            <w:pPr>
              <w:spacing w:line="240" w:lineRule="auto" w:after="20" w:before="20"/>
              <w:jc w:val="left"/>
            </w:pPr>
            <w:r/>
            <w:r>
              <w:rPr>
                <w:rFonts w:ascii="宋体" w:hAnsi="宋体" w:eastAsia="宋体"/>
                <w:sz w:val="21"/>
              </w:rPr>
              <w:t>标准既是协调装置又是分配装置，标准化降低交易费用</w:t>
            </w:r>
          </w:p>
        </w:tc>
        <w:tc>
          <w:tcPr>
            <w:tcW w:type="dxa" w:w="1701"/>
            <w:vAlign w:val="center"/>
          </w:tcPr>
          <w:p>
            <w:pPr>
              <w:spacing w:line="240" w:lineRule="auto" w:after="20" w:before="20"/>
              <w:jc w:val="left"/>
            </w:pPr>
            <w:r/>
            <w:r>
              <w:rPr>
                <w:rFonts w:ascii="宋体" w:hAnsi="宋体" w:eastAsia="宋体"/>
                <w:sz w:val="21"/>
              </w:rPr>
              <w:t>给出计量单位成立的四条件与计量折价机制，形成式(2-4)、式(2-5)</w:t>
            </w:r>
          </w:p>
        </w:tc>
        <w:tc>
          <w:tcPr>
            <w:tcW w:type="dxa" w:w="1701"/>
            <w:vAlign w:val="center"/>
          </w:tcPr>
          <w:p>
            <w:pPr>
              <w:spacing w:line="240" w:lineRule="auto" w:after="20" w:before="20"/>
              <w:jc w:val="left"/>
            </w:pPr>
            <w:r/>
            <w:r>
              <w:rPr>
                <w:rFonts w:ascii="宋体" w:hAnsi="宋体" w:eastAsia="宋体"/>
                <w:sz w:val="21"/>
              </w:rPr>
              <w:t>推导标准化的临界交易规模，解释词元计量标准的时点内生性</w:t>
            </w:r>
          </w:p>
        </w:tc>
      </w:tr>
      <w:tr>
        <w:tc>
          <w:tcPr>
            <w:tcW w:type="dxa" w:w="1701"/>
            <w:vAlign w:val="center"/>
          </w:tcPr>
          <w:p>
            <w:pPr>
              <w:spacing w:line="240" w:lineRule="auto" w:after="20" w:before="20"/>
              <w:jc w:val="left"/>
            </w:pPr>
            <w:r/>
            <w:r>
              <w:rPr>
                <w:rFonts w:ascii="宋体" w:hAnsi="宋体" w:eastAsia="宋体"/>
                <w:sz w:val="21"/>
              </w:rPr>
              <w:t>当量折算传统</w:t>
            </w:r>
          </w:p>
        </w:tc>
        <w:tc>
          <w:tcPr>
            <w:tcW w:type="dxa" w:w="1701"/>
            <w:vAlign w:val="center"/>
          </w:tcPr>
          <w:p>
            <w:pPr>
              <w:spacing w:line="240" w:lineRule="auto" w:after="20" w:before="20"/>
              <w:jc w:val="left"/>
            </w:pPr>
            <w:r/>
            <w:r>
              <w:rPr>
                <w:rFonts w:ascii="宋体" w:hAnsi="宋体" w:eastAsia="宋体"/>
                <w:sz w:val="21"/>
              </w:rPr>
              <w:t>（「WRI和WBCSD，2011」；「ISO，2018」；国家市场监督管理总局和国家标准化管理委员会，2020；国家市场监督管理总局和国家标准化管理委员会，2024）</w:t>
            </w:r>
          </w:p>
        </w:tc>
        <w:tc>
          <w:tcPr>
            <w:tcW w:type="dxa" w:w="1701"/>
            <w:vAlign w:val="center"/>
          </w:tcPr>
          <w:p>
            <w:pPr>
              <w:spacing w:line="240" w:lineRule="auto" w:after="20" w:before="20"/>
              <w:jc w:val="left"/>
            </w:pPr>
            <w:r/>
            <w:r>
              <w:rPr>
                <w:rFonts w:ascii="宋体" w:hAnsi="宋体" w:eastAsia="宋体"/>
                <w:sz w:val="21"/>
              </w:rPr>
              <w:t>异质对象经基准与刻度折算后可加总，催生新的宏观变量与市场</w:t>
            </w:r>
          </w:p>
        </w:tc>
        <w:tc>
          <w:tcPr>
            <w:tcW w:type="dxa" w:w="1701"/>
            <w:vAlign w:val="center"/>
          </w:tcPr>
          <w:p>
            <w:pPr>
              <w:spacing w:line="240" w:lineRule="auto" w:after="20" w:before="20"/>
              <w:jc w:val="left"/>
            </w:pPr>
            <w:r/>
            <w:r>
              <w:rPr>
                <w:rFonts w:ascii="宋体" w:hAnsi="宋体" w:eastAsia="宋体"/>
                <w:sz w:val="21"/>
              </w:rPr>
              <w:t>给出折算的一般形式与基准归一、基准无关、可加传递三性质</w:t>
            </w:r>
          </w:p>
        </w:tc>
        <w:tc>
          <w:tcPr>
            <w:tcW w:type="dxa" w:w="1701"/>
            <w:vAlign w:val="center"/>
          </w:tcPr>
          <w:p>
            <w:pPr>
              <w:spacing w:line="240" w:lineRule="auto" w:after="20" w:before="20"/>
              <w:jc w:val="left"/>
            </w:pPr>
            <w:r/>
            <w:r>
              <w:rPr>
                <w:rFonts w:ascii="宋体" w:hAnsi="宋体" w:eastAsia="宋体"/>
                <w:sz w:val="21"/>
              </w:rPr>
              <w:t>把单维物理刻度推广至三维经济刻度，得幂积型折算函数</w:t>
            </w:r>
          </w:p>
        </w:tc>
      </w:tr>
      <w:tr>
        <w:tc>
          <w:tcPr>
            <w:tcW w:type="dxa" w:w="1701"/>
            <w:vAlign w:val="center"/>
          </w:tcPr>
          <w:p>
            <w:pPr>
              <w:spacing w:line="240" w:lineRule="auto" w:after="20" w:before="20"/>
              <w:jc w:val="left"/>
            </w:pPr>
            <w:r/>
            <w:r>
              <w:rPr>
                <w:rFonts w:ascii="宋体" w:hAnsi="宋体" w:eastAsia="宋体"/>
                <w:sz w:val="21"/>
              </w:rPr>
              <w:t>通用目的技术与生产率悖论</w:t>
            </w:r>
          </w:p>
        </w:tc>
        <w:tc>
          <w:tcPr>
            <w:tcW w:type="dxa" w:w="1701"/>
            <w:vAlign w:val="center"/>
          </w:tcPr>
          <w:p>
            <w:pPr>
              <w:spacing w:line="240" w:lineRule="auto" w:after="20" w:before="20"/>
              <w:jc w:val="left"/>
            </w:pPr>
            <w:r/>
            <w:r>
              <w:rPr>
                <w:rFonts w:ascii="宋体" w:hAnsi="宋体" w:eastAsia="宋体"/>
                <w:sz w:val="21"/>
              </w:rPr>
              <w:t>（Bresnahan和Trajtenberg，1995；Syverson，2017；Brynjolfsson等，2021；Acemoglu，2025）</w:t>
            </w:r>
          </w:p>
        </w:tc>
        <w:tc>
          <w:tcPr>
            <w:tcW w:type="dxa" w:w="1701"/>
            <w:vAlign w:val="center"/>
          </w:tcPr>
          <w:p>
            <w:pPr>
              <w:spacing w:line="240" w:lineRule="auto" w:after="20" w:before="20"/>
              <w:jc w:val="left"/>
            </w:pPr>
            <w:r/>
            <w:r>
              <w:rPr>
                <w:rFonts w:ascii="宋体" w:hAnsi="宋体" w:eastAsia="宋体"/>
                <w:sz w:val="21"/>
              </w:rPr>
              <w:t>通用目的技术的效应经互补性投资滞后释放，测得生产率呈J形</w:t>
            </w:r>
          </w:p>
        </w:tc>
        <w:tc>
          <w:tcPr>
            <w:tcW w:type="dxa" w:w="1701"/>
            <w:vAlign w:val="center"/>
          </w:tcPr>
          <w:p>
            <w:pPr>
              <w:spacing w:line="240" w:lineRule="auto" w:after="20" w:before="20"/>
              <w:jc w:val="left"/>
            </w:pPr>
            <w:r/>
            <w:r>
              <w:rPr>
                <w:rFonts w:ascii="宋体" w:hAnsi="宋体" w:eastAsia="宋体"/>
                <w:sz w:val="21"/>
              </w:rPr>
              <w:t>论证需要可观测中间变量以替代事后残差推断</w:t>
            </w:r>
          </w:p>
        </w:tc>
        <w:tc>
          <w:tcPr>
            <w:tcW w:type="dxa" w:w="1701"/>
            <w:vAlign w:val="center"/>
          </w:tcPr>
          <w:p>
            <w:pPr>
              <w:spacing w:line="240" w:lineRule="auto" w:after="20" w:before="20"/>
              <w:jc w:val="left"/>
            </w:pPr>
            <w:r/>
            <w:r>
              <w:rPr>
                <w:rFonts w:ascii="宋体" w:hAnsi="宋体" w:eastAsia="宋体"/>
                <w:sz w:val="21"/>
              </w:rPr>
              <w:t>以标准词元流量作为扩散强度的高频可观测代理变量</w:t>
            </w:r>
          </w:p>
        </w:tc>
      </w:tr>
      <w:tr>
        <w:tc>
          <w:tcPr>
            <w:tcW w:type="dxa" w:w="1701"/>
            <w:vAlign w:val="center"/>
          </w:tcPr>
          <w:p>
            <w:pPr>
              <w:spacing w:line="240" w:lineRule="auto" w:after="20" w:before="20"/>
              <w:jc w:val="left"/>
            </w:pPr>
            <w:r/>
            <w:r>
              <w:rPr>
                <w:rFonts w:ascii="宋体" w:hAnsi="宋体" w:eastAsia="宋体"/>
                <w:sz w:val="21"/>
              </w:rPr>
              <w:t>数字产品定价与双边平台</w:t>
            </w:r>
          </w:p>
        </w:tc>
        <w:tc>
          <w:tcPr>
            <w:tcW w:type="dxa" w:w="1701"/>
            <w:vAlign w:val="center"/>
          </w:tcPr>
          <w:p>
            <w:pPr>
              <w:spacing w:line="240" w:lineRule="auto" w:after="20" w:before="20"/>
              <w:jc w:val="left"/>
            </w:pPr>
            <w:r/>
            <w:r>
              <w:rPr>
                <w:rFonts w:ascii="宋体" w:hAnsi="宋体" w:eastAsia="宋体"/>
                <w:sz w:val="21"/>
              </w:rPr>
              <w:t>（Mussa和Rosen，1978；Armstrong，2006；Jullien等，2021；Bergemann和Bonatti，2024）</w:t>
            </w:r>
          </w:p>
        </w:tc>
        <w:tc>
          <w:tcPr>
            <w:tcW w:type="dxa" w:w="1701"/>
            <w:vAlign w:val="center"/>
          </w:tcPr>
          <w:p>
            <w:pPr>
              <w:spacing w:line="240" w:lineRule="auto" w:after="20" w:before="20"/>
              <w:jc w:val="left"/>
            </w:pPr>
            <w:r/>
            <w:r>
              <w:rPr>
                <w:rFonts w:ascii="宋体" w:hAnsi="宋体" w:eastAsia="宋体"/>
                <w:sz w:val="21"/>
              </w:rPr>
              <w:t>价格水平与价格结构相分离，交叉外部性内部化决定两侧价格</w:t>
            </w:r>
          </w:p>
        </w:tc>
        <w:tc>
          <w:tcPr>
            <w:tcW w:type="dxa" w:w="1701"/>
            <w:vAlign w:val="center"/>
          </w:tcPr>
          <w:p>
            <w:pPr>
              <w:spacing w:line="240" w:lineRule="auto" w:after="20" w:before="20"/>
              <w:jc w:val="left"/>
            </w:pPr>
            <w:r/>
            <w:r>
              <w:rPr>
                <w:rFonts w:ascii="宋体" w:hAnsi="宋体" w:eastAsia="宋体"/>
                <w:sz w:val="21"/>
              </w:rPr>
              <w:t>解释三级服务定价与跨侧补贴，形成式(2-9)</w:t>
            </w:r>
          </w:p>
        </w:tc>
        <w:tc>
          <w:tcPr>
            <w:tcW w:type="dxa" w:w="1701"/>
            <w:vAlign w:val="center"/>
          </w:tcPr>
          <w:p>
            <w:pPr>
              <w:spacing w:line="240" w:lineRule="auto" w:after="20" w:before="20"/>
              <w:jc w:val="left"/>
            </w:pPr>
            <w:r/>
            <w:r>
              <w:rPr>
                <w:rFonts w:ascii="宋体" w:hAnsi="宋体" w:eastAsia="宋体"/>
                <w:sz w:val="21"/>
              </w:rPr>
              <w:t>把效值作为质量分级的客观基准，使质量菜单可测可验</w:t>
            </w:r>
          </w:p>
        </w:tc>
      </w:tr>
      <w:tr>
        <w:tc>
          <w:tcPr>
            <w:tcW w:type="dxa" w:w="1701"/>
            <w:vAlign w:val="center"/>
          </w:tcPr>
          <w:p>
            <w:pPr>
              <w:spacing w:line="240" w:lineRule="auto" w:after="20" w:before="20"/>
              <w:jc w:val="left"/>
            </w:pPr>
            <w:r/>
            <w:r>
              <w:rPr>
                <w:rFonts w:ascii="宋体" w:hAnsi="宋体" w:eastAsia="宋体"/>
                <w:sz w:val="21"/>
              </w:rPr>
              <w:t>增长核算与数据要素核算</w:t>
            </w:r>
          </w:p>
        </w:tc>
        <w:tc>
          <w:tcPr>
            <w:tcW w:type="dxa" w:w="1701"/>
            <w:vAlign w:val="center"/>
          </w:tcPr>
          <w:p>
            <w:pPr>
              <w:spacing w:line="240" w:lineRule="auto" w:after="20" w:before="20"/>
              <w:jc w:val="left"/>
            </w:pPr>
            <w:r/>
            <w:r>
              <w:rPr>
                <w:rFonts w:ascii="宋体" w:hAnsi="宋体" w:eastAsia="宋体"/>
                <w:sz w:val="21"/>
              </w:rPr>
              <w:t>（Coyle和Nguyen，2019；蔡跃洲和牛新星，2021；许宪春等，2021；许诺等，2025）</w:t>
            </w:r>
          </w:p>
        </w:tc>
        <w:tc>
          <w:tcPr>
            <w:tcW w:type="dxa" w:w="1701"/>
            <w:vAlign w:val="center"/>
          </w:tcPr>
          <w:p>
            <w:pPr>
              <w:spacing w:line="240" w:lineRule="auto" w:after="20" w:before="20"/>
              <w:jc w:val="left"/>
            </w:pPr>
            <w:r/>
            <w:r>
              <w:rPr>
                <w:rFonts w:ascii="宋体" w:hAnsi="宋体" w:eastAsia="宋体"/>
                <w:sz w:val="21"/>
              </w:rPr>
              <w:t>核算精细化的实质是把残差中可解释部分归还给可观测投入</w:t>
            </w:r>
          </w:p>
        </w:tc>
        <w:tc>
          <w:tcPr>
            <w:tcW w:type="dxa" w:w="1701"/>
            <w:vAlign w:val="center"/>
          </w:tcPr>
          <w:p>
            <w:pPr>
              <w:spacing w:line="240" w:lineRule="auto" w:after="20" w:before="20"/>
              <w:jc w:val="left"/>
            </w:pPr>
            <w:r/>
            <w:r>
              <w:rPr>
                <w:rFonts w:ascii="宋体" w:hAnsi="宋体" w:eastAsia="宋体"/>
                <w:sz w:val="21"/>
              </w:rPr>
              <w:t>给出扩展核算恒等式与遗漏偏误方向，形成式(2-10)</w:t>
            </w:r>
          </w:p>
        </w:tc>
        <w:tc>
          <w:tcPr>
            <w:tcW w:type="dxa" w:w="1701"/>
            <w:vAlign w:val="center"/>
          </w:tcPr>
          <w:p>
            <w:pPr>
              <w:spacing w:line="240" w:lineRule="auto" w:after="20" w:before="20"/>
              <w:jc w:val="left"/>
            </w:pPr>
            <w:r/>
            <w:r>
              <w:rPr>
                <w:rFonts w:ascii="宋体" w:hAnsi="宋体" w:eastAsia="宋体"/>
                <w:sz w:val="21"/>
              </w:rPr>
              <w:t>以标准词元流量显性分离人工智能的增长贡献</w:t>
            </w:r>
          </w:p>
        </w:tc>
      </w:tr>
    </w:tbl>
    <w:p>
      <w:pPr>
        <w:spacing w:after="160"/>
      </w:pPr>
    </w:p>
    <w:p>
      <w:pPr>
        <w:spacing w:line="360" w:lineRule="auto" w:after="0"/>
        <w:ind w:firstLineChars="200" w:firstLine="480"/>
        <w:jc w:val="both"/>
      </w:pPr>
      <w:r>
        <w:rPr>
          <w:rFonts w:ascii="宋体" w:hAnsi="宋体" w:eastAsia="宋体"/>
          <w:sz w:val="24"/>
        </w:rPr>
        <w:t>表2.1显示出一个值得玩味的格局：六条脉络分别在价值、计量、折算、增长、定价与核算六个方向上为本书提供了工具，但没有任何一条能够单独支撑本书的核心命题。价值理论解释了词元为何有价值，却不解决可加问题；标准化经济学解释了标准为何重要，却不提供多维合成的函数形式；当量折算传统提供了函数形式的原型，却因其刻度均为单维物理量而无法直接移植；通用目的技术理论提出了对可观测变量的需求，却不负责构造这个变量；平台定价理论刻画了价格结构，却把质量当作外生参数；增长核算给出了变量进入的位置，却把变量本身的可加性视为前提。本书的工作，正是在这六条脉络的交汇处补上那块缺失的拼图——一个公理化的、可标定的、可加总的词元当量体系。</w:t>
      </w:r>
    </w:p>
    <w:p>
      <w:pPr>
        <w:keepNext/>
        <w:spacing w:before="160" w:after="120" w:line="360" w:lineRule="auto"/>
        <w:outlineLvl w:val="2"/>
      </w:pPr>
      <w:r>
        <w:rPr>
          <w:rFonts w:ascii="黑体" w:hAnsi="黑体" w:eastAsia="黑体"/>
          <w:sz w:val="24"/>
        </w:rPr>
        <w:t>2.7.3  文献分流与四项研究缺口</w:t>
      </w:r>
    </w:p>
    <w:p>
      <w:pPr>
        <w:spacing w:line="360" w:lineRule="auto" w:after="0"/>
        <w:ind w:firstLineChars="200" w:firstLine="480"/>
        <w:jc w:val="both"/>
      </w:pPr>
      <w:r>
        <w:rPr>
          <w:rFonts w:ascii="宋体" w:hAnsi="宋体" w:eastAsia="宋体"/>
          <w:sz w:val="24"/>
        </w:rPr>
        <w:t>把与词元计量直接相关的既有工作按“输出形态”与“能否支撑加总计价”两个标准分流，可得表2.2。分流的目的不是评判优劣，而是厘清各自的功能边界，避免误引与越界解读。</w:t>
      </w:r>
    </w:p>
    <w:p>
      <w:pPr>
        <w:keepNext/>
        <w:spacing w:before="160" w:after="40"/>
        <w:jc w:val="center"/>
      </w:pPr>
      <w:r>
        <w:rPr>
          <w:rFonts w:ascii="黑体" w:hAnsi="黑体" w:eastAsia="黑体"/>
          <w:sz w:val="21"/>
        </w:rPr>
        <w:t>表2.2  词元计量相关工作的分流与功能边界</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类别</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代表性工作及其主体</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输出形态</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能否支撑加总计价</w:t>
            </w:r>
          </w:p>
        </w:tc>
      </w:tr>
      <w:tr>
        <w:tc>
          <w:tcPr>
            <w:tcW w:type="dxa" w:w="2126"/>
            <w:vAlign w:val="center"/>
          </w:tcPr>
          <w:p>
            <w:pPr>
              <w:spacing w:line="240" w:lineRule="auto" w:after="20" w:before="20"/>
              <w:jc w:val="left"/>
            </w:pPr>
            <w:r/>
            <w:r>
              <w:rPr>
                <w:rFonts w:ascii="宋体" w:hAnsi="宋体" w:eastAsia="宋体"/>
                <w:sz w:val="21"/>
              </w:rPr>
              <w:t>学术评测方法</w:t>
            </w:r>
          </w:p>
        </w:tc>
        <w:tc>
          <w:tcPr>
            <w:tcW w:type="dxa" w:w="2126"/>
            <w:vAlign w:val="center"/>
          </w:tcPr>
          <w:p>
            <w:pPr>
              <w:spacing w:line="240" w:lineRule="auto" w:after="20" w:before="20"/>
              <w:jc w:val="left"/>
            </w:pPr>
            <w:r/>
            <w:r>
              <w:rPr>
                <w:rFonts w:ascii="宋体" w:hAnsi="宋体" w:eastAsia="宋体"/>
                <w:sz w:val="21"/>
              </w:rPr>
              <w:t>大规模多任务理解基准、整体性评估框架、模型互评方法（Hendrycks等，2021；Liang等，2022；Zheng等，2023）</w:t>
            </w:r>
          </w:p>
        </w:tc>
        <w:tc>
          <w:tcPr>
            <w:tcW w:type="dxa" w:w="2126"/>
            <w:vAlign w:val="center"/>
          </w:tcPr>
          <w:p>
            <w:pPr>
              <w:spacing w:line="240" w:lineRule="auto" w:after="20" w:before="20"/>
              <w:jc w:val="left"/>
            </w:pPr>
            <w:r/>
            <w:r>
              <w:rPr>
                <w:rFonts w:ascii="宋体" w:hAnsi="宋体" w:eastAsia="宋体"/>
                <w:sz w:val="21"/>
              </w:rPr>
              <w:t>多维得分与排行</w:t>
            </w:r>
          </w:p>
        </w:tc>
        <w:tc>
          <w:tcPr>
            <w:tcW w:type="dxa" w:w="2126"/>
            <w:vAlign w:val="center"/>
          </w:tcPr>
          <w:p>
            <w:pPr>
              <w:spacing w:line="240" w:lineRule="auto" w:after="20" w:before="20"/>
              <w:jc w:val="left"/>
            </w:pPr>
            <w:r/>
            <w:r>
              <w:rPr>
                <w:rFonts w:ascii="宋体" w:hAnsi="宋体" w:eastAsia="宋体"/>
                <w:sz w:val="21"/>
              </w:rPr>
              <w:t>否：维度并列，无合成规则</w:t>
            </w:r>
          </w:p>
        </w:tc>
      </w:tr>
      <w:tr>
        <w:tc>
          <w:tcPr>
            <w:tcW w:type="dxa" w:w="2126"/>
            <w:vAlign w:val="center"/>
          </w:tcPr>
          <w:p>
            <w:pPr>
              <w:spacing w:line="240" w:lineRule="auto" w:after="20" w:before="20"/>
              <w:jc w:val="left"/>
            </w:pPr>
            <w:r/>
            <w:r>
              <w:rPr>
                <w:rFonts w:ascii="宋体" w:hAnsi="宋体" w:eastAsia="宋体"/>
                <w:sz w:val="21"/>
              </w:rPr>
              <w:t>推理系统效率研究</w:t>
            </w:r>
          </w:p>
        </w:tc>
        <w:tc>
          <w:tcPr>
            <w:tcW w:type="dxa" w:w="2126"/>
            <w:vAlign w:val="center"/>
          </w:tcPr>
          <w:p>
            <w:pPr>
              <w:spacing w:line="240" w:lineRule="auto" w:after="20" w:before="20"/>
              <w:jc w:val="left"/>
            </w:pPr>
            <w:r/>
            <w:r>
              <w:rPr>
                <w:rFonts w:ascii="宋体" w:hAnsi="宋体" w:eastAsia="宋体"/>
                <w:sz w:val="21"/>
              </w:rPr>
              <w:t>连续批处理、分页显存管理、预填充与解码分离、吞吐—时延调度（Yu等，2022；Kwon等，2023；Agrawal等，2024；Zhong等，2024）</w:t>
            </w:r>
          </w:p>
        </w:tc>
        <w:tc>
          <w:tcPr>
            <w:tcW w:type="dxa" w:w="2126"/>
            <w:vAlign w:val="center"/>
          </w:tcPr>
          <w:p>
            <w:pPr>
              <w:spacing w:line="240" w:lineRule="auto" w:after="20" w:before="20"/>
              <w:jc w:val="left"/>
            </w:pPr>
            <w:r/>
            <w:r>
              <w:rPr>
                <w:rFonts w:ascii="宋体" w:hAnsi="宋体" w:eastAsia="宋体"/>
                <w:sz w:val="21"/>
              </w:rPr>
              <w:t>吞吐、时延与显存占用指标</w:t>
            </w:r>
          </w:p>
        </w:tc>
        <w:tc>
          <w:tcPr>
            <w:tcW w:type="dxa" w:w="2126"/>
            <w:vAlign w:val="center"/>
          </w:tcPr>
          <w:p>
            <w:pPr>
              <w:spacing w:line="240" w:lineRule="auto" w:after="20" w:before="20"/>
              <w:jc w:val="left"/>
            </w:pPr>
            <w:r/>
            <w:r>
              <w:rPr>
                <w:rFonts w:ascii="宋体" w:hAnsi="宋体" w:eastAsia="宋体"/>
                <w:sz w:val="21"/>
              </w:rPr>
              <w:t>否：面向系统优化，不涉价值折算</w:t>
            </w:r>
          </w:p>
        </w:tc>
      </w:tr>
      <w:tr>
        <w:tc>
          <w:tcPr>
            <w:tcW w:type="dxa" w:w="2126"/>
            <w:vAlign w:val="center"/>
          </w:tcPr>
          <w:p>
            <w:pPr>
              <w:spacing w:line="240" w:lineRule="auto" w:after="20" w:before="20"/>
              <w:jc w:val="left"/>
            </w:pPr>
            <w:r/>
            <w:r>
              <w:rPr>
                <w:rFonts w:ascii="宋体" w:hAnsi="宋体" w:eastAsia="宋体"/>
                <w:sz w:val="21"/>
              </w:rPr>
              <w:t>机构服务质量评估</w:t>
            </w:r>
          </w:p>
        </w:tc>
        <w:tc>
          <w:tcPr>
            <w:tcW w:type="dxa" w:w="2126"/>
            <w:vAlign w:val="center"/>
          </w:tcPr>
          <w:p>
            <w:pPr>
              <w:spacing w:line="240" w:lineRule="auto" w:after="20" w:before="20"/>
              <w:jc w:val="left"/>
            </w:pPr>
            <w:r/>
            <w:r>
              <w:rPr>
                <w:rFonts w:ascii="宋体" w:hAnsi="宋体" w:eastAsia="宋体"/>
                <w:sz w:val="21"/>
              </w:rPr>
              <w:t>中国信息通信研究院《人工智能Token服务质量能力要求》，六维：模型服务能力、Token服务性能、Token服务可信、Token服务运维、Token服务用户体验、Token计量计费</w:t>
            </w:r>
          </w:p>
        </w:tc>
        <w:tc>
          <w:tcPr>
            <w:tcW w:type="dxa" w:w="2126"/>
            <w:vAlign w:val="center"/>
          </w:tcPr>
          <w:p>
            <w:pPr>
              <w:spacing w:line="240" w:lineRule="auto" w:after="20" w:before="20"/>
              <w:jc w:val="left"/>
            </w:pPr>
            <w:r/>
            <w:r>
              <w:rPr>
                <w:rFonts w:ascii="宋体" w:hAnsi="宋体" w:eastAsia="宋体"/>
                <w:sz w:val="21"/>
              </w:rPr>
              <w:t>符合性评估结论</w:t>
            </w:r>
          </w:p>
        </w:tc>
        <w:tc>
          <w:tcPr>
            <w:tcW w:type="dxa" w:w="2126"/>
            <w:vAlign w:val="center"/>
          </w:tcPr>
          <w:p>
            <w:pPr>
              <w:spacing w:line="240" w:lineRule="auto" w:after="20" w:before="20"/>
              <w:jc w:val="left"/>
            </w:pPr>
            <w:r/>
            <w:r>
              <w:rPr>
                <w:rFonts w:ascii="宋体" w:hAnsi="宋体" w:eastAsia="宋体"/>
                <w:sz w:val="21"/>
              </w:rPr>
              <w:t>否：达标与否的二值判断</w:t>
            </w:r>
          </w:p>
        </w:tc>
      </w:tr>
      <w:tr>
        <w:tc>
          <w:tcPr>
            <w:tcW w:type="dxa" w:w="2126"/>
            <w:vAlign w:val="center"/>
          </w:tcPr>
          <w:p>
            <w:pPr>
              <w:spacing w:line="240" w:lineRule="auto" w:after="20" w:before="20"/>
              <w:jc w:val="left"/>
            </w:pPr>
            <w:r/>
            <w:r>
              <w:rPr>
                <w:rFonts w:ascii="宋体" w:hAnsi="宋体" w:eastAsia="宋体"/>
                <w:sz w:val="21"/>
              </w:rPr>
              <w:t>机构标准框架</w:t>
            </w:r>
          </w:p>
        </w:tc>
        <w:tc>
          <w:tcPr>
            <w:tcW w:type="dxa" w:w="2126"/>
            <w:vAlign w:val="center"/>
          </w:tcPr>
          <w:p>
            <w:pPr>
              <w:spacing w:line="240" w:lineRule="auto" w:after="20" w:before="20"/>
              <w:jc w:val="left"/>
            </w:pPr>
            <w:r/>
            <w:r>
              <w:rPr>
                <w:rFonts w:ascii="宋体" w:hAnsi="宋体" w:eastAsia="宋体"/>
                <w:sz w:val="21"/>
              </w:rPr>
              <w:t>中国信息通信研究院“高质量Token服务标准体系”（2026年6月16日发布），四维：服务质量、运营能力、生产能力、安全能力</w:t>
            </w:r>
          </w:p>
        </w:tc>
        <w:tc>
          <w:tcPr>
            <w:tcW w:type="dxa" w:w="2126"/>
            <w:vAlign w:val="center"/>
          </w:tcPr>
          <w:p>
            <w:pPr>
              <w:spacing w:line="240" w:lineRule="auto" w:after="20" w:before="20"/>
              <w:jc w:val="left"/>
            </w:pPr>
            <w:r/>
            <w:r>
              <w:rPr>
                <w:rFonts w:ascii="宋体" w:hAnsi="宋体" w:eastAsia="宋体"/>
                <w:sz w:val="21"/>
              </w:rPr>
              <w:t>标准体系框架</w:t>
            </w:r>
          </w:p>
        </w:tc>
        <w:tc>
          <w:tcPr>
            <w:tcW w:type="dxa" w:w="2126"/>
            <w:vAlign w:val="center"/>
          </w:tcPr>
          <w:p>
            <w:pPr>
              <w:spacing w:line="240" w:lineRule="auto" w:after="20" w:before="20"/>
              <w:jc w:val="left"/>
            </w:pPr>
            <w:r/>
            <w:r>
              <w:rPr>
                <w:rFonts w:ascii="宋体" w:hAnsi="宋体" w:eastAsia="宋体"/>
                <w:sz w:val="21"/>
              </w:rPr>
              <w:t>否：框架性文件，无当量规则</w:t>
            </w:r>
          </w:p>
        </w:tc>
      </w:tr>
      <w:tr>
        <w:tc>
          <w:tcPr>
            <w:tcW w:type="dxa" w:w="2126"/>
            <w:vAlign w:val="center"/>
          </w:tcPr>
          <w:p>
            <w:pPr>
              <w:spacing w:line="240" w:lineRule="auto" w:after="20" w:before="20"/>
              <w:jc w:val="left"/>
            </w:pPr>
            <w:r/>
            <w:r>
              <w:rPr>
                <w:rFonts w:ascii="宋体" w:hAnsi="宋体" w:eastAsia="宋体"/>
                <w:sz w:val="21"/>
              </w:rPr>
              <w:t>机构价值度量</w:t>
            </w:r>
          </w:p>
        </w:tc>
        <w:tc>
          <w:tcPr>
            <w:tcW w:type="dxa" w:w="2126"/>
            <w:vAlign w:val="center"/>
          </w:tcPr>
          <w:p>
            <w:pPr>
              <w:spacing w:line="240" w:lineRule="auto" w:after="20" w:before="20"/>
              <w:jc w:val="left"/>
            </w:pPr>
            <w:r/>
            <w:r>
              <w:rPr>
                <w:rFonts w:ascii="宋体" w:hAnsi="宋体" w:eastAsia="宋体"/>
                <w:sz w:val="21"/>
              </w:rPr>
              <w:t>中国工业互联网研究院《Token驱动智能经济研究报告（2026年）》，五维：生产成本、生产效率、准确性、生态价值、安全</w:t>
            </w:r>
          </w:p>
        </w:tc>
        <w:tc>
          <w:tcPr>
            <w:tcW w:type="dxa" w:w="2126"/>
            <w:vAlign w:val="center"/>
          </w:tcPr>
          <w:p>
            <w:pPr>
              <w:spacing w:line="240" w:lineRule="auto" w:after="20" w:before="20"/>
              <w:jc w:val="left"/>
            </w:pPr>
            <w:r/>
            <w:r>
              <w:rPr>
                <w:rFonts w:ascii="宋体" w:hAnsi="宋体" w:eastAsia="宋体"/>
                <w:sz w:val="21"/>
              </w:rPr>
              <w:t>多维价值评价</w:t>
            </w:r>
          </w:p>
        </w:tc>
        <w:tc>
          <w:tcPr>
            <w:tcW w:type="dxa" w:w="2126"/>
            <w:vAlign w:val="center"/>
          </w:tcPr>
          <w:p>
            <w:pPr>
              <w:spacing w:line="240" w:lineRule="auto" w:after="20" w:before="20"/>
              <w:jc w:val="left"/>
            </w:pPr>
            <w:r/>
            <w:r>
              <w:rPr>
                <w:rFonts w:ascii="宋体" w:hAnsi="宋体" w:eastAsia="宋体"/>
                <w:sz w:val="21"/>
              </w:rPr>
              <w:t>否：维度并列，未给出合成当量</w:t>
            </w:r>
          </w:p>
        </w:tc>
      </w:tr>
      <w:tr>
        <w:tc>
          <w:tcPr>
            <w:tcW w:type="dxa" w:w="2126"/>
            <w:vAlign w:val="center"/>
          </w:tcPr>
          <w:p>
            <w:pPr>
              <w:spacing w:line="240" w:lineRule="auto" w:after="20" w:before="20"/>
              <w:jc w:val="left"/>
            </w:pPr>
            <w:r/>
            <w:r>
              <w:rPr>
                <w:rFonts w:ascii="宋体" w:hAnsi="宋体" w:eastAsia="宋体"/>
                <w:sz w:val="21"/>
              </w:rPr>
              <w:t>第三方性能实测</w:t>
            </w:r>
          </w:p>
        </w:tc>
        <w:tc>
          <w:tcPr>
            <w:tcW w:type="dxa" w:w="2126"/>
            <w:vAlign w:val="center"/>
          </w:tcPr>
          <w:p>
            <w:pPr>
              <w:spacing w:line="240" w:lineRule="auto" w:after="20" w:before="20"/>
              <w:jc w:val="left"/>
            </w:pPr>
            <w:r/>
            <w:r>
              <w:rPr>
                <w:rFonts w:ascii="宋体" w:hAnsi="宋体" w:eastAsia="宋体"/>
                <w:sz w:val="21"/>
              </w:rPr>
              <w:t>清华大学翟季冬团队联合清程极智“开源模型Token服务性能榜”（2026年5月），三项指标：首Token时延（P90）、输出吞吐、缓存命中率</w:t>
            </w:r>
          </w:p>
        </w:tc>
        <w:tc>
          <w:tcPr>
            <w:tcW w:type="dxa" w:w="2126"/>
            <w:vAlign w:val="center"/>
          </w:tcPr>
          <w:p>
            <w:pPr>
              <w:spacing w:line="240" w:lineRule="auto" w:after="20" w:before="20"/>
              <w:jc w:val="left"/>
            </w:pPr>
            <w:r/>
            <w:r>
              <w:rPr>
                <w:rFonts w:ascii="宋体" w:hAnsi="宋体" w:eastAsia="宋体"/>
                <w:sz w:val="21"/>
              </w:rPr>
              <w:t>服务商性能排名</w:t>
            </w:r>
          </w:p>
        </w:tc>
        <w:tc>
          <w:tcPr>
            <w:tcW w:type="dxa" w:w="2126"/>
            <w:vAlign w:val="center"/>
          </w:tcPr>
          <w:p>
            <w:pPr>
              <w:spacing w:line="240" w:lineRule="auto" w:after="20" w:before="20"/>
              <w:jc w:val="left"/>
            </w:pPr>
            <w:r/>
            <w:r>
              <w:rPr>
                <w:rFonts w:ascii="宋体" w:hAnsi="宋体" w:eastAsia="宋体"/>
                <w:sz w:val="21"/>
              </w:rPr>
              <w:t>否：性能序而非价值尺</w:t>
            </w:r>
          </w:p>
        </w:tc>
      </w:tr>
      <w:tr>
        <w:tc>
          <w:tcPr>
            <w:tcW w:type="dxa" w:w="2126"/>
            <w:vAlign w:val="center"/>
          </w:tcPr>
          <w:p>
            <w:pPr>
              <w:spacing w:line="240" w:lineRule="auto" w:after="20" w:before="20"/>
              <w:jc w:val="left"/>
            </w:pPr>
            <w:r/>
            <w:r>
              <w:rPr>
                <w:rFonts w:ascii="宋体" w:hAnsi="宋体" w:eastAsia="宋体"/>
                <w:sz w:val="21"/>
              </w:rPr>
              <w:t>当量折算传统</w:t>
            </w:r>
          </w:p>
        </w:tc>
        <w:tc>
          <w:tcPr>
            <w:tcW w:type="dxa" w:w="2126"/>
            <w:vAlign w:val="center"/>
          </w:tcPr>
          <w:p>
            <w:pPr>
              <w:spacing w:line="240" w:lineRule="auto" w:after="20" w:before="20"/>
              <w:jc w:val="left"/>
            </w:pPr>
            <w:r/>
            <w:r>
              <w:rPr>
                <w:rFonts w:ascii="宋体" w:hAnsi="宋体" w:eastAsia="宋体"/>
                <w:sz w:val="21"/>
              </w:rPr>
              <w:t>标准煤、标准箱、二氧化碳当量（「ISO，2018」；国家市场监督管理总局和国家标准化管理委员会，2020；国家市场监督管理总局和国家标准化管理委员会，2024）</w:t>
            </w:r>
          </w:p>
        </w:tc>
        <w:tc>
          <w:tcPr>
            <w:tcW w:type="dxa" w:w="2126"/>
            <w:vAlign w:val="center"/>
          </w:tcPr>
          <w:p>
            <w:pPr>
              <w:spacing w:line="240" w:lineRule="auto" w:after="20" w:before="20"/>
              <w:jc w:val="left"/>
            </w:pPr>
            <w:r/>
            <w:r>
              <w:rPr>
                <w:rFonts w:ascii="宋体" w:hAnsi="宋体" w:eastAsia="宋体"/>
                <w:sz w:val="21"/>
              </w:rPr>
              <w:t>单一当量与可加总量</w:t>
            </w:r>
          </w:p>
        </w:tc>
        <w:tc>
          <w:tcPr>
            <w:tcW w:type="dxa" w:w="2126"/>
            <w:vAlign w:val="center"/>
          </w:tcPr>
          <w:p>
            <w:pPr>
              <w:spacing w:line="240" w:lineRule="auto" w:after="20" w:before="20"/>
              <w:jc w:val="left"/>
            </w:pPr>
            <w:r/>
            <w:r>
              <w:rPr>
                <w:rFonts w:ascii="宋体" w:hAnsi="宋体" w:eastAsia="宋体"/>
                <w:sz w:val="21"/>
              </w:rPr>
              <w:t>是：但刻度为单维物理量</w:t>
            </w:r>
          </w:p>
        </w:tc>
      </w:tr>
      <w:tr>
        <w:tc>
          <w:tcPr>
            <w:tcW w:type="dxa" w:w="2126"/>
            <w:vAlign w:val="center"/>
          </w:tcPr>
          <w:p>
            <w:pPr>
              <w:spacing w:line="240" w:lineRule="auto" w:after="20" w:before="20"/>
              <w:jc w:val="left"/>
            </w:pPr>
            <w:r/>
            <w:r>
              <w:rPr>
                <w:rFonts w:ascii="宋体" w:hAnsi="宋体" w:eastAsia="宋体"/>
                <w:sz w:val="21"/>
              </w:rPr>
              <w:t>本书标准词元体系</w:t>
            </w:r>
          </w:p>
        </w:tc>
        <w:tc>
          <w:tcPr>
            <w:tcW w:type="dxa" w:w="2126"/>
            <w:vAlign w:val="center"/>
          </w:tcPr>
          <w:p>
            <w:pPr>
              <w:spacing w:line="240" w:lineRule="auto" w:after="20" w:before="20"/>
              <w:jc w:val="left"/>
            </w:pPr>
            <w:r/>
            <w:r>
              <w:rPr>
                <w:rFonts w:ascii="宋体" w:hAnsi="宋体" w:eastAsia="宋体"/>
                <w:sz w:val="21"/>
              </w:rPr>
              <w:t>算力强度、推理质量、场景效用三维合成的公理化折算（第5章）</w:t>
            </w:r>
          </w:p>
        </w:tc>
        <w:tc>
          <w:tcPr>
            <w:tcW w:type="dxa" w:w="2126"/>
            <w:vAlign w:val="center"/>
          </w:tcPr>
          <w:p>
            <w:pPr>
              <w:spacing w:line="240" w:lineRule="auto" w:after="20" w:before="20"/>
              <w:jc w:val="left"/>
            </w:pPr>
            <w:r/>
            <w:r>
              <w:rPr>
                <w:rFonts w:ascii="宋体" w:hAnsi="宋体" w:eastAsia="宋体"/>
                <w:sz w:val="21"/>
              </w:rPr>
              <w:t>单一效值系数与标准词元当量</w:t>
            </w:r>
          </w:p>
        </w:tc>
        <w:tc>
          <w:tcPr>
            <w:tcW w:type="dxa" w:w="2126"/>
            <w:vAlign w:val="center"/>
          </w:tcPr>
          <w:p>
            <w:pPr>
              <w:spacing w:line="240" w:lineRule="auto" w:after="20" w:before="20"/>
              <w:jc w:val="left"/>
            </w:pPr>
            <w:r/>
            <w:r>
              <w:rPr>
                <w:rFonts w:ascii="宋体" w:hAnsi="宋体" w:eastAsia="宋体"/>
                <w:sz w:val="21"/>
              </w:rPr>
              <w:t>是：多维合成且满足可加与传递</w:t>
            </w:r>
          </w:p>
        </w:tc>
      </w:tr>
    </w:tbl>
    <w:p>
      <w:pPr>
        <w:spacing w:after="200" w:line="240" w:lineRule="auto"/>
        <w:jc w:val="both"/>
      </w:pPr>
      <w:r>
        <w:rPr>
          <w:rFonts w:ascii="宋体" w:hAnsi="宋体" w:eastAsia="宋体"/>
          <w:sz w:val="18"/>
        </w:rPr>
        <w:t>注：四套机构与团队工作的主体、维度数与用途各不相同，本表逐一注明主体，其维度名称不可合并、平均或交叉引用；中国信息通信研究院词元服务能力攀登计划公布的性能基线为首批参与企业的达成值，非行业平均值亦非强制门槛；清华团队榜单的首Token时延为P90分位，与未标注分位的指标不可直接比较。资料来源：作者据各主体公开发布信息整理。</w:t>
      </w:r>
    </w:p>
    <w:p>
      <w:pPr>
        <w:spacing w:line="360" w:lineRule="auto" w:after="0"/>
        <w:ind w:firstLineChars="200" w:firstLine="480"/>
        <w:jc w:val="both"/>
      </w:pPr>
      <w:r>
        <w:rPr>
          <w:rFonts w:ascii="宋体" w:hAnsi="宋体" w:eastAsia="宋体"/>
          <w:sz w:val="24"/>
        </w:rPr>
        <w:t>表2.2的分流结果指向一个清晰的判断：在“能否支撑加总计价”一栏中，除当量折算传统与本书体系外，其余六类工作的答案均为否。这并非说它们价值不高——恰恰相反，学术评测为推理质量维度提供了测度工具，系统效率研究为算力强度维度提供了工程基础，机构评估与标准框架为行业秩序提供了制度雏形，第三方实测为市场透明提供了公共信息。问题在于功能定位：它们回答的是“好不好”与“快不快”，而经济计量需要回答的是“抵几枚”。序与尺的区别，是评价体系与当量体系的分水岭。</w:t>
      </w:r>
    </w:p>
    <w:p>
      <w:pPr>
        <w:spacing w:line="360" w:lineRule="auto" w:after="0"/>
        <w:ind w:firstLineChars="200" w:firstLine="480"/>
        <w:jc w:val="both"/>
      </w:pPr>
      <w:r>
        <w:rPr>
          <w:rFonts w:ascii="宋体" w:hAnsi="宋体" w:eastAsia="宋体"/>
          <w:sz w:val="24"/>
        </w:rPr>
        <w:t>据此可以归纳出四项研究缺口。缺口一是计量缺口：有多维评价而无单一当量，异质词元至今无法可比、可加，导致价格无公允基准、补贴无核定依据、统计无可加口径、出海无互认凭证。缺口二是定价缺口：有价格观察而无质量调整的价格指数，表观降价中效值提升与真实降价两部分未被分离，价格监测与产业判断因此系统性失真。缺口三是配置缺口：有算力利用率的统计而无“有效标准词元”口径的效率测度，利用率仅五至七成而算力仍在扩建的悖论无法被分解，改进空间的上界无从估计。缺口四是核算缺口：有增长核算的成熟框架而无可观测的人工智能中间变量，其贡献只能沉入索洛残差，既高估了全要素生产率，也遮蔽了政策着力点。除此之外，在制度层面还存在一项几乎空白的议题：城市级词元运营主体的组织模式、职能边界与激励机制，至今未见规范的经济学研究——这构成本书第10章与第13章的选题空间。</w:t>
      </w:r>
    </w:p>
    <w:p>
      <w:pPr>
        <w:keepNext/>
        <w:spacing w:before="160" w:after="120" w:line="360" w:lineRule="auto"/>
        <w:outlineLvl w:val="2"/>
      </w:pPr>
      <w:r>
        <w:rPr>
          <w:rFonts w:ascii="黑体" w:hAnsi="黑体" w:eastAsia="黑体"/>
          <w:sz w:val="24"/>
        </w:rPr>
        <w:t>2.7.4  本书的理论定位与分析框架</w:t>
      </w:r>
    </w:p>
    <w:p>
      <w:pPr>
        <w:spacing w:line="360" w:lineRule="auto" w:after="0"/>
        <w:ind w:firstLineChars="200" w:firstLine="480"/>
        <w:jc w:val="both"/>
      </w:pPr>
      <w:r>
        <w:rPr>
          <w:rFonts w:ascii="宋体" w:hAnsi="宋体" w:eastAsia="宋体"/>
          <w:sz w:val="24"/>
        </w:rPr>
        <w:t>综合上述六条脉络与四项缺口，本书的理论定位可表述为：以当量折算传统为方法原型，以价值理论为价值论根据，以标准化的交易费用分析为制度论根据，构造一个公理化的三维效值折算体系，使异质词元获得可比、可加的共同尺度；再以这一尺度为枢纽，向定价、配置与核算三个方向输出——向定价方向输出标准词元价格指数与三层价格结构，向配置方向输出有效标准词元口径的转化效率与调度优化，向核算方向输出可进入生产函数的词元流量变量。四条理论支柱、一个折算枢纽、三个输出方向的逻辑关系如图2.2所示。</w:t>
      </w:r>
    </w:p>
    <w:p>
      <w:pPr>
        <w:spacing w:before="120" w:after="40"/>
        <w:jc w:val="center"/>
      </w:pPr>
      <w:r>
        <w:drawing>
          <wp:inline xmlns:a="http://schemas.openxmlformats.org/drawingml/2006/main" xmlns:pic="http://schemas.openxmlformats.org/drawingml/2006/picture">
            <wp:extent cx="4860000" cy="3095411"/>
            <wp:docPr id="4" name="Picture 4"/>
            <wp:cNvGraphicFramePr>
              <a:graphicFrameLocks noChangeAspect="1"/>
            </wp:cNvGraphicFramePr>
            <a:graphic>
              <a:graphicData uri="http://schemas.openxmlformats.org/drawingml/2006/picture">
                <pic:pic>
                  <pic:nvPicPr>
                    <pic:cNvPr id="0" name="fig2_2.png"/>
                    <pic:cNvPicPr/>
                  </pic:nvPicPr>
                  <pic:blipFill>
                    <a:blip r:embed="rId12"/>
                    <a:stretch>
                      <a:fillRect/>
                    </a:stretch>
                  </pic:blipFill>
                  <pic:spPr>
                    <a:xfrm>
                      <a:off x="0" y="0"/>
                      <a:ext cx="4860000" cy="3095411"/>
                    </a:xfrm>
                    <a:prstGeom prst="rect"/>
                  </pic:spPr>
                </pic:pic>
              </a:graphicData>
            </a:graphic>
          </wp:inline>
        </w:drawing>
      </w:r>
    </w:p>
    <w:p>
      <w:pPr>
        <w:keepNext w:val="0"/>
        <w:spacing w:after="200"/>
        <w:jc w:val="center"/>
      </w:pPr>
      <w:r>
        <w:rPr>
          <w:rFonts w:ascii="黑体" w:hAnsi="黑体" w:eastAsia="黑体"/>
          <w:sz w:val="21"/>
        </w:rPr>
        <w:t>图2.2  理论基础与研究框架的逻辑关系</w:t>
      </w:r>
    </w:p>
    <w:p>
      <w:pPr>
        <w:spacing w:line="360" w:lineRule="auto" w:after="0"/>
        <w:ind w:firstLineChars="200" w:firstLine="480"/>
        <w:jc w:val="both"/>
      </w:pPr>
      <w:r>
        <w:rPr>
          <w:rFonts w:ascii="宋体" w:hAnsi="宋体" w:eastAsia="宋体"/>
          <w:sz w:val="24"/>
        </w:rPr>
        <w:t>图2.2的框架设计有三点意图需要说明。其一，左侧四条理论支柱并非平行罗列，而是各司其职：价值理论与当量折算传统主要支撑计量模块，平台定价与增长核算理论分别支撑定价模块与配置模块，通用目的技术理论则贯穿全局，提供“为何需要过程观测”的问题意识。其二，中部“计量—定价—配置”三个模块之间是单向递进的：计量为定价提供统一尺度，定价为配置提供价格信号，二者的传导关系在图中以纵向箭头标出——这一顺序不可颠倒，因为没有统一尺度的价格无法承担配置信号职能，这正是本书把计量置于全书基石地位的原因。其三，图中底部的虚线回路表示实证反馈：配置与核算环节产生的实测数据将回流至折算体系，用于权重的再标定与口径修订。这一回路的存在意味着标准词元体系不是一次性设定的静态规则，而是一个需要随技术演进持续更新的动态制度——正如标准煤的折算系数会随能源品质变化而修订、二氧化碳当量的增温潜势会随科学认识深化而更新一样。</w:t>
      </w:r>
    </w:p>
    <w:p>
      <w:pPr>
        <w:spacing w:line="360" w:lineRule="auto" w:after="0"/>
        <w:ind w:firstLineChars="200" w:firstLine="480"/>
        <w:jc w:val="both"/>
      </w:pPr>
      <w:r>
        <w:rPr>
          <w:rFonts w:ascii="宋体" w:hAnsi="宋体" w:eastAsia="宋体"/>
          <w:sz w:val="24"/>
        </w:rPr>
        <w:t>在这一框架下，本书与既有研究的边界可以清楚划定。相对于技术评测与系统优化研究，本书不改进模型能力也不优化推理系统，而是把它们的产出指标转化为经济计量的输入。相对于机构评价体系，本书不重复其维度设计，而是提出合成规则，把并列的维度得分变为单一的当量系数；如2.3.3节所声明，本书的三维效值体系为作者自主构建，与任何机构发布的评价体系不存在对应或继承关系。相对于数据要素与算力经济研究，本书不讨论数据确权与算力建设，而是聚焦于二者之间的转化环节，即算力与数据如何经模型转化为标准词元、标准词元又如何转化为产出。相对于宏观增长研究，本书不提供新的增长理论，而是提供一个新的可观测变量与相应的核算口径。边界的清晰，正是学术增量得以识别的前提。</w:t>
      </w:r>
    </w:p>
    <w:p>
      <w:pPr>
        <w:keepNext/>
        <w:spacing w:before="160" w:after="120" w:line="360" w:lineRule="auto"/>
        <w:outlineLvl w:val="1"/>
      </w:pPr>
      <w:r>
        <w:rPr>
          <w:rFonts w:ascii="黑体" w:hAnsi="黑体" w:eastAsia="黑体"/>
          <w:sz w:val="28"/>
        </w:rPr>
        <w:t>2.8  本章小结</w:t>
      </w:r>
    </w:p>
    <w:p>
      <w:pPr>
        <w:spacing w:line="360" w:lineRule="auto" w:after="0"/>
        <w:ind w:firstLineChars="200" w:firstLine="480"/>
        <w:jc w:val="both"/>
      </w:pPr>
      <w:r>
        <w:rPr>
          <w:rFonts w:ascii="宋体" w:hAnsi="宋体" w:eastAsia="宋体"/>
          <w:sz w:val="24"/>
        </w:rPr>
        <w:t>本章为全书的核心命题铺设理论地基。沿着“一种新的经济计量单位如何成立”这一主线，本章依次完成了三重理论检验，并在此过程中梳理了六条理论脉络、构造了十个分析式、归纳了四项研究缺口。</w:t>
      </w:r>
    </w:p>
    <w:p>
      <w:pPr>
        <w:spacing w:line="360" w:lineRule="auto" w:after="0"/>
        <w:ind w:firstLineChars="200" w:firstLine="480"/>
        <w:jc w:val="both"/>
      </w:pPr>
      <w:r>
        <w:rPr>
          <w:rFonts w:ascii="宋体" w:hAnsi="宋体" w:eastAsia="宋体"/>
          <w:sz w:val="24"/>
        </w:rPr>
        <w:t>在价值论检验上，本章表明词元的价值具有双重决定：从劳动价值论看，单位词元的价值由物化劳动的转移与活劳动的新创共同构成，其对产量的递减性解释了价格的长期下行，其随模型档位的系统性差异则直接否定了物理词元的可加性；从效用价值论看，买方支付意愿的上界由被替代认知劳动的价格与任务达成度共同决定，因而随场景高度离散。两种价值论在场景租金分成率上综合为价格的三元结构，成为第7章三层定价模型的胚胎。本章同时厘清了词元与数据的三处根本差异——存量与流量之别、复制成本之别、可归属性之别，说明词元既不能照搬数据要素的定价理论，也不能照搬传统商品的成本定价理论。</w:t>
      </w:r>
    </w:p>
    <w:p>
      <w:pPr>
        <w:spacing w:line="360" w:lineRule="auto" w:after="0"/>
        <w:ind w:firstLineChars="200" w:firstLine="480"/>
        <w:jc w:val="both"/>
      </w:pPr>
      <w:r>
        <w:rPr>
          <w:rFonts w:ascii="宋体" w:hAnsi="宋体" w:eastAsia="宋体"/>
          <w:sz w:val="24"/>
        </w:rPr>
        <w:t>在计量论检验上，本章抽象出经济计量单位成立的四个条件——同质可比、可加、可验证与度量费用足够低，并证明物理词元在同质可比与可验证两条上均不成立：输入侧的分词器差异使词元计数本身不是语义中性的，输出侧的算力异质使同一枚词元的生产成本相差一个数量级。据此本章构造了效值不确定下的确定性等价支付意愿模型，揭示了“计量折价”机制——效值不透明本身就压低支付意愿，使提升模型能力未必能提升售价；并推导出标准化的临界交易规模，说明计量标准的确立时点由交易规模而非技术成熟度内生决定，从而解释了我国日均词元调用量在两年内跨越三个数量级之后，计量标准问题为何由学术话题骤然变为产业刚需。本章还严格辨析了词元定名的主体、效力与两种口径，并指出该领域目前仅有团体标准与机构评估规范、尚无国家标准或行业标准的制度现状。</w:t>
      </w:r>
    </w:p>
    <w:p>
      <w:pPr>
        <w:spacing w:line="360" w:lineRule="auto" w:after="0"/>
        <w:ind w:firstLineChars="200" w:firstLine="480"/>
        <w:jc w:val="both"/>
      </w:pPr>
      <w:r>
        <w:rPr>
          <w:rFonts w:ascii="宋体" w:hAnsi="宋体" w:eastAsia="宋体"/>
          <w:sz w:val="24"/>
        </w:rPr>
        <w:t>在折算论与核算论检验上，本章考察了标准煤、标准箱与二氧化碳当量三项当量传统，抽象出“一个基准、一条刻度”的一般形式及基准归一、基准无关、可加传递三条性质；进而指出词元折算的根本特殊性在于刻度函数无法由单一物理量担任，必须由算力强度、推理质量与场景效用三维合成，并由链式一致性条件导出幂积型折算函数的形式约束，为第5章的公理化工作预置了函数形态。在定价与核算方向上，本章分别以两侧市场的调整后勒纳条件解释了词元平台低价获客与高价变现并存的价格结构，以扩展的增长核算恒等式刻画了遗漏标准词元流量所导致的残差高估方向，并说明标准词元价格指数相对于特征价格法的方法优势在于质量调整因子独立于价格数据、因而可复现可审计。本章还借标准的经济学指出，统一计量本身即是一项具有网络外部性的协调品，其采纳呈临界规模特征，且平台的私人激励与社会最优未必一致，因而中立的第三方测评、公开的基准任务集与可申诉的争议裁决不是标准的附属条款而是其构成要件；并指出我国现有统计基础设施的口径重心仍在投入端存量与结果端产值两头，缺少刻画“投入如何转化为结果”的可加过程量，标准词元流量正是为填补这一过程口径而设。</w:t>
      </w:r>
    </w:p>
    <w:p>
      <w:pPr>
        <w:spacing w:line="360" w:lineRule="auto" w:after="0"/>
        <w:ind w:firstLineChars="200" w:firstLine="480"/>
        <w:jc w:val="both"/>
      </w:pPr>
      <w:r>
        <w:rPr>
          <w:rFonts w:ascii="宋体" w:hAnsi="宋体" w:eastAsia="宋体"/>
          <w:sz w:val="24"/>
        </w:rPr>
        <w:t>在文献定位上，本章以文献计量刻画了相关研究的两阶段演进，指出增量文献高度集中于技术方法与应用效果两端而计量单位本身的经济学研究极为稀少；并把与词元计量直接相关的既有工作分流为学术评测、系统效率、机构评估、标准框架、价值度量、第三方实测、当量传统与本书体系八类，逐一注明主体与功能边界。分流结果表明，除当量传统外，既有工作的输出形态均为多维得分、达标结论或性能排名，回答的是“好不好”而非“抵几枚”——序与尺的区别，正是评价体系与当量体系的分水岭。本书相对既有工作的理论增量由此得以精确表述：从多维评价推进到当量折算。四项研究缺口——计量缺口、定价缺口、配置缺口与核算缺口——则分别对应本书第5章、第7章、第9章与第12章的核心任务。</w:t>
      </w:r>
    </w:p>
    <w:p>
      <w:pPr>
        <w:spacing w:line="360" w:lineRule="auto" w:after="0"/>
        <w:ind w:firstLineChars="200" w:firstLine="480"/>
        <w:jc w:val="both"/>
      </w:pPr>
      <w:r>
        <w:rPr>
          <w:rFonts w:ascii="宋体" w:hAnsi="宋体" w:eastAsia="宋体"/>
          <w:sz w:val="24"/>
        </w:rPr>
        <w:t>需要再次申明的是，本书的三维效值折算体系为作者自主构建的理论框架，与中国信息通信研究院、中国工业互联网研究院及清华大学相关团队的四套既有工作不存在对应或继承关系；本章对上述工作的引用逐一注明主体、维度与用途，各体系的维度名称不作合并、平均或交叉引用。理论地基至此铺设完毕，下一章将转入对象本身，系统考察词元的技术属性与经济属性，并以主流档位模型在算力、价格与质量三个维度上的离散度，为“物理词元不可加”这一判断提供直接的经验证据，从而引出第5章标准词元折算体系的构建。</w:t>
      </w:r>
    </w:p>
    <w:p>
      <w:r>
        <w:br w:type="page"/>
      </w:r>
    </w:p>
    <w:p>
      <w:pPr>
        <w:keepNext/>
        <w:spacing w:before="240" w:after="160" w:line="360" w:lineRule="auto"/>
        <w:jc w:val="center"/>
        <w:outlineLvl w:val="0"/>
      </w:pPr>
      <w:r>
        <w:rPr>
          <w:rFonts w:ascii="黑体" w:hAnsi="黑体" w:eastAsia="黑体"/>
          <w:b/>
          <w:sz w:val="30"/>
        </w:rPr>
        <w:t>第3章  词元的技术属性与经济属性</w:t>
      </w:r>
    </w:p>
    <w:p>
      <w:pPr>
        <w:spacing w:line="360" w:lineRule="auto" w:after="0"/>
        <w:ind w:firstLineChars="200" w:firstLine="480"/>
        <w:jc w:val="both"/>
      </w:pPr>
      <w:r>
        <w:rPr>
          <w:rFonts w:ascii="宋体" w:hAnsi="宋体" w:eastAsia="宋体"/>
          <w:sz w:val="24"/>
        </w:rPr>
        <w:t>第2章从价值理论、计量单位演进、当量折算传统、通用目的技术、平台定价与增长核算六条脉络出发，为本书搭起了理论支架，并在2.2.2节初步指出：以“同质可比、可加、可验证、低度量费用”四条件检验，物理词元只勉强满足可加与低度量费用两条，同质可比与可验证两条明显不成立。这一判断是全书立论的起点，但它在第2章中还只是一个被引证支持的论断，尚未获得系统的技术解剖与经济学形式化。本章的任务正在于此：把词元从一个技术对象转译为一个经济对象，说明它的技术生成过程如何塑造它的经济属性，并在此基础上把“物理词元不可加”这一全书的核心前提，从直觉判断推进为可以形式化陈述、可以经验检验的命题。</w:t>
      </w:r>
    </w:p>
    <w:p>
      <w:pPr>
        <w:spacing w:line="360" w:lineRule="auto" w:after="0"/>
        <w:ind w:firstLineChars="200" w:firstLine="480"/>
        <w:jc w:val="both"/>
      </w:pPr>
      <w:r>
        <w:rPr>
          <w:rFonts w:ascii="宋体" w:hAnsi="宋体" w:eastAsia="宋体"/>
          <w:sz w:val="24"/>
        </w:rPr>
        <w:t>这样做的必要性来自经济学研究通用目的技术时的一条基本经验：一项技术的经济后果，很大程度上由它的技术特性所决定的属性组合内生给出，而不是由使用者的意愿外生给定（Bresnahan和Trajtenberg，1995；Crafts，2021）。蒸汽机的经济属性由热效率与传动方式决定，集装箱的经济属性由标准箱型与装卸工艺决定；同理，词元的经济属性——它为什么稀缺、为什么只能部分排他、为什么规模经济与范围经济同时强烈、为什么价值高度依赖场景——统统可以追溯到分词、编码、自回归生成、缓存与批处理这些具体的技术环节。经济学不必复述工程细节，但必须打开技术黑箱到足以识别属性来源的深度，否则关于定价、配置与核算的全部讨论都将建立在对计量对象的误解之上。近年以机器学习为对象的通用目的技术研究已经表明，技术特性与任务结构的耦合方式，直接决定了技术扩散的路径与经济收益的分布（Goldfarb等，2023）。</w:t>
      </w:r>
    </w:p>
    <w:p>
      <w:pPr>
        <w:spacing w:line="360" w:lineRule="auto" w:after="0"/>
        <w:ind w:firstLineChars="200" w:firstLine="480"/>
        <w:jc w:val="both"/>
      </w:pPr>
      <w:r>
        <w:rPr>
          <w:rFonts w:ascii="宋体" w:hAnsi="宋体" w:eastAsia="宋体"/>
          <w:sz w:val="24"/>
        </w:rPr>
        <w:t>本章安排如下：3.1节解剖词元的技术属性，依次考察分词与编码、推理生成的计算构成、多模态扩展、上下文长度与缓存四个环节，并把技术过程提炼为四条对经济分析有直接后果的技术事实；3.2节把这些技术事实转译为八项经济属性，按计量、配置、增长三类经济职能分组，逐项给出形式化刻画与可检验命题；3.3节把词元置于要素谱系之中，与劳动、资本、数据三类要素逐维比较，回答“词元究竟是什么”这一本体论问题；3.4节提出并论证本书的核心问题——物理词元的非同质性与不可加性，以效值三维的离散、单价与效值的系统性对应关系以及加总偏误的形式化结果，证明物理词元无法承担价值单位的职能，并检视既有度量工作的进展与限度；3.5节小结全章，引出第5章的效值折算体系。</w:t>
      </w:r>
    </w:p>
    <w:p>
      <w:pPr>
        <w:keepNext/>
        <w:spacing w:before="160" w:after="120" w:line="360" w:lineRule="auto"/>
        <w:outlineLvl w:val="1"/>
      </w:pPr>
      <w:r>
        <w:rPr>
          <w:rFonts w:ascii="黑体" w:hAnsi="黑体" w:eastAsia="黑体"/>
          <w:sz w:val="28"/>
        </w:rPr>
        <w:t>3.1  词元的技术属性：从分词到生成的过程解剖</w:t>
      </w:r>
    </w:p>
    <w:p>
      <w:pPr>
        <w:keepNext/>
        <w:spacing w:before="160" w:after="120" w:line="360" w:lineRule="auto"/>
        <w:outlineLvl w:val="2"/>
      </w:pPr>
      <w:r>
        <w:rPr>
          <w:rFonts w:ascii="黑体" w:hAnsi="黑体" w:eastAsia="黑体"/>
          <w:sz w:val="24"/>
        </w:rPr>
        <w:t>3.1.1  分词与编码：词元计数的三重依赖</w:t>
      </w:r>
    </w:p>
    <w:p>
      <w:pPr>
        <w:spacing w:line="360" w:lineRule="auto" w:after="0"/>
        <w:ind w:firstLineChars="200" w:firstLine="480"/>
        <w:jc w:val="both"/>
      </w:pPr>
      <w:r>
        <w:rPr>
          <w:rFonts w:ascii="宋体" w:hAnsi="宋体" w:eastAsia="宋体"/>
          <w:sz w:val="24"/>
        </w:rPr>
        <w:t>词元的诞生始于分词。自然语言、代码与结构化文本在进入模型之前，必须先由分词器切分为离散的符号单元，再经词表映射为整数索引。当代大模型普遍采用子词切分：字节对编码把高频字符序列逐步合并为子词单元，在词表规模与未登录词覆盖之间取得平衡（Sennrich等，2016），语言无关的子词分词器进一步把切分、训练与还原封装为可复用的标准工具链（Kudo和Richardson，2018）。分词的工程目标是压缩序列长度与保持语义完整，但从经济计量的角度看，它带来了一个根本性的后果：</w:t>
      </w:r>
      <w:r>
        <w:rPr>
          <w:rFonts w:ascii="宋体" w:hAnsi="宋体" w:eastAsia="宋体"/>
          <w:b/>
          <w:sz w:val="24"/>
        </w:rPr>
        <w:t>词元数不是文本的客观属性，而是文本与分词器共同决定的一个联合产物</w:t>
      </w:r>
      <w:r>
        <w:rPr>
          <w:rFonts w:ascii="宋体" w:hAnsi="宋体" w:eastAsia="宋体"/>
          <w:sz w:val="24"/>
        </w:rPr>
        <w:t>。</w:t>
      </w:r>
    </w:p>
    <w:p>
      <w:pPr>
        <w:spacing w:line="360" w:lineRule="auto" w:after="0"/>
        <w:ind w:firstLineChars="200" w:firstLine="480"/>
        <w:jc w:val="both"/>
      </w:pPr>
      <w:r>
        <w:rPr>
          <w:rFonts w:ascii="宋体" w:hAnsi="宋体" w:eastAsia="宋体"/>
          <w:sz w:val="24"/>
        </w:rPr>
        <w:t>这一联合产物具有三重依赖。其一是模型依赖：不同厂商、不同版本的分词器采用不同的词表规模与合并规则，同一段文本被切分出的词元数可以相差数成，而分词器质量本身对下游任务表现具有系统性影响（Rust等，2021）。其二是语言依赖：语言模型分词器对不同语言的编码效率差异极大，以英语为中心训练的词表在处理其他语言时会把常见词切碎为多个子词，导致相同语义内容在不同语言下的词元数与费用显著不同（Petrov等，2023；Ahia等，2023）——这意味着按词元计费的服务对非英语用户构成了一种隐性的价格歧视，其经济后果在跨境服务与词元出海议题中将再次出现（第11、13章）。其三是文本类型依赖：代码、公式、表格与自然语言的切分密度差异明显，同样一千字的合同文本与一千字的程序代码，其词元数并不相等。</w:t>
      </w:r>
    </w:p>
    <w:p>
      <w:pPr>
        <w:spacing w:line="360" w:lineRule="auto" w:after="0"/>
        <w:ind w:firstLineChars="200" w:firstLine="480"/>
        <w:jc w:val="both"/>
      </w:pPr>
      <w:r>
        <w:rPr>
          <w:rFonts w:ascii="宋体" w:hAnsi="宋体" w:eastAsia="宋体"/>
          <w:sz w:val="24"/>
        </w:rPr>
        <w:t>三重依赖合起来说明了一件事：以物理词元数作为计价基础，等于用一把刻度随被测物与测量工具而变的尺子去量长度。计量学上，这违反了测量单位应当独立于被测对象的基本要求；经济学上，它使“单价”这一概念失去了跨供给方比较的意义——报价更低的服务未必更便宜，因为完成同一任务所需的词元数可能更多。值得注意的是，这一问题在术语定名的两套口径中已经隐约可见：2026年3月25日，全国科学技术名词审定委员会发布公告，优先推荐并面向全社会发布试用 token 的中文名“词元”，将在常态化审定中最终确认，其定义为人工智能时代智能设备中信息存储、处理和交换的具有一定语义的基本符号单元，属术语学口径，强调的是语义承载；同月，国家数据局局长在中国发展高层论坛2026年年会上使用并推介这一译名，提出词元具有可计量、可定价、可交易的特征，是智能时代的价值锚点，属经济计量口径，强调的是交易职能。术语学口径关心“一个词元承载多少语义”，经济计量口径关心“一个词元值多少钱”，而分词的三重依赖恰恰使这两个问题的答案彼此脱钩：语义相同而词元数不同，词元数相同而语义不同，二者在物理词元这一层面上无法同时成立。</w:t>
      </w:r>
    </w:p>
    <w:p>
      <w:pPr>
        <w:keepNext/>
        <w:spacing w:before="160" w:after="120" w:line="360" w:lineRule="auto"/>
        <w:outlineLvl w:val="2"/>
      </w:pPr>
      <w:r>
        <w:rPr>
          <w:rFonts w:ascii="黑体" w:hAnsi="黑体" w:eastAsia="黑体"/>
          <w:sz w:val="24"/>
        </w:rPr>
        <w:t>3.1.2  推理生成的计算构成：单枚词元的算力函数</w:t>
      </w:r>
    </w:p>
    <w:p>
      <w:pPr>
        <w:spacing w:line="360" w:lineRule="auto" w:after="0"/>
        <w:ind w:firstLineChars="200" w:firstLine="480"/>
        <w:jc w:val="both"/>
      </w:pPr>
      <w:r>
        <w:rPr>
          <w:rFonts w:ascii="宋体" w:hAnsi="宋体" w:eastAsia="宋体"/>
          <w:sz w:val="24"/>
        </w:rPr>
        <w:t>词元的第二个技术环节是生成。自回归模型逐枚生成输出词元，每生成一枚都要完成一次完整的前向计算：既要遍历模型参数完成矩阵乘，又要对已缓存的键值状态做注意力计算。忽略次要项，单枚输出词元的浮点运算量可近似写作：</w:t>
      </w:r>
    </w:p>
    <w:p>
      <w:pPr>
        <w:tabs>
          <w:tab w:pos="4252" w:val="center"/>
          <w:tab w:pos="8504" w:val="right"/>
        </w:tabs>
        <w:spacing w:line="360" w:lineRule="auto" w:before="80" w:after="80"/>
      </w:pPr>
      <w:r>
        <w:tab/>
      </w:r>
      <m:oMath>
        <m:sSub>
          <m:e>
            <m:r>
              <m:t>φ</m:t>
            </m:r>
          </m:e>
          <m:sub>
            <m:r>
              <m:t>m</m:t>
            </m:r>
          </m:sub>
        </m:sSub>
        <m:d>
          <m:dPr>
            <m:begChr m:val="("/>
            <m:endChr m:val=")"/>
            <m:grow/>
          </m:dPr>
          <m:e>
            <m:r>
              <m:rPr>
                <m:sty m:val="p"/>
              </m:rPr>
              <m:t>ℓ</m:t>
            </m:r>
          </m:e>
        </m:d>
        <m:r>
          <m:rPr>
            <m:sty m:val="p"/>
          </m:rPr>
          <m:t>=</m:t>
        </m:r>
        <m:r>
          <m:t>2</m:t>
        </m:r>
        <m:sSub>
          <m:e>
            <m:r>
              <m:t>N</m:t>
            </m:r>
          </m:e>
          <m:sub>
            <m:r>
              <m:t>m</m:t>
            </m:r>
          </m:sub>
        </m:sSub>
        <m:r>
          <m:rPr>
            <m:sty m:val="p"/>
          </m:rPr>
          <m:t>+</m:t>
        </m:r>
        <m:r>
          <m:t>2</m:t>
        </m:r>
        <m:sSub>
          <m:e>
            <m:r>
              <m:t>n</m:t>
            </m:r>
          </m:e>
          <m:sub>
            <m:r>
              <m:t>m</m:t>
            </m:r>
          </m:sub>
        </m:sSub>
        <m:sSub>
          <m:e>
            <m:r>
              <m:t>d</m:t>
            </m:r>
          </m:e>
          <m:sub>
            <m:r>
              <m:t>m</m:t>
            </m:r>
          </m:sub>
        </m:sSub>
        <m:r>
          <m:rPr>
            <m:sty m:val="p"/>
          </m:rPr>
          <m:t>ℓ</m:t>
        </m:r>
      </m:oMath>
      <w:r>
        <w:tab/>
      </w:r>
      <w:r>
        <w:rPr>
          <w:rFonts w:ascii="Times New Roman" w:hAnsi="Times New Roman" w:eastAsia="宋体"/>
          <w:sz w:val="24"/>
        </w:rPr>
        <w:t>(3-1)</w:t>
      </w:r>
    </w:p>
    <w:p>
      <w:pPr>
        <w:spacing w:line="360" w:lineRule="auto" w:after="0"/>
        <w:jc w:val="both"/>
      </w:pPr>
      <w:r>
        <w:rPr>
          <w:rFonts w:ascii="宋体" w:hAnsi="宋体" w:eastAsia="宋体"/>
          <w:sz w:val="24"/>
        </w:rPr>
        <w:t>其中，</w:t>
      </w:r>
      <m:oMath>
        <m:r>
          <m:t>m</m:t>
        </m:r>
      </m:oMath>
      <w:r>
        <w:rPr>
          <w:rFonts w:ascii="宋体" w:hAnsi="宋体" w:eastAsia="宋体"/>
          <w:sz w:val="24"/>
        </w:rPr>
        <w:t>为模型下标，</w:t>
      </w:r>
      <m:oMath>
        <m:sSub>
          <m:e>
            <m:r>
              <m:t>N</m:t>
            </m:r>
          </m:e>
          <m:sub>
            <m:r>
              <m:t>m</m:t>
            </m:r>
          </m:sub>
        </m:sSub>
      </m:oMath>
      <w:r>
        <w:rPr>
          <w:rFonts w:ascii="宋体" w:hAnsi="宋体" w:eastAsia="宋体"/>
          <w:sz w:val="24"/>
        </w:rPr>
        <w:t>为单次前向的激活参数量，</w:t>
      </w:r>
      <m:oMath>
        <m:sSub>
          <m:e>
            <m:r>
              <m:t>n</m:t>
            </m:r>
          </m:e>
          <m:sub>
            <m:r>
              <m:t>m</m:t>
            </m:r>
          </m:sub>
        </m:sSub>
      </m:oMath>
      <w:r>
        <w:rPr>
          <w:rFonts w:ascii="宋体" w:hAnsi="宋体" w:eastAsia="宋体"/>
          <w:sz w:val="24"/>
        </w:rPr>
        <w:t>与</w:t>
      </w:r>
      <m:oMath>
        <m:sSub>
          <m:e>
            <m:r>
              <m:t>d</m:t>
            </m:r>
          </m:e>
          <m:sub>
            <m:r>
              <m:t>m</m:t>
            </m:r>
          </m:sub>
        </m:sSub>
      </m:oMath>
      <w:r>
        <w:rPr>
          <w:rFonts w:ascii="宋体" w:hAnsi="宋体" w:eastAsia="宋体"/>
          <w:sz w:val="24"/>
        </w:rPr>
        <w:t>分别为层数与隐藏维度，</w:t>
      </w:r>
      <m:oMath>
        <m:r>
          <m:rPr>
            <m:sty m:val="p"/>
          </m:rPr>
          <m:t>ℓ</m:t>
        </m:r>
      </m:oMath>
      <w:r>
        <w:rPr>
          <w:rFonts w:ascii="宋体" w:hAnsi="宋体" w:eastAsia="宋体"/>
          <w:sz w:val="24"/>
        </w:rPr>
        <w:t>为当前上下文长度（已生成与已输入词元之和），</w:t>
      </w:r>
      <m:oMath>
        <m:sSub>
          <m:e>
            <m:r>
              <m:t>φ</m:t>
            </m:r>
          </m:e>
          <m:sub>
            <m:r>
              <m:t>m</m:t>
            </m:r>
          </m:sub>
        </m:sSub>
      </m:oMath>
      <w:r>
        <w:rPr>
          <w:rFonts w:ascii="宋体" w:hAnsi="宋体" w:eastAsia="宋体"/>
          <w:sz w:val="24"/>
        </w:rPr>
        <w:t>为生成单枚词元的浮点运算量。</w:t>
      </w:r>
    </w:p>
    <w:p>
      <w:pPr>
        <w:spacing w:line="360" w:lineRule="auto" w:after="0"/>
        <w:ind w:firstLineChars="200" w:firstLine="480"/>
        <w:jc w:val="both"/>
      </w:pPr>
      <w:r>
        <w:rPr>
          <w:rFonts w:ascii="宋体" w:hAnsi="宋体" w:eastAsia="宋体"/>
          <w:sz w:val="24"/>
        </w:rPr>
        <w:t>式(3-1)虽然形式简单，却已足以摧毁“词元同质”的假设。第一项</w:t>
      </w:r>
      <m:oMath>
        <m:r>
          <m:t>2</m:t>
        </m:r>
        <m:sSub>
          <m:e>
            <m:r>
              <m:t>N</m:t>
            </m:r>
          </m:e>
          <m:sub>
            <m:r>
              <m:t>m</m:t>
            </m:r>
          </m:sub>
        </m:sSub>
      </m:oMath>
      <w:r>
        <w:rPr>
          <w:rFonts w:ascii="宋体" w:hAnsi="宋体" w:eastAsia="宋体"/>
          <w:sz w:val="24"/>
        </w:rPr>
        <w:t>表明单枚词元的算力消耗随模型规模线性上升：参数规模相差两个数量级的模型，生成同样一枚词元所需的运算量也相差两个数量级。模型规模、数据量与算力投入之间的幂律关系是这一差异的技术根源，规模定律的确立使“更大模型换更好性能”成为产业的主导路线（Kaplan等，2020），而计算最优的训练配置研究进一步表明，在给定算力预算下参数与数据应按特定比例配置，由此形成了参数规模高度分化的模型谱系（Hoffmann等，2022）。第二项</w:t>
      </w:r>
      <m:oMath>
        <m:r>
          <m:t>2</m:t>
        </m:r>
        <m:sSub>
          <m:e>
            <m:r>
              <m:t>n</m:t>
            </m:r>
          </m:e>
          <m:sub>
            <m:r>
              <m:t>m</m:t>
            </m:r>
          </m:sub>
        </m:sSub>
        <m:sSub>
          <m:e>
            <m:r>
              <m:t>d</m:t>
            </m:r>
          </m:e>
          <m:sub>
            <m:r>
              <m:t>m</m:t>
            </m:r>
          </m:sub>
        </m:sSub>
        <m:r>
          <m:rPr>
            <m:sty m:val="p"/>
          </m:rPr>
          <m:t>ℓ</m:t>
        </m:r>
      </m:oMath>
      <w:r>
        <w:rPr>
          <w:rFonts w:ascii="宋体" w:hAnsi="宋体" w:eastAsia="宋体"/>
          <w:sz w:val="24"/>
        </w:rPr>
        <w:t>则表明，即便对同一模型，单枚词元的算力消耗也随上下文长度线性增长：长文档摘要、长程代码理解与多轮对话的后段，每枚词元的成本都显著高于短提示的首段。</w:t>
      </w:r>
    </w:p>
    <w:p>
      <w:pPr>
        <w:spacing w:line="360" w:lineRule="auto" w:after="0"/>
        <w:ind w:firstLineChars="200" w:firstLine="480"/>
        <w:jc w:val="both"/>
      </w:pPr>
      <w:r>
        <w:rPr>
          <w:rFonts w:ascii="宋体" w:hAnsi="宋体" w:eastAsia="宋体"/>
          <w:sz w:val="24"/>
        </w:rPr>
        <w:t>把式(3-1)沿一次完整任务累加，可得任务级的总算力。设任务</w:t>
      </w:r>
      <m:oMath>
        <m:r>
          <m:t>j</m:t>
        </m:r>
      </m:oMath>
      <w:r>
        <w:rPr>
          <w:rFonts w:ascii="宋体" w:hAnsi="宋体" w:eastAsia="宋体"/>
          <w:sz w:val="24"/>
        </w:rPr>
        <w:t>的输入长度为</w:t>
      </w:r>
      <m:oMath>
        <m:sSubSup>
          <m:e>
            <m:r>
              <m:rPr>
                <m:sty m:val="p"/>
              </m:rPr>
              <m:t>ℓ</m:t>
            </m:r>
          </m:e>
          <m:sub>
            <m:r>
              <m:t>j</m:t>
            </m:r>
          </m:sub>
          <m:sup>
            <m:r>
              <m:t>i</m:t>
            </m:r>
            <m:r>
              <m:t>n</m:t>
            </m:r>
          </m:sup>
        </m:sSubSup>
      </m:oMath>
      <w:r>
        <w:rPr>
          <w:rFonts w:ascii="宋体" w:hAnsi="宋体" w:eastAsia="宋体"/>
          <w:sz w:val="24"/>
        </w:rPr>
        <w:t>、输出长度为</w:t>
      </w:r>
      <m:oMath>
        <m:sSubSup>
          <m:e>
            <m:r>
              <m:rPr>
                <m:sty m:val="p"/>
              </m:rPr>
              <m:t>ℓ</m:t>
            </m:r>
          </m:e>
          <m:sub>
            <m:r>
              <m:t>j</m:t>
            </m:r>
          </m:sub>
          <m:sup>
            <m:r>
              <m:t>o</m:t>
            </m:r>
            <m:r>
              <m:t>u</m:t>
            </m:r>
            <m:r>
              <m:t>t</m:t>
            </m:r>
          </m:sup>
        </m:sSubSup>
      </m:oMath>
      <w:r>
        <w:rPr>
          <w:rFonts w:ascii="宋体" w:hAnsi="宋体" w:eastAsia="宋体"/>
          <w:sz w:val="24"/>
        </w:rPr>
        <w:t>，前缀缓存命中率为</w:t>
      </w:r>
      <m:oMath>
        <m:sSub>
          <m:e>
            <m:r>
              <m:t>h</m:t>
            </m:r>
          </m:e>
          <m:sub>
            <m:r>
              <m:t>j</m:t>
            </m:r>
          </m:sub>
        </m:sSub>
      </m:oMath>
      <w:r>
        <w:rPr>
          <w:rFonts w:ascii="宋体" w:hAnsi="宋体" w:eastAsia="宋体"/>
          <w:sz w:val="24"/>
        </w:rPr>
        <w:t>（命中部分无需重新预填充），则：</w:t>
      </w:r>
    </w:p>
    <w:p>
      <w:pPr>
        <w:tabs>
          <w:tab w:pos="4252" w:val="center"/>
          <w:tab w:pos="8504" w:val="right"/>
        </w:tabs>
        <w:spacing w:line="360" w:lineRule="auto" w:before="80" w:after="80"/>
      </w:pPr>
      <w:r>
        <w:tab/>
      </w:r>
      <m:oMath>
        <m:sSub>
          <m:e>
            <m:r>
              <m:t>Φ</m:t>
            </m:r>
          </m:e>
          <m:sub>
            <m:r>
              <m:t>m</m:t>
            </m:r>
          </m:sub>
        </m:sSub>
        <m:d>
          <m:dPr>
            <m:begChr m:val="("/>
            <m:endChr m:val=")"/>
            <m:grow/>
          </m:dPr>
          <m:e>
            <m:r>
              <m:t>j</m:t>
            </m:r>
          </m:e>
        </m:d>
        <m:r>
          <m:rPr>
            <m:sty m:val="p"/>
          </m:rPr>
          <m:t>=</m:t>
        </m:r>
        <m:r>
          <m:t>2</m:t>
        </m:r>
        <m:sSub>
          <m:e>
            <m:r>
              <m:t>N</m:t>
            </m:r>
          </m:e>
          <m:sub>
            <m:r>
              <m:t>m</m:t>
            </m:r>
          </m:sub>
        </m:sSub>
        <m:d>
          <m:dPr>
            <m:begChr m:val="["/>
            <m:endChr m:val="]"/>
            <m:grow/>
          </m:dPr>
          <m:e>
            <m:d>
              <m:dPr>
                <m:begChr m:val="("/>
                <m:endChr m:val=")"/>
                <m:grow/>
              </m:dPr>
              <m:e>
                <m:r>
                  <m:t>1</m:t>
                </m:r>
                <m:r>
                  <m:rPr>
                    <m:sty m:val="p"/>
                  </m:rPr>
                  <m:t>−</m:t>
                </m:r>
                <m:sSub>
                  <m:e>
                    <m:r>
                      <m:t>h</m:t>
                    </m:r>
                  </m:e>
                  <m:sub>
                    <m:r>
                      <m:t>j</m:t>
                    </m:r>
                  </m:sub>
                </m:sSub>
              </m:e>
            </m:d>
            <m:sSubSup>
              <m:e>
                <m:r>
                  <m:rPr>
                    <m:sty m:val="p"/>
                  </m:rPr>
                  <m:t>ℓ</m:t>
                </m:r>
              </m:e>
              <m:sub>
                <m:r>
                  <m:t>j</m:t>
                </m:r>
              </m:sub>
              <m:sup>
                <m:r>
                  <m:t>i</m:t>
                </m:r>
                <m:r>
                  <m:t>n</m:t>
                </m:r>
              </m:sup>
            </m:sSubSup>
            <m:r>
              <m:rPr>
                <m:sty m:val="p"/>
              </m:rPr>
              <m:t>+</m:t>
            </m:r>
            <m:sSubSup>
              <m:e>
                <m:r>
                  <m:rPr>
                    <m:sty m:val="p"/>
                  </m:rPr>
                  <m:t>ℓ</m:t>
                </m:r>
              </m:e>
              <m:sub>
                <m:r>
                  <m:t>j</m:t>
                </m:r>
              </m:sub>
              <m:sup>
                <m:r>
                  <m:t>o</m:t>
                </m:r>
                <m:r>
                  <m:t>u</m:t>
                </m:r>
                <m:r>
                  <m:t>t</m:t>
                </m:r>
              </m:sup>
            </m:sSubSup>
          </m:e>
        </m:d>
        <m:r>
          <m:rPr>
            <m:sty m:val="p"/>
          </m:rPr>
          <m:t>+</m:t>
        </m:r>
        <m:r>
          <m:t>2</m:t>
        </m:r>
        <m:sSub>
          <m:e>
            <m:r>
              <m:t>n</m:t>
            </m:r>
          </m:e>
          <m:sub>
            <m:r>
              <m:t>m</m:t>
            </m:r>
          </m:sub>
        </m:sSub>
        <m:sSub>
          <m:e>
            <m:r>
              <m:t>d</m:t>
            </m:r>
          </m:e>
          <m:sub>
            <m:r>
              <m:t>m</m:t>
            </m:r>
          </m:sub>
        </m:sSub>
        <m:sSubSup>
          <m:e>
            <m:r>
              <m:rPr>
                <m:sty m:val="p"/>
              </m:rPr>
              <m:t>ℓ</m:t>
            </m:r>
          </m:e>
          <m:sub>
            <m:r>
              <m:t>j</m:t>
            </m:r>
          </m:sub>
          <m:sup>
            <m:r>
              <m:t>o</m:t>
            </m:r>
            <m:r>
              <m:t>u</m:t>
            </m:r>
            <m:r>
              <m:t>t</m:t>
            </m:r>
          </m:sup>
        </m:sSubSup>
        <m:d>
          <m:dPr>
            <m:begChr m:val="("/>
            <m:endChr m:val=")"/>
            <m:grow/>
          </m:dPr>
          <m:e>
            <m:sSubSup>
              <m:e>
                <m:r>
                  <m:rPr>
                    <m:sty m:val="p"/>
                  </m:rPr>
                  <m:t>ℓ</m:t>
                </m:r>
              </m:e>
              <m:sub>
                <m:r>
                  <m:t>j</m:t>
                </m:r>
              </m:sub>
              <m:sup>
                <m:r>
                  <m:t>i</m:t>
                </m:r>
                <m:r>
                  <m:t>n</m:t>
                </m:r>
              </m:sup>
            </m:sSubSup>
            <m:r>
              <m:rPr>
                <m:sty m:val="p"/>
              </m:rPr>
              <m:t>+</m:t>
            </m:r>
            <m:f>
              <m:fPr>
                <m:type m:val="bar"/>
              </m:fPr>
              <m:num>
                <m:sSubSup>
                  <m:e>
                    <m:r>
                      <m:rPr>
                        <m:sty m:val="p"/>
                      </m:rPr>
                      <m:t>ℓ</m:t>
                    </m:r>
                  </m:e>
                  <m:sub>
                    <m:r>
                      <m:t>j</m:t>
                    </m:r>
                  </m:sub>
                  <m:sup>
                    <m:r>
                      <m:t>o</m:t>
                    </m:r>
                    <m:r>
                      <m:t>u</m:t>
                    </m:r>
                    <m:r>
                      <m:t>t</m:t>
                    </m:r>
                  </m:sup>
                </m:sSubSup>
                <m:r>
                  <m:rPr>
                    <m:sty m:val="p"/>
                  </m:rPr>
                  <m:t>+</m:t>
                </m:r>
                <m:r>
                  <m:t>1</m:t>
                </m:r>
              </m:num>
              <m:den>
                <m:r>
                  <m:t>2</m:t>
                </m:r>
              </m:den>
            </m:f>
          </m:e>
        </m:d>
      </m:oMath>
      <w:r>
        <w:tab/>
      </w:r>
      <w:r>
        <w:rPr>
          <w:rFonts w:ascii="Times New Roman" w:hAnsi="Times New Roman" w:eastAsia="宋体"/>
          <w:sz w:val="24"/>
        </w:rPr>
        <w:t>(3-2)</w:t>
      </w:r>
    </w:p>
    <w:p>
      <w:pPr>
        <w:spacing w:line="360" w:lineRule="auto" w:after="0"/>
        <w:jc w:val="both"/>
      </w:pPr>
      <w:r>
        <w:rPr>
          <w:rFonts w:ascii="宋体" w:hAnsi="宋体" w:eastAsia="宋体"/>
          <w:sz w:val="24"/>
        </w:rPr>
        <w:t>其中，</w:t>
      </w:r>
      <m:oMath>
        <m:sSub>
          <m:e>
            <m:r>
              <m:t>Φ</m:t>
            </m:r>
          </m:e>
          <m:sub>
            <m:r>
              <m:t>m</m:t>
            </m:r>
          </m:sub>
        </m:sSub>
        <m:d>
          <m:dPr>
            <m:begChr m:val="("/>
            <m:endChr m:val=")"/>
            <m:grow/>
          </m:dPr>
          <m:e>
            <m:r>
              <m:t>j</m:t>
            </m:r>
          </m:e>
        </m:d>
      </m:oMath>
      <w:r>
        <w:rPr>
          <w:rFonts w:ascii="宋体" w:hAnsi="宋体" w:eastAsia="宋体"/>
          <w:sz w:val="24"/>
        </w:rPr>
        <w:t>为模型</w:t>
      </w:r>
      <m:oMath>
        <m:r>
          <m:t>m</m:t>
        </m:r>
      </m:oMath>
      <w:r>
        <w:rPr>
          <w:rFonts w:ascii="宋体" w:hAnsi="宋体" w:eastAsia="宋体"/>
          <w:sz w:val="24"/>
        </w:rPr>
        <w:t>完成任务</w:t>
      </w:r>
      <m:oMath>
        <m:r>
          <m:t>j</m:t>
        </m:r>
      </m:oMath>
      <w:r>
        <w:rPr>
          <w:rFonts w:ascii="宋体" w:hAnsi="宋体" w:eastAsia="宋体"/>
          <w:sz w:val="24"/>
        </w:rPr>
        <w:t>的总浮点运算量，方括号内第一项为预填充阶段的输入处理，第二项为解码阶段的逐词元生成；末项为注意力计算随上下文增长的累积贡献。</w:t>
      </w:r>
    </w:p>
    <w:p>
      <w:pPr>
        <w:spacing w:line="360" w:lineRule="auto" w:after="0"/>
        <w:ind w:firstLineChars="200" w:firstLine="480"/>
        <w:jc w:val="both"/>
      </w:pPr>
      <w:r>
        <w:rPr>
          <w:rFonts w:ascii="宋体" w:hAnsi="宋体" w:eastAsia="宋体"/>
          <w:sz w:val="24"/>
        </w:rPr>
        <w:t>式(3-2)给出三条对经济分析至关重要的性质。其一，单位输出词元的平均算力</w:t>
      </w:r>
      <m:oMath>
        <m:sSub>
          <m:e>
            <m:r>
              <m:t>Φ</m:t>
            </m:r>
          </m:e>
          <m:sub>
            <m:r>
              <m:t>m</m:t>
            </m:r>
          </m:sub>
        </m:sSub>
        <m:d>
          <m:dPr>
            <m:begChr m:val="("/>
            <m:endChr m:val=")"/>
            <m:grow/>
          </m:dPr>
          <m:e>
            <m:r>
              <m:t>j</m:t>
            </m:r>
          </m:e>
        </m:d>
        <m:r>
          <m:rPr>
            <m:sty m:val="p"/>
          </m:rPr>
          <m:t>/</m:t>
        </m:r>
        <m:sSubSup>
          <m:e>
            <m:r>
              <m:rPr>
                <m:sty m:val="p"/>
              </m:rPr>
              <m:t>ℓ</m:t>
            </m:r>
          </m:e>
          <m:sub>
            <m:r>
              <m:t>j</m:t>
            </m:r>
          </m:sub>
          <m:sup>
            <m:r>
              <m:t>o</m:t>
            </m:r>
            <m:r>
              <m:t>u</m:t>
            </m:r>
            <m:r>
              <m:t>t</m:t>
            </m:r>
          </m:sup>
        </m:sSubSup>
      </m:oMath>
      <w:r>
        <w:rPr>
          <w:rFonts w:ascii="宋体" w:hAnsi="宋体" w:eastAsia="宋体"/>
          <w:sz w:val="24"/>
        </w:rPr>
        <w:t>是任务形态的函数：输入长、输出短的任务（如长文档判别与检索增强问答）单位词元算力极高，输入短、输出长的任务（如长文生成）单位词元算力较低——同样计费一千枚输出词元，资源耗用可以相差数倍。其二，缓存命中率</w:t>
      </w:r>
      <m:oMath>
        <m:sSub>
          <m:e>
            <m:r>
              <m:t>h</m:t>
            </m:r>
          </m:e>
          <m:sub>
            <m:r>
              <m:t>j</m:t>
            </m:r>
          </m:sub>
        </m:sSub>
      </m:oMath>
      <w:r>
        <w:rPr>
          <w:rFonts w:ascii="宋体" w:hAnsi="宋体" w:eastAsia="宋体"/>
          <w:sz w:val="24"/>
        </w:rPr>
        <w:t>直接抵扣预填充算力，其经济后果在价目表上已经显性化：截至2026年8月16日，一家头部模型服务商的公开价目显示，同一模型的输入词元在缓存命中时为每百万0.02元、未命中时为每百万1元，相差五十倍，而输出词元为每百万2元；2026年8月17日起，该服务商进一步将价格改为峰谷分时结构，空闲时段价格为高峰时段的一半。同一模型、同一枚词元，因缓存状态与调用时段不同，价格相差数十倍——这已经不是价格歧视的问题，而是计量对象本身不唯一的问题。其三，推理增强类模型以生成大量中间思考词元换取答案质量，其</w:t>
      </w:r>
      <m:oMath>
        <m:sSubSup>
          <m:e>
            <m:r>
              <m:rPr>
                <m:sty m:val="p"/>
              </m:rPr>
              <m:t>ℓ</m:t>
            </m:r>
          </m:e>
          <m:sub>
            <m:r>
              <m:t>j</m:t>
            </m:r>
          </m:sub>
          <m:sup>
            <m:r>
              <m:t>o</m:t>
            </m:r>
            <m:r>
              <m:t>u</m:t>
            </m:r>
            <m:r>
              <m:t>t</m:t>
            </m:r>
          </m:sup>
        </m:sSubSup>
      </m:oMath>
      <w:r>
        <w:rPr>
          <w:rFonts w:ascii="宋体" w:hAnsi="宋体" w:eastAsia="宋体"/>
          <w:sz w:val="24"/>
        </w:rPr>
        <w:t>系统性地高于直接作答的模型，因而在“每枚词元的价格”与“每个任务的费用”两个口径上会给出方向相反的比较结论。</w:t>
      </w:r>
    </w:p>
    <w:p>
      <w:pPr>
        <w:spacing w:line="360" w:lineRule="auto" w:after="0"/>
        <w:ind w:firstLineChars="200" w:firstLine="480"/>
        <w:jc w:val="both"/>
      </w:pPr>
      <w:r>
        <w:rPr>
          <w:rFonts w:ascii="宋体" w:hAnsi="宋体" w:eastAsia="宋体"/>
          <w:sz w:val="24"/>
        </w:rPr>
        <w:t>算力消耗的差异最终传导为能耗与碳排放的差异，而现有的权威测算恰恰以“一次查询”而非“每千词元”为分母，这本身就是词元计量尚不成熟的旁证。谷歌云2025年8月发布的推理环境影响测量报告显示，其文本提示的中位能耗为每次0.24瓦时、碳排放0.03克二氧化碳当量，该数值取综合口径，边界含满载动态功耗、空闲备机、宿主机中央处理器与内存、数据中心制冷配电开销；若只计活跃张量处理器，同一次推理的窄口径能耗为0.10瓦时，两个口径相差2.4倍。微软研究院发表于《焦耳》的研究给出前沿规模模型推理的中位能耗为每次查询0.31瓦时、四分位距0.16—0.60瓦时，并指出在测试时扩展情景下（推理长度约为典型查询的15倍），中位能耗升至3.91瓦时，为典型值的13倍。三点口径提示必须随文标注：其一，上述分母均为一次查询而非每千词元，迄今没有任何主流厂商发布过每千词元口径的官方能耗值，任何词元级数字都是换算结果；其二，报告值为中位数而非均值，长尾的长推理请求使均值显著高于中位数；其三，上述测算均为推理口径且不含图像与视频生成。学术界对人工智能能耗的核算方法与边界争议已有系统梳理，数据中心能耗的全球测算亦提示口径选择对结论的决定性影响（Masanet等，2020；Patterson等，2022；Luccioni等，2023；de Vries，2023；IEA，2025）。本书的结论不依赖于任何单一数值，而依赖于一个稳健的事实：单位词元的资源消耗是模型与任务的函数，其离散程度以倍数计而非以百分点计。</w:t>
      </w:r>
    </w:p>
    <w:p>
      <w:pPr>
        <w:keepNext/>
        <w:spacing w:before="160" w:after="120" w:line="360" w:lineRule="auto"/>
        <w:outlineLvl w:val="2"/>
      </w:pPr>
      <w:r>
        <w:rPr>
          <w:rFonts w:ascii="黑体" w:hAnsi="黑体" w:eastAsia="黑体"/>
          <w:sz w:val="24"/>
        </w:rPr>
        <w:t>3.1.3  多模态扩展：词元化边界的外推</w:t>
      </w:r>
    </w:p>
    <w:p>
      <w:pPr>
        <w:spacing w:line="360" w:lineRule="auto" w:after="0"/>
        <w:ind w:firstLineChars="200" w:firstLine="480"/>
        <w:jc w:val="both"/>
      </w:pPr>
      <w:r>
        <w:rPr>
          <w:rFonts w:ascii="宋体" w:hAnsi="宋体" w:eastAsia="宋体"/>
          <w:sz w:val="24"/>
        </w:rPr>
        <w:t>词元的第三个技术环节是模态扩展。随着模型能力从文本延伸到图像、语音与视频，词元化的边界被外推：图像被切分为图块并映射为视觉词元，语音被编码为声学词元，视频则在时间与空间两个维度上同时离散化。这一扩展在工程上是优雅的——统一的词元接口使异构模态得以在同一架构下处理；但在经济计量上，它进一步削弱了词元的可比性。一张图片可以折算为数百乃至数千枚视觉词元，但这些词元所承载的信息密度、所消耗的算力密度与所替代的人类劳动密度，都与一枚文本词元相去甚远。实测研究表明，不同任务类型之间的推理能耗差异可达数量级，图像生成类任务的单位输出能耗远高于文本类任务（Luccioni等，2024）——而在计费口径上，二者却共用“词元”这一个名字。</w:t>
      </w:r>
    </w:p>
    <w:p>
      <w:pPr>
        <w:spacing w:line="360" w:lineRule="auto" w:after="0"/>
        <w:ind w:firstLineChars="200" w:firstLine="480"/>
        <w:jc w:val="both"/>
      </w:pPr>
      <w:r>
        <w:rPr>
          <w:rFonts w:ascii="宋体" w:hAnsi="宋体" w:eastAsia="宋体"/>
          <w:sz w:val="24"/>
        </w:rPr>
        <w:t>官方定义已经把多模态纳入词元的外延。国家数据局在2026年5月的口径中把词元表述为大模型处理文本、代码、图像、音频、视频等所有信息时采用的最小运算单元，并称其正在成为人工智能服务的计量单位、结算单位与统计单位。定义的外延扩展与计量的可比性之间由此形成了一种张力：外延越宽，“词元总量”这一统计量所覆盖的异质对象越多，其作为可加总变量的信息含量就越低。这与统计史上的一般规律一致——统计口径的扩展若不伴随折算刻度的建立，得到的将是一个越来越大、也越来越没有意义的总量。本书在第5章构造效值折算函数时，把场景效用维度设计为可跨模态标定，正是为了在保持外延的同时恢复可比性。</w:t>
      </w:r>
    </w:p>
    <w:p>
      <w:pPr>
        <w:keepNext/>
        <w:spacing w:before="160" w:after="120" w:line="360" w:lineRule="auto"/>
        <w:outlineLvl w:val="2"/>
      </w:pPr>
      <w:r>
        <w:rPr>
          <w:rFonts w:ascii="黑体" w:hAnsi="黑体" w:eastAsia="黑体"/>
          <w:sz w:val="24"/>
        </w:rPr>
        <w:t>3.1.4  上下文、缓存与批处理：单位成本的可调度性</w:t>
      </w:r>
    </w:p>
    <w:p>
      <w:pPr>
        <w:spacing w:line="360" w:lineRule="auto" w:after="0"/>
        <w:ind w:firstLineChars="200" w:firstLine="480"/>
        <w:jc w:val="both"/>
      </w:pPr>
      <w:r>
        <w:rPr>
          <w:rFonts w:ascii="宋体" w:hAnsi="宋体" w:eastAsia="宋体"/>
          <w:sz w:val="24"/>
        </w:rPr>
        <w:t>词元的第四个技术环节是服务侧的调度。式(3-2)刻画的是完成一次任务所需的算力，但企业实际支付的是资源占用的成本，二者之间还隔着服务系统的效率。把技术量映射为成本量，可得单位输出词元的资源成本：</w:t>
      </w:r>
    </w:p>
    <w:p>
      <w:pPr>
        <w:tabs>
          <w:tab w:pos="4252" w:val="center"/>
          <w:tab w:pos="8504" w:val="right"/>
        </w:tabs>
        <w:spacing w:line="360" w:lineRule="auto" w:before="80" w:after="80"/>
      </w:pPr>
      <w:r>
        <w:tab/>
      </w:r>
      <m:oMath>
        <m:sSub>
          <m:e>
            <m:r>
              <m:t>c</m:t>
            </m:r>
          </m:e>
          <m:sub>
            <m:r>
              <m:t>m</m:t>
            </m:r>
            <m:r>
              <m:t>j</m:t>
            </m:r>
          </m:sub>
        </m:sSub>
        <m:r>
          <m:rPr>
            <m:sty m:val="p"/>
          </m:rPr>
          <m:t>=</m:t>
        </m:r>
        <m:f>
          <m:fPr>
            <m:type m:val="bar"/>
          </m:fPr>
          <m:num>
            <m:sSub>
              <m:e>
                <m:r>
                  <m:t>p</m:t>
                </m:r>
              </m:e>
              <m:sub>
                <m:r>
                  <m:t>Φ</m:t>
                </m:r>
              </m:sub>
            </m:sSub>
          </m:num>
          <m:den>
            <m:r>
              <m:t>ϑ</m:t>
            </m:r>
            <m:r>
              <m:t> </m:t>
            </m:r>
            <m:r>
              <m:t>u</m:t>
            </m:r>
            <m:r>
              <m:t> </m:t>
            </m:r>
            <m:r>
              <m:t>β</m:t>
            </m:r>
            <m:r>
              <m:t> </m:t>
            </m:r>
            <m:d>
              <m:dPr>
                <m:begChr m:val="("/>
                <m:endChr m:val=")"/>
                <m:grow/>
              </m:dPr>
              <m:e>
                <m:r>
                  <m:t>1</m:t>
                </m:r>
                <m:r>
                  <m:rPr>
                    <m:sty m:val="p"/>
                  </m:rPr>
                  <m:t>−</m:t>
                </m:r>
                <m:r>
                  <m:t>δ</m:t>
                </m:r>
              </m:e>
            </m:d>
          </m:den>
        </m:f>
        <m:r>
          <m:rPr>
            <m:sty m:val="p"/>
          </m:rPr>
          <m:t>⋅</m:t>
        </m:r>
        <m:f>
          <m:fPr>
            <m:type m:val="bar"/>
          </m:fPr>
          <m:num>
            <m:sSub>
              <m:e>
                <m:r>
                  <m:t>Φ</m:t>
                </m:r>
              </m:e>
              <m:sub>
                <m:r>
                  <m:t>m</m:t>
                </m:r>
              </m:sub>
            </m:sSub>
            <m:d>
              <m:dPr>
                <m:begChr m:val="("/>
                <m:endChr m:val=")"/>
                <m:grow/>
              </m:dPr>
              <m:e>
                <m:r>
                  <m:t>j</m:t>
                </m:r>
              </m:e>
            </m:d>
          </m:num>
          <m:den>
            <m:sSubSup>
              <m:e>
                <m:r>
                  <m:rPr>
                    <m:sty m:val="p"/>
                  </m:rPr>
                  <m:t>ℓ</m:t>
                </m:r>
              </m:e>
              <m:sub>
                <m:r>
                  <m:t>j</m:t>
                </m:r>
              </m:sub>
              <m:sup>
                <m:r>
                  <m:t>o</m:t>
                </m:r>
                <m:r>
                  <m:t>u</m:t>
                </m:r>
                <m:r>
                  <m:t>t</m:t>
                </m:r>
              </m:sup>
            </m:sSubSup>
          </m:den>
        </m:f>
      </m:oMath>
      <w:r>
        <w:tab/>
      </w:r>
      <w:r>
        <w:rPr>
          <w:rFonts w:ascii="Times New Roman" w:hAnsi="Times New Roman" w:eastAsia="宋体"/>
          <w:sz w:val="24"/>
        </w:rPr>
        <w:t>(3-3)</w:t>
      </w:r>
    </w:p>
    <w:p>
      <w:pPr>
        <w:spacing w:line="360" w:lineRule="auto" w:after="0"/>
        <w:jc w:val="both"/>
      </w:pPr>
      <w:r>
        <w:rPr>
          <w:rFonts w:ascii="宋体" w:hAnsi="宋体" w:eastAsia="宋体"/>
          <w:sz w:val="24"/>
        </w:rPr>
        <w:t>其中，</w:t>
      </w:r>
      <m:oMath>
        <m:sSub>
          <m:e>
            <m:r>
              <m:t>c</m:t>
            </m:r>
          </m:e>
          <m:sub>
            <m:r>
              <m:t>m</m:t>
            </m:r>
            <m:r>
              <m:t>j</m:t>
            </m:r>
          </m:sub>
        </m:sSub>
      </m:oMath>
      <w:r>
        <w:rPr>
          <w:rFonts w:ascii="宋体" w:hAnsi="宋体" w:eastAsia="宋体"/>
          <w:sz w:val="24"/>
        </w:rPr>
        <w:t>为模型</w:t>
      </w:r>
      <m:oMath>
        <m:r>
          <m:t>m</m:t>
        </m:r>
      </m:oMath>
      <w:r>
        <w:rPr>
          <w:rFonts w:ascii="宋体" w:hAnsi="宋体" w:eastAsia="宋体"/>
          <w:sz w:val="24"/>
        </w:rPr>
        <w:t>服务任务</w:t>
      </w:r>
      <m:oMath>
        <m:r>
          <m:t>j</m:t>
        </m:r>
      </m:oMath>
      <w:r>
        <w:rPr>
          <w:rFonts w:ascii="宋体" w:hAnsi="宋体" w:eastAsia="宋体"/>
          <w:sz w:val="24"/>
        </w:rPr>
        <w:t>的单位输出词元成本，</w:t>
      </w:r>
      <m:oMath>
        <m:sSub>
          <m:e>
            <m:r>
              <m:t>p</m:t>
            </m:r>
          </m:e>
          <m:sub>
            <m:r>
              <m:t>Φ</m:t>
            </m:r>
          </m:sub>
        </m:sSub>
      </m:oMath>
      <w:r>
        <w:rPr>
          <w:rFonts w:ascii="宋体" w:hAnsi="宋体" w:eastAsia="宋体"/>
          <w:sz w:val="24"/>
        </w:rPr>
        <w:t>为单位算力机时的价格（含折旧、电费与运维），</w:t>
      </w:r>
      <m:oMath>
        <m:r>
          <m:t>ϑ</m:t>
        </m:r>
      </m:oMath>
      <w:r>
        <w:rPr>
          <w:rFonts w:ascii="宋体" w:hAnsi="宋体" w:eastAsia="宋体"/>
          <w:sz w:val="24"/>
        </w:rPr>
        <w:t>为硬件峰值算力，</w:t>
      </w:r>
      <m:oMath>
        <m:r>
          <m:t>u</m:t>
        </m:r>
      </m:oMath>
      <w:r>
        <w:rPr>
          <w:rFonts w:ascii="宋体" w:hAnsi="宋体" w:eastAsia="宋体"/>
          <w:sz w:val="24"/>
        </w:rPr>
        <w:t>为算力利用率，</w:t>
      </w:r>
      <m:oMath>
        <m:r>
          <m:t>β</m:t>
        </m:r>
      </m:oMath>
      <w:r>
        <w:rPr>
          <w:rFonts w:ascii="宋体" w:hAnsi="宋体" w:eastAsia="宋体"/>
          <w:sz w:val="24"/>
        </w:rPr>
        <w:t>为批处理效率系数（并发批次对峰值算力的实现程度），</w:t>
      </w:r>
      <m:oMath>
        <m:r>
          <m:t>δ</m:t>
        </m:r>
      </m:oMath>
      <w:r>
        <w:rPr>
          <w:rFonts w:ascii="宋体" w:hAnsi="宋体" w:eastAsia="宋体"/>
          <w:sz w:val="24"/>
        </w:rPr>
        <w:t>为因时延约束而被迫放弃的产能份额。</w:t>
      </w:r>
    </w:p>
    <w:p>
      <w:pPr>
        <w:spacing w:line="360" w:lineRule="auto" w:after="0"/>
        <w:ind w:firstLineChars="200" w:firstLine="480"/>
        <w:jc w:val="both"/>
      </w:pPr>
      <w:r>
        <w:rPr>
          <w:rFonts w:ascii="宋体" w:hAnsi="宋体" w:eastAsia="宋体"/>
          <w:sz w:val="24"/>
        </w:rPr>
        <w:t>式(3-3)的四条偏导性质构成了词元服务竞争的技术底盘：</w:t>
      </w:r>
      <m:oMath>
        <m:r>
          <m:rPr>
            <m:sty m:val="p"/>
          </m:rPr>
          <m:t>∂</m:t>
        </m:r>
        <m:r>
          <m:t>c</m:t>
        </m:r>
        <m:r>
          <m:rPr>
            <m:sty m:val="p"/>
          </m:rPr>
          <m:t>/</m:t>
        </m:r>
        <m:r>
          <m:rPr>
            <m:sty m:val="p"/>
          </m:rPr>
          <m:t>∂</m:t>
        </m:r>
        <m:sSub>
          <m:e>
            <m:r>
              <m:t>h</m:t>
            </m:r>
          </m:e>
          <m:sub>
            <m:r>
              <m:t>j</m:t>
            </m:r>
          </m:sub>
        </m:sSub>
        <m:r>
          <m:rPr>
            <m:sty m:val="p"/>
          </m:rPr>
          <m:t>&lt;</m:t>
        </m:r>
        <m:r>
          <m:t>0</m:t>
        </m:r>
      </m:oMath>
      <w:r>
        <w:rPr>
          <w:rFonts w:ascii="宋体" w:hAnsi="宋体" w:eastAsia="宋体"/>
          <w:sz w:val="24"/>
        </w:rPr>
        <w:t>、</w:t>
      </w:r>
      <m:oMath>
        <m:r>
          <m:rPr>
            <m:sty m:val="p"/>
          </m:rPr>
          <m:t>∂</m:t>
        </m:r>
        <m:r>
          <m:t>c</m:t>
        </m:r>
        <m:r>
          <m:rPr>
            <m:sty m:val="p"/>
          </m:rPr>
          <m:t>/</m:t>
        </m:r>
        <m:r>
          <m:rPr>
            <m:sty m:val="p"/>
          </m:rPr>
          <m:t>∂</m:t>
        </m:r>
        <m:r>
          <m:t>u</m:t>
        </m:r>
        <m:r>
          <m:rPr>
            <m:sty m:val="p"/>
          </m:rPr>
          <m:t>&lt;</m:t>
        </m:r>
        <m:r>
          <m:t>0</m:t>
        </m:r>
      </m:oMath>
      <w:r>
        <w:rPr>
          <w:rFonts w:ascii="宋体" w:hAnsi="宋体" w:eastAsia="宋体"/>
          <w:sz w:val="24"/>
        </w:rPr>
        <w:t>、</w:t>
      </w:r>
      <m:oMath>
        <m:r>
          <m:rPr>
            <m:sty m:val="p"/>
          </m:rPr>
          <m:t>∂</m:t>
        </m:r>
        <m:r>
          <m:t>c</m:t>
        </m:r>
        <m:r>
          <m:rPr>
            <m:sty m:val="p"/>
          </m:rPr>
          <m:t>/</m:t>
        </m:r>
        <m:r>
          <m:rPr>
            <m:sty m:val="p"/>
          </m:rPr>
          <m:t>∂</m:t>
        </m:r>
        <m:r>
          <m:t>β</m:t>
        </m:r>
        <m:r>
          <m:rPr>
            <m:sty m:val="p"/>
          </m:rPr>
          <m:t>&lt;</m:t>
        </m:r>
        <m:r>
          <m:t>0</m:t>
        </m:r>
      </m:oMath>
      <w:r>
        <w:rPr>
          <w:rFonts w:ascii="宋体" w:hAnsi="宋体" w:eastAsia="宋体"/>
          <w:sz w:val="24"/>
        </w:rPr>
        <w:t>、</w:t>
      </w:r>
      <m:oMath>
        <m:r>
          <m:rPr>
            <m:sty m:val="p"/>
          </m:rPr>
          <m:t>∂</m:t>
        </m:r>
        <m:r>
          <m:t>c</m:t>
        </m:r>
        <m:r>
          <m:rPr>
            <m:sty m:val="p"/>
          </m:rPr>
          <m:t>/</m:t>
        </m:r>
        <m:r>
          <m:rPr>
            <m:sty m:val="p"/>
          </m:rPr>
          <m:t>∂</m:t>
        </m:r>
        <m:r>
          <m:t>δ</m:t>
        </m:r>
        <m:r>
          <m:rPr>
            <m:sty m:val="p"/>
          </m:rPr>
          <m:t>&gt;</m:t>
        </m:r>
        <m:r>
          <m:t>0</m:t>
        </m:r>
      </m:oMath>
      <w:r>
        <w:rPr>
          <w:rFonts w:ascii="宋体" w:hAnsi="宋体" w:eastAsia="宋体"/>
          <w:sz w:val="24"/>
        </w:rPr>
        <w:t>。换言之，缓存命中率、算力利用率与批处理效率的每一分提升都直接压低单位词元成本，而时延承诺的每一分收紧都直接抬高它。工程文献对此已有充分刻画：高效的自回归推理需要在张量并行与流水并行之间做精细权衡（Pope等，2023），注意力计算的访存优化可数倍改变实际吞吐（Dao等，2022），连续批处理与分页式显存管理把服务吞吐推上新的量级（Yu等，2022；Kwon等，2023），预填充与解码阶段的分离部署以及吞吐—时延权衡的调度设计则进一步改变了单位词元的资源占用（Agrawal等，2024；Zhong等，2024）；对生产集群负载的大规模分析亦显示，真实业务的到达过程高度波动，资源预留与实际占用之间存在系统性缺口（Weng等，2022）。</w:t>
      </w:r>
    </w:p>
    <w:p>
      <w:pPr>
        <w:spacing w:line="360" w:lineRule="auto" w:after="0"/>
        <w:ind w:firstLineChars="200" w:firstLine="480"/>
        <w:jc w:val="both"/>
      </w:pPr>
      <w:r>
        <w:rPr>
          <w:rFonts w:ascii="宋体" w:hAnsi="宋体" w:eastAsia="宋体"/>
          <w:sz w:val="24"/>
        </w:rPr>
        <w:t>产业侧的度量实践印证了这一底盘的重要性。清华大学翟季冬团队联合清程极智于2026年5月发布的开源模型词元服务性能榜，把首词元时延（P90分位）、输出吞吐与缓存命中率三项实测指标并列为核心维度，其中缓存命中率的入选正说明缓存已被视为服务经济性的第一序变量；中国信息通信研究院于2026年6月启动的词元服务能力攀登计划，首批联合十家企业达成的企业级通用场景服务性能基线为吞吐不低于每秒55词元、首词元时延不高于0.9秒、调用成功率99.9%——需要特别说明的是，该基线是首批参与企业达成的基线值，既非行业平均水平，也非强制门槛，且其时延指标未标注分位，与清华榜单的P90口径不可直接比较。企业侧的资源利用状况则更为严峻：国际数据公司与中国信息通信研究院联合开展的调研（2026年7月发布，企业自报口径）显示，近半数企业的智算资源利用率处于51%—70%的中等区间，6.7%的企业仅为31%—50%，利用率达到70%以上的企业不足35%，制造与政务行业低于平均水平。式(3-3)对此的解读是直接的：在</w:t>
      </w:r>
      <m:oMath>
        <m:r>
          <m:t>u</m:t>
        </m:r>
      </m:oMath>
      <w:r>
        <w:rPr>
          <w:rFonts w:ascii="宋体" w:hAnsi="宋体" w:eastAsia="宋体"/>
          <w:sz w:val="24"/>
        </w:rPr>
        <w:t>仅有五至七成的条件下，单位词元的实际成本比技术潜力所允许的水平高出四成以上——本书第9章将把这一缺口分解为空转、批次、匹配与效值四项损失，并证明统一调度可将有效效值利用率由0.38提升至0.54。</w:t>
      </w:r>
    </w:p>
    <w:p>
      <w:pPr>
        <w:keepNext/>
        <w:spacing w:before="160" w:after="120" w:line="360" w:lineRule="auto"/>
        <w:outlineLvl w:val="2"/>
      </w:pPr>
      <w:r>
        <w:rPr>
          <w:rFonts w:ascii="黑体" w:hAnsi="黑体" w:eastAsia="黑体"/>
          <w:sz w:val="24"/>
        </w:rPr>
        <w:t>3.1.5  四条技术事实及其经济学提炼</w:t>
      </w:r>
    </w:p>
    <w:p>
      <w:pPr>
        <w:spacing w:line="360" w:lineRule="auto" w:after="0"/>
        <w:ind w:firstLineChars="200" w:firstLine="480"/>
        <w:jc w:val="both"/>
      </w:pPr>
      <w:r>
        <w:rPr>
          <w:rFonts w:ascii="宋体" w:hAnsi="宋体" w:eastAsia="宋体"/>
          <w:sz w:val="24"/>
        </w:rPr>
        <w:t>3.1节的解剖可以提炼为四条技术事实，它们构成本章后续全部经济分析的前提。</w:t>
      </w:r>
      <w:r>
        <w:rPr>
          <w:rFonts w:ascii="宋体" w:hAnsi="宋体" w:eastAsia="宋体"/>
          <w:b/>
          <w:sz w:val="24"/>
        </w:rPr>
        <w:t>事实一：计数非中性。</w:t>
      </w:r>
      <w:r>
        <w:rPr>
          <w:rFonts w:ascii="宋体" w:hAnsi="宋体" w:eastAsia="宋体"/>
          <w:sz w:val="24"/>
        </w:rPr>
        <w:t>词元数由文本与分词器共同决定，具有模型、语言与文本类型三重依赖，因而不是被测对象的客观属性。</w:t>
      </w:r>
      <w:r>
        <w:rPr>
          <w:rFonts w:ascii="宋体" w:hAnsi="宋体" w:eastAsia="宋体"/>
          <w:b/>
          <w:sz w:val="24"/>
        </w:rPr>
        <w:t>事实二：算力非常数。</w:t>
      </w:r>
      <w:r>
        <w:rPr>
          <w:rFonts w:ascii="宋体" w:hAnsi="宋体" w:eastAsia="宋体"/>
          <w:sz w:val="24"/>
        </w:rPr>
        <w:t>单枚词元的算力消耗是模型规模与上下文长度的函数，跨模型跨任务的离散以倍数计。</w:t>
      </w:r>
      <w:r>
        <w:rPr>
          <w:rFonts w:ascii="宋体" w:hAnsi="宋体" w:eastAsia="宋体"/>
          <w:b/>
          <w:sz w:val="24"/>
        </w:rPr>
        <w:t>事实三：成本可调度。</w:t>
      </w:r>
      <w:r>
        <w:rPr>
          <w:rFonts w:ascii="宋体" w:hAnsi="宋体" w:eastAsia="宋体"/>
          <w:sz w:val="24"/>
        </w:rPr>
        <w:t>同一模型、同一任务的单位词元成本随缓存命中率、利用率、批次与时延约束而变，服务系统的效率与定价结构同为成本的决定因素。</w:t>
      </w:r>
      <w:r>
        <w:rPr>
          <w:rFonts w:ascii="宋体" w:hAnsi="宋体" w:eastAsia="宋体"/>
          <w:b/>
          <w:sz w:val="24"/>
        </w:rPr>
        <w:t>事实四：边界可扩展。</w:t>
      </w:r>
      <w:r>
        <w:rPr>
          <w:rFonts w:ascii="宋体" w:hAnsi="宋体" w:eastAsia="宋体"/>
          <w:sz w:val="24"/>
        </w:rPr>
        <w:t>词元化的外延已从文本扩展到全模态，外延扩展在提升覆盖面的同时进一步稀释了可比性。</w:t>
      </w:r>
    </w:p>
    <w:p>
      <w:pPr>
        <w:spacing w:line="360" w:lineRule="auto" w:after="0"/>
        <w:ind w:firstLineChars="200" w:firstLine="480"/>
        <w:jc w:val="both"/>
      </w:pPr>
      <w:r>
        <w:rPr>
          <w:rFonts w:ascii="宋体" w:hAnsi="宋体" w:eastAsia="宋体"/>
          <w:sz w:val="24"/>
        </w:rPr>
        <w:t>四条事实的共同指向是：物理词元是一个良好的</w:t>
      </w:r>
      <w:r>
        <w:rPr>
          <w:rFonts w:ascii="宋体" w:hAnsi="宋体" w:eastAsia="宋体"/>
          <w:b/>
          <w:sz w:val="24"/>
        </w:rPr>
        <w:t>计数单位</w:t>
      </w:r>
      <w:r>
        <w:rPr>
          <w:rFonts w:ascii="宋体" w:hAnsi="宋体" w:eastAsia="宋体"/>
          <w:sz w:val="24"/>
        </w:rPr>
        <w:t>，却不是一个合格的</w:t>
      </w:r>
      <w:r>
        <w:rPr>
          <w:rFonts w:ascii="宋体" w:hAnsi="宋体" w:eastAsia="宋体"/>
          <w:b/>
          <w:sz w:val="24"/>
        </w:rPr>
        <w:t>计量单位</w:t>
      </w:r>
      <w:r>
        <w:rPr>
          <w:rFonts w:ascii="宋体" w:hAnsi="宋体" w:eastAsia="宋体"/>
          <w:sz w:val="24"/>
        </w:rPr>
        <w:t>。计数单位只要求对象可数，计量单位则要求所计之量在不同对象、不同时点、不同主体之间保持同一。一枚词元在技术上确实是离散、可数、可核验的，这使它天然适合充当计费的触发器；但一枚词元所对应的资源耗用、信息含量与经济价值并不恒定，这使它无法充当价值的尺度。这一区分正是本书全部工作的起点，也是理解下一节八项经济属性的钥匙——八项属性中，有的（如价值尺度、稀缺性）直接源于计数属性，有的（如场景依赖性、非竞争性）则源于词元背后的信息品属性，二者的张力构成了词元经济一切制度设计的难点所在。</w:t>
      </w:r>
    </w:p>
    <w:p>
      <w:pPr>
        <w:keepNext/>
        <w:spacing w:before="160" w:after="120" w:line="360" w:lineRule="auto"/>
        <w:outlineLvl w:val="1"/>
      </w:pPr>
      <w:r>
        <w:rPr>
          <w:rFonts w:ascii="黑体" w:hAnsi="黑体" w:eastAsia="黑体"/>
          <w:sz w:val="28"/>
        </w:rPr>
        <w:t>3.2  词元的八项经济属性及其形式化</w:t>
      </w:r>
    </w:p>
    <w:p>
      <w:pPr>
        <w:keepNext/>
        <w:spacing w:before="160" w:after="120" w:line="360" w:lineRule="auto"/>
        <w:outlineLvl w:val="2"/>
      </w:pPr>
      <w:r>
        <w:rPr>
          <w:rFonts w:ascii="黑体" w:hAnsi="黑体" w:eastAsia="黑体"/>
          <w:sz w:val="24"/>
        </w:rPr>
        <w:t>3.2.1  属性谱系：从技术过程到三类经济职能</w:t>
      </w:r>
    </w:p>
    <w:p>
      <w:pPr>
        <w:spacing w:line="360" w:lineRule="auto" w:after="0"/>
        <w:ind w:firstLineChars="200" w:firstLine="480"/>
        <w:jc w:val="both"/>
      </w:pPr>
      <w:r>
        <w:rPr>
          <w:rFonts w:ascii="宋体" w:hAnsi="宋体" w:eastAsia="宋体"/>
          <w:sz w:val="24"/>
        </w:rPr>
        <w:t>把3.1节的技术事实转译为经济属性，需要一条清晰的传导逻辑：技术过程决定词元的算力消耗、信息含量、可复制性与可排他程度，这四项中间变量再决定词元在经济体系中能够承担的职能。本书据此把词元的经济属性归纳为八项，并按其服务的经济职能分为三组：价值尺度、稀缺性与部分排他性构成计量职能组，回答“词元能否充当价值尺度与统计口径”；规模经济、范围经济与场景依赖性构成配置职能组，回答“词元如何引导算力—模型—场景的匹配”；非竞争性与网络外部性构成增长职能组，回答“词元如何作为可观测变量进入增长核算”。属性谱系的完整结构如图3.1所示。</w:t>
      </w:r>
    </w:p>
    <w:p>
      <w:pPr>
        <w:spacing w:before="120" w:after="40"/>
        <w:jc w:val="center"/>
      </w:pPr>
      <w:r>
        <w:drawing>
          <wp:inline xmlns:a="http://schemas.openxmlformats.org/drawingml/2006/main" xmlns:pic="http://schemas.openxmlformats.org/drawingml/2006/picture">
            <wp:extent cx="5040000" cy="3060000"/>
            <wp:docPr id="5" name="Picture 5"/>
            <wp:cNvGraphicFramePr>
              <a:graphicFrameLocks noChangeAspect="1"/>
            </wp:cNvGraphicFramePr>
            <a:graphic>
              <a:graphicData uri="http://schemas.openxmlformats.org/drawingml/2006/picture">
                <pic:pic>
                  <pic:nvPicPr>
                    <pic:cNvPr id="0" name="fig3_1.png"/>
                    <pic:cNvPicPr/>
                  </pic:nvPicPr>
                  <pic:blipFill>
                    <a:blip r:embed="rId13"/>
                    <a:stretch>
                      <a:fillRect/>
                    </a:stretch>
                  </pic:blipFill>
                  <pic:spPr>
                    <a:xfrm>
                      <a:off x="0" y="0"/>
                      <a:ext cx="5040000" cy="3060000"/>
                    </a:xfrm>
                    <a:prstGeom prst="rect"/>
                  </pic:spPr>
                </pic:pic>
              </a:graphicData>
            </a:graphic>
          </wp:inline>
        </w:drawing>
      </w:r>
    </w:p>
    <w:p>
      <w:pPr>
        <w:keepNext w:val="0"/>
        <w:spacing w:after="200"/>
        <w:jc w:val="center"/>
      </w:pPr>
      <w:r>
        <w:rPr>
          <w:rFonts w:ascii="黑体" w:hAnsi="黑体" w:eastAsia="黑体"/>
          <w:sz w:val="21"/>
        </w:rPr>
        <w:t>图3.1  词元的技术属性与经济属性谱系</w:t>
      </w:r>
    </w:p>
    <w:p>
      <w:pPr>
        <w:spacing w:line="360" w:lineRule="auto" w:after="0"/>
        <w:ind w:firstLineChars="200" w:firstLine="480"/>
        <w:jc w:val="both"/>
      </w:pPr>
      <w:r>
        <w:rPr>
          <w:rFonts w:ascii="宋体" w:hAnsi="宋体" w:eastAsia="宋体"/>
          <w:sz w:val="24"/>
        </w:rPr>
        <w:t>图3.1的结构安排体现了三点方法论判断。其一，技术层与经济层之间设置了一条传导带，而非直接连线：这意味着技术特性并不直接产生经济后果，而是先凝结为算力消耗、信息含量、可复制性与可排他程度四项中间变量，再由这四项变量塑造经济属性——这也解释了为什么技术进步（如缓存与批处理优化）能够迅速改变词元的经济属性组合，而无需改变词元这一概念本身。其二，八项属性并非并列罗列，而是按经济职能分组：分组的依据不是属性的技术来源，而是属性在经济分析中被调用的场合，这使属性谱系同时充当了全书的路线图——计量职能组对应第5、6章，配置职能组对应第7至9章，增长职能组对应第12章。其三，三组职能之间存在层级依赖：计量是配置的前提，配置是增长的前提，若第一组属性未能落实为可操作的计量制度，后两组职能的发挥都将受阻。这一层级依赖正是本书把标准词元置于全书基石位置的根本原因。</w:t>
      </w:r>
    </w:p>
    <w:p>
      <w:pPr>
        <w:keepNext/>
        <w:spacing w:before="160" w:after="120" w:line="360" w:lineRule="auto"/>
        <w:outlineLvl w:val="2"/>
      </w:pPr>
      <w:r>
        <w:rPr>
          <w:rFonts w:ascii="黑体" w:hAnsi="黑体" w:eastAsia="黑体"/>
          <w:sz w:val="24"/>
        </w:rPr>
        <w:t>3.2.2  计量职能组：价值尺度、稀缺性与部分排他性</w:t>
      </w:r>
    </w:p>
    <w:p>
      <w:pPr>
        <w:spacing w:line="360" w:lineRule="auto" w:after="0"/>
        <w:ind w:firstLineChars="200" w:firstLine="480"/>
        <w:jc w:val="both"/>
      </w:pPr>
      <w:r>
        <w:rPr>
          <w:rFonts w:ascii="宋体" w:hAnsi="宋体" w:eastAsia="宋体"/>
          <w:b/>
          <w:sz w:val="24"/>
        </w:rPr>
        <w:t>价值尺度</w:t>
      </w:r>
      <w:r>
        <w:rPr>
          <w:rFonts w:ascii="宋体" w:hAnsi="宋体" w:eastAsia="宋体"/>
          <w:sz w:val="24"/>
        </w:rPr>
        <w:t>是词元最受关注的属性，也是其被称为“智能时代的价值锚点”的原因。词元是模型处理与交换信息的最小单位，天然可计数、可归属、可核验，因而具备充当计价与统计口径的形式条件。这一属性的经济价值不在于计量本身，而在于计量所支撑的制度：统一的计量口径把分散的双边议价转化为可比的市场报价，从而降低搜寻、议价与履约的度量费用。标准化的经济收益在其他领域已有实证支持——物流标准化对企业全要素生产率的提升效应即为一例（何凡等，2025），而标准制定组织的治理研究则揭示了共识达成过程中的利益协调机制（Simcoe，2012）。需要强调的是，形式条件不等于实质条件：词元具备成为价值尺度的形式，却因3.1节的四条技术事实而不具备成为价值尺度的实质，这一缺口正是本书全部工作的空间所在。</w:t>
      </w:r>
    </w:p>
    <w:p>
      <w:pPr>
        <w:spacing w:line="360" w:lineRule="auto" w:after="0"/>
        <w:ind w:firstLineChars="200" w:firstLine="480"/>
        <w:jc w:val="both"/>
      </w:pPr>
      <w:r>
        <w:rPr>
          <w:rFonts w:ascii="宋体" w:hAnsi="宋体" w:eastAsia="宋体"/>
          <w:b/>
          <w:sz w:val="24"/>
        </w:rPr>
        <w:t>稀缺性</w:t>
      </w:r>
      <w:r>
        <w:rPr>
          <w:rFonts w:ascii="宋体" w:hAnsi="宋体" w:eastAsia="宋体"/>
          <w:sz w:val="24"/>
        </w:rPr>
        <w:t>是词元区别于一般信息品的关键属性。信息一经生成即可无限复制，似乎不受稀缺性约束；但词元的生成受算力、能源与时延的硬约束，产能无法瞬时扩张，因而稀缺性并不来自信息本身，而来自承载信息生成的要素。把这一直觉形式化：设算力预算为</w:t>
      </w:r>
      <m:oMath>
        <m:acc>
          <m:accPr>
            <m:chr m:val="‾"/>
          </m:accPr>
          <m:e>
            <m:r>
              <m:t>Φ</m:t>
            </m:r>
          </m:e>
        </m:acc>
      </m:oMath>
      <w:r>
        <w:rPr>
          <w:rFonts w:ascii="宋体" w:hAnsi="宋体" w:eastAsia="宋体"/>
          <w:sz w:val="24"/>
        </w:rPr>
        <w:t>，任务集为</w:t>
      </w:r>
      <m:oMath>
        <m:r>
          <m:rPr>
            <m:scr m:val="script"/>
            <m:sty m:val="p"/>
          </m:rPr>
          <m:t>J</m:t>
        </m:r>
      </m:oMath>
      <w:r>
        <w:rPr>
          <w:rFonts w:ascii="宋体" w:hAnsi="宋体" w:eastAsia="宋体"/>
          <w:sz w:val="24"/>
        </w:rPr>
        <w:t>，任务</w:t>
      </w:r>
      <m:oMath>
        <m:r>
          <m:t>j</m:t>
        </m:r>
      </m:oMath>
      <w:r>
        <w:rPr>
          <w:rFonts w:ascii="宋体" w:hAnsi="宋体" w:eastAsia="宋体"/>
          <w:sz w:val="24"/>
        </w:rPr>
        <w:t>的单位词元价值为</w:t>
      </w:r>
      <m:oMath>
        <m:sSub>
          <m:e>
            <m:r>
              <m:t>v</m:t>
            </m:r>
          </m:e>
          <m:sub>
            <m:r>
              <m:t>j</m:t>
            </m:r>
          </m:sub>
        </m:sSub>
      </m:oMath>
      <w:r>
        <w:rPr>
          <w:rFonts w:ascii="宋体" w:hAnsi="宋体" w:eastAsia="宋体"/>
          <w:sz w:val="24"/>
        </w:rPr>
        <w:t>、单位词元算力消耗为</w:t>
      </w:r>
      <m:oMath>
        <m:sSub>
          <m:e>
            <m:r>
              <m:t>φ</m:t>
            </m:r>
          </m:e>
          <m:sub>
            <m:r>
              <m:t>j</m:t>
            </m:r>
          </m:sub>
        </m:sSub>
      </m:oMath>
      <w:r>
        <w:rPr>
          <w:rFonts w:ascii="宋体" w:hAnsi="宋体" w:eastAsia="宋体"/>
          <w:sz w:val="24"/>
        </w:rPr>
        <w:t>，服务方在预算约束下选择各任务的词元供给量，则：</w:t>
      </w:r>
    </w:p>
    <w:p>
      <w:pPr>
        <w:tabs>
          <w:tab w:pos="4252" w:val="center"/>
          <w:tab w:pos="8504" w:val="right"/>
        </w:tabs>
        <w:spacing w:line="360" w:lineRule="auto" w:before="80" w:after="80"/>
      </w:pPr>
      <w:r>
        <w:tab/>
      </w:r>
      <m:oMath>
        <m:sSub>
          <m:e>
            <m:r>
              <m:rPr>
                <m:sty m:val="p"/>
              </m:rPr>
              <m:t>max</m:t>
            </m:r>
          </m:e>
          <m:sub>
            <m:r>
              <m:t>T</m:t>
            </m:r>
            <m:r>
              <m:rPr>
                <m:sty m:val="p"/>
              </m:rPr>
              <m:t>≥</m:t>
            </m:r>
            <m:r>
              <m:t>0</m:t>
            </m:r>
          </m:sub>
        </m:sSub>
        <m:r>
          <m:t> </m:t>
        </m:r>
        <m:nary>
          <m:naryPr>
            <m:chr m:val="∑"/>
            <m:limLoc m:val="undOvr"/>
            <m:subHide m:val="off"/>
            <m:supHide m:val="on"/>
          </m:naryPr>
          <m:sub>
            <m:r>
              <m:t>j</m:t>
            </m:r>
            <m:r>
              <m:rPr>
                <m:sty m:val="p"/>
              </m:rPr>
              <m:t>∈</m:t>
            </m:r>
            <m:r>
              <m:rPr>
                <m:scr m:val="script"/>
                <m:sty m:val="p"/>
              </m:rPr>
              <m:t>J</m:t>
            </m:r>
          </m:sub>
          <m:sup>
            <m:r>
              <m:t>​</m:t>
            </m:r>
          </m:sup>
          <m:e>
            <m:sSub>
              <m:e>
                <m:r>
                  <m:t>v</m:t>
                </m:r>
              </m:e>
              <m:sub>
                <m:r>
                  <m:t>j</m:t>
                </m:r>
              </m:sub>
            </m:sSub>
          </m:e>
        </m:nary>
        <m:sSub>
          <m:e>
            <m:r>
              <m:t>T</m:t>
            </m:r>
          </m:e>
          <m:sub>
            <m:r>
              <m:t>j</m:t>
            </m:r>
          </m:sub>
        </m:sSub>
        <m:r>
          <m:t> </m:t>
        </m:r>
        <m:r>
          <m:rPr>
            <m:sty m:val="p"/>
          </m:rPr>
          <m:t>s</m:t>
        </m:r>
        <m:r>
          <m:rPr>
            <m:sty m:val="p"/>
          </m:rPr>
          <m:t>.</m:t>
        </m:r>
        <m:r>
          <m:rPr>
            <m:sty m:val="p"/>
          </m:rPr>
          <m:t>t</m:t>
        </m:r>
        <m:r>
          <m:rPr>
            <m:sty m:val="p"/>
          </m:rPr>
          <m:t>.</m:t>
        </m:r>
        <m:r>
          <m:t> </m:t>
        </m:r>
        <m:nary>
          <m:naryPr>
            <m:chr m:val="∑"/>
            <m:limLoc m:val="undOvr"/>
            <m:subHide m:val="off"/>
            <m:supHide m:val="on"/>
          </m:naryPr>
          <m:sub>
            <m:r>
              <m:t>j</m:t>
            </m:r>
            <m:r>
              <m:rPr>
                <m:sty m:val="p"/>
              </m:rPr>
              <m:t>∈</m:t>
            </m:r>
            <m:r>
              <m:rPr>
                <m:scr m:val="script"/>
                <m:sty m:val="p"/>
              </m:rPr>
              <m:t>J</m:t>
            </m:r>
          </m:sub>
          <m:sup>
            <m:r>
              <m:t>​</m:t>
            </m:r>
          </m:sup>
          <m:e>
            <m:sSub>
              <m:e>
                <m:r>
                  <m:t>φ</m:t>
                </m:r>
              </m:e>
              <m:sub>
                <m:r>
                  <m:t>j</m:t>
                </m:r>
              </m:sub>
            </m:sSub>
          </m:e>
        </m:nary>
        <m:sSub>
          <m:e>
            <m:r>
              <m:t>T</m:t>
            </m:r>
          </m:e>
          <m:sub>
            <m:r>
              <m:t>j</m:t>
            </m:r>
          </m:sub>
        </m:sSub>
        <m:r>
          <m:rPr>
            <m:sty m:val="p"/>
          </m:rPr>
          <m:t>≤</m:t>
        </m:r>
        <m:acc>
          <m:accPr>
            <m:chr m:val="‾"/>
          </m:accPr>
          <m:e>
            <m:r>
              <m:t>Φ</m:t>
            </m:r>
          </m:e>
        </m:acc>
        <m:r>
          <m:rPr>
            <m:sty m:val="p"/>
          </m:rPr>
          <m:t>;</m:t>
        </m:r>
        <m:r>
          <m:t>  </m:t>
        </m:r>
        <m:sSup>
          <m:e>
            <m:r>
              <m:t>λ</m:t>
            </m:r>
          </m:e>
          <m:sup>
            <m:r>
              <m:rPr>
                <m:sty m:val="p"/>
              </m:rPr>
              <m:t>∗</m:t>
            </m:r>
          </m:sup>
        </m:sSup>
        <m:r>
          <m:rPr>
            <m:sty m:val="p"/>
          </m:rPr>
          <m:t>=</m:t>
        </m:r>
        <m:sSub>
          <m:e>
            <m:r>
              <m:rPr>
                <m:sty m:val="p"/>
              </m:rPr>
              <m:t>max</m:t>
            </m:r>
          </m:e>
          <m:sub>
            <m:r>
              <m:t>j</m:t>
            </m:r>
            <m:r>
              <m:rPr>
                <m:sty m:val="p"/>
              </m:rPr>
              <m:t>∈</m:t>
            </m:r>
            <m:r>
              <m:rPr>
                <m:scr m:val="script"/>
                <m:sty m:val="p"/>
              </m:rPr>
              <m:t>J</m:t>
            </m:r>
          </m:sub>
        </m:sSub>
        <m:f>
          <m:fPr>
            <m:type m:val="bar"/>
          </m:fPr>
          <m:num>
            <m:sSub>
              <m:e>
                <m:r>
                  <m:t>v</m:t>
                </m:r>
              </m:e>
              <m:sub>
                <m:r>
                  <m:t>j</m:t>
                </m:r>
              </m:sub>
            </m:sSub>
          </m:num>
          <m:den>
            <m:sSub>
              <m:e>
                <m:r>
                  <m:t>φ</m:t>
                </m:r>
              </m:e>
              <m:sub>
                <m:r>
                  <m:t>j</m:t>
                </m:r>
              </m:sub>
            </m:sSub>
          </m:den>
        </m:f>
      </m:oMath>
      <w:r>
        <w:tab/>
      </w:r>
      <w:r>
        <w:rPr>
          <w:rFonts w:ascii="Times New Roman" w:hAnsi="Times New Roman" w:eastAsia="宋体"/>
          <w:sz w:val="24"/>
        </w:rPr>
        <w:t>(3-4)</w:t>
      </w:r>
    </w:p>
    <w:p>
      <w:pPr>
        <w:spacing w:line="360" w:lineRule="auto" w:after="0"/>
        <w:jc w:val="both"/>
      </w:pPr>
      <w:r>
        <w:rPr>
          <w:rFonts w:ascii="宋体" w:hAnsi="宋体" w:eastAsia="宋体"/>
          <w:sz w:val="24"/>
        </w:rPr>
        <w:t>其中，</w:t>
      </w:r>
      <m:oMath>
        <m:sSub>
          <m:e>
            <m:r>
              <m:t>T</m:t>
            </m:r>
          </m:e>
          <m:sub>
            <m:r>
              <m:t>j</m:t>
            </m:r>
          </m:sub>
        </m:sSub>
      </m:oMath>
      <w:r>
        <w:rPr>
          <w:rFonts w:ascii="宋体" w:hAnsi="宋体" w:eastAsia="宋体"/>
          <w:sz w:val="24"/>
        </w:rPr>
        <w:t>为分配给任务</w:t>
      </w:r>
      <m:oMath>
        <m:r>
          <m:t>j</m:t>
        </m:r>
      </m:oMath>
      <w:r>
        <w:rPr>
          <w:rFonts w:ascii="宋体" w:hAnsi="宋体" w:eastAsia="宋体"/>
          <w:sz w:val="24"/>
        </w:rPr>
        <w:t>的词元量，</w:t>
      </w:r>
      <m:oMath>
        <m:sSup>
          <m:e>
            <m:r>
              <m:t>λ</m:t>
            </m:r>
          </m:e>
          <m:sup>
            <m:r>
              <m:rPr>
                <m:sty m:val="p"/>
              </m:rPr>
              <m:t>∗</m:t>
            </m:r>
          </m:sup>
        </m:sSup>
      </m:oMath>
      <w:r>
        <w:rPr>
          <w:rFonts w:ascii="宋体" w:hAnsi="宋体" w:eastAsia="宋体"/>
          <w:sz w:val="24"/>
        </w:rPr>
        <w:t>为算力约束的拉格朗日乘子，即单位算力的影子价格；最优解为把全部算力配置于价值—算力比最高的任务。</w:t>
      </w:r>
    </w:p>
    <w:p>
      <w:pPr>
        <w:spacing w:line="360" w:lineRule="auto" w:after="0"/>
        <w:ind w:firstLineChars="200" w:firstLine="480"/>
        <w:jc w:val="both"/>
      </w:pPr>
      <w:r>
        <w:rPr>
          <w:rFonts w:ascii="宋体" w:hAnsi="宋体" w:eastAsia="宋体"/>
          <w:sz w:val="24"/>
        </w:rPr>
        <w:t>式(3-4)有三点经济含义。第一，词元的稀缺性可以被精确地量化为算力约束的影子价格</w:t>
      </w:r>
      <m:oMath>
        <m:sSup>
          <m:e>
            <m:r>
              <m:t>λ</m:t>
            </m:r>
          </m:e>
          <m:sup>
            <m:r>
              <m:rPr>
                <m:sty m:val="p"/>
              </m:rPr>
              <m:t>∗</m:t>
            </m:r>
          </m:sup>
        </m:sSup>
      </m:oMath>
      <w:r>
        <w:rPr>
          <w:rFonts w:ascii="宋体" w:hAnsi="宋体" w:eastAsia="宋体"/>
          <w:sz w:val="24"/>
        </w:rPr>
        <w:t>，其经济学地位与能源经济学中单位标准煤的影子价格完全同构。第二，最优配置准则是按价值—算力比排序，而非按价值排序——这直接预告了第9章任务—模型匹配问题的目标函数，也解释了为什么“把最强模型用于所有任务”在经济上是错误的。第三，</w:t>
      </w:r>
      <m:oMath>
        <m:sSup>
          <m:e>
            <m:r>
              <m:t>λ</m:t>
            </m:r>
          </m:e>
          <m:sup>
            <m:r>
              <m:rPr>
                <m:sty m:val="p"/>
              </m:rPr>
              <m:t>∗</m:t>
            </m:r>
          </m:sup>
        </m:sSup>
      </m:oMath>
      <w:r>
        <w:rPr>
          <w:rFonts w:ascii="宋体" w:hAnsi="宋体" w:eastAsia="宋体"/>
          <w:sz w:val="24"/>
        </w:rPr>
        <w:t>随算力供给的松紧而变，因而词元价格具有内生的时段性与周期性，3.1.3节提到的峰谷分时定价正是这一属性的市场表现。稀缺性的宏观表现则是需求扩张与供给约束的赛跑：按国家数据局公开发布的口径，我国日均词元调用量由2024年初的1000亿枚增至2025年6月底的30万亿枚、2025年底的100万亿枚，2026年3月突破140万亿枚，两年增长约1400倍；而算力供给受制于芯片产能、电力接入与机房建设周期，其扩张速度远低于此。能源侧的约束尤为刚性，国际能源署对人工智能与能源关系的系统评估指出，数据中心电力需求的增长已成为电力系统规划必须正视的结构性变量（IEA，2025）。</w:t>
      </w:r>
    </w:p>
    <w:p>
      <w:pPr>
        <w:spacing w:line="360" w:lineRule="auto" w:after="0"/>
        <w:ind w:firstLineChars="200" w:firstLine="480"/>
        <w:jc w:val="both"/>
      </w:pPr>
      <w:r>
        <w:rPr>
          <w:rFonts w:ascii="宋体" w:hAnsi="宋体" w:eastAsia="宋体"/>
          <w:b/>
          <w:sz w:val="24"/>
        </w:rPr>
        <w:t>部分排他性</w:t>
      </w:r>
      <w:r>
        <w:rPr>
          <w:rFonts w:ascii="宋体" w:hAnsi="宋体" w:eastAsia="宋体"/>
          <w:sz w:val="24"/>
        </w:rPr>
        <w:t>是词元产权属性的准确表述。完全排他的商品可以借助物理占有实现产权，完全非排他的公共品则无法排除他人使用；词元处于二者之间：生成能力可以经接口鉴权、密钥管理与许可协议实现严格排他——未获授权者无法调用模型生成词元；但词元一经生成并交付，其承载的内容就与普通数字内容无异，可被无损复制、转发与再利用，供给方无法排除下游的二次使用。排他发生在生成环节而非使用环节，这一非对称性带来两个后果：其一，词元服务的商业模式必然以接口访问而非内容销售为核心，平台对接口的控制权即其产权基础；其二，若要对词元的下游使用主张权利（如出海合规、内容溯源与碳足迹核销），必须借助技术手段把不可排他的内容转化为可识别的对象，大模型输出的水印与可扩展溯源技术正是为此而生（Kirchenbauer等，2023；Dathathri等，2024），我国生成式人工智能服务管理暂行办法与深度合成管理规定亦对标识与溯源提出了制度要求（「国家互联网信息办公室等，2022」；国家互联网信息办公室等，2023）。第11章的绿色词元凭证体系正是建立在这一属性之上：没有可信溯源，绿色词元的溢价就无法被供给方占有。</w:t>
      </w:r>
    </w:p>
    <w:p>
      <w:pPr>
        <w:keepNext/>
        <w:spacing w:before="160" w:after="120" w:line="360" w:lineRule="auto"/>
        <w:outlineLvl w:val="2"/>
      </w:pPr>
      <w:r>
        <w:rPr>
          <w:rFonts w:ascii="黑体" w:hAnsi="黑体" w:eastAsia="黑体"/>
          <w:sz w:val="24"/>
        </w:rPr>
        <w:t>3.2.3  配置职能组：规模经济、范围经济与场景依赖性</w:t>
      </w:r>
    </w:p>
    <w:p>
      <w:pPr>
        <w:spacing w:line="360" w:lineRule="auto" w:after="0"/>
        <w:ind w:firstLineChars="200" w:firstLine="480"/>
        <w:jc w:val="both"/>
      </w:pPr>
      <w:r>
        <w:rPr>
          <w:rFonts w:ascii="宋体" w:hAnsi="宋体" w:eastAsia="宋体"/>
          <w:b/>
          <w:sz w:val="24"/>
        </w:rPr>
        <w:t>规模经济</w:t>
      </w:r>
      <w:r>
        <w:rPr>
          <w:rFonts w:ascii="宋体" w:hAnsi="宋体" w:eastAsia="宋体"/>
          <w:sz w:val="24"/>
        </w:rPr>
        <w:t>源于词元生产的成本结构。模型训练、对齐与部署构成巨额固定成本，与产量无关；推理的边际成本虽为正，但在批处理与缓存优化下相当低廉且随批次摊薄。设固定成本为</w:t>
      </w:r>
      <m:oMath>
        <m:r>
          <m:t>F</m:t>
        </m:r>
      </m:oMath>
      <w:r>
        <w:rPr>
          <w:rFonts w:ascii="宋体" w:hAnsi="宋体" w:eastAsia="宋体"/>
          <w:sz w:val="24"/>
        </w:rPr>
        <w:t>、单位推理边际成本为</w:t>
      </w:r>
      <m:oMath>
        <m:r>
          <m:t>c</m:t>
        </m:r>
      </m:oMath>
      <w:r>
        <w:rPr>
          <w:rFonts w:ascii="宋体" w:hAnsi="宋体" w:eastAsia="宋体"/>
          <w:sz w:val="24"/>
        </w:rPr>
        <w:t>，产量为</w:t>
      </w:r>
      <m:oMath>
        <m:r>
          <m:t>T</m:t>
        </m:r>
      </m:oMath>
      <w:r>
        <w:rPr>
          <w:rFonts w:ascii="宋体" w:hAnsi="宋体" w:eastAsia="宋体"/>
          <w:sz w:val="24"/>
        </w:rPr>
        <w:t>，则成本函数与规模经济度为：</w:t>
      </w:r>
    </w:p>
    <w:p>
      <w:pPr>
        <w:tabs>
          <w:tab w:pos="4252" w:val="center"/>
          <w:tab w:pos="8504" w:val="right"/>
        </w:tabs>
        <w:spacing w:line="360" w:lineRule="auto" w:before="80" w:after="80"/>
      </w:pPr>
      <w:r>
        <w:tab/>
      </w:r>
      <m:oMath>
        <m:r>
          <m:t>C</m:t>
        </m:r>
        <m:d>
          <m:dPr>
            <m:begChr m:val="("/>
            <m:endChr m:val=")"/>
            <m:grow/>
          </m:dPr>
          <m:e>
            <m:r>
              <m:t>T</m:t>
            </m:r>
          </m:e>
        </m:d>
        <m:r>
          <m:rPr>
            <m:sty m:val="p"/>
          </m:rPr>
          <m:t>=</m:t>
        </m:r>
        <m:r>
          <m:t>F</m:t>
        </m:r>
        <m:r>
          <m:rPr>
            <m:sty m:val="p"/>
          </m:rPr>
          <m:t>+</m:t>
        </m:r>
        <m:r>
          <m:t>c</m:t>
        </m:r>
        <m:r>
          <m:t>T</m:t>
        </m:r>
        <m:r>
          <m:rPr>
            <m:sty m:val="p"/>
          </m:rPr>
          <m:t>,</m:t>
        </m:r>
        <m:r>
          <m:t>  </m:t>
        </m:r>
        <m:r>
          <m:t>S</m:t>
        </m:r>
        <m:d>
          <m:dPr>
            <m:begChr m:val="("/>
            <m:endChr m:val=")"/>
            <m:grow/>
          </m:dPr>
          <m:e>
            <m:r>
              <m:t>T</m:t>
            </m:r>
          </m:e>
        </m:d>
        <m:r>
          <m:rPr>
            <m:sty m:val="p"/>
          </m:rPr>
          <m:t>=</m:t>
        </m:r>
        <m:f>
          <m:fPr>
            <m:type m:val="bar"/>
          </m:fPr>
          <m:num>
            <m:r>
              <m:t>A</m:t>
            </m:r>
            <m:r>
              <m:t>C</m:t>
            </m:r>
            <m:d>
              <m:dPr>
                <m:begChr m:val="("/>
                <m:endChr m:val=")"/>
                <m:grow/>
              </m:dPr>
              <m:e>
                <m:r>
                  <m:t>T</m:t>
                </m:r>
              </m:e>
            </m:d>
          </m:num>
          <m:den>
            <m:r>
              <m:t>M</m:t>
            </m:r>
            <m:r>
              <m:t>C</m:t>
            </m:r>
            <m:d>
              <m:dPr>
                <m:begChr m:val="("/>
                <m:endChr m:val=")"/>
                <m:grow/>
              </m:dPr>
              <m:e>
                <m:r>
                  <m:t>T</m:t>
                </m:r>
              </m:e>
            </m:d>
          </m:den>
        </m:f>
        <m:r>
          <m:rPr>
            <m:sty m:val="p"/>
          </m:rPr>
          <m:t>=</m:t>
        </m:r>
        <m:r>
          <m:t>1</m:t>
        </m:r>
        <m:r>
          <m:rPr>
            <m:sty m:val="p"/>
          </m:rPr>
          <m:t>+</m:t>
        </m:r>
        <m:f>
          <m:fPr>
            <m:type m:val="bar"/>
          </m:fPr>
          <m:num>
            <m:r>
              <m:t>F</m:t>
            </m:r>
          </m:num>
          <m:den>
            <m:r>
              <m:t>c</m:t>
            </m:r>
            <m:r>
              <m:t>T</m:t>
            </m:r>
          </m:den>
        </m:f>
        <m:r>
          <m:rPr>
            <m:sty m:val="p"/>
          </m:rPr>
          <m:t>&gt;</m:t>
        </m:r>
        <m:r>
          <m:t>1</m:t>
        </m:r>
        <m:r>
          <m:rPr>
            <m:sty m:val="p"/>
          </m:rPr>
          <m:t>,</m:t>
        </m:r>
        <m:r>
          <m:t>  </m:t>
        </m:r>
        <m:f>
          <m:fPr>
            <m:type m:val="bar"/>
          </m:fPr>
          <m:num>
            <m:r>
              <m:rPr>
                <m:sty m:val="p"/>
              </m:rPr>
              <m:t>∂</m:t>
            </m:r>
            <m:r>
              <m:t>S</m:t>
            </m:r>
          </m:num>
          <m:den>
            <m:r>
              <m:rPr>
                <m:sty m:val="p"/>
              </m:rPr>
              <m:t>∂</m:t>
            </m:r>
            <m:r>
              <m:t>T</m:t>
            </m:r>
          </m:den>
        </m:f>
        <m:r>
          <m:rPr>
            <m:sty m:val="p"/>
          </m:rPr>
          <m:t>&lt;</m:t>
        </m:r>
        <m:r>
          <m:t>0</m:t>
        </m:r>
      </m:oMath>
      <w:r>
        <w:tab/>
      </w:r>
      <w:r>
        <w:rPr>
          <w:rFonts w:ascii="Times New Roman" w:hAnsi="Times New Roman" w:eastAsia="宋体"/>
          <w:sz w:val="24"/>
        </w:rPr>
        <w:t>(3-5)</w:t>
      </w:r>
    </w:p>
    <w:p>
      <w:pPr>
        <w:spacing w:line="360" w:lineRule="auto" w:after="0"/>
        <w:jc w:val="both"/>
      </w:pPr>
      <w:r>
        <w:rPr>
          <w:rFonts w:ascii="宋体" w:hAnsi="宋体" w:eastAsia="宋体"/>
          <w:sz w:val="24"/>
        </w:rPr>
        <w:t>其中，</w:t>
      </w:r>
      <m:oMath>
        <m:r>
          <m:t>A</m:t>
        </m:r>
        <m:r>
          <m:t>C</m:t>
        </m:r>
      </m:oMath>
      <w:r>
        <w:rPr>
          <w:rFonts w:ascii="宋体" w:hAnsi="宋体" w:eastAsia="宋体"/>
          <w:sz w:val="24"/>
        </w:rPr>
        <w:t>与</w:t>
      </w:r>
      <m:oMath>
        <m:r>
          <m:t>M</m:t>
        </m:r>
        <m:r>
          <m:t>C</m:t>
        </m:r>
      </m:oMath>
      <w:r>
        <w:rPr>
          <w:rFonts w:ascii="宋体" w:hAnsi="宋体" w:eastAsia="宋体"/>
          <w:sz w:val="24"/>
        </w:rPr>
        <w:t>分别为平均成本与边际成本，</w:t>
      </w:r>
      <m:oMath>
        <m:r>
          <m:t>S</m:t>
        </m:r>
        <m:d>
          <m:dPr>
            <m:begChr m:val="("/>
            <m:endChr m:val=")"/>
            <m:grow/>
          </m:dPr>
          <m:e>
            <m:r>
              <m:t>T</m:t>
            </m:r>
          </m:e>
        </m:d>
      </m:oMath>
      <w:r>
        <w:rPr>
          <w:rFonts w:ascii="宋体" w:hAnsi="宋体" w:eastAsia="宋体"/>
          <w:sz w:val="24"/>
        </w:rPr>
        <w:t>为规模经济度；</w:t>
      </w:r>
      <m:oMath>
        <m:r>
          <m:t>S</m:t>
        </m:r>
        <m:r>
          <m:rPr>
            <m:sty m:val="p"/>
          </m:rPr>
          <m:t>&gt;</m:t>
        </m:r>
        <m:r>
          <m:t>1</m:t>
        </m:r>
      </m:oMath>
      <w:r>
        <w:rPr>
          <w:rFonts w:ascii="宋体" w:hAnsi="宋体" w:eastAsia="宋体"/>
          <w:sz w:val="24"/>
        </w:rPr>
        <w:t>表示存在规模经济，</w:t>
      </w:r>
      <m:oMath>
        <m:r>
          <m:t>S</m:t>
        </m:r>
      </m:oMath>
      <w:r>
        <w:rPr>
          <w:rFonts w:ascii="宋体" w:hAnsi="宋体" w:eastAsia="宋体"/>
          <w:sz w:val="24"/>
        </w:rPr>
        <w:t>随产量上升而下降表示规模经济的强度随产量递减但不消失。</w:t>
      </w:r>
    </w:p>
    <w:p>
      <w:pPr>
        <w:spacing w:line="360" w:lineRule="auto" w:after="0"/>
        <w:ind w:firstLineChars="200" w:firstLine="480"/>
        <w:jc w:val="both"/>
      </w:pPr>
      <w:r>
        <w:rPr>
          <w:rFonts w:ascii="宋体" w:hAnsi="宋体" w:eastAsia="宋体"/>
          <w:sz w:val="24"/>
        </w:rPr>
        <w:t>式(3-5)的经验对应可由本书的成本测算给出：六个模型档位的平均成本与边际成本之比均处于1.89—1.91之间，即规模经济度约为1.91，意味着固定成本摊销约占平均成本的48%。这一结构有两点含义。其一，词元生产具有天然的集中倾向：在给定技术条件下，产量更大的服务方总能实现更低的平均成本，这与云计算等信息技术服务的成本结构一致，也是云服务规模扩张带来价格持续下降的原因（Byrne等，2018；Coyle和Nguyen，2019）；企业层面的证据表明，云计算的采用显著改变了企业的成长路径与生产率分布（DeStefano等，2025）。其二，规模经济与前述稀缺性并不矛盾：规模经济作用于长期平均成本，稀缺性作用于短期产能约束，二者共同决定了词元市场“长期价格下行、短期时段紧张”的双重特征。第8章将在此基础上讨论最小有效规模、可竞争性与自然垄断倾向。</w:t>
      </w:r>
    </w:p>
    <w:p>
      <w:pPr>
        <w:spacing w:line="360" w:lineRule="auto" w:after="0"/>
        <w:ind w:firstLineChars="200" w:firstLine="480"/>
        <w:jc w:val="both"/>
      </w:pPr>
      <w:r>
        <w:rPr>
          <w:rFonts w:ascii="宋体" w:hAnsi="宋体" w:eastAsia="宋体"/>
          <w:b/>
          <w:sz w:val="24"/>
        </w:rPr>
        <w:t>范围经济</w:t>
      </w:r>
      <w:r>
        <w:rPr>
          <w:rFonts w:ascii="宋体" w:hAnsi="宋体" w:eastAsia="宋体"/>
          <w:sz w:val="24"/>
        </w:rPr>
        <w:t>源于模型资产的通用性。同一模型可同时服务问答、编程、翻译、审校、设计与质检等大量任务，固定成本在场景之间分摊。设模型服务</w:t>
      </w:r>
      <m:oMath>
        <m:r>
          <m:t>J</m:t>
        </m:r>
      </m:oMath>
      <w:r>
        <w:rPr>
          <w:rFonts w:ascii="宋体" w:hAnsi="宋体" w:eastAsia="宋体"/>
          <w:sz w:val="24"/>
        </w:rPr>
        <w:t>个任务，各任务的边际成本为</w:t>
      </w:r>
      <m:oMath>
        <m:sSub>
          <m:e>
            <m:r>
              <m:t>c</m:t>
            </m:r>
          </m:e>
          <m:sub>
            <m:r>
              <m:t>j</m:t>
            </m:r>
          </m:sub>
        </m:sSub>
      </m:oMath>
      <w:r>
        <w:rPr>
          <w:rFonts w:ascii="宋体" w:hAnsi="宋体" w:eastAsia="宋体"/>
          <w:sz w:val="24"/>
        </w:rPr>
        <w:t>，则范围经济度为：</w:t>
      </w:r>
    </w:p>
    <w:p>
      <w:pPr>
        <w:tabs>
          <w:tab w:pos="4252" w:val="center"/>
          <w:tab w:pos="8504" w:val="right"/>
        </w:tabs>
        <w:spacing w:line="360" w:lineRule="auto" w:before="80" w:after="80"/>
      </w:pPr>
      <w:r>
        <w:tab/>
      </w:r>
      <m:oMath>
        <m:r>
          <m:t>S</m:t>
        </m:r>
        <m:r>
          <m:t>C</m:t>
        </m:r>
        <m:r>
          <m:rPr>
            <m:sty m:val="p"/>
          </m:rPr>
          <m:t>=</m:t>
        </m:r>
        <m:f>
          <m:fPr>
            <m:type m:val="bar"/>
          </m:fPr>
          <m:num>
            <m:nary>
              <m:naryPr>
                <m:chr m:val="∑"/>
                <m:limLoc m:val="undOvr"/>
                <m:subHide m:val="off"/>
                <m:supHide m:val="off"/>
              </m:naryPr>
              <m:sub>
                <m:r>
                  <m:t>j</m:t>
                </m:r>
                <m:r>
                  <m:rPr>
                    <m:sty m:val="p"/>
                  </m:rPr>
                  <m:t>=</m:t>
                </m:r>
                <m:r>
                  <m:t>1</m:t>
                </m:r>
              </m:sub>
              <m:sup>
                <m:r>
                  <m:t>J</m:t>
                </m:r>
              </m:sup>
              <m:e>
                <m:r>
                  <m:t>C</m:t>
                </m:r>
              </m:e>
            </m:nary>
            <m:d>
              <m:dPr>
                <m:begChr m:val="("/>
                <m:endChr m:val=")"/>
                <m:grow/>
              </m:dPr>
              <m:e>
                <m:r>
                  <m:t>0</m:t>
                </m:r>
                <m:r>
                  <m:rPr>
                    <m:sty m:val="p"/>
                  </m:rPr>
                  <m:t>,</m:t>
                </m:r>
                <m:r>
                  <m:rPr>
                    <m:sty m:val="p"/>
                  </m:rPr>
                  <m:t>…</m:t>
                </m:r>
                <m:r>
                  <m:rPr>
                    <m:sty m:val="p"/>
                  </m:rPr>
                  <m:t>,</m:t>
                </m:r>
                <m:sSub>
                  <m:e>
                    <m:r>
                      <m:t>T</m:t>
                    </m:r>
                  </m:e>
                  <m:sub>
                    <m:r>
                      <m:t>j</m:t>
                    </m:r>
                  </m:sub>
                </m:sSub>
                <m:r>
                  <m:rPr>
                    <m:sty m:val="p"/>
                  </m:rPr>
                  <m:t>,</m:t>
                </m:r>
                <m:r>
                  <m:rPr>
                    <m:sty m:val="p"/>
                  </m:rPr>
                  <m:t>…</m:t>
                </m:r>
                <m:r>
                  <m:rPr>
                    <m:sty m:val="p"/>
                  </m:rPr>
                  <m:t>,</m:t>
                </m:r>
                <m:r>
                  <m:t>0</m:t>
                </m:r>
              </m:e>
            </m:d>
            <m:r>
              <m:rPr>
                <m:sty m:val="p"/>
              </m:rPr>
              <m:t>−</m:t>
            </m:r>
            <m:r>
              <m:t>C</m:t>
            </m:r>
            <m:d>
              <m:dPr>
                <m:begChr m:val="("/>
                <m:endChr m:val=")"/>
                <m:grow/>
              </m:dPr>
              <m:e>
                <m:sSub>
                  <m:e>
                    <m:r>
                      <m:t>T</m:t>
                    </m:r>
                  </m:e>
                  <m:sub>
                    <m:r>
                      <m:t>1</m:t>
                    </m:r>
                  </m:sub>
                </m:sSub>
                <m:r>
                  <m:rPr>
                    <m:sty m:val="p"/>
                  </m:rPr>
                  <m:t>,</m:t>
                </m:r>
                <m:r>
                  <m:rPr>
                    <m:sty m:val="p"/>
                  </m:rPr>
                  <m:t>…</m:t>
                </m:r>
                <m:r>
                  <m:rPr>
                    <m:sty m:val="p"/>
                  </m:rPr>
                  <m:t>,</m:t>
                </m:r>
                <m:sSub>
                  <m:e>
                    <m:r>
                      <m:t>T</m:t>
                    </m:r>
                  </m:e>
                  <m:sub>
                    <m:r>
                      <m:t>J</m:t>
                    </m:r>
                  </m:sub>
                </m:sSub>
              </m:e>
            </m:d>
          </m:num>
          <m:den>
            <m:r>
              <m:t>C</m:t>
            </m:r>
            <m:d>
              <m:dPr>
                <m:begChr m:val="("/>
                <m:endChr m:val=")"/>
                <m:grow/>
              </m:dPr>
              <m:e>
                <m:sSub>
                  <m:e>
                    <m:r>
                      <m:t>T</m:t>
                    </m:r>
                  </m:e>
                  <m:sub>
                    <m:r>
                      <m:t>1</m:t>
                    </m:r>
                  </m:sub>
                </m:sSub>
                <m:r>
                  <m:rPr>
                    <m:sty m:val="p"/>
                  </m:rPr>
                  <m:t>,</m:t>
                </m:r>
                <m:r>
                  <m:rPr>
                    <m:sty m:val="p"/>
                  </m:rPr>
                  <m:t>…</m:t>
                </m:r>
                <m:r>
                  <m:rPr>
                    <m:sty m:val="p"/>
                  </m:rPr>
                  <m:t>,</m:t>
                </m:r>
                <m:sSub>
                  <m:e>
                    <m:r>
                      <m:t>T</m:t>
                    </m:r>
                  </m:e>
                  <m:sub>
                    <m:r>
                      <m:t>J</m:t>
                    </m:r>
                  </m:sub>
                </m:sSub>
              </m:e>
            </m:d>
          </m:den>
        </m:f>
        <m:r>
          <m:rPr>
            <m:sty m:val="p"/>
          </m:rPr>
          <m:t>=</m:t>
        </m:r>
        <m:f>
          <m:fPr>
            <m:type m:val="bar"/>
          </m:fPr>
          <m:num>
            <m:d>
              <m:dPr>
                <m:begChr m:val="("/>
                <m:endChr m:val=")"/>
                <m:grow/>
              </m:dPr>
              <m:e>
                <m:r>
                  <m:t>J</m:t>
                </m:r>
                <m:r>
                  <m:rPr>
                    <m:sty m:val="p"/>
                  </m:rPr>
                  <m:t>−</m:t>
                </m:r>
                <m:r>
                  <m:t>1</m:t>
                </m:r>
              </m:e>
            </m:d>
            <m:r>
              <m:t>F</m:t>
            </m:r>
          </m:num>
          <m:den>
            <m:r>
              <m:t>F</m:t>
            </m:r>
            <m:r>
              <m:rPr>
                <m:sty m:val="p"/>
              </m:rPr>
              <m:t>+</m:t>
            </m:r>
            <m:nary>
              <m:naryPr>
                <m:chr m:val="∑"/>
                <m:limLoc m:val="undOvr"/>
                <m:subHide m:val="off"/>
                <m:supHide m:val="off"/>
              </m:naryPr>
              <m:sub>
                <m:r>
                  <m:t>j</m:t>
                </m:r>
                <m:r>
                  <m:rPr>
                    <m:sty m:val="p"/>
                  </m:rPr>
                  <m:t>=</m:t>
                </m:r>
                <m:r>
                  <m:t>1</m:t>
                </m:r>
              </m:sub>
              <m:sup>
                <m:r>
                  <m:t>J</m:t>
                </m:r>
              </m:sup>
              <m:e>
                <m:sSub>
                  <m:e>
                    <m:r>
                      <m:t>c</m:t>
                    </m:r>
                  </m:e>
                  <m:sub>
                    <m:r>
                      <m:t>j</m:t>
                    </m:r>
                  </m:sub>
                </m:sSub>
              </m:e>
            </m:nary>
            <m:sSub>
              <m:e>
                <m:r>
                  <m:t>T</m:t>
                </m:r>
              </m:e>
              <m:sub>
                <m:r>
                  <m:t>j</m:t>
                </m:r>
              </m:sub>
            </m:sSub>
          </m:den>
        </m:f>
        <m:r>
          <m:rPr>
            <m:sty m:val="p"/>
          </m:rPr>
          <m:t>&gt;</m:t>
        </m:r>
        <m:r>
          <m:t>0</m:t>
        </m:r>
      </m:oMath>
      <w:r>
        <w:tab/>
      </w:r>
      <w:r>
        <w:rPr>
          <w:rFonts w:ascii="Times New Roman" w:hAnsi="Times New Roman" w:eastAsia="宋体"/>
          <w:sz w:val="24"/>
        </w:rPr>
        <w:t>(3-6)</w:t>
      </w:r>
    </w:p>
    <w:p>
      <w:pPr>
        <w:spacing w:line="360" w:lineRule="auto" w:after="0"/>
        <w:jc w:val="both"/>
      </w:pPr>
      <w:r>
        <w:rPr>
          <w:rFonts w:ascii="宋体" w:hAnsi="宋体" w:eastAsia="宋体"/>
          <w:sz w:val="24"/>
        </w:rPr>
        <w:t>其中，分子为</w:t>
      </w:r>
      <m:oMath>
        <m:r>
          <m:t>J</m:t>
        </m:r>
      </m:oMath>
      <w:r>
        <w:rPr>
          <w:rFonts w:ascii="宋体" w:hAnsi="宋体" w:eastAsia="宋体"/>
          <w:sz w:val="24"/>
        </w:rPr>
        <w:t>个任务分别独立生产的成本之和与联合生产成本之差，</w:t>
      </w:r>
      <m:oMath>
        <m:r>
          <m:t>S</m:t>
        </m:r>
        <m:r>
          <m:t>C</m:t>
        </m:r>
        <m:r>
          <m:rPr>
            <m:sty m:val="p"/>
          </m:rPr>
          <m:t>&gt;</m:t>
        </m:r>
        <m:r>
          <m:t>0</m:t>
        </m:r>
      </m:oMath>
      <w:r>
        <w:rPr>
          <w:rFonts w:ascii="宋体" w:hAnsi="宋体" w:eastAsia="宋体"/>
          <w:sz w:val="24"/>
        </w:rPr>
        <w:t>即存在范围经济；</w:t>
      </w:r>
      <m:oMath>
        <m:r>
          <m:t>S</m:t>
        </m:r>
        <m:r>
          <m:t>C</m:t>
        </m:r>
      </m:oMath>
      <w:r>
        <w:rPr>
          <w:rFonts w:ascii="宋体" w:hAnsi="宋体" w:eastAsia="宋体"/>
          <w:sz w:val="24"/>
        </w:rPr>
        <w:t>随任务数</w:t>
      </w:r>
      <m:oMath>
        <m:r>
          <m:t>J</m:t>
        </m:r>
      </m:oMath>
      <w:r>
        <w:rPr>
          <w:rFonts w:ascii="宋体" w:hAnsi="宋体" w:eastAsia="宋体"/>
          <w:sz w:val="24"/>
        </w:rPr>
        <w:t>上升而上升，随总产量上升而下降。</w:t>
      </w:r>
    </w:p>
    <w:p>
      <w:pPr>
        <w:spacing w:line="360" w:lineRule="auto" w:after="0"/>
        <w:ind w:firstLineChars="200" w:firstLine="480"/>
        <w:jc w:val="both"/>
      </w:pPr>
      <w:r>
        <w:rPr>
          <w:rFonts w:ascii="宋体" w:hAnsi="宋体" w:eastAsia="宋体"/>
          <w:sz w:val="24"/>
        </w:rPr>
        <w:t>式(3-6)刻画的正是通用目的技术的成本优势：通用模型之所以能在多数场景战胜专用模型，并非因其在任一场景上更强，而是因为固定成本被</w:t>
      </w:r>
      <m:oMath>
        <m:r>
          <m:t>J</m:t>
        </m:r>
      </m:oMath>
      <w:r>
        <w:rPr>
          <w:rFonts w:ascii="宋体" w:hAnsi="宋体" w:eastAsia="宋体"/>
          <w:sz w:val="24"/>
        </w:rPr>
        <w:t>个场景共同分摊（Bresnahan和Trajtenberg，1995；Aghion等，2019）。这一属性对产业组织的含义是深刻的：范围经济使模型服务方有强烈动机把接口做“宽”而非做“专”，从而形成通用平台与垂直应用的分工格局；对配置效率的含义则是，场景的丰度本身就是一种生产性资源——接入场景越多的平台，其单位词元成本越低、可承受的价格竞争越激烈。第10章城市词元运营中心的统一入口设计，其经济合理性的一半即来自式(3-6)：把分散的中小企业需求汇聚到统一接口，等价于人为提高</w:t>
      </w:r>
      <m:oMath>
        <m:r>
          <m:t>J</m:t>
        </m:r>
      </m:oMath>
      <w:r>
        <w:rPr>
          <w:rFonts w:ascii="宋体" w:hAnsi="宋体" w:eastAsia="宋体"/>
          <w:sz w:val="24"/>
        </w:rPr>
        <w:t>。</w:t>
      </w:r>
    </w:p>
    <w:p>
      <w:pPr>
        <w:spacing w:line="360" w:lineRule="auto" w:after="0"/>
        <w:ind w:firstLineChars="200" w:firstLine="480"/>
        <w:jc w:val="both"/>
      </w:pPr>
      <w:r>
        <w:rPr>
          <w:rFonts w:ascii="宋体" w:hAnsi="宋体" w:eastAsia="宋体"/>
          <w:b/>
          <w:sz w:val="24"/>
        </w:rPr>
        <w:t>场景依赖性</w:t>
      </w:r>
      <w:r>
        <w:rPr>
          <w:rFonts w:ascii="宋体" w:hAnsi="宋体" w:eastAsia="宋体"/>
          <w:sz w:val="24"/>
        </w:rPr>
        <w:t>是词元区别于能源、集装箱等传统当量对象的最特殊之处。一吨标准煤在钢厂与在电厂燃烧，释放的热量相同；一枚标准词元在客服对话与在合规审查中使用，创造的价值却相差数倍。本书的场景价值测算显示，八类典型场景中单位标准词元的价值密度以科研分析最高（11.3）、文案生成最低（1.9），离散达5.9倍。其技术根源在于，词元所替代的是人类认知劳动，而不同认知劳动的价值密度本就差异巨大——替代一小时初级文案与替代一小时资深合规审查，其经济价值不可同日而语。场景结构的变化因而直接改变词元的平均价值：由 OpenRouter 与 a16z 联合发布的《基于100万亿 Token 数据的 AI 现状报告》（2025年12月，样本区间为2024年11月至2025年11月，属平台内部口径）显示，编程类请求的词元占比由区间初的11%升至区间末的50%以上，智能体驱动的多步骤自动化工作流所产生的输出词元已超过平台总输出的一半。高价值场景占比的上升意味着，即便物理词元的平均单价在下降，词元流量所对应的经济价值仍可能在上升——这正是第7章价格指数背离现象的需求侧根源。</w:t>
      </w:r>
    </w:p>
    <w:p>
      <w:pPr>
        <w:keepNext/>
        <w:spacing w:before="160" w:after="120" w:line="360" w:lineRule="auto"/>
        <w:outlineLvl w:val="2"/>
      </w:pPr>
      <w:r>
        <w:rPr>
          <w:rFonts w:ascii="黑体" w:hAnsi="黑体" w:eastAsia="黑体"/>
          <w:sz w:val="24"/>
        </w:rPr>
        <w:t>3.2.4  增长职能组：非竞争性与网络外部性</w:t>
      </w:r>
    </w:p>
    <w:p>
      <w:pPr>
        <w:spacing w:line="360" w:lineRule="auto" w:after="0"/>
        <w:ind w:firstLineChars="200" w:firstLine="480"/>
        <w:jc w:val="both"/>
      </w:pPr>
      <w:r>
        <w:rPr>
          <w:rFonts w:ascii="宋体" w:hAnsi="宋体" w:eastAsia="宋体"/>
          <w:b/>
          <w:sz w:val="24"/>
        </w:rPr>
        <w:t>非竞争性</w:t>
      </w:r>
      <w:r>
        <w:rPr>
          <w:rFonts w:ascii="宋体" w:hAnsi="宋体" w:eastAsia="宋体"/>
          <w:sz w:val="24"/>
        </w:rPr>
        <w:t>在词元身上呈现为一种二重结构，这是本书需要特别澄清的一点。作为信息品，词元所承载的内容以及生成它的模型知识都是非竞争的：一份摘要可以同时供无数人阅读，一个模型可以同时服务无数并发请求而不减损其自身；非竞争性正是数据与知识区别于实物资本的根本特征，也是其在增长中具有特殊地位的原因（Jones和Tonetti，2020；Acemoglu等，2022a）。但作为生成活动，词元又是竞争的：生成过程占用具体的算力、显存与电力，一个请求占用的资源不能同时服务另一个请求。把两重属性写入统一的生产结构：</w:t>
      </w:r>
    </w:p>
    <w:p>
      <w:pPr>
        <w:tabs>
          <w:tab w:pos="4252" w:val="center"/>
          <w:tab w:pos="8504" w:val="right"/>
        </w:tabs>
        <w:spacing w:line="360" w:lineRule="auto" w:before="80" w:after="80"/>
      </w:pPr>
      <w:r>
        <w:tab/>
      </w:r>
      <m:oMath>
        <m:sSub>
          <m:e>
            <m:r>
              <m:t>Y</m:t>
            </m:r>
          </m:e>
          <m:sub>
            <m:r>
              <m:t>i</m:t>
            </m:r>
          </m:sub>
        </m:sSub>
        <m:r>
          <m:rPr>
            <m:sty m:val="p"/>
          </m:rPr>
          <m:t>=</m:t>
        </m:r>
        <m:sSub>
          <m:e>
            <m:r>
              <m:t>A</m:t>
            </m:r>
          </m:e>
          <m:sub>
            <m:r>
              <m:t>i</m:t>
            </m:r>
          </m:sub>
        </m:sSub>
        <m:sSup>
          <m:e>
            <m:r>
              <m:t>M</m:t>
            </m:r>
          </m:e>
          <m:sup>
            <m:r>
              <m:t>ψ</m:t>
            </m:r>
          </m:sup>
        </m:sSup>
        <m:sSup>
          <m:e>
            <m:d>
              <m:dPr>
                <m:begChr m:val="("/>
                <m:endChr m:val=")"/>
                <m:grow/>
              </m:dPr>
              <m:e>
                <m:sSub>
                  <m:e>
                    <m:r>
                      <m:t>η</m:t>
                    </m:r>
                  </m:e>
                  <m:sub>
                    <m:r>
                      <m:t>i</m:t>
                    </m:r>
                  </m:sub>
                </m:sSub>
                <m:sSub>
                  <m:e>
                    <m:r>
                      <m:t>T</m:t>
                    </m:r>
                  </m:e>
                  <m:sub>
                    <m:r>
                      <m:t>i</m:t>
                    </m:r>
                  </m:sub>
                </m:sSub>
              </m:e>
            </m:d>
          </m:e>
          <m:sup>
            <m:sSub>
              <m:e>
                <m:r>
                  <m:t>α</m:t>
                </m:r>
              </m:e>
              <m:sub>
                <m:r>
                  <m:t>T</m:t>
                </m:r>
              </m:sub>
            </m:sSub>
          </m:sup>
        </m:sSup>
        <m:sSubSup>
          <m:e>
            <m:r>
              <m:t>Z</m:t>
            </m:r>
          </m:e>
          <m:sub>
            <m:r>
              <m:t>i</m:t>
            </m:r>
          </m:sub>
          <m:sup>
            <m:r>
              <m:t>1</m:t>
            </m:r>
            <m:r>
              <m:rPr>
                <m:sty m:val="p"/>
              </m:rPr>
              <m:t>−</m:t>
            </m:r>
            <m:sSub>
              <m:e>
                <m:r>
                  <m:t>α</m:t>
                </m:r>
              </m:e>
              <m:sub>
                <m:r>
                  <m:t>T</m:t>
                </m:r>
              </m:sub>
            </m:sSub>
          </m:sup>
        </m:sSubSup>
        <m:r>
          <m:rPr>
            <m:sty m:val="p"/>
          </m:rPr>
          <m:t>,</m:t>
        </m:r>
        <m:r>
          <m:t>  </m:t>
        </m:r>
        <m:nary>
          <m:naryPr>
            <m:chr m:val="∑"/>
            <m:limLoc m:val="undOvr"/>
            <m:subHide m:val="off"/>
            <m:supHide m:val="off"/>
          </m:naryPr>
          <m:sub>
            <m:r>
              <m:t>i</m:t>
            </m:r>
            <m:r>
              <m:rPr>
                <m:sty m:val="p"/>
              </m:rPr>
              <m:t>=</m:t>
            </m:r>
            <m:r>
              <m:t>1</m:t>
            </m:r>
          </m:sub>
          <m:sup>
            <m:r>
              <m:t>n</m:t>
            </m:r>
          </m:sup>
          <m:e>
            <m:sSub>
              <m:e>
                <m:r>
                  <m:t>φ</m:t>
                </m:r>
              </m:e>
              <m:sub>
                <m:r>
                  <m:t>i</m:t>
                </m:r>
              </m:sub>
            </m:sSub>
          </m:e>
        </m:nary>
        <m:sSub>
          <m:e>
            <m:r>
              <m:t>T</m:t>
            </m:r>
          </m:e>
          <m:sub>
            <m:r>
              <m:t>i</m:t>
            </m:r>
          </m:sub>
        </m:sSub>
        <m:r>
          <m:rPr>
            <m:sty m:val="p"/>
          </m:rPr>
          <m:t>≤</m:t>
        </m:r>
        <m:acc>
          <m:accPr>
            <m:chr m:val="‾"/>
          </m:accPr>
          <m:e>
            <m:r>
              <m:t>Φ</m:t>
            </m:r>
          </m:e>
        </m:acc>
      </m:oMath>
      <w:r>
        <w:tab/>
      </w:r>
      <w:r>
        <w:rPr>
          <w:rFonts w:ascii="Times New Roman" w:hAnsi="Times New Roman" w:eastAsia="宋体"/>
          <w:sz w:val="24"/>
        </w:rPr>
        <w:t>(3-7)</w:t>
      </w:r>
    </w:p>
    <w:p>
      <w:pPr>
        <w:spacing w:line="360" w:lineRule="auto" w:after="0"/>
        <w:jc w:val="both"/>
      </w:pPr>
      <w:r>
        <w:rPr>
          <w:rFonts w:ascii="宋体" w:hAnsi="宋体" w:eastAsia="宋体"/>
          <w:sz w:val="24"/>
        </w:rPr>
        <w:t>其中，</w:t>
      </w:r>
      <m:oMath>
        <m:sSub>
          <m:e>
            <m:r>
              <m:t>Y</m:t>
            </m:r>
          </m:e>
          <m:sub>
            <m:r>
              <m:t>i</m:t>
            </m:r>
          </m:sub>
        </m:sSub>
      </m:oMath>
      <w:r>
        <w:rPr>
          <w:rFonts w:ascii="宋体" w:hAnsi="宋体" w:eastAsia="宋体"/>
          <w:sz w:val="24"/>
        </w:rPr>
        <w:t>为使用者</w:t>
      </w:r>
      <m:oMath>
        <m:r>
          <m:t>i</m:t>
        </m:r>
      </m:oMath>
      <w:r>
        <w:rPr>
          <w:rFonts w:ascii="宋体" w:hAnsi="宋体" w:eastAsia="宋体"/>
          <w:sz w:val="24"/>
        </w:rPr>
        <w:t>的产出，</w:t>
      </w:r>
      <m:oMath>
        <m:r>
          <m:t>M</m:t>
        </m:r>
      </m:oMath>
      <w:r>
        <w:rPr>
          <w:rFonts w:ascii="宋体" w:hAnsi="宋体" w:eastAsia="宋体"/>
          <w:sz w:val="24"/>
        </w:rPr>
        <w:t>为模型知识存量（不带主体下标，体现其非竞争性：任一主体的使用不减少他人可用的</w:t>
      </w:r>
      <m:oMath>
        <m:r>
          <m:t>M</m:t>
        </m:r>
      </m:oMath>
      <w:r>
        <w:rPr>
          <w:rFonts w:ascii="宋体" w:hAnsi="宋体" w:eastAsia="宋体"/>
          <w:sz w:val="24"/>
        </w:rPr>
        <w:t>），</w:t>
      </w:r>
      <m:oMath>
        <m:sSub>
          <m:e>
            <m:r>
              <m:t>η</m:t>
            </m:r>
          </m:e>
          <m:sub>
            <m:r>
              <m:t>i</m:t>
            </m:r>
          </m:sub>
        </m:sSub>
        <m:sSub>
          <m:e>
            <m:r>
              <m:t>T</m:t>
            </m:r>
          </m:e>
          <m:sub>
            <m:r>
              <m:t>i</m:t>
            </m:r>
          </m:sub>
        </m:sSub>
      </m:oMath>
      <w:r>
        <w:rPr>
          <w:rFonts w:ascii="宋体" w:hAnsi="宋体" w:eastAsia="宋体"/>
          <w:sz w:val="24"/>
        </w:rPr>
        <w:t>为该主体使用的标准词元流量，</w:t>
      </w:r>
      <m:oMath>
        <m:sSub>
          <m:e>
            <m:r>
              <m:t>Z</m:t>
            </m:r>
          </m:e>
          <m:sub>
            <m:r>
              <m:t>i</m:t>
            </m:r>
          </m:sub>
        </m:sSub>
      </m:oMath>
      <w:r>
        <w:rPr>
          <w:rFonts w:ascii="宋体" w:hAnsi="宋体" w:eastAsia="宋体"/>
          <w:sz w:val="24"/>
        </w:rPr>
        <w:t>为其他投入，</w:t>
      </w:r>
      <m:oMath>
        <m:sSub>
          <m:e>
            <m:r>
              <m:t>α</m:t>
            </m:r>
          </m:e>
          <m:sub>
            <m:r>
              <m:t>T</m:t>
            </m:r>
          </m:sub>
        </m:sSub>
      </m:oMath>
      <w:r>
        <w:rPr>
          <w:rFonts w:ascii="宋体" w:hAnsi="宋体" w:eastAsia="宋体"/>
          <w:sz w:val="24"/>
        </w:rPr>
        <w:t>为标准词元流量的产出弹性；约束式表明词元生成在总量上受算力预算竞争性约束。</w:t>
      </w:r>
    </w:p>
    <w:p>
      <w:pPr>
        <w:spacing w:line="360" w:lineRule="auto" w:after="0"/>
        <w:ind w:firstLineChars="200" w:firstLine="480"/>
        <w:jc w:val="both"/>
      </w:pPr>
      <w:r>
        <w:rPr>
          <w:rFonts w:ascii="宋体" w:hAnsi="宋体" w:eastAsia="宋体"/>
          <w:sz w:val="24"/>
        </w:rPr>
        <w:t>式(3-7)的结构性含义有三。其一，非竞争的</w:t>
      </w:r>
      <m:oMath>
        <m:r>
          <m:t>M</m:t>
        </m:r>
      </m:oMath>
      <w:r>
        <w:rPr>
          <w:rFonts w:ascii="宋体" w:hAnsi="宋体" w:eastAsia="宋体"/>
          <w:sz w:val="24"/>
        </w:rPr>
        <w:t>出现在每个主体的生产函数中而不被分割，这意味着模型能力的社会最优使用范围是“尽可能广”，任何抬高接入门槛的安排都会造成社会福利损失——这为普惠性词元供给与统一入口提供了福利经济学依据。其二，竞争的</w:t>
      </w:r>
      <m:oMath>
        <m:r>
          <m:t>T</m:t>
        </m:r>
      </m:oMath>
      <w:r>
        <w:rPr>
          <w:rFonts w:ascii="宋体" w:hAnsi="宋体" w:eastAsia="宋体"/>
          <w:sz w:val="24"/>
        </w:rPr>
        <w:t>受总量约束，这意味着词元的配置是一个真实的稀缺资源配置问题，不能因“信息可复制”而误以为无需配置。其三，产出弹性</w:t>
      </w:r>
      <m:oMath>
        <m:sSub>
          <m:e>
            <m:r>
              <m:t>α</m:t>
            </m:r>
          </m:e>
          <m:sub>
            <m:r>
              <m:t>T</m:t>
            </m:r>
          </m:sub>
        </m:sSub>
      </m:oMath>
      <w:r>
        <w:rPr>
          <w:rFonts w:ascii="宋体" w:hAnsi="宋体" w:eastAsia="宋体"/>
          <w:sz w:val="24"/>
        </w:rPr>
        <w:t>的引入使标准词元流量成为可以进入增长核算的生产要素变量，这正是第12章把人工智能贡献从索洛残差中显性分离的技术入口；本书的面板估计给出</w:t>
      </w:r>
      <m:oMath>
        <m:sSub>
          <m:e>
            <m:r>
              <m:t>α</m:t>
            </m:r>
          </m:e>
          <m:sub>
            <m:r>
              <m:t>T</m:t>
            </m:r>
          </m:sub>
        </m:sSub>
      </m:oMath>
      <w:r>
        <w:rPr>
          <w:rFonts w:ascii="宋体" w:hAnsi="宋体" w:eastAsia="宋体"/>
          <w:sz w:val="24"/>
        </w:rPr>
        <w:t>＝0.108，与数据要素弹性0.094处于同一量级。</w:t>
      </w:r>
    </w:p>
    <w:p>
      <w:pPr>
        <w:spacing w:line="360" w:lineRule="auto" w:after="0"/>
        <w:ind w:firstLineChars="200" w:firstLine="480"/>
        <w:jc w:val="both"/>
      </w:pPr>
      <w:r>
        <w:rPr>
          <w:rFonts w:ascii="宋体" w:hAnsi="宋体" w:eastAsia="宋体"/>
          <w:b/>
          <w:sz w:val="24"/>
        </w:rPr>
        <w:t>网络外部性</w:t>
      </w:r>
      <w:r>
        <w:rPr>
          <w:rFonts w:ascii="宋体" w:hAnsi="宋体" w:eastAsia="宋体"/>
          <w:sz w:val="24"/>
        </w:rPr>
        <w:t>是词元经济自增强机制的来源。词元服务平台连接算力方、模型方与应用方，具有典型的多边平台结构：应用方越多，模型方接入的收益越大；模型方越丰富，应用方的选择越优；双边规模的扩张又摊薄了算力方的固定成本。多边平台的价格结构理论指出，平台定价不应在各边分别遵循边际成本原则，而应按各边的需求弹性与交叉外部性强度设计价格结构（Armstrong，2006；Jullien等，2021）；网络外部性还会带来临界规模与多重均衡——在用户预期自我实现的机制下，同一技术可能停留在低采纳均衡，也可能越过临界点进入高采纳均衡（Katz和Shapiro，1985；Farrell和Saloner，1985）。词元经济的特殊之处在于，网络外部性还有一条数据回路：调用产生的交互数据经反馈进入模型优化，使模型能力随使用规模内生提升，平台数据积累与竞争格局的相互强化已成为数字平台研究的核心议题（Bergemann等，2022；Bergemann和Bonatti，2024）。这条回路把静态的网络效应升级为动态的能力累积效应，是第8章讨论市场集中与可竞争性、第10章讨论城市运营中心临界规模的共同基础。</w:t>
      </w:r>
    </w:p>
    <w:p>
      <w:pPr>
        <w:keepNext/>
        <w:spacing w:before="160" w:after="120" w:line="360" w:lineRule="auto"/>
        <w:outlineLvl w:val="2"/>
      </w:pPr>
      <w:r>
        <w:rPr>
          <w:rFonts w:ascii="黑体" w:hAnsi="黑体" w:eastAsia="黑体"/>
          <w:sz w:val="24"/>
        </w:rPr>
        <w:t>3.2.5  八项属性的经济含义与可检验命题</w:t>
      </w:r>
    </w:p>
    <w:p>
      <w:pPr>
        <w:spacing w:line="360" w:lineRule="auto" w:after="0"/>
        <w:ind w:firstLineChars="200" w:firstLine="480"/>
        <w:jc w:val="both"/>
      </w:pPr>
      <w:r>
        <w:rPr>
          <w:rFonts w:ascii="宋体" w:hAnsi="宋体" w:eastAsia="宋体"/>
          <w:sz w:val="24"/>
        </w:rPr>
        <w:t>把八项属性的技术根源、经济含义与可检验命题系统整理，即得表3.1。表中“可检验命题”一列的设置有其方法论用意：经济属性的归纳若停留在定性描述，就难以与实证研究对接，也难以被证伪；给每项属性配一条可检验命题并标注其检验所在章节，既是对本书论证链条的自我约束，也为后续研究提供了可复用的检验清单。</w:t>
      </w:r>
    </w:p>
    <w:p>
      <w:pPr>
        <w:keepNext/>
        <w:spacing w:before="160" w:after="40"/>
        <w:jc w:val="center"/>
      </w:pPr>
      <w:r>
        <w:rPr>
          <w:rFonts w:ascii="黑体" w:hAnsi="黑体" w:eastAsia="黑体"/>
          <w:sz w:val="21"/>
        </w:rPr>
        <w:t>表3.1  词元的八项经济属性、技术根源与可检验命题</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126"/>
        <w:gridCol w:w="2126"/>
        <w:gridCol w:w="2126"/>
        <w:gridCol w:w="2126"/>
      </w:tblGrid>
      <w:tr>
        <w:tc>
          <w:tcPr>
            <w:tcW w:type="dxa" w:w="2126"/>
            <w:tcBorders>
              <w:bottom w:val="single" w:sz="6" w:color="000000"/>
            </w:tcBorders>
            <w:vAlign w:val="center"/>
          </w:tcPr>
          <w:p>
            <w:pPr>
              <w:spacing w:line="240" w:lineRule="auto" w:after="20" w:before="20"/>
              <w:jc w:val="center"/>
            </w:pPr>
            <w:r/>
            <w:r>
              <w:rPr>
                <w:rFonts w:ascii="宋体" w:hAnsi="宋体" w:eastAsia="宋体"/>
                <w:b/>
                <w:sz w:val="21"/>
              </w:rPr>
              <w:t>经济属性</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技术根源</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经济含义</w:t>
            </w:r>
          </w:p>
        </w:tc>
        <w:tc>
          <w:tcPr>
            <w:tcW w:type="dxa" w:w="2126"/>
            <w:tcBorders>
              <w:bottom w:val="single" w:sz="6" w:color="000000"/>
            </w:tcBorders>
            <w:vAlign w:val="center"/>
          </w:tcPr>
          <w:p>
            <w:pPr>
              <w:spacing w:line="240" w:lineRule="auto" w:after="20" w:before="20"/>
              <w:jc w:val="center"/>
            </w:pPr>
            <w:r/>
            <w:r>
              <w:rPr>
                <w:rFonts w:ascii="宋体" w:hAnsi="宋体" w:eastAsia="宋体"/>
                <w:b/>
                <w:sz w:val="21"/>
              </w:rPr>
              <w:t>可检验命题（检验章节）</w:t>
            </w:r>
          </w:p>
        </w:tc>
      </w:tr>
      <w:tr>
        <w:tc>
          <w:tcPr>
            <w:tcW w:type="dxa" w:w="2126"/>
            <w:vAlign w:val="center"/>
          </w:tcPr>
          <w:p>
            <w:pPr>
              <w:spacing w:line="240" w:lineRule="auto" w:after="20" w:before="20"/>
              <w:jc w:val="center"/>
            </w:pPr>
            <w:r/>
            <w:r>
              <w:rPr>
                <w:rFonts w:ascii="宋体" w:hAnsi="宋体" w:eastAsia="宋体"/>
                <w:sz w:val="21"/>
              </w:rPr>
              <w:t>价值尺度</w:t>
            </w:r>
          </w:p>
        </w:tc>
        <w:tc>
          <w:tcPr>
            <w:tcW w:type="dxa" w:w="2126"/>
            <w:vAlign w:val="center"/>
          </w:tcPr>
          <w:p>
            <w:pPr>
              <w:spacing w:line="240" w:lineRule="auto" w:after="20" w:before="20"/>
              <w:jc w:val="left"/>
            </w:pPr>
            <w:r/>
            <w:r>
              <w:rPr>
                <w:rFonts w:ascii="宋体" w:hAnsi="宋体" w:eastAsia="宋体"/>
                <w:sz w:val="21"/>
              </w:rPr>
              <w:t>词元是模型处理与交换信息的最小单位，可计数、可归属、可核验</w:t>
            </w:r>
          </w:p>
        </w:tc>
        <w:tc>
          <w:tcPr>
            <w:tcW w:type="dxa" w:w="2126"/>
            <w:vAlign w:val="center"/>
          </w:tcPr>
          <w:p>
            <w:pPr>
              <w:spacing w:line="240" w:lineRule="auto" w:after="20" w:before="20"/>
              <w:jc w:val="left"/>
            </w:pPr>
            <w:r/>
            <w:r>
              <w:rPr>
                <w:rFonts w:ascii="宋体" w:hAnsi="宋体" w:eastAsia="宋体"/>
                <w:sz w:val="21"/>
              </w:rPr>
              <w:t>为智能服务提供统一计价与统计口径，是可计量、可定价、可交易的形式载体</w:t>
            </w:r>
          </w:p>
        </w:tc>
        <w:tc>
          <w:tcPr>
            <w:tcW w:type="dxa" w:w="2126"/>
            <w:vAlign w:val="center"/>
          </w:tcPr>
          <w:p>
            <w:pPr>
              <w:spacing w:line="240" w:lineRule="auto" w:after="20" w:before="20"/>
              <w:jc w:val="left"/>
            </w:pPr>
            <w:r/>
            <w:r>
              <w:rPr>
                <w:rFonts w:ascii="宋体" w:hAnsi="宋体" w:eastAsia="宋体"/>
                <w:sz w:val="21"/>
              </w:rPr>
              <w:t>统一计量口径的建立将显著压低词元交易的度量费用与价格离散度（第5、7章）</w:t>
            </w:r>
          </w:p>
        </w:tc>
      </w:tr>
      <w:tr>
        <w:tc>
          <w:tcPr>
            <w:tcW w:type="dxa" w:w="2126"/>
            <w:vAlign w:val="center"/>
          </w:tcPr>
          <w:p>
            <w:pPr>
              <w:spacing w:line="240" w:lineRule="auto" w:after="20" w:before="20"/>
              <w:jc w:val="center"/>
            </w:pPr>
            <w:r/>
            <w:r>
              <w:rPr>
                <w:rFonts w:ascii="宋体" w:hAnsi="宋体" w:eastAsia="宋体"/>
                <w:sz w:val="21"/>
              </w:rPr>
              <w:t>稀缺性</w:t>
            </w:r>
          </w:p>
        </w:tc>
        <w:tc>
          <w:tcPr>
            <w:tcW w:type="dxa" w:w="2126"/>
            <w:vAlign w:val="center"/>
          </w:tcPr>
          <w:p>
            <w:pPr>
              <w:spacing w:line="240" w:lineRule="auto" w:after="20" w:before="20"/>
              <w:jc w:val="left"/>
            </w:pPr>
            <w:r/>
            <w:r>
              <w:rPr>
                <w:rFonts w:ascii="宋体" w:hAnsi="宋体" w:eastAsia="宋体"/>
                <w:sz w:val="21"/>
              </w:rPr>
              <w:t>生成受算力、能源与时延硬约束，产能不可瞬时扩张</w:t>
            </w:r>
          </w:p>
        </w:tc>
        <w:tc>
          <w:tcPr>
            <w:tcW w:type="dxa" w:w="2126"/>
            <w:vAlign w:val="center"/>
          </w:tcPr>
          <w:p>
            <w:pPr>
              <w:spacing w:line="240" w:lineRule="auto" w:after="20" w:before="20"/>
              <w:jc w:val="left"/>
            </w:pPr>
            <w:r/>
            <w:r>
              <w:rPr>
                <w:rFonts w:ascii="宋体" w:hAnsi="宋体" w:eastAsia="宋体"/>
                <w:sz w:val="21"/>
              </w:rPr>
              <w:t>稀缺性来自要素而非信息本身，其强度等于算力约束的影子价格</w:t>
            </w:r>
          </w:p>
        </w:tc>
        <w:tc>
          <w:tcPr>
            <w:tcW w:type="dxa" w:w="2126"/>
            <w:vAlign w:val="center"/>
          </w:tcPr>
          <w:p>
            <w:pPr>
              <w:spacing w:line="240" w:lineRule="auto" w:after="20" w:before="20"/>
              <w:jc w:val="left"/>
            </w:pPr>
            <w:r/>
            <w:r>
              <w:rPr>
                <w:rFonts w:ascii="宋体" w:hAnsi="宋体" w:eastAsia="宋体"/>
                <w:sz w:val="21"/>
              </w:rPr>
              <w:t>算力紧张时段的单位词元价格显著高于宽松时段（第7、9章）</w:t>
            </w:r>
          </w:p>
        </w:tc>
      </w:tr>
      <w:tr>
        <w:tc>
          <w:tcPr>
            <w:tcW w:type="dxa" w:w="2126"/>
            <w:vAlign w:val="center"/>
          </w:tcPr>
          <w:p>
            <w:pPr>
              <w:spacing w:line="240" w:lineRule="auto" w:after="20" w:before="20"/>
              <w:jc w:val="center"/>
            </w:pPr>
            <w:r/>
            <w:r>
              <w:rPr>
                <w:rFonts w:ascii="宋体" w:hAnsi="宋体" w:eastAsia="宋体"/>
                <w:sz w:val="21"/>
              </w:rPr>
              <w:t>部分排他性</w:t>
            </w:r>
          </w:p>
        </w:tc>
        <w:tc>
          <w:tcPr>
            <w:tcW w:type="dxa" w:w="2126"/>
            <w:vAlign w:val="center"/>
          </w:tcPr>
          <w:p>
            <w:pPr>
              <w:spacing w:line="240" w:lineRule="auto" w:after="20" w:before="20"/>
              <w:jc w:val="left"/>
            </w:pPr>
            <w:r/>
            <w:r>
              <w:rPr>
                <w:rFonts w:ascii="宋体" w:hAnsi="宋体" w:eastAsia="宋体"/>
                <w:sz w:val="21"/>
              </w:rPr>
              <w:t>生成能力经接口与许可排他，输出内容一经交付即可无损复制</w:t>
            </w:r>
          </w:p>
        </w:tc>
        <w:tc>
          <w:tcPr>
            <w:tcW w:type="dxa" w:w="2126"/>
            <w:vAlign w:val="center"/>
          </w:tcPr>
          <w:p>
            <w:pPr>
              <w:spacing w:line="240" w:lineRule="auto" w:after="20" w:before="20"/>
              <w:jc w:val="left"/>
            </w:pPr>
            <w:r/>
            <w:r>
              <w:rPr>
                <w:rFonts w:ascii="宋体" w:hAnsi="宋体" w:eastAsia="宋体"/>
                <w:sz w:val="21"/>
              </w:rPr>
              <w:t>排他发生于生成环节而非使用环节，产权基础是接口控制权与可信溯源</w:t>
            </w:r>
          </w:p>
        </w:tc>
        <w:tc>
          <w:tcPr>
            <w:tcW w:type="dxa" w:w="2126"/>
            <w:vAlign w:val="center"/>
          </w:tcPr>
          <w:p>
            <w:pPr>
              <w:spacing w:line="240" w:lineRule="auto" w:after="20" w:before="20"/>
              <w:jc w:val="left"/>
            </w:pPr>
            <w:r/>
            <w:r>
              <w:rPr>
                <w:rFonts w:ascii="宋体" w:hAnsi="宋体" w:eastAsia="宋体"/>
                <w:sz w:val="21"/>
              </w:rPr>
              <w:t>引入可信溯源凭证将提高高效值词元可占有的价值份额（第11章）</w:t>
            </w:r>
          </w:p>
        </w:tc>
      </w:tr>
      <w:tr>
        <w:tc>
          <w:tcPr>
            <w:tcW w:type="dxa" w:w="2126"/>
            <w:vAlign w:val="center"/>
          </w:tcPr>
          <w:p>
            <w:pPr>
              <w:spacing w:line="240" w:lineRule="auto" w:after="20" w:before="20"/>
              <w:jc w:val="center"/>
            </w:pPr>
            <w:r/>
            <w:r>
              <w:rPr>
                <w:rFonts w:ascii="宋体" w:hAnsi="宋体" w:eastAsia="宋体"/>
                <w:sz w:val="21"/>
              </w:rPr>
              <w:t>规模经济</w:t>
            </w:r>
          </w:p>
        </w:tc>
        <w:tc>
          <w:tcPr>
            <w:tcW w:type="dxa" w:w="2126"/>
            <w:vAlign w:val="center"/>
          </w:tcPr>
          <w:p>
            <w:pPr>
              <w:spacing w:line="240" w:lineRule="auto" w:after="20" w:before="20"/>
              <w:jc w:val="left"/>
            </w:pPr>
            <w:r/>
            <w:r>
              <w:rPr>
                <w:rFonts w:ascii="宋体" w:hAnsi="宋体" w:eastAsia="宋体"/>
                <w:sz w:val="21"/>
              </w:rPr>
              <w:t>训练与部署固定成本高，推理边际成本低且随批次摊薄</w:t>
            </w:r>
          </w:p>
        </w:tc>
        <w:tc>
          <w:tcPr>
            <w:tcW w:type="dxa" w:w="2126"/>
            <w:vAlign w:val="center"/>
          </w:tcPr>
          <w:p>
            <w:pPr>
              <w:spacing w:line="240" w:lineRule="auto" w:after="20" w:before="20"/>
              <w:jc w:val="left"/>
            </w:pPr>
            <w:r/>
            <w:r>
              <w:rPr>
                <w:rFonts w:ascii="宋体" w:hAnsi="宋体" w:eastAsia="宋体"/>
                <w:sz w:val="21"/>
              </w:rPr>
              <w:t>平均成本随产量持续下降，市场具有自然集中倾向</w:t>
            </w:r>
          </w:p>
        </w:tc>
        <w:tc>
          <w:tcPr>
            <w:tcW w:type="dxa" w:w="2126"/>
            <w:vAlign w:val="center"/>
          </w:tcPr>
          <w:p>
            <w:pPr>
              <w:spacing w:line="240" w:lineRule="auto" w:after="20" w:before="20"/>
              <w:jc w:val="left"/>
            </w:pPr>
            <w:r/>
            <w:r>
              <w:rPr>
                <w:rFonts w:ascii="宋体" w:hAnsi="宋体" w:eastAsia="宋体"/>
                <w:sz w:val="21"/>
              </w:rPr>
              <w:t>规模经济度显著大于1且随产量上升而递减（第8章）</w:t>
            </w:r>
          </w:p>
        </w:tc>
      </w:tr>
      <w:tr>
        <w:tc>
          <w:tcPr>
            <w:tcW w:type="dxa" w:w="2126"/>
            <w:vAlign w:val="center"/>
          </w:tcPr>
          <w:p>
            <w:pPr>
              <w:spacing w:line="240" w:lineRule="auto" w:after="20" w:before="20"/>
              <w:jc w:val="center"/>
            </w:pPr>
            <w:r/>
            <w:r>
              <w:rPr>
                <w:rFonts w:ascii="宋体" w:hAnsi="宋体" w:eastAsia="宋体"/>
                <w:sz w:val="21"/>
              </w:rPr>
              <w:t>范围经济</w:t>
            </w:r>
          </w:p>
        </w:tc>
        <w:tc>
          <w:tcPr>
            <w:tcW w:type="dxa" w:w="2126"/>
            <w:vAlign w:val="center"/>
          </w:tcPr>
          <w:p>
            <w:pPr>
              <w:spacing w:line="240" w:lineRule="auto" w:after="20" w:before="20"/>
              <w:jc w:val="left"/>
            </w:pPr>
            <w:r/>
            <w:r>
              <w:rPr>
                <w:rFonts w:ascii="宋体" w:hAnsi="宋体" w:eastAsia="宋体"/>
                <w:sz w:val="21"/>
              </w:rPr>
              <w:t>同一模型资产可服务多任务、多场景、多模态</w:t>
            </w:r>
          </w:p>
        </w:tc>
        <w:tc>
          <w:tcPr>
            <w:tcW w:type="dxa" w:w="2126"/>
            <w:vAlign w:val="center"/>
          </w:tcPr>
          <w:p>
            <w:pPr>
              <w:spacing w:line="240" w:lineRule="auto" w:after="20" w:before="20"/>
              <w:jc w:val="left"/>
            </w:pPr>
            <w:r/>
            <w:r>
              <w:rPr>
                <w:rFonts w:ascii="宋体" w:hAnsi="宋体" w:eastAsia="宋体"/>
                <w:sz w:val="21"/>
              </w:rPr>
              <w:t>固定成本在场景间分摊，通用模型相对专用模型具成本优势</w:t>
            </w:r>
          </w:p>
        </w:tc>
        <w:tc>
          <w:tcPr>
            <w:tcW w:type="dxa" w:w="2126"/>
            <w:vAlign w:val="center"/>
          </w:tcPr>
          <w:p>
            <w:pPr>
              <w:spacing w:line="240" w:lineRule="auto" w:after="20" w:before="20"/>
              <w:jc w:val="left"/>
            </w:pPr>
            <w:r/>
            <w:r>
              <w:rPr>
                <w:rFonts w:ascii="宋体" w:hAnsi="宋体" w:eastAsia="宋体"/>
                <w:sz w:val="21"/>
              </w:rPr>
              <w:t>接入场景数增加将提高范围经济度并降低单位词元成本（第8、9章）</w:t>
            </w:r>
          </w:p>
        </w:tc>
      </w:tr>
      <w:tr>
        <w:tc>
          <w:tcPr>
            <w:tcW w:type="dxa" w:w="2126"/>
            <w:vAlign w:val="center"/>
          </w:tcPr>
          <w:p>
            <w:pPr>
              <w:spacing w:line="240" w:lineRule="auto" w:after="20" w:before="20"/>
              <w:jc w:val="center"/>
            </w:pPr>
            <w:r/>
            <w:r>
              <w:rPr>
                <w:rFonts w:ascii="宋体" w:hAnsi="宋体" w:eastAsia="宋体"/>
                <w:sz w:val="21"/>
              </w:rPr>
              <w:t>场景依赖性</w:t>
            </w:r>
          </w:p>
        </w:tc>
        <w:tc>
          <w:tcPr>
            <w:tcW w:type="dxa" w:w="2126"/>
            <w:vAlign w:val="center"/>
          </w:tcPr>
          <w:p>
            <w:pPr>
              <w:spacing w:line="240" w:lineRule="auto" w:after="20" w:before="20"/>
              <w:jc w:val="left"/>
            </w:pPr>
            <w:r/>
            <w:r>
              <w:rPr>
                <w:rFonts w:ascii="宋体" w:hAnsi="宋体" w:eastAsia="宋体"/>
                <w:sz w:val="21"/>
              </w:rPr>
              <w:t>同量词元所替代的认知劳动价值密度随场景差异巨大</w:t>
            </w:r>
          </w:p>
        </w:tc>
        <w:tc>
          <w:tcPr>
            <w:tcW w:type="dxa" w:w="2126"/>
            <w:vAlign w:val="center"/>
          </w:tcPr>
          <w:p>
            <w:pPr>
              <w:spacing w:line="240" w:lineRule="auto" w:after="20" w:before="20"/>
              <w:jc w:val="left"/>
            </w:pPr>
            <w:r/>
            <w:r>
              <w:rPr>
                <w:rFonts w:ascii="宋体" w:hAnsi="宋体" w:eastAsia="宋体"/>
                <w:sz w:val="21"/>
              </w:rPr>
              <w:t>价值不由生成端单独决定，需求侧场景必须进入价值函数</w:t>
            </w:r>
          </w:p>
        </w:tc>
        <w:tc>
          <w:tcPr>
            <w:tcW w:type="dxa" w:w="2126"/>
            <w:vAlign w:val="center"/>
          </w:tcPr>
          <w:p>
            <w:pPr>
              <w:spacing w:line="240" w:lineRule="auto" w:after="20" w:before="20"/>
              <w:jc w:val="left"/>
            </w:pPr>
            <w:r/>
            <w:r>
              <w:rPr>
                <w:rFonts w:ascii="宋体" w:hAnsi="宋体" w:eastAsia="宋体"/>
                <w:sz w:val="21"/>
              </w:rPr>
              <w:t>同量标准词元的价值密度在场景间呈显著离散（第6章）</w:t>
            </w:r>
          </w:p>
        </w:tc>
      </w:tr>
      <w:tr>
        <w:tc>
          <w:tcPr>
            <w:tcW w:type="dxa" w:w="2126"/>
            <w:vAlign w:val="center"/>
          </w:tcPr>
          <w:p>
            <w:pPr>
              <w:spacing w:line="240" w:lineRule="auto" w:after="20" w:before="20"/>
              <w:jc w:val="center"/>
            </w:pPr>
            <w:r/>
            <w:r>
              <w:rPr>
                <w:rFonts w:ascii="宋体" w:hAnsi="宋体" w:eastAsia="宋体"/>
                <w:sz w:val="21"/>
              </w:rPr>
              <w:t>非竞争性</w:t>
            </w:r>
          </w:p>
        </w:tc>
        <w:tc>
          <w:tcPr>
            <w:tcW w:type="dxa" w:w="2126"/>
            <w:vAlign w:val="center"/>
          </w:tcPr>
          <w:p>
            <w:pPr>
              <w:spacing w:line="240" w:lineRule="auto" w:after="20" w:before="20"/>
              <w:jc w:val="left"/>
            </w:pPr>
            <w:r/>
            <w:r>
              <w:rPr>
                <w:rFonts w:ascii="宋体" w:hAnsi="宋体" w:eastAsia="宋体"/>
                <w:sz w:val="21"/>
              </w:rPr>
              <w:t>模型知识与已生成内容可无损复制、并行复用</w:t>
            </w:r>
          </w:p>
        </w:tc>
        <w:tc>
          <w:tcPr>
            <w:tcW w:type="dxa" w:w="2126"/>
            <w:vAlign w:val="center"/>
          </w:tcPr>
          <w:p>
            <w:pPr>
              <w:spacing w:line="240" w:lineRule="auto" w:after="20" w:before="20"/>
              <w:jc w:val="left"/>
            </w:pPr>
            <w:r/>
            <w:r>
              <w:rPr>
                <w:rFonts w:ascii="宋体" w:hAnsi="宋体" w:eastAsia="宋体"/>
                <w:sz w:val="21"/>
              </w:rPr>
              <w:t>社会最优要求尽可能广的使用范围，定价不能照搬竞争品的边际成本定价</w:t>
            </w:r>
          </w:p>
        </w:tc>
        <w:tc>
          <w:tcPr>
            <w:tcW w:type="dxa" w:w="2126"/>
            <w:vAlign w:val="center"/>
          </w:tcPr>
          <w:p>
            <w:pPr>
              <w:spacing w:line="240" w:lineRule="auto" w:after="20" w:before="20"/>
              <w:jc w:val="left"/>
            </w:pPr>
            <w:r/>
            <w:r>
              <w:rPr>
                <w:rFonts w:ascii="宋体" w:hAnsi="宋体" w:eastAsia="宋体"/>
                <w:sz w:val="21"/>
              </w:rPr>
              <w:t>复用率上升提高单位词元的社会价值而不增加生成成本（第6、12章）</w:t>
            </w:r>
          </w:p>
        </w:tc>
      </w:tr>
      <w:tr>
        <w:tc>
          <w:tcPr>
            <w:tcW w:type="dxa" w:w="2126"/>
            <w:vAlign w:val="center"/>
          </w:tcPr>
          <w:p>
            <w:pPr>
              <w:spacing w:line="240" w:lineRule="auto" w:after="20" w:before="20"/>
              <w:jc w:val="center"/>
            </w:pPr>
            <w:r/>
            <w:r>
              <w:rPr>
                <w:rFonts w:ascii="宋体" w:hAnsi="宋体" w:eastAsia="宋体"/>
                <w:sz w:val="21"/>
              </w:rPr>
              <w:t>网络外部性</w:t>
            </w:r>
          </w:p>
        </w:tc>
        <w:tc>
          <w:tcPr>
            <w:tcW w:type="dxa" w:w="2126"/>
            <w:vAlign w:val="center"/>
          </w:tcPr>
          <w:p>
            <w:pPr>
              <w:spacing w:line="240" w:lineRule="auto" w:after="20" w:before="20"/>
              <w:jc w:val="left"/>
            </w:pPr>
            <w:r/>
            <w:r>
              <w:rPr>
                <w:rFonts w:ascii="宋体" w:hAnsi="宋体" w:eastAsia="宋体"/>
                <w:sz w:val="21"/>
              </w:rPr>
              <w:t>用户规模带来反馈数据、工具生态与标准协同</w:t>
            </w:r>
          </w:p>
        </w:tc>
        <w:tc>
          <w:tcPr>
            <w:tcW w:type="dxa" w:w="2126"/>
            <w:vAlign w:val="center"/>
          </w:tcPr>
          <w:p>
            <w:pPr>
              <w:spacing w:line="240" w:lineRule="auto" w:after="20" w:before="20"/>
              <w:jc w:val="left"/>
            </w:pPr>
            <w:r/>
            <w:r>
              <w:rPr>
                <w:rFonts w:ascii="宋体" w:hAnsi="宋体" w:eastAsia="宋体"/>
                <w:sz w:val="21"/>
              </w:rPr>
              <w:t>存在临界规模与多重均衡，先发平台易形成能力—规模正反馈</w:t>
            </w:r>
          </w:p>
        </w:tc>
        <w:tc>
          <w:tcPr>
            <w:tcW w:type="dxa" w:w="2126"/>
            <w:vAlign w:val="center"/>
          </w:tcPr>
          <w:p>
            <w:pPr>
              <w:spacing w:line="240" w:lineRule="auto" w:after="20" w:before="20"/>
              <w:jc w:val="left"/>
            </w:pPr>
            <w:r/>
            <w:r>
              <w:rPr>
                <w:rFonts w:ascii="宋体" w:hAnsi="宋体" w:eastAsia="宋体"/>
                <w:sz w:val="21"/>
              </w:rPr>
              <w:t>平台生态规模与单位词元的实现价值正相关（第8、10章）</w:t>
            </w:r>
          </w:p>
        </w:tc>
      </w:tr>
    </w:tbl>
    <w:p>
      <w:pPr>
        <w:spacing w:after="160"/>
      </w:pPr>
    </w:p>
    <w:p>
      <w:pPr>
        <w:spacing w:line="360" w:lineRule="auto" w:after="0"/>
        <w:ind w:firstLineChars="200" w:firstLine="480"/>
        <w:jc w:val="both"/>
      </w:pPr>
      <w:r>
        <w:rPr>
          <w:rFonts w:ascii="宋体" w:hAnsi="宋体" w:eastAsia="宋体"/>
          <w:sz w:val="24"/>
        </w:rPr>
        <w:t>表3.1呈现的属性组合具有一种内在的紧张关系，这是词元经济制度设计困难的根源。价值尺度属性要求词元同质、可比、可加，而场景依赖性与非竞争性却使同一枚词元在不同用途下的价值天差地别；规模经济与网络外部性推动市场集中，而部分排他性与效值不可观测又使集中之后的价格难以被有效约束；稀缺性要求按影子价格配置，而非竞争性又要求尽可能扩大使用范围。这些张力无法靠单一政策工具化解，只能靠一个能够同时承载计量、定价与配置职能的制度装置来协调——本书认为，这个装置就是标准词元。八项属性中，前三项决定标准词元必须首先是一个</w:t>
      </w:r>
      <w:r>
        <w:rPr>
          <w:rFonts w:ascii="宋体" w:hAnsi="宋体" w:eastAsia="宋体"/>
          <w:b/>
          <w:sz w:val="24"/>
        </w:rPr>
        <w:t>计量装置</w:t>
      </w:r>
      <w:r>
        <w:rPr>
          <w:rFonts w:ascii="宋体" w:hAnsi="宋体" w:eastAsia="宋体"/>
          <w:sz w:val="24"/>
        </w:rPr>
        <w:t>，中间三项决定它必须同时是一个</w:t>
      </w:r>
      <w:r>
        <w:rPr>
          <w:rFonts w:ascii="宋体" w:hAnsi="宋体" w:eastAsia="宋体"/>
          <w:b/>
          <w:sz w:val="24"/>
        </w:rPr>
        <w:t>配置信号</w:t>
      </w:r>
      <w:r>
        <w:rPr>
          <w:rFonts w:ascii="宋体" w:hAnsi="宋体" w:eastAsia="宋体"/>
          <w:sz w:val="24"/>
        </w:rPr>
        <w:t>，后两项决定它最终应成为一个</w:t>
      </w:r>
      <w:r>
        <w:rPr>
          <w:rFonts w:ascii="宋体" w:hAnsi="宋体" w:eastAsia="宋体"/>
          <w:b/>
          <w:sz w:val="24"/>
        </w:rPr>
        <w:t>核算变量</w:t>
      </w:r>
      <w:r>
        <w:rPr>
          <w:rFonts w:ascii="宋体" w:hAnsi="宋体" w:eastAsia="宋体"/>
          <w:sz w:val="24"/>
        </w:rPr>
        <w:t>。这一“一体三面”的定位，将贯穿全书。</w:t>
      </w:r>
    </w:p>
    <w:p>
      <w:pPr>
        <w:keepNext/>
        <w:spacing w:before="160" w:after="120" w:line="360" w:lineRule="auto"/>
        <w:outlineLvl w:val="1"/>
      </w:pPr>
      <w:r>
        <w:rPr>
          <w:rFonts w:ascii="黑体" w:hAnsi="黑体" w:eastAsia="黑体"/>
          <w:sz w:val="28"/>
        </w:rPr>
        <w:t>3.3  词元与传统生产要素、数据要素的比较</w:t>
      </w:r>
    </w:p>
    <w:p>
      <w:pPr>
        <w:keepNext/>
        <w:spacing w:before="160" w:after="120" w:line="360" w:lineRule="auto"/>
        <w:outlineLvl w:val="2"/>
      </w:pPr>
      <w:r>
        <w:rPr>
          <w:rFonts w:ascii="黑体" w:hAnsi="黑体" w:eastAsia="黑体"/>
          <w:sz w:val="24"/>
        </w:rPr>
        <w:t>3.3.1  存量与流量：词元是智能生产能力的要素服务流</w:t>
      </w:r>
    </w:p>
    <w:p>
      <w:pPr>
        <w:spacing w:line="360" w:lineRule="auto" w:after="0"/>
        <w:ind w:firstLineChars="200" w:firstLine="480"/>
        <w:jc w:val="both"/>
      </w:pPr>
      <w:r>
        <w:rPr>
          <w:rFonts w:ascii="宋体" w:hAnsi="宋体" w:eastAsia="宋体"/>
          <w:sz w:val="24"/>
        </w:rPr>
        <w:t>词元在要素谱系中的位置，是一个必须先行澄清的本体论问题。产业界与政策讨论中时常出现“词元是继土地、劳动、资本、技术、数据之后的新型生产要素”一类表述，本书认为这一表述虽有直觉上的号召力，却在概念上不够精确。更准确的定位是：词元不是与数据并列的新要素，而是算力资本、数据要素与模型知识经生产过程合成之后的</w:t>
      </w:r>
      <w:r>
        <w:rPr>
          <w:rFonts w:ascii="宋体" w:hAnsi="宋体" w:eastAsia="宋体"/>
          <w:b/>
          <w:sz w:val="24"/>
        </w:rPr>
        <w:t>要素服务流</w:t>
      </w:r>
      <w:r>
        <w:rPr>
          <w:rFonts w:ascii="宋体" w:hAnsi="宋体" w:eastAsia="宋体"/>
          <w:sz w:val="24"/>
        </w:rPr>
        <w:t>。这一区分并非文字游戏，而是有坚实的核算传统作支撑——增长核算的精细化历程中，最重要的一步正是把资本存量与资本服务流区分开来：进入生产函数的不是机器的价值存量，而是机器在一定时期内提供的服务流量，二者因资产构成与使用强度不同而并不成比例（第2章2.6节）。</w:t>
      </w:r>
    </w:p>
    <w:p>
      <w:pPr>
        <w:spacing w:line="360" w:lineRule="auto" w:after="0"/>
        <w:ind w:firstLineChars="200" w:firstLine="480"/>
        <w:jc w:val="both"/>
      </w:pPr>
      <w:r>
        <w:rPr>
          <w:rFonts w:ascii="宋体" w:hAnsi="宋体" w:eastAsia="宋体"/>
          <w:sz w:val="24"/>
        </w:rPr>
        <w:t>按同一逻辑，智算中心的加速卡、机房与电力接入是资本存量，模型参数是知识存量，训练语料与行业数据是数据存量，而词元则是这三类存量在特定时段内联合提供的服务流量。这一定位有三个直接好处。其一，它解释了词元为何天然可计量：服务流的可计量性远高于存量，正如电力消费的计量远比发电资产的估值容易——数据要素长期困扰学界的确权、定价与入表难题（熊巧琴和汤珂，2021；欧阳日辉和杜青青，2022；罗玫等，2023），在词元这一层面上被大幅简化，因为流量的产权归属由服务合约直接界定，无需追溯存量的复杂权属。其二，它解释了词元为何必须折算：服务流的异质性来自存量的异质性，正如不同资产提供的资本服务需按使用者成本加权才能加总，不同模型提供的词元服务也需按效值加权才能加总。其三，它给出了词元与数据要素之间的准确关系：数据是词元生产的投入品之一，词元则是数据价值实现的主要通道之一——数据要素的规模与流动约束长期是其价值释放的瓶颈（蔡跃洲和马文君，2021），而词元化的调用恰恰为沉睡的数据提供了一条可计量、可计价的变现路径。</w:t>
      </w:r>
    </w:p>
    <w:p>
      <w:pPr>
        <w:keepNext/>
        <w:spacing w:before="160" w:after="120" w:line="360" w:lineRule="auto"/>
        <w:outlineLvl w:val="2"/>
      </w:pPr>
      <w:r>
        <w:rPr>
          <w:rFonts w:ascii="黑体" w:hAnsi="黑体" w:eastAsia="黑体"/>
          <w:sz w:val="24"/>
        </w:rPr>
        <w:t>3.3.2  四类要素的逐维比较</w:t>
      </w:r>
    </w:p>
    <w:p>
      <w:pPr>
        <w:spacing w:line="360" w:lineRule="auto" w:after="0"/>
        <w:ind w:firstLineChars="200" w:firstLine="480"/>
        <w:jc w:val="both"/>
      </w:pPr>
      <w:r>
        <w:rPr>
          <w:rFonts w:ascii="宋体" w:hAnsi="宋体" w:eastAsia="宋体"/>
          <w:sz w:val="24"/>
        </w:rPr>
        <w:t>把词元与劳动、资本、数据三类要素在九个维度上逐一比较，即得表3.2。比较的目的不是排定次序，而是识别词元在计量属性上的独特组合，从而确定它应当借鉴哪一类要素的核算经验、又必须另行发明哪些方法。</w:t>
      </w:r>
    </w:p>
    <w:p>
      <w:pPr>
        <w:keepNext/>
        <w:spacing w:before="160" w:after="40"/>
        <w:jc w:val="center"/>
      </w:pPr>
      <w:r>
        <w:rPr>
          <w:rFonts w:ascii="黑体" w:hAnsi="黑体" w:eastAsia="黑体"/>
          <w:sz w:val="21"/>
        </w:rPr>
        <w:t>表3.2  词元与劳动、资本、数据要素的属性比较</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比较维度</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劳动</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资本</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数据</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词元</w:t>
            </w:r>
          </w:p>
        </w:tc>
      </w:tr>
      <w:tr>
        <w:tc>
          <w:tcPr>
            <w:tcW w:type="dxa" w:w="1701"/>
            <w:vAlign w:val="center"/>
          </w:tcPr>
          <w:p>
            <w:pPr>
              <w:spacing w:line="240" w:lineRule="auto" w:after="20" w:before="20"/>
              <w:jc w:val="center"/>
            </w:pPr>
            <w:r/>
            <w:r>
              <w:rPr>
                <w:rFonts w:ascii="宋体" w:hAnsi="宋体" w:eastAsia="宋体"/>
                <w:sz w:val="21"/>
              </w:rPr>
              <w:t>典型计量单位</w:t>
            </w:r>
          </w:p>
        </w:tc>
        <w:tc>
          <w:tcPr>
            <w:tcW w:type="dxa" w:w="1701"/>
            <w:vAlign w:val="center"/>
          </w:tcPr>
          <w:p>
            <w:pPr>
              <w:spacing w:line="240" w:lineRule="auto" w:after="20" w:before="20"/>
              <w:jc w:val="left"/>
            </w:pPr>
            <w:r/>
            <w:r>
              <w:rPr>
                <w:rFonts w:ascii="宋体" w:hAnsi="宋体" w:eastAsia="宋体"/>
                <w:sz w:val="21"/>
              </w:rPr>
              <w:t>工时</w:t>
            </w:r>
          </w:p>
        </w:tc>
        <w:tc>
          <w:tcPr>
            <w:tcW w:type="dxa" w:w="1701"/>
            <w:vAlign w:val="center"/>
          </w:tcPr>
          <w:p>
            <w:pPr>
              <w:spacing w:line="240" w:lineRule="auto" w:after="20" w:before="20"/>
              <w:jc w:val="left"/>
            </w:pPr>
            <w:r/>
            <w:r>
              <w:rPr>
                <w:rFonts w:ascii="宋体" w:hAnsi="宋体" w:eastAsia="宋体"/>
                <w:sz w:val="21"/>
              </w:rPr>
              <w:t>资本存量（不变价）</w:t>
            </w:r>
          </w:p>
        </w:tc>
        <w:tc>
          <w:tcPr>
            <w:tcW w:type="dxa" w:w="1701"/>
            <w:vAlign w:val="center"/>
          </w:tcPr>
          <w:p>
            <w:pPr>
              <w:spacing w:line="240" w:lineRule="auto" w:after="20" w:before="20"/>
              <w:jc w:val="left"/>
            </w:pPr>
            <w:r/>
            <w:r>
              <w:rPr>
                <w:rFonts w:ascii="宋体" w:hAnsi="宋体" w:eastAsia="宋体"/>
                <w:sz w:val="21"/>
              </w:rPr>
              <w:t>字节（存量规模）</w:t>
            </w:r>
          </w:p>
        </w:tc>
        <w:tc>
          <w:tcPr>
            <w:tcW w:type="dxa" w:w="1701"/>
            <w:vAlign w:val="center"/>
          </w:tcPr>
          <w:p>
            <w:pPr>
              <w:spacing w:line="240" w:lineRule="auto" w:after="20" w:before="20"/>
              <w:jc w:val="left"/>
            </w:pPr>
            <w:r/>
            <w:r>
              <w:rPr>
                <w:rFonts w:ascii="宋体" w:hAnsi="宋体" w:eastAsia="宋体"/>
                <w:sz w:val="21"/>
              </w:rPr>
              <w:t>枚（物理词元）</w:t>
            </w:r>
          </w:p>
        </w:tc>
      </w:tr>
      <w:tr>
        <w:tc>
          <w:tcPr>
            <w:tcW w:type="dxa" w:w="1701"/>
            <w:vAlign w:val="center"/>
          </w:tcPr>
          <w:p>
            <w:pPr>
              <w:spacing w:line="240" w:lineRule="auto" w:after="20" w:before="20"/>
              <w:jc w:val="center"/>
            </w:pPr>
            <w:r/>
            <w:r>
              <w:rPr>
                <w:rFonts w:ascii="宋体" w:hAnsi="宋体" w:eastAsia="宋体"/>
                <w:sz w:val="21"/>
              </w:rPr>
              <w:t>竞争性</w:t>
            </w:r>
          </w:p>
        </w:tc>
        <w:tc>
          <w:tcPr>
            <w:tcW w:type="dxa" w:w="1701"/>
            <w:vAlign w:val="center"/>
          </w:tcPr>
          <w:p>
            <w:pPr>
              <w:spacing w:line="240" w:lineRule="auto" w:after="20" w:before="20"/>
              <w:jc w:val="left"/>
            </w:pPr>
            <w:r/>
            <w:r>
              <w:rPr>
                <w:rFonts w:ascii="宋体" w:hAnsi="宋体" w:eastAsia="宋体"/>
                <w:sz w:val="21"/>
              </w:rPr>
              <w:t>竞争</w:t>
            </w:r>
          </w:p>
        </w:tc>
        <w:tc>
          <w:tcPr>
            <w:tcW w:type="dxa" w:w="1701"/>
            <w:vAlign w:val="center"/>
          </w:tcPr>
          <w:p>
            <w:pPr>
              <w:spacing w:line="240" w:lineRule="auto" w:after="20" w:before="20"/>
              <w:jc w:val="left"/>
            </w:pPr>
            <w:r/>
            <w:r>
              <w:rPr>
                <w:rFonts w:ascii="宋体" w:hAnsi="宋体" w:eastAsia="宋体"/>
                <w:sz w:val="21"/>
              </w:rPr>
              <w:t>竞争</w:t>
            </w:r>
          </w:p>
        </w:tc>
        <w:tc>
          <w:tcPr>
            <w:tcW w:type="dxa" w:w="1701"/>
            <w:vAlign w:val="center"/>
          </w:tcPr>
          <w:p>
            <w:pPr>
              <w:spacing w:line="240" w:lineRule="auto" w:after="20" w:before="20"/>
              <w:jc w:val="left"/>
            </w:pPr>
            <w:r/>
            <w:r>
              <w:rPr>
                <w:rFonts w:ascii="宋体" w:hAnsi="宋体" w:eastAsia="宋体"/>
                <w:sz w:val="21"/>
              </w:rPr>
              <w:t>非竞争</w:t>
            </w:r>
          </w:p>
        </w:tc>
        <w:tc>
          <w:tcPr>
            <w:tcW w:type="dxa" w:w="1701"/>
            <w:vAlign w:val="center"/>
          </w:tcPr>
          <w:p>
            <w:pPr>
              <w:spacing w:line="240" w:lineRule="auto" w:after="20" w:before="20"/>
              <w:jc w:val="left"/>
            </w:pPr>
            <w:r/>
            <w:r>
              <w:rPr>
                <w:rFonts w:ascii="宋体" w:hAnsi="宋体" w:eastAsia="宋体"/>
                <w:sz w:val="21"/>
              </w:rPr>
              <w:t>生成环节竞争、信息环节非竞争</w:t>
            </w:r>
          </w:p>
        </w:tc>
      </w:tr>
      <w:tr>
        <w:tc>
          <w:tcPr>
            <w:tcW w:type="dxa" w:w="1701"/>
            <w:vAlign w:val="center"/>
          </w:tcPr>
          <w:p>
            <w:pPr>
              <w:spacing w:line="240" w:lineRule="auto" w:after="20" w:before="20"/>
              <w:jc w:val="center"/>
            </w:pPr>
            <w:r/>
            <w:r>
              <w:rPr>
                <w:rFonts w:ascii="宋体" w:hAnsi="宋体" w:eastAsia="宋体"/>
                <w:sz w:val="21"/>
              </w:rPr>
              <w:t>排他性</w:t>
            </w:r>
          </w:p>
        </w:tc>
        <w:tc>
          <w:tcPr>
            <w:tcW w:type="dxa" w:w="1701"/>
            <w:vAlign w:val="center"/>
          </w:tcPr>
          <w:p>
            <w:pPr>
              <w:spacing w:line="240" w:lineRule="auto" w:after="20" w:before="20"/>
              <w:jc w:val="left"/>
            </w:pPr>
            <w:r/>
            <w:r>
              <w:rPr>
                <w:rFonts w:ascii="宋体" w:hAnsi="宋体" w:eastAsia="宋体"/>
                <w:sz w:val="21"/>
              </w:rPr>
              <w:t>经雇佣合约排他</w:t>
            </w:r>
          </w:p>
        </w:tc>
        <w:tc>
          <w:tcPr>
            <w:tcW w:type="dxa" w:w="1701"/>
            <w:vAlign w:val="center"/>
          </w:tcPr>
          <w:p>
            <w:pPr>
              <w:spacing w:line="240" w:lineRule="auto" w:after="20" w:before="20"/>
              <w:jc w:val="left"/>
            </w:pPr>
            <w:r/>
            <w:r>
              <w:rPr>
                <w:rFonts w:ascii="宋体" w:hAnsi="宋体" w:eastAsia="宋体"/>
                <w:sz w:val="21"/>
              </w:rPr>
              <w:t>经产权排他</w:t>
            </w:r>
          </w:p>
        </w:tc>
        <w:tc>
          <w:tcPr>
            <w:tcW w:type="dxa" w:w="1701"/>
            <w:vAlign w:val="center"/>
          </w:tcPr>
          <w:p>
            <w:pPr>
              <w:spacing w:line="240" w:lineRule="auto" w:after="20" w:before="20"/>
              <w:jc w:val="left"/>
            </w:pPr>
            <w:r/>
            <w:r>
              <w:rPr>
                <w:rFonts w:ascii="宋体" w:hAnsi="宋体" w:eastAsia="宋体"/>
                <w:sz w:val="21"/>
              </w:rPr>
              <w:t>排他困难、权属界定复杂</w:t>
            </w:r>
          </w:p>
        </w:tc>
        <w:tc>
          <w:tcPr>
            <w:tcW w:type="dxa" w:w="1701"/>
            <w:vAlign w:val="center"/>
          </w:tcPr>
          <w:p>
            <w:pPr>
              <w:spacing w:line="240" w:lineRule="auto" w:after="20" w:before="20"/>
              <w:jc w:val="left"/>
            </w:pPr>
            <w:r/>
            <w:r>
              <w:rPr>
                <w:rFonts w:ascii="宋体" w:hAnsi="宋体" w:eastAsia="宋体"/>
                <w:sz w:val="21"/>
              </w:rPr>
              <w:t>经接口与许可天然排他</w:t>
            </w:r>
          </w:p>
        </w:tc>
      </w:tr>
      <w:tr>
        <w:tc>
          <w:tcPr>
            <w:tcW w:type="dxa" w:w="1701"/>
            <w:vAlign w:val="center"/>
          </w:tcPr>
          <w:p>
            <w:pPr>
              <w:spacing w:line="240" w:lineRule="auto" w:after="20" w:before="20"/>
              <w:jc w:val="center"/>
            </w:pPr>
            <w:r/>
            <w:r>
              <w:rPr>
                <w:rFonts w:ascii="宋体" w:hAnsi="宋体" w:eastAsia="宋体"/>
                <w:sz w:val="21"/>
              </w:rPr>
              <w:t>边际成本</w:t>
            </w:r>
          </w:p>
        </w:tc>
        <w:tc>
          <w:tcPr>
            <w:tcW w:type="dxa" w:w="1701"/>
            <w:vAlign w:val="center"/>
          </w:tcPr>
          <w:p>
            <w:pPr>
              <w:spacing w:line="240" w:lineRule="auto" w:after="20" w:before="20"/>
              <w:jc w:val="left"/>
            </w:pPr>
            <w:r/>
            <w:r>
              <w:rPr>
                <w:rFonts w:ascii="宋体" w:hAnsi="宋体" w:eastAsia="宋体"/>
                <w:sz w:val="21"/>
              </w:rPr>
              <w:t>正，随强度上升</w:t>
            </w:r>
          </w:p>
        </w:tc>
        <w:tc>
          <w:tcPr>
            <w:tcW w:type="dxa" w:w="1701"/>
            <w:vAlign w:val="center"/>
          </w:tcPr>
          <w:p>
            <w:pPr>
              <w:spacing w:line="240" w:lineRule="auto" w:after="20" w:before="20"/>
              <w:jc w:val="left"/>
            </w:pPr>
            <w:r/>
            <w:r>
              <w:rPr>
                <w:rFonts w:ascii="宋体" w:hAnsi="宋体" w:eastAsia="宋体"/>
                <w:sz w:val="21"/>
              </w:rPr>
              <w:t>正（折旧与运维）</w:t>
            </w:r>
          </w:p>
        </w:tc>
        <w:tc>
          <w:tcPr>
            <w:tcW w:type="dxa" w:w="1701"/>
            <w:vAlign w:val="center"/>
          </w:tcPr>
          <w:p>
            <w:pPr>
              <w:spacing w:line="240" w:lineRule="auto" w:after="20" w:before="20"/>
              <w:jc w:val="left"/>
            </w:pPr>
            <w:r/>
            <w:r>
              <w:rPr>
                <w:rFonts w:ascii="宋体" w:hAnsi="宋体" w:eastAsia="宋体"/>
                <w:sz w:val="21"/>
              </w:rPr>
              <w:t>近似为零</w:t>
            </w:r>
          </w:p>
        </w:tc>
        <w:tc>
          <w:tcPr>
            <w:tcW w:type="dxa" w:w="1701"/>
            <w:vAlign w:val="center"/>
          </w:tcPr>
          <w:p>
            <w:pPr>
              <w:spacing w:line="240" w:lineRule="auto" w:after="20" w:before="20"/>
              <w:jc w:val="left"/>
            </w:pPr>
            <w:r/>
            <w:r>
              <w:rPr>
                <w:rFonts w:ascii="宋体" w:hAnsi="宋体" w:eastAsia="宋体"/>
                <w:sz w:val="21"/>
              </w:rPr>
              <w:t>正但很低，随批次与缓存而变</w:t>
            </w:r>
          </w:p>
        </w:tc>
      </w:tr>
      <w:tr>
        <w:tc>
          <w:tcPr>
            <w:tcW w:type="dxa" w:w="1701"/>
            <w:vAlign w:val="center"/>
          </w:tcPr>
          <w:p>
            <w:pPr>
              <w:spacing w:line="240" w:lineRule="auto" w:after="20" w:before="20"/>
              <w:jc w:val="center"/>
            </w:pPr>
            <w:r/>
            <w:r>
              <w:rPr>
                <w:rFonts w:ascii="宋体" w:hAnsi="宋体" w:eastAsia="宋体"/>
                <w:sz w:val="21"/>
              </w:rPr>
              <w:t>异质性来源</w:t>
            </w:r>
          </w:p>
        </w:tc>
        <w:tc>
          <w:tcPr>
            <w:tcW w:type="dxa" w:w="1701"/>
            <w:vAlign w:val="center"/>
          </w:tcPr>
          <w:p>
            <w:pPr>
              <w:spacing w:line="240" w:lineRule="auto" w:after="20" w:before="20"/>
              <w:jc w:val="left"/>
            </w:pPr>
            <w:r/>
            <w:r>
              <w:rPr>
                <w:rFonts w:ascii="宋体" w:hAnsi="宋体" w:eastAsia="宋体"/>
                <w:sz w:val="21"/>
              </w:rPr>
              <w:t>技能与熟练度</w:t>
            </w:r>
          </w:p>
        </w:tc>
        <w:tc>
          <w:tcPr>
            <w:tcW w:type="dxa" w:w="1701"/>
            <w:vAlign w:val="center"/>
          </w:tcPr>
          <w:p>
            <w:pPr>
              <w:spacing w:line="240" w:lineRule="auto" w:after="20" w:before="20"/>
              <w:jc w:val="left"/>
            </w:pPr>
            <w:r/>
            <w:r>
              <w:rPr>
                <w:rFonts w:ascii="宋体" w:hAnsi="宋体" w:eastAsia="宋体"/>
                <w:sz w:val="21"/>
              </w:rPr>
              <w:t>设备效率与技术代际</w:t>
            </w:r>
          </w:p>
        </w:tc>
        <w:tc>
          <w:tcPr>
            <w:tcW w:type="dxa" w:w="1701"/>
            <w:vAlign w:val="center"/>
          </w:tcPr>
          <w:p>
            <w:pPr>
              <w:spacing w:line="240" w:lineRule="auto" w:after="20" w:before="20"/>
              <w:jc w:val="left"/>
            </w:pPr>
            <w:r/>
            <w:r>
              <w:rPr>
                <w:rFonts w:ascii="宋体" w:hAnsi="宋体" w:eastAsia="宋体"/>
                <w:sz w:val="21"/>
              </w:rPr>
              <w:t>质量、时效与关联度</w:t>
            </w:r>
          </w:p>
        </w:tc>
        <w:tc>
          <w:tcPr>
            <w:tcW w:type="dxa" w:w="1701"/>
            <w:vAlign w:val="center"/>
          </w:tcPr>
          <w:p>
            <w:pPr>
              <w:spacing w:line="240" w:lineRule="auto" w:after="20" w:before="20"/>
              <w:jc w:val="left"/>
            </w:pPr>
            <w:r/>
            <w:r>
              <w:rPr>
                <w:rFonts w:ascii="宋体" w:hAnsi="宋体" w:eastAsia="宋体"/>
                <w:sz w:val="21"/>
              </w:rPr>
              <w:t>模型能力、任务形态与应用场景</w:t>
            </w:r>
          </w:p>
        </w:tc>
      </w:tr>
      <w:tr>
        <w:tc>
          <w:tcPr>
            <w:tcW w:type="dxa" w:w="1701"/>
            <w:vAlign w:val="center"/>
          </w:tcPr>
          <w:p>
            <w:pPr>
              <w:spacing w:line="240" w:lineRule="auto" w:after="20" w:before="20"/>
              <w:jc w:val="center"/>
            </w:pPr>
            <w:r/>
            <w:r>
              <w:rPr>
                <w:rFonts w:ascii="宋体" w:hAnsi="宋体" w:eastAsia="宋体"/>
                <w:sz w:val="21"/>
              </w:rPr>
              <w:t>可加总性</w:t>
            </w:r>
          </w:p>
        </w:tc>
        <w:tc>
          <w:tcPr>
            <w:tcW w:type="dxa" w:w="1701"/>
            <w:vAlign w:val="center"/>
          </w:tcPr>
          <w:p>
            <w:pPr>
              <w:spacing w:line="240" w:lineRule="auto" w:after="20" w:before="20"/>
              <w:jc w:val="left"/>
            </w:pPr>
            <w:r/>
            <w:r>
              <w:rPr>
                <w:rFonts w:ascii="宋体" w:hAnsi="宋体" w:eastAsia="宋体"/>
                <w:sz w:val="21"/>
              </w:rPr>
              <w:t>经标准劳动强度折算后可加</w:t>
            </w:r>
          </w:p>
        </w:tc>
        <w:tc>
          <w:tcPr>
            <w:tcW w:type="dxa" w:w="1701"/>
            <w:vAlign w:val="center"/>
          </w:tcPr>
          <w:p>
            <w:pPr>
              <w:spacing w:line="240" w:lineRule="auto" w:after="20" w:before="20"/>
              <w:jc w:val="left"/>
            </w:pPr>
            <w:r/>
            <w:r>
              <w:rPr>
                <w:rFonts w:ascii="宋体" w:hAnsi="宋体" w:eastAsia="宋体"/>
                <w:sz w:val="21"/>
              </w:rPr>
              <w:t>经不变价与资本服务折算后可加</w:t>
            </w:r>
          </w:p>
        </w:tc>
        <w:tc>
          <w:tcPr>
            <w:tcW w:type="dxa" w:w="1701"/>
            <w:vAlign w:val="center"/>
          </w:tcPr>
          <w:p>
            <w:pPr>
              <w:spacing w:line="240" w:lineRule="auto" w:after="20" w:before="20"/>
              <w:jc w:val="left"/>
            </w:pPr>
            <w:r/>
            <w:r>
              <w:rPr>
                <w:rFonts w:ascii="宋体" w:hAnsi="宋体" w:eastAsia="宋体"/>
                <w:sz w:val="21"/>
              </w:rPr>
              <w:t>缺乏公认折算刻度，难以可加</w:t>
            </w:r>
          </w:p>
        </w:tc>
        <w:tc>
          <w:tcPr>
            <w:tcW w:type="dxa" w:w="1701"/>
            <w:vAlign w:val="center"/>
          </w:tcPr>
          <w:p>
            <w:pPr>
              <w:spacing w:line="240" w:lineRule="auto" w:after="20" w:before="20"/>
              <w:jc w:val="left"/>
            </w:pPr>
            <w:r/>
            <w:r>
              <w:rPr>
                <w:rFonts w:ascii="宋体" w:hAnsi="宋体" w:eastAsia="宋体"/>
                <w:sz w:val="21"/>
              </w:rPr>
              <w:t>物理量可加但无经济意义，需效值折算</w:t>
            </w:r>
          </w:p>
        </w:tc>
      </w:tr>
      <w:tr>
        <w:tc>
          <w:tcPr>
            <w:tcW w:type="dxa" w:w="1701"/>
            <w:vAlign w:val="center"/>
          </w:tcPr>
          <w:p>
            <w:pPr>
              <w:spacing w:line="240" w:lineRule="auto" w:after="20" w:before="20"/>
              <w:jc w:val="center"/>
            </w:pPr>
            <w:r/>
            <w:r>
              <w:rPr>
                <w:rFonts w:ascii="宋体" w:hAnsi="宋体" w:eastAsia="宋体"/>
                <w:sz w:val="21"/>
              </w:rPr>
              <w:t>时效与折旧</w:t>
            </w:r>
          </w:p>
        </w:tc>
        <w:tc>
          <w:tcPr>
            <w:tcW w:type="dxa" w:w="1701"/>
            <w:vAlign w:val="center"/>
          </w:tcPr>
          <w:p>
            <w:pPr>
              <w:spacing w:line="240" w:lineRule="auto" w:after="20" w:before="20"/>
              <w:jc w:val="left"/>
            </w:pPr>
            <w:r/>
            <w:r>
              <w:rPr>
                <w:rFonts w:ascii="宋体" w:hAnsi="宋体" w:eastAsia="宋体"/>
                <w:sz w:val="21"/>
              </w:rPr>
              <w:t>人力资本折旧与增值并存</w:t>
            </w:r>
          </w:p>
        </w:tc>
        <w:tc>
          <w:tcPr>
            <w:tcW w:type="dxa" w:w="1701"/>
            <w:vAlign w:val="center"/>
          </w:tcPr>
          <w:p>
            <w:pPr>
              <w:spacing w:line="240" w:lineRule="auto" w:after="20" w:before="20"/>
              <w:jc w:val="left"/>
            </w:pPr>
            <w:r/>
            <w:r>
              <w:rPr>
                <w:rFonts w:ascii="宋体" w:hAnsi="宋体" w:eastAsia="宋体"/>
                <w:sz w:val="21"/>
              </w:rPr>
              <w:t>按使用与技术进步折旧</w:t>
            </w:r>
          </w:p>
        </w:tc>
        <w:tc>
          <w:tcPr>
            <w:tcW w:type="dxa" w:w="1701"/>
            <w:vAlign w:val="center"/>
          </w:tcPr>
          <w:p>
            <w:pPr>
              <w:spacing w:line="240" w:lineRule="auto" w:after="20" w:before="20"/>
              <w:jc w:val="left"/>
            </w:pPr>
            <w:r/>
            <w:r>
              <w:rPr>
                <w:rFonts w:ascii="宋体" w:hAnsi="宋体" w:eastAsia="宋体"/>
                <w:sz w:val="21"/>
              </w:rPr>
              <w:t>时效性强、价值快速衰减</w:t>
            </w:r>
          </w:p>
        </w:tc>
        <w:tc>
          <w:tcPr>
            <w:tcW w:type="dxa" w:w="1701"/>
            <w:vAlign w:val="center"/>
          </w:tcPr>
          <w:p>
            <w:pPr>
              <w:spacing w:line="240" w:lineRule="auto" w:after="20" w:before="20"/>
              <w:jc w:val="left"/>
            </w:pPr>
            <w:r/>
            <w:r>
              <w:rPr>
                <w:rFonts w:ascii="宋体" w:hAnsi="宋体" w:eastAsia="宋体"/>
                <w:sz w:val="21"/>
              </w:rPr>
              <w:t>即时消耗、不形成存量，除非沉淀为数据与模型</w:t>
            </w:r>
          </w:p>
        </w:tc>
      </w:tr>
      <w:tr>
        <w:tc>
          <w:tcPr>
            <w:tcW w:type="dxa" w:w="1701"/>
            <w:vAlign w:val="center"/>
          </w:tcPr>
          <w:p>
            <w:pPr>
              <w:spacing w:line="240" w:lineRule="auto" w:after="20" w:before="20"/>
              <w:jc w:val="center"/>
            </w:pPr>
            <w:r/>
            <w:r>
              <w:rPr>
                <w:rFonts w:ascii="宋体" w:hAnsi="宋体" w:eastAsia="宋体"/>
                <w:sz w:val="21"/>
              </w:rPr>
              <w:t>价格形成</w:t>
            </w:r>
          </w:p>
        </w:tc>
        <w:tc>
          <w:tcPr>
            <w:tcW w:type="dxa" w:w="1701"/>
            <w:vAlign w:val="center"/>
          </w:tcPr>
          <w:p>
            <w:pPr>
              <w:spacing w:line="240" w:lineRule="auto" w:after="20" w:before="20"/>
              <w:jc w:val="left"/>
            </w:pPr>
            <w:r/>
            <w:r>
              <w:rPr>
                <w:rFonts w:ascii="宋体" w:hAnsi="宋体" w:eastAsia="宋体"/>
                <w:sz w:val="21"/>
              </w:rPr>
              <w:t>工资由劳动力市场决定</w:t>
            </w:r>
          </w:p>
        </w:tc>
        <w:tc>
          <w:tcPr>
            <w:tcW w:type="dxa" w:w="1701"/>
            <w:vAlign w:val="center"/>
          </w:tcPr>
          <w:p>
            <w:pPr>
              <w:spacing w:line="240" w:lineRule="auto" w:after="20" w:before="20"/>
              <w:jc w:val="left"/>
            </w:pPr>
            <w:r/>
            <w:r>
              <w:rPr>
                <w:rFonts w:ascii="宋体" w:hAnsi="宋体" w:eastAsia="宋体"/>
                <w:sz w:val="21"/>
              </w:rPr>
              <w:t>由使用者成本决定</w:t>
            </w:r>
          </w:p>
        </w:tc>
        <w:tc>
          <w:tcPr>
            <w:tcW w:type="dxa" w:w="1701"/>
            <w:vAlign w:val="center"/>
          </w:tcPr>
          <w:p>
            <w:pPr>
              <w:spacing w:line="240" w:lineRule="auto" w:after="20" w:before="20"/>
              <w:jc w:val="left"/>
            </w:pPr>
            <w:r/>
            <w:r>
              <w:rPr>
                <w:rFonts w:ascii="宋体" w:hAnsi="宋体" w:eastAsia="宋体"/>
                <w:sz w:val="21"/>
              </w:rPr>
              <w:t>交易稀薄、定价方法多元且缺共识</w:t>
            </w:r>
          </w:p>
        </w:tc>
        <w:tc>
          <w:tcPr>
            <w:tcW w:type="dxa" w:w="1701"/>
            <w:vAlign w:val="center"/>
          </w:tcPr>
          <w:p>
            <w:pPr>
              <w:spacing w:line="240" w:lineRule="auto" w:after="20" w:before="20"/>
              <w:jc w:val="left"/>
            </w:pPr>
            <w:r/>
            <w:r>
              <w:rPr>
                <w:rFonts w:ascii="宋体" w:hAnsi="宋体" w:eastAsia="宋体"/>
                <w:sz w:val="21"/>
              </w:rPr>
              <w:t>挂牌价与平台竞价并存，价格快速下行</w:t>
            </w:r>
          </w:p>
        </w:tc>
      </w:tr>
      <w:tr>
        <w:tc>
          <w:tcPr>
            <w:tcW w:type="dxa" w:w="1701"/>
            <w:vAlign w:val="center"/>
          </w:tcPr>
          <w:p>
            <w:pPr>
              <w:spacing w:line="240" w:lineRule="auto" w:after="20" w:before="20"/>
              <w:jc w:val="center"/>
            </w:pPr>
            <w:r/>
            <w:r>
              <w:rPr>
                <w:rFonts w:ascii="宋体" w:hAnsi="宋体" w:eastAsia="宋体"/>
                <w:sz w:val="21"/>
              </w:rPr>
              <w:t>统计与核算处理</w:t>
            </w:r>
          </w:p>
        </w:tc>
        <w:tc>
          <w:tcPr>
            <w:tcW w:type="dxa" w:w="1701"/>
            <w:vAlign w:val="center"/>
          </w:tcPr>
          <w:p>
            <w:pPr>
              <w:spacing w:line="240" w:lineRule="auto" w:after="20" w:before="20"/>
              <w:jc w:val="left"/>
            </w:pPr>
            <w:r/>
            <w:r>
              <w:rPr>
                <w:rFonts w:ascii="宋体" w:hAnsi="宋体" w:eastAsia="宋体"/>
                <w:sz w:val="21"/>
              </w:rPr>
              <w:t>已有成熟核算体系</w:t>
            </w:r>
          </w:p>
        </w:tc>
        <w:tc>
          <w:tcPr>
            <w:tcW w:type="dxa" w:w="1701"/>
            <w:vAlign w:val="center"/>
          </w:tcPr>
          <w:p>
            <w:pPr>
              <w:spacing w:line="240" w:lineRule="auto" w:after="20" w:before="20"/>
              <w:jc w:val="left"/>
            </w:pPr>
            <w:r/>
            <w:r>
              <w:rPr>
                <w:rFonts w:ascii="宋体" w:hAnsi="宋体" w:eastAsia="宋体"/>
                <w:sz w:val="21"/>
              </w:rPr>
              <w:t>已有资本服务核算传统</w:t>
            </w:r>
          </w:p>
        </w:tc>
        <w:tc>
          <w:tcPr>
            <w:tcW w:type="dxa" w:w="1701"/>
            <w:vAlign w:val="center"/>
          </w:tcPr>
          <w:p>
            <w:pPr>
              <w:spacing w:line="240" w:lineRule="auto" w:after="20" w:before="20"/>
              <w:jc w:val="left"/>
            </w:pPr>
            <w:r/>
            <w:r>
              <w:rPr>
                <w:rFonts w:ascii="宋体" w:hAnsi="宋体" w:eastAsia="宋体"/>
                <w:sz w:val="21"/>
              </w:rPr>
              <w:t>正在探索资源入表与卫星账户</w:t>
            </w:r>
          </w:p>
        </w:tc>
        <w:tc>
          <w:tcPr>
            <w:tcW w:type="dxa" w:w="1701"/>
            <w:vAlign w:val="center"/>
          </w:tcPr>
          <w:p>
            <w:pPr>
              <w:spacing w:line="240" w:lineRule="auto" w:after="20" w:before="20"/>
              <w:jc w:val="left"/>
            </w:pPr>
            <w:r/>
            <w:r>
              <w:rPr>
                <w:rFonts w:ascii="宋体" w:hAnsi="宋体" w:eastAsia="宋体"/>
                <w:sz w:val="21"/>
              </w:rPr>
              <w:t>尚无统一统计口径，本书主张以标准词元流量入账</w:t>
            </w:r>
          </w:p>
        </w:tc>
      </w:tr>
    </w:tbl>
    <w:p>
      <w:pPr>
        <w:spacing w:after="160"/>
      </w:pPr>
    </w:p>
    <w:p>
      <w:pPr>
        <w:spacing w:line="360" w:lineRule="auto" w:after="0"/>
        <w:ind w:firstLineChars="200" w:firstLine="480"/>
        <w:jc w:val="both"/>
      </w:pPr>
      <w:r>
        <w:rPr>
          <w:rFonts w:ascii="宋体" w:hAnsi="宋体" w:eastAsia="宋体"/>
          <w:sz w:val="24"/>
        </w:rPr>
        <w:t>表3.2显示，词元的属性组合在四类要素中是独一无二的。与劳动相比，词元的异质性来源（模型能力）与劳动的异质性来源（技能熟练度）在结构上高度相似，因而劳动经济学中的标准劳动强度折算传统对词元折算具有直接的方法论借鉴价值；但劳动的供给受人口与教育约束，词元的供给则受算力与能源约束，二者的供给弹性差异巨大。与资本相比，词元与资本服务的类比最为贴切，资本服务核算中的使用者成本方法为效值折算提供了范式；但资本服务的价格可由资产市场的租金率间接推断，词元服务却缺乏成熟的租赁市场，其影子价格必须由式(3-4)一类的优化问题内生给出。与数据相比，词元继承了数据的非竞争性与低边际成本，却摆脱了数据最棘手的两个难题——权属模糊与计量困难：数据资源的会计确认规则直到近年才由财政部以暂行规定的形式明确（财政部，2023），数据定价的方法论至今仍在经济学与数据科学之间寻找共识（Pei，2022），而词元的计量与计价在技术上是即时的、在合约上是清晰的。</w:t>
      </w:r>
    </w:p>
    <w:p>
      <w:pPr>
        <w:spacing w:line="360" w:lineRule="auto" w:after="0"/>
        <w:ind w:firstLineChars="200" w:firstLine="480"/>
        <w:jc w:val="both"/>
      </w:pPr>
      <w:r>
        <w:rPr>
          <w:rFonts w:ascii="宋体" w:hAnsi="宋体" w:eastAsia="宋体"/>
          <w:sz w:val="24"/>
        </w:rPr>
        <w:t>这一比较的核算含义值得进一步展开。数字经济的规模测算与卫星账户编制长期受制于“可观测变量缺失”的困境：数字技术的贡献分散在各行业的中间投入与生产率变化中，难以直接观测（杨仲山和张美慧，2019；许宪春等，2021；蔡跃洲和牛新星，2021）。词元的出现在原则上改变了这一局面：它是一个由平台系统自动记录、逐笔可追溯、全国可汇总的高频流量变量，其可观测性甚至优于多数传统要素。国家数据局把词元表述为正在成为人工智能服务的计量单位、结算单位和统计单位，正是看到了这一潜力。然而潜力兑现的前提是折算：一个不可加的高频变量在统计上是危险的，因为它会以极高的精度提供系统性偏误的信息。这一判断把我们带到本章的最后一节，也是全书的问题起点。</w:t>
      </w:r>
    </w:p>
    <w:p>
      <w:pPr>
        <w:keepNext/>
        <w:spacing w:before="160" w:after="120" w:line="360" w:lineRule="auto"/>
        <w:outlineLvl w:val="1"/>
      </w:pPr>
      <w:r>
        <w:rPr>
          <w:rFonts w:ascii="黑体" w:hAnsi="黑体" w:eastAsia="黑体"/>
          <w:sz w:val="28"/>
        </w:rPr>
        <w:t>3.4  非同质性问题：物理词元为什么不可加</w:t>
      </w:r>
    </w:p>
    <w:p>
      <w:pPr>
        <w:keepNext/>
        <w:spacing w:before="160" w:after="120" w:line="360" w:lineRule="auto"/>
        <w:outlineLvl w:val="2"/>
      </w:pPr>
      <w:r>
        <w:rPr>
          <w:rFonts w:ascii="黑体" w:hAnsi="黑体" w:eastAsia="黑体"/>
          <w:sz w:val="24"/>
        </w:rPr>
        <w:t>3.4.1  效值三维的经验离散</w:t>
      </w:r>
    </w:p>
    <w:p>
      <w:pPr>
        <w:spacing w:line="360" w:lineRule="auto" w:after="0"/>
        <w:ind w:firstLineChars="200" w:firstLine="480"/>
        <w:jc w:val="both"/>
      </w:pPr>
      <w:r>
        <w:rPr>
          <w:rFonts w:ascii="宋体" w:hAnsi="宋体" w:eastAsia="宋体"/>
          <w:sz w:val="24"/>
        </w:rPr>
        <w:t>要证明物理词元不可加，最直接的办法是考察同名词元在关键维度上的离散程度。本书按算力强度、推理质量与场景效用三个维度刻画词元的效值，并把模型服务归纳为六个抽象档位——轻量蒸馏级、中型通用级、开源旗舰级、旗舰闭源级、推理增强级与多模态级。之所以采用档位而非具体产品，一是因为商业产品迭代极快、版本众多，任何以产品命名的测算都会在出版之时即告过时；二是为避免把本书的校准复算值挂靠到特定商业产品之上，造成不必要的误解。以中型通用级为基准档并归一，六档位在算力强度与推理质量两个维度上的取值如图3.2所示。</w:t>
      </w:r>
    </w:p>
    <w:p>
      <w:pPr>
        <w:spacing w:before="120" w:after="40"/>
        <w:jc w:val="center"/>
      </w:pPr>
      <w:r>
        <w:drawing>
          <wp:inline xmlns:a="http://schemas.openxmlformats.org/drawingml/2006/main" xmlns:pic="http://schemas.openxmlformats.org/drawingml/2006/picture">
            <wp:extent cx="4860000" cy="2962326"/>
            <wp:docPr id="6" name="Picture 6"/>
            <wp:cNvGraphicFramePr>
              <a:graphicFrameLocks noChangeAspect="1"/>
            </wp:cNvGraphicFramePr>
            <a:graphic>
              <a:graphicData uri="http://schemas.openxmlformats.org/drawingml/2006/picture">
                <pic:pic>
                  <pic:nvPicPr>
                    <pic:cNvPr id="0" name="fig3_2.png"/>
                    <pic:cNvPicPr/>
                  </pic:nvPicPr>
                  <pic:blipFill>
                    <a:blip r:embed="rId14"/>
                    <a:stretch>
                      <a:fillRect/>
                    </a:stretch>
                  </pic:blipFill>
                  <pic:spPr>
                    <a:xfrm>
                      <a:off x="0" y="0"/>
                      <a:ext cx="4860000" cy="2962326"/>
                    </a:xfrm>
                    <a:prstGeom prst="rect"/>
                  </pic:spPr>
                </pic:pic>
              </a:graphicData>
            </a:graphic>
          </wp:inline>
        </w:drawing>
      </w:r>
    </w:p>
    <w:p>
      <w:pPr>
        <w:keepNext w:val="0"/>
        <w:spacing w:after="40"/>
        <w:jc w:val="center"/>
      </w:pPr>
      <w:r>
        <w:rPr>
          <w:rFonts w:ascii="黑体" w:hAnsi="黑体" w:eastAsia="黑体"/>
          <w:sz w:val="21"/>
        </w:rPr>
        <w:t>图3.2  各档位模型的单词元算力强度与推理质量</w:t>
      </w:r>
    </w:p>
    <w:p>
      <w:pPr>
        <w:spacing w:after="200" w:line="240" w:lineRule="auto"/>
        <w:jc w:val="both"/>
      </w:pPr>
      <w:r>
        <w:rPr>
          <w:rFonts w:ascii="宋体" w:hAnsi="宋体" w:eastAsia="宋体"/>
          <w:sz w:val="18"/>
        </w:rPr>
        <w:t>注：P 为生成单枚词元所耗浮点运算量相对基准档的倍数，R 为单枚词元承载的有效信息量与任务达成度相对基准档的倍数，二者均以中型通用级为基准归一（虚线，P＝R＝1）；档位为避免挂靠具体商业产品而设的抽象分类。数据来源：作者依基准任务集校准复算。</w:t>
      </w:r>
    </w:p>
    <w:p>
      <w:pPr>
        <w:spacing w:line="360" w:lineRule="auto" w:after="0"/>
        <w:ind w:firstLineChars="200" w:firstLine="480"/>
        <w:jc w:val="both"/>
      </w:pPr>
      <w:r>
        <w:rPr>
          <w:rFonts w:ascii="宋体" w:hAnsi="宋体" w:eastAsia="宋体"/>
          <w:sz w:val="24"/>
        </w:rPr>
        <w:t>图3.2给出的离散格局是惊人的。算力强度</w:t>
      </w:r>
      <m:oMath>
        <m:r>
          <m:t>P</m:t>
        </m:r>
      </m:oMath>
      <w:r>
        <w:rPr>
          <w:rFonts w:ascii="宋体" w:hAnsi="宋体" w:eastAsia="宋体"/>
          <w:sz w:val="24"/>
        </w:rPr>
        <w:t>在六档位间由0.22升至8.40，相差38.2倍；推理质量</w:t>
      </w:r>
      <m:oMath>
        <m:r>
          <m:t>R</m:t>
        </m:r>
      </m:oMath>
      <w:r>
        <w:rPr>
          <w:rFonts w:ascii="宋体" w:hAnsi="宋体" w:eastAsia="宋体"/>
          <w:sz w:val="24"/>
        </w:rPr>
        <w:t>由0.46升至3.10，相差6.7倍；未在图中显示的场景效用</w:t>
      </w:r>
      <m:oMath>
        <m:r>
          <m:t>S</m:t>
        </m:r>
      </m:oMath>
      <w:r>
        <w:rPr>
          <w:rFonts w:ascii="宋体" w:hAnsi="宋体" w:eastAsia="宋体"/>
          <w:sz w:val="24"/>
        </w:rPr>
        <w:t>的离散相对温和，由0.68至2.15、相差3.2倍。三条离散呈现出一个重要的结构特征：</w:t>
      </w:r>
      <w:r>
        <w:rPr>
          <w:rFonts w:ascii="宋体" w:hAnsi="宋体" w:eastAsia="宋体"/>
          <w:b/>
          <w:sz w:val="24"/>
        </w:rPr>
        <w:t>算力强度的离散远大于推理质量的离散</w:t>
      </w:r>
      <w:r>
        <w:rPr>
          <w:rFonts w:ascii="宋体" w:hAnsi="宋体" w:eastAsia="宋体"/>
          <w:sz w:val="24"/>
        </w:rPr>
        <w:t>。这意味着高档位模型在资源耗用上的增长快于其质量上的增长，边际报酬递减在模型能力谱系上清晰可见——这一事实同时解释了两件看似矛盾的现象：为什么高端模型的定价必须显著高于低端模型（成本使然），以及为什么“用最强模型做所有事”在经济上不可持续（回报使然）。推理质量的测度依赖于标准化的评测体系，大规模多任务语言理解基准与整体性评估框架为跨模型的能力比较提供了方法论基础（Hendrycks等，2021；Liang等，2022），以强模型充当评判者的自动评测方法则在开放式任务上提供了可扩展的补充（Zheng等，2023）——本书的推理质量维度即建立在这一评测传统之上，具体标定策略见第5章。</w:t>
      </w:r>
    </w:p>
    <w:p>
      <w:pPr>
        <w:keepNext/>
        <w:spacing w:before="160" w:after="120" w:line="360" w:lineRule="auto"/>
        <w:outlineLvl w:val="2"/>
      </w:pPr>
      <w:r>
        <w:rPr>
          <w:rFonts w:ascii="黑体" w:hAnsi="黑体" w:eastAsia="黑体"/>
          <w:sz w:val="24"/>
        </w:rPr>
        <w:t>3.4.2  单价与效值：词元等值假设的证伪</w:t>
      </w:r>
    </w:p>
    <w:p>
      <w:pPr>
        <w:spacing w:line="360" w:lineRule="auto" w:after="0"/>
        <w:ind w:firstLineChars="200" w:firstLine="480"/>
        <w:jc w:val="both"/>
      </w:pPr>
      <w:r>
        <w:rPr>
          <w:rFonts w:ascii="宋体" w:hAnsi="宋体" w:eastAsia="宋体"/>
          <w:sz w:val="24"/>
        </w:rPr>
        <w:t>效值维度的离散尚属技术事实，其经济后果需要在价格上得到确认。如果“词元是同质的”这一隐含假设成立，那么不同来源的词元单价应当围绕一条水平线波动，差异仅反映厂商的成本效率与市场势力；如果词元不同质，单价则应随效值系统性变化。图3.3以效值系数为横轴、以市场单价为纵轴，把六个档位的观测与两条参照线绘于同一坐标系之中，以对这一假设作出判决。</w:t>
      </w:r>
    </w:p>
    <w:p>
      <w:pPr>
        <w:spacing w:before="120" w:after="40"/>
        <w:jc w:val="center"/>
      </w:pPr>
      <w:r>
        <w:drawing>
          <wp:inline xmlns:a="http://schemas.openxmlformats.org/drawingml/2006/main" xmlns:pic="http://schemas.openxmlformats.org/drawingml/2006/picture">
            <wp:extent cx="4860000" cy="3223982"/>
            <wp:docPr id="7" name="Picture 7"/>
            <wp:cNvGraphicFramePr>
              <a:graphicFrameLocks noChangeAspect="1"/>
            </wp:cNvGraphicFramePr>
            <a:graphic>
              <a:graphicData uri="http://schemas.openxmlformats.org/drawingml/2006/picture">
                <pic:pic>
                  <pic:nvPicPr>
                    <pic:cNvPr id="0" name="fig3_3.png"/>
                    <pic:cNvPicPr/>
                  </pic:nvPicPr>
                  <pic:blipFill>
                    <a:blip r:embed="rId15"/>
                    <a:stretch>
                      <a:fillRect/>
                    </a:stretch>
                  </pic:blipFill>
                  <pic:spPr>
                    <a:xfrm>
                      <a:off x="0" y="0"/>
                      <a:ext cx="4860000" cy="3223982"/>
                    </a:xfrm>
                    <a:prstGeom prst="rect"/>
                  </pic:spPr>
                </pic:pic>
              </a:graphicData>
            </a:graphic>
          </wp:inline>
        </w:drawing>
      </w:r>
    </w:p>
    <w:p>
      <w:pPr>
        <w:keepNext w:val="0"/>
        <w:spacing w:after="40"/>
        <w:jc w:val="center"/>
      </w:pPr>
      <w:r>
        <w:rPr>
          <w:rFonts w:ascii="黑体" w:hAnsi="黑体" w:eastAsia="黑体"/>
          <w:sz w:val="21"/>
        </w:rPr>
        <w:t>图3.3  物理词元的不可比性：单价与效值的离散</w:t>
      </w:r>
    </w:p>
    <w:p>
      <w:pPr>
        <w:spacing w:after="200" w:line="240" w:lineRule="auto"/>
        <w:jc w:val="both"/>
      </w:pPr>
      <w:r>
        <w:rPr>
          <w:rFonts w:ascii="宋体" w:hAnsi="宋体" w:eastAsia="宋体"/>
          <w:sz w:val="18"/>
        </w:rPr>
        <w:t>注：横轴为效值系数η（以中型通用级为基准归一），纵轴为2026年第二季度每百万物理词元的市场单价；实线为过原点最小二乘拟合线，虚线为词元等值假设下应有的水平线（六档位单价的算术平均）。数据来源：作者校准复算。</w:t>
      </w:r>
    </w:p>
    <w:p>
      <w:pPr>
        <w:spacing w:line="360" w:lineRule="auto" w:after="0"/>
        <w:ind w:firstLineChars="200" w:firstLine="480"/>
        <w:jc w:val="both"/>
      </w:pPr>
      <w:r>
        <w:rPr>
          <w:rFonts w:ascii="宋体" w:hAnsi="宋体" w:eastAsia="宋体"/>
          <w:sz w:val="24"/>
        </w:rPr>
        <w:t>图3.3的判决是明确的：等值假设被数据拒绝。六档位的单价由0.40元升至14.00元（每百万物理词元），相差35倍，而同期效值系数仅相差11.3倍；观测点并不围绕水平虚线随机散布，而是沿一条过原点的射线系统性上升，过原点最小二乘拟合的斜率为2.62、决定系数为0.86。这一拟合结果有一个极为重要的解读：斜率的量纲是“元每百万标准词元”，即市场在事实上已经在为效值定价，其隐含的标准词元均价约为每百万2.62元。换言之，市场参与者的定价行为已经内生地包含了一套折算逻辑，只是这套逻辑分散在各家平台的定价策略中，既不公开、不统一，也不可核验——本书所做的，不过是把市场已经在暗中执行的折算显性化、公理化与制度化。</w:t>
      </w:r>
    </w:p>
    <w:p>
      <w:pPr>
        <w:spacing w:line="360" w:lineRule="auto" w:after="0"/>
        <w:ind w:firstLineChars="200" w:firstLine="480"/>
        <w:jc w:val="both"/>
      </w:pPr>
      <w:r>
        <w:rPr>
          <w:rFonts w:ascii="宋体" w:hAnsi="宋体" w:eastAsia="宋体"/>
          <w:sz w:val="24"/>
        </w:rPr>
        <w:t>同样值得注意的是拟合的残差结构。决定系数0.86虽高，却远非完美：多模态级的单价明显低于拟合线，推理增强级与旗舰闭源级则高于拟合线。若折算体系完备且市场充分竞争，残差应当只反映随机扰动；系统性的偏离则提示两种可能——或是效值维度尚未穷尽（例如多模态词元的场景效用被低估），或是市场势力与信息不对称造成了效值溢价的失衡。本书的判断倾向于后者：企业对所购词元效值的认知偏差均值达0.44，由此导致低效值档位的过度采购份额达0.27，质量不可观测下的逆向选择机制在词元市场上已可被观测（Akerlof，1970；Dranove和Jin，2010）。第5章将以偏离拟合线的幅度作为效值溢价失衡的度量，第8章则据此讨论市场失灵与信息披露制度。</w:t>
      </w:r>
    </w:p>
    <w:p>
      <w:pPr>
        <w:keepNext/>
        <w:spacing w:before="160" w:after="120" w:line="360" w:lineRule="auto"/>
        <w:outlineLvl w:val="2"/>
      </w:pPr>
      <w:r>
        <w:rPr>
          <w:rFonts w:ascii="黑体" w:hAnsi="黑体" w:eastAsia="黑体"/>
          <w:sz w:val="24"/>
        </w:rPr>
        <w:t>3.4.3  不可加性的形式化：加总偏误与结构漂移</w:t>
      </w:r>
    </w:p>
    <w:p>
      <w:pPr>
        <w:spacing w:line="360" w:lineRule="auto" w:after="0"/>
        <w:ind w:firstLineChars="200" w:firstLine="480"/>
        <w:jc w:val="both"/>
      </w:pPr>
      <w:r>
        <w:rPr>
          <w:rFonts w:ascii="宋体" w:hAnsi="宋体" w:eastAsia="宋体"/>
          <w:sz w:val="24"/>
        </w:rPr>
        <w:t>离散与价格证据可以说明物理词元“不同质”，但要说明它“不可加”，还需要一个形式化的论证。设经济体中共有</w:t>
      </w:r>
      <m:oMath>
        <m:r>
          <m:t>M</m:t>
        </m:r>
      </m:oMath>
      <w:r>
        <w:rPr>
          <w:rFonts w:ascii="宋体" w:hAnsi="宋体" w:eastAsia="宋体"/>
          <w:sz w:val="24"/>
        </w:rPr>
        <w:t>类词元（按模型档位划分），第</w:t>
      </w:r>
      <m:oMath>
        <m:r>
          <m:t>m</m:t>
        </m:r>
      </m:oMath>
      <w:r>
        <w:rPr>
          <w:rFonts w:ascii="宋体" w:hAnsi="宋体" w:eastAsia="宋体"/>
          <w:sz w:val="24"/>
        </w:rPr>
        <w:t>类的物理词元量为</w:t>
      </w:r>
      <m:oMath>
        <m:sSub>
          <m:e>
            <m:r>
              <m:t>T</m:t>
            </m:r>
          </m:e>
          <m:sub>
            <m:r>
              <m:t>m</m:t>
            </m:r>
          </m:sub>
        </m:sSub>
      </m:oMath>
      <w:r>
        <w:rPr>
          <w:rFonts w:ascii="宋体" w:hAnsi="宋体" w:eastAsia="宋体"/>
          <w:sz w:val="24"/>
        </w:rPr>
        <w:t>、效值系数为</w:t>
      </w:r>
      <m:oMath>
        <m:sSub>
          <m:e>
            <m:r>
              <m:t>η</m:t>
            </m:r>
          </m:e>
          <m:sub>
            <m:r>
              <m:t>m</m:t>
            </m:r>
          </m:sub>
        </m:sSub>
      </m:oMath>
      <w:r>
        <w:rPr>
          <w:rFonts w:ascii="宋体" w:hAnsi="宋体" w:eastAsia="宋体"/>
          <w:sz w:val="24"/>
        </w:rPr>
        <w:t>，份额为</w:t>
      </w:r>
      <m:oMath>
        <m:sSub>
          <m:e>
            <m:r>
              <m:t>s</m:t>
            </m:r>
          </m:e>
          <m:sub>
            <m:r>
              <m:t>m</m:t>
            </m:r>
          </m:sub>
        </m:sSub>
        <m:r>
          <m:rPr>
            <m:sty m:val="p"/>
          </m:rPr>
          <m:t>=</m:t>
        </m:r>
        <m:sSub>
          <m:e>
            <m:r>
              <m:t>T</m:t>
            </m:r>
          </m:e>
          <m:sub>
            <m:r>
              <m:t>m</m:t>
            </m:r>
          </m:sub>
        </m:sSub>
        <m:r>
          <m:rPr>
            <m:sty m:val="p"/>
          </m:rPr>
          <m:t>/</m:t>
        </m:r>
        <m:r>
          <m:t>T</m:t>
        </m:r>
      </m:oMath>
      <w:r>
        <w:rPr>
          <w:rFonts w:ascii="宋体" w:hAnsi="宋体" w:eastAsia="宋体"/>
          <w:sz w:val="24"/>
        </w:rPr>
        <w:t>，则物理加总与当量加总之间存在如下关系：</w:t>
      </w:r>
    </w:p>
    <w:p>
      <w:pPr>
        <w:tabs>
          <w:tab w:pos="4252" w:val="center"/>
          <w:tab w:pos="8504" w:val="right"/>
        </w:tabs>
        <w:spacing w:line="360" w:lineRule="auto" w:before="80" w:after="80"/>
      </w:pPr>
      <w:r>
        <w:tab/>
      </w:r>
      <m:oMath>
        <m:acc>
          <m:accPr>
            <m:chr m:val="̃"/>
          </m:accPr>
          <m:e>
            <m:r>
              <m:t>T</m:t>
            </m:r>
          </m:e>
        </m:acc>
        <m:r>
          <m:rPr>
            <m:sty m:val="p"/>
          </m:rPr>
          <m:t>=</m:t>
        </m:r>
        <m:nary>
          <m:naryPr>
            <m:chr m:val="∑"/>
            <m:limLoc m:val="undOvr"/>
            <m:subHide m:val="off"/>
            <m:supHide m:val="off"/>
          </m:naryPr>
          <m:sub>
            <m:r>
              <m:t>m</m:t>
            </m:r>
            <m:r>
              <m:rPr>
                <m:sty m:val="p"/>
              </m:rPr>
              <m:t>=</m:t>
            </m:r>
            <m:r>
              <m:t>1</m:t>
            </m:r>
          </m:sub>
          <m:sup>
            <m:r>
              <m:t>M</m:t>
            </m:r>
          </m:sup>
          <m:e>
            <m:sSub>
              <m:e>
                <m:r>
                  <m:t>η</m:t>
                </m:r>
              </m:e>
              <m:sub>
                <m:r>
                  <m:t>m</m:t>
                </m:r>
              </m:sub>
            </m:sSub>
          </m:e>
        </m:nary>
        <m:sSub>
          <m:e>
            <m:r>
              <m:t>T</m:t>
            </m:r>
          </m:e>
          <m:sub>
            <m:r>
              <m:t>m</m:t>
            </m:r>
          </m:sub>
        </m:sSub>
        <m:r>
          <m:rPr>
            <m:sty m:val="p"/>
          </m:rPr>
          <m:t>=</m:t>
        </m:r>
        <m:acc>
          <m:accPr>
            <m:chr m:val="‾"/>
          </m:accPr>
          <m:e>
            <m:r>
              <m:t>η</m:t>
            </m:r>
          </m:e>
        </m:acc>
        <m:r>
          <m:t> </m:t>
        </m:r>
        <m:r>
          <m:t>T</m:t>
        </m:r>
        <m:r>
          <m:rPr>
            <m:sty m:val="p"/>
          </m:rPr>
          <m:t>,</m:t>
        </m:r>
        <m:r>
          <m:t> </m:t>
        </m:r>
        <m:acc>
          <m:accPr>
            <m:chr m:val="‾"/>
          </m:accPr>
          <m:e>
            <m:r>
              <m:t>η</m:t>
            </m:r>
          </m:e>
        </m:acc>
        <m:r>
          <m:rPr>
            <m:sty m:val="p"/>
          </m:rPr>
          <m:t>=</m:t>
        </m:r>
        <m:nary>
          <m:naryPr>
            <m:chr m:val="∑"/>
            <m:limLoc m:val="undOvr"/>
            <m:subHide m:val="off"/>
            <m:supHide m:val="off"/>
          </m:naryPr>
          <m:sub>
            <m:r>
              <m:t>m</m:t>
            </m:r>
            <m:r>
              <m:rPr>
                <m:sty m:val="p"/>
              </m:rPr>
              <m:t>=</m:t>
            </m:r>
            <m:r>
              <m:t>1</m:t>
            </m:r>
          </m:sub>
          <m:sup>
            <m:r>
              <m:t>M</m:t>
            </m:r>
          </m:sup>
          <m:e>
            <m:sSub>
              <m:e>
                <m:r>
                  <m:t>s</m:t>
                </m:r>
              </m:e>
              <m:sub>
                <m:r>
                  <m:t>m</m:t>
                </m:r>
              </m:sub>
            </m:sSub>
          </m:e>
        </m:nary>
        <m:sSub>
          <m:e>
            <m:r>
              <m:t>η</m:t>
            </m:r>
          </m:e>
          <m:sub>
            <m:r>
              <m:t>m</m:t>
            </m:r>
          </m:sub>
        </m:sSub>
        <m:r>
          <m:rPr>
            <m:sty m:val="p"/>
          </m:rPr>
          <m:t>;</m:t>
        </m:r>
        <m:r>
          <m:t>  </m:t>
        </m:r>
        <m:r>
          <m:rPr>
            <m:sty m:val="p"/>
          </m:rPr>
          <m:t>d</m:t>
        </m:r>
        <m:r>
          <m:rPr>
            <m:sty m:val="p"/>
          </m:rPr>
          <m:t>ln</m:t>
        </m:r>
        <m:acc>
          <m:accPr>
            <m:chr m:val="̃"/>
          </m:accPr>
          <m:e>
            <m:r>
              <m:t>T</m:t>
            </m:r>
          </m:e>
        </m:acc>
        <m:r>
          <m:rPr>
            <m:sty m:val="p"/>
          </m:rPr>
          <m:t>−</m:t>
        </m:r>
        <m:r>
          <m:rPr>
            <m:sty m:val="p"/>
          </m:rPr>
          <m:t>d</m:t>
        </m:r>
        <m:r>
          <m:rPr>
            <m:sty m:val="p"/>
          </m:rPr>
          <m:t>ln</m:t>
        </m:r>
        <m:r>
          <m:t>T</m:t>
        </m:r>
        <m:r>
          <m:rPr>
            <m:sty m:val="p"/>
          </m:rPr>
          <m:t>=</m:t>
        </m:r>
        <m:r>
          <m:rPr>
            <m:sty m:val="p"/>
          </m:rPr>
          <m:t>d</m:t>
        </m:r>
        <m:r>
          <m:rPr>
            <m:sty m:val="p"/>
          </m:rPr>
          <m:t>ln</m:t>
        </m:r>
        <m:acc>
          <m:accPr>
            <m:chr m:val="‾"/>
          </m:accPr>
          <m:e>
            <m:r>
              <m:t>η</m:t>
            </m:r>
          </m:e>
        </m:acc>
        <m:r>
          <m:rPr>
            <m:sty m:val="p"/>
          </m:rPr>
          <m:t>=</m:t>
        </m:r>
        <m:nary>
          <m:naryPr>
            <m:chr m:val="∑"/>
            <m:limLoc m:val="undOvr"/>
            <m:subHide m:val="off"/>
            <m:supHide m:val="off"/>
          </m:naryPr>
          <m:sub>
            <m:r>
              <m:t>m</m:t>
            </m:r>
            <m:r>
              <m:rPr>
                <m:sty m:val="p"/>
              </m:rPr>
              <m:t>=</m:t>
            </m:r>
            <m:r>
              <m:t>1</m:t>
            </m:r>
          </m:sub>
          <m:sup>
            <m:r>
              <m:t>M</m:t>
            </m:r>
          </m:sup>
          <m:e>
            <m:f>
              <m:fPr>
                <m:type m:val="bar"/>
              </m:fPr>
              <m:num>
                <m:sSub>
                  <m:e>
                    <m:r>
                      <m:t>η</m:t>
                    </m:r>
                  </m:e>
                  <m:sub>
                    <m:r>
                      <m:t>m</m:t>
                    </m:r>
                  </m:sub>
                </m:sSub>
              </m:num>
              <m:den>
                <m:acc>
                  <m:accPr>
                    <m:chr m:val="‾"/>
                  </m:accPr>
                  <m:e>
                    <m:r>
                      <m:t>η</m:t>
                    </m:r>
                  </m:e>
                </m:acc>
              </m:den>
            </m:f>
          </m:e>
        </m:nary>
        <m:r>
          <m:t> </m:t>
        </m:r>
        <m:r>
          <m:rPr>
            <m:sty m:val="p"/>
          </m:rPr>
          <m:t>d</m:t>
        </m:r>
        <m:sSub>
          <m:e>
            <m:r>
              <m:t>s</m:t>
            </m:r>
          </m:e>
          <m:sub>
            <m:r>
              <m:t>m</m:t>
            </m:r>
          </m:sub>
        </m:sSub>
      </m:oMath>
      <w:r>
        <w:tab/>
      </w:r>
      <w:r>
        <w:rPr>
          <w:rFonts w:ascii="Times New Roman" w:hAnsi="Times New Roman" w:eastAsia="宋体"/>
          <w:sz w:val="24"/>
        </w:rPr>
        <w:t>(3-8)</w:t>
      </w:r>
    </w:p>
    <w:p>
      <w:pPr>
        <w:spacing w:line="360" w:lineRule="auto" w:after="0"/>
        <w:jc w:val="both"/>
      </w:pPr>
      <w:r>
        <w:rPr>
          <w:rFonts w:ascii="宋体" w:hAnsi="宋体" w:eastAsia="宋体"/>
          <w:sz w:val="24"/>
        </w:rPr>
        <w:t>其中，</w:t>
      </w:r>
      <m:oMath>
        <m:r>
          <m:t>T</m:t>
        </m:r>
      </m:oMath>
      <w:r>
        <w:rPr>
          <w:rFonts w:ascii="宋体" w:hAnsi="宋体" w:eastAsia="宋体"/>
          <w:sz w:val="24"/>
        </w:rPr>
        <w:t>为物理词元总量，</w:t>
      </w:r>
      <m:oMath>
        <m:acc>
          <m:accPr>
            <m:chr m:val="̃"/>
          </m:accPr>
          <m:e>
            <m:r>
              <m:t>T</m:t>
            </m:r>
          </m:e>
        </m:acc>
      </m:oMath>
      <w:r>
        <w:rPr>
          <w:rFonts w:ascii="宋体" w:hAnsi="宋体" w:eastAsia="宋体"/>
          <w:sz w:val="24"/>
        </w:rPr>
        <w:t>为标准词元总量，</w:t>
      </w:r>
      <m:oMath>
        <m:acc>
          <m:accPr>
            <m:chr m:val="‾"/>
          </m:accPr>
          <m:e>
            <m:r>
              <m:t>η</m:t>
            </m:r>
          </m:e>
        </m:acc>
      </m:oMath>
      <w:r>
        <w:rPr>
          <w:rFonts w:ascii="宋体" w:hAnsi="宋体" w:eastAsia="宋体"/>
          <w:sz w:val="24"/>
        </w:rPr>
        <w:t>为按份额加权的平均效值系数；右式表明，两种加总口径的增长率之差恰等于平均效值系数的增长率，而后者完全由结构份额的变动决定。</w:t>
      </w:r>
    </w:p>
    <w:p>
      <w:pPr>
        <w:spacing w:line="360" w:lineRule="auto" w:after="0"/>
        <w:ind w:firstLineChars="200" w:firstLine="480"/>
        <w:jc w:val="both"/>
      </w:pPr>
      <w:r>
        <w:rPr>
          <w:rFonts w:ascii="宋体" w:hAnsi="宋体" w:eastAsia="宋体"/>
          <w:sz w:val="24"/>
        </w:rPr>
        <w:t>式(3-8)蕴含三条推论，它们共同构成本书对“物理词元不可加”这一命题的正式论证。</w:t>
      </w:r>
      <w:r>
        <w:rPr>
          <w:rFonts w:ascii="宋体" w:hAnsi="宋体" w:eastAsia="宋体"/>
          <w:b/>
          <w:sz w:val="24"/>
        </w:rPr>
        <w:t>推论一（水平不可比）</w:t>
      </w:r>
      <w:r>
        <w:rPr>
          <w:rFonts w:ascii="宋体" w:hAnsi="宋体" w:eastAsia="宋体"/>
          <w:sz w:val="24"/>
        </w:rPr>
        <w:t>：当且仅当所有</w:t>
      </w:r>
      <m:oMath>
        <m:sSub>
          <m:e>
            <m:r>
              <m:t>η</m:t>
            </m:r>
          </m:e>
          <m:sub>
            <m:r>
              <m:t>m</m:t>
            </m:r>
          </m:sub>
        </m:sSub>
      </m:oMath>
      <w:r>
        <w:rPr>
          <w:rFonts w:ascii="宋体" w:hAnsi="宋体" w:eastAsia="宋体"/>
          <w:sz w:val="24"/>
        </w:rPr>
        <w:t>相等时，</w:t>
      </w:r>
      <m:oMath>
        <m:acc>
          <m:accPr>
            <m:chr m:val="‾"/>
          </m:accPr>
          <m:e>
            <m:r>
              <m:t>η</m:t>
            </m:r>
          </m:e>
        </m:acc>
      </m:oMath>
      <w:r>
        <w:rPr>
          <w:rFonts w:ascii="宋体" w:hAnsi="宋体" w:eastAsia="宋体"/>
          <w:sz w:val="24"/>
        </w:rPr>
        <w:t>为常数、物理加总与当量加总只差一个比例因子；只要效值存在跨档位差异，物理词元总量就无法解释为任何有经济意义的量——它既不是有效计算量，也不是有效信息量，更不是价值量。</w:t>
      </w:r>
      <w:r>
        <w:rPr>
          <w:rFonts w:ascii="宋体" w:hAnsi="宋体" w:eastAsia="宋体"/>
          <w:b/>
          <w:sz w:val="24"/>
        </w:rPr>
        <w:t>推论二（增速有偏）</w:t>
      </w:r>
      <w:r>
        <w:rPr>
          <w:rFonts w:ascii="宋体" w:hAnsi="宋体" w:eastAsia="宋体"/>
          <w:sz w:val="24"/>
        </w:rPr>
        <w:t>：即便效值差异被承认，只要结构份额随时间变动，物理词元总量的增长率就与标准词元流量的增长率系统性背离，且偏误的方向由份额向高效值还是低效值档位漂移决定。</w:t>
      </w:r>
      <w:r>
        <w:rPr>
          <w:rFonts w:ascii="宋体" w:hAnsi="宋体" w:eastAsia="宋体"/>
          <w:b/>
          <w:sz w:val="24"/>
        </w:rPr>
        <w:t>推论三（政策失焦）</w:t>
      </w:r>
      <w:r>
        <w:rPr>
          <w:rFonts w:ascii="宋体" w:hAnsi="宋体" w:eastAsia="宋体"/>
          <w:sz w:val="24"/>
        </w:rPr>
        <w:t>：任何以物理词元总量为标的的考核、补贴与统计，都会诱导主体向低效值、高数量的方向调整行为，因为在既定支出下增加低效值词元的数量是最廉价的达标方式——这是古德哈特定律在词元经济中的具体形态。</w:t>
      </w:r>
    </w:p>
    <w:p>
      <w:pPr>
        <w:spacing w:line="360" w:lineRule="auto" w:after="0"/>
        <w:ind w:firstLineChars="200" w:firstLine="480"/>
        <w:jc w:val="both"/>
      </w:pPr>
      <w:r>
        <w:rPr>
          <w:rFonts w:ascii="宋体" w:hAnsi="宋体" w:eastAsia="宋体"/>
          <w:sz w:val="24"/>
        </w:rPr>
        <w:t>推论的现实分量可由一个示意换算加以说明。以本书校准的六档位用量份额与效值系数计算，2026年按用量加权的平均效值系数</w:t>
      </w:r>
      <m:oMath>
        <m:acc>
          <m:accPr>
            <m:chr m:val="‾"/>
          </m:accPr>
          <m:e>
            <m:r>
              <m:t>η</m:t>
            </m:r>
          </m:e>
        </m:acc>
      </m:oMath>
      <w:r>
        <w:rPr>
          <w:rFonts w:ascii="宋体" w:hAnsi="宋体" w:eastAsia="宋体"/>
          <w:sz w:val="24"/>
        </w:rPr>
        <w:t>＝1.43，即平均而言每一枚物理词元约相当于1.43枚标准词元。据此，国家数据局公布的2026年3月日均140万亿枚物理词元，按标准词元口径约相当于日均200万亿枚。必须强调，这一换算仅为示意：官方从未发布过标准词元口径的调用量，份额与效值系数均系作者校准复算的结果。示意的意义不在于数值本身，而在于揭示两点：其一，物理口径与当量口径之间的差距已经达到四成以上的量级，足以改变任何以词元流量为自变量的实证结论；其二，这一差距会随结构漂移而变化，因而不能以一个固定的折算比例事后修正，必须在计量环节即时折算。</w:t>
      </w:r>
    </w:p>
    <w:p>
      <w:pPr>
        <w:spacing w:line="360" w:lineRule="auto" w:after="0"/>
        <w:ind w:firstLineChars="200" w:firstLine="480"/>
        <w:jc w:val="both"/>
      </w:pPr>
      <w:r>
        <w:rPr>
          <w:rFonts w:ascii="宋体" w:hAnsi="宋体" w:eastAsia="宋体"/>
          <w:sz w:val="24"/>
        </w:rPr>
        <w:t>把式(3-8)与3.4.2节的价格证据合起来看，可以得到一个更强的结论。价格证据显示市场已在为效值定价，加总公式显示物理量的加总在结构漂移下必然有偏；二者结合意味着</w:t>
      </w:r>
      <w:r>
        <w:rPr>
          <w:rFonts w:ascii="宋体" w:hAnsi="宋体" w:eastAsia="宋体"/>
          <w:b/>
          <w:sz w:val="24"/>
        </w:rPr>
        <w:t>词元经济当前的统计体系与其价格体系是脱节的</w:t>
      </w:r>
      <w:r>
        <w:rPr>
          <w:rFonts w:ascii="宋体" w:hAnsi="宋体" w:eastAsia="宋体"/>
          <w:sz w:val="24"/>
        </w:rPr>
        <w:t>：价格承认异质，统计假设同质。这种脱节在其他领域并非没有先例——名义价格与实物量的背离曾长期困扰耐用品统计，直至特征价格方法把质量变化从价格变化中分离出来才获得系统解决（Griliches，1961；Pakes，2003）。词元领域今日的处境与彼时高度相似，区别在于变化速度：本书测算显示，2024年第一季度至2026年第二季度物理词元价格指数累计下行79%，其中约53%来自效值提升、约47%为真实降价——若不作质量调整，统计将把一半以上的能力提升误记为价格下降。第7章将据此编制词元价格指数与标准词元价格指数，并解释二者背离的经济含义。</w:t>
      </w:r>
    </w:p>
    <w:p>
      <w:pPr>
        <w:keepNext/>
        <w:spacing w:before="160" w:after="120" w:line="360" w:lineRule="auto"/>
        <w:outlineLvl w:val="2"/>
      </w:pPr>
      <w:r>
        <w:rPr>
          <w:rFonts w:ascii="黑体" w:hAnsi="黑体" w:eastAsia="黑体"/>
          <w:sz w:val="24"/>
        </w:rPr>
        <w:t>3.4.4  三重后果：定价失据、统计失真与补贴失焦</w:t>
      </w:r>
    </w:p>
    <w:p>
      <w:pPr>
        <w:spacing w:line="360" w:lineRule="auto" w:after="0"/>
        <w:ind w:firstLineChars="200" w:firstLine="480"/>
        <w:jc w:val="both"/>
      </w:pPr>
      <w:r>
        <w:rPr>
          <w:rFonts w:ascii="宋体" w:hAnsi="宋体" w:eastAsia="宋体"/>
          <w:sz w:val="24"/>
        </w:rPr>
        <w:t>非同质性若不加处理，其后果将沿定价、统计与政策三条线索扩散。</w:t>
      </w:r>
      <w:r>
        <w:rPr>
          <w:rFonts w:ascii="宋体" w:hAnsi="宋体" w:eastAsia="宋体"/>
          <w:b/>
          <w:sz w:val="24"/>
        </w:rPr>
        <w:t>定价失据</w:t>
      </w:r>
      <w:r>
        <w:rPr>
          <w:rFonts w:ascii="宋体" w:hAnsi="宋体" w:eastAsia="宋体"/>
          <w:sz w:val="24"/>
        </w:rPr>
        <w:t>是最直接的后果。在效值不可观测的条件下，买方只能依据可观测的单价与词元数决策，其支付意愿向平均效值收敛，高效值供给因无法被识别而难以获得应有溢价，市场呈现典型的柠檬化倾向（Akerlof，1970）。质量分级本是应对之策——按质量差异设计版本与价格是信息产品定价的经典安排（Mussa和Rosen，1978；Bhargava和Choudhary，2008）——但版本化的前提是质量维度可被买方识别，而这恰恰是词元市场目前所缺的。价格证据佐证了这一判断：由 Silicon Data 发布的词元支出指数（支出加权的每百万词元成交均价，日度频率）由2026年5月31日的2.04美元回落至8月6—8日的1.16—1.18美元，约两个月跌逾四成，为年内最低；该指数是全市场成交均价而非任何单一模型的挂牌价，其快速下行既包含真实的效率改进，也包含结构漂移带来的口径变化，二者在现行口径下无法分离。</w:t>
      </w:r>
    </w:p>
    <w:p>
      <w:pPr>
        <w:spacing w:line="360" w:lineRule="auto" w:after="0"/>
        <w:ind w:firstLineChars="200" w:firstLine="480"/>
        <w:jc w:val="both"/>
      </w:pPr>
      <w:r>
        <w:rPr>
          <w:rFonts w:ascii="宋体" w:hAnsi="宋体" w:eastAsia="宋体"/>
          <w:b/>
          <w:sz w:val="24"/>
        </w:rPr>
        <w:t>统计失真</w:t>
      </w:r>
      <w:r>
        <w:rPr>
          <w:rFonts w:ascii="宋体" w:hAnsi="宋体" w:eastAsia="宋体"/>
          <w:sz w:val="24"/>
        </w:rPr>
        <w:t>是更深层的后果。物理词元调用量正在成为衡量人工智能产业发展的标志性指标，被广泛用于地区比较、产业评估与规划目标设定；但由推论二可知，在结构快速漂移的时期，这一指标的增速与有效计算能力的增速可以出现方向性背离。设想两个地区，甲地大量部署轻量蒸馏级模型处理简单问答，乙地以推理增强级模型承担复杂研发任务；按物理口径，甲地的调用量可能数倍于乙地，但按标准词元口径，二者的差距会显著收窄乃至逆转——本书测算的轻量蒸馏级与推理增强级效值系数分别为0.38与4.28，相差11.3倍。若以物理调用量作为考核指标，甲地的“成绩”将被系统性高估，而乙地对高价值场景的深耕反被低估。统计口径的这一缺陷若不纠正，将直接污染第12章的增长核算：以物理词元流量作为解释变量估计的产出弹性，将同时包含真实的要素贡献与虚假的结构变化。</w:t>
      </w:r>
    </w:p>
    <w:p>
      <w:pPr>
        <w:spacing w:line="360" w:lineRule="auto" w:after="0"/>
        <w:ind w:firstLineChars="200" w:firstLine="480"/>
        <w:jc w:val="both"/>
      </w:pPr>
      <w:r>
        <w:rPr>
          <w:rFonts w:ascii="宋体" w:hAnsi="宋体" w:eastAsia="宋体"/>
          <w:b/>
          <w:sz w:val="24"/>
        </w:rPr>
        <w:t>补贴失焦</w:t>
      </w:r>
      <w:r>
        <w:rPr>
          <w:rFonts w:ascii="宋体" w:hAnsi="宋体" w:eastAsia="宋体"/>
          <w:sz w:val="24"/>
        </w:rPr>
        <w:t>是最需要警惕的后果。2026年以来，多地把词元使用纳入财政支持范围，或设立城市级词元运营中心、或将词元采购纳入技改补贴范畴；上海市在其软件和信息服务业“十五五”规划中提出，探索将词元、数据治理、大模型部署及再训练等投入纳入企业技术改造支持方向（「上海市经济和信息化委员会，2026」），浙江省“十五五”规划纲要则部署建设一体化算力监测调度平台（「浙江省人民代表大会，2026」），国务院“人工智能+”行动的意见亦对智能经济形态的培育作出总体部署（国务院，2025）。政策方向值得肯定，但补贴的核定必须有可靠的计量依据：若按物理词元数核定补贴，企业最优的响应是采购最便宜的低效值词元以最大化“可报数量”，补贴资金将系统性地流向低效值供给，与提升智能化水平的政策初衷背道而驰。这一风险不是理论推演——它正是推论三的直接推论，也是本书主张“补贴与考核一律以标准词元为口径”的根本理由。</w:t>
      </w:r>
    </w:p>
    <w:p>
      <w:pPr>
        <w:keepNext/>
        <w:spacing w:before="160" w:after="120" w:line="360" w:lineRule="auto"/>
        <w:outlineLvl w:val="2"/>
      </w:pPr>
      <w:r>
        <w:rPr>
          <w:rFonts w:ascii="黑体" w:hAnsi="黑体" w:eastAsia="黑体"/>
          <w:sz w:val="24"/>
        </w:rPr>
        <w:t>3.4.5  既有度量工作的检视与本书的增量</w:t>
      </w:r>
    </w:p>
    <w:p>
      <w:pPr>
        <w:spacing w:line="360" w:lineRule="auto" w:after="0"/>
        <w:ind w:firstLineChars="200" w:firstLine="480"/>
        <w:jc w:val="both"/>
      </w:pPr>
      <w:r>
        <w:rPr>
          <w:rFonts w:ascii="宋体" w:hAnsi="宋体" w:eastAsia="宋体"/>
          <w:sz w:val="24"/>
        </w:rPr>
        <w:t>非同质性问题并非本书的独家发现，产业界与研究机构已在多个方向上作出回应。需要严格区分的是，这些回应各自的主体、维度与用途互不相同，任何合并、平均或交叉引用都会造成事实错误。截至2026年8月，与词元度量直接相关的成体系工作有四套。第一套是</w:t>
      </w:r>
      <w:r>
        <w:rPr>
          <w:rFonts w:ascii="宋体" w:hAnsi="宋体" w:eastAsia="宋体"/>
          <w:b/>
          <w:sz w:val="24"/>
        </w:rPr>
        <w:t>中国信息通信研究院</w:t>
      </w:r>
      <w:r>
        <w:rPr>
          <w:rFonts w:ascii="宋体" w:hAnsi="宋体" w:eastAsia="宋体"/>
          <w:sz w:val="24"/>
        </w:rPr>
        <w:t>的《人工智能 Token 服务质量能力要求》及据以开展的“可信 AI-Token 服务质量评估”，包含模型服务能力、Token 服务性能、Token 服务可信、Token 服务运维、Token 服务用户体验、Token 计量计费</w:t>
      </w:r>
      <w:r>
        <w:rPr>
          <w:rFonts w:ascii="宋体" w:hAnsi="宋体" w:eastAsia="宋体"/>
          <w:b/>
          <w:sz w:val="24"/>
        </w:rPr>
        <w:t>六个维度</w:t>
      </w:r>
      <w:r>
        <w:rPr>
          <w:rFonts w:ascii="宋体" w:hAnsi="宋体" w:eastAsia="宋体"/>
          <w:sz w:val="24"/>
        </w:rPr>
        <w:t>，用途是服务质量的符合性评估。第二套是</w:t>
      </w:r>
      <w:r>
        <w:rPr>
          <w:rFonts w:ascii="宋体" w:hAnsi="宋体" w:eastAsia="宋体"/>
          <w:b/>
          <w:sz w:val="24"/>
        </w:rPr>
        <w:t>中国信息通信研究院</w:t>
      </w:r>
      <w:r>
        <w:rPr>
          <w:rFonts w:ascii="宋体" w:hAnsi="宋体" w:eastAsia="宋体"/>
          <w:sz w:val="24"/>
        </w:rPr>
        <w:t>于2026年6月16日发布并解读的“高质量 Token 服务标准体系”，包含服务质量、运营能力、生产能力、安全能力</w:t>
      </w:r>
      <w:r>
        <w:rPr>
          <w:rFonts w:ascii="宋体" w:hAnsi="宋体" w:eastAsia="宋体"/>
          <w:b/>
          <w:sz w:val="24"/>
        </w:rPr>
        <w:t>四个维度</w:t>
      </w:r>
      <w:r>
        <w:rPr>
          <w:rFonts w:ascii="宋体" w:hAnsi="宋体" w:eastAsia="宋体"/>
          <w:sz w:val="24"/>
        </w:rPr>
        <w:t>，用途是标准框架的搭建；该院云计算与大数据研究所所长魏凯在阐释这一体系时明确提出，“不能只看单价，行业亟须一套衡量高质量 Token 的标尺”。第三套是</w:t>
      </w:r>
      <w:r>
        <w:rPr>
          <w:rFonts w:ascii="宋体" w:hAnsi="宋体" w:eastAsia="宋体"/>
          <w:b/>
          <w:sz w:val="24"/>
        </w:rPr>
        <w:t>中国工业互联网研究院</w:t>
      </w:r>
      <w:r>
        <w:rPr>
          <w:rFonts w:ascii="宋体" w:hAnsi="宋体" w:eastAsia="宋体"/>
          <w:sz w:val="24"/>
        </w:rPr>
        <w:t>发布的《Token 驱动智能经济研究报告（2026年）》，构建了涵盖生产成本、生产效率、准确性、生态价值、安全</w:t>
      </w:r>
      <w:r>
        <w:rPr>
          <w:rFonts w:ascii="宋体" w:hAnsi="宋体" w:eastAsia="宋体"/>
          <w:b/>
          <w:sz w:val="24"/>
        </w:rPr>
        <w:t>五个维度</w:t>
      </w:r>
      <w:r>
        <w:rPr>
          <w:rFonts w:ascii="宋体" w:hAnsi="宋体" w:eastAsia="宋体"/>
          <w:sz w:val="24"/>
        </w:rPr>
        <w:t>的 Token 价值度量体系，并梳理了词元的“三次跃迁”逻辑。第四套是</w:t>
      </w:r>
      <w:r>
        <w:rPr>
          <w:rFonts w:ascii="宋体" w:hAnsi="宋体" w:eastAsia="宋体"/>
          <w:b/>
          <w:sz w:val="24"/>
        </w:rPr>
        <w:t>清华大学翟季冬团队联合清程极智</w:t>
      </w:r>
      <w:r>
        <w:rPr>
          <w:rFonts w:ascii="宋体" w:hAnsi="宋体" w:eastAsia="宋体"/>
          <w:sz w:val="24"/>
        </w:rPr>
        <w:t>于2026年5月发布的“开源模型 Token 服务性能榜”，实测三十余家服务商与四个主流开源模型，核心指标为首词元时延（P90分位）、输出吞吐与缓存命中率</w:t>
      </w:r>
      <w:r>
        <w:rPr>
          <w:rFonts w:ascii="宋体" w:hAnsi="宋体" w:eastAsia="宋体"/>
          <w:b/>
          <w:sz w:val="24"/>
        </w:rPr>
        <w:t>三项</w:t>
      </w:r>
      <w:r>
        <w:rPr>
          <w:rFonts w:ascii="宋体" w:hAnsi="宋体" w:eastAsia="宋体"/>
          <w:sz w:val="24"/>
        </w:rPr>
        <w:t>。中国信息通信研究院在其人工智能与算力经济系列研究中亦持续跟踪相关进展（「中国信息通信研究院，2025」；「中国信息通信研究院，2026」）。</w:t>
      </w:r>
    </w:p>
    <w:p>
      <w:pPr>
        <w:spacing w:line="360" w:lineRule="auto" w:after="0"/>
        <w:ind w:firstLineChars="200" w:firstLine="480"/>
        <w:jc w:val="both"/>
      </w:pPr>
      <w:r>
        <w:rPr>
          <w:rFonts w:ascii="宋体" w:hAnsi="宋体" w:eastAsia="宋体"/>
          <w:sz w:val="24"/>
        </w:rPr>
        <w:t>四套工作的共同贡献是把“词元不只有数量、还有质量”这一认识确立为行业共识，并提供了可操作的评价与实测手段；其共同限度则在于，它们都属于</w:t>
      </w:r>
      <w:r>
        <w:rPr>
          <w:rFonts w:ascii="宋体" w:hAnsi="宋体" w:eastAsia="宋体"/>
          <w:b/>
          <w:sz w:val="24"/>
        </w:rPr>
        <w:t>多维评价</w:t>
      </w:r>
      <w:r>
        <w:rPr>
          <w:rFonts w:ascii="宋体" w:hAnsi="宋体" w:eastAsia="宋体"/>
          <w:sz w:val="24"/>
        </w:rPr>
        <w:t>而非</w:t>
      </w:r>
      <w:r>
        <w:rPr>
          <w:rFonts w:ascii="宋体" w:hAnsi="宋体" w:eastAsia="宋体"/>
          <w:b/>
          <w:sz w:val="24"/>
        </w:rPr>
        <w:t>当量折算</w:t>
      </w:r>
      <w:r>
        <w:rPr>
          <w:rFonts w:ascii="宋体" w:hAnsi="宋体" w:eastAsia="宋体"/>
          <w:sz w:val="24"/>
        </w:rPr>
        <w:t>。多维评价的产出是若干并列的维度得分或达标基线——例如前述词元服务能力攀登计划首批达成的吞吐不低于每秒55词元、首词元时延不高于0.9秒、调用成功率99.9%——这些结果可以回答“这家服务好不好”，却无法回答“一枚这里的词元等于几枚那里的词元”。而后一个问题才是价格指数编制、补贴核定、跨区统计与增长核算所必须回答的：并列的维度得分无法相加，也无法被写进任何账户。标准的效力层级同样制约着现状——目前该领域已发布的规范性成果主要是团体标准与机构评估规范，例如中国人工智能产业发展联盟归口的《人工智能词元（Token）运营管理能力要求》（AIIA/T 0308—2026，2026年8月发布），尚未见以词元计量或词元计费为标题的国家标准或行业标准立项公开；团体标准的效力层级低于行业标准与国家标准，评估认证活动亦不等同于标准本身。</w:t>
      </w:r>
    </w:p>
    <w:p>
      <w:pPr>
        <w:spacing w:line="360" w:lineRule="auto" w:after="0"/>
        <w:ind w:firstLineChars="200" w:firstLine="480"/>
        <w:jc w:val="both"/>
      </w:pPr>
      <w:r>
        <w:rPr>
          <w:rFonts w:ascii="宋体" w:hAnsi="宋体" w:eastAsia="宋体"/>
          <w:sz w:val="24"/>
        </w:rPr>
        <w:t>本书相对上述工作的理论增量因此可以被精确地表述为：</w:t>
      </w:r>
      <w:r>
        <w:rPr>
          <w:rFonts w:ascii="宋体" w:hAnsi="宋体" w:eastAsia="宋体"/>
          <w:b/>
          <w:sz w:val="24"/>
        </w:rPr>
        <w:t>从多维评价推进到当量折算</w:t>
      </w:r>
      <w:r>
        <w:rPr>
          <w:rFonts w:ascii="宋体" w:hAnsi="宋体" w:eastAsia="宋体"/>
          <w:sz w:val="24"/>
        </w:rPr>
        <w:t>。具体而言，本书构造一个把算力强度、推理质量与场景效用三维合成为单一效值系数的折算函数，并为其设立基准归一、单调性、可加性与传递一致性四条公理，证明在这组公理下折算函数的存在性与形式唯一性，从而使不同模型、不同任务、不同场景的词元获得可比、可加的共同尺度。需要郑重声明的是，本书的三维效值折算体系是作者自主构建的理论框架，既不源自也不对应上述任何一家机构的评价体系；本书在引用既有工作时逐一注明主体与维度数，正是为了避免把作者的构造误植于他人名下，或把他人的维度名称混入本书的折算体系。折算与评价的关系是互补而非替代：评价体系提供了效值维度标定所需的测度基础（例如推理质量维度的标定必须依托公认的评测方法与性能实测数据），折算体系则把这些测度合成为可入账的当量。第5章将完成这一构造，本章的任务至此完成。</w:t>
      </w:r>
    </w:p>
    <w:p>
      <w:pPr>
        <w:keepNext/>
        <w:spacing w:before="160" w:after="120" w:line="360" w:lineRule="auto"/>
        <w:outlineLvl w:val="2"/>
      </w:pPr>
      <w:r>
        <w:rPr>
          <w:rFonts w:ascii="黑体" w:hAnsi="黑体" w:eastAsia="黑体"/>
          <w:sz w:val="24"/>
        </w:rPr>
        <w:t>3.4.6  折算前后的对照与本章证据的汇总</w:t>
      </w:r>
    </w:p>
    <w:p>
      <w:pPr>
        <w:spacing w:line="360" w:lineRule="auto" w:after="0"/>
        <w:ind w:firstLineChars="200" w:firstLine="480"/>
        <w:jc w:val="both"/>
      </w:pPr>
      <w:r>
        <w:rPr>
          <w:rFonts w:ascii="宋体" w:hAnsi="宋体" w:eastAsia="宋体"/>
          <w:sz w:val="24"/>
        </w:rPr>
        <w:t>为把本章的证据集中呈现，表3.3汇总六档位在效值三维、合成效值系数、市场单价、折算后单价与单位算力转化效率上的取值，并给出折算前后的离散度对照。表中最后两列的对比是全章的落点所在。</w:t>
      </w:r>
    </w:p>
    <w:p>
      <w:pPr>
        <w:keepNext/>
        <w:spacing w:before="160" w:after="40"/>
        <w:jc w:val="center"/>
      </w:pPr>
      <w:r>
        <w:rPr>
          <w:rFonts w:ascii="黑体" w:hAnsi="黑体" w:eastAsia="黑体"/>
          <w:sz w:val="21"/>
        </w:rPr>
        <w:t>表3.3  六档位模型的效值三维、单价与折算后单价（2026年第二季度）</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063"/>
        <w:gridCol w:w="1063"/>
        <w:gridCol w:w="1063"/>
        <w:gridCol w:w="1063"/>
        <w:gridCol w:w="1063"/>
        <w:gridCol w:w="1063"/>
        <w:gridCol w:w="1063"/>
        <w:gridCol w:w="1063"/>
      </w:tblGrid>
      <w:tr>
        <w:tc>
          <w:tcPr>
            <w:tcW w:type="dxa" w:w="1063"/>
            <w:tcBorders>
              <w:bottom w:val="single" w:sz="6" w:color="000000"/>
            </w:tcBorders>
            <w:vAlign w:val="center"/>
          </w:tcPr>
          <w:p>
            <w:pPr>
              <w:spacing w:line="240" w:lineRule="auto" w:after="20" w:before="20"/>
              <w:jc w:val="center"/>
            </w:pPr>
            <w:r/>
            <w:r>
              <w:rPr>
                <w:rFonts w:ascii="宋体" w:hAnsi="宋体" w:eastAsia="宋体"/>
                <w:b/>
                <w:sz w:val="21"/>
              </w:rPr>
              <w:t>模型档位</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P 算力强度</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R 推理质量</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S 场景效用</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效值系数 η</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市场单价（元／百万物理词元）</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折算后单价（元／百万标准词元）</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转化效率 θ（万标准词元／PFLOPS·h）</w:t>
            </w:r>
          </w:p>
        </w:tc>
      </w:tr>
      <w:tr>
        <w:tc>
          <w:tcPr>
            <w:tcW w:type="dxa" w:w="1063"/>
            <w:vAlign w:val="center"/>
          </w:tcPr>
          <w:p>
            <w:pPr>
              <w:spacing w:line="240" w:lineRule="auto" w:after="20" w:before="20"/>
              <w:jc w:val="left"/>
            </w:pPr>
            <w:r/>
            <w:r>
              <w:rPr>
                <w:rFonts w:ascii="宋体" w:hAnsi="宋体" w:eastAsia="宋体"/>
                <w:sz w:val="21"/>
              </w:rPr>
              <w:t>轻量蒸馏级</w:t>
            </w:r>
          </w:p>
        </w:tc>
        <w:tc>
          <w:tcPr>
            <w:tcW w:type="dxa" w:w="1063"/>
            <w:vAlign w:val="center"/>
          </w:tcPr>
          <w:p>
            <w:pPr>
              <w:spacing w:line="240" w:lineRule="auto" w:after="20" w:before="20"/>
              <w:jc w:val="center"/>
            </w:pPr>
            <w:r/>
            <w:r>
              <w:rPr>
                <w:rFonts w:ascii="宋体" w:hAnsi="宋体" w:eastAsia="宋体"/>
                <w:sz w:val="21"/>
              </w:rPr>
              <w:t>0.22</w:t>
            </w:r>
          </w:p>
        </w:tc>
        <w:tc>
          <w:tcPr>
            <w:tcW w:type="dxa" w:w="1063"/>
            <w:vAlign w:val="center"/>
          </w:tcPr>
          <w:p>
            <w:pPr>
              <w:spacing w:line="240" w:lineRule="auto" w:after="20" w:before="20"/>
              <w:jc w:val="center"/>
            </w:pPr>
            <w:r/>
            <w:r>
              <w:rPr>
                <w:rFonts w:ascii="宋体" w:hAnsi="宋体" w:eastAsia="宋体"/>
                <w:sz w:val="21"/>
              </w:rPr>
              <w:t>0.46</w:t>
            </w:r>
          </w:p>
        </w:tc>
        <w:tc>
          <w:tcPr>
            <w:tcW w:type="dxa" w:w="1063"/>
            <w:vAlign w:val="center"/>
          </w:tcPr>
          <w:p>
            <w:pPr>
              <w:spacing w:line="240" w:lineRule="auto" w:after="20" w:before="20"/>
              <w:jc w:val="center"/>
            </w:pPr>
            <w:r/>
            <w:r>
              <w:rPr>
                <w:rFonts w:ascii="宋体" w:hAnsi="宋体" w:eastAsia="宋体"/>
                <w:sz w:val="21"/>
              </w:rPr>
              <w:t>0.68</w:t>
            </w:r>
          </w:p>
        </w:tc>
        <w:tc>
          <w:tcPr>
            <w:tcW w:type="dxa" w:w="1063"/>
            <w:vAlign w:val="center"/>
          </w:tcPr>
          <w:p>
            <w:pPr>
              <w:spacing w:line="240" w:lineRule="auto" w:after="20" w:before="20"/>
              <w:jc w:val="center"/>
            </w:pPr>
            <w:r/>
            <w:r>
              <w:rPr>
                <w:rFonts w:ascii="宋体" w:hAnsi="宋体" w:eastAsia="宋体"/>
                <w:sz w:val="21"/>
              </w:rPr>
              <w:t>0.38</w:t>
            </w:r>
          </w:p>
        </w:tc>
        <w:tc>
          <w:tcPr>
            <w:tcW w:type="dxa" w:w="1063"/>
            <w:vAlign w:val="center"/>
          </w:tcPr>
          <w:p>
            <w:pPr>
              <w:spacing w:line="240" w:lineRule="auto" w:after="20" w:before="20"/>
              <w:jc w:val="center"/>
            </w:pPr>
            <w:r/>
            <w:r>
              <w:rPr>
                <w:rFonts w:ascii="宋体" w:hAnsi="宋体" w:eastAsia="宋体"/>
                <w:sz w:val="21"/>
              </w:rPr>
              <w:t>0.40</w:t>
            </w:r>
          </w:p>
        </w:tc>
        <w:tc>
          <w:tcPr>
            <w:tcW w:type="dxa" w:w="1063"/>
            <w:vAlign w:val="center"/>
          </w:tcPr>
          <w:p>
            <w:pPr>
              <w:spacing w:line="240" w:lineRule="auto" w:after="20" w:before="20"/>
              <w:jc w:val="center"/>
            </w:pPr>
            <w:r/>
            <w:r>
              <w:rPr>
                <w:rFonts w:ascii="宋体" w:hAnsi="宋体" w:eastAsia="宋体"/>
                <w:sz w:val="21"/>
              </w:rPr>
              <w:t>1.053</w:t>
            </w:r>
          </w:p>
        </w:tc>
        <w:tc>
          <w:tcPr>
            <w:tcW w:type="dxa" w:w="1063"/>
            <w:vAlign w:val="center"/>
          </w:tcPr>
          <w:p>
            <w:pPr>
              <w:spacing w:line="240" w:lineRule="auto" w:after="20" w:before="20"/>
              <w:jc w:val="center"/>
            </w:pPr>
            <w:r/>
            <w:r>
              <w:rPr>
                <w:rFonts w:ascii="宋体" w:hAnsi="宋体" w:eastAsia="宋体"/>
                <w:sz w:val="21"/>
              </w:rPr>
              <w:t>42.0</w:t>
            </w:r>
          </w:p>
        </w:tc>
      </w:tr>
      <w:tr>
        <w:tc>
          <w:tcPr>
            <w:tcW w:type="dxa" w:w="1063"/>
            <w:vAlign w:val="center"/>
          </w:tcPr>
          <w:p>
            <w:pPr>
              <w:spacing w:line="240" w:lineRule="auto" w:after="20" w:before="20"/>
              <w:jc w:val="left"/>
            </w:pPr>
            <w:r/>
            <w:r>
              <w:rPr>
                <w:rFonts w:ascii="宋体" w:hAnsi="宋体" w:eastAsia="宋体"/>
                <w:sz w:val="21"/>
              </w:rPr>
              <w:t>中型通用级</w:t>
            </w:r>
          </w:p>
        </w:tc>
        <w:tc>
          <w:tcPr>
            <w:tcW w:type="dxa" w:w="1063"/>
            <w:vAlign w:val="center"/>
          </w:tcPr>
          <w:p>
            <w:pPr>
              <w:spacing w:line="240" w:lineRule="auto" w:after="20" w:before="20"/>
              <w:jc w:val="center"/>
            </w:pPr>
            <w:r/>
            <w:r>
              <w:rPr>
                <w:rFonts w:ascii="宋体" w:hAnsi="宋体" w:eastAsia="宋体"/>
                <w:sz w:val="21"/>
              </w:rPr>
              <w:t>1.00</w:t>
            </w:r>
          </w:p>
        </w:tc>
        <w:tc>
          <w:tcPr>
            <w:tcW w:type="dxa" w:w="1063"/>
            <w:vAlign w:val="center"/>
          </w:tcPr>
          <w:p>
            <w:pPr>
              <w:spacing w:line="240" w:lineRule="auto" w:after="20" w:before="20"/>
              <w:jc w:val="center"/>
            </w:pPr>
            <w:r/>
            <w:r>
              <w:rPr>
                <w:rFonts w:ascii="宋体" w:hAnsi="宋体" w:eastAsia="宋体"/>
                <w:sz w:val="21"/>
              </w:rPr>
              <w:t>1.00</w:t>
            </w:r>
          </w:p>
        </w:tc>
        <w:tc>
          <w:tcPr>
            <w:tcW w:type="dxa" w:w="1063"/>
            <w:vAlign w:val="center"/>
          </w:tcPr>
          <w:p>
            <w:pPr>
              <w:spacing w:line="240" w:lineRule="auto" w:after="20" w:before="20"/>
              <w:jc w:val="center"/>
            </w:pPr>
            <w:r/>
            <w:r>
              <w:rPr>
                <w:rFonts w:ascii="宋体" w:hAnsi="宋体" w:eastAsia="宋体"/>
                <w:sz w:val="21"/>
              </w:rPr>
              <w:t>1.00</w:t>
            </w:r>
          </w:p>
        </w:tc>
        <w:tc>
          <w:tcPr>
            <w:tcW w:type="dxa" w:w="1063"/>
            <w:vAlign w:val="center"/>
          </w:tcPr>
          <w:p>
            <w:pPr>
              <w:spacing w:line="240" w:lineRule="auto" w:after="20" w:before="20"/>
              <w:jc w:val="center"/>
            </w:pPr>
            <w:r/>
            <w:r>
              <w:rPr>
                <w:rFonts w:ascii="宋体" w:hAnsi="宋体" w:eastAsia="宋体"/>
                <w:sz w:val="21"/>
              </w:rPr>
              <w:t>1.00</w:t>
            </w:r>
          </w:p>
        </w:tc>
        <w:tc>
          <w:tcPr>
            <w:tcW w:type="dxa" w:w="1063"/>
            <w:vAlign w:val="center"/>
          </w:tcPr>
          <w:p>
            <w:pPr>
              <w:spacing w:line="240" w:lineRule="auto" w:after="20" w:before="20"/>
              <w:jc w:val="center"/>
            </w:pPr>
            <w:r/>
            <w:r>
              <w:rPr>
                <w:rFonts w:ascii="宋体" w:hAnsi="宋体" w:eastAsia="宋体"/>
                <w:sz w:val="21"/>
              </w:rPr>
              <w:t>1.30</w:t>
            </w:r>
          </w:p>
        </w:tc>
        <w:tc>
          <w:tcPr>
            <w:tcW w:type="dxa" w:w="1063"/>
            <w:vAlign w:val="center"/>
          </w:tcPr>
          <w:p>
            <w:pPr>
              <w:spacing w:line="240" w:lineRule="auto" w:after="20" w:before="20"/>
              <w:jc w:val="center"/>
            </w:pPr>
            <w:r/>
            <w:r>
              <w:rPr>
                <w:rFonts w:ascii="宋体" w:hAnsi="宋体" w:eastAsia="宋体"/>
                <w:sz w:val="21"/>
              </w:rPr>
              <w:t>1.300</w:t>
            </w:r>
          </w:p>
        </w:tc>
        <w:tc>
          <w:tcPr>
            <w:tcW w:type="dxa" w:w="1063"/>
            <w:vAlign w:val="center"/>
          </w:tcPr>
          <w:p>
            <w:pPr>
              <w:spacing w:line="240" w:lineRule="auto" w:after="20" w:before="20"/>
              <w:jc w:val="center"/>
            </w:pPr>
            <w:r/>
            <w:r>
              <w:rPr>
                <w:rFonts w:ascii="宋体" w:hAnsi="宋体" w:eastAsia="宋体"/>
                <w:sz w:val="21"/>
              </w:rPr>
              <w:t>18.5</w:t>
            </w:r>
          </w:p>
        </w:tc>
      </w:tr>
      <w:tr>
        <w:tc>
          <w:tcPr>
            <w:tcW w:type="dxa" w:w="1063"/>
            <w:vAlign w:val="center"/>
          </w:tcPr>
          <w:p>
            <w:pPr>
              <w:spacing w:line="240" w:lineRule="auto" w:after="20" w:before="20"/>
              <w:jc w:val="left"/>
            </w:pPr>
            <w:r/>
            <w:r>
              <w:rPr>
                <w:rFonts w:ascii="宋体" w:hAnsi="宋体" w:eastAsia="宋体"/>
                <w:sz w:val="21"/>
              </w:rPr>
              <w:t>开源旗舰级</w:t>
            </w:r>
          </w:p>
        </w:tc>
        <w:tc>
          <w:tcPr>
            <w:tcW w:type="dxa" w:w="1063"/>
            <w:vAlign w:val="center"/>
          </w:tcPr>
          <w:p>
            <w:pPr>
              <w:spacing w:line="240" w:lineRule="auto" w:after="20" w:before="20"/>
              <w:jc w:val="center"/>
            </w:pPr>
            <w:r/>
            <w:r>
              <w:rPr>
                <w:rFonts w:ascii="宋体" w:hAnsi="宋体" w:eastAsia="宋体"/>
                <w:sz w:val="21"/>
              </w:rPr>
              <w:t>2.60</w:t>
            </w:r>
          </w:p>
        </w:tc>
        <w:tc>
          <w:tcPr>
            <w:tcW w:type="dxa" w:w="1063"/>
            <w:vAlign w:val="center"/>
          </w:tcPr>
          <w:p>
            <w:pPr>
              <w:spacing w:line="240" w:lineRule="auto" w:after="20" w:before="20"/>
              <w:jc w:val="center"/>
            </w:pPr>
            <w:r/>
            <w:r>
              <w:rPr>
                <w:rFonts w:ascii="宋体" w:hAnsi="宋体" w:eastAsia="宋体"/>
                <w:sz w:val="21"/>
              </w:rPr>
              <w:t>1.72</w:t>
            </w:r>
          </w:p>
        </w:tc>
        <w:tc>
          <w:tcPr>
            <w:tcW w:type="dxa" w:w="1063"/>
            <w:vAlign w:val="center"/>
          </w:tcPr>
          <w:p>
            <w:pPr>
              <w:spacing w:line="240" w:lineRule="auto" w:after="20" w:before="20"/>
              <w:jc w:val="center"/>
            </w:pPr>
            <w:r/>
            <w:r>
              <w:rPr>
                <w:rFonts w:ascii="宋体" w:hAnsi="宋体" w:eastAsia="宋体"/>
                <w:sz w:val="21"/>
              </w:rPr>
              <w:t>1.34</w:t>
            </w:r>
          </w:p>
        </w:tc>
        <w:tc>
          <w:tcPr>
            <w:tcW w:type="dxa" w:w="1063"/>
            <w:vAlign w:val="center"/>
          </w:tcPr>
          <w:p>
            <w:pPr>
              <w:spacing w:line="240" w:lineRule="auto" w:after="20" w:before="20"/>
              <w:jc w:val="center"/>
            </w:pPr>
            <w:r/>
            <w:r>
              <w:rPr>
                <w:rFonts w:ascii="宋体" w:hAnsi="宋体" w:eastAsia="宋体"/>
                <w:sz w:val="21"/>
              </w:rPr>
              <w:t>1.96</w:t>
            </w:r>
          </w:p>
        </w:tc>
        <w:tc>
          <w:tcPr>
            <w:tcW w:type="dxa" w:w="1063"/>
            <w:vAlign w:val="center"/>
          </w:tcPr>
          <w:p>
            <w:pPr>
              <w:spacing w:line="240" w:lineRule="auto" w:after="20" w:before="20"/>
              <w:jc w:val="center"/>
            </w:pPr>
            <w:r/>
            <w:r>
              <w:rPr>
                <w:rFonts w:ascii="宋体" w:hAnsi="宋体" w:eastAsia="宋体"/>
                <w:sz w:val="21"/>
              </w:rPr>
              <w:t>3.30</w:t>
            </w:r>
          </w:p>
        </w:tc>
        <w:tc>
          <w:tcPr>
            <w:tcW w:type="dxa" w:w="1063"/>
            <w:vAlign w:val="center"/>
          </w:tcPr>
          <w:p>
            <w:pPr>
              <w:spacing w:line="240" w:lineRule="auto" w:after="20" w:before="20"/>
              <w:jc w:val="center"/>
            </w:pPr>
            <w:r/>
            <w:r>
              <w:rPr>
                <w:rFonts w:ascii="宋体" w:hAnsi="宋体" w:eastAsia="宋体"/>
                <w:sz w:val="21"/>
              </w:rPr>
              <w:t>1.684</w:t>
            </w:r>
          </w:p>
        </w:tc>
        <w:tc>
          <w:tcPr>
            <w:tcW w:type="dxa" w:w="1063"/>
            <w:vAlign w:val="center"/>
          </w:tcPr>
          <w:p>
            <w:pPr>
              <w:spacing w:line="240" w:lineRule="auto" w:after="20" w:before="20"/>
              <w:jc w:val="center"/>
            </w:pPr>
            <w:r/>
            <w:r>
              <w:rPr>
                <w:rFonts w:ascii="宋体" w:hAnsi="宋体" w:eastAsia="宋体"/>
                <w:sz w:val="21"/>
              </w:rPr>
              <w:t>9.2</w:t>
            </w:r>
          </w:p>
        </w:tc>
      </w:tr>
      <w:tr>
        <w:tc>
          <w:tcPr>
            <w:tcW w:type="dxa" w:w="1063"/>
            <w:vAlign w:val="center"/>
          </w:tcPr>
          <w:p>
            <w:pPr>
              <w:spacing w:line="240" w:lineRule="auto" w:after="20" w:before="20"/>
              <w:jc w:val="left"/>
            </w:pPr>
            <w:r/>
            <w:r>
              <w:rPr>
                <w:rFonts w:ascii="宋体" w:hAnsi="宋体" w:eastAsia="宋体"/>
                <w:sz w:val="21"/>
              </w:rPr>
              <w:t>旗舰闭源级</w:t>
            </w:r>
          </w:p>
        </w:tc>
        <w:tc>
          <w:tcPr>
            <w:tcW w:type="dxa" w:w="1063"/>
            <w:vAlign w:val="center"/>
          </w:tcPr>
          <w:p>
            <w:pPr>
              <w:spacing w:line="240" w:lineRule="auto" w:after="20" w:before="20"/>
              <w:jc w:val="center"/>
            </w:pPr>
            <w:r/>
            <w:r>
              <w:rPr>
                <w:rFonts w:ascii="宋体" w:hAnsi="宋体" w:eastAsia="宋体"/>
                <w:sz w:val="21"/>
              </w:rPr>
              <w:t>4.80</w:t>
            </w:r>
          </w:p>
        </w:tc>
        <w:tc>
          <w:tcPr>
            <w:tcW w:type="dxa" w:w="1063"/>
            <w:vAlign w:val="center"/>
          </w:tcPr>
          <w:p>
            <w:pPr>
              <w:spacing w:line="240" w:lineRule="auto" w:after="20" w:before="20"/>
              <w:jc w:val="center"/>
            </w:pPr>
            <w:r/>
            <w:r>
              <w:rPr>
                <w:rFonts w:ascii="宋体" w:hAnsi="宋体" w:eastAsia="宋体"/>
                <w:sz w:val="21"/>
              </w:rPr>
              <w:t>2.35</w:t>
            </w:r>
          </w:p>
        </w:tc>
        <w:tc>
          <w:tcPr>
            <w:tcW w:type="dxa" w:w="1063"/>
            <w:vAlign w:val="center"/>
          </w:tcPr>
          <w:p>
            <w:pPr>
              <w:spacing w:line="240" w:lineRule="auto" w:after="20" w:before="20"/>
              <w:jc w:val="center"/>
            </w:pPr>
            <w:r/>
            <w:r>
              <w:rPr>
                <w:rFonts w:ascii="宋体" w:hAnsi="宋体" w:eastAsia="宋体"/>
                <w:sz w:val="21"/>
              </w:rPr>
              <w:t>1.66</w:t>
            </w:r>
          </w:p>
        </w:tc>
        <w:tc>
          <w:tcPr>
            <w:tcW w:type="dxa" w:w="1063"/>
            <w:vAlign w:val="center"/>
          </w:tcPr>
          <w:p>
            <w:pPr>
              <w:spacing w:line="240" w:lineRule="auto" w:after="20" w:before="20"/>
              <w:jc w:val="center"/>
            </w:pPr>
            <w:r/>
            <w:r>
              <w:rPr>
                <w:rFonts w:ascii="宋体" w:hAnsi="宋体" w:eastAsia="宋体"/>
                <w:sz w:val="21"/>
              </w:rPr>
              <w:t>2.94</w:t>
            </w:r>
          </w:p>
        </w:tc>
        <w:tc>
          <w:tcPr>
            <w:tcW w:type="dxa" w:w="1063"/>
            <w:vAlign w:val="center"/>
          </w:tcPr>
          <w:p>
            <w:pPr>
              <w:spacing w:line="240" w:lineRule="auto" w:after="20" w:before="20"/>
              <w:jc w:val="center"/>
            </w:pPr>
            <w:r/>
            <w:r>
              <w:rPr>
                <w:rFonts w:ascii="宋体" w:hAnsi="宋体" w:eastAsia="宋体"/>
                <w:sz w:val="21"/>
              </w:rPr>
              <w:t>7.00</w:t>
            </w:r>
          </w:p>
        </w:tc>
        <w:tc>
          <w:tcPr>
            <w:tcW w:type="dxa" w:w="1063"/>
            <w:vAlign w:val="center"/>
          </w:tcPr>
          <w:p>
            <w:pPr>
              <w:spacing w:line="240" w:lineRule="auto" w:after="20" w:before="20"/>
              <w:jc w:val="center"/>
            </w:pPr>
            <w:r/>
            <w:r>
              <w:rPr>
                <w:rFonts w:ascii="宋体" w:hAnsi="宋体" w:eastAsia="宋体"/>
                <w:sz w:val="21"/>
              </w:rPr>
              <w:t>2.381</w:t>
            </w:r>
          </w:p>
        </w:tc>
        <w:tc>
          <w:tcPr>
            <w:tcW w:type="dxa" w:w="1063"/>
            <w:vAlign w:val="center"/>
          </w:tcPr>
          <w:p>
            <w:pPr>
              <w:spacing w:line="240" w:lineRule="auto" w:after="20" w:before="20"/>
              <w:jc w:val="center"/>
            </w:pPr>
            <w:r/>
            <w:r>
              <w:rPr>
                <w:rFonts w:ascii="宋体" w:hAnsi="宋体" w:eastAsia="宋体"/>
                <w:sz w:val="21"/>
              </w:rPr>
              <w:t>5.4</w:t>
            </w:r>
          </w:p>
        </w:tc>
      </w:tr>
      <w:tr>
        <w:tc>
          <w:tcPr>
            <w:tcW w:type="dxa" w:w="1063"/>
            <w:vAlign w:val="center"/>
          </w:tcPr>
          <w:p>
            <w:pPr>
              <w:spacing w:line="240" w:lineRule="auto" w:after="20" w:before="20"/>
              <w:jc w:val="left"/>
            </w:pPr>
            <w:r/>
            <w:r>
              <w:rPr>
                <w:rFonts w:ascii="宋体" w:hAnsi="宋体" w:eastAsia="宋体"/>
                <w:sz w:val="21"/>
              </w:rPr>
              <w:t>推理增强级</w:t>
            </w:r>
          </w:p>
        </w:tc>
        <w:tc>
          <w:tcPr>
            <w:tcW w:type="dxa" w:w="1063"/>
            <w:vAlign w:val="center"/>
          </w:tcPr>
          <w:p>
            <w:pPr>
              <w:spacing w:line="240" w:lineRule="auto" w:after="20" w:before="20"/>
              <w:jc w:val="center"/>
            </w:pPr>
            <w:r/>
            <w:r>
              <w:rPr>
                <w:rFonts w:ascii="宋体" w:hAnsi="宋体" w:eastAsia="宋体"/>
                <w:sz w:val="21"/>
              </w:rPr>
              <w:t>8.40</w:t>
            </w:r>
          </w:p>
        </w:tc>
        <w:tc>
          <w:tcPr>
            <w:tcW w:type="dxa" w:w="1063"/>
            <w:vAlign w:val="center"/>
          </w:tcPr>
          <w:p>
            <w:pPr>
              <w:spacing w:line="240" w:lineRule="auto" w:after="20" w:before="20"/>
              <w:jc w:val="center"/>
            </w:pPr>
            <w:r/>
            <w:r>
              <w:rPr>
                <w:rFonts w:ascii="宋体" w:hAnsi="宋体" w:eastAsia="宋体"/>
                <w:sz w:val="21"/>
              </w:rPr>
              <w:t>3.10</w:t>
            </w:r>
          </w:p>
        </w:tc>
        <w:tc>
          <w:tcPr>
            <w:tcW w:type="dxa" w:w="1063"/>
            <w:vAlign w:val="center"/>
          </w:tcPr>
          <w:p>
            <w:pPr>
              <w:spacing w:line="240" w:lineRule="auto" w:after="20" w:before="20"/>
              <w:jc w:val="center"/>
            </w:pPr>
            <w:r/>
            <w:r>
              <w:rPr>
                <w:rFonts w:ascii="宋体" w:hAnsi="宋体" w:eastAsia="宋体"/>
                <w:sz w:val="21"/>
              </w:rPr>
              <w:t>1.92</w:t>
            </w:r>
          </w:p>
        </w:tc>
        <w:tc>
          <w:tcPr>
            <w:tcW w:type="dxa" w:w="1063"/>
            <w:vAlign w:val="center"/>
          </w:tcPr>
          <w:p>
            <w:pPr>
              <w:spacing w:line="240" w:lineRule="auto" w:after="20" w:before="20"/>
              <w:jc w:val="center"/>
            </w:pPr>
            <w:r/>
            <w:r>
              <w:rPr>
                <w:rFonts w:ascii="宋体" w:hAnsi="宋体" w:eastAsia="宋体"/>
                <w:sz w:val="21"/>
              </w:rPr>
              <w:t>4.28</w:t>
            </w:r>
          </w:p>
        </w:tc>
        <w:tc>
          <w:tcPr>
            <w:tcW w:type="dxa" w:w="1063"/>
            <w:vAlign w:val="center"/>
          </w:tcPr>
          <w:p>
            <w:pPr>
              <w:spacing w:line="240" w:lineRule="auto" w:after="20" w:before="20"/>
              <w:jc w:val="center"/>
            </w:pPr>
            <w:r/>
            <w:r>
              <w:rPr>
                <w:rFonts w:ascii="宋体" w:hAnsi="宋体" w:eastAsia="宋体"/>
                <w:sz w:val="21"/>
              </w:rPr>
              <w:t>14.00</w:t>
            </w:r>
          </w:p>
        </w:tc>
        <w:tc>
          <w:tcPr>
            <w:tcW w:type="dxa" w:w="1063"/>
            <w:vAlign w:val="center"/>
          </w:tcPr>
          <w:p>
            <w:pPr>
              <w:spacing w:line="240" w:lineRule="auto" w:after="20" w:before="20"/>
              <w:jc w:val="center"/>
            </w:pPr>
            <w:r/>
            <w:r>
              <w:rPr>
                <w:rFonts w:ascii="宋体" w:hAnsi="宋体" w:eastAsia="宋体"/>
                <w:sz w:val="21"/>
              </w:rPr>
              <w:t>3.271</w:t>
            </w:r>
          </w:p>
        </w:tc>
        <w:tc>
          <w:tcPr>
            <w:tcW w:type="dxa" w:w="1063"/>
            <w:vAlign w:val="center"/>
          </w:tcPr>
          <w:p>
            <w:pPr>
              <w:spacing w:line="240" w:lineRule="auto" w:after="20" w:before="20"/>
              <w:jc w:val="center"/>
            </w:pPr>
            <w:r/>
            <w:r>
              <w:rPr>
                <w:rFonts w:ascii="宋体" w:hAnsi="宋体" w:eastAsia="宋体"/>
                <w:sz w:val="21"/>
              </w:rPr>
              <w:t>3.1</w:t>
            </w:r>
          </w:p>
        </w:tc>
      </w:tr>
      <w:tr>
        <w:tc>
          <w:tcPr>
            <w:tcW w:type="dxa" w:w="1063"/>
            <w:vAlign w:val="center"/>
          </w:tcPr>
          <w:p>
            <w:pPr>
              <w:spacing w:line="240" w:lineRule="auto" w:after="20" w:before="20"/>
              <w:jc w:val="left"/>
            </w:pPr>
            <w:r/>
            <w:r>
              <w:rPr>
                <w:rFonts w:ascii="宋体" w:hAnsi="宋体" w:eastAsia="宋体"/>
                <w:sz w:val="21"/>
              </w:rPr>
              <w:t>多模态级</w:t>
            </w:r>
          </w:p>
        </w:tc>
        <w:tc>
          <w:tcPr>
            <w:tcW w:type="dxa" w:w="1063"/>
            <w:vAlign w:val="center"/>
          </w:tcPr>
          <w:p>
            <w:pPr>
              <w:spacing w:line="240" w:lineRule="auto" w:after="20" w:before="20"/>
              <w:jc w:val="center"/>
            </w:pPr>
            <w:r/>
            <w:r>
              <w:rPr>
                <w:rFonts w:ascii="宋体" w:hAnsi="宋体" w:eastAsia="宋体"/>
                <w:sz w:val="21"/>
              </w:rPr>
              <w:t>3.70</w:t>
            </w:r>
          </w:p>
        </w:tc>
        <w:tc>
          <w:tcPr>
            <w:tcW w:type="dxa" w:w="1063"/>
            <w:vAlign w:val="center"/>
          </w:tcPr>
          <w:p>
            <w:pPr>
              <w:spacing w:line="240" w:lineRule="auto" w:after="20" w:before="20"/>
              <w:jc w:val="center"/>
            </w:pPr>
            <w:r/>
            <w:r>
              <w:rPr>
                <w:rFonts w:ascii="宋体" w:hAnsi="宋体" w:eastAsia="宋体"/>
                <w:sz w:val="21"/>
              </w:rPr>
              <w:t>1.88</w:t>
            </w:r>
          </w:p>
        </w:tc>
        <w:tc>
          <w:tcPr>
            <w:tcW w:type="dxa" w:w="1063"/>
            <w:vAlign w:val="center"/>
          </w:tcPr>
          <w:p>
            <w:pPr>
              <w:spacing w:line="240" w:lineRule="auto" w:after="20" w:before="20"/>
              <w:jc w:val="center"/>
            </w:pPr>
            <w:r/>
            <w:r>
              <w:rPr>
                <w:rFonts w:ascii="宋体" w:hAnsi="宋体" w:eastAsia="宋体"/>
                <w:sz w:val="21"/>
              </w:rPr>
              <w:t>2.15</w:t>
            </w:r>
          </w:p>
        </w:tc>
        <w:tc>
          <w:tcPr>
            <w:tcW w:type="dxa" w:w="1063"/>
            <w:vAlign w:val="center"/>
          </w:tcPr>
          <w:p>
            <w:pPr>
              <w:spacing w:line="240" w:lineRule="auto" w:after="20" w:before="20"/>
              <w:jc w:val="center"/>
            </w:pPr>
            <w:r/>
            <w:r>
              <w:rPr>
                <w:rFonts w:ascii="宋体" w:hAnsi="宋体" w:eastAsia="宋体"/>
                <w:sz w:val="21"/>
              </w:rPr>
              <w:t>2.62</w:t>
            </w:r>
          </w:p>
        </w:tc>
        <w:tc>
          <w:tcPr>
            <w:tcW w:type="dxa" w:w="1063"/>
            <w:vAlign w:val="center"/>
          </w:tcPr>
          <w:p>
            <w:pPr>
              <w:spacing w:line="240" w:lineRule="auto" w:after="20" w:before="20"/>
              <w:jc w:val="center"/>
            </w:pPr>
            <w:r/>
            <w:r>
              <w:rPr>
                <w:rFonts w:ascii="宋体" w:hAnsi="宋体" w:eastAsia="宋体"/>
                <w:sz w:val="21"/>
              </w:rPr>
              <w:t>5.00</w:t>
            </w:r>
          </w:p>
        </w:tc>
        <w:tc>
          <w:tcPr>
            <w:tcW w:type="dxa" w:w="1063"/>
            <w:vAlign w:val="center"/>
          </w:tcPr>
          <w:p>
            <w:pPr>
              <w:spacing w:line="240" w:lineRule="auto" w:after="20" w:before="20"/>
              <w:jc w:val="center"/>
            </w:pPr>
            <w:r/>
            <w:r>
              <w:rPr>
                <w:rFonts w:ascii="宋体" w:hAnsi="宋体" w:eastAsia="宋体"/>
                <w:sz w:val="21"/>
              </w:rPr>
              <w:t>1.908</w:t>
            </w:r>
          </w:p>
        </w:tc>
        <w:tc>
          <w:tcPr>
            <w:tcW w:type="dxa" w:w="1063"/>
            <w:vAlign w:val="center"/>
          </w:tcPr>
          <w:p>
            <w:pPr>
              <w:spacing w:line="240" w:lineRule="auto" w:after="20" w:before="20"/>
              <w:jc w:val="center"/>
            </w:pPr>
            <w:r/>
            <w:r>
              <w:rPr>
                <w:rFonts w:ascii="宋体" w:hAnsi="宋体" w:eastAsia="宋体"/>
                <w:sz w:val="21"/>
              </w:rPr>
              <w:t>6.8</w:t>
            </w:r>
          </w:p>
        </w:tc>
      </w:tr>
      <w:tr>
        <w:tc>
          <w:tcPr>
            <w:tcW w:type="dxa" w:w="1063"/>
            <w:vAlign w:val="center"/>
          </w:tcPr>
          <w:p>
            <w:pPr>
              <w:spacing w:line="240" w:lineRule="auto" w:after="20" w:before="20"/>
              <w:jc w:val="left"/>
            </w:pPr>
            <w:r/>
            <w:r>
              <w:rPr>
                <w:rFonts w:ascii="宋体" w:hAnsi="宋体" w:eastAsia="宋体"/>
                <w:sz w:val="21"/>
              </w:rPr>
              <w:t>最高／最低倍数</w:t>
            </w:r>
          </w:p>
        </w:tc>
        <w:tc>
          <w:tcPr>
            <w:tcW w:type="dxa" w:w="1063"/>
            <w:vAlign w:val="center"/>
          </w:tcPr>
          <w:p>
            <w:pPr>
              <w:spacing w:line="240" w:lineRule="auto" w:after="20" w:before="20"/>
              <w:jc w:val="center"/>
            </w:pPr>
            <w:r/>
            <w:r>
              <w:rPr>
                <w:rFonts w:ascii="宋体" w:hAnsi="宋体" w:eastAsia="宋体"/>
                <w:sz w:val="21"/>
              </w:rPr>
              <w:t>38.2</w:t>
            </w:r>
          </w:p>
        </w:tc>
        <w:tc>
          <w:tcPr>
            <w:tcW w:type="dxa" w:w="1063"/>
            <w:vAlign w:val="center"/>
          </w:tcPr>
          <w:p>
            <w:pPr>
              <w:spacing w:line="240" w:lineRule="auto" w:after="20" w:before="20"/>
              <w:jc w:val="center"/>
            </w:pPr>
            <w:r/>
            <w:r>
              <w:rPr>
                <w:rFonts w:ascii="宋体" w:hAnsi="宋体" w:eastAsia="宋体"/>
                <w:sz w:val="21"/>
              </w:rPr>
              <w:t>6.7</w:t>
            </w:r>
          </w:p>
        </w:tc>
        <w:tc>
          <w:tcPr>
            <w:tcW w:type="dxa" w:w="1063"/>
            <w:vAlign w:val="center"/>
          </w:tcPr>
          <w:p>
            <w:pPr>
              <w:spacing w:line="240" w:lineRule="auto" w:after="20" w:before="20"/>
              <w:jc w:val="center"/>
            </w:pPr>
            <w:r/>
            <w:r>
              <w:rPr>
                <w:rFonts w:ascii="宋体" w:hAnsi="宋体" w:eastAsia="宋体"/>
                <w:sz w:val="21"/>
              </w:rPr>
              <w:t>3.2</w:t>
            </w:r>
          </w:p>
        </w:tc>
        <w:tc>
          <w:tcPr>
            <w:tcW w:type="dxa" w:w="1063"/>
            <w:vAlign w:val="center"/>
          </w:tcPr>
          <w:p>
            <w:pPr>
              <w:spacing w:line="240" w:lineRule="auto" w:after="20" w:before="20"/>
              <w:jc w:val="center"/>
            </w:pPr>
            <w:r/>
            <w:r>
              <w:rPr>
                <w:rFonts w:ascii="宋体" w:hAnsi="宋体" w:eastAsia="宋体"/>
                <w:sz w:val="21"/>
              </w:rPr>
              <w:t>11.3</w:t>
            </w:r>
          </w:p>
        </w:tc>
        <w:tc>
          <w:tcPr>
            <w:tcW w:type="dxa" w:w="1063"/>
            <w:vAlign w:val="center"/>
          </w:tcPr>
          <w:p>
            <w:pPr>
              <w:spacing w:line="240" w:lineRule="auto" w:after="20" w:before="20"/>
              <w:jc w:val="center"/>
            </w:pPr>
            <w:r/>
            <w:r>
              <w:rPr>
                <w:rFonts w:ascii="宋体" w:hAnsi="宋体" w:eastAsia="宋体"/>
                <w:sz w:val="21"/>
              </w:rPr>
              <w:t>35.0</w:t>
            </w:r>
          </w:p>
        </w:tc>
        <w:tc>
          <w:tcPr>
            <w:tcW w:type="dxa" w:w="1063"/>
            <w:vAlign w:val="center"/>
          </w:tcPr>
          <w:p>
            <w:pPr>
              <w:spacing w:line="240" w:lineRule="auto" w:after="20" w:before="20"/>
              <w:jc w:val="center"/>
            </w:pPr>
            <w:r/>
            <w:r>
              <w:rPr>
                <w:rFonts w:ascii="宋体" w:hAnsi="宋体" w:eastAsia="宋体"/>
                <w:sz w:val="21"/>
              </w:rPr>
              <w:t>3.1</w:t>
            </w:r>
          </w:p>
        </w:tc>
        <w:tc>
          <w:tcPr>
            <w:tcW w:type="dxa" w:w="1063"/>
            <w:vAlign w:val="center"/>
          </w:tcPr>
          <w:p>
            <w:pPr>
              <w:spacing w:line="240" w:lineRule="auto" w:after="20" w:before="20"/>
              <w:jc w:val="center"/>
            </w:pPr>
            <w:r/>
            <w:r>
              <w:rPr>
                <w:rFonts w:ascii="宋体" w:hAnsi="宋体" w:eastAsia="宋体"/>
                <w:sz w:val="21"/>
              </w:rPr>
              <w:t>13.5</w:t>
            </w:r>
          </w:p>
        </w:tc>
      </w:tr>
    </w:tbl>
    <w:p>
      <w:pPr>
        <w:spacing w:after="200" w:line="240" w:lineRule="auto"/>
        <w:jc w:val="both"/>
      </w:pPr>
      <w:r>
        <w:rPr>
          <w:rFonts w:ascii="宋体" w:hAnsi="宋体" w:eastAsia="宋体"/>
          <w:sz w:val="18"/>
        </w:rPr>
        <w:t>注：P、R、S 与 η 均以中型通用级为基准归一（≡1）；折算后单价＝市场单价／η；θ 为单位算力产出的标准词元数。档位为避免挂靠具体商业产品而设的抽象分类，各项数值系作者依基准任务集与2026年第二季度市场行情校准复算所得，不对应任何特定商业产品。全样本口径（1240个档位—任务—时点观测）的离散度为：物理词元单价变异系数0.92、基尼系数0.47、P90与P10之比12.6；折算后相应降至0.31、0.17与2.4。数据来源：作者校准复算。</w:t>
      </w:r>
    </w:p>
    <w:p>
      <w:pPr>
        <w:spacing w:line="360" w:lineRule="auto" w:after="0"/>
        <w:ind w:firstLineChars="200" w:firstLine="480"/>
        <w:jc w:val="both"/>
      </w:pPr>
      <w:r>
        <w:rPr>
          <w:rFonts w:ascii="宋体" w:hAnsi="宋体" w:eastAsia="宋体"/>
          <w:sz w:val="24"/>
        </w:rPr>
        <w:t>表3.3的信息可归纳为三点。第一，</w:t>
      </w:r>
      <w:r>
        <w:rPr>
          <w:rFonts w:ascii="宋体" w:hAnsi="宋体" w:eastAsia="宋体"/>
          <w:b/>
          <w:sz w:val="24"/>
        </w:rPr>
        <w:t>离散的层次差异</w:t>
      </w:r>
      <w:r>
        <w:rPr>
          <w:rFonts w:ascii="宋体" w:hAnsi="宋体" w:eastAsia="宋体"/>
          <w:sz w:val="24"/>
        </w:rPr>
        <w:t>：转化效率的离散（13.5倍）与算力强度的离散（38.2倍）最大，市场单价次之（35.0倍），推理质量与场景效用最小（6.7倍与3.2倍）。这一层次说明，词元异质性的第一来源是资源侧而非能力侧，因而任何仅从质量评测出发的折算方案都会遗漏最主要的离散来源。第二，</w:t>
      </w:r>
      <w:r>
        <w:rPr>
          <w:rFonts w:ascii="宋体" w:hAnsi="宋体" w:eastAsia="宋体"/>
          <w:b/>
          <w:sz w:val="24"/>
        </w:rPr>
        <w:t>折算的收敛效果</w:t>
      </w:r>
      <w:r>
        <w:rPr>
          <w:rFonts w:ascii="宋体" w:hAnsi="宋体" w:eastAsia="宋体"/>
          <w:sz w:val="24"/>
        </w:rPr>
        <w:t>：折算后单价的档位间倍差由35.0倍收敛至3.1倍，全样本口径的变异系数由0.92降至0.31、基尼系数由0.47降至0.17，离散度下降约三分之二，价格分布向一价定律显著收敛。第三，</w:t>
      </w:r>
      <w:r>
        <w:rPr>
          <w:rFonts w:ascii="宋体" w:hAnsi="宋体" w:eastAsia="宋体"/>
          <w:b/>
          <w:sz w:val="24"/>
        </w:rPr>
        <w:t>残余离散的经济含义</w:t>
      </w:r>
      <w:r>
        <w:rPr>
          <w:rFonts w:ascii="宋体" w:hAnsi="宋体" w:eastAsia="宋体"/>
          <w:sz w:val="24"/>
        </w:rPr>
        <w:t>：折算后仍存在的离散并非折算失败，而是真实经济信息——它包含服务质量差异、市场势力、合约条款与区域成本差异，正是第7、8章价格分析的对象。一个完美消除全部离散的折算体系反而是可疑的，因为那意味着折算函数吸收了本不属于计量范畴的信息。</w:t>
      </w:r>
    </w:p>
    <w:p>
      <w:pPr>
        <w:keepNext/>
        <w:spacing w:before="160" w:after="120" w:line="360" w:lineRule="auto"/>
        <w:outlineLvl w:val="1"/>
      </w:pPr>
      <w:r>
        <w:rPr>
          <w:rFonts w:ascii="黑体" w:hAnsi="黑体" w:eastAsia="黑体"/>
          <w:sz w:val="28"/>
        </w:rPr>
        <w:t>3.5  本章小结</w:t>
      </w:r>
    </w:p>
    <w:p>
      <w:pPr>
        <w:spacing w:line="360" w:lineRule="auto" w:after="0"/>
        <w:ind w:firstLineChars="200" w:firstLine="480"/>
        <w:jc w:val="both"/>
      </w:pPr>
      <w:r>
        <w:rPr>
          <w:rFonts w:ascii="宋体" w:hAnsi="宋体" w:eastAsia="宋体"/>
          <w:sz w:val="24"/>
        </w:rPr>
        <w:t>本章完成了从技术属性到经济属性的转译，并在此基础上正式提出了全书的核心问题。在技术层面，本章沿分词与编码、推理生成、多模态扩展、上下文与缓存四个环节解剖了词元的生成过程，提炼出四条对经济分析具有决定意义的技术事实：计数非中性——词元数由文本与分词器共同决定，具有模型、语言与文本类型三重依赖；算力非常数——单枚词元的算力消耗是模型规模与上下文长度的函数，其跨档位离散以倍数计；成本可调度——缓存命中率、算力利用率、批处理效率与时延约束共同决定单位词元成本，同一模型的同一枚词元因调度条件不同可相差数十倍；边界可扩展——词元化的外延已覆盖全模态，外延扩展在提升覆盖面的同时进一步稀释了可比性。四条事实共同支持一个基本判断：物理词元是合格的计数单位，却不是合格的计量单位。</w:t>
      </w:r>
    </w:p>
    <w:p>
      <w:pPr>
        <w:spacing w:line="360" w:lineRule="auto" w:after="0"/>
        <w:ind w:firstLineChars="200" w:firstLine="480"/>
        <w:jc w:val="both"/>
      </w:pPr>
      <w:r>
        <w:rPr>
          <w:rFonts w:ascii="宋体" w:hAnsi="宋体" w:eastAsia="宋体"/>
          <w:sz w:val="24"/>
        </w:rPr>
        <w:t>在经济层面，本章把技术事实转译为八项经济属性，并按经济职能分为三组：价值尺度、稀缺性与部分排他性构成计量职能组，规模经济、范围经济与场景依赖性构成配置职能组，非竞争性与网络外部性构成增长职能组。每项属性均给出了技术根源、经济含义与可检验命题，其中稀缺性被形式化为算力约束的影子价格，规模经济与范围经济被形式化为可测的成本结构指标，非竞争性与竞争性的二重结构被写入统一的生产函数设定。八项属性之间存在内在张力：价值尺度要求同质可加，场景依赖性与非竞争性却使同一枚词元的价值天差地别；规模经济与网络外部性推动集中，部分排他性与效值不可观测又使集中之后的价格难以约束。这些张力无法由单一工具化解，只能由一个同时承担计量、配置与核算职能的制度装置来协调，这正是标准词元的定位。在要素谱系中，本章把词元定位为算力资本、数据要素与模型知识经生产过程合成之后的要素服务流，而非与数据并列的新型要素；这一定位既解释了词元为何天然可计量，也解释了词元为何必须折算。</w:t>
      </w:r>
    </w:p>
    <w:p>
      <w:pPr>
        <w:spacing w:line="360" w:lineRule="auto" w:after="0"/>
        <w:ind w:firstLineChars="200" w:firstLine="480"/>
        <w:jc w:val="both"/>
      </w:pPr>
      <w:r>
        <w:rPr>
          <w:rFonts w:ascii="宋体" w:hAnsi="宋体" w:eastAsia="宋体"/>
          <w:sz w:val="24"/>
        </w:rPr>
        <w:t>在问题提出层面，本章以三组证据论证了物理词元的不可加性。其一是效值三维的经验离散：六档位的算力强度相差38.2倍、推理质量相差6.7倍、场景效用相差3.2倍，且算力强度的离散显著大于推理质量的离散。其二是价格证据：六档位物理词元单价相差35倍，观测点沿过原点射线系统上升而非围绕水平线散布，过原点拟合的决定系数达0.86，表明市场事实上已在为效值定价，只是这套折算逻辑分散、隐蔽且不可核验。其三是加总偏误的形式化：物理加总与当量加总的增长率之差恰等于平均效值系数的增长率，因而只要效值存在差异且结构份额变动，物理词元总量就必然在水平上不可比、在增速上有偏，并诱导主体向低效值、高数量方向调整行为。三组证据共同指向定价失据、统计失真与补贴失焦三重后果，而以标准词元为口径正是化解三重后果的共同前提。</w:t>
      </w:r>
    </w:p>
    <w:p>
      <w:pPr>
        <w:spacing w:line="360" w:lineRule="auto" w:after="0"/>
        <w:ind w:firstLineChars="200" w:firstLine="480"/>
        <w:jc w:val="both"/>
      </w:pPr>
      <w:r>
        <w:rPr>
          <w:rFonts w:ascii="宋体" w:hAnsi="宋体" w:eastAsia="宋体"/>
          <w:sz w:val="24"/>
        </w:rPr>
        <w:t>本章还检视了既有度量工作的进展与限度。中国信息通信研究院的六维服务质量评估与四维标准体系、中国工业互联网研究院的五维价值度量、清华大学翟季冬团队联合清程极智的三项性能实测，各自主体不同、维度不同、用途不同，其共同贡献是确立了“词元有质量差异”的行业共识，其共同限度是停留于多维评价而未进入当量折算——并列的维度得分可以回答服务好不好，却无法回答一枚词元等于几枚词元，因而无法进入价格指数、补贴核定与增长核算。本书的理论增量正在于此：以公理化的合成函数把三维效值折算为单一当量，使异质词元获得可比、可加的共同尺度。至此，本书的问题已经完整提出，证据已经齐备，理论增量的位置也已经界定。第4章将转入事实层面，系统刻画词元经济的发展格局与典型事实，为折算体系的构建提供更完整的经验背景；第5章则将正式构造标准词元效值折算体系，回答本章提出而未答的问题：异质的词元，究竟应当按什么刻度、以什么函数、在什么公理约束下折算为可加的标准计量单位。</w:t>
      </w:r>
    </w:p>
    <w:p>
      <w:r>
        <w:br w:type="page"/>
      </w:r>
    </w:p>
    <w:p>
      <w:pPr>
        <w:keepNext/>
        <w:spacing w:before="240" w:after="160" w:line="360" w:lineRule="auto"/>
        <w:jc w:val="center"/>
        <w:outlineLvl w:val="0"/>
      </w:pPr>
      <w:r>
        <w:rPr>
          <w:rFonts w:ascii="黑体" w:hAnsi="黑体" w:eastAsia="黑体"/>
          <w:b/>
          <w:sz w:val="30"/>
        </w:rPr>
        <w:t>第4章  词元经济的发展格局与典型事实</w:t>
      </w:r>
    </w:p>
    <w:p>
      <w:pPr>
        <w:spacing w:line="360" w:lineRule="auto" w:after="0"/>
        <w:ind w:firstLineChars="200" w:firstLine="480"/>
        <w:jc w:val="both"/>
      </w:pPr>
      <w:r>
        <w:rPr>
          <w:rFonts w:ascii="宋体" w:hAnsi="宋体" w:eastAsia="宋体"/>
          <w:sz w:val="24"/>
        </w:rPr>
        <w:t>第3章从技术属性出发论证了物理词元的不可加性，并把「异质词元如何折算为可比、可加的计量单位」确立为全书的核心问题。理论问题的提出需要经验背景的支撑：折算体系所要回答的并非抽象的可比性难题，而是一个正在以极高速度扩张、且已经进入公共政策视野的真实经济系统的计量难题。若不先把这一系统的规模、结构、价格与制度形态描述清楚，折算函数的设定就会失去经验约束，其参数标定也无从谈起。本章的任务因此是描述性的——沿需求规模、供给格局、场景结构、价格演进、算力基础、使用效率与制度供给七条线索，系统刻画词元经济的发展格局，并提炼出可供后续建模与检验的典型事实。</w:t>
      </w:r>
    </w:p>
    <w:p>
      <w:pPr>
        <w:spacing w:line="360" w:lineRule="auto" w:after="0"/>
        <w:ind w:firstLineChars="200" w:firstLine="480"/>
        <w:jc w:val="both"/>
      </w:pPr>
      <w:r>
        <w:rPr>
          <w:rFonts w:ascii="宋体" w:hAnsi="宋体" w:eastAsia="宋体"/>
          <w:sz w:val="24"/>
        </w:rPr>
        <w:t>描述性研究在计量地基尚未建立的领域具有独立的学术价值。经济学史上，几乎每一个新兴经济部门的理论建构都以典型事实的归纳为起点：先有对增长事实的稳定归纳，后有增长模型的设定；先有对价格行为的经验刻画，后有价格理论的抽象。词元经济当前正处于这一阶段的起点——数字极多而口径极乱，报道极密而统计极缺。因此本章的描述必须以口径纪律为前提，具体遵循三条：其一，宏观数字只采用可溯源的公开发布，并逐一标注发布主体、发布场合、时点与统计边界；其二，凡官方未单独发布的时点，一律标注为本书的校准复算插值，不以插值冒充实测；其三，凡统计对象、精度基准或时间窗不同的数字，不做同比、加总、折算或并列比较。这三条纪律看似繁琐，实则正是本书主题的一部分：词元经济当下最突出的经验问题，恰恰是「同名不同义」——同一个「调用量」「算力规模」「利用率」「价格」，在不同发布主体的口径下指向完全不同的对象。计量单位的不统一先在数据层面制造混乱，再经由混乱的数据传导到定价、补贴与统计的每一个环节。</w:t>
      </w:r>
    </w:p>
    <w:p>
      <w:pPr>
        <w:spacing w:line="360" w:lineRule="auto" w:after="0"/>
        <w:ind w:firstLineChars="200" w:firstLine="480"/>
        <w:jc w:val="both"/>
      </w:pPr>
      <w:r>
        <w:rPr>
          <w:rFonts w:ascii="宋体" w:hAnsi="宋体" w:eastAsia="宋体"/>
          <w:sz w:val="24"/>
        </w:rPr>
        <w:t>本章结构如下：4.1节刻画需求侧的词元调用量演进，界定官方序列的口径并测算增长节律；4.2节考察模型供给格局与国产模型份额，辨析第三方平台口径的适用边界；4.3节分析需求的场景结构，测度调用量向智能体与编程类应用的集中程度；4.4节梳理价格演进与国内外价差，呈现四套并存的价格观测口径；4.5节描述算力供给格局与集群布局，并以供给侧恒等式核算调用量增长与算力增长之间的量级关系；4.6节考察利用率现状与结构；4.7节梳理词元的制度化进程——城市级运营组织、标准供给与政策工具；4.8节归纳全章的典型事实并交待其向后续各章的传递。</w:t>
      </w:r>
    </w:p>
    <w:p>
      <w:pPr>
        <w:keepNext/>
        <w:spacing w:before="160" w:after="120" w:line="360" w:lineRule="auto"/>
        <w:outlineLvl w:val="1"/>
      </w:pPr>
      <w:r>
        <w:rPr>
          <w:rFonts w:ascii="黑体" w:hAnsi="黑体" w:eastAsia="黑体"/>
          <w:sz w:val="28"/>
        </w:rPr>
        <w:t>4.1  词元调用量的爆发式增长：官方序列、增长节律与国际背景</w:t>
      </w:r>
    </w:p>
    <w:p>
      <w:pPr>
        <w:keepNext/>
        <w:spacing w:before="160" w:after="120" w:line="360" w:lineRule="auto"/>
        <w:outlineLvl w:val="2"/>
      </w:pPr>
      <w:r>
        <w:rPr>
          <w:rFonts w:ascii="黑体" w:hAnsi="黑体" w:eastAsia="黑体"/>
          <w:sz w:val="24"/>
        </w:rPr>
        <w:t>4.1.1  官方序列及其口径界定</w:t>
      </w:r>
    </w:p>
    <w:p>
      <w:pPr>
        <w:spacing w:line="360" w:lineRule="auto" w:after="0"/>
        <w:ind w:firstLineChars="200" w:firstLine="480"/>
        <w:jc w:val="both"/>
      </w:pPr>
      <w:r>
        <w:rPr>
          <w:rFonts w:ascii="宋体" w:hAnsi="宋体" w:eastAsia="宋体"/>
          <w:sz w:val="24"/>
        </w:rPr>
        <w:t>我国是目前唯一把词元调用量作为宏观指标对外发布的主要经济体。按国家数据局公开发布的口径，我国日均词元调用量在2024年初约为1000亿枚，至2025年6月底突破30万亿枚，2025年底跃升至100万亿枚，2026年3月突破140万亿枚，两年间增长约1400倍。这四个点位分别发布于国务院新闻办公室的主题新闻发布会与中国发展高层论坛2026年年会等场合，是目前仅有的官方锚点。除此之外的任何时点数值——包括2024年底这一常被引用的「中间年份」——官方均未单独发布；本书所用的季度序列在四个锚点之间以单调平滑方法插值得到，凡出现处一律标注为校准复算插值，图中亦以不同标记加以区分。</w:t>
      </w:r>
    </w:p>
    <w:p>
      <w:pPr>
        <w:spacing w:line="360" w:lineRule="auto" w:after="0"/>
        <w:ind w:firstLineChars="200" w:firstLine="480"/>
        <w:jc w:val="both"/>
      </w:pPr>
      <w:r>
        <w:rPr>
          <w:rFonts w:ascii="宋体" w:hAnsi="宋体" w:eastAsia="宋体"/>
          <w:sz w:val="24"/>
        </w:rPr>
        <w:t>这一序列的口径必须严格界定，否则极易被误用。第一，它是全国、全渠道、消耗侧的日均调用量，官方并未公开统计边界（是否涵盖模型厂商官方接口、云端模型即服务、企业自建推理与端侧推理）与测算方法，因而它既不等于任何企业财报中的词元消耗量，也不等于第三方评测中的吞吐指标，更不是计费口径下的成交量。第二，它是「次数」量纲而非「金额」量纲，与同期发布的产业规模预测（如「十五五」末人工智能相关产业规模突破10万亿元）分属完全不同的量纲，二者相除得出的所谓「单位词元价格」没有任何统计意义。第三，「两年增长约1400倍」的基期是2024年初，若改换基期则倍数完全不同，不可与以其他年份为基期的增速直接同比。第四，日均调用量与第三方平台的周榜调用量之间既不可相加也不可换算，二者的覆盖面相差一个数量级以上，这一点将在4.2节详细说明。</w:t>
      </w:r>
    </w:p>
    <w:p>
      <w:pPr>
        <w:spacing w:line="360" w:lineRule="auto" w:after="0"/>
        <w:ind w:firstLineChars="200" w:firstLine="480"/>
        <w:jc w:val="both"/>
      </w:pPr>
      <w:r>
        <w:rPr>
          <w:rFonts w:ascii="宋体" w:hAnsi="宋体" w:eastAsia="宋体"/>
          <w:sz w:val="24"/>
        </w:rPr>
        <w:t>与序列同样重要的是词元这一名称与内涵的确立过程，因为它决定了本书在不同语境下应当援引何种定义。2026年3月25日，全国科学技术名词审定委员会发布公告，优先推荐并面向全社会发布试用人工智能领域名词 token 的中文名「词元」，并明确将在常态化审定中结合社会推广应用情况最终确认；该公告由第四届计算机科学技术名词审定委员会经科技新词快速审定发布流程作出，属术语规范层面的推荐性发布，既非部门规章，也不是国家标准。同月，在中国发展高层论坛2026年年会上，国家发展改革委党组成员、国家数据局局长在题为《深化数据赋能人工智能发展，加快培育智能经济新形态》的演讲中使用并推介了这一译名，提出词元具有「可计量、可定价、可交易」的特征，是智能时代的价值锚点。两套口径的侧重点不同：前者强调词元是承载一定语义的基本符号单元、是模型处理和交换信息的最小单位，属术语学口径；后者强调词元是可计量、可定价、可交易的最小信息单元，属经济计量口径。本书讨论术语规范时引前者，讨论价值计量时引后者，两者不得互相替换或拼接成一句话。</w:t>
      </w:r>
    </w:p>
    <w:p>
      <w:pPr>
        <w:spacing w:line="360" w:lineRule="auto" w:after="0"/>
        <w:ind w:firstLineChars="200" w:firstLine="480"/>
        <w:jc w:val="both"/>
      </w:pPr>
      <w:r>
        <w:rPr>
          <w:rFonts w:ascii="宋体" w:hAnsi="宋体" w:eastAsia="宋体"/>
          <w:sz w:val="24"/>
        </w:rPr>
        <w:t>一个计量单位从技术社群的行话变为公共政策的用语，本身就是重要的制度事件。标准化的经济学研究早已表明，统一的度量与接口通过降低搜寻、比较与验证成本而扩大市场范围，其收益在网络性行业尤为显著（Farrell和Saloner，1985；Simcoe，2012）；对物流标准化的实证研究亦发现，标准的推行显著提升了企业全要素生产率（何凡等，2025）。词元定名的意义正在于此：它把一个原本分散在各厂商计费页面中的技术参数，抬升为可被政策文本、统计发布与财政工具共同引用的公共名词。但必须清醒的是，定名解决的是「叫什么」，而非「怎么算」——名称的统一并不自动带来计量的统一，本章后续各节将反复显示这一距离。</w:t>
      </w:r>
    </w:p>
    <w:p>
      <w:pPr>
        <w:spacing w:line="360" w:lineRule="auto" w:after="0"/>
        <w:ind w:firstLineChars="200" w:firstLine="480"/>
        <w:jc w:val="both"/>
      </w:pPr>
      <w:r>
        <w:rPr>
          <w:rFonts w:ascii="宋体" w:hAnsi="宋体" w:eastAsia="宋体"/>
          <w:sz w:val="24"/>
        </w:rPr>
        <w:t xml:space="preserve">为刻画增长的节律，把调用量序列写成连续复合增长形式。设 </w:t>
      </w:r>
      <m:oMath>
        <m:sSub>
          <m:e>
            <m:r>
              <m:t>T</m:t>
            </m:r>
          </m:e>
          <m:sub>
            <m:r>
              <m:t>t</m:t>
            </m:r>
          </m:sub>
        </m:sSub>
      </m:oMath>
      <w:r>
        <w:rPr>
          <w:rFonts w:ascii="宋体" w:hAnsi="宋体" w:eastAsia="宋体"/>
          <w:sz w:val="24"/>
        </w:rPr>
        <w:t xml:space="preserve"> 为 </w:t>
      </w:r>
      <m:oMath>
        <m:r>
          <m:t>t</m:t>
        </m:r>
      </m:oMath>
      <w:r>
        <w:rPr>
          <w:rFonts w:ascii="宋体" w:hAnsi="宋体" w:eastAsia="宋体"/>
          <w:sz w:val="24"/>
        </w:rPr>
        <w:t xml:space="preserve"> 时刻的日均词元调用量，</w:t>
      </w:r>
      <m:oMath>
        <m:r>
          <m:t>g</m:t>
        </m:r>
      </m:oMath>
      <w:r>
        <w:rPr>
          <w:rFonts w:ascii="宋体" w:hAnsi="宋体" w:eastAsia="宋体"/>
          <w:sz w:val="24"/>
        </w:rPr>
        <w:t xml:space="preserve"> 为瞬时增长率，则有式(4-1)。</w:t>
      </w:r>
    </w:p>
    <w:p>
      <w:pPr>
        <w:tabs>
          <w:tab w:pos="4252" w:val="center"/>
          <w:tab w:pos="8504" w:val="right"/>
        </w:tabs>
        <w:spacing w:line="360" w:lineRule="auto" w:before="80" w:after="80"/>
      </w:pPr>
      <w:r>
        <w:tab/>
      </w:r>
      <m:oMath>
        <m:sSub>
          <m:e>
            <m:r>
              <m:t>T</m:t>
            </m:r>
          </m:e>
          <m:sub>
            <m:r>
              <m:t>t</m:t>
            </m:r>
          </m:sub>
        </m:sSub>
        <m:r>
          <m:rPr>
            <m:sty m:val="p"/>
          </m:rPr>
          <m:t>=</m:t>
        </m:r>
        <m:sSub>
          <m:e>
            <m:r>
              <m:t>T</m:t>
            </m:r>
          </m:e>
          <m:sub>
            <m:r>
              <m:t>0</m:t>
            </m:r>
          </m:sub>
        </m:sSub>
        <m:r>
          <m:t> </m:t>
        </m:r>
        <m:sSup>
          <m:e>
            <m:r>
              <m:rPr>
                <m:sty m:val="p"/>
              </m:rPr>
              <m:t>e</m:t>
            </m:r>
          </m:e>
          <m:sup>
            <m:r>
              <m:t>g</m:t>
            </m:r>
            <m:d>
              <m:dPr>
                <m:begChr m:val="("/>
                <m:endChr m:val=")"/>
                <m:grow/>
              </m:dPr>
              <m:e>
                <m:r>
                  <m:t>t</m:t>
                </m:r>
                <m:r>
                  <m:rPr>
                    <m:sty m:val="p"/>
                  </m:rPr>
                  <m:t>−</m:t>
                </m:r>
                <m:sSub>
                  <m:e>
                    <m:r>
                      <m:t>t</m:t>
                    </m:r>
                  </m:e>
                  <m:sub>
                    <m:r>
                      <m:t>0</m:t>
                    </m:r>
                  </m:sub>
                </m:sSub>
              </m:e>
            </m:d>
          </m:sup>
        </m:sSup>
        <m:r>
          <m:rPr>
            <m:sty m:val="p"/>
          </m:rPr>
          <m:t>,</m:t>
        </m:r>
        <m:r>
          <m:t>  </m:t>
        </m:r>
        <m:acc>
          <m:accPr>
            <m:chr m:val="̂"/>
          </m:accPr>
          <m:e>
            <m:r>
              <m:t>g</m:t>
            </m:r>
          </m:e>
        </m:acc>
        <m:r>
          <m:rPr>
            <m:sty m:val="p"/>
          </m:rPr>
          <m:t>=</m:t>
        </m:r>
        <m:f>
          <m:fPr>
            <m:type m:val="bar"/>
          </m:fPr>
          <m:num>
            <m:r>
              <m:rPr>
                <m:sty m:val="p"/>
              </m:rPr>
              <m:t>ln</m:t>
            </m:r>
            <m:d>
              <m:dPr>
                <m:begChr m:val="("/>
                <m:endChr m:val=")"/>
                <m:grow/>
              </m:dPr>
              <m:e>
                <m:sSub>
                  <m:e>
                    <m:r>
                      <m:t>T</m:t>
                    </m:r>
                  </m:e>
                  <m:sub>
                    <m:r>
                      <m:t>1</m:t>
                    </m:r>
                  </m:sub>
                </m:sSub>
                <m:r>
                  <m:rPr>
                    <m:sty m:val="p"/>
                  </m:rPr>
                  <m:t>/</m:t>
                </m:r>
                <m:sSub>
                  <m:e>
                    <m:r>
                      <m:t>T</m:t>
                    </m:r>
                  </m:e>
                  <m:sub>
                    <m:r>
                      <m:t>0</m:t>
                    </m:r>
                  </m:sub>
                </m:sSub>
              </m:e>
            </m:d>
          </m:num>
          <m:den>
            <m:sSub>
              <m:e>
                <m:r>
                  <m:t>t</m:t>
                </m:r>
              </m:e>
              <m:sub>
                <m:r>
                  <m:t>1</m:t>
                </m:r>
              </m:sub>
            </m:sSub>
            <m:r>
              <m:rPr>
                <m:sty m:val="p"/>
              </m:rPr>
              <m:t>−</m:t>
            </m:r>
            <m:sSub>
              <m:e>
                <m:r>
                  <m:t>t</m:t>
                </m:r>
              </m:e>
              <m:sub>
                <m:r>
                  <m:t>0</m:t>
                </m:r>
              </m:sub>
            </m:sSub>
          </m:den>
        </m:f>
        <m:r>
          <m:rPr>
            <m:sty m:val="p"/>
          </m:rPr>
          <m:t>,</m:t>
        </m:r>
        <m:r>
          <m:t>  </m:t>
        </m:r>
        <m:r>
          <m:t>τ</m:t>
        </m:r>
        <m:r>
          <m:rPr>
            <m:sty m:val="p"/>
          </m:rPr>
          <m:t>=</m:t>
        </m:r>
        <m:f>
          <m:fPr>
            <m:type m:val="bar"/>
          </m:fPr>
          <m:num>
            <m:r>
              <m:rPr>
                <m:sty m:val="p"/>
              </m:rPr>
              <m:t>ln</m:t>
            </m:r>
            <m:r>
              <m:t>2</m:t>
            </m:r>
          </m:num>
          <m:den>
            <m:acc>
              <m:accPr>
                <m:chr m:val="̂"/>
              </m:accPr>
              <m:e>
                <m:r>
                  <m:t>g</m:t>
                </m:r>
              </m:e>
            </m:acc>
          </m:den>
        </m:f>
      </m:oMath>
      <w:r>
        <w:tab/>
      </w:r>
      <w:r>
        <w:rPr>
          <w:rFonts w:ascii="Times New Roman" w:hAnsi="Times New Roman" w:eastAsia="宋体"/>
          <w:sz w:val="24"/>
        </w:rPr>
        <w:t>(4-1)</w:t>
      </w:r>
    </w:p>
    <w:p>
      <w:pPr>
        <w:spacing w:line="360" w:lineRule="auto" w:after="0"/>
        <w:jc w:val="both"/>
      </w:pPr>
      <w:r>
        <w:rPr>
          <w:rFonts w:ascii="宋体" w:hAnsi="宋体" w:eastAsia="宋体"/>
          <w:sz w:val="24"/>
        </w:rPr>
        <w:t>其中，</w:t>
      </w:r>
      <m:oMath>
        <m:sSub>
          <m:e>
            <m:r>
              <m:t>T</m:t>
            </m:r>
          </m:e>
          <m:sub>
            <m:r>
              <m:t>0</m:t>
            </m:r>
          </m:sub>
        </m:sSub>
      </m:oMath>
      <w:r>
        <w:rPr>
          <w:rFonts w:ascii="宋体" w:hAnsi="宋体" w:eastAsia="宋体"/>
          <w:sz w:val="24"/>
        </w:rPr>
        <w:t>与</w:t>
      </w:r>
      <m:oMath>
        <m:sSub>
          <m:e>
            <m:r>
              <m:t>T</m:t>
            </m:r>
          </m:e>
          <m:sub>
            <m:r>
              <m:t>1</m:t>
            </m:r>
          </m:sub>
        </m:sSub>
      </m:oMath>
      <w:r>
        <w:rPr>
          <w:rFonts w:ascii="宋体" w:hAnsi="宋体" w:eastAsia="宋体"/>
          <w:sz w:val="24"/>
        </w:rPr>
        <w:t>为两个官方锚点上的日均调用量，</w:t>
      </w:r>
      <m:oMath>
        <m:sSub>
          <m:e>
            <m:r>
              <m:t>t</m:t>
            </m:r>
          </m:e>
          <m:sub>
            <m:r>
              <m:t>1</m:t>
            </m:r>
          </m:sub>
        </m:sSub>
        <m:r>
          <m:rPr>
            <m:sty m:val="p"/>
          </m:rPr>
          <m:t>−</m:t>
        </m:r>
        <m:sSub>
          <m:e>
            <m:r>
              <m:t>t</m:t>
            </m:r>
          </m:e>
          <m:sub>
            <m:r>
              <m:t>0</m:t>
            </m:r>
          </m:sub>
        </m:sSub>
      </m:oMath>
      <w:r>
        <w:rPr>
          <w:rFonts w:ascii="宋体" w:hAnsi="宋体" w:eastAsia="宋体"/>
          <w:sz w:val="24"/>
        </w:rPr>
        <w:t>为二者相距的年数，</w:t>
      </w:r>
      <m:oMath>
        <m:acc>
          <m:accPr>
            <m:chr m:val="̂"/>
          </m:accPr>
          <m:e>
            <m:r>
              <m:t>g</m:t>
            </m:r>
          </m:e>
        </m:acc>
      </m:oMath>
      <w:r>
        <w:rPr>
          <w:rFonts w:ascii="宋体" w:hAnsi="宋体" w:eastAsia="宋体"/>
          <w:sz w:val="24"/>
        </w:rPr>
        <w:t>为区间平均的对数增长率（年化），</w:t>
      </w:r>
      <m:oMath>
        <m:r>
          <m:t>τ</m:t>
        </m:r>
      </m:oMath>
      <w:r>
        <w:rPr>
          <w:rFonts w:ascii="宋体" w:hAnsi="宋体" w:eastAsia="宋体"/>
          <w:sz w:val="24"/>
        </w:rPr>
        <w:t>为对应的倍增周期。</w:t>
      </w:r>
    </w:p>
    <w:p>
      <w:pPr>
        <w:spacing w:line="360" w:lineRule="auto" w:after="0"/>
        <w:ind w:firstLineChars="200" w:firstLine="480"/>
        <w:jc w:val="both"/>
      </w:pPr>
      <w:r>
        <w:rPr>
          <w:rFonts w:ascii="宋体" w:hAnsi="宋体" w:eastAsia="宋体"/>
          <w:sz w:val="24"/>
        </w:rPr>
        <w:t>以全区间计算，2024年初至2026年3月的年化对数增长率为3.62，相当于日均调用量每年增至约37.4倍，倍增周期仅70天。分段来看，增长呈现明显的减速特征：2024年初至2025年6月底的年化对数增长率为3.80（倍增周期约67天），2025年6月底至2025年底降至2.41（倍增周期约105天），2025年底至2026年3月进一步降至1.35（倍增周期约188天），但即便是最后一段，其年化倍数仍达3.8倍。这一「减速中的高增长」形态在技术扩散史上并不罕见：扩散初期的爆发式增长源于极低的基数与极快的应用渗透，随着基数抬升，增长率必然回落，但只要渗透尚未饱和，绝对增量仍将持续扩大。生成式人工智能在美国的采纳调查显示，其大众化速度快于个人计算机与互联网的同期扩散（Bick等，2024），企业侧的采纳则呈现显著的规模与技能梯度（Czarnitzki等，2023；Humlum和Vestergaard，2025）——这意味着当前的高增长尚未触及渗透率的上限。</w:t>
      </w:r>
    </w:p>
    <w:p>
      <w:pPr>
        <w:spacing w:line="360" w:lineRule="auto" w:after="0"/>
        <w:ind w:firstLineChars="200" w:firstLine="480"/>
        <w:jc w:val="both"/>
      </w:pPr>
      <w:r>
        <w:rPr>
          <w:rFonts w:ascii="宋体" w:hAnsi="宋体" w:eastAsia="宋体"/>
          <w:sz w:val="24"/>
        </w:rPr>
        <w:t>如图4.1所示，把上述序列置于对数纵轴上，四个官方锚点几乎落在一条直线附近，直观地印证了式(4-1)的指数增长刻画，同时也显示出末段斜率的轻微收敛。</w:t>
      </w:r>
    </w:p>
    <w:p>
      <w:pPr>
        <w:spacing w:before="120" w:after="40"/>
        <w:jc w:val="center"/>
      </w:pPr>
      <w:r>
        <w:drawing>
          <wp:inline xmlns:a="http://schemas.openxmlformats.org/drawingml/2006/main" xmlns:pic="http://schemas.openxmlformats.org/drawingml/2006/picture">
            <wp:extent cx="4860000" cy="3209870"/>
            <wp:docPr id="8" name="Picture 8"/>
            <wp:cNvGraphicFramePr>
              <a:graphicFrameLocks noChangeAspect="1"/>
            </wp:cNvGraphicFramePr>
            <a:graphic>
              <a:graphicData uri="http://schemas.openxmlformats.org/drawingml/2006/picture">
                <pic:pic>
                  <pic:nvPicPr>
                    <pic:cNvPr id="0" name="fig4_1.png"/>
                    <pic:cNvPicPr/>
                  </pic:nvPicPr>
                  <pic:blipFill>
                    <a:blip r:embed="rId16"/>
                    <a:stretch>
                      <a:fillRect/>
                    </a:stretch>
                  </pic:blipFill>
                  <pic:spPr>
                    <a:xfrm>
                      <a:off x="0" y="0"/>
                      <a:ext cx="4860000" cy="3209870"/>
                    </a:xfrm>
                    <a:prstGeom prst="rect"/>
                  </pic:spPr>
                </pic:pic>
              </a:graphicData>
            </a:graphic>
          </wp:inline>
        </w:drawing>
      </w:r>
    </w:p>
    <w:p>
      <w:pPr>
        <w:keepNext w:val="0"/>
        <w:spacing w:after="40"/>
        <w:jc w:val="center"/>
      </w:pPr>
      <w:r>
        <w:rPr>
          <w:rFonts w:ascii="黑体" w:hAnsi="黑体" w:eastAsia="黑体"/>
          <w:sz w:val="21"/>
        </w:rPr>
        <w:t>图4.1  中国日均词元调用量的演进（2024Q1—2026Q2）</w:t>
      </w:r>
    </w:p>
    <w:p>
      <w:pPr>
        <w:spacing w:after="200" w:line="240" w:lineRule="auto"/>
        <w:jc w:val="both"/>
      </w:pPr>
      <w:r>
        <w:rPr>
          <w:rFonts w:ascii="宋体" w:hAnsi="宋体" w:eastAsia="宋体"/>
          <w:sz w:val="18"/>
        </w:rPr>
        <w:t>注：纵轴为对数刻度。实心点为国家数据局公开发布的四个锚点（2024年初、2025年6月底、2025年底、2026年3月），空心点为本书校准复算插值，官方未单独发布相应时点数值；序列口径为全国、全渠道、消耗侧的日均词元调用量，统计边界与测算方法未公开。数据来源：国家数据局历次公开发布；插值系作者校准复算。</w:t>
      </w:r>
    </w:p>
    <w:p>
      <w:pPr>
        <w:spacing w:line="360" w:lineRule="auto" w:after="0"/>
        <w:ind w:firstLineChars="200" w:firstLine="480"/>
        <w:jc w:val="both"/>
      </w:pPr>
      <w:r>
        <w:rPr>
          <w:rFonts w:ascii="宋体" w:hAnsi="宋体" w:eastAsia="宋体"/>
          <w:sz w:val="24"/>
        </w:rPr>
        <w:t>图4.1传递了三层信息。第一，纵轴跨越三个数量级而序列近似线性，说明在观测窗口内词元调用量的增长是「数量级级别」的而非「百分点级别」的，任何以线性坐标绘制的同类图形都会把前期的全部结构压缩为贴近横轴的一条平线，从而掩盖早期的扩散过程。第二，官方锚点仅有四个而季度点位有十个，这一疏密对比本身就是重要的制度事实：作为一个已被写入部委发布、地方规划与财政工具的宏观指标，词元调用量迄今没有固定频率、固定口径、固定发布主体的统计制度，其可得性远低于同等重要性的传统指标。第三，末段的斜率收敛提示增长阶段正在切换，这对本书的意义在于：以增速外推为基础的产能规划与补贴设计，若沿用早期斜率，将系统性高估未来需求。</w:t>
      </w:r>
    </w:p>
    <w:p>
      <w:pPr>
        <w:keepNext/>
        <w:spacing w:before="160" w:after="120" w:line="360" w:lineRule="auto"/>
        <w:outlineLvl w:val="2"/>
      </w:pPr>
      <w:r>
        <w:rPr>
          <w:rFonts w:ascii="黑体" w:hAnsi="黑体" w:eastAsia="黑体"/>
          <w:sz w:val="24"/>
        </w:rPr>
        <w:t>4.1.2  增长的三重来源：用户扩散、任务加深与单位成本下降</w:t>
      </w:r>
    </w:p>
    <w:p>
      <w:pPr>
        <w:spacing w:line="360" w:lineRule="auto" w:after="0"/>
        <w:ind w:firstLineChars="200" w:firstLine="480"/>
        <w:jc w:val="both"/>
      </w:pPr>
      <w:r>
        <w:rPr>
          <w:rFonts w:ascii="宋体" w:hAnsi="宋体" w:eastAsia="宋体"/>
          <w:sz w:val="24"/>
        </w:rPr>
        <w:t>把调用量增长仅仅理解为「用的人变多了」是不完整的。从生成机制看，日均调用量可分解为活跃主体数、单主体日均任务数与单任务平均词元消耗三个因子之积，三者在观测期内同时上升。第一重来源是用户与企业的扩散，即活跃主体数的增长，这是采纳研究关注的主体（Bick等，2024；Humlum和Vestergaard，2025）。第二重来源是任务的加深，即单任务平均词元消耗的上升：长上下文窗口使单次请求可携带的输入词元成倍增加，思维链式的深度推理把大量中间推理过程转化为可计费的输出词元，而智能体式的多步骤自动化工作流则把原本一次的问答扩展为数十次乃至上百次的模型调用。第三重来源是单位成本的下降经由需求弹性放大用量——本书估计的企业词元需求价格弹性为−1.34（第8章），意味着单价每下降10%将带动用量上升逾13%，而观测期内表观单价的下降幅度以倍数计（4.4节）。</w:t>
      </w:r>
    </w:p>
    <w:p>
      <w:pPr>
        <w:spacing w:line="360" w:lineRule="auto" w:after="0"/>
        <w:ind w:firstLineChars="200" w:firstLine="480"/>
        <w:jc w:val="both"/>
      </w:pPr>
      <w:r>
        <w:rPr>
          <w:rFonts w:ascii="宋体" w:hAnsi="宋体" w:eastAsia="宋体"/>
          <w:sz w:val="24"/>
        </w:rPr>
        <w:t>三重来源在技术侧有清晰的对应。分页式的显存管理与连续批处理大幅提高了推理服务的并发能力与吞吐（Yu等，2022；Kwon等，2023），分块预填充调度缓解了吞吐与时延之间的张力（Agrawal等，2024），预填充与解码阶段的分离部署进一步提升了单位算力的有效产出（Zhong等，2024），注意力核的输入输出感知优化则直接压低了长序列的计算与访存开销（Dao等，2022），而面向超大模型的高效推理分区策略把可服务的模型规模与上下文长度推向新的边界（Pope等，2023）。这些系统层面的进展共同构成价格下行的技术基础，也解释了为何调用量的增长速度可以持续快于算力规模的增长速度——这一关系将在4.5节以供给侧恒等式加以量化。</w:t>
      </w:r>
    </w:p>
    <w:p>
      <w:pPr>
        <w:keepNext/>
        <w:spacing w:before="160" w:after="120" w:line="360" w:lineRule="auto"/>
        <w:outlineLvl w:val="2"/>
      </w:pPr>
      <w:r>
        <w:rPr>
          <w:rFonts w:ascii="黑体" w:hAnsi="黑体" w:eastAsia="黑体"/>
          <w:sz w:val="24"/>
        </w:rPr>
        <w:t>4.1.3  国际背景与统计可比性的缺口</w:t>
      </w:r>
    </w:p>
    <w:p>
      <w:pPr>
        <w:spacing w:line="360" w:lineRule="auto" w:after="0"/>
        <w:ind w:firstLineChars="200" w:firstLine="480"/>
        <w:jc w:val="both"/>
      </w:pPr>
      <w:r>
        <w:rPr>
          <w:rFonts w:ascii="宋体" w:hAnsi="宋体" w:eastAsia="宋体"/>
          <w:sz w:val="24"/>
        </w:rPr>
        <w:t>把我国的调用量序列放到国际背景中观察，会立即遇到一个方法论障碍：主要经济体均未发布可比的词元调用量统计。国际组织与研究机构对人工智能经济影响的测度，采用的是采纳率、消费者剩余、生产率贡献等间接指标。以人工智能指数报告为例，其经济章给出的关键结果是：约70%的受访组织在至少一项业务职能中使用生成式人工智能，美国用户端的年度消费者剩余到2026年初达1720亿美元，按职能测度的生产率提升分别为客户支持14%—15%、软件开发26%、营销产出73%（「Stanford HAI，2026」）。这些数字的口径需要格外注意：消费者剩余是基于调查的福利建模估计，不是产值、不是市场规模，绝不可与产业规模数字并列或相加；职能级生产率提升来自各自独立的随机对照或准实验研究，样本、任务与时长各异，不能外推为宏观生产率增速。国际组织的宏观测算同样是情景区间：对七国集团的测算显示，人工智能可为高暴露度经济体带来年度劳动生产率增长0.4—1.3个百分点的增量（「OECD，2024」）；就业暴露度的测算则显示全球约40%、发达经济体约60%的岗位暴露于人工智能，但暴露不等于替代（「Cazzaniga等，2024」）。</w:t>
      </w:r>
    </w:p>
    <w:p>
      <w:pPr>
        <w:spacing w:line="360" w:lineRule="auto" w:after="0"/>
        <w:ind w:firstLineChars="200" w:firstLine="480"/>
        <w:jc w:val="both"/>
      </w:pPr>
      <w:r>
        <w:rPr>
          <w:rFonts w:ascii="宋体" w:hAnsi="宋体" w:eastAsia="宋体"/>
          <w:sz w:val="24"/>
        </w:rPr>
        <w:t>相比之下，词元调用量是一个过程量而非结果量：它直接观测智能服务的生产与消费规模，不需要经由生产率残差或问卷推断。这正是本书把标准词元流量引入增长核算的动因（第12章）。但过程量的优势要成立，前提是口径统一且可比——而当前的现实是，即便在国内，不同发布主体的词元数字也难以互证；在国际上，则根本不存在对应的统计制度。数字经济核算的既有研究反复指出，新兴数字活动的统计滞后于其经济重要性，卫星账户与新增指标的设计是弥合这一滞后的主要路径（杨仲山和张美慧，2019；许宪春等，2021；蔡跃洲和牛新星，2021）。词元调用量的发布在这个意义上是一项统计制度创新，但它目前仍停留在「发布」而非「统计」的阶段：没有公开的统计边界定义、没有固定的报送与核验流程、没有分行业分区域的分解。把发布升级为统计，正是本书政策建议的重点之一（第14章）。</w:t>
      </w:r>
    </w:p>
    <w:p>
      <w:pPr>
        <w:spacing w:line="360" w:lineRule="auto" w:after="0"/>
        <w:ind w:firstLineChars="200" w:firstLine="480"/>
        <w:jc w:val="both"/>
      </w:pPr>
      <w:r>
        <w:rPr>
          <w:rFonts w:ascii="宋体" w:hAnsi="宋体" w:eastAsia="宋体"/>
          <w:sz w:val="24"/>
        </w:rPr>
        <w:t>综上，可以归纳出本章的第一条典型事实。典型事实一：我国日均词元调用量在两年间增长约1400倍，年化对数增长率3.62、倍增周期约70天，增速虽在减速但仍维持数量级级别的扩张；与这一增长形成鲜明反差的是，该指标迄今只有四个官方锚点、没有固定的统计制度，也没有可比的国际口径。规模的爆发式扩张与计量制度的高度稀薄并存，构成了词元经济最基本的一组张力。</w:t>
      </w:r>
    </w:p>
    <w:p>
      <w:pPr>
        <w:keepNext/>
        <w:spacing w:before="160" w:after="120" w:line="360" w:lineRule="auto"/>
        <w:outlineLvl w:val="1"/>
      </w:pPr>
      <w:r>
        <w:rPr>
          <w:rFonts w:ascii="黑体" w:hAnsi="黑体" w:eastAsia="黑体"/>
          <w:sz w:val="28"/>
        </w:rPr>
        <w:t>4.2  模型供给格局：份额、集中度与平台口径的限度</w:t>
      </w:r>
    </w:p>
    <w:p>
      <w:pPr>
        <w:keepNext/>
        <w:spacing w:before="160" w:after="120" w:line="360" w:lineRule="auto"/>
        <w:outlineLvl w:val="2"/>
      </w:pPr>
      <w:r>
        <w:rPr>
          <w:rFonts w:ascii="黑体" w:hAnsi="黑体" w:eastAsia="黑体"/>
          <w:sz w:val="24"/>
        </w:rPr>
        <w:t>4.2.1  第三方路由平台口径下的中国模型份额</w:t>
      </w:r>
    </w:p>
    <w:p>
      <w:pPr>
        <w:spacing w:line="360" w:lineRule="auto" w:after="0"/>
        <w:ind w:firstLineChars="200" w:firstLine="480"/>
        <w:jc w:val="both"/>
      </w:pPr>
      <w:r>
        <w:rPr>
          <w:rFonts w:ascii="宋体" w:hAnsi="宋体" w:eastAsia="宋体"/>
          <w:sz w:val="24"/>
        </w:rPr>
        <w:t>需求侧的总量数据无法回答「这些词元由谁生产」。回答这一问题目前只有一类可得的高频数据源——第三方模型路由聚合平台的公开榜单。这类平台为开发者提供统一接口，把请求路由到不同厂商的模型，因而能观测到跨厂商的相对用量。媒体依据该类平台数据整理的连续周度序列显示，2026年7—8月间中国模型的周调用量持续高于美国模型，且中国模型在可得的两个周次中占全球总量的比重接近或超过一半。表4.1汇总了四个统计周的具体数值与领先周数。</w:t>
      </w:r>
    </w:p>
    <w:p>
      <w:pPr>
        <w:keepNext/>
        <w:spacing w:before="160" w:after="40"/>
        <w:jc w:val="center"/>
      </w:pPr>
      <w:r>
        <w:rPr>
          <w:rFonts w:ascii="黑体" w:hAnsi="黑体" w:eastAsia="黑体"/>
          <w:sz w:val="21"/>
        </w:rPr>
        <w:t>表4.1  第三方路由平台上中国模型与美国模型的周调用量对照（2026年7—8月）</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统计周（2026年）</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中国模型（万亿枚）</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美国模型（万亿枚）</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全球总量（万亿枚）</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中国模型占全球（%）</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连续领先周数</w:t>
            </w:r>
          </w:p>
        </w:tc>
      </w:tr>
      <w:tr>
        <w:tc>
          <w:tcPr>
            <w:tcW w:type="dxa" w:w="1417"/>
            <w:vAlign w:val="center"/>
          </w:tcPr>
          <w:p>
            <w:pPr>
              <w:spacing w:line="240" w:lineRule="auto" w:after="20" w:before="20"/>
              <w:jc w:val="left"/>
            </w:pPr>
            <w:r/>
            <w:r>
              <w:rPr>
                <w:rFonts w:ascii="宋体" w:hAnsi="宋体" w:eastAsia="宋体"/>
                <w:sz w:val="21"/>
              </w:rPr>
              <w:t>7/20—7/26</w:t>
            </w:r>
          </w:p>
        </w:tc>
        <w:tc>
          <w:tcPr>
            <w:tcW w:type="dxa" w:w="1417"/>
            <w:vAlign w:val="center"/>
          </w:tcPr>
          <w:p>
            <w:pPr>
              <w:spacing w:line="240" w:lineRule="auto" w:after="20" w:before="20"/>
              <w:jc w:val="center"/>
            </w:pPr>
            <w:r/>
            <w:r>
              <w:rPr>
                <w:rFonts w:ascii="宋体" w:hAnsi="宋体" w:eastAsia="宋体"/>
                <w:sz w:val="21"/>
              </w:rPr>
              <w:t>33.00</w:t>
            </w:r>
          </w:p>
        </w:tc>
        <w:tc>
          <w:tcPr>
            <w:tcW w:type="dxa" w:w="1417"/>
            <w:vAlign w:val="center"/>
          </w:tcPr>
          <w:p>
            <w:pPr>
              <w:spacing w:line="240" w:lineRule="auto" w:after="20" w:before="20"/>
              <w:jc w:val="center"/>
            </w:pPr>
            <w:r/>
            <w:r>
              <w:rPr>
                <w:rFonts w:ascii="宋体" w:hAnsi="宋体" w:eastAsia="宋体"/>
                <w:sz w:val="21"/>
              </w:rPr>
              <w:t>2.34</w:t>
            </w:r>
          </w:p>
        </w:tc>
        <w:tc>
          <w:tcPr>
            <w:tcW w:type="dxa" w:w="1417"/>
            <w:vAlign w:val="center"/>
          </w:tcPr>
          <w:p>
            <w:pPr>
              <w:spacing w:line="240" w:lineRule="auto" w:after="20" w:before="20"/>
              <w:jc w:val="center"/>
            </w:pPr>
            <w:r/>
            <w:r>
              <w:rPr>
                <w:rFonts w:ascii="宋体" w:hAnsi="宋体" w:eastAsia="宋体"/>
                <w:sz w:val="21"/>
              </w:rPr>
              <w:t>58</w:t>
            </w:r>
          </w:p>
        </w:tc>
        <w:tc>
          <w:tcPr>
            <w:tcW w:type="dxa" w:w="1417"/>
            <w:vAlign w:val="center"/>
          </w:tcPr>
          <w:p>
            <w:pPr>
              <w:spacing w:line="240" w:lineRule="auto" w:after="20" w:before="20"/>
              <w:jc w:val="center"/>
            </w:pPr>
            <w:r/>
            <w:r>
              <w:rPr>
                <w:rFonts w:ascii="宋体" w:hAnsi="宋体" w:eastAsia="宋体"/>
                <w:sz w:val="21"/>
              </w:rPr>
              <w:t>56.9</w:t>
            </w:r>
          </w:p>
        </w:tc>
        <w:tc>
          <w:tcPr>
            <w:tcW w:type="dxa" w:w="1417"/>
            <w:vAlign w:val="center"/>
          </w:tcPr>
          <w:p>
            <w:pPr>
              <w:spacing w:line="240" w:lineRule="auto" w:after="20" w:before="20"/>
              <w:jc w:val="center"/>
            </w:pPr>
            <w:r/>
            <w:r>
              <w:rPr>
                <w:rFonts w:ascii="宋体" w:hAnsi="宋体" w:eastAsia="宋体"/>
                <w:sz w:val="21"/>
              </w:rPr>
              <w:t>第13周</w:t>
            </w:r>
          </w:p>
        </w:tc>
      </w:tr>
      <w:tr>
        <w:tc>
          <w:tcPr>
            <w:tcW w:type="dxa" w:w="1417"/>
            <w:vAlign w:val="center"/>
          </w:tcPr>
          <w:p>
            <w:pPr>
              <w:spacing w:line="240" w:lineRule="auto" w:after="20" w:before="20"/>
              <w:jc w:val="left"/>
            </w:pPr>
            <w:r/>
            <w:r>
              <w:rPr>
                <w:rFonts w:ascii="宋体" w:hAnsi="宋体" w:eastAsia="宋体"/>
                <w:sz w:val="21"/>
              </w:rPr>
              <w:t>7/27—8/2</w:t>
            </w:r>
          </w:p>
        </w:tc>
        <w:tc>
          <w:tcPr>
            <w:tcW w:type="dxa" w:w="1417"/>
            <w:vAlign w:val="center"/>
          </w:tcPr>
          <w:p>
            <w:pPr>
              <w:spacing w:line="240" w:lineRule="auto" w:after="20" w:before="20"/>
              <w:jc w:val="center"/>
            </w:pPr>
            <w:r/>
            <w:r>
              <w:rPr>
                <w:rFonts w:ascii="宋体" w:hAnsi="宋体" w:eastAsia="宋体"/>
                <w:sz w:val="21"/>
              </w:rPr>
              <w:t>28.13</w:t>
            </w:r>
          </w:p>
        </w:tc>
        <w:tc>
          <w:tcPr>
            <w:tcW w:type="dxa" w:w="1417"/>
            <w:vAlign w:val="center"/>
          </w:tcPr>
          <w:p>
            <w:pPr>
              <w:spacing w:line="240" w:lineRule="auto" w:after="20" w:before="20"/>
              <w:jc w:val="center"/>
            </w:pPr>
            <w:r/>
            <w:r>
              <w:rPr>
                <w:rFonts w:ascii="宋体" w:hAnsi="宋体" w:eastAsia="宋体"/>
                <w:sz w:val="21"/>
              </w:rPr>
              <w:t>4.38</w:t>
            </w:r>
          </w:p>
        </w:tc>
        <w:tc>
          <w:tcPr>
            <w:tcW w:type="dxa" w:w="1417"/>
            <w:vAlign w:val="center"/>
          </w:tcPr>
          <w:p>
            <w:pPr>
              <w:spacing w:line="240" w:lineRule="auto" w:after="20" w:before="20"/>
              <w:jc w:val="center"/>
            </w:pPr>
            <w:r/>
            <w:r>
              <w:rPr>
                <w:rFonts w:ascii="宋体" w:hAnsi="宋体" w:eastAsia="宋体"/>
                <w:sz w:val="21"/>
              </w:rPr>
              <w:t>未披露</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第14周</w:t>
            </w:r>
          </w:p>
        </w:tc>
      </w:tr>
      <w:tr>
        <w:tc>
          <w:tcPr>
            <w:tcW w:type="dxa" w:w="1417"/>
            <w:vAlign w:val="center"/>
          </w:tcPr>
          <w:p>
            <w:pPr>
              <w:spacing w:line="240" w:lineRule="auto" w:after="20" w:before="20"/>
              <w:jc w:val="left"/>
            </w:pPr>
            <w:r/>
            <w:r>
              <w:rPr>
                <w:rFonts w:ascii="宋体" w:hAnsi="宋体" w:eastAsia="宋体"/>
                <w:sz w:val="21"/>
              </w:rPr>
              <w:t>8/3—8/9</w:t>
            </w:r>
          </w:p>
        </w:tc>
        <w:tc>
          <w:tcPr>
            <w:tcW w:type="dxa" w:w="1417"/>
            <w:vAlign w:val="center"/>
          </w:tcPr>
          <w:p>
            <w:pPr>
              <w:spacing w:line="240" w:lineRule="auto" w:after="20" w:before="20"/>
              <w:jc w:val="center"/>
            </w:pPr>
            <w:r/>
            <w:r>
              <w:rPr>
                <w:rFonts w:ascii="宋体" w:hAnsi="宋体" w:eastAsia="宋体"/>
                <w:sz w:val="21"/>
              </w:rPr>
              <w:t>34.25</w:t>
            </w:r>
          </w:p>
        </w:tc>
        <w:tc>
          <w:tcPr>
            <w:tcW w:type="dxa" w:w="1417"/>
            <w:vAlign w:val="center"/>
          </w:tcPr>
          <w:p>
            <w:pPr>
              <w:spacing w:line="240" w:lineRule="auto" w:after="20" w:before="20"/>
              <w:jc w:val="center"/>
            </w:pPr>
            <w:r/>
            <w:r>
              <w:rPr>
                <w:rFonts w:ascii="宋体" w:hAnsi="宋体" w:eastAsia="宋体"/>
                <w:sz w:val="21"/>
              </w:rPr>
              <w:t>9.17</w:t>
            </w:r>
          </w:p>
        </w:tc>
        <w:tc>
          <w:tcPr>
            <w:tcW w:type="dxa" w:w="1417"/>
            <w:vAlign w:val="center"/>
          </w:tcPr>
          <w:p>
            <w:pPr>
              <w:spacing w:line="240" w:lineRule="auto" w:after="20" w:before="20"/>
              <w:jc w:val="center"/>
            </w:pPr>
            <w:r/>
            <w:r>
              <w:rPr>
                <w:rFonts w:ascii="宋体" w:hAnsi="宋体" w:eastAsia="宋体"/>
                <w:sz w:val="21"/>
              </w:rPr>
              <w:t>69</w:t>
            </w:r>
          </w:p>
        </w:tc>
        <w:tc>
          <w:tcPr>
            <w:tcW w:type="dxa" w:w="1417"/>
            <w:vAlign w:val="center"/>
          </w:tcPr>
          <w:p>
            <w:pPr>
              <w:spacing w:line="240" w:lineRule="auto" w:after="20" w:before="20"/>
              <w:jc w:val="center"/>
            </w:pPr>
            <w:r/>
            <w:r>
              <w:rPr>
                <w:rFonts w:ascii="宋体" w:hAnsi="宋体" w:eastAsia="宋体"/>
                <w:sz w:val="21"/>
              </w:rPr>
              <w:t>49.6</w:t>
            </w:r>
          </w:p>
        </w:tc>
        <w:tc>
          <w:tcPr>
            <w:tcW w:type="dxa" w:w="1417"/>
            <w:vAlign w:val="center"/>
          </w:tcPr>
          <w:p>
            <w:pPr>
              <w:spacing w:line="240" w:lineRule="auto" w:after="20" w:before="20"/>
              <w:jc w:val="center"/>
            </w:pPr>
            <w:r/>
            <w:r>
              <w:rPr>
                <w:rFonts w:ascii="宋体" w:hAnsi="宋体" w:eastAsia="宋体"/>
                <w:sz w:val="21"/>
              </w:rPr>
              <w:t>第15周</w:t>
            </w:r>
          </w:p>
        </w:tc>
      </w:tr>
      <w:tr>
        <w:tc>
          <w:tcPr>
            <w:tcW w:type="dxa" w:w="1417"/>
            <w:vAlign w:val="center"/>
          </w:tcPr>
          <w:p>
            <w:pPr>
              <w:spacing w:line="240" w:lineRule="auto" w:after="20" w:before="20"/>
              <w:jc w:val="left"/>
            </w:pPr>
            <w:r/>
            <w:r>
              <w:rPr>
                <w:rFonts w:ascii="宋体" w:hAnsi="宋体" w:eastAsia="宋体"/>
                <w:sz w:val="21"/>
              </w:rPr>
              <w:t>8/10—8/16</w:t>
            </w:r>
          </w:p>
        </w:tc>
        <w:tc>
          <w:tcPr>
            <w:tcW w:type="dxa" w:w="1417"/>
            <w:vAlign w:val="center"/>
          </w:tcPr>
          <w:p>
            <w:pPr>
              <w:spacing w:line="240" w:lineRule="auto" w:after="20" w:before="20"/>
              <w:jc w:val="center"/>
            </w:pPr>
            <w:r/>
            <w:r>
              <w:rPr>
                <w:rFonts w:ascii="宋体" w:hAnsi="宋体" w:eastAsia="宋体"/>
                <w:sz w:val="21"/>
              </w:rPr>
              <w:t>36.84</w:t>
            </w:r>
          </w:p>
        </w:tc>
        <w:tc>
          <w:tcPr>
            <w:tcW w:type="dxa" w:w="1417"/>
            <w:vAlign w:val="center"/>
          </w:tcPr>
          <w:p>
            <w:pPr>
              <w:spacing w:line="240" w:lineRule="auto" w:after="20" w:before="20"/>
              <w:jc w:val="center"/>
            </w:pPr>
            <w:r/>
            <w:r>
              <w:rPr>
                <w:rFonts w:ascii="宋体" w:hAnsi="宋体" w:eastAsia="宋体"/>
                <w:sz w:val="21"/>
              </w:rPr>
              <w:t>未披露</w:t>
            </w:r>
          </w:p>
        </w:tc>
        <w:tc>
          <w:tcPr>
            <w:tcW w:type="dxa" w:w="1417"/>
            <w:vAlign w:val="center"/>
          </w:tcPr>
          <w:p>
            <w:pPr>
              <w:spacing w:line="240" w:lineRule="auto" w:after="20" w:before="20"/>
              <w:jc w:val="center"/>
            </w:pPr>
            <w:r/>
            <w:r>
              <w:rPr>
                <w:rFonts w:ascii="宋体" w:hAnsi="宋体" w:eastAsia="宋体"/>
                <w:sz w:val="21"/>
              </w:rPr>
              <w:t>未披露</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第16周</w:t>
            </w:r>
          </w:p>
        </w:tc>
      </w:tr>
    </w:tbl>
    <w:p>
      <w:pPr>
        <w:spacing w:after="200" w:line="240" w:lineRule="auto"/>
        <w:jc w:val="both"/>
      </w:pPr>
      <w:r>
        <w:rPr>
          <w:rFonts w:ascii="宋体" w:hAnsi="宋体" w:eastAsia="宋体"/>
          <w:sz w:val="18"/>
        </w:rPr>
        <w:t>注：统计口径为第三方模型路由聚合平台的路由量，不含模型厂商官方接口的直连调用、国内各云平台的模型即服务用量与企业自建推理；模型国别按开发商总部归属人工归类，非官方分类；榜单按自然周滚动更新，同一模型的不同版本分行计数，是否合并会显著改变名次归属；「连续领先周数」指中国模型合计周调用量连续高于美国模型合计的周数。数据来源：主流财经媒体依该平台公开数据整理的报道（2026年7月—8月）。</w:t>
      </w:r>
    </w:p>
    <w:p>
      <w:pPr>
        <w:spacing w:line="360" w:lineRule="auto" w:after="0"/>
        <w:ind w:firstLineChars="200" w:firstLine="480"/>
        <w:jc w:val="both"/>
      </w:pPr>
      <w:r>
        <w:rPr>
          <w:rFonts w:ascii="宋体" w:hAnsi="宋体" w:eastAsia="宋体"/>
          <w:sz w:val="24"/>
        </w:rPr>
        <w:t>表4.1显示，中国模型的周调用量在四周内由33.00万亿枚波动上升至36.84万亿枚，其间经历了一次约15%的回落与随后两周的反弹，相对第二周的净增幅为31.0%；美国模型的周调用量则由2.34万亿枚快速升至9.17万亿枚，增速显著高于中国模型，但绝对水平仍相差数倍。把两者放在全球总量中观察，中国模型占比由56.9%回落至49.6%，恰好说明「连续领先」与「份额上升」是两件事：在全球总量快速扩张的阶段，领先方的绝对量增长可以与相对份额下降并存。</w:t>
      </w:r>
    </w:p>
    <w:p>
      <w:pPr>
        <w:spacing w:line="360" w:lineRule="auto" w:after="0"/>
        <w:ind w:firstLineChars="200" w:firstLine="480"/>
        <w:jc w:val="both"/>
      </w:pPr>
      <w:r>
        <w:rPr>
          <w:rFonts w:ascii="宋体" w:hAnsi="宋体" w:eastAsia="宋体"/>
          <w:sz w:val="24"/>
        </w:rPr>
        <w:t>如图4.2所示，把中国模型的周调用量、可得周次的全球总量与占比同时呈现，可以更清楚地看到这一结构。</w:t>
      </w:r>
    </w:p>
    <w:p>
      <w:pPr>
        <w:spacing w:before="120" w:after="40"/>
        <w:jc w:val="center"/>
      </w:pPr>
      <w:r>
        <w:drawing>
          <wp:inline xmlns:a="http://schemas.openxmlformats.org/drawingml/2006/main" xmlns:pic="http://schemas.openxmlformats.org/drawingml/2006/picture">
            <wp:extent cx="4860000" cy="2696900"/>
            <wp:docPr id="9" name="Picture 9"/>
            <wp:cNvGraphicFramePr>
              <a:graphicFrameLocks noChangeAspect="1"/>
            </wp:cNvGraphicFramePr>
            <a:graphic>
              <a:graphicData uri="http://schemas.openxmlformats.org/drawingml/2006/picture">
                <pic:pic>
                  <pic:nvPicPr>
                    <pic:cNvPr id="0" name="fig4_2.png"/>
                    <pic:cNvPicPr/>
                  </pic:nvPicPr>
                  <pic:blipFill>
                    <a:blip r:embed="rId17"/>
                    <a:stretch>
                      <a:fillRect/>
                    </a:stretch>
                  </pic:blipFill>
                  <pic:spPr>
                    <a:xfrm>
                      <a:off x="0" y="0"/>
                      <a:ext cx="4860000" cy="2696900"/>
                    </a:xfrm>
                    <a:prstGeom prst="rect"/>
                  </pic:spPr>
                </pic:pic>
              </a:graphicData>
            </a:graphic>
          </wp:inline>
        </w:drawing>
      </w:r>
    </w:p>
    <w:p>
      <w:pPr>
        <w:keepNext w:val="0"/>
        <w:spacing w:after="40"/>
        <w:jc w:val="center"/>
      </w:pPr>
      <w:r>
        <w:rPr>
          <w:rFonts w:ascii="黑体" w:hAnsi="黑体" w:eastAsia="黑体"/>
          <w:sz w:val="21"/>
        </w:rPr>
        <w:t>图4.2  中国模型周调用量与全球占比（2026年7—8月）</w:t>
      </w:r>
    </w:p>
    <w:p>
      <w:pPr>
        <w:spacing w:after="200" w:line="240" w:lineRule="auto"/>
        <w:jc w:val="both"/>
      </w:pPr>
      <w:r>
        <w:rPr>
          <w:rFonts w:ascii="宋体" w:hAnsi="宋体" w:eastAsia="宋体"/>
          <w:sz w:val="18"/>
        </w:rPr>
        <w:t>注：左轴为中国模型周调用量（实心柱），虚线空心柱为该周全球总量（仅第13周与第15周披露），右轴为中国模型占全球总量的比重；口径限制同表4.1。数据来源：主流财经媒体依第三方路由平台公开数据整理的报道。</w:t>
      </w:r>
    </w:p>
    <w:p>
      <w:pPr>
        <w:spacing w:line="360" w:lineRule="auto" w:after="0"/>
        <w:ind w:firstLineChars="200" w:firstLine="480"/>
        <w:jc w:val="both"/>
      </w:pPr>
      <w:r>
        <w:rPr>
          <w:rFonts w:ascii="宋体" w:hAnsi="宋体" w:eastAsia="宋体"/>
          <w:sz w:val="24"/>
        </w:rPr>
        <w:t>图4.2与表4.1的解读必须受口径限制的约束，这一点比数值本身更重要。第一，该平台只统计经其路由的调用，模型厂商的官方接口直连量、国内各云平台的模型即服务用量与企业自建推理均不计入；据此得出的比值只能表述为「在该平台上」，不得表述为全球市场份额。第二，把该平台的全球周总量与国家数据局的全国日均调用量相比，可以直观看出覆盖面的量级差异——前者在披露周次的全球总量为58万亿至69万亿枚每周，尚不足我国单日140万亿枚调用量的一半。这一对比不是为了否定平台数据的价值，而是为了确立其正确用法：它是观测相对结构与短期变化的高频探针，不是总量统计。第三，「国别」按开发商总部归属人工归类，同一模型的不同版本分行计数，合并与否会改变名次归属，因而基于榜单名次的任何强结论都应谨慎。</w:t>
      </w:r>
    </w:p>
    <w:p>
      <w:pPr>
        <w:keepNext/>
        <w:spacing w:before="160" w:after="120" w:line="360" w:lineRule="auto"/>
        <w:outlineLvl w:val="2"/>
      </w:pPr>
      <w:r>
        <w:rPr>
          <w:rFonts w:ascii="黑体" w:hAnsi="黑体" w:eastAsia="黑体"/>
          <w:sz w:val="24"/>
        </w:rPr>
        <w:t>4.2.2  集中度下降、开放权重与多归属</w:t>
      </w:r>
    </w:p>
    <w:p>
      <w:pPr>
        <w:spacing w:line="360" w:lineRule="auto" w:after="0"/>
        <w:ind w:firstLineChars="200" w:firstLine="480"/>
        <w:jc w:val="both"/>
      </w:pPr>
      <w:r>
        <w:rPr>
          <w:rFonts w:ascii="宋体" w:hAnsi="宋体" w:eastAsia="宋体"/>
          <w:sz w:val="24"/>
        </w:rPr>
        <w:t>供给格局的第二个特征是集中度的持续下降。本书以模型服务市场的调用量份额测算的赫芬达尔—赫希曼指数由2024年的0.34降至2025年的0.27、2026年的0.21（校准复算口径，第8章）。这一下降有三重推力：一是开放权重模型的密集发布使部署门槛大幅降低，任何具备算力的主体都可成为供给者；二是价格竞争把差异化产品拉入同一竞争带；三是路由平台与统一接口的普及显著降低了转换成本，使需求方的多归属成为常态。多归属是双边市场竞争的经典特征，它削弱了单边平台的锁定能力，使价格竞争更为激烈（Armstrong，2006；Jullien等，2021）；而网络外部性在此并未消失，只是从「用户规模」转移到了「生态兼容性」——能被更多智能体框架、编程工具与工作流直接调用的模型，其需求增长显著快于同等能力但生态适配不足的模型（Katz和Shapiro，1985）。</w:t>
      </w:r>
    </w:p>
    <w:p>
      <w:pPr>
        <w:spacing w:line="360" w:lineRule="auto" w:after="0"/>
        <w:ind w:firstLineChars="200" w:firstLine="480"/>
        <w:jc w:val="both"/>
      </w:pPr>
      <w:r>
        <w:rPr>
          <w:rFonts w:ascii="宋体" w:hAnsi="宋体" w:eastAsia="宋体"/>
          <w:sz w:val="24"/>
        </w:rPr>
        <w:t>需要提醒的是，集中度指标本身也受口径影响。以调用量份额计算的集中度、以收入份额计算的集中度与以算力份额计算的集中度可以给出方向相反的结论：低价档位在调用量上占优、在收入上劣势，高价档位则相反。第三方口径的观察显示，路由平台上中国模型的加权均价可低至每百万词元0.18美元，而美国模型约为4美元，二者相差二十倍以上；但这是平台加权均价而非任一模型的挂牌价，其差异同时包含了模型档位结构、开放权重比例与折扣策略三重因素，不能直接读作「同等能力下的价格差」。把调用量份额与价格差简单相乘来推算收入份额，是当前产业报道中最常见的错误之一。</w:t>
      </w:r>
    </w:p>
    <w:p>
      <w:pPr>
        <w:keepNext/>
        <w:spacing w:before="160" w:after="120" w:line="360" w:lineRule="auto"/>
        <w:outlineLvl w:val="2"/>
      </w:pPr>
      <w:r>
        <w:rPr>
          <w:rFonts w:ascii="黑体" w:hAnsi="黑体" w:eastAsia="黑体"/>
          <w:sz w:val="24"/>
        </w:rPr>
        <w:t>4.2.3  从模型竞争到词元产能竞争</w:t>
      </w:r>
    </w:p>
    <w:p>
      <w:pPr>
        <w:spacing w:line="360" w:lineRule="auto" w:after="0"/>
        <w:ind w:firstLineChars="200" w:firstLine="480"/>
        <w:jc w:val="both"/>
      </w:pPr>
      <w:r>
        <w:rPr>
          <w:rFonts w:ascii="宋体" w:hAnsi="宋体" w:eastAsia="宋体"/>
          <w:sz w:val="24"/>
        </w:rPr>
        <w:t>供给格局的第三个特征，是竞争焦点由模型能力转向词元产能。2026年以来，「词元工厂」作为一种新型产能形态密集出现：北京数据集团下属公司于2026年7月发布国资背景的标准化词元工厂，具备分离式智能调度架构、异构算力统一调度与标准化接口接入等能力；同年6月，另一家企业在北京亦庄建成的词元工厂一期设计日产能达1.4万亿枚；2026年7月的世界人工智能大会上，一家具备清华大学计算机系与国家级超算中心背景的团队发布了国产词元优化工厂，宣称兼容十余种国产算力硬件、适配二十余款主流模型、日吞吐千亿枚量级。上述产能与吞吐数字均属企业方或媒体报道口径，未经第三方测评背书，且「设计日产能」与「实测日吞吐」并非同类指标，二者均未说明模型规模、上下文长度、精度以及输入与输出词元是否合并计数，因此在任何情况下都不可直接比大小或排名。</w:t>
      </w:r>
    </w:p>
    <w:p>
      <w:pPr>
        <w:spacing w:line="360" w:lineRule="auto" w:after="0"/>
        <w:ind w:firstLineChars="200" w:firstLine="480"/>
        <w:jc w:val="both"/>
      </w:pPr>
      <w:r>
        <w:rPr>
          <w:rFonts w:ascii="宋体" w:hAnsi="宋体" w:eastAsia="宋体"/>
          <w:sz w:val="24"/>
        </w:rPr>
        <w:t>词元工厂的出现具有超出企业个案的经济含义：它标志着算力的价值实现方式正由「租算力」转向「卖词元」，即由出售一段时间的机器占用权，转向出售一定数量与质量的智能服务产出。这一转变把算力资产的收益与其使用效率直接绑定，从而把调度、批处理与模型匹配从技术问题变成了商业模式问题。云计算的经济学研究早已指出，从自建到租用的转变通过降低固定投入门槛显著改变了企业的技术采纳与增长路径（Byrne等，2018；Coyle和Nguyen，2019；DeStefano等，2025）；对大规模机器学习服务集群的工作负载分析则揭示了资源利用的巨大不均衡（Weng等，2022）。词元工厂可视为这一演化的下一步：计价对象从资源时间进一步下沉到服务产出。但这一步能否走通，取决于产出本身是否可计量、可比较——若「一枚词元」在不同工厂之间不可比，那么「卖词元」的定价基准就无法建立。这正是本书第5章的任务。</w:t>
      </w:r>
    </w:p>
    <w:p>
      <w:pPr>
        <w:spacing w:line="360" w:lineRule="auto" w:after="0"/>
        <w:ind w:firstLineChars="200" w:firstLine="480"/>
        <w:jc w:val="both"/>
      </w:pPr>
      <w:r>
        <w:rPr>
          <w:rFonts w:ascii="宋体" w:hAnsi="宋体" w:eastAsia="宋体"/>
          <w:sz w:val="24"/>
        </w:rPr>
        <w:t>据此可归纳典型事实二：词元供给格局呈现集中度持续下降、开放权重路线扩张、竞争焦点由模型能力转向词元产能三重特征；与此同时，可用于刻画份额的高频数据仅来自第三方路由平台，其覆盖面不足全国总量的一个量级，且国别归类、版本计数与价格口径均存在人为设定，任何份额类结论都必须带着口径限定来表述。供给格局的这一「数据稀薄」特征，与需求侧「四个锚点」的稀薄如出一辙。</w:t>
      </w:r>
    </w:p>
    <w:p>
      <w:pPr>
        <w:keepNext/>
        <w:spacing w:before="160" w:after="120" w:line="360" w:lineRule="auto"/>
        <w:outlineLvl w:val="1"/>
      </w:pPr>
      <w:r>
        <w:rPr>
          <w:rFonts w:ascii="黑体" w:hAnsi="黑体" w:eastAsia="黑体"/>
          <w:sz w:val="28"/>
        </w:rPr>
        <w:t>4.3  需求的场景结构：集中度、长尾与价值密度</w:t>
      </w:r>
    </w:p>
    <w:p>
      <w:pPr>
        <w:spacing w:line="360" w:lineRule="auto" w:after="0"/>
        <w:ind w:firstLineChars="200" w:firstLine="480"/>
        <w:jc w:val="both"/>
      </w:pPr>
      <w:r>
        <w:rPr>
          <w:rFonts w:ascii="宋体" w:hAnsi="宋体" w:eastAsia="宋体"/>
          <w:sz w:val="24"/>
        </w:rPr>
        <w:t>总量与供给之外，词元经济的第三组典型事实来自需求的内部结构。一个被产业界广泛感知却少有严格测度的现象是：词元消耗高度集中于少数场景。为把这一现象形式化，定义两个结构指标：一是用量份额与应用数量份额的偏离指数，二是分类别的集中倍率，见式(4-2)。</w:t>
      </w:r>
    </w:p>
    <w:p>
      <w:pPr>
        <w:tabs>
          <w:tab w:pos="4252" w:val="center"/>
          <w:tab w:pos="8504" w:val="right"/>
        </w:tabs>
        <w:spacing w:line="360" w:lineRule="auto" w:before="80" w:after="80"/>
      </w:pPr>
      <w:r>
        <w:tab/>
      </w:r>
      <m:oMath>
        <m:r>
          <m:t>H</m:t>
        </m:r>
        <m:r>
          <m:rPr>
            <m:sty m:val="p"/>
          </m:rPr>
          <m:t>=</m:t>
        </m:r>
        <m:f>
          <m:fPr>
            <m:type m:val="bar"/>
          </m:fPr>
          <m:num>
            <m:r>
              <m:t>1</m:t>
            </m:r>
          </m:num>
          <m:den>
            <m:r>
              <m:t>2</m:t>
            </m:r>
          </m:den>
        </m:f>
        <m:nary>
          <m:naryPr>
            <m:chr m:val="∑"/>
            <m:limLoc m:val="undOvr"/>
            <m:subHide m:val="off"/>
            <m:supHide m:val="off"/>
          </m:naryPr>
          <m:sub>
            <m:r>
              <m:t>k</m:t>
            </m:r>
            <m:r>
              <m:rPr>
                <m:sty m:val="p"/>
              </m:rPr>
              <m:t>=</m:t>
            </m:r>
            <m:r>
              <m:t>1</m:t>
            </m:r>
          </m:sub>
          <m:sup>
            <m:r>
              <m:t>K</m:t>
            </m:r>
          </m:sup>
          <m:e>
            <m:d>
              <m:dPr>
                <m:begChr m:val="|"/>
                <m:endChr m:val="|"/>
                <m:grow/>
              </m:dPr>
              <m:e>
                <m:sSubSup>
                  <m:e>
                    <m:r>
                      <m:t>s</m:t>
                    </m:r>
                  </m:e>
                  <m:sub>
                    <m:r>
                      <m:t>k</m:t>
                    </m:r>
                  </m:sub>
                  <m:sup>
                    <m:r>
                      <m:t>T</m:t>
                    </m:r>
                  </m:sup>
                </m:sSubSup>
                <m:r>
                  <m:rPr>
                    <m:sty m:val="p"/>
                  </m:rPr>
                  <m:t>−</m:t>
                </m:r>
                <m:sSubSup>
                  <m:e>
                    <m:r>
                      <m:t>s</m:t>
                    </m:r>
                  </m:e>
                  <m:sub>
                    <m:r>
                      <m:t>k</m:t>
                    </m:r>
                  </m:sub>
                  <m:sup>
                    <m:r>
                      <m:t>A</m:t>
                    </m:r>
                  </m:sup>
                </m:sSubSup>
              </m:e>
            </m:d>
          </m:e>
        </m:nary>
        <m:r>
          <m:rPr>
            <m:sty m:val="p"/>
          </m:rPr>
          <m:t>,</m:t>
        </m:r>
        <m:r>
          <m:t>  </m:t>
        </m:r>
        <m:sSub>
          <m:e>
            <m:r>
              <m:t>κ</m:t>
            </m:r>
          </m:e>
          <m:sub>
            <m:r>
              <m:t>k</m:t>
            </m:r>
          </m:sub>
        </m:sSub>
        <m:r>
          <m:rPr>
            <m:sty m:val="p"/>
          </m:rPr>
          <m:t>=</m:t>
        </m:r>
        <m:f>
          <m:fPr>
            <m:type m:val="bar"/>
          </m:fPr>
          <m:num>
            <m:sSubSup>
              <m:e>
                <m:r>
                  <m:t>s</m:t>
                </m:r>
              </m:e>
              <m:sub>
                <m:r>
                  <m:t>k</m:t>
                </m:r>
              </m:sub>
              <m:sup>
                <m:r>
                  <m:t>T</m:t>
                </m:r>
              </m:sup>
            </m:sSubSup>
          </m:num>
          <m:den>
            <m:sSubSup>
              <m:e>
                <m:r>
                  <m:t>s</m:t>
                </m:r>
              </m:e>
              <m:sub>
                <m:r>
                  <m:t>k</m:t>
                </m:r>
              </m:sub>
              <m:sup>
                <m:r>
                  <m:t>A</m:t>
                </m:r>
              </m:sup>
            </m:sSubSup>
          </m:den>
        </m:f>
        <m:r>
          <m:rPr>
            <m:sty m:val="p"/>
          </m:rPr>
          <m:t>,</m:t>
        </m:r>
        <m:r>
          <m:t>  </m:t>
        </m:r>
        <m:nary>
          <m:naryPr>
            <m:chr m:val="∑"/>
            <m:limLoc m:val="undOvr"/>
            <m:subHide m:val="off"/>
            <m:supHide m:val="off"/>
          </m:naryPr>
          <m:sub>
            <m:r>
              <m:t>k</m:t>
            </m:r>
            <m:r>
              <m:rPr>
                <m:sty m:val="p"/>
              </m:rPr>
              <m:t>=</m:t>
            </m:r>
            <m:r>
              <m:t>1</m:t>
            </m:r>
          </m:sub>
          <m:sup>
            <m:r>
              <m:t>K</m:t>
            </m:r>
          </m:sup>
          <m:e>
            <m:sSubSup>
              <m:e>
                <m:r>
                  <m:t>s</m:t>
                </m:r>
              </m:e>
              <m:sub>
                <m:r>
                  <m:t>k</m:t>
                </m:r>
              </m:sub>
              <m:sup>
                <m:r>
                  <m:t>T</m:t>
                </m:r>
              </m:sup>
            </m:sSubSup>
          </m:e>
        </m:nary>
        <m:r>
          <m:rPr>
            <m:sty m:val="p"/>
          </m:rPr>
          <m:t>=</m:t>
        </m:r>
        <m:nary>
          <m:naryPr>
            <m:chr m:val="∑"/>
            <m:limLoc m:val="undOvr"/>
            <m:subHide m:val="off"/>
            <m:supHide m:val="off"/>
          </m:naryPr>
          <m:sub>
            <m:r>
              <m:t>k</m:t>
            </m:r>
            <m:r>
              <m:rPr>
                <m:sty m:val="p"/>
              </m:rPr>
              <m:t>=</m:t>
            </m:r>
            <m:r>
              <m:t>1</m:t>
            </m:r>
          </m:sub>
          <m:sup>
            <m:r>
              <m:t>K</m:t>
            </m:r>
          </m:sup>
          <m:e>
            <m:sSubSup>
              <m:e>
                <m:r>
                  <m:t>s</m:t>
                </m:r>
              </m:e>
              <m:sub>
                <m:r>
                  <m:t>k</m:t>
                </m:r>
              </m:sub>
              <m:sup>
                <m:r>
                  <m:t>A</m:t>
                </m:r>
              </m:sup>
            </m:sSubSup>
          </m:e>
        </m:nary>
        <m:r>
          <m:rPr>
            <m:sty m:val="p"/>
          </m:rPr>
          <m:t>=</m:t>
        </m:r>
        <m:r>
          <m:t>1</m:t>
        </m:r>
      </m:oMath>
      <w:r>
        <w:tab/>
      </w:r>
      <w:r>
        <w:rPr>
          <w:rFonts w:ascii="Times New Roman" w:hAnsi="Times New Roman" w:eastAsia="宋体"/>
          <w:sz w:val="24"/>
        </w:rPr>
        <w:t>(4-2)</w:t>
      </w:r>
    </w:p>
    <w:p>
      <w:pPr>
        <w:spacing w:line="360" w:lineRule="auto" w:after="0"/>
        <w:jc w:val="both"/>
      </w:pPr>
      <w:r>
        <w:rPr>
          <w:rFonts w:ascii="宋体" w:hAnsi="宋体" w:eastAsia="宋体"/>
          <w:sz w:val="24"/>
        </w:rPr>
        <w:t>其中，</w:t>
      </w:r>
      <m:oMath>
        <m:r>
          <m:t>k</m:t>
        </m:r>
      </m:oMath>
      <w:r>
        <w:rPr>
          <w:rFonts w:ascii="宋体" w:hAnsi="宋体" w:eastAsia="宋体"/>
          <w:sz w:val="24"/>
        </w:rPr>
        <w:t>为场景类别，</w:t>
      </w:r>
      <m:oMath>
        <m:sSubSup>
          <m:e>
            <m:r>
              <m:t>s</m:t>
            </m:r>
          </m:e>
          <m:sub>
            <m:r>
              <m:t>k</m:t>
            </m:r>
          </m:sub>
          <m:sup>
            <m:r>
              <m:t>T</m:t>
            </m:r>
          </m:sup>
        </m:sSubSup>
      </m:oMath>
      <w:r>
        <w:rPr>
          <w:rFonts w:ascii="宋体" w:hAnsi="宋体" w:eastAsia="宋体"/>
          <w:sz w:val="24"/>
        </w:rPr>
        <w:t>为该类别的词元用量份额，</w:t>
      </w:r>
      <m:oMath>
        <m:sSubSup>
          <m:e>
            <m:r>
              <m:t>s</m:t>
            </m:r>
          </m:e>
          <m:sub>
            <m:r>
              <m:t>k</m:t>
            </m:r>
          </m:sub>
          <m:sup>
            <m:r>
              <m:t>A</m:t>
            </m:r>
          </m:sup>
        </m:sSubSup>
      </m:oMath>
      <w:r>
        <w:rPr>
          <w:rFonts w:ascii="宋体" w:hAnsi="宋体" w:eastAsia="宋体"/>
          <w:sz w:val="24"/>
        </w:rPr>
        <w:t>为该类别的应用数量份额，</w:t>
      </w:r>
      <m:oMath>
        <m:r>
          <m:t>H</m:t>
        </m:r>
      </m:oMath>
      <w:r>
        <w:rPr>
          <w:rFonts w:ascii="宋体" w:hAnsi="宋体" w:eastAsia="宋体"/>
          <w:sz w:val="24"/>
        </w:rPr>
        <w:t>为二者的偏离指数（取值于0与1之间，0表示用量在应用间均匀分布，1表示完全集中），</w:t>
      </w:r>
      <m:oMath>
        <m:sSub>
          <m:e>
            <m:r>
              <m:t>κ</m:t>
            </m:r>
          </m:e>
          <m:sub>
            <m:r>
              <m:t>k</m:t>
            </m:r>
          </m:sub>
        </m:sSub>
      </m:oMath>
      <w:r>
        <w:rPr>
          <w:rFonts w:ascii="宋体" w:hAnsi="宋体" w:eastAsia="宋体"/>
          <w:sz w:val="24"/>
        </w:rPr>
        <w:t>为集中倍率（大于1表示该类别的单应用词元强度高于平均）。</w:t>
      </w:r>
    </w:p>
    <w:p>
      <w:pPr>
        <w:spacing w:line="360" w:lineRule="auto" w:after="0"/>
        <w:ind w:firstLineChars="200" w:firstLine="480"/>
        <w:jc w:val="both"/>
      </w:pPr>
      <w:r>
        <w:rPr>
          <w:rFonts w:ascii="宋体" w:hAnsi="宋体" w:eastAsia="宋体"/>
          <w:sz w:val="24"/>
        </w:rPr>
        <w:t>按本书的四类划分测算，偏离指数</w:t>
      </w:r>
      <m:oMath>
        <m:r>
          <m:t>H</m:t>
        </m:r>
      </m:oMath>
      <w:r>
        <w:rPr>
          <w:rFonts w:ascii="宋体" w:hAnsi="宋体" w:eastAsia="宋体"/>
          <w:sz w:val="24"/>
        </w:rPr>
        <w:t>＝0.62，即需要把约62%的词元用量在类别间重新分配，才能使用量结构与应用数量结构一致。分类别看，智能体与编程类的集中倍率</w:t>
      </w:r>
      <m:oMath>
        <m:r>
          <m:t>κ</m:t>
        </m:r>
      </m:oMath>
      <w:r>
        <w:rPr>
          <w:rFonts w:ascii="宋体" w:hAnsi="宋体" w:eastAsia="宋体"/>
          <w:sz w:val="24"/>
        </w:rPr>
        <w:t>＝4.27，即该类应用的单应用词元强度约为全体平均的4.3倍；对话问答、内容生成与其他三类的集中倍率分别为0.31、0.19与0.20，均显著低于1。这组数字给出了「少数应用消耗多数词元」这一产业直觉的精确表达。</w:t>
      </w:r>
    </w:p>
    <w:p>
      <w:pPr>
        <w:spacing w:line="360" w:lineRule="auto" w:after="0"/>
        <w:ind w:firstLineChars="200" w:firstLine="480"/>
        <w:jc w:val="both"/>
      </w:pPr>
      <w:r>
        <w:rPr>
          <w:rFonts w:ascii="宋体" w:hAnsi="宋体" w:eastAsia="宋体"/>
          <w:sz w:val="24"/>
        </w:rPr>
        <w:t>如图4.3所示，把应用数量占比与词元用量占比并置比较，四类场景的结构反差一目了然。</w:t>
      </w:r>
    </w:p>
    <w:p>
      <w:pPr>
        <w:spacing w:before="120" w:after="40"/>
        <w:jc w:val="center"/>
      </w:pPr>
      <w:r>
        <w:drawing>
          <wp:inline xmlns:a="http://schemas.openxmlformats.org/drawingml/2006/main" xmlns:pic="http://schemas.openxmlformats.org/drawingml/2006/picture">
            <wp:extent cx="4860000" cy="3090742"/>
            <wp:docPr id="10" name="Picture 10"/>
            <wp:cNvGraphicFramePr>
              <a:graphicFrameLocks noChangeAspect="1"/>
            </wp:cNvGraphicFramePr>
            <a:graphic>
              <a:graphicData uri="http://schemas.openxmlformats.org/drawingml/2006/picture">
                <pic:pic>
                  <pic:nvPicPr>
                    <pic:cNvPr id="0" name="fig4_3.png"/>
                    <pic:cNvPicPr/>
                  </pic:nvPicPr>
                  <pic:blipFill>
                    <a:blip r:embed="rId18"/>
                    <a:stretch>
                      <a:fillRect/>
                    </a:stretch>
                  </pic:blipFill>
                  <pic:spPr>
                    <a:xfrm>
                      <a:off x="0" y="0"/>
                      <a:ext cx="4860000" cy="3090742"/>
                    </a:xfrm>
                    <a:prstGeom prst="rect"/>
                  </pic:spPr>
                </pic:pic>
              </a:graphicData>
            </a:graphic>
          </wp:inline>
        </w:drawing>
      </w:r>
    </w:p>
    <w:p>
      <w:pPr>
        <w:keepNext w:val="0"/>
        <w:spacing w:after="40"/>
        <w:jc w:val="center"/>
      </w:pPr>
      <w:r>
        <w:rPr>
          <w:rFonts w:ascii="黑体" w:hAnsi="黑体" w:eastAsia="黑体"/>
          <w:sz w:val="21"/>
        </w:rPr>
        <w:t>图4.3  词元消耗的场景结构</w:t>
      </w:r>
    </w:p>
    <w:p>
      <w:pPr>
        <w:spacing w:after="200" w:line="240" w:lineRule="auto"/>
        <w:jc w:val="both"/>
      </w:pPr>
      <w:r>
        <w:rPr>
          <w:rFonts w:ascii="宋体" w:hAnsi="宋体" w:eastAsia="宋体"/>
          <w:sz w:val="18"/>
        </w:rPr>
        <w:t>注：图中「Agent与编程」即正文所称智能体与编程类应用；应用数量占比按平台注册应用计，词元用量占比按平台路由词元量计，两者分母不同，不构成同一总体的两种分解；场景类别系按应用主功能归并。数据来源：作者依第三方路由平台公开报道的结构性事实校准复算，非官方统计。</w:t>
      </w:r>
    </w:p>
    <w:p>
      <w:pPr>
        <w:spacing w:line="360" w:lineRule="auto" w:after="0"/>
        <w:ind w:firstLineChars="200" w:firstLine="480"/>
        <w:jc w:val="both"/>
      </w:pPr>
      <w:r>
        <w:rPr>
          <w:rFonts w:ascii="宋体" w:hAnsi="宋体" w:eastAsia="宋体"/>
          <w:sz w:val="24"/>
        </w:rPr>
        <w:t>图4.3显示，智能体与编程类应用在数量上仅占19%，却消耗了81.2%的词元；对话问答类应用数量占28%而用量仅占8.6%，内容生成类数量占比最高（31%）而用量占比仅5.8%。需要说明数据的性质：这一四分类结构系本书依公开报道的结构性事实校准复算而得，并非官方统计。其可溯源的经验锚点有二：其一，基于百万亿枚词元规模匿名元数据的行业报告显示，在2024年11月至2025年11月的样本区间内，编程类请求的词元占比由约11%升至50%以上，成为平台最大单一使用品类，而智能体驱动的多步骤自动化工作流所产生的输出词元已超过平台总输出的一半；其二，对同一平台应用榜单的统计显示，前二十名应用中至少七款为编程类智能体。两项锚点均为平台内部口径，不能外推为全行业结构，但足以支持「用量高度集中于智能体与编程类」这一定性判断。</w:t>
      </w:r>
    </w:p>
    <w:p>
      <w:pPr>
        <w:spacing w:line="360" w:lineRule="auto" w:after="0"/>
        <w:ind w:firstLineChars="200" w:firstLine="480"/>
        <w:jc w:val="both"/>
      </w:pPr>
      <w:r>
        <w:rPr>
          <w:rFonts w:ascii="宋体" w:hAnsi="宋体" w:eastAsia="宋体"/>
          <w:sz w:val="24"/>
        </w:rPr>
        <w:t>场景集中的机制并不神秘，却有深刻的经济含义。编程与智能体类任务具有三个共同特征：上下文长（需要读入代码库、文档与历史轨迹）、多轮次（一次任务分解为数十步调用）、容错要求高（需要反复验证与回退）。三者共同抬高了单任务的词元强度。更重要的是，这类任务恰好是人工智能对人类认知劳动替代最直接、最可验证的领域：随机对照实验显示，生成式人工智能对写作类任务的产出效率有显著提升且缩小了能力差距（Noy和Zhang，2023），对客服岗位的现场实验显示其对低技能员工的边际帮助最大（Brynjolfsson等，2025），而基于任务的暴露度测度表明，编程与信息处理类职业的暴露度显著高于其他职业（Felten等，2021；Eloundou等，2024）。换言之，词元流向的是替代价值最高的地方——这既是市场机制有效的证据，也是本书把场景效用纳入效值折算的经验依据。</w:t>
      </w:r>
    </w:p>
    <w:p>
      <w:pPr>
        <w:spacing w:line="360" w:lineRule="auto" w:after="0"/>
        <w:ind w:firstLineChars="200" w:firstLine="480"/>
        <w:jc w:val="both"/>
      </w:pPr>
      <w:r>
        <w:rPr>
          <w:rFonts w:ascii="宋体" w:hAnsi="宋体" w:eastAsia="宋体"/>
          <w:sz w:val="24"/>
        </w:rPr>
        <w:t>场景之间的价值密度差异同样悬殊。本书对典型场景单位标准词元价值密度的校准复算显示，科研分析场景的价值密度最高（11.3），文案生成场景最低（1.9），二者相差5.9倍（详见第6章）。把这一结果与集中倍率并置，可以得到一个重要观察：词元用量的集中方向与价值密度的高低方向大体一致，即高用量场景同时也是高价值密度场景。这一「量价同向」的结构对政策设计有直接含义——若以调用量为唯一的补贴核定基准，资金将流向本已具备最高支付意愿的场景，普惠性目标难以实现；反之，若完全按场景类别定向补贴，又会扭曲市场对高价值用途的自然筛选。化解这一两难需要的正是可比的效值口径，使补贴可以按标准词元而非物理词元核定。</w:t>
      </w:r>
    </w:p>
    <w:p>
      <w:pPr>
        <w:spacing w:line="360" w:lineRule="auto" w:after="0"/>
        <w:ind w:firstLineChars="200" w:firstLine="480"/>
        <w:jc w:val="both"/>
      </w:pPr>
      <w:r>
        <w:rPr>
          <w:rFonts w:ascii="宋体" w:hAnsi="宋体" w:eastAsia="宋体"/>
          <w:sz w:val="24"/>
        </w:rPr>
        <w:t>据此可归纳典型事实三：词元用量高度集中于智能体与编程类应用，偏离指数达0.62、集中倍率达4.3倍；用量集中的方向与场景价值密度的高低方向一致，说明市场已在自发地把词元配置到替代价值最高的用途上，但这种配置是在缺乏统一效值尺度的条件下完成的，其效率高低无法被验证，也无法被政策工具精确引导。</w:t>
      </w:r>
    </w:p>
    <w:p>
      <w:pPr>
        <w:keepNext/>
        <w:spacing w:before="160" w:after="120" w:line="360" w:lineRule="auto"/>
        <w:outlineLvl w:val="1"/>
      </w:pPr>
      <w:r>
        <w:rPr>
          <w:rFonts w:ascii="黑体" w:hAnsi="黑体" w:eastAsia="黑体"/>
          <w:sz w:val="28"/>
        </w:rPr>
        <w:t>4.4  价格演进：表观下行、结构分化与口径分裂</w:t>
      </w:r>
    </w:p>
    <w:p>
      <w:pPr>
        <w:keepNext/>
        <w:spacing w:before="160" w:after="120" w:line="360" w:lineRule="auto"/>
        <w:outlineLvl w:val="2"/>
      </w:pPr>
      <w:r>
        <w:rPr>
          <w:rFonts w:ascii="黑体" w:hAnsi="黑体" w:eastAsia="黑体"/>
          <w:sz w:val="24"/>
        </w:rPr>
        <w:t>4.4.1  表观价格的快速下行</w:t>
      </w:r>
    </w:p>
    <w:p>
      <w:pPr>
        <w:spacing w:line="360" w:lineRule="auto" w:after="0"/>
        <w:ind w:firstLineChars="200" w:firstLine="480"/>
        <w:jc w:val="both"/>
      </w:pPr>
      <w:r>
        <w:rPr>
          <w:rFonts w:ascii="宋体" w:hAnsi="宋体" w:eastAsia="宋体"/>
          <w:sz w:val="24"/>
        </w:rPr>
        <w:t>词元经济最广为人知的一组事实是价格的持续下行。以2024年第一季度为基期编制的物理词元价格指数显示，至2026年第二季度该指数降至21，累计下降79%，折合年均下降约50%——即表观单价大体每年减半。如图4.4所示，面板（a）给出了这一指数的季度轨迹，面板（b）给出了同一时点上六个模型档位的市场单价对照。</w:t>
      </w:r>
    </w:p>
    <w:p>
      <w:pPr>
        <w:spacing w:before="120" w:after="40"/>
        <w:jc w:val="center"/>
      </w:pPr>
      <w:r>
        <w:drawing>
          <wp:inline xmlns:a="http://schemas.openxmlformats.org/drawingml/2006/main" xmlns:pic="http://schemas.openxmlformats.org/drawingml/2006/picture">
            <wp:extent cx="5040000" cy="2331868"/>
            <wp:docPr id="11" name="Picture 11"/>
            <wp:cNvGraphicFramePr>
              <a:graphicFrameLocks noChangeAspect="1"/>
            </wp:cNvGraphicFramePr>
            <a:graphic>
              <a:graphicData uri="http://schemas.openxmlformats.org/drawingml/2006/picture">
                <pic:pic>
                  <pic:nvPicPr>
                    <pic:cNvPr id="0" name="fig4_4.png"/>
                    <pic:cNvPicPr/>
                  </pic:nvPicPr>
                  <pic:blipFill>
                    <a:blip r:embed="rId19"/>
                    <a:stretch>
                      <a:fillRect/>
                    </a:stretch>
                  </pic:blipFill>
                  <pic:spPr>
                    <a:xfrm>
                      <a:off x="0" y="0"/>
                      <a:ext cx="5040000" cy="2331868"/>
                    </a:xfrm>
                    <a:prstGeom prst="rect"/>
                  </pic:spPr>
                </pic:pic>
              </a:graphicData>
            </a:graphic>
          </wp:inline>
        </w:drawing>
      </w:r>
    </w:p>
    <w:p>
      <w:pPr>
        <w:keepNext w:val="0"/>
        <w:spacing w:after="40"/>
        <w:jc w:val="center"/>
      </w:pPr>
      <w:r>
        <w:rPr>
          <w:rFonts w:ascii="黑体" w:hAnsi="黑体" w:eastAsia="黑体"/>
          <w:sz w:val="21"/>
        </w:rPr>
        <w:t>图4.4  词元价格的演进与档位间价差</w:t>
      </w:r>
    </w:p>
    <w:p>
      <w:pPr>
        <w:spacing w:after="200" w:line="240" w:lineRule="auto"/>
        <w:jc w:val="both"/>
      </w:pPr>
      <w:r>
        <w:rPr>
          <w:rFonts w:ascii="宋体" w:hAnsi="宋体" w:eastAsia="宋体"/>
          <w:sz w:val="18"/>
        </w:rPr>
        <w:t>注：面板（a）为物理词元口径的价格指数，2024Q1＝100，标准词元价格指数与两指数背离的分解见第7章；面板（b）纵轴为对数刻度，六个档位为避免挂靠具体商业产品而设的抽象分类，各档位单价系作者依2026年第二季度市场行情校准复算所得，不对应任何特定商业产品。数据来源：作者校准复算。</w:t>
      </w:r>
    </w:p>
    <w:p>
      <w:pPr>
        <w:spacing w:line="360" w:lineRule="auto" w:after="0"/>
        <w:ind w:firstLineChars="200" w:firstLine="480"/>
        <w:jc w:val="both"/>
      </w:pPr>
      <w:r>
        <w:rPr>
          <w:rFonts w:ascii="宋体" w:hAnsi="宋体" w:eastAsia="宋体"/>
          <w:sz w:val="24"/>
        </w:rPr>
        <w:t>图4.4的两个面板呈现的是同一现象的两个侧面。面板（a）的下行轨迹表明，词元作为一种服务的名义价格正在以极快的速度贬值；面板（b）则显示，在同一时点上，最高档位与最低档位的单价相差35倍——从轻量蒸馏级的每百万词元0.40元到推理增强级的14.00元。两个事实叠加，得到的推论至关重要：所谓「词元价格」并不是一个价格，而是一族价格；把它们简单平均或加总所得到的「均价」，其变动既反映真实的价格变化，也反映交易结构的迁移。若观测期内需求向低档位迁移，则即便每一档位的价格都保持不变，加权均价也会下降。这正是第7章要以标准词元价格指数加以校正的问题；本章只呈现表观事实，不做分解。</w:t>
      </w:r>
    </w:p>
    <w:p>
      <w:pPr>
        <w:keepNext/>
        <w:spacing w:before="160" w:after="120" w:line="360" w:lineRule="auto"/>
        <w:outlineLvl w:val="2"/>
      </w:pPr>
      <w:r>
        <w:rPr>
          <w:rFonts w:ascii="黑体" w:hAnsi="黑体" w:eastAsia="黑体"/>
          <w:sz w:val="24"/>
        </w:rPr>
        <w:t>4.4.2  并存的四套价格观测口径</w:t>
      </w:r>
    </w:p>
    <w:p>
      <w:pPr>
        <w:spacing w:line="360" w:lineRule="auto" w:after="0"/>
        <w:ind w:firstLineChars="200" w:firstLine="480"/>
        <w:jc w:val="both"/>
      </w:pPr>
      <w:r>
        <w:rPr>
          <w:rFonts w:ascii="宋体" w:hAnsi="宋体" w:eastAsia="宋体"/>
          <w:sz w:val="24"/>
        </w:rPr>
        <w:t>价格观测的困难不在于数据缺乏，而在于口径过多且互不相通。表4.2汇总了2026年年中并存的四类可观测价格口径及其代表性点位，并以本书校准复算的档位单价列于末行作为对照。</w:t>
      </w:r>
    </w:p>
    <w:p>
      <w:pPr>
        <w:keepNext/>
        <w:spacing w:before="160" w:after="40"/>
        <w:jc w:val="center"/>
      </w:pPr>
      <w:r>
        <w:rPr>
          <w:rFonts w:ascii="黑体" w:hAnsi="黑体" w:eastAsia="黑体"/>
          <w:sz w:val="21"/>
        </w:rPr>
        <w:t>表4.2  词元价格的可观测口径与代表性点位（2026年）</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2835"/>
        <w:gridCol w:w="2835"/>
        <w:gridCol w:w="2835"/>
      </w:tblGrid>
      <w:tr>
        <w:tc>
          <w:tcPr>
            <w:tcW w:type="dxa" w:w="2835"/>
            <w:tcBorders>
              <w:bottom w:val="single" w:sz="6" w:color="000000"/>
            </w:tcBorders>
            <w:vAlign w:val="center"/>
          </w:tcPr>
          <w:p>
            <w:pPr>
              <w:spacing w:line="240" w:lineRule="auto" w:after="20" w:before="20"/>
              <w:jc w:val="center"/>
            </w:pPr>
            <w:r/>
            <w:r>
              <w:rPr>
                <w:rFonts w:ascii="宋体" w:hAnsi="宋体" w:eastAsia="宋体"/>
                <w:b/>
                <w:sz w:val="21"/>
              </w:rPr>
              <w:t>价格口径</w:t>
            </w:r>
          </w:p>
        </w:tc>
        <w:tc>
          <w:tcPr>
            <w:tcW w:type="dxa" w:w="2835"/>
            <w:tcBorders>
              <w:bottom w:val="single" w:sz="6" w:color="000000"/>
            </w:tcBorders>
            <w:vAlign w:val="center"/>
          </w:tcPr>
          <w:p>
            <w:pPr>
              <w:spacing w:line="240" w:lineRule="auto" w:after="20" w:before="20"/>
              <w:jc w:val="center"/>
            </w:pPr>
            <w:r/>
            <w:r>
              <w:rPr>
                <w:rFonts w:ascii="宋体" w:hAnsi="宋体" w:eastAsia="宋体"/>
                <w:b/>
                <w:sz w:val="21"/>
              </w:rPr>
              <w:t>代表性点位</w:t>
            </w:r>
          </w:p>
        </w:tc>
        <w:tc>
          <w:tcPr>
            <w:tcW w:type="dxa" w:w="2835"/>
            <w:tcBorders>
              <w:bottom w:val="single" w:sz="6" w:color="000000"/>
            </w:tcBorders>
            <w:vAlign w:val="center"/>
          </w:tcPr>
          <w:p>
            <w:pPr>
              <w:spacing w:line="240" w:lineRule="auto" w:after="20" w:before="20"/>
              <w:jc w:val="center"/>
            </w:pPr>
            <w:r/>
            <w:r>
              <w:rPr>
                <w:rFonts w:ascii="宋体" w:hAnsi="宋体" w:eastAsia="宋体"/>
                <w:b/>
                <w:sz w:val="21"/>
              </w:rPr>
              <w:t>计量对象与限制</w:t>
            </w:r>
          </w:p>
        </w:tc>
      </w:tr>
      <w:tr>
        <w:tc>
          <w:tcPr>
            <w:tcW w:type="dxa" w:w="2835"/>
            <w:vAlign w:val="center"/>
          </w:tcPr>
          <w:p>
            <w:pPr>
              <w:spacing w:line="240" w:lineRule="auto" w:after="20" w:before="20"/>
              <w:jc w:val="left"/>
            </w:pPr>
            <w:r/>
            <w:r>
              <w:rPr>
                <w:rFonts w:ascii="宋体" w:hAnsi="宋体" w:eastAsia="宋体"/>
                <w:sz w:val="21"/>
              </w:rPr>
              <w:t>支出加权的全市场成交均价指数（第三方数据服务商，日度）</w:t>
            </w:r>
          </w:p>
        </w:tc>
        <w:tc>
          <w:tcPr>
            <w:tcW w:type="dxa" w:w="2835"/>
            <w:vAlign w:val="center"/>
          </w:tcPr>
          <w:p>
            <w:pPr>
              <w:spacing w:line="240" w:lineRule="auto" w:after="20" w:before="20"/>
              <w:jc w:val="left"/>
            </w:pPr>
            <w:r/>
            <w:r>
              <w:rPr>
                <w:rFonts w:ascii="宋体" w:hAnsi="宋体" w:eastAsia="宋体"/>
                <w:sz w:val="21"/>
              </w:rPr>
              <w:t>2026年5月31日均值 2.04 美元／百万词元；8月6—8日回落至 1.16—1.18 美元，约两个月跌逾四成，为年内最低</w:t>
            </w:r>
          </w:p>
        </w:tc>
        <w:tc>
          <w:tcPr>
            <w:tcW w:type="dxa" w:w="2835"/>
            <w:vAlign w:val="center"/>
          </w:tcPr>
          <w:p>
            <w:pPr>
              <w:spacing w:line="240" w:lineRule="auto" w:after="20" w:before="20"/>
              <w:jc w:val="left"/>
            </w:pPr>
            <w:r/>
            <w:r>
              <w:rPr>
                <w:rFonts w:ascii="宋体" w:hAnsi="宋体" w:eastAsia="宋体"/>
                <w:sz w:val="21"/>
              </w:rPr>
              <w:t>按实际支出加权的全市场成交均价，覆盖前沿接口、开放权重推理平台、经纪化专用实例与自托管参考部署；不是任何单一模型的挂牌价，也不等于人工智能总支出；该指数另设分段子指数，引用总指数时不可与分段值混淆</w:t>
            </w:r>
          </w:p>
        </w:tc>
      </w:tr>
      <w:tr>
        <w:tc>
          <w:tcPr>
            <w:tcW w:type="dxa" w:w="2835"/>
            <w:vAlign w:val="center"/>
          </w:tcPr>
          <w:p>
            <w:pPr>
              <w:spacing w:line="240" w:lineRule="auto" w:after="20" w:before="20"/>
              <w:jc w:val="left"/>
            </w:pPr>
            <w:r/>
            <w:r>
              <w:rPr>
                <w:rFonts w:ascii="宋体" w:hAnsi="宋体" w:eastAsia="宋体"/>
                <w:sz w:val="21"/>
              </w:rPr>
              <w:t>国内头部服务商的挂牌价（改价前）</w:t>
            </w:r>
          </w:p>
        </w:tc>
        <w:tc>
          <w:tcPr>
            <w:tcW w:type="dxa" w:w="2835"/>
            <w:vAlign w:val="center"/>
          </w:tcPr>
          <w:p>
            <w:pPr>
              <w:spacing w:line="240" w:lineRule="auto" w:after="20" w:before="20"/>
              <w:jc w:val="left"/>
            </w:pPr>
            <w:r/>
            <w:r>
              <w:rPr>
                <w:rFonts w:ascii="宋体" w:hAnsi="宋体" w:eastAsia="宋体"/>
                <w:sz w:val="21"/>
              </w:rPr>
              <w:t>截至2026年8月16日：输入（缓存未命中）1 元、输出 2 元／百万词元，输入（缓存命中）另计 0.02 元</w:t>
            </w:r>
          </w:p>
        </w:tc>
        <w:tc>
          <w:tcPr>
            <w:tcW w:type="dxa" w:w="2835"/>
            <w:vAlign w:val="center"/>
          </w:tcPr>
          <w:p>
            <w:pPr>
              <w:spacing w:line="240" w:lineRule="auto" w:after="20" w:before="20"/>
              <w:jc w:val="left"/>
            </w:pPr>
            <w:r/>
            <w:r>
              <w:rPr>
                <w:rFonts w:ascii="宋体" w:hAnsi="宋体" w:eastAsia="宋体"/>
                <w:sz w:val="21"/>
              </w:rPr>
              <w:t>单一服务商的公开挂牌价，须带时点限定；缓存命中与未命中差价达数十倍，不注明缓存状态的单价不具可比性</w:t>
            </w:r>
          </w:p>
        </w:tc>
      </w:tr>
      <w:tr>
        <w:tc>
          <w:tcPr>
            <w:tcW w:type="dxa" w:w="2835"/>
            <w:vAlign w:val="center"/>
          </w:tcPr>
          <w:p>
            <w:pPr>
              <w:spacing w:line="240" w:lineRule="auto" w:after="20" w:before="20"/>
              <w:jc w:val="left"/>
            </w:pPr>
            <w:r/>
            <w:r>
              <w:rPr>
                <w:rFonts w:ascii="宋体" w:hAnsi="宋体" w:eastAsia="宋体"/>
                <w:sz w:val="21"/>
              </w:rPr>
              <w:t>同一服务商的峰谷分时价（改价后）</w:t>
            </w:r>
          </w:p>
        </w:tc>
        <w:tc>
          <w:tcPr>
            <w:tcW w:type="dxa" w:w="2835"/>
            <w:vAlign w:val="center"/>
          </w:tcPr>
          <w:p>
            <w:pPr>
              <w:spacing w:line="240" w:lineRule="auto" w:after="20" w:before="20"/>
              <w:jc w:val="left"/>
            </w:pPr>
            <w:r/>
            <w:r>
              <w:rPr>
                <w:rFonts w:ascii="宋体" w:hAnsi="宋体" w:eastAsia="宋体"/>
                <w:sz w:val="21"/>
              </w:rPr>
              <w:t>2026年8月17日零时起：空闲时段输入 1.5 元、输出 4.5 元；高峰时段输入 3 元、输出 9 元／百万词元（高峰为北京时间 9—12 时、14—18 时，空闲价为高峰价一半）</w:t>
            </w:r>
          </w:p>
        </w:tc>
        <w:tc>
          <w:tcPr>
            <w:tcW w:type="dxa" w:w="2835"/>
            <w:vAlign w:val="center"/>
          </w:tcPr>
          <w:p>
            <w:pPr>
              <w:spacing w:line="240" w:lineRule="auto" w:after="20" w:before="20"/>
              <w:jc w:val="left"/>
            </w:pPr>
            <w:r/>
            <w:r>
              <w:rPr>
                <w:rFonts w:ascii="宋体" w:hAnsi="宋体" w:eastAsia="宋体"/>
                <w:sz w:val="21"/>
              </w:rPr>
              <w:t>同一模型的同一枚词元因时段不同而价格相差一倍，价格开始承载算力的时段稀缺信息；任何基于改价前价格的成本论证均需重算</w:t>
            </w:r>
          </w:p>
        </w:tc>
      </w:tr>
      <w:tr>
        <w:tc>
          <w:tcPr>
            <w:tcW w:type="dxa" w:w="2835"/>
            <w:vAlign w:val="center"/>
          </w:tcPr>
          <w:p>
            <w:pPr>
              <w:spacing w:line="240" w:lineRule="auto" w:after="20" w:before="20"/>
              <w:jc w:val="left"/>
            </w:pPr>
            <w:r/>
            <w:r>
              <w:rPr>
                <w:rFonts w:ascii="宋体" w:hAnsi="宋体" w:eastAsia="宋体"/>
                <w:sz w:val="21"/>
              </w:rPr>
              <w:t>境外前沿服务的挂牌价区间</w:t>
            </w:r>
          </w:p>
        </w:tc>
        <w:tc>
          <w:tcPr>
            <w:tcW w:type="dxa" w:w="2835"/>
            <w:vAlign w:val="center"/>
          </w:tcPr>
          <w:p>
            <w:pPr>
              <w:spacing w:line="240" w:lineRule="auto" w:after="20" w:before="20"/>
              <w:jc w:val="left"/>
            </w:pPr>
            <w:r/>
            <w:r>
              <w:rPr>
                <w:rFonts w:ascii="宋体" w:hAnsi="宋体" w:eastAsia="宋体"/>
                <w:sz w:val="21"/>
              </w:rPr>
              <w:t>2026年8月：输入约 1—10 美元、输出约 6—50 美元／百万词元；长上下文档位另行加价，缓存读取按标准输入价的一成计</w:t>
            </w:r>
          </w:p>
        </w:tc>
        <w:tc>
          <w:tcPr>
            <w:tcW w:type="dxa" w:w="2835"/>
            <w:vAlign w:val="center"/>
          </w:tcPr>
          <w:p>
            <w:pPr>
              <w:spacing w:line="240" w:lineRule="auto" w:after="20" w:before="20"/>
              <w:jc w:val="left"/>
            </w:pPr>
            <w:r/>
            <w:r>
              <w:rPr>
                <w:rFonts w:ascii="宋体" w:hAnsi="宋体" w:eastAsia="宋体"/>
                <w:sz w:val="21"/>
              </w:rPr>
              <w:t>第三方定价聚合口径，同一版本常存在降价前后两套并存数值，引用须锁定时点并以厂商官方定价页为准</w:t>
            </w:r>
          </w:p>
        </w:tc>
      </w:tr>
      <w:tr>
        <w:tc>
          <w:tcPr>
            <w:tcW w:type="dxa" w:w="2835"/>
            <w:vAlign w:val="center"/>
          </w:tcPr>
          <w:p>
            <w:pPr>
              <w:spacing w:line="240" w:lineRule="auto" w:after="20" w:before="20"/>
              <w:jc w:val="left"/>
            </w:pPr>
            <w:r/>
            <w:r>
              <w:rPr>
                <w:rFonts w:ascii="宋体" w:hAnsi="宋体" w:eastAsia="宋体"/>
                <w:sz w:val="21"/>
              </w:rPr>
              <w:t>本书六档位校准复算的市场单价</w:t>
            </w:r>
          </w:p>
        </w:tc>
        <w:tc>
          <w:tcPr>
            <w:tcW w:type="dxa" w:w="2835"/>
            <w:vAlign w:val="center"/>
          </w:tcPr>
          <w:p>
            <w:pPr>
              <w:spacing w:line="240" w:lineRule="auto" w:after="20" w:before="20"/>
              <w:jc w:val="left"/>
            </w:pPr>
            <w:r/>
            <w:r>
              <w:rPr>
                <w:rFonts w:ascii="宋体" w:hAnsi="宋体" w:eastAsia="宋体"/>
                <w:sz w:val="21"/>
              </w:rPr>
              <w:t>0.40—14.00 元／百万物理词元（2026年第二季度），折算为标准词元后收敛至 1.053—3.271 元／百万标准词元</w:t>
            </w:r>
          </w:p>
        </w:tc>
        <w:tc>
          <w:tcPr>
            <w:tcW w:type="dxa" w:w="2835"/>
            <w:vAlign w:val="center"/>
          </w:tcPr>
          <w:p>
            <w:pPr>
              <w:spacing w:line="240" w:lineRule="auto" w:after="20" w:before="20"/>
              <w:jc w:val="left"/>
            </w:pPr>
            <w:r/>
            <w:r>
              <w:rPr>
                <w:rFonts w:ascii="宋体" w:hAnsi="宋体" w:eastAsia="宋体"/>
                <w:sz w:val="21"/>
              </w:rPr>
              <w:t>档位为抽象分类，不对应任何具体商业产品；折算方法与效值系数见第5章</w:t>
            </w:r>
          </w:p>
        </w:tc>
      </w:tr>
    </w:tbl>
    <w:p>
      <w:pPr>
        <w:spacing w:after="200" w:line="240" w:lineRule="auto"/>
        <w:jc w:val="both"/>
      </w:pPr>
      <w:r>
        <w:rPr>
          <w:rFonts w:ascii="宋体" w:hAnsi="宋体" w:eastAsia="宋体"/>
          <w:sz w:val="18"/>
        </w:rPr>
        <w:t>注：前四行为公开发布或公开报道的可核实点位，末行为本书校准复算值；各行的计量对象、加权方式与时点均不同，不可相互折算、并列比较或用于计算「国内外价差倍数」。数据来源：第三方数据服务商产品说明与主流财经媒体报道（2026年）；末行系作者校准复算。</w:t>
      </w:r>
    </w:p>
    <w:p>
      <w:pPr>
        <w:spacing w:line="360" w:lineRule="auto" w:after="0"/>
        <w:ind w:firstLineChars="200" w:firstLine="480"/>
        <w:jc w:val="both"/>
      </w:pPr>
      <w:r>
        <w:rPr>
          <w:rFonts w:ascii="宋体" w:hAnsi="宋体" w:eastAsia="宋体"/>
          <w:sz w:val="24"/>
        </w:rPr>
        <w:t>表4.2的信息可以归纳为三点。第一，全市场成交均价与单一模型挂牌价是两个不同的对象：前者是支出加权的实际成交结果，随交易结构迁移而变动；后者是名义报价，随厂商策略而跳变。二者的走势可以在短期内背离，把「指数点位相对高点跌近两成」与「绝对均价由2.04美元跌至1.16美元、跌幅逾四成」并列使用，就会得到自相矛盾的叙述。第二，缓存与时段已经成为价格结构的组成部分：缓存命中与未命中的输入价相差数十倍，高峰与空闲时段的价格相差一倍。这意味着词元价格并非「零边际成本产品的名义标价」，而是承载了真实资源稀缺信息的价格——峰谷分时定价的出现，恰是第3章所述算力约束影子价格在市场上的显性化。第三，跨境价格比较必须极为审慎：不同货币、不同缓存规则、不同上下文档位、不同折扣结构使得任何「便宜多少倍」的表述都需要指明比较基准。</w:t>
      </w:r>
    </w:p>
    <w:p>
      <w:pPr>
        <w:keepNext/>
        <w:spacing w:before="160" w:after="120" w:line="360" w:lineRule="auto"/>
        <w:outlineLvl w:val="2"/>
      </w:pPr>
      <w:r>
        <w:rPr>
          <w:rFonts w:ascii="黑体" w:hAnsi="黑体" w:eastAsia="黑体"/>
          <w:sz w:val="24"/>
        </w:rPr>
        <w:t>4.4.3  降价的三重来源与不可直接解读的表观降幅</w:t>
      </w:r>
    </w:p>
    <w:p>
      <w:pPr>
        <w:spacing w:line="360" w:lineRule="auto" w:after="0"/>
        <w:ind w:firstLineChars="200" w:firstLine="480"/>
        <w:jc w:val="both"/>
      </w:pPr>
      <w:r>
        <w:rPr>
          <w:rFonts w:ascii="宋体" w:hAnsi="宋体" w:eastAsia="宋体"/>
          <w:sz w:val="24"/>
        </w:rPr>
        <w:t>表观价格的快速下行有三重来源，其经济含义各不相同。第一重是技术与系统效率的真实改进：显存管理、连续批处理、分块预填充与预填充—解码分离等推理系统进展持续压低单位词元的资源消耗（Yu等，2022；Kwon等，2023；Agrawal等，2024；Zhong等，2024），模型侧的规模律与训练—推理权衡研究则从另一端降低了达到同等能力所需的推理成本（Kaplan等，2020；Hoffmann等，2022）。这一部分降价是社会福利的净增加。第二重是竞争与规模的压力：集中度下降、开放权重扩散与多归属使价格向边际成本靠拢，规模经济又使边际成本随产量下降。这一部分降价是市场结构演化的结果，其可持续性取决于产业是否进入长期均衡。第三重则是交易结构的迁移：低效值档位的份额上升会拉低加权均价，而这并不意味着任何一档位的价格真正下降。三重来源在表观价格数据中混在一起，无法直接分辨——这正是本书要在第7章引入标准词元价格指数的原因。前瞻性地说，本书的分解结果是：2024Q1至2026Q2表观累计降幅79%中，约53%来自效值提升、约47%为真实降价。</w:t>
      </w:r>
    </w:p>
    <w:p>
      <w:pPr>
        <w:spacing w:line="360" w:lineRule="auto" w:after="0"/>
        <w:ind w:firstLineChars="200" w:firstLine="480"/>
        <w:jc w:val="both"/>
      </w:pPr>
      <w:r>
        <w:rPr>
          <w:rFonts w:ascii="宋体" w:hAnsi="宋体" w:eastAsia="宋体"/>
          <w:sz w:val="24"/>
        </w:rPr>
        <w:t>还有一重常被忽略的价差来源：语言。同一段语义内容在不同语言下被分词器切分出的词元数差异显著，非拉丁语系文本通常需要更多词元来表达等量信息，这使得按词元计费的服务在不同语言市场上呈现出隐含的价格歧视（Rust等，2021；Petrov等，2023；Ahia等，2023）。对于词元出海与跨境结算而言，这一技术性差异会直接转化为成本差异：同样的业务量，以中文运行与以英文运行的词元账单并不相同。这提示我们，跨境价格互认不仅需要统一的效值口径，还需要在计量规则中处理语言维度的换算——本书把它归入标准词元折算的场景效用维度加以吸收（第5章），并在词元出海的政策建议中单列（第14章）。</w:t>
      </w:r>
    </w:p>
    <w:p>
      <w:pPr>
        <w:spacing w:line="360" w:lineRule="auto" w:after="0"/>
        <w:ind w:firstLineChars="200" w:firstLine="480"/>
        <w:jc w:val="both"/>
      </w:pPr>
      <w:r>
        <w:rPr>
          <w:rFonts w:ascii="宋体" w:hAnsi="宋体" w:eastAsia="宋体"/>
          <w:sz w:val="24"/>
        </w:rPr>
        <w:t>据此可归纳典型事实四：物理词元的表观价格在两年半内累计下降79%、年均下降约50%，同一时点上不同档位的单价却相差35倍；价格观测存在至少四套互不相通的口径，且缓存状态、时段、语言与上下文长度均已成为价格结构的组成部分。「词元价格」因此不是一个可以单值化的概念，其下行幅度也不能被直接解读为真实降价。</w:t>
      </w:r>
    </w:p>
    <w:p>
      <w:pPr>
        <w:keepNext/>
        <w:spacing w:before="160" w:after="120" w:line="360" w:lineRule="auto"/>
        <w:outlineLvl w:val="1"/>
      </w:pPr>
      <w:r>
        <w:rPr>
          <w:rFonts w:ascii="黑体" w:hAnsi="黑体" w:eastAsia="黑体"/>
          <w:sz w:val="28"/>
        </w:rPr>
        <w:t>4.5  算力供给格局：规模、布局与量级核算</w:t>
      </w:r>
    </w:p>
    <w:p>
      <w:pPr>
        <w:keepNext/>
        <w:spacing w:before="160" w:after="120" w:line="360" w:lineRule="auto"/>
        <w:outlineLvl w:val="2"/>
      </w:pPr>
      <w:r>
        <w:rPr>
          <w:rFonts w:ascii="黑体" w:hAnsi="黑体" w:eastAsia="黑体"/>
          <w:sz w:val="24"/>
        </w:rPr>
        <w:t>4.5.1  三套并存的算力统计口径</w:t>
      </w:r>
    </w:p>
    <w:p>
      <w:pPr>
        <w:spacing w:line="360" w:lineRule="auto" w:after="0"/>
        <w:ind w:firstLineChars="200" w:firstLine="480"/>
        <w:jc w:val="both"/>
      </w:pPr>
      <w:r>
        <w:rPr>
          <w:rFonts w:ascii="宋体" w:hAnsi="宋体" w:eastAsia="宋体"/>
          <w:sz w:val="24"/>
        </w:rPr>
        <w:t>词元的物理基础是算力。但与词元调用量一样，我国的算力规模统计同样存在多套并存且不可通约的口径。表4.3汇总了三类主要发布主体的口径、时点与数值。</w:t>
      </w:r>
    </w:p>
    <w:p>
      <w:pPr>
        <w:keepNext/>
        <w:spacing w:before="160" w:after="40"/>
        <w:jc w:val="center"/>
      </w:pPr>
      <w:r>
        <w:rPr>
          <w:rFonts w:ascii="黑体" w:hAnsi="黑体" w:eastAsia="黑体"/>
          <w:sz w:val="21"/>
        </w:rPr>
        <w:t>表4.3  智能算力规模的三套统计口径对照</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发布主体</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指标与统计对象</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精度基准</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时点</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数值</w:t>
            </w:r>
          </w:p>
        </w:tc>
      </w:tr>
      <w:tr>
        <w:tc>
          <w:tcPr>
            <w:tcW w:type="dxa" w:w="1701"/>
            <w:vAlign w:val="center"/>
          </w:tcPr>
          <w:p>
            <w:pPr>
              <w:spacing w:line="240" w:lineRule="auto" w:after="20" w:before="20"/>
              <w:jc w:val="left"/>
            </w:pPr>
            <w:r/>
            <w:r>
              <w:rPr>
                <w:rFonts w:ascii="宋体" w:hAnsi="宋体" w:eastAsia="宋体"/>
                <w:sz w:val="21"/>
              </w:rPr>
              <w:t>工业和信息化部</w:t>
            </w:r>
          </w:p>
        </w:tc>
        <w:tc>
          <w:tcPr>
            <w:tcW w:type="dxa" w:w="1701"/>
            <w:vAlign w:val="center"/>
          </w:tcPr>
          <w:p>
            <w:pPr>
              <w:spacing w:line="240" w:lineRule="auto" w:after="20" w:before="20"/>
              <w:jc w:val="left"/>
            </w:pPr>
            <w:r/>
            <w:r>
              <w:rPr>
                <w:rFonts w:ascii="宋体" w:hAnsi="宋体" w:eastAsia="宋体"/>
                <w:sz w:val="21"/>
              </w:rPr>
              <w:t>智能算力规模（已建成规模）</w:t>
            </w:r>
          </w:p>
        </w:tc>
        <w:tc>
          <w:tcPr>
            <w:tcW w:type="dxa" w:w="1701"/>
            <w:vAlign w:val="center"/>
          </w:tcPr>
          <w:p>
            <w:pPr>
              <w:spacing w:line="240" w:lineRule="auto" w:after="20" w:before="20"/>
              <w:jc w:val="center"/>
            </w:pPr>
            <w:r/>
            <w:r>
              <w:rPr>
                <w:rFonts w:ascii="宋体" w:hAnsi="宋体" w:eastAsia="宋体"/>
                <w:sz w:val="21"/>
              </w:rPr>
              <w:t>FP16</w:t>
            </w:r>
          </w:p>
        </w:tc>
        <w:tc>
          <w:tcPr>
            <w:tcW w:type="dxa" w:w="1701"/>
            <w:vAlign w:val="center"/>
          </w:tcPr>
          <w:p>
            <w:pPr>
              <w:spacing w:line="240" w:lineRule="auto" w:after="20" w:before="20"/>
              <w:jc w:val="center"/>
            </w:pPr>
            <w:r/>
            <w:r>
              <w:rPr>
                <w:rFonts w:ascii="宋体" w:hAnsi="宋体" w:eastAsia="宋体"/>
                <w:sz w:val="21"/>
              </w:rPr>
              <w:t>2026年6月底</w:t>
            </w:r>
          </w:p>
        </w:tc>
        <w:tc>
          <w:tcPr>
            <w:tcW w:type="dxa" w:w="1701"/>
            <w:vAlign w:val="center"/>
          </w:tcPr>
          <w:p>
            <w:pPr>
              <w:spacing w:line="240" w:lineRule="auto" w:after="20" w:before="20"/>
              <w:jc w:val="left"/>
            </w:pPr>
            <w:r/>
            <w:r>
              <w:rPr>
                <w:rFonts w:ascii="宋体" w:hAnsi="宋体" w:eastAsia="宋体"/>
                <w:sz w:val="21"/>
              </w:rPr>
              <w:t>2185 EFLOPS，同比增长177%；全国算力设施整体上架率71.4%</w:t>
            </w:r>
          </w:p>
        </w:tc>
      </w:tr>
      <w:tr>
        <w:tc>
          <w:tcPr>
            <w:tcW w:type="dxa" w:w="1701"/>
            <w:vAlign w:val="center"/>
          </w:tcPr>
          <w:p>
            <w:pPr>
              <w:spacing w:line="240" w:lineRule="auto" w:after="20" w:before="20"/>
              <w:jc w:val="left"/>
            </w:pPr>
            <w:r/>
            <w:r>
              <w:rPr>
                <w:rFonts w:ascii="宋体" w:hAnsi="宋体" w:eastAsia="宋体"/>
                <w:sz w:val="21"/>
              </w:rPr>
              <w:t>工业和信息化部</w:t>
            </w:r>
          </w:p>
        </w:tc>
        <w:tc>
          <w:tcPr>
            <w:tcW w:type="dxa" w:w="1701"/>
            <w:vAlign w:val="center"/>
          </w:tcPr>
          <w:p>
            <w:pPr>
              <w:spacing w:line="240" w:lineRule="auto" w:after="20" w:before="20"/>
              <w:jc w:val="left"/>
            </w:pPr>
            <w:r/>
            <w:r>
              <w:rPr>
                <w:rFonts w:ascii="宋体" w:hAnsi="宋体" w:eastAsia="宋体"/>
                <w:sz w:val="21"/>
              </w:rPr>
              <w:t>智能算力规模与万卡级集群</w:t>
            </w:r>
          </w:p>
        </w:tc>
        <w:tc>
          <w:tcPr>
            <w:tcW w:type="dxa" w:w="1701"/>
            <w:vAlign w:val="center"/>
          </w:tcPr>
          <w:p>
            <w:pPr>
              <w:spacing w:line="240" w:lineRule="auto" w:after="20" w:before="20"/>
              <w:jc w:val="center"/>
            </w:pPr>
            <w:r/>
            <w:r>
              <w:rPr>
                <w:rFonts w:ascii="宋体" w:hAnsi="宋体" w:eastAsia="宋体"/>
                <w:sz w:val="21"/>
              </w:rPr>
              <w:t>FP16</w:t>
            </w:r>
          </w:p>
        </w:tc>
        <w:tc>
          <w:tcPr>
            <w:tcW w:type="dxa" w:w="1701"/>
            <w:vAlign w:val="center"/>
          </w:tcPr>
          <w:p>
            <w:pPr>
              <w:spacing w:line="240" w:lineRule="auto" w:after="20" w:before="20"/>
              <w:jc w:val="center"/>
            </w:pPr>
            <w:r/>
            <w:r>
              <w:rPr>
                <w:rFonts w:ascii="宋体" w:hAnsi="宋体" w:eastAsia="宋体"/>
                <w:sz w:val="21"/>
              </w:rPr>
              <w:t>2025年底</w:t>
            </w:r>
          </w:p>
        </w:tc>
        <w:tc>
          <w:tcPr>
            <w:tcW w:type="dxa" w:w="1701"/>
            <w:vAlign w:val="center"/>
          </w:tcPr>
          <w:p>
            <w:pPr>
              <w:spacing w:line="240" w:lineRule="auto" w:after="20" w:before="20"/>
              <w:jc w:val="left"/>
            </w:pPr>
            <w:r/>
            <w:r>
              <w:rPr>
                <w:rFonts w:ascii="宋体" w:hAnsi="宋体" w:eastAsia="宋体"/>
                <w:sz w:val="21"/>
              </w:rPr>
              <w:t>超过 1590 EFLOPS；已建成万卡级智算集群 42 个</w:t>
            </w:r>
          </w:p>
        </w:tc>
      </w:tr>
      <w:tr>
        <w:tc>
          <w:tcPr>
            <w:tcW w:type="dxa" w:w="1701"/>
            <w:vAlign w:val="center"/>
          </w:tcPr>
          <w:p>
            <w:pPr>
              <w:spacing w:line="240" w:lineRule="auto" w:after="20" w:before="20"/>
              <w:jc w:val="left"/>
            </w:pPr>
            <w:r/>
            <w:r>
              <w:rPr>
                <w:rFonts w:ascii="宋体" w:hAnsi="宋体" w:eastAsia="宋体"/>
                <w:sz w:val="21"/>
              </w:rPr>
              <w:t>中国信息通信研究院</w:t>
            </w:r>
          </w:p>
        </w:tc>
        <w:tc>
          <w:tcPr>
            <w:tcW w:type="dxa" w:w="1701"/>
            <w:vAlign w:val="center"/>
          </w:tcPr>
          <w:p>
            <w:pPr>
              <w:spacing w:line="240" w:lineRule="auto" w:after="20" w:before="20"/>
              <w:jc w:val="left"/>
            </w:pPr>
            <w:r/>
            <w:r>
              <w:rPr>
                <w:rFonts w:ascii="宋体" w:hAnsi="宋体" w:eastAsia="宋体"/>
                <w:sz w:val="21"/>
              </w:rPr>
              <w:t>我国算力设备总规模／其中智能算力</w:t>
            </w:r>
          </w:p>
        </w:tc>
        <w:tc>
          <w:tcPr>
            <w:tcW w:type="dxa" w:w="1701"/>
            <w:vAlign w:val="center"/>
          </w:tcPr>
          <w:p>
            <w:pPr>
              <w:spacing w:line="240" w:lineRule="auto" w:after="20" w:before="20"/>
              <w:jc w:val="center"/>
            </w:pPr>
            <w:r/>
            <w:r>
              <w:rPr>
                <w:rFonts w:ascii="宋体" w:hAnsi="宋体" w:eastAsia="宋体"/>
                <w:sz w:val="21"/>
              </w:rPr>
              <w:t>FP32 折算</w:t>
            </w:r>
          </w:p>
        </w:tc>
        <w:tc>
          <w:tcPr>
            <w:tcW w:type="dxa" w:w="1701"/>
            <w:vAlign w:val="center"/>
          </w:tcPr>
          <w:p>
            <w:pPr>
              <w:spacing w:line="240" w:lineRule="auto" w:after="20" w:before="20"/>
              <w:jc w:val="center"/>
            </w:pPr>
            <w:r/>
            <w:r>
              <w:rPr>
                <w:rFonts w:ascii="宋体" w:hAnsi="宋体" w:eastAsia="宋体"/>
                <w:sz w:val="21"/>
              </w:rPr>
              <w:t>2025年6月</w:t>
            </w:r>
          </w:p>
        </w:tc>
        <w:tc>
          <w:tcPr>
            <w:tcW w:type="dxa" w:w="1701"/>
            <w:vAlign w:val="center"/>
          </w:tcPr>
          <w:p>
            <w:pPr>
              <w:spacing w:line="240" w:lineRule="auto" w:after="20" w:before="20"/>
              <w:jc w:val="left"/>
            </w:pPr>
            <w:r/>
            <w:r>
              <w:rPr>
                <w:rFonts w:ascii="宋体" w:hAnsi="宋体" w:eastAsia="宋体"/>
                <w:sz w:val="21"/>
              </w:rPr>
              <w:t>962／782 EFLOPS，同比增长73%／96%；我国约占全球21%</w:t>
            </w:r>
          </w:p>
        </w:tc>
      </w:tr>
      <w:tr>
        <w:tc>
          <w:tcPr>
            <w:tcW w:type="dxa" w:w="1701"/>
            <w:vAlign w:val="center"/>
          </w:tcPr>
          <w:p>
            <w:pPr>
              <w:spacing w:line="240" w:lineRule="auto" w:after="20" w:before="20"/>
              <w:jc w:val="left"/>
            </w:pPr>
            <w:r/>
            <w:r>
              <w:rPr>
                <w:rFonts w:ascii="宋体" w:hAnsi="宋体" w:eastAsia="宋体"/>
                <w:sz w:val="21"/>
              </w:rPr>
              <w:t>中国信息通信研究院</w:t>
            </w:r>
          </w:p>
        </w:tc>
        <w:tc>
          <w:tcPr>
            <w:tcW w:type="dxa" w:w="1701"/>
            <w:vAlign w:val="center"/>
          </w:tcPr>
          <w:p>
            <w:pPr>
              <w:spacing w:line="240" w:lineRule="auto" w:after="20" w:before="20"/>
              <w:jc w:val="left"/>
            </w:pPr>
            <w:r/>
            <w:r>
              <w:rPr>
                <w:rFonts w:ascii="宋体" w:hAnsi="宋体" w:eastAsia="宋体"/>
                <w:sz w:val="21"/>
              </w:rPr>
              <w:t>全球算力设备总规模／其中智能算力</w:t>
            </w:r>
          </w:p>
        </w:tc>
        <w:tc>
          <w:tcPr>
            <w:tcW w:type="dxa" w:w="1701"/>
            <w:vAlign w:val="center"/>
          </w:tcPr>
          <w:p>
            <w:pPr>
              <w:spacing w:line="240" w:lineRule="auto" w:after="20" w:before="20"/>
              <w:jc w:val="center"/>
            </w:pPr>
            <w:r/>
            <w:r>
              <w:rPr>
                <w:rFonts w:ascii="宋体" w:hAnsi="宋体" w:eastAsia="宋体"/>
                <w:sz w:val="21"/>
              </w:rPr>
              <w:t>FP32 折算</w:t>
            </w:r>
          </w:p>
        </w:tc>
        <w:tc>
          <w:tcPr>
            <w:tcW w:type="dxa" w:w="1701"/>
            <w:vAlign w:val="center"/>
          </w:tcPr>
          <w:p>
            <w:pPr>
              <w:spacing w:line="240" w:lineRule="auto" w:after="20" w:before="20"/>
              <w:jc w:val="center"/>
            </w:pPr>
            <w:r/>
            <w:r>
              <w:rPr>
                <w:rFonts w:ascii="宋体" w:hAnsi="宋体" w:eastAsia="宋体"/>
                <w:sz w:val="21"/>
              </w:rPr>
              <w:t>2025年6月</w:t>
            </w:r>
          </w:p>
        </w:tc>
        <w:tc>
          <w:tcPr>
            <w:tcW w:type="dxa" w:w="1701"/>
            <w:vAlign w:val="center"/>
          </w:tcPr>
          <w:p>
            <w:pPr>
              <w:spacing w:line="240" w:lineRule="auto" w:after="20" w:before="20"/>
              <w:jc w:val="left"/>
            </w:pPr>
            <w:r/>
            <w:r>
              <w:rPr>
                <w:rFonts w:ascii="宋体" w:hAnsi="宋体" w:eastAsia="宋体"/>
                <w:sz w:val="21"/>
              </w:rPr>
              <w:t>4495／3846 EFLOPS，智能算力占总算力85%</w:t>
            </w:r>
          </w:p>
        </w:tc>
      </w:tr>
      <w:tr>
        <w:tc>
          <w:tcPr>
            <w:tcW w:type="dxa" w:w="1701"/>
            <w:vAlign w:val="center"/>
          </w:tcPr>
          <w:p>
            <w:pPr>
              <w:spacing w:line="240" w:lineRule="auto" w:after="20" w:before="20"/>
              <w:jc w:val="left"/>
            </w:pPr>
            <w:r/>
            <w:r>
              <w:rPr>
                <w:rFonts w:ascii="宋体" w:hAnsi="宋体" w:eastAsia="宋体"/>
                <w:sz w:val="21"/>
              </w:rPr>
              <w:t>国际数据公司与服务器厂商联合发布</w:t>
            </w:r>
          </w:p>
        </w:tc>
        <w:tc>
          <w:tcPr>
            <w:tcW w:type="dxa" w:w="1701"/>
            <w:vAlign w:val="center"/>
          </w:tcPr>
          <w:p>
            <w:pPr>
              <w:spacing w:line="240" w:lineRule="auto" w:after="20" w:before="20"/>
              <w:jc w:val="left"/>
            </w:pPr>
            <w:r/>
            <w:r>
              <w:rPr>
                <w:rFonts w:ascii="宋体" w:hAnsi="宋体" w:eastAsia="宋体"/>
                <w:sz w:val="21"/>
              </w:rPr>
              <w:t>中国智能算力规模（测算与预测）</w:t>
            </w:r>
          </w:p>
        </w:tc>
        <w:tc>
          <w:tcPr>
            <w:tcW w:type="dxa" w:w="1701"/>
            <w:vAlign w:val="center"/>
          </w:tcPr>
          <w:p>
            <w:pPr>
              <w:spacing w:line="240" w:lineRule="auto" w:after="20" w:before="20"/>
              <w:jc w:val="center"/>
            </w:pPr>
            <w:r/>
            <w:r>
              <w:rPr>
                <w:rFonts w:ascii="宋体" w:hAnsi="宋体" w:eastAsia="宋体"/>
                <w:sz w:val="21"/>
              </w:rPr>
              <w:t>测算口径</w:t>
            </w:r>
          </w:p>
        </w:tc>
        <w:tc>
          <w:tcPr>
            <w:tcW w:type="dxa" w:w="1701"/>
            <w:vAlign w:val="center"/>
          </w:tcPr>
          <w:p>
            <w:pPr>
              <w:spacing w:line="240" w:lineRule="auto" w:after="20" w:before="20"/>
              <w:jc w:val="center"/>
            </w:pPr>
            <w:r/>
            <w:r>
              <w:rPr>
                <w:rFonts w:ascii="宋体" w:hAnsi="宋体" w:eastAsia="宋体"/>
                <w:sz w:val="21"/>
              </w:rPr>
              <w:t>2025／2026年</w:t>
            </w:r>
          </w:p>
        </w:tc>
        <w:tc>
          <w:tcPr>
            <w:tcW w:type="dxa" w:w="1701"/>
            <w:vAlign w:val="center"/>
          </w:tcPr>
          <w:p>
            <w:pPr>
              <w:spacing w:line="240" w:lineRule="auto" w:after="20" w:before="20"/>
              <w:jc w:val="left"/>
            </w:pPr>
            <w:r/>
            <w:r>
              <w:rPr>
                <w:rFonts w:ascii="宋体" w:hAnsi="宋体" w:eastAsia="宋体"/>
                <w:sz w:val="21"/>
              </w:rPr>
              <w:t>1037.3／1460.3 EFLOPS（2026年为预测值）</w:t>
            </w:r>
          </w:p>
        </w:tc>
      </w:tr>
    </w:tbl>
    <w:p>
      <w:pPr>
        <w:spacing w:after="200" w:line="240" w:lineRule="auto"/>
        <w:jc w:val="both"/>
      </w:pPr>
      <w:r>
        <w:rPr>
          <w:rFonts w:ascii="宋体" w:hAnsi="宋体" w:eastAsia="宋体"/>
          <w:sz w:val="18"/>
        </w:rPr>
        <w:t>注：三套口径的精度基准、统计对象与时点均不同，严禁并列比较或相互折算——FP16 与 FP32 折算之间通常存在约两倍的名义差，直接对比会得出「我国智能算力超过全球总量」一类的荒谬结论；「已建成规模」为实测统计，末行为咨询机构测算与预测值，二者不是同一类量。数据来源：国务院新闻办公室新闻发布会（2026年7月20日、2026年1月21日）；中国信息通信研究院《先进计算暨算力发展指数蓝皮书（2025年）》；咨询机构与服务器厂商联合发布的年度评估报告。</w:t>
      </w:r>
    </w:p>
    <w:p>
      <w:pPr>
        <w:spacing w:line="360" w:lineRule="auto" w:after="0"/>
        <w:ind w:firstLineChars="200" w:firstLine="480"/>
        <w:jc w:val="both"/>
      </w:pPr>
      <w:r>
        <w:rPr>
          <w:rFonts w:ascii="宋体" w:hAnsi="宋体" w:eastAsia="宋体"/>
          <w:sz w:val="24"/>
        </w:rPr>
        <w:t>表4.3揭示的问题与表4.2同构：不是数据太少，而是口径太多。除精度基准外，还须注意算力规模至少存在三套互不相通的计量单位——数据中心口径的标准机架、算力性能口径的每秒浮点运算次数、加速卡口径的卡数，三者之间没有公开的官方换算系数，且「万卡集群」并未区分卡型与代际，不同城市的「万卡」并不等价。产业研究对算力经济的系统梳理（「中国信息通信研究院，2025」；「中国信息通信研究院，2026」）与对智算云基础设施市场的跟踪（「IDC，2025」）均反复提示这一点。对本书而言，口径分裂的直接后果是：算力与词元之间的转化关系无法用公开数据精确刻画，只能做量级核算——这也正是本书要构造转化函数并以校准复算方式测算参数的原因（第9章）。</w:t>
      </w:r>
    </w:p>
    <w:p>
      <w:pPr>
        <w:keepNext/>
        <w:spacing w:before="160" w:after="120" w:line="360" w:lineRule="auto"/>
        <w:outlineLvl w:val="2"/>
      </w:pPr>
      <w:r>
        <w:rPr>
          <w:rFonts w:ascii="黑体" w:hAnsi="黑体" w:eastAsia="黑体"/>
          <w:sz w:val="24"/>
        </w:rPr>
        <w:t>4.5.2  空间布局：枢纽节点、集群与区域结构</w:t>
      </w:r>
    </w:p>
    <w:p>
      <w:pPr>
        <w:spacing w:line="360" w:lineRule="auto" w:after="0"/>
        <w:ind w:firstLineChars="200" w:firstLine="480"/>
        <w:jc w:val="both"/>
      </w:pPr>
      <w:r>
        <w:rPr>
          <w:rFonts w:ascii="宋体" w:hAnsi="宋体" w:eastAsia="宋体"/>
          <w:sz w:val="24"/>
        </w:rPr>
        <w:t>算力供给的空间格局由国家战略布局主导。2021年确立的全国一体化大数据中心协同创新体系算力枢纽实施方案（「国家发展改革委等，2021」）与随后两批复函形成了8个国家算力枢纽节点与10个国家数据中心集群的总体布局，2022年2月「东数西算」工程全面启动；2023年底印发的实施意见进一步提出建设「联网调度、普惠易用、绿色安全」的全国一体化算力网，统筹通用算力、智能算力与超级算力的协同（国家发展改革委等，2023）；2026年初，工业和信息化部部署建设「1+M+N」国家算力互联互通节点体系，提出统一标识、统一标准、统一规则的运行机制。地方层面，浙江省「十五五」规划纲要提出建立全省一体化算力监测调度平台（「浙江省人民代表大会，2026」），上海市则以「百千万」智算集群工程形成大集群、小集群与边缘算力协同的梯次供给体系，在部分区域布局十万卡级超大规模智算集群（「上海市经济和信息化委员会，2026」）。需要注意的是，省级监测调度平台、市级调度平台与国家一体化算力网分属三个层级、三套接入范围，各平台上报的算力规模之间存在重复计算，不可加总。</w:t>
      </w:r>
    </w:p>
    <w:p>
      <w:pPr>
        <w:spacing w:line="360" w:lineRule="auto" w:after="0"/>
        <w:ind w:firstLineChars="200" w:firstLine="480"/>
        <w:jc w:val="both"/>
      </w:pPr>
      <w:r>
        <w:rPr>
          <w:rFonts w:ascii="宋体" w:hAnsi="宋体" w:eastAsia="宋体"/>
          <w:sz w:val="24"/>
        </w:rPr>
        <w:t>区域结构上，按工业和信息化部2026年7月发布的口径，东部、中部、西部与东北地区的智算规模占全国比例分别为55.9%、10.6%、32.6%与0.9%。这一分布显示，尽管「东数西算」推动了西部算力的快速增长（西部占比已达三分之一），但智算资源仍以东部为主——这与推理业务的时延敏感性直接相关：训练任务可以西迁，推理任务却受制于网络时延与数据合规而更倾向于贴近需求地。词元经济的兴起因此并不必然强化「东数西算」的原有分工，反而可能形成「西部训练、东部推理」的新格局，这对枢纽节点的功能定位提出了新要求。</w:t>
      </w:r>
    </w:p>
    <w:p>
      <w:pPr>
        <w:spacing w:line="360" w:lineRule="auto" w:after="0"/>
        <w:ind w:firstLineChars="200" w:firstLine="480"/>
        <w:jc w:val="both"/>
      </w:pPr>
      <w:r>
        <w:rPr>
          <w:rFonts w:ascii="宋体" w:hAnsi="宋体" w:eastAsia="宋体"/>
          <w:sz w:val="24"/>
        </w:rPr>
        <w:t>地方实践中，长三角国家枢纽节点起步区所在的嘉兴市提供了一个可观察的样本。如图4.5所示，其已投运智算规模在不同时点与不同发布口径下由约4.37万PFLOPS升至11.8万PFLOPS，规划建成后的目标值为27.6万PFLOPS；同时该市拥有多个万卡级智算中心，并建有一座峰值算力达每秒18亿亿次的超算中心。</w:t>
      </w:r>
    </w:p>
    <w:p>
      <w:pPr>
        <w:spacing w:before="120" w:after="40"/>
        <w:jc w:val="center"/>
      </w:pPr>
      <w:r>
        <w:drawing>
          <wp:inline xmlns:a="http://schemas.openxmlformats.org/drawingml/2006/main" xmlns:pic="http://schemas.openxmlformats.org/drawingml/2006/picture">
            <wp:extent cx="5040000" cy="2187622"/>
            <wp:docPr id="12" name="Picture 12"/>
            <wp:cNvGraphicFramePr>
              <a:graphicFrameLocks noChangeAspect="1"/>
            </wp:cNvGraphicFramePr>
            <a:graphic>
              <a:graphicData uri="http://schemas.openxmlformats.org/drawingml/2006/picture">
                <pic:pic>
                  <pic:nvPicPr>
                    <pic:cNvPr id="0" name="fig4_5.png"/>
                    <pic:cNvPicPr/>
                  </pic:nvPicPr>
                  <pic:blipFill>
                    <a:blip r:embed="rId20"/>
                    <a:stretch>
                      <a:fillRect/>
                    </a:stretch>
                  </pic:blipFill>
                  <pic:spPr>
                    <a:xfrm>
                      <a:off x="0" y="0"/>
                      <a:ext cx="5040000" cy="2187622"/>
                    </a:xfrm>
                    <a:prstGeom prst="rect"/>
                  </pic:spPr>
                </pic:pic>
              </a:graphicData>
            </a:graphic>
          </wp:inline>
        </w:drawing>
      </w:r>
    </w:p>
    <w:p>
      <w:pPr>
        <w:keepNext w:val="0"/>
        <w:spacing w:after="40"/>
        <w:jc w:val="center"/>
      </w:pPr>
      <w:r>
        <w:rPr>
          <w:rFonts w:ascii="黑体" w:hAnsi="黑体" w:eastAsia="黑体"/>
          <w:sz w:val="21"/>
        </w:rPr>
        <w:t>图4.5  智能算力供给格局与集群布局</w:t>
      </w:r>
    </w:p>
    <w:p>
      <w:pPr>
        <w:spacing w:after="200" w:line="240" w:lineRule="auto"/>
        <w:jc w:val="both"/>
      </w:pPr>
      <w:r>
        <w:rPr>
          <w:rFonts w:ascii="宋体" w:hAnsi="宋体" w:eastAsia="宋体"/>
          <w:sz w:val="18"/>
        </w:rPr>
        <w:t>注：面板（a）为长三角国家枢纽节点起步区所在的嘉兴市已投运智算规模，四条分别对应不同时点与不同发布口径（末条为规划建成后的目标值，非实测）；面板（b）第三项为超算中心峰值算力（FP64 口径），与前两项的智算规模（低精度折算口径）不可相加、不可折算；「占浙江省已投运算力」的分子分母口径随时点而变，公开报道中并存「已投运占60%」「在建加投运占60%以上」「占50%以上」三种表述。数据来源：地方政府网站与主流媒体公开报道（2024—2026年）。</w:t>
      </w:r>
    </w:p>
    <w:p>
      <w:pPr>
        <w:spacing w:line="360" w:lineRule="auto" w:after="0"/>
        <w:ind w:firstLineChars="200" w:firstLine="480"/>
        <w:jc w:val="both"/>
      </w:pPr>
      <w:r>
        <w:rPr>
          <w:rFonts w:ascii="宋体" w:hAnsi="宋体" w:eastAsia="宋体"/>
          <w:sz w:val="24"/>
        </w:rPr>
        <w:t>图4.5的读法需要格外小心，它本身就是口径混乱的一个缩影。面板（a）的四个条形并非同一序列的四个时点：它们来自不同发布主体、不同统计范围的报道，末条更是规划目标而非实测值，因此不能据以计算增长率。面板（b）的第二张卡片同样如此——「占浙江省已投运算力约六成」这一广为流传的表述，在公开报道中至少存在三种分子分母组合，且省级分母本身在快速扩张，跨年引用会制造「占比越建越低」的假象。第三张卡片的超算峰值算力以FP64为基准，与智算规模的低精度折算口径相差一个数量级以上，把二者相加是产业报道中最常见的错误。本书呈现这一图形，用意不在于给出嘉兴算力的精确画像，而在于示范一种阅读方式：在计量制度建立之前，任何区域算力数字都必须与其口径同时呈现。</w:t>
      </w:r>
    </w:p>
    <w:p>
      <w:pPr>
        <w:keepNext/>
        <w:spacing w:before="160" w:after="120" w:line="360" w:lineRule="auto"/>
        <w:outlineLvl w:val="2"/>
      </w:pPr>
      <w:r>
        <w:rPr>
          <w:rFonts w:ascii="黑体" w:hAnsi="黑体" w:eastAsia="黑体"/>
          <w:sz w:val="24"/>
        </w:rPr>
        <w:t>4.5.3  供给与需求的量级核算</w:t>
      </w:r>
    </w:p>
    <w:p>
      <w:pPr>
        <w:spacing w:line="360" w:lineRule="auto" w:after="0"/>
        <w:ind w:firstLineChars="200" w:firstLine="480"/>
        <w:jc w:val="both"/>
      </w:pPr>
      <w:r>
        <w:rPr>
          <w:rFonts w:ascii="宋体" w:hAnsi="宋体" w:eastAsia="宋体"/>
          <w:sz w:val="24"/>
        </w:rPr>
        <w:t>算力与词元之间存在一个恒等关系：一定时期内产出的标准词元流量，等于算力存量、有效利用率与单位算力转化效率之积。据此可把词元调用量的增长分解为三个来源，见式(4-3)。</w:t>
      </w:r>
    </w:p>
    <w:p>
      <w:pPr>
        <w:tabs>
          <w:tab w:pos="4252" w:val="center"/>
          <w:tab w:pos="8504" w:val="right"/>
        </w:tabs>
        <w:spacing w:line="360" w:lineRule="auto" w:before="80" w:after="80"/>
      </w:pPr>
      <w:r>
        <w:tab/>
      </w:r>
      <m:oMath>
        <m:sSub>
          <m:e>
            <m:acc>
              <m:accPr>
                <m:chr m:val="̃"/>
              </m:accPr>
              <m:e>
                <m:r>
                  <m:t>T</m:t>
                </m:r>
              </m:e>
            </m:acc>
          </m:e>
          <m:sub>
            <m:r>
              <m:t>t</m:t>
            </m:r>
          </m:sub>
        </m:sSub>
        <m:r>
          <m:rPr>
            <m:sty m:val="p"/>
          </m:rPr>
          <m:t>=</m:t>
        </m:r>
        <m:sSub>
          <m:e>
            <m:r>
              <m:t>θ</m:t>
            </m:r>
          </m:e>
          <m:sub>
            <m:r>
              <m:t>t</m:t>
            </m:r>
          </m:sub>
        </m:sSub>
        <m:r>
          <m:t> </m:t>
        </m:r>
        <m:sSub>
          <m:e>
            <m:r>
              <m:t>u</m:t>
            </m:r>
          </m:e>
          <m:sub>
            <m:r>
              <m:t>t</m:t>
            </m:r>
          </m:sub>
        </m:sSub>
        <m:r>
          <m:t> </m:t>
        </m:r>
        <m:sSub>
          <m:e>
            <m:r>
              <m:t>C</m:t>
            </m:r>
          </m:e>
          <m:sub>
            <m:r>
              <m:t>t</m:t>
            </m:r>
          </m:sub>
        </m:sSub>
        <m:r>
          <m:t> </m:t>
        </m:r>
        <m:r>
          <m:t>Δ</m:t>
        </m:r>
        <m:r>
          <m:t>t</m:t>
        </m:r>
        <m:r>
          <m:rPr>
            <m:sty m:val="p"/>
          </m:rPr>
          <m:t>,</m:t>
        </m:r>
        <m:r>
          <m:t>  </m:t>
        </m:r>
        <m:sSub>
          <m:e>
            <m:r>
              <m:t>g</m:t>
            </m:r>
          </m:e>
          <m:sub>
            <m:acc>
              <m:accPr>
                <m:chr m:val="̃"/>
              </m:accPr>
              <m:e>
                <m:r>
                  <m:t>T</m:t>
                </m:r>
              </m:e>
            </m:acc>
          </m:sub>
        </m:sSub>
        <m:r>
          <m:rPr>
            <m:sty m:val="p"/>
          </m:rPr>
          <m:t>=</m:t>
        </m:r>
        <m:sSub>
          <m:e>
            <m:r>
              <m:t>g</m:t>
            </m:r>
          </m:e>
          <m:sub>
            <m:r>
              <m:t>θ</m:t>
            </m:r>
          </m:sub>
        </m:sSub>
        <m:r>
          <m:rPr>
            <m:sty m:val="p"/>
          </m:rPr>
          <m:t>+</m:t>
        </m:r>
        <m:sSub>
          <m:e>
            <m:r>
              <m:t>g</m:t>
            </m:r>
          </m:e>
          <m:sub>
            <m:r>
              <m:t>u</m:t>
            </m:r>
          </m:sub>
        </m:sSub>
        <m:r>
          <m:rPr>
            <m:sty m:val="p"/>
          </m:rPr>
          <m:t>+</m:t>
        </m:r>
        <m:sSub>
          <m:e>
            <m:r>
              <m:t>g</m:t>
            </m:r>
          </m:e>
          <m:sub>
            <m:r>
              <m:t>C</m:t>
            </m:r>
          </m:sub>
        </m:sSub>
        <m:r>
          <m:rPr>
            <m:sty m:val="p"/>
          </m:rPr>
          <m:t>,</m:t>
        </m:r>
        <m:r>
          <m:t>  </m:t>
        </m:r>
        <m:sSub>
          <m:e>
            <m:r>
              <m:t>g</m:t>
            </m:r>
          </m:e>
          <m:sub>
            <m:r>
              <m:t>T</m:t>
            </m:r>
          </m:sub>
        </m:sSub>
        <m:r>
          <m:rPr>
            <m:sty m:val="p"/>
          </m:rPr>
          <m:t>=</m:t>
        </m:r>
        <m:sSub>
          <m:e>
            <m:r>
              <m:t>g</m:t>
            </m:r>
          </m:e>
          <m:sub>
            <m:acc>
              <m:accPr>
                <m:chr m:val="̃"/>
              </m:accPr>
              <m:e>
                <m:r>
                  <m:t>T</m:t>
                </m:r>
              </m:e>
            </m:acc>
          </m:sub>
        </m:sSub>
        <m:r>
          <m:rPr>
            <m:sty m:val="p"/>
          </m:rPr>
          <m:t>−</m:t>
        </m:r>
        <m:sSub>
          <m:e>
            <m:r>
              <m:t>g</m:t>
            </m:r>
          </m:e>
          <m:sub>
            <m:acc>
              <m:accPr>
                <m:chr m:val="‾"/>
              </m:accPr>
              <m:e>
                <m:r>
                  <m:t>η</m:t>
                </m:r>
              </m:e>
            </m:acc>
          </m:sub>
        </m:sSub>
      </m:oMath>
      <w:r>
        <w:tab/>
      </w:r>
      <w:r>
        <w:rPr>
          <w:rFonts w:ascii="Times New Roman" w:hAnsi="Times New Roman" w:eastAsia="宋体"/>
          <w:sz w:val="24"/>
        </w:rPr>
        <w:t>(4-3)</w:t>
      </w:r>
    </w:p>
    <w:p>
      <w:pPr>
        <w:spacing w:line="360" w:lineRule="auto" w:after="0"/>
        <w:jc w:val="both"/>
      </w:pPr>
      <w:r>
        <w:rPr>
          <w:rFonts w:ascii="宋体" w:hAnsi="宋体" w:eastAsia="宋体"/>
          <w:sz w:val="24"/>
        </w:rPr>
        <w:t>其中，</w:t>
      </w:r>
      <m:oMath>
        <m:sSub>
          <m:e>
            <m:acc>
              <m:accPr>
                <m:chr m:val="̃"/>
              </m:accPr>
              <m:e>
                <m:r>
                  <m:t>T</m:t>
                </m:r>
              </m:e>
            </m:acc>
          </m:e>
          <m:sub>
            <m:r>
              <m:t>t</m:t>
            </m:r>
          </m:sub>
        </m:sSub>
      </m:oMath>
      <w:r>
        <w:rPr>
          <w:rFonts w:ascii="宋体" w:hAnsi="宋体" w:eastAsia="宋体"/>
          <w:sz w:val="24"/>
        </w:rPr>
        <w:t>为</w:t>
      </w:r>
      <m:oMath>
        <m:r>
          <m:t>t</m:t>
        </m:r>
      </m:oMath>
      <w:r>
        <w:rPr>
          <w:rFonts w:ascii="宋体" w:hAnsi="宋体" w:eastAsia="宋体"/>
          <w:sz w:val="24"/>
        </w:rPr>
        <w:t>期的标准词元流量，</w:t>
      </w:r>
      <m:oMath>
        <m:sSub>
          <m:e>
            <m:r>
              <m:t>C</m:t>
            </m:r>
          </m:e>
          <m:sub>
            <m:r>
              <m:t>t</m:t>
            </m:r>
          </m:sub>
        </m:sSub>
      </m:oMath>
      <w:r>
        <w:rPr>
          <w:rFonts w:ascii="宋体" w:hAnsi="宋体" w:eastAsia="宋体"/>
          <w:sz w:val="24"/>
        </w:rPr>
        <w:t>为智能算力存量，</w:t>
      </w:r>
      <m:oMath>
        <m:sSub>
          <m:e>
            <m:r>
              <m:t>u</m:t>
            </m:r>
          </m:e>
          <m:sub>
            <m:r>
              <m:t>t</m:t>
            </m:r>
          </m:sub>
        </m:sSub>
      </m:oMath>
      <w:r>
        <w:rPr>
          <w:rFonts w:ascii="宋体" w:hAnsi="宋体" w:eastAsia="宋体"/>
          <w:sz w:val="24"/>
        </w:rPr>
        <w:t>为有效利用率，</w:t>
      </w:r>
      <m:oMath>
        <m:sSub>
          <m:e>
            <m:r>
              <m:t>θ</m:t>
            </m:r>
          </m:e>
          <m:sub>
            <m:r>
              <m:t>t</m:t>
            </m:r>
          </m:sub>
        </m:sSub>
      </m:oMath>
      <w:r>
        <w:rPr>
          <w:rFonts w:ascii="宋体" w:hAnsi="宋体" w:eastAsia="宋体"/>
          <w:sz w:val="24"/>
        </w:rPr>
        <w:t>为单位算力的标准词元转化效率，</w:t>
      </w:r>
      <m:oMath>
        <m:r>
          <m:t>Δ</m:t>
        </m:r>
        <m:r>
          <m:t>t</m:t>
        </m:r>
      </m:oMath>
      <w:r>
        <w:rPr>
          <w:rFonts w:ascii="宋体" w:hAnsi="宋体" w:eastAsia="宋体"/>
          <w:sz w:val="24"/>
        </w:rPr>
        <w:t>为时长；</w:t>
      </w:r>
      <m:oMath>
        <m:sSub>
          <m:e>
            <m:r>
              <m:t>g</m:t>
            </m:r>
          </m:e>
          <m:sub>
            <m:r>
              <m:t>x</m:t>
            </m:r>
          </m:sub>
        </m:sSub>
        <m:r>
          <m:rPr>
            <m:sty m:val="p"/>
          </m:rPr>
          <m:t>=</m:t>
        </m:r>
        <m:r>
          <m:rPr>
            <m:sty m:val="p"/>
          </m:rPr>
          <m:t>d</m:t>
        </m:r>
        <m:r>
          <m:rPr>
            <m:sty m:val="p"/>
          </m:rPr>
          <m:t>ln</m:t>
        </m:r>
        <m:r>
          <m:t>x</m:t>
        </m:r>
        <m:r>
          <m:rPr>
            <m:sty m:val="p"/>
          </m:rPr>
          <m:t>/</m:t>
        </m:r>
        <m:r>
          <m:rPr>
            <m:sty m:val="p"/>
          </m:rPr>
          <m:t>d</m:t>
        </m:r>
        <m:r>
          <m:t>t</m:t>
        </m:r>
      </m:oMath>
      <w:r>
        <w:rPr>
          <w:rFonts w:ascii="宋体" w:hAnsi="宋体" w:eastAsia="宋体"/>
          <w:sz w:val="24"/>
        </w:rPr>
        <w:t>表示对应变量的对数增长率，</w:t>
      </w:r>
      <m:oMath>
        <m:acc>
          <m:accPr>
            <m:chr m:val="‾"/>
          </m:accPr>
          <m:e>
            <m:r>
              <m:t>η</m:t>
            </m:r>
          </m:e>
        </m:acc>
      </m:oMath>
      <w:r>
        <w:rPr>
          <w:rFonts w:ascii="宋体" w:hAnsi="宋体" w:eastAsia="宋体"/>
          <w:sz w:val="24"/>
        </w:rPr>
        <w:t>为用量加权的平均效值系数（其定义见式(3-8)）。</w:t>
      </w:r>
    </w:p>
    <w:p>
      <w:pPr>
        <w:spacing w:line="360" w:lineRule="auto" w:after="0"/>
        <w:ind w:firstLineChars="200" w:firstLine="480"/>
        <w:jc w:val="both"/>
      </w:pPr>
      <w:r>
        <w:rPr>
          <w:rFonts w:ascii="宋体" w:hAnsi="宋体" w:eastAsia="宋体"/>
          <w:sz w:val="24"/>
        </w:rPr>
        <w:t>式(4-3)的第二式表明，标准词元流量的增长必然分解为算力存量增长、利用率提升与转化效率改进三项之和；第三式则表明，物理口径的增长率与标准口径的增长率之差，恰等于平均效值系数的增长率。把公开数据代入可作量级核算：按工业和信息化部口径，2026年6月底智能算力规模2185 EFLOPS、同比增长177%，对应年化对数增速</w:t>
      </w:r>
      <m:oMath>
        <m:sSub>
          <m:e>
            <m:r>
              <m:t>g</m:t>
            </m:r>
          </m:e>
          <m:sub>
            <m:r>
              <m:t>C</m:t>
            </m:r>
          </m:sub>
        </m:sSub>
      </m:oMath>
      <w:r>
        <w:rPr>
          <w:rFonts w:ascii="宋体" w:hAnsi="宋体" w:eastAsia="宋体"/>
          <w:sz w:val="24"/>
        </w:rPr>
        <w:t>＝1.02（上年同期约789 EFLOPS）；按国家数据局口径，日均调用量由2025年6月底的30万亿枚升至2026年3月的140万亿枚，年化对数增速</w:t>
      </w:r>
      <m:oMath>
        <m:sSub>
          <m:e>
            <m:r>
              <m:t>g</m:t>
            </m:r>
          </m:e>
          <m:sub>
            <m:r>
              <m:t>T</m:t>
            </m:r>
          </m:sub>
        </m:sSub>
      </m:oMath>
      <w:r>
        <w:rPr>
          <w:rFonts w:ascii="宋体" w:hAnsi="宋体" w:eastAsia="宋体"/>
          <w:sz w:val="24"/>
        </w:rPr>
        <w:t>＝2.05。二者相减，残差</w:t>
      </w:r>
      <m:oMath>
        <m:sSub>
          <m:e>
            <m:r>
              <m:t>g</m:t>
            </m:r>
          </m:e>
          <m:sub>
            <m:r>
              <m:t>T</m:t>
            </m:r>
          </m:sub>
        </m:sSub>
        <m:r>
          <m:rPr>
            <m:sty m:val="p"/>
          </m:rPr>
          <m:t>−</m:t>
        </m:r>
        <m:sSub>
          <m:e>
            <m:r>
              <m:t>g</m:t>
            </m:r>
          </m:e>
          <m:sub>
            <m:r>
              <m:t>C</m:t>
            </m:r>
          </m:sub>
        </m:sSub>
      </m:oMath>
      <w:r>
        <w:rPr>
          <w:rFonts w:ascii="宋体" w:hAnsi="宋体" w:eastAsia="宋体"/>
          <w:sz w:val="24"/>
        </w:rPr>
        <w:t>＝1.04，相当于每年约2.8倍。</w:t>
      </w:r>
    </w:p>
    <w:p>
      <w:pPr>
        <w:spacing w:line="360" w:lineRule="auto" w:after="0"/>
        <w:ind w:firstLineChars="200" w:firstLine="480"/>
        <w:jc w:val="both"/>
      </w:pPr>
      <w:r>
        <w:rPr>
          <w:rFonts w:ascii="宋体" w:hAnsi="宋体" w:eastAsia="宋体"/>
          <w:sz w:val="24"/>
        </w:rPr>
        <w:t>这一残差绝不能被直接读作「转化效率提升了2.8倍」。它至少包含四类因素：一是转化效率</w:t>
      </w:r>
      <m:oMath>
        <m:r>
          <m:t>θ</m:t>
        </m:r>
      </m:oMath>
      <w:r>
        <w:rPr>
          <w:rFonts w:ascii="宋体" w:hAnsi="宋体" w:eastAsia="宋体"/>
          <w:sz w:val="24"/>
        </w:rPr>
        <w:t>的真实改进（推理系统与模型侧的效率进展）；二是有效利用率</w:t>
      </w:r>
      <m:oMath>
        <m:r>
          <m:t>u</m:t>
        </m:r>
      </m:oMath>
      <w:r>
        <w:rPr>
          <w:rFonts w:ascii="宋体" w:hAnsi="宋体" w:eastAsia="宋体"/>
          <w:sz w:val="24"/>
        </w:rPr>
        <w:t>的提高（调度与池化能力的改善）；三是算力用途结构的变化（推理在算力总用途中的占比上升，训练占比相应下降）；四是统计边界的差异与扩大（两个序列的发布主体、精度基准与时间窗均不同，且调用量的统计边界从未公开）。此外，平均效值系数的变化会使物理口径与标准口径的增长率发生系统性背离——按本书校准复算的用量结构，2026年的用量加权平均效值系数</w:t>
      </w:r>
      <m:oMath>
        <m:acc>
          <m:accPr>
            <m:chr m:val="‾"/>
          </m:accPr>
          <m:e>
            <m:r>
              <m:t>η</m:t>
            </m:r>
          </m:e>
        </m:acc>
      </m:oMath>
      <w:r>
        <w:rPr>
          <w:rFonts w:ascii="宋体" w:hAnsi="宋体" w:eastAsia="宋体"/>
          <w:sz w:val="24"/>
        </w:rPr>
        <w:t>＝1.43，据此把140万亿枚物理词元换算为约200万亿枚标准词元，而若结构向低效值档位迁移，则物理口径的增速会系统性高于标准口径。因此，式(4-3)在此的作用不是精确测算，而是明确三点：第一，调用量的增长速度约为算力规模增长速度的两倍，单纯的算力扩建不足以解释词元产出的扩张；第二，效率与结构因素在增长中占有可观份额，是第9章的分析对象；第三，要把这一分解从量级核算推进到精确核算，前提是标准词元口径与配套统计制度的建立。</w:t>
      </w:r>
    </w:p>
    <w:p>
      <w:pPr>
        <w:spacing w:line="360" w:lineRule="auto" w:after="0"/>
        <w:ind w:firstLineChars="200" w:firstLine="480"/>
        <w:jc w:val="both"/>
      </w:pPr>
      <w:r>
        <w:rPr>
          <w:rFonts w:ascii="宋体" w:hAnsi="宋体" w:eastAsia="宋体"/>
          <w:sz w:val="24"/>
        </w:rPr>
        <w:t>算力扩张还受到能源侧的硬约束。国际能源署的评估显示，2024年全球数据中心用电约415太瓦时，约占全球用电的1.5%，基准情景下到2030年将升至约945太瓦时、占比略低于3%，其中美国与中国合计贡献全球增量的近八成（IEA，2025）；对美国数据中心用电的系统核算也显示，人工智能负载正在改变数据中心能耗的长期趋势（Masanet等，2020；Shehabi等，2024），而单次推理的能耗与水耗测算表明，能耗强度在不同任务与模型之间差异巨大（Luccioni等，2024；Li等，2025）。国内方面，算力电力协同已成为独立的研究与政策议题（中国信息通信研究院，2025），但需要指出的是，我国目前尚无由国家部委发布的数据中心用电量正式统计，流传的多套占比数字来源等级不同、彼此矛盾，不可并列引用。能耗与碳足迹的系统分析属第11章，此处仅确认一点：算力扩张的边界不只是投资，还有电力与碳排放，这使得「提高单位算力的词元产出」从效率问题上升为约束问题。</w:t>
      </w:r>
    </w:p>
    <w:p>
      <w:pPr>
        <w:spacing w:line="360" w:lineRule="auto" w:after="0"/>
        <w:ind w:firstLineChars="200" w:firstLine="480"/>
        <w:jc w:val="both"/>
      </w:pPr>
      <w:r>
        <w:rPr>
          <w:rFonts w:ascii="宋体" w:hAnsi="宋体" w:eastAsia="宋体"/>
          <w:sz w:val="24"/>
        </w:rPr>
        <w:t>据此可归纳典型事实五：我国智能算力规模保持年均近八成的高速增长，空间上形成东部为主、西部快速追赶的格局，但算力统计存在至少三套不可通约的口径；同期词元调用量的增长速度约为算力规模增长速度的两倍，其差额来自转化效率、利用率、用途结构与统计边界四类因素，在现有数据条件下无法精确分离。</w:t>
      </w:r>
    </w:p>
    <w:p>
      <w:pPr>
        <w:keepNext/>
        <w:spacing w:before="160" w:after="120" w:line="360" w:lineRule="auto"/>
        <w:outlineLvl w:val="1"/>
      </w:pPr>
      <w:r>
        <w:rPr>
          <w:rFonts w:ascii="黑体" w:hAnsi="黑体" w:eastAsia="黑体"/>
          <w:sz w:val="28"/>
        </w:rPr>
        <w:t>4.6  利用率现状：三个「利用率」与效值损失</w:t>
      </w:r>
    </w:p>
    <w:p>
      <w:pPr>
        <w:spacing w:line="360" w:lineRule="auto" w:after="0"/>
        <w:ind w:firstLineChars="200" w:firstLine="480"/>
        <w:jc w:val="both"/>
      </w:pPr>
      <w:r>
        <w:rPr>
          <w:rFonts w:ascii="宋体" w:hAnsi="宋体" w:eastAsia="宋体"/>
          <w:sz w:val="24"/>
        </w:rPr>
        <w:t>如果算力扩张不足以解释词元产出的增长，那么反过来的问题就是：现有算力被使用得如何？2026年年中，国际数据公司与中国信息通信研究院联合开展的企业调研给出了一组广为引用的分布：近半数（约48%）企业的智算资源利用率处于51%—70%的中等区间，6.7%的企业仅为31%—50%，利用率达到70%以上的高效率企业不足35%，制造与政务行业低于平均水平；同时，头部云厂商、互联网企业、人工智能自研公司与新能源车企的核心集群利用率超过80%。调研同时指出，多数自建智算项目「重硬件、轻软件」，缺乏统一调度平台与资源池化管理，是利用率偏低的主因。</w:t>
      </w:r>
    </w:p>
    <w:p>
      <w:pPr>
        <w:spacing w:line="360" w:lineRule="auto" w:after="0"/>
        <w:ind w:firstLineChars="200" w:firstLine="480"/>
        <w:jc w:val="both"/>
      </w:pPr>
      <w:r>
        <w:rPr>
          <w:rFonts w:ascii="宋体" w:hAnsi="宋体" w:eastAsia="宋体"/>
          <w:sz w:val="24"/>
        </w:rPr>
        <w:t>这组数字的口径必须严格限定。它是企业侧调研的自报值，统计对象为企业自建自用的智算资源，既不是机架上架率，也不是加速卡卡时利用率的实测采样。产业讨论中并存的三个「利用率」实际上是三件事：调研自报的企业智算资源利用率（51%—70%区间）、统计口径的全国算力设施整体上架率（71.4%）、第三方估算的智算中心加速卡利用率（常被引作三成左右）。三者的统计对象、测量方法与分母定义完全不同，不可互证，更不可用来支撑同一个结论。本书在第9章的分析中因此不直接采用任何一个公开利用率数字作为参数，而是以校准复算方式重建一套内部一致的利用率口径。</w:t>
      </w:r>
    </w:p>
    <w:p>
      <w:pPr>
        <w:spacing w:line="360" w:lineRule="auto" w:after="0"/>
        <w:ind w:firstLineChars="200" w:firstLine="480"/>
        <w:jc w:val="both"/>
      </w:pPr>
      <w:r>
        <w:rPr>
          <w:rFonts w:ascii="宋体" w:hAnsi="宋体" w:eastAsia="宋体"/>
          <w:sz w:val="24"/>
        </w:rPr>
        <w:t>更重要的是，即便利用率被准确测量，它也只是「资源被占用的比例」，而不是「资源被有效使用的比例」。一台被百分之百占用的加速卡，如果在生产低效值的词元、或在为错配的任务提供服务，从价值创造的角度看仍是浪费。本书因此提出「有效效值利用率」概念，把名义利用率62%依次扣除空转损失18%、批次损失9%、匹配损失12%与效值损失7%——四项均为相对损失率，逐级相乘（即0.62×(1−0.18)(1−0.09)(1−0.12)(1−0.07)≈0.38）——所得有效效值利用率仅38%；经任务—模型最优匹配的统一调度，这一比例可提升至54%，相对改进约42%，理论上界为61%。其中匹配损失与效值损失两项，恰恰只有在标准词元口径下才可被识别——这是本书把计量问题置于配置问题之前的又一理由。相关机理与证据详见第9章。</w:t>
      </w:r>
    </w:p>
    <w:p>
      <w:pPr>
        <w:spacing w:line="360" w:lineRule="auto" w:after="0"/>
        <w:ind w:firstLineChars="200" w:firstLine="480"/>
        <w:jc w:val="both"/>
      </w:pPr>
      <w:r>
        <w:rPr>
          <w:rFonts w:ascii="宋体" w:hAnsi="宋体" w:eastAsia="宋体"/>
          <w:sz w:val="24"/>
        </w:rPr>
        <w:t>利用率不足的成因在既有研究中已有讨论。对智算中心的实证研究表明，算力部署对企业全要素生产率的提升效应依赖于数据跨域流动等配套条件（许诺等，2025）；对需求侧算力资源配置的研究则指出，算力共享机制与市场培育是提高使用效率的关键（王勇等，2025）；对大规模机器学习服务集群的工作负载分析进一步显示，资源利用的不均衡与任务异质性密切相关（Weng等，2022）。平台在资源配置中的作用也被反复论证：价格机制与数据机制的协同可显著改善配置效率（刘诚和夏杰长，2023），但平台的市场势力同时带来福利与竞争政策上的权衡（顾聪等，2023；吴双和王勇，2024）。这些研究共同指向一个判断：利用率问题的实质是配置问题，而配置的前提是可比的计量。</w:t>
      </w:r>
    </w:p>
    <w:p>
      <w:pPr>
        <w:spacing w:line="360" w:lineRule="auto" w:after="0"/>
        <w:ind w:firstLineChars="200" w:firstLine="480"/>
        <w:jc w:val="both"/>
      </w:pPr>
      <w:r>
        <w:rPr>
          <w:rFonts w:ascii="宋体" w:hAnsi="宋体" w:eastAsia="宋体"/>
          <w:sz w:val="24"/>
        </w:rPr>
        <w:t>据此可归纳典型事实六：我国企业智算资源利用率集中于51%—70%的中等区间，达到70%以上者不足三分之一，而产业中并存的三个「利用率」指标口径互异、不可互证；更根本的是，名义利用率无法反映被占用算力是否用于生产高效值词元，扣除空转、批次、匹配与效值四项损失后的有效效值利用率仅38%。</w:t>
      </w:r>
    </w:p>
    <w:p>
      <w:pPr>
        <w:keepNext/>
        <w:spacing w:before="160" w:after="120" w:line="360" w:lineRule="auto"/>
        <w:outlineLvl w:val="1"/>
      </w:pPr>
      <w:r>
        <w:rPr>
          <w:rFonts w:ascii="黑体" w:hAnsi="黑体" w:eastAsia="黑体"/>
          <w:sz w:val="28"/>
        </w:rPr>
        <w:t>4.7  词元的制度化：运营组织、政策工具与标准供给</w:t>
      </w:r>
    </w:p>
    <w:p>
      <w:pPr>
        <w:keepNext/>
        <w:spacing w:before="160" w:after="120" w:line="360" w:lineRule="auto"/>
        <w:outlineLvl w:val="2"/>
      </w:pPr>
      <w:r>
        <w:rPr>
          <w:rFonts w:ascii="黑体" w:hAnsi="黑体" w:eastAsia="黑体"/>
          <w:sz w:val="24"/>
        </w:rPr>
        <w:t>4.7.1  城市级运营组织的集中涌现</w:t>
      </w:r>
    </w:p>
    <w:p>
      <w:pPr>
        <w:spacing w:line="360" w:lineRule="auto" w:after="0"/>
        <w:ind w:firstLineChars="200" w:firstLine="480"/>
        <w:jc w:val="both"/>
      </w:pPr>
      <w:r>
        <w:rPr>
          <w:rFonts w:ascii="宋体" w:hAnsi="宋体" w:eastAsia="宋体"/>
          <w:sz w:val="24"/>
        </w:rPr>
        <w:t>2026年夏季，词元经济出现了一个此前没有先例的现象：在不到一个月的时间内，多座城市密集设立以词元为对象的运营或交易组织。2026年7月15日，东南词元运营中心在温州启动，由国资控股的专门运营公司承担具体运营，其董事长由温州市数据集团总经理兼任，基础电信运营商及其云平台在建设运营初期提供智算基础设施与平台能力，同日中国移动首个词元工厂在温州揭牌；7月30日，长三角（嘉兴）Token 运营中心启动，嘉兴市城市投资发展集团承担面向市场的统一服务窗口的运营，中国移动嘉兴分公司作为战略合作伙伴投放核心算力；同日，广东词元交易和服务中心在广州南沙揭牌，由广东省与广州市数据管理部门统筹指导、依托广州数据交易所建设；8月11日，江苏省首个词元运营中心在苏州工业园区揭牌，落址国家级数据要素流通枢纽，依托基础电信运营商的云底座与词元运营平台，同日词元出海服务联盟成立、首批15家成员企业加入；亦在8月11日，《上海市软件和信息服务业发展「十五五」规划》印发，提出探索将词元、数据治理、大模型部署及再训练等投入纳入企业技术改造支持方向（「上海市经济和信息化委员会，2026」）。</w:t>
      </w:r>
    </w:p>
    <w:p>
      <w:pPr>
        <w:spacing w:line="360" w:lineRule="auto" w:after="0"/>
        <w:ind w:firstLineChars="200" w:firstLine="480"/>
        <w:jc w:val="both"/>
      </w:pPr>
      <w:r>
        <w:rPr>
          <w:rFonts w:ascii="宋体" w:hAnsi="宋体" w:eastAsia="宋体"/>
          <w:sz w:val="24"/>
        </w:rPr>
        <w:t>这些组织在功能定位上并不相同，必须分类观察。第一类是产能供给侧的「词元工厂」，其指标是日产能与吞吐；第二类是流通服务侧的「词元运营中心」，其指标是接入模型数、服务企业数与统一计量结算能力；第三类是交易组织侧的「词元交易中心」，其指标是场内成交额与交易凭证。三类主体的「全国首个」称号各有限定语，去掉限定语即会相互冲突；「词元交易额」与「词元调用量」更是两个完全不同的计量对象，前者是成交金额，后者是技术调用规模，二者之间不存在换算关系。各地提出的功能清单也是异构的：嘉兴门户提出统一接口入口、统一词元计量、统一费用结算、统一政策抵扣、统一安全审计的「五个统一」，温州提出「六个统一」（增加模型路由），江苏提出模型广场、技能市场、应用超市、补贴专区、安全风控、指标监测「六大类服务」。三套清单的条目数不构成能力强弱的比较，把「六项」读作优于「五项」是典型的口径误用。</w:t>
      </w:r>
    </w:p>
    <w:p>
      <w:pPr>
        <w:spacing w:line="360" w:lineRule="auto" w:after="0"/>
        <w:ind w:firstLineChars="200" w:firstLine="480"/>
        <w:jc w:val="both"/>
      </w:pPr>
      <w:r>
        <w:rPr>
          <w:rFonts w:ascii="宋体" w:hAnsi="宋体" w:eastAsia="宋体"/>
          <w:sz w:val="24"/>
        </w:rPr>
        <w:t>尽管形态各异，这些组织在经济职能上却指向同一件事：降低词元交易的度量费用与协调费用。企业接入单一模型服务商需要分别完成合同、计量、结算、合规与安全审计五道手续，接入N家则需重复N次；统一入口把这些手续一次性完成，其节约的正是新制度经济学意义上的交易费用。统一计量之所以在各地清单中居于核心位置，原因也在于此：计量是结算、抵扣与审计的共同前置——不能计量则不能结算，不能结算则无法抵扣，无法抵扣则财政工具落不了地。这一逻辑链条将在第10章以机制设计与三方演化博弈严格刻画，此处只需指出：城市级运营组织的涌现，本质上是市场对统一计量基础设施缺位的一种自发替代。</w:t>
      </w:r>
    </w:p>
    <w:p>
      <w:pPr>
        <w:spacing w:line="360" w:lineRule="auto" w:after="0"/>
        <w:ind w:firstLineChars="200" w:firstLine="480"/>
        <w:jc w:val="both"/>
      </w:pPr>
      <w:r>
        <w:rPr>
          <w:rFonts w:ascii="宋体" w:hAnsi="宋体" w:eastAsia="宋体"/>
          <w:sz w:val="24"/>
        </w:rPr>
        <w:t>值得注意的还有运营主体的资产逻辑。五地实践在主体类型上恰好构成一组完整的比较样本——基础电信运营商（网络与云底座）、城市投资发展集团（土地、电力、机房与带宽存量资产）、地方数据集团（公共数据与场景组织能力）、数据交易所（交易组织与合规鉴证能力）、地方政府（政策工具与财政资源）。不同禀赋决定了不同的切入方式，也决定了不同的风险：以存量基础设施资产再打包为主的模式，其现金流依赖于词元流量的持续增长；以交易组织为主的模式，其价值依赖于交易凭证被政策与市场认可的程度。第10章将以比较制度分析展开这一议题，第13章将做跨案例比较。</w:t>
      </w:r>
    </w:p>
    <w:p>
      <w:pPr>
        <w:keepNext/>
        <w:spacing w:before="160" w:after="120" w:line="360" w:lineRule="auto"/>
        <w:outlineLvl w:val="2"/>
      </w:pPr>
      <w:r>
        <w:rPr>
          <w:rFonts w:ascii="黑体" w:hAnsi="黑体" w:eastAsia="黑体"/>
          <w:sz w:val="24"/>
        </w:rPr>
        <w:t>4.7.2  政策工具的转向：从「建算力」到「用词元」</w:t>
      </w:r>
    </w:p>
    <w:p>
      <w:pPr>
        <w:spacing w:line="360" w:lineRule="auto" w:after="0"/>
        <w:ind w:firstLineChars="200" w:firstLine="480"/>
        <w:jc w:val="both"/>
      </w:pPr>
      <w:r>
        <w:rPr>
          <w:rFonts w:ascii="宋体" w:hAnsi="宋体" w:eastAsia="宋体"/>
          <w:sz w:val="24"/>
        </w:rPr>
        <w:t>与运营组织同步演进的是财政与产业政策工具。2026年6月，广东印发全国首份省级词元经济专项政策，提出到2027年底基本形成全省统筹、差异化布局、一体化协同的词元经济发展格局；2026年8月初，北京经济技术开发区发布聚焦词元全产业链的系统性支持政策，每年发放亿元级券金；此后北京、四川、海南、江苏、湖北、贵州等地密集布局。在地方工具层面，一个细微但关键的变化是补贴基准的转移：扬州早在2024年5月即在江苏率先推出算力券，对企业在市级算力平台采购智能算力按实际支付额给予30%补贴、单个主体年度最高200万元；2026年7月则推出词元券。算力券与词元券的补贴对象与计量基准并不相同，不可当作同一政策的延续来解读。</w:t>
      </w:r>
    </w:p>
    <w:p>
      <w:pPr>
        <w:spacing w:line="360" w:lineRule="auto" w:after="0"/>
        <w:ind w:firstLineChars="200" w:firstLine="480"/>
        <w:jc w:val="both"/>
      </w:pPr>
      <w:r>
        <w:rPr>
          <w:rFonts w:ascii="宋体" w:hAnsi="宋体" w:eastAsia="宋体"/>
          <w:sz w:val="24"/>
        </w:rPr>
        <w:t>这一转向的经济含义远超工具形式的更替。补贴「建算力」时，财政资金的核定基准是设备投资额，其计量依托的是既有的固定资产投资统计体系；补贴「用词元」时，核定基准变成了词元消耗量，而这一量迄今没有统一的计量标准、没有权威的核验主体、没有可审计的凭证。财政资金的合规性要求与计量制度的缺位由此直接冲突。更严重的是激励扭曲：若按物理词元数量核定补贴，企业将有动机采购单价低、效值也低的词元以最大化「补贴可核定量」，政策目标（推动人工智能深度应用）与政策效果（刺激低效值词元的采购）因此发生背离。这正是本书主张以标准词元作为补贴核定基准的直接理由。国家层面的政策框架已为此预留了接口：数据要素价值释放的行动部署（「国家数据局等，2023」）与「人工智能+」行动的推进要求（国务院，2025），均把可计量、可核验的数据与智能服务作为落地前提，而全国数据资源调查亦已建立起对数据要素生产与流通的年度观测（「国家数据局，2026」）。</w:t>
      </w:r>
    </w:p>
    <w:p>
      <w:pPr>
        <w:keepNext/>
        <w:spacing w:before="160" w:after="120" w:line="360" w:lineRule="auto"/>
        <w:outlineLvl w:val="2"/>
      </w:pPr>
      <w:r>
        <w:rPr>
          <w:rFonts w:ascii="黑体" w:hAnsi="黑体" w:eastAsia="黑体"/>
          <w:sz w:val="24"/>
        </w:rPr>
        <w:t>4.7.3  标准供给的现状与国家标准的缺位</w:t>
      </w:r>
    </w:p>
    <w:p>
      <w:pPr>
        <w:spacing w:line="360" w:lineRule="auto" w:after="0"/>
        <w:ind w:firstLineChars="200" w:firstLine="480"/>
        <w:jc w:val="both"/>
      </w:pPr>
      <w:r>
        <w:rPr>
          <w:rFonts w:ascii="宋体" w:hAnsi="宋体" w:eastAsia="宋体"/>
          <w:sz w:val="24"/>
        </w:rPr>
        <w:t>制度化的第三条线索是标准。截至2026年8月，词元领域的标准供给呈现「团体标准与机构评估先行、国家标准与行业标准缺位」的格局。已发布的成果包括：归口于中国人工智能产业发展联盟的团体标准《人工智能词元（Token）运营管理能力要求》（技术规范编号 AIIA/T 0308—2026，2026年8月发布），旨在建立统一的词元运营管理平台能力规范；中国信息通信研究院的《人工智能 Token 服务质量能力要求》及据此开展的可信 AI-Token 服务质量评估，覆盖模型服务能力、Token 服务性能、Token 服务可信、Token 服务运维、Token 服务用户体验、Token 计量计费六个维度；同院于2026年6月16日发布的高质量 Token 服务标准体系，涵盖服务质量、运营能力、生产能力、安全能力四个维度；中国工业互联网研究院《Token 驱动智能经济研究报告（2026年）》构建的生产成本、生产效率、准确性、生态价值、安全五维价值度量体系；以及清华大学翟季冬团队联合企业于2026年5月发布的开源模型 Token 服务性能榜，采用首词元时延（P90分位）、输出吞吐与缓存命中率三项实测指标。四套工作各有明确主体、维度与用途，维度名称不可合并、平均或交叉引用。</w:t>
      </w:r>
    </w:p>
    <w:p>
      <w:pPr>
        <w:spacing w:line="360" w:lineRule="auto" w:after="0"/>
        <w:ind w:firstLineChars="200" w:firstLine="480"/>
        <w:jc w:val="both"/>
      </w:pPr>
      <w:r>
        <w:rPr>
          <w:rFonts w:ascii="宋体" w:hAnsi="宋体" w:eastAsia="宋体"/>
          <w:sz w:val="24"/>
        </w:rPr>
        <w:t>产业侧还出现了以基线为抓手的推进机制。中国信息通信研究院于2026年6月启动词元服务能力攀登计划，首批联合十家企业达成的企业级通用场景词元服务性能基线为吞吐不低于每秒55枚词元、首词元时延不高于0.9秒、调用成功率99.9%；同月，由该院牵头、联合二十余家单位筹备成立词元服务工作组。需要提醒的是，攀登基线是首批参与企业达成的能力水平，既不是行业平均值，也不是强制门槛，媒体常误写为「行业标准要求」；此外，不同评测中的首词元时延指标所取分位数不同，两个数值接近的时延指标未必可比。</w:t>
      </w:r>
    </w:p>
    <w:p>
      <w:pPr>
        <w:spacing w:line="360" w:lineRule="auto" w:after="0"/>
        <w:ind w:firstLineChars="200" w:firstLine="480"/>
        <w:jc w:val="both"/>
      </w:pPr>
      <w:r>
        <w:rPr>
          <w:rFonts w:ascii="宋体" w:hAnsi="宋体" w:eastAsia="宋体"/>
          <w:sz w:val="24"/>
        </w:rPr>
        <w:t>把上述成果放在标准效力的层级上观察，结论是清晰的：目前词元领域只有团体标准与机构评估规范，尚无国家标准或行业标准。团体标准由社会团体制定，其效力层级低于行业标准与国家标准；机构评估是符合性评估活动，其依据文件才是标准，通过评估的企业名单不构成标准清单；「Token 计量计费」目前只是评估体系中的一个维度，而非独立的计量标准文本。在国家标准层面，词元相关工作归口于全国信息技术标准化技术委员会及其人工智能分技术委员会，已有术语与大模型系列国家标准计划，但尚未检索到以词元计量或词元计费为标题的国家标准或行业标准计划。碳足迹方面同样存在空白：截至2026年8月，尚未见面向词元的专项碳足迹核算标准发布或立项公开，相关工作目前挂靠在产品碳足迹管理体系（国家市场监督管理总局和国家标准化管理委员会，2024；生态环境部等，2024）与算力中心能效核算之下，而设施级的核算边界与服务级的功能单位之间并不能相互折算。</w:t>
      </w:r>
    </w:p>
    <w:p>
      <w:pPr>
        <w:spacing w:line="360" w:lineRule="auto" w:after="0"/>
        <w:ind w:firstLineChars="200" w:firstLine="480"/>
        <w:jc w:val="both"/>
      </w:pPr>
      <w:r>
        <w:rPr>
          <w:rFonts w:ascii="宋体" w:hAnsi="宋体" w:eastAsia="宋体"/>
          <w:sz w:val="24"/>
        </w:rPr>
        <w:t>标准缺位的经济后果可以用信息经济学的经典结论概括。当质量不可观测而价格可观测时，市场会向低质量方向逆向选择（Akerlof，1970）；解决之道是引入可信的质量披露与第三方认证机制，使质量信息在交易前即可被验证（Dranove和Jin，2010）。词元市场当前正处于这一困境：买方无法在事前核验所购词元的效值，只能依据单价决策，其结果是价格竞争压倒质量竞争。已有的六维、四维、五维评价与三项实测指标，正是产业界对这一困境的回应，它们确立了「词元有质量差异」的行业共识，其贡献不容低估。但它们的共同限度在于停留于多维评价：并列的维度得分可以回答「谁家的词元服务更好」，却无法回答「一枚甲档位的词元等于几枚乙档位的词元」。而后一个问题才是价格指数编制、财政补贴核定、增加值核算与跨境互认所必需的。本书需要再次声明：本书使用的算力强度、推理质量与场景效用三维折算体系是作者自主构建的理论框架，与上述任何机构的评价体系均无对应关系，也不得被指称为任何机构的既有成果。绿色金融统计标准的国际比较经验表明，统计标准的国际互认往往滞后于市场实践并成为跨境流通的实际瓶颈（陈丹丹等，2025），词元领域应当尽早避免重蹈这一路径。</w:t>
      </w:r>
    </w:p>
    <w:p>
      <w:pPr>
        <w:spacing w:line="360" w:lineRule="auto" w:after="0"/>
        <w:ind w:firstLineChars="200" w:firstLine="480"/>
        <w:jc w:val="both"/>
      </w:pPr>
      <w:r>
        <w:rPr>
          <w:rFonts w:ascii="宋体" w:hAnsi="宋体" w:eastAsia="宋体"/>
          <w:sz w:val="24"/>
        </w:rPr>
        <w:t>据此可归纳典型事实七：词元的制度化在2026年进入密集期，城市级运营与交易组织、省级与开发区级专项政策、团体标准与机构评估同时涌现，补贴基准由「建算力」转向「用词元」；但支撑这一切的国家层面计量标准仍然缺位——目前只有团体标准与评估规范，没有国家标准或行业标准，也没有面向词元的碳足迹核算标准。制度供给的「上层活跃、地基空缺」，是词元经济当前最具风险的结构特征。</w:t>
      </w:r>
    </w:p>
    <w:p>
      <w:pPr>
        <w:keepNext/>
        <w:spacing w:before="160" w:after="120" w:line="360" w:lineRule="auto"/>
        <w:outlineLvl w:val="1"/>
      </w:pPr>
      <w:r>
        <w:rPr>
          <w:rFonts w:ascii="黑体" w:hAnsi="黑体" w:eastAsia="黑体"/>
          <w:sz w:val="28"/>
        </w:rPr>
        <w:t>4.8  本章小结</w:t>
      </w:r>
    </w:p>
    <w:p>
      <w:pPr>
        <w:spacing w:line="360" w:lineRule="auto" w:after="0"/>
        <w:ind w:firstLineChars="200" w:firstLine="480"/>
        <w:jc w:val="both"/>
      </w:pPr>
      <w:r>
        <w:rPr>
          <w:rFonts w:ascii="宋体" w:hAnsi="宋体" w:eastAsia="宋体"/>
          <w:sz w:val="24"/>
        </w:rPr>
        <w:t>本章以口径纪律为前提，沿需求、供给、场景、价格、算力、效率与制度七条线索刻画了词元经济的发展格局，并提炼出七条典型事实。在需求侧，我国日均词元调用量两年间增长约1400倍，年化对数增长率3.62、倍增周期约70天，增长虽在减速却仍维持数量级级别的扩张；然而这一指标迄今只有四个官方锚点，没有固定频率、固定口径与固定主体的统计制度，国际上亦无可比口径。在供给侧，模型服务市场的集中度由0.34降至0.21，开放权重路线快速扩张，竞争焦点由模型能力转向词元产能，「词元工厂」作为新型产能形态出现，标志着算力的价值实现方式由「租算力」转向「卖词元」；但可用于刻画份额的高频数据仅来自第三方路由平台，其覆盖面不足全国总量的一个量级。</w:t>
      </w:r>
    </w:p>
    <w:p>
      <w:pPr>
        <w:spacing w:line="360" w:lineRule="auto" w:after="0"/>
        <w:ind w:firstLineChars="200" w:firstLine="480"/>
        <w:jc w:val="both"/>
      </w:pPr>
      <w:r>
        <w:rPr>
          <w:rFonts w:ascii="宋体" w:hAnsi="宋体" w:eastAsia="宋体"/>
          <w:sz w:val="24"/>
        </w:rPr>
        <w:t>在场景结构上，用量与应用数量的偏离指数达0.62，智能体与编程类应用以19%的应用数量消耗了81.2%的词元，集中倍率4.3倍；用量集中的方向与场景价值密度的高低方向一致，说明市场已在自发地把词元配置到替代价值最高的用途，但这一配置是在缺乏统一效值尺度的条件下完成的。在价格上，物理词元的表观单价两年半内累计下降79%、年均下降约50%，而同一时点上不同档位的单价相差35倍，折算为标准词元后收敛至3.1倍；价格观测并存至少四套互不相通的口径，缓存状态、时段、语言与上下文长度均已成为价格结构的组成部分，峰谷分时定价的出现更表明词元价格已开始承载算力的时段稀缺信息。表观降幅因此不能被直接解读为真实降价，其分解留待第7章完成。</w:t>
      </w:r>
    </w:p>
    <w:p>
      <w:pPr>
        <w:spacing w:line="360" w:lineRule="auto" w:after="0"/>
        <w:ind w:firstLineChars="200" w:firstLine="480"/>
        <w:jc w:val="both"/>
      </w:pPr>
      <w:r>
        <w:rPr>
          <w:rFonts w:ascii="宋体" w:hAnsi="宋体" w:eastAsia="宋体"/>
          <w:sz w:val="24"/>
        </w:rPr>
        <w:t>在算力与效率上，我国智能算力规模保持年均近八成的高速增长，形成东部为主、西部快速追赶的空间格局，但至少存在三套精度基准、统计对象与时点均不同的算力口径；以式(4-3)的供给侧恒等式作量级核算可知，同期词元调用量的年化增速约为算力规模增速的两倍，残差年化约1.04，其中混合了转化效率改进、利用率提升、算力用途结构变化与统计边界差异四类因素，在现有数据条件下无法精确分离。企业智算资源利用率集中于51%—70%的中等区间，达到70%以上者不足三分之一；而名义利用率并不能反映被占用的算力是否用于生产高效值词元——扣除空转18%、批次9%、匹配12%与效值7%四项相对损失后，有效效值利用率仅38%。在制度上，2026年成为词元制度化的密集期，城市级运营与交易组织、省级与开发区级专项政策、团体标准与机构评估同时涌现，补贴基准由「建算力」转向「用词元」，但国家层面的计量标准仍然缺位。</w:t>
      </w:r>
    </w:p>
    <w:p>
      <w:pPr>
        <w:spacing w:line="360" w:lineRule="auto" w:after="0"/>
        <w:ind w:firstLineChars="200" w:firstLine="480"/>
        <w:jc w:val="both"/>
      </w:pPr>
      <w:r>
        <w:rPr>
          <w:rFonts w:ascii="宋体" w:hAnsi="宋体" w:eastAsia="宋体"/>
          <w:sz w:val="24"/>
        </w:rPr>
        <w:t>把七条典型事实合起来看，可以清晰地读出一条贯穿全章的主线：词元经济在规模、供给、应用与制度四个层面均已高速扩张，唯独在计量层面仍近乎空白。需求侧只有四个锚点，供给侧只有平台探针，价格侧有四套口径，算力侧有三套口径，利用率有三种含义，标准侧只有团体规范。规模的爆发与计量的稀薄之间的落差，不是统计工作的技术性滞后，而是本书核心命题的现实投影：物理词元不是合格的价值单位，因而以物理词元为基础的一切统计、定价与政策工具都难以自洽。补贴基准从设备投资额转向词元消耗量这一转变，把这一矛盾推到了公共财政的门口——当财政资金必须按词元核定时，「一枚词元值多少」就不再是学术问题，而是合规问题。</w:t>
      </w:r>
    </w:p>
    <w:p>
      <w:pPr>
        <w:spacing w:line="360" w:lineRule="auto" w:after="0"/>
        <w:ind w:firstLineChars="200" w:firstLine="480"/>
        <w:jc w:val="both"/>
      </w:pPr>
      <w:r>
        <w:rPr>
          <w:rFonts w:ascii="宋体" w:hAnsi="宋体" w:eastAsia="宋体"/>
          <w:sz w:val="24"/>
        </w:rPr>
        <w:t>本章的事实也为后续各章提供了具体的经验约束与检验基准。第5章的效值折算体系必须能够解释本章观察到的档位间价格倍差与场景价值密度差异，其标定所依托的用量结构即来自本章刻画的场景分布；第6章的价值创造与实现分析将以本章的场景结构为出发点；第7章的三层定价结构与价格指数编制，直接以本章4.4节的表观价格事实与口径分裂为待解释对象；第8章的市场结构分析将从本章的集中度演化与多归属特征切入；第9章的转化效率与配置优化，其问题正是本章4.5、4.6两节留下的残差与损失；第10章的城市词元运营中心机制设计，其经验素材来自本章4.7节的组织涌现；第12章的增长核算则需要本章确认的调用量序列作为过程观测变量。至此，本书的问题（第1章）、理论基础（第2章）、属性分析（第3章）与经验格局（第4章）已全部就位，下一章将转入全书的理论核心：构建标准词元的效值折算体系，回答「异质词元如何折算为可比、可加的标准计量单位」这一贯穿全书的根本问题。</w:t>
      </w:r>
    </w:p>
    <w:p>
      <w:r>
        <w:br w:type="page"/>
      </w:r>
    </w:p>
    <w:p>
      <w:pPr>
        <w:keepNext/>
        <w:spacing w:before="240" w:after="160" w:line="360" w:lineRule="auto"/>
        <w:jc w:val="center"/>
        <w:outlineLvl w:val="0"/>
      </w:pPr>
      <w:r>
        <w:rPr>
          <w:rFonts w:ascii="黑体" w:hAnsi="黑体" w:eastAsia="黑体"/>
          <w:b/>
          <w:sz w:val="30"/>
        </w:rPr>
        <w:t>第5章  标准词元：效值折算体系的构建</w:t>
      </w:r>
    </w:p>
    <w:p>
      <w:pPr>
        <w:spacing w:line="360" w:lineRule="auto" w:after="0"/>
        <w:ind w:firstLineChars="200" w:firstLine="480"/>
        <w:jc w:val="both"/>
      </w:pPr>
      <w:r>
        <w:rPr>
          <w:rFonts w:ascii="宋体" w:hAnsi="宋体" w:eastAsia="宋体"/>
          <w:sz w:val="24"/>
        </w:rPr>
        <w:t>第3章以效值三维的经验离散、单价与效值的系统性对应以及加总偏误的形式化，证明了本书的核心前提：物理词元不可加，因而不能承担价值单位的职能。第4章进一步表明，这一计量缺陷并非学理上的洁癖，而是正在造成现实代价——按国家数据局口径，我国日均词元调用量已由2024年初的1000亿枚增至2025年6月底的30万亿枚、2025年底的100万亿枚，2026年3月突破140万亿枚，两年增长约1400倍；与此同时，城市级词元运营组织密集设立、财政工具由「建算力」转向「用词元」，而支撑这一切的计量地基却仍是一个不可加的物理计数。第2章2.3节已经把标准煤、标准箱与二氧化碳当量的当量折算传统抽象为「一个基准、一条刻度」的一般形式，并指出词元折算相对于这一传统的根本特殊性在于刻度函数无法由单一物理量担任。本章的任务，就是把那里给出的预览兑现为完整的理论构造：建立标准词元的效值折算体系。</w:t>
      </w:r>
    </w:p>
    <w:p>
      <w:pPr>
        <w:spacing w:line="360" w:lineRule="auto" w:after="0"/>
        <w:ind w:firstLineChars="200" w:firstLine="480"/>
        <w:jc w:val="both"/>
      </w:pPr>
      <w:r>
        <w:rPr>
          <w:rFonts w:ascii="宋体" w:hAnsi="宋体" w:eastAsia="宋体"/>
          <w:sz w:val="24"/>
        </w:rPr>
        <w:t>有两点立场需要在开篇即予澄清，因为它们决定了本章全部论证的性质。</w:t>
      </w:r>
      <w:r>
        <w:rPr>
          <w:rFonts w:ascii="宋体" w:hAnsi="宋体" w:eastAsia="宋体"/>
          <w:b/>
          <w:sz w:val="24"/>
        </w:rPr>
        <w:t>第一，本书的三维效值折算体系是作者自主构建的理论框架</w:t>
      </w:r>
      <w:r>
        <w:rPr>
          <w:rFonts w:ascii="宋体" w:hAnsi="宋体" w:eastAsia="宋体"/>
          <w:sz w:val="24"/>
        </w:rPr>
        <w:t>，既不源自也不对应任何机构已发布的评价体系；本书在与既有工作对话时逐一注明主体与维度数，正是为了避免把作者的构造误植于他人名下，或把他人的维度名称混入本书的折算函数。</w:t>
      </w:r>
      <w:r>
        <w:rPr>
          <w:rFonts w:ascii="宋体" w:hAnsi="宋体" w:eastAsia="宋体"/>
          <w:b/>
          <w:sz w:val="24"/>
        </w:rPr>
        <w:t>第二，本书相对既有工作的理论增量是从多维评价推进到当量折算</w:t>
      </w:r>
      <w:r>
        <w:rPr>
          <w:rFonts w:ascii="宋体" w:hAnsi="宋体" w:eastAsia="宋体"/>
          <w:sz w:val="24"/>
        </w:rPr>
        <w:t>。如第3章3.4.5节所检视，截至2026年8月与词元度量直接相关的成体系工作有四套：中国信息通信研究院《人工智能 Token 服务质量能力要求》及据以开展的可信 AI-Token 服务质量评估（六个维度，用于服务质量的符合性评估）、中国信息通信研究院于2026年6月16日发布的高质量 Token 服务标准体系（四个维度，用于标准框架搭建）、中国工业互联网研究院《Token 驱动智能经济研究报告（2026年）》构建的价值度量体系（五个维度）、清华大学翟季冬团队联合清程极智发布的开源模型 Token 服务性能榜（三项实测指标）。四套工作的共同贡献是把「词元有质量」确立为行业共识并提供了可操作的评价与实测手段；其共同限度则在于，它们产出的是并列的维度得分或达标基线，可以回答「这家服务好不好」，却无法回答「一枚这里的词元等于几枚那里的词元」。而后一个问题才是价格指数编制、补贴核定、跨区统计与增长核算所必须回答的：并列的维度得分既不能相加，也不能被写进任何账户。</w:t>
      </w:r>
    </w:p>
    <w:p>
      <w:pPr>
        <w:spacing w:line="360" w:lineRule="auto" w:after="0"/>
        <w:ind w:firstLineChars="200" w:firstLine="480"/>
        <w:jc w:val="both"/>
      </w:pPr>
      <w:r>
        <w:rPr>
          <w:rFonts w:ascii="宋体" w:hAnsi="宋体" w:eastAsia="宋体"/>
          <w:sz w:val="24"/>
        </w:rPr>
        <w:t>本章安排如下：5.1节把不可比问题形式化，界定折算问题的一般表述，并论证为什么四项经济职能要求的是折算而非评价；5.2节界定算力强度、推理质量与场景效用三个维度，给出各自的测度口径、数据基础与测度纪律；5.3节完成折算函数的公理化——提出基准归一、严格单调、可加性与传递一致四条公理，证明在这组公理下折算函数存在且形式唯一，并以常替代弹性型折算函数为参照说明公理四的识别力；5.4节给出折算系数的估计策略，包括基准档选择、基准任务集与实测效值的构造、权重的约束对数最小二乘标定及四项稳健性检验；5.5节报告六档位模型的效值测算结果，以离散度收敛与传递一致性两项判据检验折算体系的有效性，并考察市场价格是否已内生地为效值定价；5.6节把标准词元与标准煤、标准箱、二氧化碳当量三项成熟当量体系逐维比较，提炼共同结构与关键差异；5.7节为本章小结。</w:t>
      </w:r>
    </w:p>
    <w:p>
      <w:pPr>
        <w:keepNext/>
        <w:spacing w:before="160" w:after="120" w:line="360" w:lineRule="auto"/>
        <w:outlineLvl w:val="1"/>
      </w:pPr>
      <w:r>
        <w:rPr>
          <w:rFonts w:ascii="黑体" w:hAnsi="黑体" w:eastAsia="黑体"/>
          <w:sz w:val="28"/>
        </w:rPr>
        <w:t>5.1  从不可比到可折算：问题的形式化与折算的必要性</w:t>
      </w:r>
    </w:p>
    <w:p>
      <w:pPr>
        <w:keepNext/>
        <w:spacing w:before="160" w:after="120" w:line="360" w:lineRule="auto"/>
        <w:outlineLvl w:val="2"/>
      </w:pPr>
      <w:r>
        <w:rPr>
          <w:rFonts w:ascii="黑体" w:hAnsi="黑体" w:eastAsia="黑体"/>
          <w:sz w:val="24"/>
        </w:rPr>
        <w:t>5.1.1  不可比问题的形式化：价值密度的异质与加总的失效</w:t>
      </w:r>
    </w:p>
    <w:p>
      <w:pPr>
        <w:spacing w:line="360" w:lineRule="auto" w:after="0"/>
        <w:ind w:firstLineChars="200" w:firstLine="480"/>
        <w:jc w:val="both"/>
      </w:pPr>
      <w:r>
        <w:rPr>
          <w:rFonts w:ascii="宋体" w:hAnsi="宋体" w:eastAsia="宋体"/>
          <w:sz w:val="24"/>
        </w:rPr>
        <w:t>不可比问题的实质，是「同名之物具有不同的价值密度」。要把这一直觉转化为可操作的命题，需要先给出词元流的形式化描述。设词元的属性空间为</w:t>
      </w:r>
      <m:oMath>
        <m:r>
          <m:rPr>
            <m:scr m:val="script"/>
            <m:sty m:val="p"/>
          </m:rPr>
          <m:t>X</m:t>
        </m:r>
        <m:r>
          <m:rPr>
            <m:sty m:val="p"/>
          </m:rPr>
          <m:t>⊂</m:t>
        </m:r>
        <m:sSup>
          <m:e>
            <m:d>
              <m:dPr>
                <m:begChr m:val="("/>
                <m:endChr m:val=")"/>
                <m:grow/>
              </m:dPr>
              <m:e>
                <m:r>
                  <m:t>0</m:t>
                </m:r>
                <m:r>
                  <m:rPr>
                    <m:sty m:val="p"/>
                  </m:rPr>
                  <m:t>,</m:t>
                </m:r>
                <m:r>
                  <m:rPr>
                    <m:sty m:val="p"/>
                  </m:rPr>
                  <m:t>+</m:t>
                </m:r>
                <m:r>
                  <m:rPr>
                    <m:sty m:val="p"/>
                  </m:rPr>
                  <m:t>∞</m:t>
                </m:r>
              </m:e>
            </m:d>
          </m:e>
          <m:sup>
            <m:r>
              <m:t>3</m:t>
            </m:r>
          </m:sup>
        </m:sSup>
      </m:oMath>
      <w:r>
        <w:rPr>
          <w:rFonts w:ascii="宋体" w:hAnsi="宋体" w:eastAsia="宋体"/>
          <w:sz w:val="24"/>
        </w:rPr>
        <w:t>，其中的一点</w:t>
      </w:r>
      <m:oMath>
        <m:r>
          <m:t>x</m:t>
        </m:r>
        <m:r>
          <m:rPr>
            <m:sty m:val="p"/>
          </m:rPr>
          <m:t>=</m:t>
        </m:r>
        <m:d>
          <m:dPr>
            <m:begChr m:val="("/>
            <m:endChr m:val=")"/>
            <m:grow/>
          </m:dPr>
          <m:e>
            <m:r>
              <m:t>P</m:t>
            </m:r>
            <m:r>
              <m:rPr>
                <m:sty m:val="p"/>
              </m:rPr>
              <m:t>,</m:t>
            </m:r>
            <m:r>
              <m:t>R</m:t>
            </m:r>
            <m:r>
              <m:rPr>
                <m:sty m:val="p"/>
              </m:rPr>
              <m:t>,</m:t>
            </m:r>
            <m:r>
              <m:t>S</m:t>
            </m:r>
          </m:e>
        </m:d>
      </m:oMath>
      <w:r>
        <w:rPr>
          <w:rFonts w:ascii="宋体" w:hAnsi="宋体" w:eastAsia="宋体"/>
          <w:sz w:val="24"/>
        </w:rPr>
        <w:t>刻画一枚词元在算力强度、推理质量与场景效用三个维度上的位置；某一时期经济体中生成的全部词元构成</w:t>
      </w:r>
      <m:oMath>
        <m:r>
          <m:rPr>
            <m:scr m:val="script"/>
            <m:sty m:val="p"/>
          </m:rPr>
          <m:t>X</m:t>
        </m:r>
      </m:oMath>
      <w:r>
        <w:rPr>
          <w:rFonts w:ascii="宋体" w:hAnsi="宋体" w:eastAsia="宋体"/>
          <w:sz w:val="24"/>
        </w:rPr>
        <w:t>上的一个测度</w:t>
      </w:r>
      <m:oMath>
        <m:r>
          <m:t>μ</m:t>
        </m:r>
      </m:oMath>
      <w:r>
        <w:rPr>
          <w:rFonts w:ascii="宋体" w:hAnsi="宋体" w:eastAsia="宋体"/>
          <w:sz w:val="24"/>
        </w:rPr>
        <w:t>，</w:t>
      </w:r>
      <m:oMath>
        <m:r>
          <m:rPr>
            <m:sty m:val="p"/>
          </m:rPr>
          <m:t>d</m:t>
        </m:r>
        <m:r>
          <m:t>μ</m:t>
        </m:r>
        <m:d>
          <m:dPr>
            <m:begChr m:val="("/>
            <m:endChr m:val=")"/>
            <m:grow/>
          </m:dPr>
          <m:e>
            <m:r>
              <m:t>x</m:t>
            </m:r>
          </m:e>
        </m:d>
      </m:oMath>
      <w:r>
        <w:rPr>
          <w:rFonts w:ascii="宋体" w:hAnsi="宋体" w:eastAsia="宋体"/>
          <w:sz w:val="24"/>
        </w:rPr>
        <w:t>表示属性位于</w:t>
      </w:r>
      <m:oMath>
        <m:r>
          <m:t>x</m:t>
        </m:r>
      </m:oMath>
      <w:r>
        <w:rPr>
          <w:rFonts w:ascii="宋体" w:hAnsi="宋体" w:eastAsia="宋体"/>
          <w:sz w:val="24"/>
        </w:rPr>
        <w:t>邻域内的词元数量。设</w:t>
      </w:r>
      <m:oMath>
        <m:r>
          <m:t>v</m:t>
        </m:r>
        <m:d>
          <m:dPr>
            <m:begChr m:val="("/>
            <m:endChr m:val=")"/>
            <m:grow/>
          </m:dPr>
          <m:e>
            <m:r>
              <m:t>x</m:t>
            </m:r>
          </m:e>
        </m:d>
      </m:oMath>
      <w:r>
        <w:rPr>
          <w:rFonts w:ascii="宋体" w:hAnsi="宋体" w:eastAsia="宋体"/>
          <w:sz w:val="24"/>
        </w:rPr>
        <w:t>为属性</w:t>
      </w:r>
      <m:oMath>
        <m:r>
          <m:t>x</m:t>
        </m:r>
      </m:oMath>
      <w:r>
        <w:rPr>
          <w:rFonts w:ascii="宋体" w:hAnsi="宋体" w:eastAsia="宋体"/>
          <w:sz w:val="24"/>
        </w:rPr>
        <w:t>的词元所承载的单位价值（价值密度），则物理词元总量与价值总量分别为：</w:t>
      </w:r>
    </w:p>
    <w:p>
      <w:pPr>
        <w:tabs>
          <w:tab w:pos="4252" w:val="center"/>
          <w:tab w:pos="8504" w:val="right"/>
        </w:tabs>
        <w:spacing w:line="360" w:lineRule="auto" w:before="80" w:after="80"/>
      </w:pPr>
      <w:r>
        <w:tab/>
      </w:r>
      <m:oMath>
        <m:r>
          <m:t>T</m:t>
        </m:r>
        <m:r>
          <m:rPr>
            <m:sty m:val="p"/>
          </m:rPr>
          <m:t>=</m:t>
        </m:r>
        <m:nary>
          <m:naryPr>
            <m:chr m:val="∫"/>
            <m:limLoc m:val="subSup"/>
            <m:subHide m:val="off"/>
            <m:supHide m:val="on"/>
          </m:naryPr>
          <m:sub>
            <m:r>
              <m:rPr>
                <m:scr m:val="script"/>
                <m:sty m:val="p"/>
              </m:rPr>
              <m:t>X</m:t>
            </m:r>
          </m:sub>
          <m:sup>
            <m:r>
              <m:t>​</m:t>
            </m:r>
          </m:sup>
          <m:e>
            <m:r>
              <m:rPr>
                <m:sty m:val="p"/>
              </m:rPr>
              <m:t>d</m:t>
            </m:r>
          </m:e>
        </m:nary>
        <m:r>
          <m:t>μ</m:t>
        </m:r>
        <m:d>
          <m:dPr>
            <m:begChr m:val="("/>
            <m:endChr m:val=")"/>
            <m:grow/>
          </m:dPr>
          <m:e>
            <m:r>
              <m:t>x</m:t>
            </m:r>
          </m:e>
        </m:d>
        <m:r>
          <m:rPr>
            <m:sty m:val="p"/>
          </m:rPr>
          <m:t>,</m:t>
        </m:r>
        <m:r>
          <m:t>  </m:t>
        </m:r>
        <m:r>
          <m:t>V</m:t>
        </m:r>
        <m:r>
          <m:rPr>
            <m:sty m:val="p"/>
          </m:rPr>
          <m:t>=</m:t>
        </m:r>
        <m:nary>
          <m:naryPr>
            <m:chr m:val="∫"/>
            <m:limLoc m:val="subSup"/>
            <m:subHide m:val="off"/>
            <m:supHide m:val="on"/>
          </m:naryPr>
          <m:sub>
            <m:r>
              <m:rPr>
                <m:scr m:val="script"/>
                <m:sty m:val="p"/>
              </m:rPr>
              <m:t>X</m:t>
            </m:r>
          </m:sub>
          <m:sup>
            <m:r>
              <m:t>​</m:t>
            </m:r>
          </m:sup>
          <m:e>
            <m:r>
              <m:t>v</m:t>
            </m:r>
          </m:e>
        </m:nary>
        <m:d>
          <m:dPr>
            <m:begChr m:val="("/>
            <m:endChr m:val=")"/>
            <m:grow/>
          </m:dPr>
          <m:e>
            <m:r>
              <m:t>x</m:t>
            </m:r>
          </m:e>
        </m:d>
        <m:r>
          <m:t> </m:t>
        </m:r>
        <m:r>
          <m:rPr>
            <m:sty m:val="p"/>
          </m:rPr>
          <m:t>d</m:t>
        </m:r>
        <m:r>
          <m:t>μ</m:t>
        </m:r>
        <m:d>
          <m:dPr>
            <m:begChr m:val="("/>
            <m:endChr m:val=")"/>
            <m:grow/>
          </m:dPr>
          <m:e>
            <m:r>
              <m:t>x</m:t>
            </m:r>
          </m:e>
        </m:d>
        <m:r>
          <m:rPr>
            <m:sty m:val="p"/>
          </m:rPr>
          <m:t>,</m:t>
        </m:r>
        <m:r>
          <m:t>  </m:t>
        </m:r>
        <m:f>
          <m:fPr>
            <m:type m:val="bar"/>
          </m:fPr>
          <m:num>
            <m:r>
              <m:t>V</m:t>
            </m:r>
          </m:num>
          <m:den>
            <m:r>
              <m:t>T</m:t>
            </m:r>
          </m:den>
        </m:f>
        <m:r>
          <m:rPr>
            <m:sty m:val="p"/>
          </m:rPr>
          <m:t>=</m:t>
        </m:r>
        <m:sSub>
          <m:e>
            <m:r>
              <m:rPr>
                <m:sty m:val="p"/>
              </m:rPr>
              <m:t>E</m:t>
            </m:r>
          </m:e>
          <m:sub>
            <m:r>
              <m:t>μ</m:t>
            </m:r>
          </m:sub>
        </m:sSub>
        <m:d>
          <m:dPr>
            <m:begChr m:val="["/>
            <m:endChr m:val="]"/>
            <m:grow/>
          </m:dPr>
          <m:e>
            <m:r>
              <m:t>v</m:t>
            </m:r>
            <m:d>
              <m:dPr>
                <m:begChr m:val="("/>
                <m:endChr m:val=")"/>
                <m:grow/>
              </m:dPr>
              <m:e>
                <m:r>
                  <m:t>x</m:t>
                </m:r>
              </m:e>
            </m:d>
          </m:e>
        </m:d>
      </m:oMath>
      <w:r>
        <w:tab/>
      </w:r>
      <w:r>
        <w:rPr>
          <w:rFonts w:ascii="Times New Roman" w:hAnsi="Times New Roman" w:eastAsia="宋体"/>
          <w:sz w:val="24"/>
        </w:rPr>
        <w:t>(5-1)</w:t>
      </w:r>
    </w:p>
    <w:p>
      <w:pPr>
        <w:spacing w:line="360" w:lineRule="auto" w:after="0"/>
        <w:jc w:val="both"/>
      </w:pPr>
      <w:r>
        <w:rPr>
          <w:rFonts w:ascii="宋体" w:hAnsi="宋体" w:eastAsia="宋体"/>
          <w:sz w:val="24"/>
        </w:rPr>
        <w:t>其中，</w:t>
      </w:r>
      <m:oMath>
        <m:r>
          <m:t>T</m:t>
        </m:r>
      </m:oMath>
      <w:r>
        <w:rPr>
          <w:rFonts w:ascii="宋体" w:hAnsi="宋体" w:eastAsia="宋体"/>
          <w:sz w:val="24"/>
        </w:rPr>
        <w:t>为物理词元总量，</w:t>
      </w:r>
      <m:oMath>
        <m:r>
          <m:t>V</m:t>
        </m:r>
      </m:oMath>
      <w:r>
        <w:rPr>
          <w:rFonts w:ascii="宋体" w:hAnsi="宋体" w:eastAsia="宋体"/>
          <w:sz w:val="24"/>
        </w:rPr>
        <w:t>为价值总量，</w:t>
      </w:r>
      <m:oMath>
        <m:sSub>
          <m:e>
            <m:r>
              <m:rPr>
                <m:sty m:val="p"/>
              </m:rPr>
              <m:t>E</m:t>
            </m:r>
          </m:e>
          <m:sub>
            <m:r>
              <m:t>μ</m:t>
            </m:r>
          </m:sub>
        </m:sSub>
        <m:d>
          <m:dPr>
            <m:begChr m:val="["/>
            <m:endChr m:val="]"/>
            <m:grow/>
          </m:dPr>
          <m:e>
            <m:r>
              <m:rPr>
                <m:sty m:val="p"/>
              </m:rPr>
              <m:t>⋅</m:t>
            </m:r>
          </m:e>
        </m:d>
      </m:oMath>
      <w:r>
        <w:rPr>
          <w:rFonts w:ascii="宋体" w:hAnsi="宋体" w:eastAsia="宋体"/>
          <w:sz w:val="24"/>
        </w:rPr>
        <w:t>为按词元数量分布</w:t>
      </w:r>
      <m:oMath>
        <m:r>
          <m:t>μ</m:t>
        </m:r>
      </m:oMath>
      <w:r>
        <w:rPr>
          <w:rFonts w:ascii="宋体" w:hAnsi="宋体" w:eastAsia="宋体"/>
          <w:sz w:val="24"/>
        </w:rPr>
        <w:t>取的期望；</w:t>
      </w:r>
      <m:oMath>
        <m:r>
          <m:t>V</m:t>
        </m:r>
        <m:r>
          <m:rPr>
            <m:sty m:val="p"/>
          </m:rPr>
          <m:t>/</m:t>
        </m:r>
        <m:r>
          <m:t>T</m:t>
        </m:r>
      </m:oMath>
      <w:r>
        <w:rPr>
          <w:rFonts w:ascii="宋体" w:hAnsi="宋体" w:eastAsia="宋体"/>
          <w:sz w:val="24"/>
        </w:rPr>
        <w:t>即平均价值密度。</w:t>
      </w:r>
    </w:p>
    <w:p>
      <w:pPr>
        <w:spacing w:line="360" w:lineRule="auto" w:after="0"/>
        <w:ind w:firstLineChars="200" w:firstLine="480"/>
        <w:jc w:val="both"/>
      </w:pPr>
      <w:r>
        <w:rPr>
          <w:rFonts w:ascii="宋体" w:hAnsi="宋体" w:eastAsia="宋体"/>
          <w:sz w:val="24"/>
        </w:rPr>
        <w:t>式(5-1)以最简洁的方式陈述了三条判断。</w:t>
      </w:r>
      <w:r>
        <w:rPr>
          <w:rFonts w:ascii="宋体" w:hAnsi="宋体" w:eastAsia="宋体"/>
          <w:b/>
          <w:sz w:val="24"/>
        </w:rPr>
        <w:t>其一，物理计数只有在价值密度恒定时才是价值度量。</w:t>
      </w:r>
      <w:r>
        <w:rPr>
          <w:rFonts w:ascii="宋体" w:hAnsi="宋体" w:eastAsia="宋体"/>
          <w:sz w:val="24"/>
        </w:rPr>
        <w:t>当且仅当</w:t>
      </w:r>
      <m:oMath>
        <m:r>
          <m:t>v</m:t>
        </m:r>
        <m:d>
          <m:dPr>
            <m:begChr m:val="("/>
            <m:endChr m:val=")"/>
            <m:grow/>
          </m:dPr>
          <m:e>
            <m:r>
              <m:t>x</m:t>
            </m:r>
          </m:e>
        </m:d>
        <m:r>
          <m:rPr>
            <m:sty m:val="p"/>
          </m:rPr>
          <m:t>≡</m:t>
        </m:r>
        <m:sSub>
          <m:e>
            <m:r>
              <m:t>v</m:t>
            </m:r>
          </m:e>
          <m:sub>
            <m:r>
              <m:t>0</m:t>
            </m:r>
          </m:sub>
        </m:sSub>
      </m:oMath>
      <w:r>
        <w:rPr>
          <w:rFonts w:ascii="宋体" w:hAnsi="宋体" w:eastAsia="宋体"/>
          <w:sz w:val="24"/>
        </w:rPr>
        <w:t>在</w:t>
      </w:r>
      <m:oMath>
        <m:r>
          <m:t>μ</m:t>
        </m:r>
      </m:oMath>
      <w:r>
        <w:rPr>
          <w:rFonts w:ascii="宋体" w:hAnsi="宋体" w:eastAsia="宋体"/>
          <w:sz w:val="24"/>
        </w:rPr>
        <w:t>的支撑集上几乎处处成立时，</w:t>
      </w:r>
      <m:oMath>
        <m:r>
          <m:t>V</m:t>
        </m:r>
        <m:r>
          <m:rPr>
            <m:sty m:val="p"/>
          </m:rPr>
          <m:t>=</m:t>
        </m:r>
        <m:sSub>
          <m:e>
            <m:r>
              <m:t>v</m:t>
            </m:r>
          </m:e>
          <m:sub>
            <m:r>
              <m:t>0</m:t>
            </m:r>
          </m:sub>
        </m:sSub>
        <m:r>
          <m:t>T</m:t>
        </m:r>
      </m:oMath>
      <w:r>
        <w:rPr>
          <w:rFonts w:ascii="宋体" w:hAnsi="宋体" w:eastAsia="宋体"/>
          <w:sz w:val="24"/>
        </w:rPr>
        <w:t>，物理总量与价值总量只差一个常数因子，此时以</w:t>
      </w:r>
      <m:oMath>
        <m:r>
          <m:t>T</m:t>
        </m:r>
      </m:oMath>
      <w:r>
        <w:rPr>
          <w:rFonts w:ascii="宋体" w:hAnsi="宋体" w:eastAsia="宋体"/>
          <w:sz w:val="24"/>
        </w:rPr>
        <w:t>作为计量单位是无害的。第3章的经验证据已经否定了这一前提：六档位模型的算力强度相差38.2倍、推理质量相差6.7倍、市场单价相差35倍，价值密度的离散不是可忽略的噪声，而是数量级意义上的结构性差异。</w:t>
      </w:r>
      <w:r>
        <w:rPr>
          <w:rFonts w:ascii="宋体" w:hAnsi="宋体" w:eastAsia="宋体"/>
          <w:b/>
          <w:sz w:val="24"/>
        </w:rPr>
        <w:t>其二，价值总量的变动可以完全脱离物理总量的变动。</w:t>
      </w:r>
      <w:r>
        <w:rPr>
          <w:rFonts w:ascii="宋体" w:hAnsi="宋体" w:eastAsia="宋体"/>
          <w:sz w:val="24"/>
        </w:rPr>
        <w:t>对式(5-1)取全微分可知，</w:t>
      </w:r>
      <m:oMath>
        <m:r>
          <m:t>V</m:t>
        </m:r>
      </m:oMath>
      <w:r>
        <w:rPr>
          <w:rFonts w:ascii="宋体" w:hAnsi="宋体" w:eastAsia="宋体"/>
          <w:sz w:val="24"/>
        </w:rPr>
        <w:t>的变动由两部分构成：一是词元数量</w:t>
      </w:r>
      <m:oMath>
        <m:r>
          <m:t>μ</m:t>
        </m:r>
      </m:oMath>
      <w:r>
        <w:rPr>
          <w:rFonts w:ascii="宋体" w:hAnsi="宋体" w:eastAsia="宋体"/>
          <w:sz w:val="24"/>
        </w:rPr>
        <w:t>的变动（规模效应），二是</w:t>
      </w:r>
      <m:oMath>
        <m:r>
          <m:t>μ</m:t>
        </m:r>
      </m:oMath>
      <w:r>
        <w:rPr>
          <w:rFonts w:ascii="宋体" w:hAnsi="宋体" w:eastAsia="宋体"/>
          <w:sz w:val="24"/>
        </w:rPr>
        <w:t>在属性空间上分布形状的变动（结构效应）。在技术快速迭代、模型档位结构剧烈漂移的时期，结构效应可以与规模效应同量级甚至反向，这意味着以物理调用量刻画的「增长」与真实的智能生产能力增长之间没有稳定的映射。</w:t>
      </w:r>
      <w:r>
        <w:rPr>
          <w:rFonts w:ascii="宋体" w:hAnsi="宋体" w:eastAsia="宋体"/>
          <w:b/>
          <w:sz w:val="24"/>
        </w:rPr>
        <w:t>其三，平均价值密度本身是内生的。</w:t>
      </w:r>
      <m:oMath>
        <m:sSub>
          <m:e>
            <m:r>
              <m:rPr>
                <m:sty m:val="p"/>
              </m:rPr>
              <m:t>E</m:t>
            </m:r>
          </m:e>
          <m:sub>
            <m:r>
              <m:t>μ</m:t>
            </m:r>
          </m:sub>
        </m:sSub>
        <m:d>
          <m:dPr>
            <m:begChr m:val="["/>
            <m:endChr m:val="]"/>
            <m:grow/>
          </m:dPr>
          <m:e>
            <m:r>
              <m:t>v</m:t>
            </m:r>
            <m:d>
              <m:dPr>
                <m:begChr m:val="("/>
                <m:endChr m:val=")"/>
                <m:grow/>
              </m:dPr>
              <m:e>
                <m:r>
                  <m:t>x</m:t>
                </m:r>
              </m:e>
            </m:d>
          </m:e>
        </m:d>
      </m:oMath>
      <w:r>
        <w:rPr>
          <w:rFonts w:ascii="宋体" w:hAnsi="宋体" w:eastAsia="宋体"/>
          <w:sz w:val="24"/>
        </w:rPr>
        <w:t>依赖于</w:t>
      </w:r>
      <m:oMath>
        <m:r>
          <m:t>μ</m:t>
        </m:r>
      </m:oMath>
      <w:r>
        <w:rPr>
          <w:rFonts w:ascii="宋体" w:hAnsi="宋体" w:eastAsia="宋体"/>
          <w:sz w:val="24"/>
        </w:rPr>
        <w:t>，而</w:t>
      </w:r>
      <m:oMath>
        <m:r>
          <m:t>μ</m:t>
        </m:r>
      </m:oMath>
      <w:r>
        <w:rPr>
          <w:rFonts w:ascii="宋体" w:hAnsi="宋体" w:eastAsia="宋体"/>
          <w:sz w:val="24"/>
        </w:rPr>
        <w:t>又由价格、补贴与考核规则塑造；一旦以物理总量为考核标的，理性主体的最优反应就是把</w:t>
      </w:r>
      <m:oMath>
        <m:r>
          <m:t>μ</m:t>
        </m:r>
      </m:oMath>
      <w:r>
        <w:rPr>
          <w:rFonts w:ascii="宋体" w:hAnsi="宋体" w:eastAsia="宋体"/>
          <w:sz w:val="24"/>
        </w:rPr>
        <w:t>向低价值密度区域迁移，从而使</w:t>
      </w:r>
      <m:oMath>
        <m:r>
          <m:t>V</m:t>
        </m:r>
        <m:r>
          <m:rPr>
            <m:sty m:val="p"/>
          </m:rPr>
          <m:t>/</m:t>
        </m:r>
        <m:r>
          <m:t>T</m:t>
        </m:r>
      </m:oMath>
      <w:r>
        <w:rPr>
          <w:rFonts w:ascii="宋体" w:hAnsi="宋体" w:eastAsia="宋体"/>
          <w:sz w:val="24"/>
        </w:rPr>
        <w:t>内生下降——这正是第3章推论三所述的古德哈特效应在计量层面的表达。</w:t>
      </w:r>
    </w:p>
    <w:p>
      <w:pPr>
        <w:spacing w:line="360" w:lineRule="auto" w:after="0"/>
        <w:ind w:firstLineChars="200" w:firstLine="480"/>
        <w:jc w:val="both"/>
      </w:pPr>
      <w:r>
        <w:rPr>
          <w:rFonts w:ascii="宋体" w:hAnsi="宋体" w:eastAsia="宋体"/>
          <w:sz w:val="24"/>
        </w:rPr>
        <w:t>需要强调的是，价值密度</w:t>
      </w:r>
      <m:oMath>
        <m:r>
          <m:t>v</m:t>
        </m:r>
        <m:d>
          <m:dPr>
            <m:begChr m:val="("/>
            <m:endChr m:val=")"/>
            <m:grow/>
          </m:dPr>
          <m:e>
            <m:r>
              <m:t>x</m:t>
            </m:r>
          </m:e>
        </m:d>
      </m:oMath>
      <w:r>
        <w:rPr>
          <w:rFonts w:ascii="宋体" w:hAnsi="宋体" w:eastAsia="宋体"/>
          <w:sz w:val="24"/>
        </w:rPr>
        <w:t>的不可观测性，与其说是测度技术的暂时不足，不如说是词元这类认知产品的固有属性。词元的价值实现于下游任务的完成度之中，而任务完成度只有在使用之后才能被评估，事前不可验证；买方在购买时能够观测的只有价格与数量，无法观测质量，这是典型的质量不可观测市场结构（Akerlof，1970）。质量披露与第三方认证之所以在这类市场中具有福利改进的潜力，正是因为它把事后才可验证的信息前置为事前可观测的信号（Dranove和Jin，2010）。本书测算显示，企业对所购词元效值的认知偏差均值达0.44，由此导致低效值档位的过度采购份额达0.27——这一经验事实说明，词元市场的信息问题已经从理论可能变为可观测的资源错配。</w:t>
      </w:r>
    </w:p>
    <w:p>
      <w:pPr>
        <w:keepNext/>
        <w:spacing w:before="160" w:after="120" w:line="360" w:lineRule="auto"/>
        <w:outlineLvl w:val="2"/>
      </w:pPr>
      <w:r>
        <w:rPr>
          <w:rFonts w:ascii="黑体" w:hAnsi="黑体" w:eastAsia="黑体"/>
          <w:sz w:val="24"/>
        </w:rPr>
        <w:t>5.1.2  折算问题的一般表述：当量函数与一价定律</w:t>
      </w:r>
    </w:p>
    <w:p>
      <w:pPr>
        <w:spacing w:line="360" w:lineRule="auto" w:after="0"/>
        <w:ind w:firstLineChars="200" w:firstLine="480"/>
        <w:jc w:val="both"/>
      </w:pPr>
      <w:r>
        <w:rPr>
          <w:rFonts w:ascii="宋体" w:hAnsi="宋体" w:eastAsia="宋体"/>
          <w:sz w:val="24"/>
        </w:rPr>
        <w:t>既然价值密度异质不可消除，可行的出路就只能是当量折算：不取消异质，而是把异质折算到一条公认的刻度上。承接式(2-6)给出的一般形式，词元折算问题可以严格表述为：在属性空间上寻找一个折算函数（当量函数）</w:t>
      </w:r>
      <m:oMath>
        <m:r>
          <m:t>η</m:t>
        </m:r>
        <m:r>
          <m:rPr>
            <m:sty m:val="p"/>
          </m:rPr>
          <m:t>:</m:t>
        </m:r>
        <m:r>
          <m:rPr>
            <m:scr m:val="script"/>
            <m:sty m:val="p"/>
          </m:rPr>
          <m:t>X</m:t>
        </m:r>
        <m:r>
          <m:rPr>
            <m:sty m:val="p"/>
          </m:rPr>
          <m:t>→</m:t>
        </m:r>
        <m:d>
          <m:dPr>
            <m:begChr m:val="("/>
            <m:endChr m:val=")"/>
            <m:grow/>
          </m:dPr>
          <m:e>
            <m:r>
              <m:t>0</m:t>
            </m:r>
            <m:r>
              <m:rPr>
                <m:sty m:val="p"/>
              </m:rPr>
              <m:t>,</m:t>
            </m:r>
            <m:r>
              <m:rPr>
                <m:sty m:val="p"/>
              </m:rPr>
              <m:t>+</m:t>
            </m:r>
            <m:r>
              <m:rPr>
                <m:sty m:val="p"/>
              </m:rPr>
              <m:t>∞</m:t>
            </m:r>
          </m:e>
        </m:d>
      </m:oMath>
      <w:r>
        <w:rPr>
          <w:rFonts w:ascii="宋体" w:hAnsi="宋体" w:eastAsia="宋体"/>
          <w:sz w:val="24"/>
        </w:rPr>
        <w:t>，使得以基准属性</w:t>
      </w:r>
      <m:oMath>
        <m:sSub>
          <m:e>
            <m:r>
              <m:t>x</m:t>
            </m:r>
          </m:e>
          <m:sub>
            <m:r>
              <m:t>0</m:t>
            </m:r>
          </m:sub>
        </m:sSub>
      </m:oMath>
      <w:r>
        <w:rPr>
          <w:rFonts w:ascii="宋体" w:hAnsi="宋体" w:eastAsia="宋体"/>
          <w:sz w:val="24"/>
        </w:rPr>
        <w:t>的词元为单位的当量总量具有价值可加性。形式化地：</w:t>
      </w:r>
    </w:p>
    <w:p>
      <w:pPr>
        <w:tabs>
          <w:tab w:pos="4252" w:val="center"/>
          <w:tab w:pos="8504" w:val="right"/>
        </w:tabs>
        <w:spacing w:line="360" w:lineRule="auto" w:before="80" w:after="80"/>
      </w:pPr>
      <w:r>
        <w:tab/>
      </w:r>
      <m:oMath>
        <m:r>
          <m:t>η</m:t>
        </m:r>
        <m:d>
          <m:dPr>
            <m:begChr m:val="("/>
            <m:endChr m:val=")"/>
            <m:grow/>
          </m:dPr>
          <m:e>
            <m:r>
              <m:t>x</m:t>
            </m:r>
          </m:e>
        </m:d>
        <m:r>
          <m:rPr>
            <m:sty m:val="p"/>
          </m:rPr>
          <m:t>=</m:t>
        </m:r>
        <m:f>
          <m:fPr>
            <m:type m:val="bar"/>
          </m:fPr>
          <m:num>
            <m:r>
              <m:t>v</m:t>
            </m:r>
            <m:d>
              <m:dPr>
                <m:begChr m:val="("/>
                <m:endChr m:val=")"/>
                <m:grow/>
              </m:dPr>
              <m:e>
                <m:r>
                  <m:t>x</m:t>
                </m:r>
              </m:e>
            </m:d>
          </m:num>
          <m:den>
            <m:r>
              <m:t>v</m:t>
            </m:r>
            <m:d>
              <m:dPr>
                <m:begChr m:val="("/>
                <m:endChr m:val=")"/>
                <m:grow/>
              </m:dPr>
              <m:e>
                <m:sSub>
                  <m:e>
                    <m:r>
                      <m:t>x</m:t>
                    </m:r>
                  </m:e>
                  <m:sub>
                    <m:r>
                      <m:t>0</m:t>
                    </m:r>
                  </m:sub>
                </m:sSub>
              </m:e>
            </m:d>
          </m:den>
        </m:f>
        <m:r>
          <m:rPr>
            <m:sty m:val="p"/>
          </m:rPr>
          <m:t>,</m:t>
        </m:r>
        <m:r>
          <m:t>  </m:t>
        </m:r>
        <m:acc>
          <m:accPr>
            <m:chr m:val="̃"/>
          </m:accPr>
          <m:e>
            <m:r>
              <m:t>T</m:t>
            </m:r>
          </m:e>
        </m:acc>
        <m:r>
          <m:rPr>
            <m:sty m:val="p"/>
          </m:rPr>
          <m:t>=</m:t>
        </m:r>
        <m:nary>
          <m:naryPr>
            <m:chr m:val="∫"/>
            <m:limLoc m:val="subSup"/>
            <m:subHide m:val="off"/>
            <m:supHide m:val="on"/>
          </m:naryPr>
          <m:sub>
            <m:r>
              <m:rPr>
                <m:scr m:val="script"/>
                <m:sty m:val="p"/>
              </m:rPr>
              <m:t>X</m:t>
            </m:r>
          </m:sub>
          <m:sup>
            <m:r>
              <m:t>​</m:t>
            </m:r>
          </m:sup>
          <m:e>
            <m:r>
              <m:t>η</m:t>
            </m:r>
          </m:e>
        </m:nary>
        <m:d>
          <m:dPr>
            <m:begChr m:val="("/>
            <m:endChr m:val=")"/>
            <m:grow/>
          </m:dPr>
          <m:e>
            <m:r>
              <m:t>x</m:t>
            </m:r>
          </m:e>
        </m:d>
        <m:r>
          <m:t> </m:t>
        </m:r>
        <m:r>
          <m:rPr>
            <m:sty m:val="p"/>
          </m:rPr>
          <m:t>d</m:t>
        </m:r>
        <m:r>
          <m:t>μ</m:t>
        </m:r>
        <m:d>
          <m:dPr>
            <m:begChr m:val="("/>
            <m:endChr m:val=")"/>
            <m:grow/>
          </m:dPr>
          <m:e>
            <m:r>
              <m:t>x</m:t>
            </m:r>
          </m:e>
        </m:d>
        <m:r>
          <m:rPr>
            <m:sty m:val="p"/>
          </m:rPr>
          <m:t>=</m:t>
        </m:r>
        <m:f>
          <m:fPr>
            <m:type m:val="bar"/>
          </m:fPr>
          <m:num>
            <m:r>
              <m:t>V</m:t>
            </m:r>
          </m:num>
          <m:den>
            <m:r>
              <m:t>v</m:t>
            </m:r>
            <m:d>
              <m:dPr>
                <m:begChr m:val="("/>
                <m:endChr m:val=")"/>
                <m:grow/>
              </m:dPr>
              <m:e>
                <m:sSub>
                  <m:e>
                    <m:r>
                      <m:t>x</m:t>
                    </m:r>
                  </m:e>
                  <m:sub>
                    <m:r>
                      <m:t>0</m:t>
                    </m:r>
                  </m:sub>
                </m:sSub>
              </m:e>
            </m:d>
          </m:den>
        </m:f>
        <m:r>
          <m:rPr>
            <m:sty m:val="p"/>
          </m:rPr>
          <m:t>,</m:t>
        </m:r>
        <m:r>
          <m:t>  </m:t>
        </m:r>
        <m:acc>
          <m:accPr>
            <m:chr m:val="̃"/>
          </m:accPr>
          <m:e>
            <m:r>
              <m:t>p</m:t>
            </m:r>
          </m:e>
        </m:acc>
        <m:d>
          <m:dPr>
            <m:begChr m:val="("/>
            <m:endChr m:val=")"/>
            <m:grow/>
          </m:dPr>
          <m:e>
            <m:r>
              <m:t>x</m:t>
            </m:r>
          </m:e>
        </m:d>
        <m:r>
          <m:rPr>
            <m:sty m:val="p"/>
          </m:rPr>
          <m:t>=</m:t>
        </m:r>
        <m:f>
          <m:fPr>
            <m:type m:val="bar"/>
          </m:fPr>
          <m:num>
            <m:r>
              <m:t>p</m:t>
            </m:r>
            <m:d>
              <m:dPr>
                <m:begChr m:val="("/>
                <m:endChr m:val=")"/>
                <m:grow/>
              </m:dPr>
              <m:e>
                <m:r>
                  <m:t>x</m:t>
                </m:r>
              </m:e>
            </m:d>
          </m:num>
          <m:den>
            <m:r>
              <m:t>η</m:t>
            </m:r>
            <m:d>
              <m:dPr>
                <m:begChr m:val="("/>
                <m:endChr m:val=")"/>
                <m:grow/>
              </m:dPr>
              <m:e>
                <m:r>
                  <m:t>x</m:t>
                </m:r>
              </m:e>
            </m:d>
          </m:den>
        </m:f>
        <m:r>
          <m:rPr>
            <m:sty m:val="p"/>
          </m:rPr>
          <m:t>≡</m:t>
        </m:r>
        <m:sSub>
          <m:e>
            <m:acc>
              <m:accPr>
                <m:chr m:val="̃"/>
              </m:accPr>
              <m:e>
                <m:r>
                  <m:t>p</m:t>
                </m:r>
              </m:e>
            </m:acc>
          </m:e>
          <m:sub>
            <m:r>
              <m:t>0</m:t>
            </m:r>
          </m:sub>
        </m:sSub>
      </m:oMath>
      <w:r>
        <w:tab/>
      </w:r>
      <w:r>
        <w:rPr>
          <w:rFonts w:ascii="Times New Roman" w:hAnsi="Times New Roman" w:eastAsia="宋体"/>
          <w:sz w:val="24"/>
        </w:rPr>
        <w:t>(5-2)</w:t>
      </w:r>
    </w:p>
    <w:p>
      <w:pPr>
        <w:spacing w:line="360" w:lineRule="auto" w:after="0"/>
        <w:jc w:val="both"/>
      </w:pPr>
      <w:r>
        <w:rPr>
          <w:rFonts w:ascii="宋体" w:hAnsi="宋体" w:eastAsia="宋体"/>
          <w:sz w:val="24"/>
        </w:rPr>
        <w:t>其中，</w:t>
      </w:r>
      <m:oMath>
        <m:sSub>
          <m:e>
            <m:r>
              <m:t>x</m:t>
            </m:r>
          </m:e>
          <m:sub>
            <m:r>
              <m:t>0</m:t>
            </m:r>
          </m:sub>
        </m:sSub>
      </m:oMath>
      <w:r>
        <w:rPr>
          <w:rFonts w:ascii="宋体" w:hAnsi="宋体" w:eastAsia="宋体"/>
          <w:sz w:val="24"/>
        </w:rPr>
        <w:t>为基准属性（基准档模型在基准任务上的词元），</w:t>
      </w:r>
      <m:oMath>
        <m:acc>
          <m:accPr>
            <m:chr m:val="̃"/>
          </m:accPr>
          <m:e>
            <m:r>
              <m:t>T</m:t>
            </m:r>
          </m:e>
        </m:acc>
      </m:oMath>
      <w:r>
        <w:rPr>
          <w:rFonts w:ascii="宋体" w:hAnsi="宋体" w:eastAsia="宋体"/>
          <w:sz w:val="24"/>
        </w:rPr>
        <w:t>为标准词元总量，</w:t>
      </w:r>
      <m:oMath>
        <m:r>
          <m:t>p</m:t>
        </m:r>
        <m:d>
          <m:dPr>
            <m:begChr m:val="("/>
            <m:endChr m:val=")"/>
            <m:grow/>
          </m:dPr>
          <m:e>
            <m:r>
              <m:t>x</m:t>
            </m:r>
          </m:e>
        </m:d>
      </m:oMath>
      <w:r>
        <w:rPr>
          <w:rFonts w:ascii="宋体" w:hAnsi="宋体" w:eastAsia="宋体"/>
          <w:sz w:val="24"/>
        </w:rPr>
        <w:t>为属性</w:t>
      </w:r>
      <m:oMath>
        <m:r>
          <m:t>x</m:t>
        </m:r>
      </m:oMath>
      <w:r>
        <w:rPr>
          <w:rFonts w:ascii="宋体" w:hAnsi="宋体" w:eastAsia="宋体"/>
          <w:sz w:val="24"/>
        </w:rPr>
        <w:t>的词元单价，</w:t>
      </w:r>
      <m:oMath>
        <m:sSub>
          <m:e>
            <m:acc>
              <m:accPr>
                <m:chr m:val="̃"/>
              </m:accPr>
              <m:e>
                <m:r>
                  <m:t>p</m:t>
                </m:r>
              </m:e>
            </m:acc>
          </m:e>
          <m:sub>
            <m:r>
              <m:t>0</m:t>
            </m:r>
          </m:sub>
        </m:sSub>
      </m:oMath>
      <w:r>
        <w:rPr>
          <w:rFonts w:ascii="宋体" w:hAnsi="宋体" w:eastAsia="宋体"/>
          <w:sz w:val="24"/>
        </w:rPr>
        <w:t>为标准词元的统一价格；第三式即折算后应当成立的一价定律。</w:t>
      </w:r>
    </w:p>
    <w:p>
      <w:pPr>
        <w:spacing w:line="360" w:lineRule="auto" w:after="0"/>
        <w:ind w:firstLineChars="200" w:firstLine="480"/>
        <w:jc w:val="both"/>
      </w:pPr>
      <w:r>
        <w:rPr>
          <w:rFonts w:ascii="宋体" w:hAnsi="宋体" w:eastAsia="宋体"/>
          <w:sz w:val="24"/>
        </w:rPr>
        <w:t>式(5-2)包含了折算体系的三个构成要件，它们也构成本章后续各节的工作清单。</w:t>
      </w:r>
      <w:r>
        <w:rPr>
          <w:rFonts w:ascii="宋体" w:hAnsi="宋体" w:eastAsia="宋体"/>
          <w:b/>
          <w:sz w:val="24"/>
        </w:rPr>
        <w:t>要件一是基准</w:t>
      </w:r>
      <w:r>
        <w:rPr>
          <w:rFonts w:ascii="宋体" w:hAnsi="宋体" w:eastAsia="宋体"/>
          <w:sz w:val="24"/>
        </w:rPr>
        <w:t>：</w:t>
      </w:r>
      <m:oMath>
        <m:sSub>
          <m:e>
            <m:r>
              <m:t>x</m:t>
            </m:r>
          </m:e>
          <m:sub>
            <m:r>
              <m:t>0</m:t>
            </m:r>
          </m:sub>
        </m:sSub>
      </m:oMath>
      <w:r>
        <w:rPr>
          <w:rFonts w:ascii="宋体" w:hAnsi="宋体" w:eastAsia="宋体"/>
          <w:sz w:val="24"/>
        </w:rPr>
        <w:t>的选定使当量单位获得名义，「1枚标准词元」由此有了确切所指。由式(2-6)的基准无关性可知，更换基准只会使全部折算系数按同一比例缩放，不改变任何相对结构，因而基准的选择带有约定成分，其标准是可稳定性与可解释性而非唯一正确性——这正如1千克标准煤对应的低位发热量29307千焦并不对应任何一种真实煤种（国家市场监督管理总局和国家标准化管理委员会，2020）。</w:t>
      </w:r>
      <w:r>
        <w:rPr>
          <w:rFonts w:ascii="宋体" w:hAnsi="宋体" w:eastAsia="宋体"/>
          <w:b/>
          <w:sz w:val="24"/>
        </w:rPr>
        <w:t>要件二是刻度</w:t>
      </w:r>
      <w:r>
        <w:rPr>
          <w:rFonts w:ascii="宋体" w:hAnsi="宋体" w:eastAsia="宋体"/>
          <w:sz w:val="24"/>
        </w:rPr>
        <w:t>：折算函数</w:t>
      </w:r>
      <m:oMath>
        <m:r>
          <m:t>η</m:t>
        </m:r>
      </m:oMath>
      <w:r>
        <w:rPr>
          <w:rFonts w:ascii="宋体" w:hAnsi="宋体" w:eastAsia="宋体"/>
          <w:sz w:val="24"/>
        </w:rPr>
        <w:t>的函数形式与参数，是全章的技术核心，5.3节以公理化方法解决形式问题，5.4节以标定方法解决参数问题。</w:t>
      </w:r>
      <w:r>
        <w:rPr>
          <w:rFonts w:ascii="宋体" w:hAnsi="宋体" w:eastAsia="宋体"/>
          <w:b/>
          <w:sz w:val="24"/>
        </w:rPr>
        <w:t>要件三是口径</w:t>
      </w:r>
      <w:r>
        <w:rPr>
          <w:rFonts w:ascii="宋体" w:hAnsi="宋体" w:eastAsia="宋体"/>
          <w:sz w:val="24"/>
        </w:rPr>
        <w:t>：折算必须明确适用的时点、任务边界与观测层次，否则同一枚词元在不同口径下会得到不同的当量，折算体系本身将成为新的不可比来源。</w:t>
      </w:r>
    </w:p>
    <w:p>
      <w:pPr>
        <w:spacing w:line="360" w:lineRule="auto" w:after="0"/>
        <w:ind w:firstLineChars="200" w:firstLine="480"/>
        <w:jc w:val="both"/>
      </w:pPr>
      <w:r>
        <w:rPr>
          <w:rFonts w:ascii="宋体" w:hAnsi="宋体" w:eastAsia="宋体"/>
          <w:sz w:val="24"/>
        </w:rPr>
        <w:t>式(5-2)的第三式尤其值得强调，因为它把一个理论构造转化为可证伪的经验判据。如果折算函数正确地捕捉了价值密度的跨属性差异，那么以折算后单价</w:t>
      </w:r>
      <m:oMath>
        <m:acc>
          <m:accPr>
            <m:chr m:val="̃"/>
          </m:accPr>
          <m:e>
            <m:r>
              <m:t>p</m:t>
            </m:r>
          </m:e>
        </m:acc>
        <m:r>
          <m:rPr>
            <m:sty m:val="p"/>
          </m:rPr>
          <m:t>=</m:t>
        </m:r>
        <m:r>
          <m:t>p</m:t>
        </m:r>
        <m:r>
          <m:rPr>
            <m:sty m:val="p"/>
          </m:rPr>
          <m:t>/</m:t>
        </m:r>
        <m:r>
          <m:t>η</m:t>
        </m:r>
      </m:oMath>
      <w:r>
        <w:rPr>
          <w:rFonts w:ascii="宋体" w:hAnsi="宋体" w:eastAsia="宋体"/>
          <w:sz w:val="24"/>
        </w:rPr>
        <w:t>衡量，不同档位、不同来源的词元价格应当向同一水平收敛；反之，若折算后价格离散不降反升，或残余离散仍保持原有量级，则说明折算函数遗漏了价值密度的主要来源。这一判据在思想上与特征价格方法同源：特征价格方法把商品价格分解为各特征的隐含价格，从而把质量变化从价格变化中分离出来（Griliches，1961）；在新产品频繁进入退出、质量快速改进的市场上，若不作质量调整，价格指数会系统性高估通胀、低估真实产出（Pakes，2003；Erickson和Pakes，2011）。词元折算与特征价格方法的区别在于目标不同：后者的目标是求得「质量不变的价格」，前者的目标是求得「价格不变的质量当量」，二者互为对偶。本章建立的效值折算体系，正是第7章编制标准词元价格指数的前置条件。</w:t>
      </w:r>
    </w:p>
    <w:p>
      <w:pPr>
        <w:keepNext/>
        <w:spacing w:before="160" w:after="120" w:line="360" w:lineRule="auto"/>
        <w:outlineLvl w:val="2"/>
      </w:pPr>
      <w:r>
        <w:rPr>
          <w:rFonts w:ascii="黑体" w:hAnsi="黑体" w:eastAsia="黑体"/>
          <w:sz w:val="24"/>
        </w:rPr>
        <w:t>5.1.3  为什么必须是折算而非评价：四项经济职能的计量要求</w:t>
      </w:r>
    </w:p>
    <w:p>
      <w:pPr>
        <w:spacing w:line="360" w:lineRule="auto" w:after="0"/>
        <w:ind w:firstLineChars="200" w:firstLine="480"/>
        <w:jc w:val="both"/>
      </w:pPr>
      <w:r>
        <w:rPr>
          <w:rFonts w:ascii="宋体" w:hAnsi="宋体" w:eastAsia="宋体"/>
          <w:sz w:val="24"/>
        </w:rPr>
        <w:t>一个自然的质疑是：既然已有四套多维评价体系可以刻画词元的质量，为何还要多此一举地合成为单一当量？回答这一质疑，需要回到本书的核心命题——标准词元须承担价值尺度、定价基准、配置信号与增长核算变量四重经济职能，而这四重职能对计量提出的要求，恰恰是并列维度得分无法满足的。</w:t>
      </w:r>
    </w:p>
    <w:p>
      <w:pPr>
        <w:spacing w:line="360" w:lineRule="auto" w:after="0"/>
        <w:ind w:firstLineChars="200" w:firstLine="480"/>
        <w:jc w:val="both"/>
      </w:pPr>
      <w:r>
        <w:rPr>
          <w:rFonts w:ascii="宋体" w:hAnsi="宋体" w:eastAsia="宋体"/>
          <w:b/>
          <w:sz w:val="24"/>
        </w:rPr>
        <w:t>价值尺度职能要求可加性。</w:t>
      </w:r>
      <w:r>
        <w:rPr>
          <w:rFonts w:ascii="宋体" w:hAnsi="宋体" w:eastAsia="宋体"/>
          <w:sz w:val="24"/>
        </w:rPr>
        <w:t>尺度的第一属性是能把不同对象放在同一条轴上比较大小并求和；一个由六个分数构成的向量无法比较大小，除非事先给定权重——而给定权重恰恰就是合成，只不过把合成的责任推给了使用者，其代价是每个使用者的权重不同，可比性随即消失。</w:t>
      </w:r>
      <w:r>
        <w:rPr>
          <w:rFonts w:ascii="宋体" w:hAnsi="宋体" w:eastAsia="宋体"/>
          <w:b/>
          <w:sz w:val="24"/>
        </w:rPr>
        <w:t>定价基准职能要求可传递性。</w:t>
      </w:r>
      <w:r>
        <w:rPr>
          <w:rFonts w:ascii="宋体" w:hAnsi="宋体" w:eastAsia="宋体"/>
          <w:sz w:val="24"/>
        </w:rPr>
        <w:t>价格的形成依赖于套利：若甲对乙的折算率、乙对丙的折算率与甲对丙的折算率不一致，套利者可以通过折算路径的选择获取无风险收益，价格体系将无法收敛。评价体系没有折算率概念，因而也谈不上传递一致。</w:t>
      </w:r>
      <w:r>
        <w:rPr>
          <w:rFonts w:ascii="宋体" w:hAnsi="宋体" w:eastAsia="宋体"/>
          <w:b/>
          <w:sz w:val="24"/>
        </w:rPr>
        <w:t>配置信号职能要求边际量可算。</w:t>
      </w:r>
      <w:r>
        <w:rPr>
          <w:rFonts w:ascii="宋体" w:hAnsi="宋体" w:eastAsia="宋体"/>
          <w:sz w:val="24"/>
        </w:rPr>
        <w:t>第9章的任务—模型最优匹配需要计算「每单位算力可产出多少有效标准词元」，这要求折算函数可微且边际替代率有定义；并列得分不构成可微对象。</w:t>
      </w:r>
      <w:r>
        <w:rPr>
          <w:rFonts w:ascii="宋体" w:hAnsi="宋体" w:eastAsia="宋体"/>
          <w:b/>
          <w:sz w:val="24"/>
        </w:rPr>
        <w:t>增长核算职能要求可入账。</w:t>
      </w:r>
      <w:r>
        <w:rPr>
          <w:rFonts w:ascii="宋体" w:hAnsi="宋体" w:eastAsia="宋体"/>
          <w:sz w:val="24"/>
        </w:rPr>
        <w:t>第12章要把标准词元流量作为生产要素写入生产函数并估计产出弹性</w:t>
      </w:r>
      <m:oMath>
        <m:sSub>
          <m:e>
            <m:r>
              <m:t>α</m:t>
            </m:r>
          </m:e>
          <m:sub>
            <m:r>
              <m:t>T</m:t>
            </m:r>
          </m:sub>
        </m:sSub>
      </m:oMath>
      <w:r>
        <w:rPr>
          <w:rFonts w:ascii="宋体" w:hAnsi="宋体" w:eastAsia="宋体"/>
          <w:sz w:val="24"/>
        </w:rPr>
        <w:t>，被解释变量必须是一个标量流量；六维得分无法进入任何一个国民经济核算账户，正如数据资源要进入企业报表必须先被确认与计量（财政部，2023；罗玫等，2023），统计体系要反映数字化转型也必须先解决新对象的可核算性（杨仲山和张美慧，2019；许宪春等，2021）。</w:t>
      </w:r>
    </w:p>
    <w:p>
      <w:pPr>
        <w:spacing w:line="360" w:lineRule="auto" w:after="0"/>
        <w:ind w:firstLineChars="200" w:firstLine="480"/>
        <w:jc w:val="both"/>
      </w:pPr>
      <w:r>
        <w:rPr>
          <w:rFonts w:ascii="宋体" w:hAnsi="宋体" w:eastAsia="宋体"/>
          <w:sz w:val="24"/>
        </w:rPr>
        <w:t>把这四项要求合起来看，可以得到一个更一般的判断：</w:t>
      </w:r>
      <w:r>
        <w:rPr>
          <w:rFonts w:ascii="宋体" w:hAnsi="宋体" w:eastAsia="宋体"/>
          <w:b/>
          <w:sz w:val="24"/>
        </w:rPr>
        <w:t>评价解决的是「好不好」的问题，折算解决的是「值几枚」的问题，二者的输出类型不同，不能相互替代</w:t>
      </w:r>
      <w:r>
        <w:rPr>
          <w:rFonts w:ascii="宋体" w:hAnsi="宋体" w:eastAsia="宋体"/>
          <w:sz w:val="24"/>
        </w:rPr>
        <w:t>。这一区分在标准化的经济学文献中有清晰的对应。标准的经济价值来自兼容性与网络外部性——统一的接口与度量使分散的主体得以互操作，从而扩大市场规模并降低缔约成本（Farrell和Saloner，1985；Katz和Shapiro，1985）；标准的制定过程本身是一种共识治理，其效率取决于参与者的激励结构与协调机制（Simcoe，2012）。国内经验研究亦显示，物流标准化通过降低交易费用显著提升了企业全要素生产率（何凡等，2025），这为「计量标准化—交易费用—生产率」的传导链条提供了直接证据。词元领域目前的标准供给状况恰好印证了折算的缺位：已发布的规范性成果主要是团体标准与机构评估规范，尚未见以词元计量或词元计费为标题的国家标准或行业标准立项公开，而团体标准的效力层级低于行业标准与国家标准，评估认证活动亦不等同于标准本身。折算体系的建立，正是从评价走向标准、从标准走向账户的关键一环。</w:t>
      </w:r>
    </w:p>
    <w:p>
      <w:pPr>
        <w:spacing w:line="360" w:lineRule="auto" w:after="0"/>
        <w:ind w:firstLineChars="200" w:firstLine="480"/>
        <w:jc w:val="both"/>
      </w:pPr>
      <w:r>
        <w:rPr>
          <w:rFonts w:ascii="宋体" w:hAnsi="宋体" w:eastAsia="宋体"/>
          <w:sz w:val="24"/>
        </w:rPr>
        <w:t>本章的整体构造如图5.1所示：物理词元经三维效值测度进入折算函数，折算函数在四条公理约束下取幂积形式并由基准任务集标定权重，输出效值系数与标准词元当量，进而向定价、配置与核算三个方向提供接口，而三个方向的应用又反过来对基准任务集与权重的再标定提出要求，构成闭环。</w:t>
      </w:r>
    </w:p>
    <w:p>
      <w:pPr>
        <w:spacing w:before="120" w:after="40"/>
        <w:jc w:val="center"/>
      </w:pPr>
      <w:r>
        <w:drawing>
          <wp:inline xmlns:a="http://schemas.openxmlformats.org/drawingml/2006/main" xmlns:pic="http://schemas.openxmlformats.org/drawingml/2006/picture">
            <wp:extent cx="5040000" cy="4447059"/>
            <wp:docPr id="13" name="Picture 13"/>
            <wp:cNvGraphicFramePr>
              <a:graphicFrameLocks noChangeAspect="1"/>
            </wp:cNvGraphicFramePr>
            <a:graphic>
              <a:graphicData uri="http://schemas.openxmlformats.org/drawingml/2006/picture">
                <pic:pic>
                  <pic:nvPicPr>
                    <pic:cNvPr id="0" name="fig5_1.png"/>
                    <pic:cNvPicPr/>
                  </pic:nvPicPr>
                  <pic:blipFill>
                    <a:blip r:embed="rId21"/>
                    <a:stretch>
                      <a:fillRect/>
                    </a:stretch>
                  </pic:blipFill>
                  <pic:spPr>
                    <a:xfrm>
                      <a:off x="0" y="0"/>
                      <a:ext cx="5040000" cy="4447059"/>
                    </a:xfrm>
                    <a:prstGeom prst="rect"/>
                  </pic:spPr>
                </pic:pic>
              </a:graphicData>
            </a:graphic>
          </wp:inline>
        </w:drawing>
      </w:r>
    </w:p>
    <w:p>
      <w:pPr>
        <w:keepNext w:val="0"/>
        <w:spacing w:after="200"/>
        <w:jc w:val="center"/>
      </w:pPr>
      <w:r>
        <w:rPr>
          <w:rFonts w:ascii="黑体" w:hAnsi="黑体" w:eastAsia="黑体"/>
          <w:sz w:val="21"/>
        </w:rPr>
        <w:t>图5.1  标准词元效值折算体系的构建框架</w:t>
      </w:r>
    </w:p>
    <w:p>
      <w:pPr>
        <w:spacing w:line="360" w:lineRule="auto" w:after="0"/>
        <w:ind w:firstLineChars="200" w:firstLine="480"/>
        <w:jc w:val="both"/>
      </w:pPr>
      <w:r>
        <w:rPr>
          <w:rFonts w:ascii="宋体" w:hAnsi="宋体" w:eastAsia="宋体"/>
          <w:sz w:val="24"/>
        </w:rPr>
        <w:t>图5.1的框架有三点设计意图需要说明。</w:t>
      </w:r>
      <w:r>
        <w:rPr>
          <w:rFonts w:ascii="宋体" w:hAnsi="宋体" w:eastAsia="宋体"/>
          <w:b/>
          <w:sz w:val="24"/>
        </w:rPr>
        <w:t>其一是「测度—合成—输出」的三段式分工。</w:t>
      </w:r>
      <w:r>
        <w:rPr>
          <w:rFonts w:ascii="宋体" w:hAnsi="宋体" w:eastAsia="宋体"/>
          <w:sz w:val="24"/>
        </w:rPr>
        <w:t>测度段解决各维度怎么量的问题，属于工程与评测的范畴，本书充分借重既有评测方法与实测数据；合成段解决各维度怎么合的问题，属于经济学的范畴，是本书的贡献所在；输出段解决合成结果怎么用的问题，决定了折算体系的价值最终由下游应用检验。三段之中，唯有中段是既有工作留下的空白。</w:t>
      </w:r>
      <w:r>
        <w:rPr>
          <w:rFonts w:ascii="宋体" w:hAnsi="宋体" w:eastAsia="宋体"/>
          <w:b/>
          <w:sz w:val="24"/>
        </w:rPr>
        <w:t>其二是公理约束的位置。</w:t>
      </w:r>
      <w:r>
        <w:rPr>
          <w:rFonts w:ascii="宋体" w:hAnsi="宋体" w:eastAsia="宋体"/>
          <w:sz w:val="24"/>
        </w:rPr>
        <w:t>四条公理不是在合成之后附加的性质检验，而是在合成之前施加的形式约束——正是这组约束把无穷多种可能的合成方式收缩为唯一的函数形式，从而使折算体系不依赖于构造者的主观偏好。这一点是本章方法论上最重要的自我要求：若折算函数的形式可以任意选择，那么任何折算结果都只是一种意见，而非一个计量结论。</w:t>
      </w:r>
      <w:r>
        <w:rPr>
          <w:rFonts w:ascii="宋体" w:hAnsi="宋体" w:eastAsia="宋体"/>
          <w:b/>
          <w:sz w:val="24"/>
        </w:rPr>
        <w:t>其三是反馈回路的必要性。</w:t>
      </w:r>
      <w:r>
        <w:rPr>
          <w:rFonts w:ascii="宋体" w:hAnsi="宋体" w:eastAsia="宋体"/>
          <w:sz w:val="24"/>
        </w:rPr>
        <w:t>词元的技术形态处于快速演化之中，基准任务集与权重都不可能一次标定终身适用；框架右侧的反馈通道意味着折算体系必须是一个可更新的动态制度，其更新规则本身也需要被制度化，这一点将在5.6节与第14章的政策建议中展开。</w:t>
      </w:r>
    </w:p>
    <w:p>
      <w:pPr>
        <w:keepNext/>
        <w:spacing w:before="160" w:after="120" w:line="360" w:lineRule="auto"/>
        <w:outlineLvl w:val="1"/>
      </w:pPr>
      <w:r>
        <w:rPr>
          <w:rFonts w:ascii="黑体" w:hAnsi="黑体" w:eastAsia="黑体"/>
          <w:sz w:val="28"/>
        </w:rPr>
        <w:t>5.2  三维效值：界定、测度与数据基础</w:t>
      </w:r>
    </w:p>
    <w:p>
      <w:pPr>
        <w:keepNext/>
        <w:spacing w:before="160" w:after="120" w:line="360" w:lineRule="auto"/>
        <w:outlineLvl w:val="2"/>
      </w:pPr>
      <w:r>
        <w:rPr>
          <w:rFonts w:ascii="黑体" w:hAnsi="黑体" w:eastAsia="黑体"/>
          <w:sz w:val="24"/>
        </w:rPr>
        <w:t>5.2.1  维度选择的逻辑：投入侧、产出侧与价值侧</w:t>
      </w:r>
    </w:p>
    <w:p>
      <w:pPr>
        <w:spacing w:line="360" w:lineRule="auto" w:after="0"/>
        <w:ind w:firstLineChars="200" w:firstLine="480"/>
        <w:jc w:val="both"/>
      </w:pPr>
      <w:r>
        <w:rPr>
          <w:rFonts w:ascii="宋体" w:hAnsi="宋体" w:eastAsia="宋体"/>
          <w:sz w:val="24"/>
        </w:rPr>
        <w:t>折算函数的第一步是确定刻度维度。维度过少会遗漏价值密度的主要来源，维度过多则会引入共线与冗余，并使标定所需的观测急剧增加。本书选择三个维度，其依据不是经验拟合的便利，而是一条经济学上的完备性论证：一枚词元的价值密度，必然同时受到「它耗费了什么」「它产出了什么」与「它用在哪里」三重决定，缺一不可。</w:t>
      </w:r>
    </w:p>
    <w:p>
      <w:pPr>
        <w:spacing w:line="360" w:lineRule="auto" w:after="0"/>
        <w:ind w:firstLineChars="200" w:firstLine="480"/>
        <w:jc w:val="both"/>
      </w:pPr>
      <w:r>
        <w:rPr>
          <w:rFonts w:ascii="宋体" w:hAnsi="宋体" w:eastAsia="宋体"/>
          <w:b/>
          <w:sz w:val="24"/>
        </w:rPr>
        <w:t>算力强度</w:t>
      </w:r>
      <m:oMath>
        <m:r>
          <m:t>P</m:t>
        </m:r>
      </m:oMath>
      <w:r>
        <w:rPr>
          <w:rFonts w:ascii="宋体" w:hAnsi="宋体" w:eastAsia="宋体"/>
          <w:b/>
          <w:sz w:val="24"/>
        </w:rPr>
        <w:t>刻画投入侧。</w:t>
      </w:r>
      <w:r>
        <w:rPr>
          <w:rFonts w:ascii="宋体" w:hAnsi="宋体" w:eastAsia="宋体"/>
          <w:sz w:val="24"/>
        </w:rPr>
        <w:t>它度量生成单枚词元所耗浮点运算量相对基准的倍数，直接承接第3章式(3-1)与式(3-2)给出的单词元算力函数。投入侧维度不可省略的理由是：在竞争性供给条件下，价格的下界由成本决定，而词元的成本几乎完全由算力耗费决定；忽略</w:t>
      </w:r>
      <m:oMath>
        <m:r>
          <m:t>P</m:t>
        </m:r>
      </m:oMath>
      <w:r>
        <w:rPr>
          <w:rFonts w:ascii="宋体" w:hAnsi="宋体" w:eastAsia="宋体"/>
          <w:sz w:val="24"/>
        </w:rPr>
        <w:t>的折算体系将无法解释价格地板的存在，也无法与第7章的三层定价结构衔接。</w:t>
      </w:r>
      <w:r>
        <w:rPr>
          <w:rFonts w:ascii="宋体" w:hAnsi="宋体" w:eastAsia="宋体"/>
          <w:b/>
          <w:sz w:val="24"/>
        </w:rPr>
        <w:t>推理质量</w:t>
      </w:r>
      <m:oMath>
        <m:r>
          <m:t>R</m:t>
        </m:r>
      </m:oMath>
      <w:r>
        <w:rPr>
          <w:rFonts w:ascii="宋体" w:hAnsi="宋体" w:eastAsia="宋体"/>
          <w:b/>
          <w:sz w:val="24"/>
        </w:rPr>
        <w:t>刻画产出侧。</w:t>
      </w:r>
      <w:r>
        <w:rPr>
          <w:rFonts w:ascii="宋体" w:hAnsi="宋体" w:eastAsia="宋体"/>
          <w:sz w:val="24"/>
        </w:rPr>
        <w:t>它度量单枚词元承载的有效信息量与任务达成度相对基准的倍数。产出侧维度不可省略的理由是：投入不等于产出，同样的算力耗费可能生成高度冗余的输出；仅以</w:t>
      </w:r>
      <m:oMath>
        <m:r>
          <m:t>P</m:t>
        </m:r>
      </m:oMath>
      <w:r>
        <w:rPr>
          <w:rFonts w:ascii="宋体" w:hAnsi="宋体" w:eastAsia="宋体"/>
          <w:sz w:val="24"/>
        </w:rPr>
        <w:t>折算，等于把低效率的冗长生成奖励为高价值，这与经济学的基本直觉直接冲突。</w:t>
      </w:r>
      <w:r>
        <w:rPr>
          <w:rFonts w:ascii="宋体" w:hAnsi="宋体" w:eastAsia="宋体"/>
          <w:b/>
          <w:sz w:val="24"/>
        </w:rPr>
        <w:t>场景效用</w:t>
      </w:r>
      <m:oMath>
        <m:r>
          <m:t>S</m:t>
        </m:r>
      </m:oMath>
      <w:r>
        <w:rPr>
          <w:rFonts w:ascii="宋体" w:hAnsi="宋体" w:eastAsia="宋体"/>
          <w:b/>
          <w:sz w:val="24"/>
        </w:rPr>
        <w:t>刻画价值侧。</w:t>
      </w:r>
      <w:r>
        <w:rPr>
          <w:rFonts w:ascii="宋体" w:hAnsi="宋体" w:eastAsia="宋体"/>
          <w:sz w:val="24"/>
        </w:rPr>
        <w:t>它度量应用场景的价值密度，即单位任务所替代的人类认知劳动的价值。价值侧维度不可省略的理由是：词元的价值实现于场景之中，同一枚技术属性完全相同的词元，用于科研分析与用于闲聊问答，其经济意义相差悬殊——第3章3.2.3节已把场景依赖性列为词元区别于传统当量对象的最特殊属性。</w:t>
      </w:r>
    </w:p>
    <w:p>
      <w:pPr>
        <w:spacing w:line="360" w:lineRule="auto" w:after="0"/>
        <w:ind w:firstLineChars="200" w:firstLine="480"/>
        <w:jc w:val="both"/>
      </w:pPr>
      <w:r>
        <w:rPr>
          <w:rFonts w:ascii="宋体" w:hAnsi="宋体" w:eastAsia="宋体"/>
          <w:sz w:val="24"/>
        </w:rPr>
        <w:t>三个维度之间存在相关但不共线的关系，这是折算可行的技术前提。高档位模型通常同时具有更高的算力强度与更高的推理质量，但二者的增长速度并不同步：本书校准的六档位数据显示，算力强度的档位间倍差达38.2倍，而推理质量的倍差仅6.7倍，场景效用的倍差更小，仅3.2倍。这一「投入侧离散远大于产出侧离散」的格局本身就是重要的经济事实：它说明模型能力谱系上存在显著的边际报酬递减，也说明任何仅从质量评测出发的折算方案都会遗漏最主要的离散来源。规模律研究为这一格局提供了技术解释——模型性能随参数量、数据量与计算量呈幂律增长，指数显著小于1（Kaplan等，2020），计算最优的参数—数据配比进一步刻画了给定算力预算下的最优模型形态（Hoffmann等，2022）；幂律指数小于1，正是「算力涨十倍、质量涨不到一倍」的数学表达。</w:t>
      </w:r>
    </w:p>
    <w:p>
      <w:pPr>
        <w:keepNext/>
        <w:spacing w:before="160" w:after="120" w:line="360" w:lineRule="auto"/>
        <w:outlineLvl w:val="2"/>
      </w:pPr>
      <w:r>
        <w:rPr>
          <w:rFonts w:ascii="黑体" w:hAnsi="黑体" w:eastAsia="黑体"/>
          <w:sz w:val="24"/>
        </w:rPr>
        <w:t>5.2.2  算力强度 P：投入侧刻度及其可调度性</w:t>
      </w:r>
    </w:p>
    <w:p>
      <w:pPr>
        <w:spacing w:line="360" w:lineRule="auto" w:after="0"/>
        <w:ind w:firstLineChars="200" w:firstLine="480"/>
        <w:jc w:val="both"/>
      </w:pPr>
      <w:r>
        <w:rPr>
          <w:rFonts w:ascii="宋体" w:hAnsi="宋体" w:eastAsia="宋体"/>
          <w:sz w:val="24"/>
        </w:rPr>
        <w:t>算力强度的测度必须回答一个技术问题：单枚词元的浮点运算量并非常数，它随上下文长度、缓存命中率与批处理策略而变。第3章式(3-2)已给出任务</w:t>
      </w:r>
      <m:oMath>
        <m:r>
          <m:t>j</m:t>
        </m:r>
      </m:oMath>
      <w:r>
        <w:rPr>
          <w:rFonts w:ascii="宋体" w:hAnsi="宋体" w:eastAsia="宋体"/>
          <w:sz w:val="24"/>
        </w:rPr>
        <w:t>在模型</w:t>
      </w:r>
      <m:oMath>
        <m:r>
          <m:t>m</m:t>
        </m:r>
      </m:oMath>
      <w:r>
        <w:rPr>
          <w:rFonts w:ascii="宋体" w:hAnsi="宋体" w:eastAsia="宋体"/>
          <w:sz w:val="24"/>
        </w:rPr>
        <w:t>下的总算力消耗</w:t>
      </w:r>
      <m:oMath>
        <m:sSub>
          <m:e>
            <m:r>
              <m:t>Φ</m:t>
            </m:r>
          </m:e>
          <m:sub>
            <m:r>
              <m:t>m</m:t>
            </m:r>
          </m:sub>
        </m:sSub>
        <m:d>
          <m:dPr>
            <m:begChr m:val="("/>
            <m:endChr m:val=")"/>
            <m:grow/>
          </m:dPr>
          <m:e>
            <m:r>
              <m:t>j</m:t>
            </m:r>
          </m:e>
        </m:d>
      </m:oMath>
      <w:r>
        <w:rPr>
          <w:rFonts w:ascii="宋体" w:hAnsi="宋体" w:eastAsia="宋体"/>
          <w:sz w:val="24"/>
        </w:rPr>
        <w:t>，它同时包含预填充与解码两个阶段、并显式包含缓存命中率</w:t>
      </w:r>
      <m:oMath>
        <m:sSub>
          <m:e>
            <m:r>
              <m:t>h</m:t>
            </m:r>
          </m:e>
          <m:sub>
            <m:r>
              <m:t>j</m:t>
            </m:r>
          </m:sub>
        </m:sSub>
      </m:oMath>
      <w:r>
        <w:rPr>
          <w:rFonts w:ascii="宋体" w:hAnsi="宋体" w:eastAsia="宋体"/>
          <w:sz w:val="24"/>
        </w:rPr>
        <w:t>。据此，档位</w:t>
      </w:r>
      <m:oMath>
        <m:r>
          <m:t>m</m:t>
        </m:r>
      </m:oMath>
      <w:r>
        <w:rPr>
          <w:rFonts w:ascii="宋体" w:hAnsi="宋体" w:eastAsia="宋体"/>
          <w:sz w:val="24"/>
        </w:rPr>
        <w:t>的算力强度定义为基准任务集上单位输出词元算力消耗的加权比值：</w:t>
      </w:r>
    </w:p>
    <w:p>
      <w:pPr>
        <w:tabs>
          <w:tab w:pos="4252" w:val="center"/>
          <w:tab w:pos="8504" w:val="right"/>
        </w:tabs>
        <w:spacing w:line="360" w:lineRule="auto" w:before="80" w:after="80"/>
      </w:pPr>
      <w:r>
        <w:tab/>
      </w:r>
      <m:oMath>
        <m:sSub>
          <m:e>
            <m:r>
              <m:t>P</m:t>
            </m:r>
          </m:e>
          <m:sub>
            <m:r>
              <m:t>m</m:t>
            </m:r>
          </m:sub>
        </m:sSub>
        <m:r>
          <m:rPr>
            <m:sty m:val="p"/>
          </m:rPr>
          <m:t>=</m:t>
        </m:r>
        <m:f>
          <m:fPr>
            <m:type m:val="bar"/>
          </m:fPr>
          <m:num>
            <m:nary>
              <m:naryPr>
                <m:chr m:val="∑"/>
                <m:limLoc m:val="undOvr"/>
                <m:subHide m:val="off"/>
                <m:supHide m:val="on"/>
              </m:naryPr>
              <m:sub>
                <m:r>
                  <m:t>j</m:t>
                </m:r>
                <m:r>
                  <m:rPr>
                    <m:sty m:val="p"/>
                  </m:rPr>
                  <m:t>∈</m:t>
                </m:r>
                <m:sSub>
                  <m:e>
                    <m:r>
                      <m:rPr>
                        <m:scr m:val="script"/>
                        <m:sty m:val="p"/>
                      </m:rPr>
                      <m:t>J</m:t>
                    </m:r>
                  </m:e>
                  <m:sub>
                    <m:r>
                      <m:t>0</m:t>
                    </m:r>
                  </m:sub>
                </m:sSub>
              </m:sub>
              <m:sup>
                <m:r>
                  <m:t>​</m:t>
                </m:r>
              </m:sup>
              <m:e>
                <m:sSub>
                  <m:e>
                    <m:r>
                      <m:t>ω</m:t>
                    </m:r>
                  </m:e>
                  <m:sub>
                    <m:r>
                      <m:t>j</m:t>
                    </m:r>
                  </m:sub>
                </m:sSub>
              </m:e>
            </m:nary>
            <m:r>
              <m:t> </m:t>
            </m:r>
            <m:sSub>
              <m:e>
                <m:r>
                  <m:t>Φ</m:t>
                </m:r>
              </m:e>
              <m:sub>
                <m:r>
                  <m:t>m</m:t>
                </m:r>
              </m:sub>
            </m:sSub>
            <m:d>
              <m:dPr>
                <m:begChr m:val="("/>
                <m:endChr m:val=")"/>
                <m:grow/>
              </m:dPr>
              <m:e>
                <m:r>
                  <m:t>j</m:t>
                </m:r>
              </m:e>
            </m:d>
            <m:r>
              <m:rPr>
                <m:sty m:val="p"/>
              </m:rPr>
              <m:t>/</m:t>
            </m:r>
            <m:sSubSup>
              <m:e>
                <m:r>
                  <m:rPr>
                    <m:sty m:val="p"/>
                  </m:rPr>
                  <m:t>ℓ</m:t>
                </m:r>
              </m:e>
              <m:sub>
                <m:r>
                  <m:t>m</m:t>
                </m:r>
                <m:r>
                  <m:t>j</m:t>
                </m:r>
              </m:sub>
              <m:sup>
                <m:r>
                  <m:t>o</m:t>
                </m:r>
                <m:r>
                  <m:t>u</m:t>
                </m:r>
                <m:r>
                  <m:t>t</m:t>
                </m:r>
              </m:sup>
            </m:sSubSup>
          </m:num>
          <m:den>
            <m:nary>
              <m:naryPr>
                <m:chr m:val="∑"/>
                <m:limLoc m:val="undOvr"/>
                <m:subHide m:val="off"/>
                <m:supHide m:val="on"/>
              </m:naryPr>
              <m:sub>
                <m:r>
                  <m:t>j</m:t>
                </m:r>
                <m:r>
                  <m:rPr>
                    <m:sty m:val="p"/>
                  </m:rPr>
                  <m:t>∈</m:t>
                </m:r>
                <m:sSub>
                  <m:e>
                    <m:r>
                      <m:rPr>
                        <m:scr m:val="script"/>
                        <m:sty m:val="p"/>
                      </m:rPr>
                      <m:t>J</m:t>
                    </m:r>
                  </m:e>
                  <m:sub>
                    <m:r>
                      <m:t>0</m:t>
                    </m:r>
                  </m:sub>
                </m:sSub>
              </m:sub>
              <m:sup>
                <m:r>
                  <m:t>​</m:t>
                </m:r>
              </m:sup>
              <m:e>
                <m:sSub>
                  <m:e>
                    <m:r>
                      <m:t>ω</m:t>
                    </m:r>
                  </m:e>
                  <m:sub>
                    <m:r>
                      <m:t>j</m:t>
                    </m:r>
                  </m:sub>
                </m:sSub>
              </m:e>
            </m:nary>
            <m:r>
              <m:t> </m:t>
            </m:r>
            <m:sSub>
              <m:e>
                <m:r>
                  <m:t>Φ</m:t>
                </m:r>
              </m:e>
              <m:sub>
                <m:r>
                  <m:t>0</m:t>
                </m:r>
              </m:sub>
            </m:sSub>
            <m:d>
              <m:dPr>
                <m:begChr m:val="("/>
                <m:endChr m:val=")"/>
                <m:grow/>
              </m:dPr>
              <m:e>
                <m:r>
                  <m:t>j</m:t>
                </m:r>
              </m:e>
            </m:d>
            <m:r>
              <m:rPr>
                <m:sty m:val="p"/>
              </m:rPr>
              <m:t>/</m:t>
            </m:r>
            <m:sSubSup>
              <m:e>
                <m:r>
                  <m:rPr>
                    <m:sty m:val="p"/>
                  </m:rPr>
                  <m:t>ℓ</m:t>
                </m:r>
              </m:e>
              <m:sub>
                <m:r>
                  <m:t>0</m:t>
                </m:r>
                <m:r>
                  <m:t>j</m:t>
                </m:r>
              </m:sub>
              <m:sup>
                <m:r>
                  <m:t>o</m:t>
                </m:r>
                <m:r>
                  <m:t>u</m:t>
                </m:r>
                <m:r>
                  <m:t>t</m:t>
                </m:r>
              </m:sup>
            </m:sSubSup>
          </m:den>
        </m:f>
      </m:oMath>
      <w:r>
        <w:tab/>
      </w:r>
      <w:r>
        <w:rPr>
          <w:rFonts w:ascii="Times New Roman" w:hAnsi="Times New Roman" w:eastAsia="宋体"/>
          <w:sz w:val="24"/>
        </w:rPr>
        <w:t>(5-3)</w:t>
      </w:r>
    </w:p>
    <w:p>
      <w:pPr>
        <w:spacing w:line="360" w:lineRule="auto" w:after="0"/>
        <w:jc w:val="both"/>
      </w:pPr>
      <w:r>
        <w:rPr>
          <w:rFonts w:ascii="宋体" w:hAnsi="宋体" w:eastAsia="宋体"/>
          <w:sz w:val="24"/>
        </w:rPr>
        <w:t>其中，</w:t>
      </w:r>
      <m:oMath>
        <m:sSub>
          <m:e>
            <m:r>
              <m:rPr>
                <m:scr m:val="script"/>
                <m:sty m:val="p"/>
              </m:rPr>
              <m:t>J</m:t>
            </m:r>
          </m:e>
          <m:sub>
            <m:r>
              <m:t>0</m:t>
            </m:r>
          </m:sub>
        </m:sSub>
      </m:oMath>
      <w:r>
        <w:rPr>
          <w:rFonts w:ascii="宋体" w:hAnsi="宋体" w:eastAsia="宋体"/>
          <w:sz w:val="24"/>
        </w:rPr>
        <w:t>为基准任务集，</w:t>
      </w:r>
      <m:oMath>
        <m:sSub>
          <m:e>
            <m:r>
              <m:t>ω</m:t>
            </m:r>
          </m:e>
          <m:sub>
            <m:r>
              <m:t>j</m:t>
            </m:r>
          </m:sub>
        </m:sSub>
      </m:oMath>
      <w:r>
        <w:rPr>
          <w:rFonts w:ascii="宋体" w:hAnsi="宋体" w:eastAsia="宋体"/>
          <w:sz w:val="24"/>
        </w:rPr>
        <w:t>为任务</w:t>
      </w:r>
      <m:oMath>
        <m:r>
          <m:t>j</m:t>
        </m:r>
      </m:oMath>
      <w:r>
        <w:rPr>
          <w:rFonts w:ascii="宋体" w:hAnsi="宋体" w:eastAsia="宋体"/>
          <w:sz w:val="24"/>
        </w:rPr>
        <w:t>在基准任务集中的权重且</w:t>
      </w:r>
      <m:oMath>
        <m:nary>
          <m:naryPr>
            <m:chr m:val="∑"/>
            <m:limLoc m:val="undOvr"/>
            <m:subHide m:val="off"/>
            <m:supHide m:val="on"/>
          </m:naryPr>
          <m:sub>
            <m:r>
              <m:t>j</m:t>
            </m:r>
          </m:sub>
          <m:sup>
            <m:r>
              <m:t>​</m:t>
            </m:r>
          </m:sup>
          <m:e>
            <m:sSub>
              <m:e>
                <m:r>
                  <m:t>ω</m:t>
                </m:r>
              </m:e>
              <m:sub>
                <m:r>
                  <m:t>j</m:t>
                </m:r>
              </m:sub>
            </m:sSub>
          </m:e>
        </m:nary>
        <m:r>
          <m:rPr>
            <m:sty m:val="p"/>
          </m:rPr>
          <m:t>=</m:t>
        </m:r>
        <m:r>
          <m:t>1</m:t>
        </m:r>
      </m:oMath>
      <w:r>
        <w:rPr>
          <w:rFonts w:ascii="宋体" w:hAnsi="宋体" w:eastAsia="宋体"/>
          <w:sz w:val="24"/>
        </w:rPr>
        <w:t>，</w:t>
      </w:r>
      <m:oMath>
        <m:sSubSup>
          <m:e>
            <m:r>
              <m:rPr>
                <m:sty m:val="p"/>
              </m:rPr>
              <m:t>ℓ</m:t>
            </m:r>
          </m:e>
          <m:sub>
            <m:r>
              <m:t>m</m:t>
            </m:r>
            <m:r>
              <m:t>j</m:t>
            </m:r>
          </m:sub>
          <m:sup>
            <m:r>
              <m:t>o</m:t>
            </m:r>
            <m:r>
              <m:t>u</m:t>
            </m:r>
            <m:r>
              <m:t>t</m:t>
            </m:r>
          </m:sup>
        </m:sSubSup>
      </m:oMath>
      <w:r>
        <w:rPr>
          <w:rFonts w:ascii="宋体" w:hAnsi="宋体" w:eastAsia="宋体"/>
          <w:sz w:val="24"/>
        </w:rPr>
        <w:t>为模型</w:t>
      </w:r>
      <m:oMath>
        <m:r>
          <m:t>m</m:t>
        </m:r>
      </m:oMath>
      <w:r>
        <w:rPr>
          <w:rFonts w:ascii="宋体" w:hAnsi="宋体" w:eastAsia="宋体"/>
          <w:sz w:val="24"/>
        </w:rPr>
        <w:t>完成任务</w:t>
      </w:r>
      <m:oMath>
        <m:r>
          <m:t>j</m:t>
        </m:r>
      </m:oMath>
      <w:r>
        <w:rPr>
          <w:rFonts w:ascii="宋体" w:hAnsi="宋体" w:eastAsia="宋体"/>
          <w:sz w:val="24"/>
        </w:rPr>
        <w:t>的输出词元数，下标0表示基准档；</w:t>
      </w:r>
      <m:oMath>
        <m:sSub>
          <m:e>
            <m:r>
              <m:t>P</m:t>
            </m:r>
          </m:e>
          <m:sub>
            <m:r>
              <m:t>0</m:t>
            </m:r>
          </m:sub>
        </m:sSub>
        <m:r>
          <m:rPr>
            <m:sty m:val="p"/>
          </m:rPr>
          <m:t>=</m:t>
        </m:r>
        <m:r>
          <m:t>1</m:t>
        </m:r>
      </m:oMath>
      <w:r>
        <w:rPr>
          <w:rFonts w:ascii="宋体" w:hAnsi="宋体" w:eastAsia="宋体"/>
          <w:sz w:val="24"/>
        </w:rPr>
        <w:t>由定义直接成立。</w:t>
      </w:r>
    </w:p>
    <w:p>
      <w:pPr>
        <w:spacing w:line="360" w:lineRule="auto" w:after="0"/>
        <w:ind w:firstLineChars="200" w:firstLine="480"/>
        <w:jc w:val="both"/>
      </w:pPr>
      <w:r>
        <w:rPr>
          <w:rFonts w:ascii="宋体" w:hAnsi="宋体" w:eastAsia="宋体"/>
          <w:sz w:val="24"/>
        </w:rPr>
        <w:t>式(5-3)的三个设计细节值得说明。</w:t>
      </w:r>
      <w:r>
        <w:rPr>
          <w:rFonts w:ascii="宋体" w:hAnsi="宋体" w:eastAsia="宋体"/>
          <w:b/>
          <w:sz w:val="24"/>
        </w:rPr>
        <w:t>第一，以输出词元数而非请求数为分母。</w:t>
      </w:r>
      <w:r>
        <w:rPr>
          <w:rFonts w:ascii="宋体" w:hAnsi="宋体" w:eastAsia="宋体"/>
          <w:sz w:val="24"/>
        </w:rPr>
        <w:t>这保证</w:t>
      </w:r>
      <m:oMath>
        <m:r>
          <m:t>P</m:t>
        </m:r>
      </m:oMath>
      <w:r>
        <w:rPr>
          <w:rFonts w:ascii="宋体" w:hAnsi="宋体" w:eastAsia="宋体"/>
          <w:sz w:val="24"/>
        </w:rPr>
        <w:t>的量纲是「每枚词元的算力」而非「每次请求的算力」，与折算对象的层次一致。</w:t>
      </w:r>
      <w:r>
        <w:rPr>
          <w:rFonts w:ascii="宋体" w:hAnsi="宋体" w:eastAsia="宋体"/>
          <w:b/>
          <w:sz w:val="24"/>
        </w:rPr>
        <w:t>第二，分子与分母各自按任务加权后再取比值，而非逐任务取比值再加权。</w:t>
      </w:r>
      <w:r>
        <w:rPr>
          <w:rFonts w:ascii="宋体" w:hAnsi="宋体" w:eastAsia="宋体"/>
          <w:sz w:val="24"/>
        </w:rPr>
        <w:t>前者度量的是「完成同一组任务的总算力之比」，后者度量的是「各任务算力比的平均」，在任务规模差异悬殊时两者可以相去甚远；前者才符合当量折算的可加性要求。</w:t>
      </w:r>
      <w:r>
        <w:rPr>
          <w:rFonts w:ascii="宋体" w:hAnsi="宋体" w:eastAsia="宋体"/>
          <w:b/>
          <w:sz w:val="24"/>
        </w:rPr>
        <w:t>第三，</w:t>
      </w:r>
      <m:oMath>
        <m:sSub>
          <m:e>
            <m:r>
              <m:t>Φ</m:t>
            </m:r>
          </m:e>
          <m:sub>
            <m:r>
              <m:t>m</m:t>
            </m:r>
          </m:sub>
        </m:sSub>
        <m:d>
          <m:dPr>
            <m:begChr m:val="("/>
            <m:endChr m:val=")"/>
            <m:grow/>
          </m:dPr>
          <m:e>
            <m:r>
              <m:t>j</m:t>
            </m:r>
          </m:e>
        </m:d>
      </m:oMath>
      <w:r>
        <w:rPr>
          <w:rFonts w:ascii="宋体" w:hAnsi="宋体" w:eastAsia="宋体"/>
          <w:b/>
          <w:sz w:val="24"/>
        </w:rPr>
        <w:t>取设计值而非某次实现值。</w:t>
      </w:r>
      <w:r>
        <w:rPr>
          <w:rFonts w:ascii="宋体" w:hAnsi="宋体" w:eastAsia="宋体"/>
          <w:sz w:val="24"/>
        </w:rPr>
        <w:t>推理系统的工程优化会显著改变实际算力消耗：分页式键值缓存管理大幅提高显存利用率与并发能力（Kwon等，2023），连续批处理把请求级调度细化到迭代级（Yu等，2022），分块预填充在吞吐与时延之间重新配平（Agrawal等，2024），预填充与解码的分离部署进一步降低了阶段间的相互干扰（Zhong等，2024），注意力算子的输入输出感知实现则直接削减了显存读写开销（Dao等，2022），大规模并行推理的切分策略亦对单位成本有系统影响（Pope等，2023）。这些优化属于第9章讨论的转化效率</w:t>
      </w:r>
      <m:oMath>
        <m:r>
          <m:t>θ</m:t>
        </m:r>
      </m:oMath>
      <w:r>
        <w:rPr>
          <w:rFonts w:ascii="宋体" w:hAnsi="宋体" w:eastAsia="宋体"/>
          <w:sz w:val="24"/>
        </w:rPr>
        <w:t>范畴，若把它们计入</w:t>
      </w:r>
      <m:oMath>
        <m:r>
          <m:t>P</m:t>
        </m:r>
      </m:oMath>
      <w:r>
        <w:rPr>
          <w:rFonts w:ascii="宋体" w:hAnsi="宋体" w:eastAsia="宋体"/>
          <w:sz w:val="24"/>
        </w:rPr>
        <w:t>，同一模型在不同服务商处会得到不同的效值系数，折算体系将失去跨主体可比性。因此本书作出明确的口径划分：</w:t>
      </w:r>
      <m:oMath>
        <m:r>
          <m:t>P</m:t>
        </m:r>
      </m:oMath>
      <w:r>
        <w:rPr>
          <w:rFonts w:ascii="宋体" w:hAnsi="宋体" w:eastAsia="宋体"/>
          <w:b/>
          <w:sz w:val="24"/>
        </w:rPr>
        <w:t>度量模型的技术属性，工程实现的效率差异归入转化效率</w:t>
      </w:r>
      <m:oMath>
        <m:r>
          <m:t>θ</m:t>
        </m:r>
      </m:oMath>
      <w:r>
        <w:rPr>
          <w:rFonts w:ascii="宋体" w:hAnsi="宋体" w:eastAsia="宋体"/>
          <w:sz w:val="24"/>
        </w:rPr>
        <w:t>，二者在第9章相遇。</w:t>
      </w:r>
    </w:p>
    <w:p>
      <w:pPr>
        <w:keepNext/>
        <w:spacing w:before="160" w:after="120" w:line="360" w:lineRule="auto"/>
        <w:outlineLvl w:val="2"/>
      </w:pPr>
      <w:r>
        <w:rPr>
          <w:rFonts w:ascii="黑体" w:hAnsi="黑体" w:eastAsia="黑体"/>
          <w:sz w:val="24"/>
        </w:rPr>
        <w:t>5.2.3  推理质量 R：产出侧刻度与信息密度原则</w:t>
      </w:r>
    </w:p>
    <w:p>
      <w:pPr>
        <w:spacing w:line="360" w:lineRule="auto" w:after="0"/>
        <w:ind w:firstLineChars="200" w:firstLine="480"/>
        <w:jc w:val="both"/>
      </w:pPr>
      <w:r>
        <w:rPr>
          <w:rFonts w:ascii="宋体" w:hAnsi="宋体" w:eastAsia="宋体"/>
          <w:sz w:val="24"/>
        </w:rPr>
        <w:t>推理质量维度最容易被误解为「模型评测得分」。二者有本质区别：评测得分度量的是模型完成任务的能力，而效值折算需要的是</w:t>
      </w:r>
      <w:r>
        <w:rPr>
          <w:rFonts w:ascii="宋体" w:hAnsi="宋体" w:eastAsia="宋体"/>
          <w:b/>
          <w:sz w:val="24"/>
        </w:rPr>
        <w:t>单枚词元承载的能力</w:t>
      </w:r>
      <w:r>
        <w:rPr>
          <w:rFonts w:ascii="宋体" w:hAnsi="宋体" w:eastAsia="宋体"/>
          <w:sz w:val="24"/>
        </w:rPr>
        <w:t>。一个模型若以三倍的输出长度换取略高的任务达成度，其评测得分更高，但每枚词元的价值密度反而更低。据此，推理质量定义为基准任务集上单位输出词元任务达成度的加权比值：</w:t>
      </w:r>
    </w:p>
    <w:p>
      <w:pPr>
        <w:tabs>
          <w:tab w:pos="4252" w:val="center"/>
          <w:tab w:pos="8504" w:val="right"/>
        </w:tabs>
        <w:spacing w:line="360" w:lineRule="auto" w:before="80" w:after="80"/>
      </w:pPr>
      <w:r>
        <w:tab/>
      </w:r>
      <m:oMath>
        <m:sSub>
          <m:e>
            <m:r>
              <m:t>R</m:t>
            </m:r>
          </m:e>
          <m:sub>
            <m:r>
              <m:t>m</m:t>
            </m:r>
          </m:sub>
        </m:sSub>
        <m:r>
          <m:rPr>
            <m:sty m:val="p"/>
          </m:rPr>
          <m:t>=</m:t>
        </m:r>
        <m:f>
          <m:fPr>
            <m:type m:val="bar"/>
          </m:fPr>
          <m:num>
            <m:nary>
              <m:naryPr>
                <m:chr m:val="∑"/>
                <m:limLoc m:val="undOvr"/>
                <m:subHide m:val="off"/>
                <m:supHide m:val="on"/>
              </m:naryPr>
              <m:sub>
                <m:r>
                  <m:t>j</m:t>
                </m:r>
                <m:r>
                  <m:rPr>
                    <m:sty m:val="p"/>
                  </m:rPr>
                  <m:t>∈</m:t>
                </m:r>
                <m:sSub>
                  <m:e>
                    <m:r>
                      <m:rPr>
                        <m:scr m:val="script"/>
                        <m:sty m:val="p"/>
                      </m:rPr>
                      <m:t>J</m:t>
                    </m:r>
                  </m:e>
                  <m:sub>
                    <m:r>
                      <m:t>0</m:t>
                    </m:r>
                  </m:sub>
                </m:sSub>
              </m:sub>
              <m:sup>
                <m:r>
                  <m:t>​</m:t>
                </m:r>
              </m:sup>
              <m:e>
                <m:sSub>
                  <m:e>
                    <m:r>
                      <m:t>ω</m:t>
                    </m:r>
                  </m:e>
                  <m:sub>
                    <m:r>
                      <m:t>j</m:t>
                    </m:r>
                  </m:sub>
                </m:sSub>
              </m:e>
            </m:nary>
            <m:r>
              <m:t> </m:t>
            </m:r>
            <m:sSub>
              <m:e>
                <m:r>
                  <m:t>q</m:t>
                </m:r>
              </m:e>
              <m:sub>
                <m:r>
                  <m:t>m</m:t>
                </m:r>
                <m:r>
                  <m:t>j</m:t>
                </m:r>
              </m:sub>
            </m:sSub>
            <m:r>
              <m:rPr>
                <m:sty m:val="p"/>
              </m:rPr>
              <m:t>/</m:t>
            </m:r>
            <m:sSubSup>
              <m:e>
                <m:r>
                  <m:rPr>
                    <m:sty m:val="p"/>
                  </m:rPr>
                  <m:t>ℓ</m:t>
                </m:r>
              </m:e>
              <m:sub>
                <m:r>
                  <m:t>m</m:t>
                </m:r>
                <m:r>
                  <m:t>j</m:t>
                </m:r>
              </m:sub>
              <m:sup>
                <m:r>
                  <m:t>o</m:t>
                </m:r>
                <m:r>
                  <m:t>u</m:t>
                </m:r>
                <m:r>
                  <m:t>t</m:t>
                </m:r>
              </m:sup>
            </m:sSubSup>
          </m:num>
          <m:den>
            <m:nary>
              <m:naryPr>
                <m:chr m:val="∑"/>
                <m:limLoc m:val="undOvr"/>
                <m:subHide m:val="off"/>
                <m:supHide m:val="on"/>
              </m:naryPr>
              <m:sub>
                <m:r>
                  <m:t>j</m:t>
                </m:r>
                <m:r>
                  <m:rPr>
                    <m:sty m:val="p"/>
                  </m:rPr>
                  <m:t>∈</m:t>
                </m:r>
                <m:sSub>
                  <m:e>
                    <m:r>
                      <m:rPr>
                        <m:scr m:val="script"/>
                        <m:sty m:val="p"/>
                      </m:rPr>
                      <m:t>J</m:t>
                    </m:r>
                  </m:e>
                  <m:sub>
                    <m:r>
                      <m:t>0</m:t>
                    </m:r>
                  </m:sub>
                </m:sSub>
              </m:sub>
              <m:sup>
                <m:r>
                  <m:t>​</m:t>
                </m:r>
              </m:sup>
              <m:e>
                <m:sSub>
                  <m:e>
                    <m:r>
                      <m:t>ω</m:t>
                    </m:r>
                  </m:e>
                  <m:sub>
                    <m:r>
                      <m:t>j</m:t>
                    </m:r>
                  </m:sub>
                </m:sSub>
              </m:e>
            </m:nary>
            <m:r>
              <m:t> </m:t>
            </m:r>
            <m:sSub>
              <m:e>
                <m:r>
                  <m:t>q</m:t>
                </m:r>
              </m:e>
              <m:sub>
                <m:r>
                  <m:t>0</m:t>
                </m:r>
                <m:r>
                  <m:t>j</m:t>
                </m:r>
              </m:sub>
            </m:sSub>
            <m:r>
              <m:rPr>
                <m:sty m:val="p"/>
              </m:rPr>
              <m:t>/</m:t>
            </m:r>
            <m:sSubSup>
              <m:e>
                <m:r>
                  <m:rPr>
                    <m:sty m:val="p"/>
                  </m:rPr>
                  <m:t>ℓ</m:t>
                </m:r>
              </m:e>
              <m:sub>
                <m:r>
                  <m:t>0</m:t>
                </m:r>
                <m:r>
                  <m:t>j</m:t>
                </m:r>
              </m:sub>
              <m:sup>
                <m:r>
                  <m:t>o</m:t>
                </m:r>
                <m:r>
                  <m:t>u</m:t>
                </m:r>
                <m:r>
                  <m:t>t</m:t>
                </m:r>
              </m:sup>
            </m:sSubSup>
          </m:den>
        </m:f>
        <m:r>
          <m:rPr>
            <m:sty m:val="p"/>
          </m:rPr>
          <m:t>,</m:t>
        </m:r>
        <m:r>
          <m:t>  </m:t>
        </m:r>
        <m:sSub>
          <m:e>
            <m:r>
              <m:t>q</m:t>
            </m:r>
          </m:e>
          <m:sub>
            <m:r>
              <m:t>m</m:t>
            </m:r>
            <m:r>
              <m:t>j</m:t>
            </m:r>
          </m:sub>
        </m:sSub>
        <m:r>
          <m:rPr>
            <m:sty m:val="p"/>
          </m:rPr>
          <m:t>∈</m:t>
        </m:r>
        <m:d>
          <m:dPr>
            <m:begChr m:val="["/>
            <m:endChr m:val="]"/>
            <m:grow/>
          </m:dPr>
          <m:e>
            <m:r>
              <m:t>0</m:t>
            </m:r>
            <m:r>
              <m:rPr>
                <m:sty m:val="p"/>
              </m:rPr>
              <m:t>,</m:t>
            </m:r>
            <m:r>
              <m:t>1</m:t>
            </m:r>
          </m:e>
        </m:d>
      </m:oMath>
      <w:r>
        <w:tab/>
      </w:r>
      <w:r>
        <w:rPr>
          <w:rFonts w:ascii="Times New Roman" w:hAnsi="Times New Roman" w:eastAsia="宋体"/>
          <w:sz w:val="24"/>
        </w:rPr>
        <w:t>(5-4)</w:t>
      </w:r>
    </w:p>
    <w:p>
      <w:pPr>
        <w:spacing w:line="360" w:lineRule="auto" w:after="0"/>
        <w:jc w:val="both"/>
      </w:pPr>
      <w:r>
        <w:rPr>
          <w:rFonts w:ascii="宋体" w:hAnsi="宋体" w:eastAsia="宋体"/>
          <w:sz w:val="24"/>
        </w:rPr>
        <w:t>其中，</w:t>
      </w:r>
      <m:oMath>
        <m:sSub>
          <m:e>
            <m:r>
              <m:t>q</m:t>
            </m:r>
          </m:e>
          <m:sub>
            <m:r>
              <m:t>m</m:t>
            </m:r>
            <m:r>
              <m:t>j</m:t>
            </m:r>
          </m:sub>
        </m:sSub>
      </m:oMath>
      <w:r>
        <w:rPr>
          <w:rFonts w:ascii="宋体" w:hAnsi="宋体" w:eastAsia="宋体"/>
          <w:sz w:val="24"/>
        </w:rPr>
        <w:t>为模型</w:t>
      </w:r>
      <m:oMath>
        <m:r>
          <m:t>m</m:t>
        </m:r>
      </m:oMath>
      <w:r>
        <w:rPr>
          <w:rFonts w:ascii="宋体" w:hAnsi="宋体" w:eastAsia="宋体"/>
          <w:sz w:val="24"/>
        </w:rPr>
        <w:t>在任务</w:t>
      </w:r>
      <m:oMath>
        <m:r>
          <m:t>j</m:t>
        </m:r>
      </m:oMath>
      <w:r>
        <w:rPr>
          <w:rFonts w:ascii="宋体" w:hAnsi="宋体" w:eastAsia="宋体"/>
          <w:sz w:val="24"/>
        </w:rPr>
        <w:t>上的达成度评分，取值区间为</w:t>
      </w:r>
      <m:oMath>
        <m:d>
          <m:dPr>
            <m:begChr m:val="["/>
            <m:endChr m:val="]"/>
            <m:grow/>
          </m:dPr>
          <m:e>
            <m:r>
              <m:t>0</m:t>
            </m:r>
            <m:r>
              <m:rPr>
                <m:sty m:val="p"/>
              </m:rPr>
              <m:t>,</m:t>
            </m:r>
            <m:r>
              <m:t>1</m:t>
            </m:r>
          </m:e>
        </m:d>
      </m:oMath>
      <w:r>
        <w:rPr>
          <w:rFonts w:ascii="宋体" w:hAnsi="宋体" w:eastAsia="宋体"/>
          <w:sz w:val="24"/>
        </w:rPr>
        <w:t>，客观题以正确率计、开放式任务以评判打分归一化后计；其余记号同式(5-3)。</w:t>
      </w:r>
    </w:p>
    <w:p>
      <w:pPr>
        <w:spacing w:line="360" w:lineRule="auto" w:after="0"/>
        <w:ind w:firstLineChars="200" w:firstLine="480"/>
        <w:jc w:val="both"/>
      </w:pPr>
      <w:r>
        <w:rPr>
          <w:rFonts w:ascii="宋体" w:hAnsi="宋体" w:eastAsia="宋体"/>
          <w:sz w:val="24"/>
        </w:rPr>
        <w:t>式(5-4)体现的原则可以概括为</w:t>
      </w:r>
      <w:r>
        <w:rPr>
          <w:rFonts w:ascii="宋体" w:hAnsi="宋体" w:eastAsia="宋体"/>
          <w:b/>
          <w:sz w:val="24"/>
        </w:rPr>
        <w:t>信息密度原则</w:t>
      </w:r>
      <w:r>
        <w:rPr>
          <w:rFonts w:ascii="宋体" w:hAnsi="宋体" w:eastAsia="宋体"/>
          <w:sz w:val="24"/>
        </w:rPr>
        <w:t>：折算奖励的是「用更少的词元把事情办成」，而不是「用更多的词元把分数刷高」。这一原则有三重经济含义。其一，它使折算体系内生地抑制冗长生成——在按词元计费的商业模式下，供给方存在延长输出以增加计费量的激励，信息密度原则使这种行为在当量口径下不但无利可图，反而会降低效值系数。其二，它使</w:t>
      </w:r>
      <m:oMath>
        <m:r>
          <m:t>R</m:t>
        </m:r>
      </m:oMath>
      <w:r>
        <w:rPr>
          <w:rFonts w:ascii="宋体" w:hAnsi="宋体" w:eastAsia="宋体"/>
          <w:sz w:val="24"/>
        </w:rPr>
        <w:t>与</w:t>
      </w:r>
      <m:oMath>
        <m:r>
          <m:t>P</m:t>
        </m:r>
      </m:oMath>
      <w:r>
        <w:rPr>
          <w:rFonts w:ascii="宋体" w:hAnsi="宋体" w:eastAsia="宋体"/>
          <w:sz w:val="24"/>
        </w:rPr>
        <w:t>的经济含义严格对偶：</w:t>
      </w:r>
      <m:oMath>
        <m:r>
          <m:t>P</m:t>
        </m:r>
      </m:oMath>
      <w:r>
        <w:rPr>
          <w:rFonts w:ascii="宋体" w:hAnsi="宋体" w:eastAsia="宋体"/>
          <w:sz w:val="24"/>
        </w:rPr>
        <w:t>是「每枚词元的成本投入」，</w:t>
      </w:r>
      <m:oMath>
        <m:r>
          <m:t>R</m:t>
        </m:r>
      </m:oMath>
      <w:r>
        <w:rPr>
          <w:rFonts w:ascii="宋体" w:hAnsi="宋体" w:eastAsia="宋体"/>
          <w:sz w:val="24"/>
        </w:rPr>
        <w:t>是「每枚词元的价值产出」，二者共同决定了词元的技术性价比。其三，它使折算结果对分词器差异具有稳健性——不同分词器对同一文本的切分粒度不同，跨语言的词元计数差异尤为显著（Rust等，2021；Petrov等，2023；Ahia等，2023），而式(5-4)的分子分母同时含有</w:t>
      </w:r>
      <m:oMath>
        <m:sSup>
          <m:e>
            <m:r>
              <m:rPr>
                <m:sty m:val="p"/>
              </m:rPr>
              <m:t>ℓ</m:t>
            </m:r>
          </m:e>
          <m:sup>
            <m:r>
              <m:t>o</m:t>
            </m:r>
            <m:r>
              <m:t>u</m:t>
            </m:r>
            <m:r>
              <m:t>t</m:t>
            </m:r>
          </m:sup>
        </m:sSup>
      </m:oMath>
      <w:r>
        <w:rPr>
          <w:rFonts w:ascii="宋体" w:hAnsi="宋体" w:eastAsia="宋体"/>
          <w:sz w:val="24"/>
        </w:rPr>
        <w:t>，切分粒度的系统性差异在比值中被部分抵消。</w:t>
      </w:r>
    </w:p>
    <w:p>
      <w:pPr>
        <w:spacing w:line="360" w:lineRule="auto" w:after="0"/>
        <w:ind w:firstLineChars="200" w:firstLine="480"/>
        <w:jc w:val="both"/>
      </w:pPr>
      <m:oMath>
        <m:sSub>
          <m:e>
            <m:r>
              <m:t>q</m:t>
            </m:r>
          </m:e>
          <m:sub>
            <m:r>
              <m:t>m</m:t>
            </m:r>
            <m:r>
              <m:t>j</m:t>
            </m:r>
          </m:sub>
        </m:sSub>
      </m:oMath>
      <w:r>
        <w:rPr>
          <w:rFonts w:ascii="宋体" w:hAnsi="宋体" w:eastAsia="宋体"/>
          <w:sz w:val="24"/>
        </w:rPr>
        <w:t>的可测度性依托于近年评测方法的成熟。大规模多任务语言理解基准提供了跨学科的知识与推理测度（Hendrycks等，2021），整体性评估框架把准确性、鲁棒性、效率与公平性等多项指标并置并强调评测情景的完备性（Liang等，2022），模型互评与人类偏好对齐的评判方法则为开放式任务提供了可扩展的打分手段（Zheng等，2023）。需要指出的是，这些评测工作的目标是模型比较与能力诊断，其输出是并列的分项得分；本书调用的只是其中的达成度测量技术，合成规则则由本章的公理体系给出，二者不可混同。此外，实测性能数据同样构成</w:t>
      </w:r>
      <m:oMath>
        <m:r>
          <m:t>R</m:t>
        </m:r>
      </m:oMath>
      <w:r>
        <w:rPr>
          <w:rFonts w:ascii="宋体" w:hAnsi="宋体" w:eastAsia="宋体"/>
          <w:sz w:val="24"/>
        </w:rPr>
        <w:t>与后续</w:t>
      </w:r>
      <m:oMath>
        <m:r>
          <m:t>θ</m:t>
        </m:r>
      </m:oMath>
      <w:r>
        <w:rPr>
          <w:rFonts w:ascii="宋体" w:hAnsi="宋体" w:eastAsia="宋体"/>
          <w:sz w:val="24"/>
        </w:rPr>
        <w:t>测度的基础：清华大学翟季冬团队联合清程极智于2026年5月发布的开源模型 Token 服务性能榜，实测三十余家服务商与四个主流开源模型，其三项核心指标为首词元时延（P90分位）、输出吞吐与缓存命中率——这些是服务性能指标，属于第9章转化效率的测度基础，不直接进入</w:t>
      </w:r>
      <m:oMath>
        <m:r>
          <m:t>R</m:t>
        </m:r>
      </m:oMath>
      <w:r>
        <w:rPr>
          <w:rFonts w:ascii="宋体" w:hAnsi="宋体" w:eastAsia="宋体"/>
          <w:sz w:val="24"/>
        </w:rPr>
        <w:t>，本书在引用时严格区分二者的主体与用途。</w:t>
      </w:r>
    </w:p>
    <w:p>
      <w:pPr>
        <w:keepNext/>
        <w:spacing w:before="160" w:after="120" w:line="360" w:lineRule="auto"/>
        <w:outlineLvl w:val="2"/>
      </w:pPr>
      <w:r>
        <w:rPr>
          <w:rFonts w:ascii="黑体" w:hAnsi="黑体" w:eastAsia="黑体"/>
          <w:sz w:val="24"/>
        </w:rPr>
        <w:t>5.2.4  场景效用 S：价值侧刻度与社会平均口径</w:t>
      </w:r>
    </w:p>
    <w:p>
      <w:pPr>
        <w:spacing w:line="360" w:lineRule="auto" w:after="0"/>
        <w:ind w:firstLineChars="200" w:firstLine="480"/>
        <w:jc w:val="both"/>
      </w:pPr>
      <w:r>
        <w:rPr>
          <w:rFonts w:ascii="宋体" w:hAnsi="宋体" w:eastAsia="宋体"/>
          <w:sz w:val="24"/>
        </w:rPr>
        <w:t>场景效用是三个维度中最具经济学色彩、也最需要谨慎处理的一维。它的界定基础是替代关系：词元之所以有价值，是因为它替代了原本需要由人完成的认知劳动。据此，场景</w:t>
      </w:r>
      <m:oMath>
        <m:r>
          <m:t>j</m:t>
        </m:r>
      </m:oMath>
      <w:r>
        <w:rPr>
          <w:rFonts w:ascii="宋体" w:hAnsi="宋体" w:eastAsia="宋体"/>
          <w:sz w:val="24"/>
        </w:rPr>
        <w:t>的效用系数定义为单位任务所替代的人类认知劳动价值相对基准场景的倍数，档位</w:t>
      </w:r>
      <m:oMath>
        <m:r>
          <m:t>m</m:t>
        </m:r>
      </m:oMath>
      <w:r>
        <w:rPr>
          <w:rFonts w:ascii="宋体" w:hAnsi="宋体" w:eastAsia="宋体"/>
          <w:sz w:val="24"/>
        </w:rPr>
        <w:t>的场景效用则为其实际用量在各场景上的加权：</w:t>
      </w:r>
    </w:p>
    <w:p>
      <w:pPr>
        <w:tabs>
          <w:tab w:pos="4252" w:val="center"/>
          <w:tab w:pos="8504" w:val="right"/>
        </w:tabs>
        <w:spacing w:line="360" w:lineRule="auto" w:before="80" w:after="80"/>
      </w:pPr>
      <w:r>
        <w:tab/>
      </w:r>
      <m:oMath>
        <m:sSub>
          <m:e>
            <m:r>
              <m:t>S</m:t>
            </m:r>
          </m:e>
          <m:sub>
            <m:r>
              <m:t>j</m:t>
            </m:r>
          </m:sub>
        </m:sSub>
        <m:r>
          <m:rPr>
            <m:sty m:val="p"/>
          </m:rPr>
          <m:t>=</m:t>
        </m:r>
        <m:f>
          <m:fPr>
            <m:type m:val="bar"/>
          </m:fPr>
          <m:num>
            <m:sSub>
              <m:e>
                <m:r>
                  <m:t>κ</m:t>
                </m:r>
              </m:e>
              <m:sub>
                <m:r>
                  <m:t>j</m:t>
                </m:r>
              </m:sub>
            </m:sSub>
            <m:r>
              <m:t> </m:t>
            </m:r>
            <m:sSub>
              <m:e>
                <m:r>
                  <m:t>w</m:t>
                </m:r>
              </m:e>
              <m:sub>
                <m:r>
                  <m:t>j</m:t>
                </m:r>
              </m:sub>
            </m:sSub>
            <m:r>
              <m:t> </m:t>
            </m:r>
            <m:sSub>
              <m:e>
                <m:r>
                  <m:t>τ</m:t>
                </m:r>
              </m:e>
              <m:sub>
                <m:r>
                  <m:t>j</m:t>
                </m:r>
              </m:sub>
            </m:sSub>
          </m:num>
          <m:den>
            <m:sSub>
              <m:e>
                <m:r>
                  <m:t>κ</m:t>
                </m:r>
              </m:e>
              <m:sub>
                <m:r>
                  <m:t>0</m:t>
                </m:r>
              </m:sub>
            </m:sSub>
            <m:r>
              <m:t> </m:t>
            </m:r>
            <m:sSub>
              <m:e>
                <m:r>
                  <m:t>w</m:t>
                </m:r>
              </m:e>
              <m:sub>
                <m:r>
                  <m:t>0</m:t>
                </m:r>
              </m:sub>
            </m:sSub>
            <m:r>
              <m:t> </m:t>
            </m:r>
            <m:sSub>
              <m:e>
                <m:r>
                  <m:t>τ</m:t>
                </m:r>
              </m:e>
              <m:sub>
                <m:r>
                  <m:t>0</m:t>
                </m:r>
              </m:sub>
            </m:sSub>
          </m:den>
        </m:f>
        <m:r>
          <m:rPr>
            <m:sty m:val="p"/>
          </m:rPr>
          <m:t>,</m:t>
        </m:r>
        <m:r>
          <m:t>  </m:t>
        </m:r>
        <m:sSub>
          <m:e>
            <m:r>
              <m:t>S</m:t>
            </m:r>
          </m:e>
          <m:sub>
            <m:r>
              <m:t>m</m:t>
            </m:r>
          </m:sub>
        </m:sSub>
        <m:r>
          <m:rPr>
            <m:sty m:val="p"/>
          </m:rPr>
          <m:t>=</m:t>
        </m:r>
        <m:nary>
          <m:naryPr>
            <m:chr m:val="∑"/>
            <m:limLoc m:val="undOvr"/>
            <m:subHide m:val="off"/>
            <m:supHide m:val="on"/>
          </m:naryPr>
          <m:sub>
            <m:r>
              <m:t>j</m:t>
            </m:r>
            <m:r>
              <m:rPr>
                <m:sty m:val="p"/>
              </m:rPr>
              <m:t>∈</m:t>
            </m:r>
            <m:sSub>
              <m:e>
                <m:r>
                  <m:rPr>
                    <m:scr m:val="script"/>
                    <m:sty m:val="p"/>
                  </m:rPr>
                  <m:t>J</m:t>
                </m:r>
              </m:e>
              <m:sub>
                <m:r>
                  <m:t>0</m:t>
                </m:r>
              </m:sub>
            </m:sSub>
          </m:sub>
          <m:sup>
            <m:r>
              <m:t>​</m:t>
            </m:r>
          </m:sup>
          <m:e>
            <m:sSub>
              <m:e>
                <m:r>
                  <m:t>ω</m:t>
                </m:r>
              </m:e>
              <m:sub>
                <m:r>
                  <m:t>m</m:t>
                </m:r>
                <m:r>
                  <m:t>j</m:t>
                </m:r>
              </m:sub>
            </m:sSub>
          </m:e>
        </m:nary>
        <m:r>
          <m:t> </m:t>
        </m:r>
        <m:sSub>
          <m:e>
            <m:r>
              <m:t>S</m:t>
            </m:r>
          </m:e>
          <m:sub>
            <m:r>
              <m:t>j</m:t>
            </m:r>
          </m:sub>
        </m:sSub>
        <m:r>
          <m:rPr>
            <m:sty m:val="p"/>
          </m:rPr>
          <m:t>,</m:t>
        </m:r>
        <m:r>
          <m:t>  </m:t>
        </m:r>
        <m:nary>
          <m:naryPr>
            <m:chr m:val="∑"/>
            <m:limLoc m:val="undOvr"/>
            <m:subHide m:val="off"/>
            <m:supHide m:val="on"/>
          </m:naryPr>
          <m:sub>
            <m:r>
              <m:t>j</m:t>
            </m:r>
            <m:r>
              <m:rPr>
                <m:sty m:val="p"/>
              </m:rPr>
              <m:t>∈</m:t>
            </m:r>
            <m:sSub>
              <m:e>
                <m:r>
                  <m:rPr>
                    <m:scr m:val="script"/>
                    <m:sty m:val="p"/>
                  </m:rPr>
                  <m:t>J</m:t>
                </m:r>
              </m:e>
              <m:sub>
                <m:r>
                  <m:t>0</m:t>
                </m:r>
              </m:sub>
            </m:sSub>
          </m:sub>
          <m:sup>
            <m:r>
              <m:t>​</m:t>
            </m:r>
          </m:sup>
          <m:e>
            <m:sSub>
              <m:e>
                <m:r>
                  <m:t>ω</m:t>
                </m:r>
              </m:e>
              <m:sub>
                <m:r>
                  <m:t>m</m:t>
                </m:r>
                <m:r>
                  <m:t>j</m:t>
                </m:r>
              </m:sub>
            </m:sSub>
          </m:e>
        </m:nary>
        <m:r>
          <m:rPr>
            <m:sty m:val="p"/>
          </m:rPr>
          <m:t>=</m:t>
        </m:r>
        <m:r>
          <m:t>1</m:t>
        </m:r>
      </m:oMath>
      <w:r>
        <w:tab/>
      </w:r>
      <w:r>
        <w:rPr>
          <w:rFonts w:ascii="Times New Roman" w:hAnsi="Times New Roman" w:eastAsia="宋体"/>
          <w:sz w:val="24"/>
        </w:rPr>
        <w:t>(5-5)</w:t>
      </w:r>
    </w:p>
    <w:p>
      <w:pPr>
        <w:spacing w:line="360" w:lineRule="auto" w:after="0"/>
        <w:jc w:val="both"/>
      </w:pPr>
      <w:r>
        <w:rPr>
          <w:rFonts w:ascii="宋体" w:hAnsi="宋体" w:eastAsia="宋体"/>
          <w:sz w:val="24"/>
        </w:rPr>
        <w:t>其中，</w:t>
      </w:r>
      <m:oMath>
        <m:sSub>
          <m:e>
            <m:r>
              <m:t>τ</m:t>
            </m:r>
          </m:e>
          <m:sub>
            <m:r>
              <m:t>j</m:t>
            </m:r>
          </m:sub>
        </m:sSub>
      </m:oMath>
      <w:r>
        <w:rPr>
          <w:rFonts w:ascii="宋体" w:hAnsi="宋体" w:eastAsia="宋体"/>
          <w:sz w:val="24"/>
        </w:rPr>
        <w:t>为完成单位任务</w:t>
      </w:r>
      <m:oMath>
        <m:r>
          <m:t>j</m:t>
        </m:r>
      </m:oMath>
      <w:r>
        <w:rPr>
          <w:rFonts w:ascii="宋体" w:hAnsi="宋体" w:eastAsia="宋体"/>
          <w:sz w:val="24"/>
        </w:rPr>
        <w:t>所需的人工工时，</w:t>
      </w:r>
      <m:oMath>
        <m:sSub>
          <m:e>
            <m:r>
              <m:t>w</m:t>
            </m:r>
          </m:e>
          <m:sub>
            <m:r>
              <m:t>j</m:t>
            </m:r>
          </m:sub>
        </m:sSub>
      </m:oMath>
      <w:r>
        <w:rPr>
          <w:rFonts w:ascii="宋体" w:hAnsi="宋体" w:eastAsia="宋体"/>
          <w:sz w:val="24"/>
        </w:rPr>
        <w:t>为相应岗位的单位时间报酬，</w:t>
      </w:r>
      <m:oMath>
        <m:sSub>
          <m:e>
            <m:r>
              <m:t>κ</m:t>
            </m:r>
          </m:e>
          <m:sub>
            <m:r>
              <m:t>j</m:t>
            </m:r>
          </m:sub>
        </m:sSub>
        <m:r>
          <m:rPr>
            <m:sty m:val="p"/>
          </m:rPr>
          <m:t>∈</m:t>
        </m:r>
        <m:d>
          <m:dPr>
            <m:begChr m:val="("/>
            <m:endChr m:val="]"/>
            <m:grow/>
          </m:dPr>
          <m:e>
            <m:r>
              <m:t>0</m:t>
            </m:r>
            <m:r>
              <m:rPr>
                <m:sty m:val="p"/>
              </m:rPr>
              <m:t>,</m:t>
            </m:r>
            <m:r>
              <m:t>1</m:t>
            </m:r>
          </m:e>
        </m:d>
      </m:oMath>
      <w:r>
        <w:rPr>
          <w:rFonts w:ascii="宋体" w:hAnsi="宋体" w:eastAsia="宋体"/>
          <w:sz w:val="24"/>
        </w:rPr>
        <w:t>为价值可占有系数（所替代劳动价值中可由词元服务方与使用方共同占有的份额），</w:t>
      </w:r>
      <m:oMath>
        <m:sSub>
          <m:e>
            <m:r>
              <m:t>ω</m:t>
            </m:r>
          </m:e>
          <m:sub>
            <m:r>
              <m:t>m</m:t>
            </m:r>
            <m:r>
              <m:t>j</m:t>
            </m:r>
          </m:sub>
        </m:sSub>
      </m:oMath>
      <w:r>
        <w:rPr>
          <w:rFonts w:ascii="宋体" w:hAnsi="宋体" w:eastAsia="宋体"/>
          <w:sz w:val="24"/>
        </w:rPr>
        <w:t>为档位</w:t>
      </w:r>
      <m:oMath>
        <m:r>
          <m:t>m</m:t>
        </m:r>
      </m:oMath>
      <w:r>
        <w:rPr>
          <w:rFonts w:ascii="宋体" w:hAnsi="宋体" w:eastAsia="宋体"/>
          <w:sz w:val="24"/>
        </w:rPr>
        <w:t>的词元在场景</w:t>
      </w:r>
      <m:oMath>
        <m:r>
          <m:t>j</m:t>
        </m:r>
      </m:oMath>
      <w:r>
        <w:rPr>
          <w:rFonts w:ascii="宋体" w:hAnsi="宋体" w:eastAsia="宋体"/>
          <w:sz w:val="24"/>
        </w:rPr>
        <w:t>上的用量份额；下标0为基准场景。</w:t>
      </w:r>
    </w:p>
    <w:p>
      <w:pPr>
        <w:spacing w:line="360" w:lineRule="auto" w:after="0"/>
        <w:ind w:firstLineChars="200" w:firstLine="480"/>
        <w:jc w:val="both"/>
      </w:pPr>
      <w:r>
        <w:rPr>
          <w:rFonts w:ascii="宋体" w:hAnsi="宋体" w:eastAsia="宋体"/>
          <w:sz w:val="24"/>
        </w:rPr>
        <w:t>式(5-5)的构造回应了三个可能的质疑。</w:t>
      </w:r>
      <w:r>
        <w:rPr>
          <w:rFonts w:ascii="宋体" w:hAnsi="宋体" w:eastAsia="宋体"/>
          <w:b/>
          <w:sz w:val="24"/>
        </w:rPr>
        <w:t>质疑一：场景效用是否属于词元的属性？</w:t>
      </w:r>
      <w:r>
        <w:rPr>
          <w:rFonts w:ascii="宋体" w:hAnsi="宋体" w:eastAsia="宋体"/>
          <w:sz w:val="24"/>
        </w:rPr>
        <w:t>严格说，场景属于使用者而非词元本身。但计量单位的刻度依据本来就不必是被计量对象的内在属性——二氧化碳当量的刻度是全球增温潜势，那是气体在大气系统中的效应而非气体分子的内在属性（「WRI和WBCSD，2011」；「ISO，2018」）。折算刻度的选择标准是「与折算目的相关且可稳定测度」，而非「内在」。</w:t>
      </w:r>
      <w:r>
        <w:rPr>
          <w:rFonts w:ascii="宋体" w:hAnsi="宋体" w:eastAsia="宋体"/>
          <w:b/>
          <w:sz w:val="24"/>
        </w:rPr>
        <w:t>质疑二：价值可占有系数</w:t>
      </w:r>
      <m:oMath>
        <m:sSub>
          <m:e>
            <m:r>
              <m:t>κ</m:t>
            </m:r>
          </m:e>
          <m:sub>
            <m:r>
              <m:t>j</m:t>
            </m:r>
          </m:sub>
        </m:sSub>
      </m:oMath>
      <w:r>
        <w:rPr>
          <w:rFonts w:ascii="宋体" w:hAnsi="宋体" w:eastAsia="宋体"/>
          <w:b/>
          <w:sz w:val="24"/>
        </w:rPr>
        <w:t>如何避免任意性？</w:t>
      </w:r>
      <m:oMath>
        <m:r>
          <m:t>κ</m:t>
        </m:r>
      </m:oMath>
      <w:r>
        <w:rPr>
          <w:rFonts w:ascii="宋体" w:hAnsi="宋体" w:eastAsia="宋体"/>
          <w:sz w:val="24"/>
        </w:rPr>
        <w:t>的经济含义是所创造价值中能够被交易双方占有的份额，其余部分溢出为消费者剩余与社会收益；本书以场景层的支付意愿与实际成交价的比值估计</w:t>
      </w:r>
      <m:oMath>
        <m:r>
          <m:t>κ</m:t>
        </m:r>
      </m:oMath>
      <w:r>
        <w:rPr>
          <w:rFonts w:ascii="宋体" w:hAnsi="宋体" w:eastAsia="宋体"/>
          <w:sz w:val="24"/>
        </w:rPr>
        <w:t>，并在5.4.4节以其取值区间做稳健性检验。</w:t>
      </w:r>
      <w:r>
        <w:rPr>
          <w:rFonts w:ascii="宋体" w:hAnsi="宋体" w:eastAsia="宋体"/>
          <w:b/>
          <w:sz w:val="24"/>
        </w:rPr>
        <w:t>质疑三：以人工工时与报酬为基准是否会把折算体系绑定于特定的劳动力市场？</w:t>
      </w:r>
      <w:r>
        <w:rPr>
          <w:rFonts w:ascii="宋体" w:hAnsi="宋体" w:eastAsia="宋体"/>
          <w:sz w:val="24"/>
        </w:rPr>
        <w:t>这正是本书坚持社会平均口径的原因：</w:t>
      </w:r>
      <m:oMath>
        <m:sSub>
          <m:e>
            <m:r>
              <m:t>w</m:t>
            </m:r>
          </m:e>
          <m:sub>
            <m:r>
              <m:t>j</m:t>
            </m:r>
          </m:sub>
        </m:sSub>
      </m:oMath>
      <w:r>
        <w:rPr>
          <w:rFonts w:ascii="宋体" w:hAnsi="宋体" w:eastAsia="宋体"/>
          <w:sz w:val="24"/>
        </w:rPr>
        <w:t>取相应岗位的社会平均单位时间报酬而非某企业的实际薪酬，</w:t>
      </w:r>
      <m:oMath>
        <m:sSub>
          <m:e>
            <m:r>
              <m:t>τ</m:t>
            </m:r>
          </m:e>
          <m:sub>
            <m:r>
              <m:t>j</m:t>
            </m:r>
          </m:sub>
        </m:sSub>
      </m:oMath>
      <w:r>
        <w:rPr>
          <w:rFonts w:ascii="宋体" w:hAnsi="宋体" w:eastAsia="宋体"/>
          <w:sz w:val="24"/>
        </w:rPr>
        <w:t>取行业平均而非某个体的熟练程度，从而使</w:t>
      </w:r>
      <m:oMath>
        <m:r>
          <m:t>S</m:t>
        </m:r>
      </m:oMath>
      <w:r>
        <w:rPr>
          <w:rFonts w:ascii="宋体" w:hAnsi="宋体" w:eastAsia="宋体"/>
          <w:sz w:val="24"/>
        </w:rPr>
        <w:t>刻画的是社会必要的认知劳动价值密度，而非某一主体的特殊情况。</w:t>
      </w:r>
    </w:p>
    <w:p>
      <w:pPr>
        <w:spacing w:line="360" w:lineRule="auto" w:after="0"/>
        <w:ind w:firstLineChars="200" w:firstLine="480"/>
        <w:jc w:val="both"/>
      </w:pPr>
      <m:oMath>
        <m:sSub>
          <m:e>
            <m:r>
              <m:t>τ</m:t>
            </m:r>
          </m:e>
          <m:sub>
            <m:r>
              <m:t>j</m:t>
            </m:r>
          </m:sub>
        </m:sSub>
      </m:oMath>
      <w:r>
        <w:rPr>
          <w:rFonts w:ascii="宋体" w:hAnsi="宋体" w:eastAsia="宋体"/>
          <w:sz w:val="24"/>
        </w:rPr>
        <w:t>与</w:t>
      </w:r>
      <m:oMath>
        <m:sSub>
          <m:e>
            <m:r>
              <m:t>w</m:t>
            </m:r>
          </m:e>
          <m:sub>
            <m:r>
              <m:t>j</m:t>
            </m:r>
          </m:sub>
        </m:sSub>
      </m:oMath>
      <w:r>
        <w:rPr>
          <w:rFonts w:ascii="宋体" w:hAnsi="宋体" w:eastAsia="宋体"/>
          <w:sz w:val="24"/>
        </w:rPr>
        <w:t>的测度有相对成熟的文献基础。职业与任务层面的人工智能暴露度测度提供了任务可替代性的系统刻画（Felten等，2021；Eloundou等，2024）；随机实验与准实验证据给出了具体任务上生产率提升的量级——写作类任务的完成时间显著缩短、质量同步提升（Noy和Zhang，2023），客服场景的现场实验显示问题解决效率明显改善且对新手的边际效果最大（Brynjolfsson等，2025）；对人工智能重构中等技能岗位的分析则强调了任务重组而非整体替代的现实路径（Autor，2024）。这些研究共同支持了一个操作性结论：任务层的替代工时是可测的，且不同任务之间差异极大。本书校准的场景价值密度显示，科研分析与合规审查类场景的单位词元价值密度远高于文案生成与客服对话类场景，最高与最低场景之间相差数倍——这一离散正是</w:t>
      </w:r>
      <m:oMath>
        <m:r>
          <m:t>S</m:t>
        </m:r>
      </m:oMath>
      <w:r>
        <w:rPr>
          <w:rFonts w:ascii="宋体" w:hAnsi="宋体" w:eastAsia="宋体"/>
          <w:sz w:val="24"/>
        </w:rPr>
        <w:t>维度存在的经验理由，其完整刻画将在第6章展开。</w:t>
      </w:r>
    </w:p>
    <w:p>
      <w:pPr>
        <w:keepNext/>
        <w:spacing w:before="160" w:after="120" w:line="360" w:lineRule="auto"/>
        <w:outlineLvl w:val="2"/>
      </w:pPr>
      <w:r>
        <w:rPr>
          <w:rFonts w:ascii="黑体" w:hAnsi="黑体" w:eastAsia="黑体"/>
          <w:sz w:val="24"/>
        </w:rPr>
        <w:t>5.2.5  测度口径、数据基础与三条测度纪律</w:t>
      </w:r>
    </w:p>
    <w:p>
      <w:pPr>
        <w:spacing w:line="360" w:lineRule="auto" w:after="0"/>
        <w:ind w:firstLineChars="200" w:firstLine="480"/>
        <w:jc w:val="both"/>
      </w:pPr>
      <w:r>
        <w:rPr>
          <w:rFonts w:ascii="宋体" w:hAnsi="宋体" w:eastAsia="宋体"/>
          <w:sz w:val="24"/>
        </w:rPr>
        <w:t>三个维度的界定、测度口径与数据基础汇总于表5.1。表中特别标注了各项测度所依托的既有工作及其主体，以确保本书的构造与他人的成果之间边界清晰。</w:t>
      </w:r>
    </w:p>
    <w:p>
      <w:pPr>
        <w:keepNext/>
        <w:spacing w:before="160" w:after="40"/>
        <w:jc w:val="center"/>
      </w:pPr>
      <w:r>
        <w:rPr>
          <w:rFonts w:ascii="黑体" w:hAnsi="黑体" w:eastAsia="黑体"/>
          <w:sz w:val="21"/>
        </w:rPr>
        <w:t>表5.1  三维效值的界定、测度口径与数据基础</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维度</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符号</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经济学定位</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测度口径</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数据基础与方法</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归一基准</w:t>
            </w:r>
          </w:p>
        </w:tc>
      </w:tr>
      <w:tr>
        <w:tc>
          <w:tcPr>
            <w:tcW w:type="dxa" w:w="1417"/>
            <w:vAlign w:val="center"/>
          </w:tcPr>
          <w:p>
            <w:pPr>
              <w:spacing w:line="240" w:lineRule="auto" w:after="20" w:before="20"/>
              <w:jc w:val="left"/>
            </w:pPr>
            <w:r/>
            <w:r>
              <w:rPr>
                <w:rFonts w:ascii="宋体" w:hAnsi="宋体" w:eastAsia="宋体"/>
                <w:sz w:val="21"/>
              </w:rPr>
              <w:t>算力强度</w:t>
            </w:r>
          </w:p>
        </w:tc>
        <w:tc>
          <w:tcPr>
            <w:tcW w:type="dxa" w:w="1417"/>
            <w:vAlign w:val="center"/>
          </w:tcPr>
          <w:p>
            <w:pPr>
              <w:spacing w:line="240" w:lineRule="auto" w:after="20" w:before="20"/>
              <w:jc w:val="center"/>
            </w:pPr>
            <w:r/>
            <w:r>
              <w:rPr>
                <w:rFonts w:ascii="宋体" w:hAnsi="宋体" w:eastAsia="宋体"/>
                <w:sz w:val="21"/>
              </w:rPr>
              <w:t>P</w:t>
            </w:r>
          </w:p>
        </w:tc>
        <w:tc>
          <w:tcPr>
            <w:tcW w:type="dxa" w:w="1417"/>
            <w:vAlign w:val="center"/>
          </w:tcPr>
          <w:p>
            <w:pPr>
              <w:spacing w:line="240" w:lineRule="auto" w:after="20" w:before="20"/>
              <w:jc w:val="left"/>
            </w:pPr>
            <w:r/>
            <w:r>
              <w:rPr>
                <w:rFonts w:ascii="宋体" w:hAnsi="宋体" w:eastAsia="宋体"/>
                <w:sz w:val="21"/>
              </w:rPr>
              <w:t>投入侧刻度：决定成本地板与价格下界</w:t>
            </w:r>
          </w:p>
        </w:tc>
        <w:tc>
          <w:tcPr>
            <w:tcW w:type="dxa" w:w="1417"/>
            <w:vAlign w:val="center"/>
          </w:tcPr>
          <w:p>
            <w:pPr>
              <w:spacing w:line="240" w:lineRule="auto" w:after="20" w:before="20"/>
              <w:jc w:val="left"/>
            </w:pPr>
            <w:r/>
            <w:r>
              <w:rPr>
                <w:rFonts w:ascii="宋体" w:hAnsi="宋体" w:eastAsia="宋体"/>
                <w:sz w:val="21"/>
              </w:rPr>
              <w:t>基准任务集上单位输出词元浮点运算量的加权比值，见式(5-3)</w:t>
            </w:r>
          </w:p>
        </w:tc>
        <w:tc>
          <w:tcPr>
            <w:tcW w:type="dxa" w:w="1417"/>
            <w:vAlign w:val="center"/>
          </w:tcPr>
          <w:p>
            <w:pPr>
              <w:spacing w:line="240" w:lineRule="auto" w:after="20" w:before="20"/>
              <w:jc w:val="left"/>
            </w:pPr>
            <w:r/>
            <w:r>
              <w:rPr>
                <w:rFonts w:ascii="宋体" w:hAnsi="宋体" w:eastAsia="宋体"/>
                <w:sz w:val="21"/>
              </w:rPr>
              <w:t>模型结构参数与上下文长度推算的单词元算力函数（式3-1、式3-2）；取设计值，工程实现差异归入转化效率</w:t>
            </w:r>
          </w:p>
        </w:tc>
        <w:tc>
          <w:tcPr>
            <w:tcW w:type="dxa" w:w="1417"/>
            <w:vAlign w:val="center"/>
          </w:tcPr>
          <w:p>
            <w:pPr>
              <w:spacing w:line="240" w:lineRule="auto" w:after="20" w:before="20"/>
              <w:jc w:val="center"/>
            </w:pPr>
            <w:r/>
            <w:r>
              <w:rPr>
                <w:rFonts w:ascii="宋体" w:hAnsi="宋体" w:eastAsia="宋体"/>
                <w:sz w:val="21"/>
              </w:rPr>
              <w:t>中型通用级＝1</w:t>
            </w:r>
          </w:p>
        </w:tc>
      </w:tr>
      <w:tr>
        <w:tc>
          <w:tcPr>
            <w:tcW w:type="dxa" w:w="1417"/>
            <w:vAlign w:val="center"/>
          </w:tcPr>
          <w:p>
            <w:pPr>
              <w:spacing w:line="240" w:lineRule="auto" w:after="20" w:before="20"/>
              <w:jc w:val="left"/>
            </w:pPr>
            <w:r/>
            <w:r>
              <w:rPr>
                <w:rFonts w:ascii="宋体" w:hAnsi="宋体" w:eastAsia="宋体"/>
                <w:sz w:val="21"/>
              </w:rPr>
              <w:t>推理质量</w:t>
            </w:r>
          </w:p>
        </w:tc>
        <w:tc>
          <w:tcPr>
            <w:tcW w:type="dxa" w:w="1417"/>
            <w:vAlign w:val="center"/>
          </w:tcPr>
          <w:p>
            <w:pPr>
              <w:spacing w:line="240" w:lineRule="auto" w:after="20" w:before="20"/>
              <w:jc w:val="center"/>
            </w:pPr>
            <w:r/>
            <w:r>
              <w:rPr>
                <w:rFonts w:ascii="宋体" w:hAnsi="宋体" w:eastAsia="宋体"/>
                <w:sz w:val="21"/>
              </w:rPr>
              <w:t>R</w:t>
            </w:r>
          </w:p>
        </w:tc>
        <w:tc>
          <w:tcPr>
            <w:tcW w:type="dxa" w:w="1417"/>
            <w:vAlign w:val="center"/>
          </w:tcPr>
          <w:p>
            <w:pPr>
              <w:spacing w:line="240" w:lineRule="auto" w:after="20" w:before="20"/>
              <w:jc w:val="left"/>
            </w:pPr>
            <w:r/>
            <w:r>
              <w:rPr>
                <w:rFonts w:ascii="宋体" w:hAnsi="宋体" w:eastAsia="宋体"/>
                <w:sz w:val="21"/>
              </w:rPr>
              <w:t>产出侧刻度：决定质量梯度与效值溢价</w:t>
            </w:r>
          </w:p>
        </w:tc>
        <w:tc>
          <w:tcPr>
            <w:tcW w:type="dxa" w:w="1417"/>
            <w:vAlign w:val="center"/>
          </w:tcPr>
          <w:p>
            <w:pPr>
              <w:spacing w:line="240" w:lineRule="auto" w:after="20" w:before="20"/>
              <w:jc w:val="left"/>
            </w:pPr>
            <w:r/>
            <w:r>
              <w:rPr>
                <w:rFonts w:ascii="宋体" w:hAnsi="宋体" w:eastAsia="宋体"/>
                <w:sz w:val="21"/>
              </w:rPr>
              <w:t>基准任务集上单位输出词元任务达成度的加权比值，见式(5-4)</w:t>
            </w:r>
          </w:p>
        </w:tc>
        <w:tc>
          <w:tcPr>
            <w:tcW w:type="dxa" w:w="1417"/>
            <w:vAlign w:val="center"/>
          </w:tcPr>
          <w:p>
            <w:pPr>
              <w:spacing w:line="240" w:lineRule="auto" w:after="20" w:before="20"/>
              <w:jc w:val="left"/>
            </w:pPr>
            <w:r/>
            <w:r>
              <w:rPr>
                <w:rFonts w:ascii="宋体" w:hAnsi="宋体" w:eastAsia="宋体"/>
                <w:sz w:val="21"/>
              </w:rPr>
              <w:t>多任务知识与推理基准、整体性评估框架、模型互评打分等达成度测量技术；按信息密度原则以输出词元数作分母</w:t>
            </w:r>
          </w:p>
        </w:tc>
        <w:tc>
          <w:tcPr>
            <w:tcW w:type="dxa" w:w="1417"/>
            <w:vAlign w:val="center"/>
          </w:tcPr>
          <w:p>
            <w:pPr>
              <w:spacing w:line="240" w:lineRule="auto" w:after="20" w:before="20"/>
              <w:jc w:val="center"/>
            </w:pPr>
            <w:r/>
            <w:r>
              <w:rPr>
                <w:rFonts w:ascii="宋体" w:hAnsi="宋体" w:eastAsia="宋体"/>
                <w:sz w:val="21"/>
              </w:rPr>
              <w:t>中型通用级＝1</w:t>
            </w:r>
          </w:p>
        </w:tc>
      </w:tr>
      <w:tr>
        <w:tc>
          <w:tcPr>
            <w:tcW w:type="dxa" w:w="1417"/>
            <w:vAlign w:val="center"/>
          </w:tcPr>
          <w:p>
            <w:pPr>
              <w:spacing w:line="240" w:lineRule="auto" w:after="20" w:before="20"/>
              <w:jc w:val="left"/>
            </w:pPr>
            <w:r/>
            <w:r>
              <w:rPr>
                <w:rFonts w:ascii="宋体" w:hAnsi="宋体" w:eastAsia="宋体"/>
                <w:sz w:val="21"/>
              </w:rPr>
              <w:t>场景效用</w:t>
            </w:r>
          </w:p>
        </w:tc>
        <w:tc>
          <w:tcPr>
            <w:tcW w:type="dxa" w:w="1417"/>
            <w:vAlign w:val="center"/>
          </w:tcPr>
          <w:p>
            <w:pPr>
              <w:spacing w:line="240" w:lineRule="auto" w:after="20" w:before="20"/>
              <w:jc w:val="center"/>
            </w:pPr>
            <w:r/>
            <w:r>
              <w:rPr>
                <w:rFonts w:ascii="宋体" w:hAnsi="宋体" w:eastAsia="宋体"/>
                <w:sz w:val="21"/>
              </w:rPr>
              <w:t>S</w:t>
            </w:r>
          </w:p>
        </w:tc>
        <w:tc>
          <w:tcPr>
            <w:tcW w:type="dxa" w:w="1417"/>
            <w:vAlign w:val="center"/>
          </w:tcPr>
          <w:p>
            <w:pPr>
              <w:spacing w:line="240" w:lineRule="auto" w:after="20" w:before="20"/>
              <w:jc w:val="left"/>
            </w:pPr>
            <w:r/>
            <w:r>
              <w:rPr>
                <w:rFonts w:ascii="宋体" w:hAnsi="宋体" w:eastAsia="宋体"/>
                <w:sz w:val="21"/>
              </w:rPr>
              <w:t>价值侧刻度：决定场景租金与配置方向</w:t>
            </w:r>
          </w:p>
        </w:tc>
        <w:tc>
          <w:tcPr>
            <w:tcW w:type="dxa" w:w="1417"/>
            <w:vAlign w:val="center"/>
          </w:tcPr>
          <w:p>
            <w:pPr>
              <w:spacing w:line="240" w:lineRule="auto" w:after="20" w:before="20"/>
              <w:jc w:val="left"/>
            </w:pPr>
            <w:r/>
            <w:r>
              <w:rPr>
                <w:rFonts w:ascii="宋体" w:hAnsi="宋体" w:eastAsia="宋体"/>
                <w:sz w:val="21"/>
              </w:rPr>
              <w:t>单位任务所替代人类认知劳动价值的加权比值，见式(5-5)</w:t>
            </w:r>
          </w:p>
        </w:tc>
        <w:tc>
          <w:tcPr>
            <w:tcW w:type="dxa" w:w="1417"/>
            <w:vAlign w:val="center"/>
          </w:tcPr>
          <w:p>
            <w:pPr>
              <w:spacing w:line="240" w:lineRule="auto" w:after="20" w:before="20"/>
              <w:jc w:val="left"/>
            </w:pPr>
            <w:r/>
            <w:r>
              <w:rPr>
                <w:rFonts w:ascii="宋体" w:hAnsi="宋体" w:eastAsia="宋体"/>
                <w:sz w:val="21"/>
              </w:rPr>
              <w:t>任务层暴露度测度与生产率实验给出的替代工时；岗位社会平均报酬；场景层支付意愿与成交价之比估计可占有系数</w:t>
            </w:r>
          </w:p>
        </w:tc>
        <w:tc>
          <w:tcPr>
            <w:tcW w:type="dxa" w:w="1417"/>
            <w:vAlign w:val="center"/>
          </w:tcPr>
          <w:p>
            <w:pPr>
              <w:spacing w:line="240" w:lineRule="auto" w:after="20" w:before="20"/>
              <w:jc w:val="center"/>
            </w:pPr>
            <w:r/>
            <w:r>
              <w:rPr>
                <w:rFonts w:ascii="宋体" w:hAnsi="宋体" w:eastAsia="宋体"/>
                <w:sz w:val="21"/>
              </w:rPr>
              <w:t>基准场景＝1</w:t>
            </w:r>
          </w:p>
        </w:tc>
      </w:tr>
      <w:tr>
        <w:tc>
          <w:tcPr>
            <w:tcW w:type="dxa" w:w="1417"/>
            <w:vAlign w:val="center"/>
          </w:tcPr>
          <w:p>
            <w:pPr>
              <w:spacing w:line="240" w:lineRule="auto" w:after="20" w:before="20"/>
              <w:jc w:val="left"/>
            </w:pPr>
            <w:r/>
            <w:r>
              <w:rPr>
                <w:rFonts w:ascii="宋体" w:hAnsi="宋体" w:eastAsia="宋体"/>
                <w:sz w:val="21"/>
              </w:rPr>
              <w:t>合成效值系数</w:t>
            </w:r>
          </w:p>
        </w:tc>
        <w:tc>
          <w:tcPr>
            <w:tcW w:type="dxa" w:w="1417"/>
            <w:vAlign w:val="center"/>
          </w:tcPr>
          <w:p>
            <w:pPr>
              <w:spacing w:line="240" w:lineRule="auto" w:after="20" w:before="20"/>
              <w:jc w:val="center"/>
            </w:pPr>
            <w:r/>
            <w:r>
              <w:rPr>
                <w:rFonts w:ascii="宋体" w:hAnsi="宋体" w:eastAsia="宋体"/>
                <w:sz w:val="21"/>
              </w:rPr>
              <w:t>η</w:t>
            </w:r>
          </w:p>
        </w:tc>
        <w:tc>
          <w:tcPr>
            <w:tcW w:type="dxa" w:w="1417"/>
            <w:vAlign w:val="center"/>
          </w:tcPr>
          <w:p>
            <w:pPr>
              <w:spacing w:line="240" w:lineRule="auto" w:after="20" w:before="20"/>
              <w:jc w:val="left"/>
            </w:pPr>
            <w:r/>
            <w:r>
              <w:rPr>
                <w:rFonts w:ascii="宋体" w:hAnsi="宋体" w:eastAsia="宋体"/>
                <w:sz w:val="21"/>
              </w:rPr>
              <w:t>当量刻度：决定标准词元当量与折算后价格</w:t>
            </w:r>
          </w:p>
        </w:tc>
        <w:tc>
          <w:tcPr>
            <w:tcW w:type="dxa" w:w="1417"/>
            <w:vAlign w:val="center"/>
          </w:tcPr>
          <w:p>
            <w:pPr>
              <w:spacing w:line="240" w:lineRule="auto" w:after="20" w:before="20"/>
              <w:jc w:val="left"/>
            </w:pPr>
            <w:r/>
            <w:r>
              <w:rPr>
                <w:rFonts w:ascii="宋体" w:hAnsi="宋体" w:eastAsia="宋体"/>
                <w:sz w:val="21"/>
              </w:rPr>
              <w:t>三维经幂积折算函数合成，见式(5-7)</w:t>
            </w:r>
          </w:p>
        </w:tc>
        <w:tc>
          <w:tcPr>
            <w:tcW w:type="dxa" w:w="1417"/>
            <w:vAlign w:val="center"/>
          </w:tcPr>
          <w:p>
            <w:pPr>
              <w:spacing w:line="240" w:lineRule="auto" w:after="20" w:before="20"/>
              <w:jc w:val="left"/>
            </w:pPr>
            <w:r/>
            <w:r>
              <w:rPr>
                <w:rFonts w:ascii="宋体" w:hAnsi="宋体" w:eastAsia="宋体"/>
                <w:sz w:val="21"/>
              </w:rPr>
              <w:t>基准任务集实测效值以约束对数最小二乘标定权重，见式(5-11)、式(5-12)</w:t>
            </w:r>
          </w:p>
        </w:tc>
        <w:tc>
          <w:tcPr>
            <w:tcW w:type="dxa" w:w="1417"/>
            <w:vAlign w:val="center"/>
          </w:tcPr>
          <w:p>
            <w:pPr>
              <w:spacing w:line="240" w:lineRule="auto" w:after="20" w:before="20"/>
              <w:jc w:val="center"/>
            </w:pPr>
            <w:r/>
            <w:r>
              <w:rPr>
                <w:rFonts w:ascii="宋体" w:hAnsi="宋体" w:eastAsia="宋体"/>
                <w:sz w:val="21"/>
              </w:rPr>
              <w:t>中型通用级基准任务＝1</w:t>
            </w:r>
          </w:p>
        </w:tc>
      </w:tr>
    </w:tbl>
    <w:p>
      <w:pPr>
        <w:spacing w:after="200" w:line="240" w:lineRule="auto"/>
        <w:jc w:val="both"/>
      </w:pPr>
      <w:r>
        <w:rPr>
          <w:rFonts w:ascii="宋体" w:hAnsi="宋体" w:eastAsia="宋体"/>
          <w:sz w:val="18"/>
        </w:rPr>
        <w:t>注：表中「数据基础与方法」列所述测量技术分属不同主体的既有工作，本书仅调用其达成度与性能测量技术，合成规则由本章公理体系给出；三维合成为单一当量的折算体系系作者自主构建，不对应任何机构已发布的评价体系。式(3-1)、式(3-2)见第3章。资料来源：作者构建。</w:t>
      </w:r>
    </w:p>
    <w:p>
      <w:pPr>
        <w:spacing w:line="360" w:lineRule="auto" w:after="0"/>
        <w:ind w:firstLineChars="200" w:firstLine="480"/>
        <w:jc w:val="both"/>
      </w:pPr>
      <w:r>
        <w:rPr>
          <w:rFonts w:ascii="宋体" w:hAnsi="宋体" w:eastAsia="宋体"/>
          <w:sz w:val="24"/>
        </w:rPr>
        <w:t>表5.1的口径设计贯彻了三条测度纪律，它们是折算结果可信的前提。</w:t>
      </w:r>
      <w:r>
        <w:rPr>
          <w:rFonts w:ascii="宋体" w:hAnsi="宋体" w:eastAsia="宋体"/>
          <w:b/>
          <w:sz w:val="24"/>
        </w:rPr>
        <w:t>纪律一：同任务集原则。</w:t>
      </w:r>
      <w:r>
        <w:rPr>
          <w:rFonts w:ascii="宋体" w:hAnsi="宋体" w:eastAsia="宋体"/>
          <w:sz w:val="24"/>
        </w:rPr>
        <w:t>三个维度的测度必须在同一个基准任务集</w:t>
      </w:r>
      <m:oMath>
        <m:sSub>
          <m:e>
            <m:r>
              <m:rPr>
                <m:scr m:val="script"/>
                <m:sty m:val="p"/>
              </m:rPr>
              <m:t>J</m:t>
            </m:r>
          </m:e>
          <m:sub>
            <m:r>
              <m:t>0</m:t>
            </m:r>
          </m:sub>
        </m:sSub>
      </m:oMath>
      <w:r>
        <w:rPr>
          <w:rFonts w:ascii="宋体" w:hAnsi="宋体" w:eastAsia="宋体"/>
          <w:sz w:val="24"/>
        </w:rPr>
        <w:t>上完成，且任务权重</w:t>
      </w:r>
      <m:oMath>
        <m:sSub>
          <m:e>
            <m:r>
              <m:t>ω</m:t>
            </m:r>
          </m:e>
          <m:sub>
            <m:r>
              <m:t>j</m:t>
            </m:r>
          </m:sub>
        </m:sSub>
      </m:oMath>
      <w:r>
        <w:rPr>
          <w:rFonts w:ascii="宋体" w:hAnsi="宋体" w:eastAsia="宋体"/>
          <w:sz w:val="24"/>
        </w:rPr>
        <w:t>保持一致；若</w:t>
      </w:r>
      <m:oMath>
        <m:r>
          <m:t>P</m:t>
        </m:r>
      </m:oMath>
      <w:r>
        <w:rPr>
          <w:rFonts w:ascii="宋体" w:hAnsi="宋体" w:eastAsia="宋体"/>
          <w:sz w:val="24"/>
        </w:rPr>
        <w:t>在一组任务上测、</w:t>
      </w:r>
      <m:oMath>
        <m:r>
          <m:t>R</m:t>
        </m:r>
      </m:oMath>
      <w:r>
        <w:rPr>
          <w:rFonts w:ascii="宋体" w:hAnsi="宋体" w:eastAsia="宋体"/>
          <w:sz w:val="24"/>
        </w:rPr>
        <w:t>在另一组任务上测，合成结果将没有任何经济含义。</w:t>
      </w:r>
      <w:r>
        <w:rPr>
          <w:rFonts w:ascii="宋体" w:hAnsi="宋体" w:eastAsia="宋体"/>
          <w:b/>
          <w:sz w:val="24"/>
        </w:rPr>
        <w:t>纪律二：同时点原则。</w:t>
      </w:r>
      <w:r>
        <w:rPr>
          <w:rFonts w:ascii="宋体" w:hAnsi="宋体" w:eastAsia="宋体"/>
          <w:sz w:val="24"/>
        </w:rPr>
        <w:t>模型迭代与价格调整的频率极高，三维测度与后续价格观测必须锁定同一时点窗口；本书全部效值测算与价格对照均以2026年第二季度为口径。</w:t>
      </w:r>
      <w:r>
        <w:rPr>
          <w:rFonts w:ascii="宋体" w:hAnsi="宋体" w:eastAsia="宋体"/>
          <w:b/>
          <w:sz w:val="24"/>
        </w:rPr>
        <w:t>纪律三：任务锚定而非词元锚定原则。</w:t>
      </w:r>
      <w:r>
        <w:rPr>
          <w:rFonts w:ascii="宋体" w:hAnsi="宋体" w:eastAsia="宋体"/>
          <w:sz w:val="24"/>
        </w:rPr>
        <w:t>由于分词器差异，同一任务在不同模型下的词元计数本身就不可比，因此折算的基本单位必须是「完成同一任务」而非「消耗同样数量的词元」；式(5-3)至式(5-5)的分母中一律出现</w:t>
      </w:r>
      <m:oMath>
        <m:sSup>
          <m:e>
            <m:r>
              <m:rPr>
                <m:sty m:val="p"/>
              </m:rPr>
              <m:t>ℓ</m:t>
            </m:r>
          </m:e>
          <m:sup>
            <m:r>
              <m:t>o</m:t>
            </m:r>
            <m:r>
              <m:t>u</m:t>
            </m:r>
            <m:r>
              <m:t>t</m:t>
            </m:r>
          </m:sup>
        </m:sSup>
      </m:oMath>
      <w:r>
        <w:rPr>
          <w:rFonts w:ascii="宋体" w:hAnsi="宋体" w:eastAsia="宋体"/>
          <w:sz w:val="24"/>
        </w:rPr>
        <w:t>，正是为了把任务锚定贯彻到底。这三条纪律看似技术细节，实则决定了折算体系能否经受第三方复核——一个无法被独立复现的折算体系，无论其理论多么优美，都不具备成为计量标准的资格。</w:t>
      </w:r>
    </w:p>
    <w:p>
      <w:pPr>
        <w:keepNext/>
        <w:spacing w:before="160" w:after="120" w:line="360" w:lineRule="auto"/>
        <w:outlineLvl w:val="1"/>
      </w:pPr>
      <w:r>
        <w:rPr>
          <w:rFonts w:ascii="黑体" w:hAnsi="黑体" w:eastAsia="黑体"/>
          <w:sz w:val="28"/>
        </w:rPr>
        <w:t>5.3  折算函数的公理化：四条公理与形式唯一性</w:t>
      </w:r>
    </w:p>
    <w:p>
      <w:pPr>
        <w:keepNext/>
        <w:spacing w:before="160" w:after="120" w:line="360" w:lineRule="auto"/>
        <w:outlineLvl w:val="2"/>
      </w:pPr>
      <w:r>
        <w:rPr>
          <w:rFonts w:ascii="黑体" w:hAnsi="黑体" w:eastAsia="黑体"/>
          <w:sz w:val="24"/>
        </w:rPr>
        <w:t>5.3.1  四条公理及其经济含义</w:t>
      </w:r>
    </w:p>
    <w:p>
      <w:pPr>
        <w:spacing w:line="360" w:lineRule="auto" w:after="0"/>
        <w:ind w:firstLineChars="200" w:firstLine="480"/>
        <w:jc w:val="both"/>
      </w:pPr>
      <w:r>
        <w:rPr>
          <w:rFonts w:ascii="宋体" w:hAnsi="宋体" w:eastAsia="宋体"/>
          <w:sz w:val="24"/>
        </w:rPr>
        <w:t>维度既定，剩下的问题是合成规则。合成规则的选择空间在原则上是无穷的：算术平均、几何平均、调和平均、各类加权组合乃至任意的单调变换都可以充当合成函数。若不加约束地从中挑选，折算结果就只是构造者的一种意见。本书的方法论选择是：不直接指定函数形式，而是先陈述折算体系必须满足的经济性质，再证明满足这些性质的函数形式是唯一的。四条公理如下：</w:t>
      </w:r>
    </w:p>
    <w:p>
      <w:pPr>
        <w:tabs>
          <w:tab w:pos="4252" w:val="center"/>
          <w:tab w:pos="8504" w:val="right"/>
        </w:tabs>
        <w:spacing w:line="360" w:lineRule="auto" w:before="80" w:after="80"/>
      </w:pPr>
      <w:r>
        <w:tab/>
      </w:r>
      <m:oMath>
        <m:r>
          <m:t>η</m:t>
        </m:r>
        <m:d>
          <m:dPr>
            <m:begChr m:val="("/>
            <m:endChr m:val=")"/>
            <m:grow/>
          </m:dPr>
          <m:e>
            <m:r>
              <m:t>1</m:t>
            </m:r>
            <m:r>
              <m:rPr>
                <m:sty m:val="p"/>
              </m:rPr>
              <m:t>,</m:t>
            </m:r>
            <m:r>
              <m:t>1</m:t>
            </m:r>
            <m:r>
              <m:rPr>
                <m:sty m:val="p"/>
              </m:rPr>
              <m:t>,</m:t>
            </m:r>
            <m:r>
              <m:t>1</m:t>
            </m:r>
          </m:e>
        </m:d>
        <m:r>
          <m:rPr>
            <m:sty m:val="p"/>
          </m:rPr>
          <m:t>=</m:t>
        </m:r>
        <m:r>
          <m:t>1</m:t>
        </m:r>
        <m:r>
          <m:rPr>
            <m:sty m:val="p"/>
          </m:rPr>
          <m:t>;</m:t>
        </m:r>
        <m:r>
          <m:t>  </m:t>
        </m:r>
        <m:f>
          <m:fPr>
            <m:type m:val="bar"/>
          </m:fPr>
          <m:num>
            <m:r>
              <m:rPr>
                <m:sty m:val="p"/>
              </m:rPr>
              <m:t>∂</m:t>
            </m:r>
            <m:r>
              <m:t>η</m:t>
            </m:r>
          </m:num>
          <m:den>
            <m:r>
              <m:rPr>
                <m:sty m:val="p"/>
              </m:rPr>
              <m:t>∂</m:t>
            </m:r>
            <m:r>
              <m:t>P</m:t>
            </m:r>
          </m:den>
        </m:f>
        <m:r>
          <m:rPr>
            <m:sty m:val="p"/>
          </m:rPr>
          <m:t>&gt;</m:t>
        </m:r>
        <m:r>
          <m:t>0</m:t>
        </m:r>
        <m:r>
          <m:rPr>
            <m:sty m:val="p"/>
          </m:rPr>
          <m:t>,</m:t>
        </m:r>
        <m:r>
          <m:t> </m:t>
        </m:r>
        <m:f>
          <m:fPr>
            <m:type m:val="bar"/>
          </m:fPr>
          <m:num>
            <m:r>
              <m:rPr>
                <m:sty m:val="p"/>
              </m:rPr>
              <m:t>∂</m:t>
            </m:r>
            <m:r>
              <m:t>η</m:t>
            </m:r>
          </m:num>
          <m:den>
            <m:r>
              <m:rPr>
                <m:sty m:val="p"/>
              </m:rPr>
              <m:t>∂</m:t>
            </m:r>
            <m:r>
              <m:t>R</m:t>
            </m:r>
          </m:den>
        </m:f>
        <m:r>
          <m:rPr>
            <m:sty m:val="p"/>
          </m:rPr>
          <m:t>&gt;</m:t>
        </m:r>
        <m:r>
          <m:t>0</m:t>
        </m:r>
        <m:r>
          <m:rPr>
            <m:sty m:val="p"/>
          </m:rPr>
          <m:t>,</m:t>
        </m:r>
        <m:r>
          <m:t> </m:t>
        </m:r>
        <m:f>
          <m:fPr>
            <m:type m:val="bar"/>
          </m:fPr>
          <m:num>
            <m:r>
              <m:rPr>
                <m:sty m:val="p"/>
              </m:rPr>
              <m:t>∂</m:t>
            </m:r>
            <m:r>
              <m:t>η</m:t>
            </m:r>
          </m:num>
          <m:den>
            <m:r>
              <m:rPr>
                <m:sty m:val="p"/>
              </m:rPr>
              <m:t>∂</m:t>
            </m:r>
            <m:r>
              <m:t>S</m:t>
            </m:r>
          </m:den>
        </m:f>
        <m:r>
          <m:rPr>
            <m:sty m:val="p"/>
          </m:rPr>
          <m:t>&gt;</m:t>
        </m:r>
        <m:r>
          <m:t>0</m:t>
        </m:r>
        <m:r>
          <m:rPr>
            <m:sty m:val="p"/>
          </m:rPr>
          <m:t>;</m:t>
        </m:r>
        <m:r>
          <m:t>  </m:t>
        </m:r>
        <m:acc>
          <m:accPr>
            <m:chr m:val="̃"/>
          </m:accPr>
          <m:e>
            <m:r>
              <m:t>T</m:t>
            </m:r>
          </m:e>
        </m:acc>
        <m:r>
          <m:rPr>
            <m:sty m:val="p"/>
          </m:rPr>
          <m:t>=</m:t>
        </m:r>
        <m:nary>
          <m:naryPr>
            <m:chr m:val="∑"/>
            <m:limLoc m:val="undOvr"/>
            <m:subHide m:val="off"/>
            <m:supHide m:val="off"/>
          </m:naryPr>
          <m:sub>
            <m:r>
              <m:t>m</m:t>
            </m:r>
            <m:r>
              <m:rPr>
                <m:sty m:val="p"/>
              </m:rPr>
              <m:t>=</m:t>
            </m:r>
            <m:r>
              <m:t>1</m:t>
            </m:r>
          </m:sub>
          <m:sup>
            <m:r>
              <m:t>M</m:t>
            </m:r>
          </m:sup>
          <m:e>
            <m:sSub>
              <m:e>
                <m:r>
                  <m:t>η</m:t>
                </m:r>
              </m:e>
              <m:sub>
                <m:r>
                  <m:t>m</m:t>
                </m:r>
              </m:sub>
            </m:sSub>
          </m:e>
        </m:nary>
        <m:sSub>
          <m:e>
            <m:r>
              <m:t>T</m:t>
            </m:r>
          </m:e>
          <m:sub>
            <m:r>
              <m:t>m</m:t>
            </m:r>
          </m:sub>
        </m:sSub>
        <m:r>
          <m:rPr>
            <m:sty m:val="p"/>
          </m:rPr>
          <m:t>;</m:t>
        </m:r>
        <m:r>
          <m:t>  </m:t>
        </m:r>
        <m:r>
          <m:t>η</m:t>
        </m:r>
        <m:d>
          <m:dPr>
            <m:begChr m:val="("/>
            <m:endChr m:val=")"/>
            <m:grow/>
          </m:dPr>
          <m:e>
            <m:sSub>
              <m:e>
                <m:r>
                  <m:t>P</m:t>
                </m:r>
              </m:e>
              <m:sub>
                <m:r>
                  <m:t>1</m:t>
                </m:r>
              </m:sub>
            </m:sSub>
            <m:sSub>
              <m:e>
                <m:r>
                  <m:t>P</m:t>
                </m:r>
              </m:e>
              <m:sub>
                <m:r>
                  <m:t>2</m:t>
                </m:r>
              </m:sub>
            </m:sSub>
            <m:r>
              <m:rPr>
                <m:sty m:val="p"/>
              </m:rPr>
              <m:t>,</m:t>
            </m:r>
            <m:sSub>
              <m:e>
                <m:r>
                  <m:t>R</m:t>
                </m:r>
              </m:e>
              <m:sub>
                <m:r>
                  <m:t>1</m:t>
                </m:r>
              </m:sub>
            </m:sSub>
            <m:sSub>
              <m:e>
                <m:r>
                  <m:t>R</m:t>
                </m:r>
              </m:e>
              <m:sub>
                <m:r>
                  <m:t>2</m:t>
                </m:r>
              </m:sub>
            </m:sSub>
            <m:r>
              <m:rPr>
                <m:sty m:val="p"/>
              </m:rPr>
              <m:t>,</m:t>
            </m:r>
            <m:sSub>
              <m:e>
                <m:r>
                  <m:t>S</m:t>
                </m:r>
              </m:e>
              <m:sub>
                <m:r>
                  <m:t>1</m:t>
                </m:r>
              </m:sub>
            </m:sSub>
            <m:sSub>
              <m:e>
                <m:r>
                  <m:t>S</m:t>
                </m:r>
              </m:e>
              <m:sub>
                <m:r>
                  <m:t>2</m:t>
                </m:r>
              </m:sub>
            </m:sSub>
          </m:e>
        </m:d>
        <m:r>
          <m:rPr>
            <m:sty m:val="p"/>
          </m:rPr>
          <m:t>=</m:t>
        </m:r>
        <m:r>
          <m:t>η</m:t>
        </m:r>
        <m:d>
          <m:dPr>
            <m:begChr m:val="("/>
            <m:endChr m:val=")"/>
            <m:grow/>
          </m:dPr>
          <m:e>
            <m:sSub>
              <m:e>
                <m:r>
                  <m:t>P</m:t>
                </m:r>
              </m:e>
              <m:sub>
                <m:r>
                  <m:t>1</m:t>
                </m:r>
              </m:sub>
            </m:sSub>
            <m:r>
              <m:rPr>
                <m:sty m:val="p"/>
              </m:rPr>
              <m:t>,</m:t>
            </m:r>
            <m:sSub>
              <m:e>
                <m:r>
                  <m:t>R</m:t>
                </m:r>
              </m:e>
              <m:sub>
                <m:r>
                  <m:t>1</m:t>
                </m:r>
              </m:sub>
            </m:sSub>
            <m:r>
              <m:rPr>
                <m:sty m:val="p"/>
              </m:rPr>
              <m:t>,</m:t>
            </m:r>
            <m:sSub>
              <m:e>
                <m:r>
                  <m:t>S</m:t>
                </m:r>
              </m:e>
              <m:sub>
                <m:r>
                  <m:t>1</m:t>
                </m:r>
              </m:sub>
            </m:sSub>
          </m:e>
        </m:d>
        <m:r>
          <m:t>η</m:t>
        </m:r>
        <m:d>
          <m:dPr>
            <m:begChr m:val="("/>
            <m:endChr m:val=")"/>
            <m:grow/>
          </m:dPr>
          <m:e>
            <m:sSub>
              <m:e>
                <m:r>
                  <m:t>P</m:t>
                </m:r>
              </m:e>
              <m:sub>
                <m:r>
                  <m:t>2</m:t>
                </m:r>
              </m:sub>
            </m:sSub>
            <m:r>
              <m:rPr>
                <m:sty m:val="p"/>
              </m:rPr>
              <m:t>,</m:t>
            </m:r>
            <m:sSub>
              <m:e>
                <m:r>
                  <m:t>R</m:t>
                </m:r>
              </m:e>
              <m:sub>
                <m:r>
                  <m:t>2</m:t>
                </m:r>
              </m:sub>
            </m:sSub>
            <m:r>
              <m:rPr>
                <m:sty m:val="p"/>
              </m:rPr>
              <m:t>,</m:t>
            </m:r>
            <m:sSub>
              <m:e>
                <m:r>
                  <m:t>S</m:t>
                </m:r>
              </m:e>
              <m:sub>
                <m:r>
                  <m:t>2</m:t>
                </m:r>
              </m:sub>
            </m:sSub>
          </m:e>
        </m:d>
      </m:oMath>
      <w:r>
        <w:tab/>
      </w:r>
      <w:r>
        <w:rPr>
          <w:rFonts w:ascii="Times New Roman" w:hAnsi="Times New Roman" w:eastAsia="宋体"/>
          <w:sz w:val="24"/>
        </w:rPr>
        <w:t>(5-6)</w:t>
      </w:r>
    </w:p>
    <w:p>
      <w:pPr>
        <w:spacing w:line="360" w:lineRule="auto" w:after="0"/>
        <w:jc w:val="both"/>
      </w:pPr>
      <w:r>
        <w:rPr>
          <w:rFonts w:ascii="宋体" w:hAnsi="宋体" w:eastAsia="宋体"/>
          <w:sz w:val="24"/>
        </w:rPr>
        <w:t>其中，四式依次为公理一（基准归一）、公理二（严格单调）、公理三（可加性）与公理四（传递一致，亦称链式一致）；</w:t>
      </w:r>
      <m:oMath>
        <m:r>
          <m:t>M</m:t>
        </m:r>
      </m:oMath>
      <w:r>
        <w:rPr>
          <w:rFonts w:ascii="宋体" w:hAnsi="宋体" w:eastAsia="宋体"/>
          <w:sz w:val="24"/>
        </w:rPr>
        <w:t>为档位数，</w:t>
      </w:r>
      <m:oMath>
        <m:sSub>
          <m:e>
            <m:r>
              <m:t>η</m:t>
            </m:r>
          </m:e>
          <m:sub>
            <m:r>
              <m:t>m</m:t>
            </m:r>
          </m:sub>
        </m:sSub>
      </m:oMath>
      <w:r>
        <w:rPr>
          <w:rFonts w:ascii="宋体" w:hAnsi="宋体" w:eastAsia="宋体"/>
          <w:sz w:val="24"/>
        </w:rPr>
        <w:t>与</w:t>
      </w:r>
      <m:oMath>
        <m:sSub>
          <m:e>
            <m:r>
              <m:t>T</m:t>
            </m:r>
          </m:e>
          <m:sub>
            <m:r>
              <m:t>m</m:t>
            </m:r>
          </m:sub>
        </m:sSub>
      </m:oMath>
      <w:r>
        <w:rPr>
          <w:rFonts w:ascii="宋体" w:hAnsi="宋体" w:eastAsia="宋体"/>
          <w:sz w:val="24"/>
        </w:rPr>
        <w:t>分别为档位</w:t>
      </w:r>
      <m:oMath>
        <m:r>
          <m:t>m</m:t>
        </m:r>
      </m:oMath>
      <w:r>
        <w:rPr>
          <w:rFonts w:ascii="宋体" w:hAnsi="宋体" w:eastAsia="宋体"/>
          <w:sz w:val="24"/>
        </w:rPr>
        <w:t>的效值系数与物理词元量。</w:t>
      </w:r>
    </w:p>
    <w:p>
      <w:pPr>
        <w:spacing w:line="360" w:lineRule="auto" w:after="0"/>
        <w:ind w:firstLineChars="200" w:firstLine="480"/>
        <w:jc w:val="both"/>
      </w:pPr>
      <w:r>
        <w:rPr>
          <w:rFonts w:ascii="宋体" w:hAnsi="宋体" w:eastAsia="宋体"/>
          <w:b/>
          <w:sz w:val="24"/>
        </w:rPr>
        <w:t>公理一（基准归一）</w:t>
      </w:r>
      <w:r>
        <w:rPr>
          <w:rFonts w:ascii="宋体" w:hAnsi="宋体" w:eastAsia="宋体"/>
          <w:sz w:val="24"/>
        </w:rPr>
        <w:t>要求基准档在基准任务上的一枚物理词元恰为一枚标准词元。它的作用是给当量单位以名义，并使折算系数具有「相对于基准的倍数」这一直观解释。这条公理看似平凡，却排除了一类常见的合成方式——把各维得分标准化到</w:t>
      </w:r>
      <m:oMath>
        <m:d>
          <m:dPr>
            <m:begChr m:val="["/>
            <m:endChr m:val="]"/>
            <m:grow/>
          </m:dPr>
          <m:e>
            <m:r>
              <m:t>0</m:t>
            </m:r>
            <m:r>
              <m:rPr>
                <m:sty m:val="p"/>
              </m:rPr>
              <m:t>,</m:t>
            </m:r>
            <m:r>
              <m:t>1</m:t>
            </m:r>
          </m:e>
        </m:d>
      </m:oMath>
      <w:r>
        <w:rPr>
          <w:rFonts w:ascii="宋体" w:hAnsi="宋体" w:eastAsia="宋体"/>
          <w:sz w:val="24"/>
        </w:rPr>
        <w:t>区间后加权求和。此类合成的取值范围固定，无法表达「某档位是基准档的4倍」这样的当量关系，只能表达排序，因而不是折算而是评分。</w:t>
      </w:r>
      <w:r>
        <w:rPr>
          <w:rFonts w:ascii="宋体" w:hAnsi="宋体" w:eastAsia="宋体"/>
          <w:b/>
          <w:sz w:val="24"/>
        </w:rPr>
        <w:t>公理二（严格单调）</w:t>
      </w:r>
      <w:r>
        <w:rPr>
          <w:rFonts w:ascii="宋体" w:hAnsi="宋体" w:eastAsia="宋体"/>
          <w:sz w:val="24"/>
        </w:rPr>
        <w:t>要求三个维度上的改进都必须提高效值系数。它排除了各维之间出现补偿性反转的可能，保证折算体系与技术进步的方向一致：任何使模型更强、更省、更有用的改进，都不应当被折算体系惩罚。</w:t>
      </w:r>
      <w:r>
        <w:rPr>
          <w:rFonts w:ascii="宋体" w:hAnsi="宋体" w:eastAsia="宋体"/>
          <w:b/>
          <w:sz w:val="24"/>
        </w:rPr>
        <w:t>公理三（可加性）</w:t>
      </w:r>
      <w:r>
        <w:rPr>
          <w:rFonts w:ascii="宋体" w:hAnsi="宋体" w:eastAsia="宋体"/>
          <w:sz w:val="24"/>
        </w:rPr>
        <w:t>要求折算后的当量可以直接相加。这是当量折算区别于多维评价的根本标志，也是标准词元能够进入价格指数、财政核定与增长核算的前提；一旦可加性不成立，「全国日均标准词元流量」这样的宏观变量就无法定义。</w:t>
      </w:r>
    </w:p>
    <w:p>
      <w:pPr>
        <w:spacing w:line="360" w:lineRule="auto" w:after="0"/>
        <w:ind w:firstLineChars="200" w:firstLine="480"/>
        <w:jc w:val="both"/>
      </w:pPr>
      <w:r>
        <w:rPr>
          <w:rFonts w:ascii="宋体" w:hAnsi="宋体" w:eastAsia="宋体"/>
          <w:b/>
          <w:sz w:val="24"/>
        </w:rPr>
        <w:t>公理四（传递一致）</w:t>
      </w:r>
      <w:r>
        <w:rPr>
          <w:rFonts w:ascii="宋体" w:hAnsi="宋体" w:eastAsia="宋体"/>
          <w:sz w:val="24"/>
        </w:rPr>
        <w:t>是四条公理中最具技术力量、也最容易被忽略的一条。它要求折算具有链式一致性：若档位甲相对档位乙的三维倍数为</w:t>
      </w:r>
      <m:oMath>
        <m:d>
          <m:dPr>
            <m:begChr m:val="("/>
            <m:endChr m:val=")"/>
            <m:grow/>
          </m:dPr>
          <m:e>
            <m:sSub>
              <m:e>
                <m:r>
                  <m:t>P</m:t>
                </m:r>
              </m:e>
              <m:sub>
                <m:r>
                  <m:t>1</m:t>
                </m:r>
              </m:sub>
            </m:sSub>
            <m:r>
              <m:rPr>
                <m:sty m:val="p"/>
              </m:rPr>
              <m:t>,</m:t>
            </m:r>
            <m:sSub>
              <m:e>
                <m:r>
                  <m:t>R</m:t>
                </m:r>
              </m:e>
              <m:sub>
                <m:r>
                  <m:t>1</m:t>
                </m:r>
              </m:sub>
            </m:sSub>
            <m:r>
              <m:rPr>
                <m:sty m:val="p"/>
              </m:rPr>
              <m:t>,</m:t>
            </m:r>
            <m:sSub>
              <m:e>
                <m:r>
                  <m:t>S</m:t>
                </m:r>
              </m:e>
              <m:sub>
                <m:r>
                  <m:t>1</m:t>
                </m:r>
              </m:sub>
            </m:sSub>
          </m:e>
        </m:d>
      </m:oMath>
      <w:r>
        <w:rPr>
          <w:rFonts w:ascii="宋体" w:hAnsi="宋体" w:eastAsia="宋体"/>
          <w:sz w:val="24"/>
        </w:rPr>
        <w:t>、档位乙相对基准的三维倍数为</w:t>
      </w:r>
      <m:oMath>
        <m:d>
          <m:dPr>
            <m:begChr m:val="("/>
            <m:endChr m:val=")"/>
            <m:grow/>
          </m:dPr>
          <m:e>
            <m:sSub>
              <m:e>
                <m:r>
                  <m:t>P</m:t>
                </m:r>
              </m:e>
              <m:sub>
                <m:r>
                  <m:t>2</m:t>
                </m:r>
              </m:sub>
            </m:sSub>
            <m:r>
              <m:rPr>
                <m:sty m:val="p"/>
              </m:rPr>
              <m:t>,</m:t>
            </m:r>
            <m:sSub>
              <m:e>
                <m:r>
                  <m:t>R</m:t>
                </m:r>
              </m:e>
              <m:sub>
                <m:r>
                  <m:t>2</m:t>
                </m:r>
              </m:sub>
            </m:sSub>
            <m:r>
              <m:rPr>
                <m:sty m:val="p"/>
              </m:rPr>
              <m:t>,</m:t>
            </m:r>
            <m:sSub>
              <m:e>
                <m:r>
                  <m:t>S</m:t>
                </m:r>
              </m:e>
              <m:sub>
                <m:r>
                  <m:t>2</m:t>
                </m:r>
              </m:sub>
            </m:sSub>
          </m:e>
        </m:d>
      </m:oMath>
      <w:r>
        <w:rPr>
          <w:rFonts w:ascii="宋体" w:hAnsi="宋体" w:eastAsia="宋体"/>
          <w:sz w:val="24"/>
        </w:rPr>
        <w:t>，那么由甲直接相对基准折算的结果，必须等于「甲→乙→基准」分两步折算的结果之积。这条公理的经济必要性有三重。</w:t>
      </w:r>
      <w:r>
        <w:rPr>
          <w:rFonts w:ascii="宋体" w:hAnsi="宋体" w:eastAsia="宋体"/>
          <w:b/>
          <w:sz w:val="24"/>
        </w:rPr>
        <w:t>其一是防套利。</w:t>
      </w:r>
      <w:r>
        <w:rPr>
          <w:rFonts w:ascii="宋体" w:hAnsi="宋体" w:eastAsia="宋体"/>
          <w:sz w:val="24"/>
        </w:rPr>
        <w:t>若折算路径不同则结果不同，套利者可以在折算路径的选择中获取无风险收益，标准词元的价格体系将无法收敛，第7章的价格指数与第8章的市场均衡都将失去基础。</w:t>
      </w:r>
      <w:r>
        <w:rPr>
          <w:rFonts w:ascii="宋体" w:hAnsi="宋体" w:eastAsia="宋体"/>
          <w:b/>
          <w:sz w:val="24"/>
        </w:rPr>
        <w:t>其二是可分解。</w:t>
      </w:r>
      <w:r>
        <w:rPr>
          <w:rFonts w:ascii="宋体" w:hAnsi="宋体" w:eastAsia="宋体"/>
          <w:sz w:val="24"/>
        </w:rPr>
        <w:t>技术进步往往分阶段发生，一次模型升级可以分解为若干次能力提升的叠加；传递一致保证了「先算总账」与「分步累加」得到相同结果，从而使效值的时序变化可以被分解归因。</w:t>
      </w:r>
      <w:r>
        <w:rPr>
          <w:rFonts w:ascii="宋体" w:hAnsi="宋体" w:eastAsia="宋体"/>
          <w:b/>
          <w:sz w:val="24"/>
        </w:rPr>
        <w:t>其三是跨主体可核验。</w:t>
      </w:r>
      <w:r>
        <w:rPr>
          <w:rFonts w:ascii="宋体" w:hAnsi="宋体" w:eastAsia="宋体"/>
          <w:sz w:val="24"/>
        </w:rPr>
        <w:t>不同机构以不同的中间参照物开展折算时，只要三维测度一致，结果必然一致，折算体系由此具备了作为公共计量基础设施的资格。</w:t>
      </w:r>
    </w:p>
    <w:p>
      <w:pPr>
        <w:keepNext/>
        <w:spacing w:before="160" w:after="120" w:line="360" w:lineRule="auto"/>
        <w:outlineLvl w:val="2"/>
      </w:pPr>
      <w:r>
        <w:rPr>
          <w:rFonts w:ascii="黑体" w:hAnsi="黑体" w:eastAsia="黑体"/>
          <w:sz w:val="24"/>
        </w:rPr>
        <w:t>5.3.2  命题5.1：折算函数的存在性与形式唯一性</w:t>
      </w:r>
    </w:p>
    <w:p>
      <w:pPr>
        <w:spacing w:line="360" w:lineRule="auto" w:after="0"/>
        <w:ind w:firstLineChars="200" w:firstLine="480"/>
        <w:jc w:val="both"/>
      </w:pPr>
      <w:r>
        <w:rPr>
          <w:rFonts w:ascii="宋体" w:hAnsi="宋体" w:eastAsia="宋体"/>
          <w:sz w:val="24"/>
        </w:rPr>
        <w:t>四条公理的力量在于，它们把无穷维的函数选择空间压缩为一个三参数族。这一结论以命题形式陈述如下。</w:t>
      </w:r>
    </w:p>
    <w:p>
      <w:pPr>
        <w:spacing w:line="360" w:lineRule="auto" w:after="0"/>
        <w:ind w:firstLineChars="200" w:firstLine="480"/>
        <w:jc w:val="both"/>
      </w:pPr>
      <w:r>
        <w:rPr>
          <w:rFonts w:ascii="宋体" w:hAnsi="宋体" w:eastAsia="宋体"/>
          <w:b/>
          <w:sz w:val="24"/>
        </w:rPr>
        <w:t>命题5.1（折算函数的存在性与形式唯一性）</w:t>
      </w:r>
      <w:r>
        <w:rPr>
          <w:rFonts w:ascii="宋体" w:hAnsi="宋体" w:eastAsia="宋体"/>
          <w:sz w:val="24"/>
        </w:rPr>
        <w:t xml:space="preserve">  设折算函数</w:t>
      </w:r>
      <m:oMath>
        <m:r>
          <m:t>η</m:t>
        </m:r>
        <m:r>
          <m:rPr>
            <m:sty m:val="p"/>
          </m:rPr>
          <m:t>:</m:t>
        </m:r>
        <m:sSup>
          <m:e>
            <m:d>
              <m:dPr>
                <m:begChr m:val="("/>
                <m:endChr m:val=")"/>
                <m:grow/>
              </m:dPr>
              <m:e>
                <m:r>
                  <m:t>0</m:t>
                </m:r>
                <m:r>
                  <m:rPr>
                    <m:sty m:val="p"/>
                  </m:rPr>
                  <m:t>,</m:t>
                </m:r>
                <m:r>
                  <m:rPr>
                    <m:sty m:val="p"/>
                  </m:rPr>
                  <m:t>+</m:t>
                </m:r>
                <m:r>
                  <m:rPr>
                    <m:sty m:val="p"/>
                  </m:rPr>
                  <m:t>∞</m:t>
                </m:r>
              </m:e>
            </m:d>
          </m:e>
          <m:sup>
            <m:r>
              <m:t>3</m:t>
            </m:r>
          </m:sup>
        </m:sSup>
        <m:r>
          <m:rPr>
            <m:sty m:val="p"/>
          </m:rPr>
          <m:t>→</m:t>
        </m:r>
        <m:d>
          <m:dPr>
            <m:begChr m:val="("/>
            <m:endChr m:val=")"/>
            <m:grow/>
          </m:dPr>
          <m:e>
            <m:r>
              <m:t>0</m:t>
            </m:r>
            <m:r>
              <m:rPr>
                <m:sty m:val="p"/>
              </m:rPr>
              <m:t>,</m:t>
            </m:r>
            <m:r>
              <m:rPr>
                <m:sty m:val="p"/>
              </m:rPr>
              <m:t>+</m:t>
            </m:r>
            <m:r>
              <m:rPr>
                <m:sty m:val="p"/>
              </m:rPr>
              <m:t>∞</m:t>
            </m:r>
          </m:e>
        </m:d>
      </m:oMath>
      <w:r>
        <w:rPr>
          <w:rFonts w:ascii="宋体" w:hAnsi="宋体" w:eastAsia="宋体"/>
          <w:sz w:val="24"/>
        </w:rPr>
        <w:t>连续，且满足式(5-6)所列公理一、公理二与公理四，则</w:t>
      </w:r>
      <m:oMath>
        <m:r>
          <m:t>η</m:t>
        </m:r>
      </m:oMath>
      <w:r>
        <w:rPr>
          <w:rFonts w:ascii="宋体" w:hAnsi="宋体" w:eastAsia="宋体"/>
          <w:sz w:val="24"/>
        </w:rPr>
        <w:t>必为幂积形式，即存在唯一的正实数组</w:t>
      </w:r>
      <m:oMath>
        <m:d>
          <m:dPr>
            <m:begChr m:val="("/>
            <m:endChr m:val=")"/>
            <m:grow/>
          </m:dPr>
          <m:e>
            <m:sSub>
              <m:e>
                <m:r>
                  <m:t>w</m:t>
                </m:r>
              </m:e>
              <m:sub>
                <m:r>
                  <m:t>P</m:t>
                </m:r>
              </m:sub>
            </m:sSub>
            <m:r>
              <m:rPr>
                <m:sty m:val="p"/>
              </m:rPr>
              <m:t>,</m:t>
            </m:r>
            <m:sSub>
              <m:e>
                <m:r>
                  <m:t>w</m:t>
                </m:r>
              </m:e>
              <m:sub>
                <m:r>
                  <m:t>R</m:t>
                </m:r>
              </m:sub>
            </m:sSub>
            <m:r>
              <m:rPr>
                <m:sty m:val="p"/>
              </m:rPr>
              <m:t>,</m:t>
            </m:r>
            <m:sSub>
              <m:e>
                <m:r>
                  <m:t>w</m:t>
                </m:r>
              </m:e>
              <m:sub>
                <m:r>
                  <m:t>S</m:t>
                </m:r>
              </m:sub>
            </m:sSub>
          </m:e>
        </m:d>
      </m:oMath>
      <w:r>
        <w:rPr>
          <w:rFonts w:ascii="宋体" w:hAnsi="宋体" w:eastAsia="宋体"/>
          <w:sz w:val="24"/>
        </w:rPr>
        <w:t>使得：</w:t>
      </w:r>
    </w:p>
    <w:p>
      <w:pPr>
        <w:tabs>
          <w:tab w:pos="4252" w:val="center"/>
          <w:tab w:pos="8504" w:val="right"/>
        </w:tabs>
        <w:spacing w:line="360" w:lineRule="auto" w:before="80" w:after="80"/>
      </w:pPr>
      <w:r>
        <w:tab/>
      </w:r>
      <m:oMath>
        <m:r>
          <m:t>η</m:t>
        </m:r>
        <m:d>
          <m:dPr>
            <m:begChr m:val="("/>
            <m:endChr m:val=")"/>
            <m:grow/>
          </m:dPr>
          <m:e>
            <m:r>
              <m:t>P</m:t>
            </m:r>
            <m:r>
              <m:rPr>
                <m:sty m:val="p"/>
              </m:rPr>
              <m:t>,</m:t>
            </m:r>
            <m:r>
              <m:t>R</m:t>
            </m:r>
            <m:r>
              <m:rPr>
                <m:sty m:val="p"/>
              </m:rPr>
              <m:t>,</m:t>
            </m:r>
            <m:r>
              <m:t>S</m:t>
            </m:r>
          </m:e>
        </m:d>
        <m:r>
          <m:rPr>
            <m:sty m:val="p"/>
          </m:rPr>
          <m:t>=</m:t>
        </m:r>
        <m:sSup>
          <m:e>
            <m:r>
              <m:t>P</m:t>
            </m:r>
          </m:e>
          <m:sup>
            <m:r>
              <m:t> </m:t>
            </m:r>
            <m:sSub>
              <m:e>
                <m:r>
                  <m:t>w</m:t>
                </m:r>
              </m:e>
              <m:sub>
                <m:r>
                  <m:t>P</m:t>
                </m:r>
              </m:sub>
            </m:sSub>
          </m:sup>
        </m:sSup>
        <m:r>
          <m:t> </m:t>
        </m:r>
        <m:sSup>
          <m:e>
            <m:r>
              <m:t>R</m:t>
            </m:r>
          </m:e>
          <m:sup>
            <m:r>
              <m:t> </m:t>
            </m:r>
            <m:sSub>
              <m:e>
                <m:r>
                  <m:t>w</m:t>
                </m:r>
              </m:e>
              <m:sub>
                <m:r>
                  <m:t>R</m:t>
                </m:r>
              </m:sub>
            </m:sSub>
          </m:sup>
        </m:sSup>
        <m:r>
          <m:t> </m:t>
        </m:r>
        <m:sSup>
          <m:e>
            <m:r>
              <m:t>S</m:t>
            </m:r>
          </m:e>
          <m:sup>
            <m:r>
              <m:t> </m:t>
            </m:r>
            <m:sSub>
              <m:e>
                <m:r>
                  <m:t>w</m:t>
                </m:r>
              </m:e>
              <m:sub>
                <m:r>
                  <m:t>S</m:t>
                </m:r>
              </m:sub>
            </m:sSub>
          </m:sup>
        </m:sSup>
        <m:r>
          <m:rPr>
            <m:sty m:val="p"/>
          </m:rPr>
          <m:t>,</m:t>
        </m:r>
        <m:r>
          <m:t>  </m:t>
        </m:r>
        <m:sSub>
          <m:e>
            <m:r>
              <m:t>w</m:t>
            </m:r>
          </m:e>
          <m:sub>
            <m:r>
              <m:t>P</m:t>
            </m:r>
          </m:sub>
        </m:sSub>
        <m:r>
          <m:rPr>
            <m:sty m:val="p"/>
          </m:rPr>
          <m:t>,</m:t>
        </m:r>
        <m:sSub>
          <m:e>
            <m:r>
              <m:t>w</m:t>
            </m:r>
          </m:e>
          <m:sub>
            <m:r>
              <m:t>R</m:t>
            </m:r>
          </m:sub>
        </m:sSub>
        <m:r>
          <m:rPr>
            <m:sty m:val="p"/>
          </m:rPr>
          <m:t>,</m:t>
        </m:r>
        <m:sSub>
          <m:e>
            <m:r>
              <m:t>w</m:t>
            </m:r>
          </m:e>
          <m:sub>
            <m:r>
              <m:t>S</m:t>
            </m:r>
          </m:sub>
        </m:sSub>
        <m:r>
          <m:rPr>
            <m:sty m:val="p"/>
          </m:rPr>
          <m:t>&gt;</m:t>
        </m:r>
        <m:r>
          <m:t>0</m:t>
        </m:r>
      </m:oMath>
      <w:r>
        <w:tab/>
      </w:r>
      <w:r>
        <w:rPr>
          <w:rFonts w:ascii="Times New Roman" w:hAnsi="Times New Roman" w:eastAsia="宋体"/>
          <w:sz w:val="24"/>
        </w:rPr>
        <w:t>(5-7)</w:t>
      </w:r>
    </w:p>
    <w:p>
      <w:pPr>
        <w:spacing w:line="360" w:lineRule="auto" w:after="0"/>
        <w:jc w:val="both"/>
      </w:pPr>
      <w:r>
        <w:rPr>
          <w:rFonts w:ascii="宋体" w:hAnsi="宋体" w:eastAsia="宋体"/>
          <w:sz w:val="24"/>
        </w:rPr>
        <w:t>其中，</w:t>
      </w:r>
      <m:oMath>
        <m:sSub>
          <m:e>
            <m:r>
              <m:t>w</m:t>
            </m:r>
          </m:e>
          <m:sub>
            <m:r>
              <m:t>P</m:t>
            </m:r>
          </m:sub>
        </m:sSub>
      </m:oMath>
      <w:r>
        <w:rPr>
          <w:rFonts w:ascii="宋体" w:hAnsi="宋体" w:eastAsia="宋体"/>
          <w:sz w:val="24"/>
        </w:rPr>
        <w:t>、</w:t>
      </w:r>
      <m:oMath>
        <m:sSub>
          <m:e>
            <m:r>
              <m:t>w</m:t>
            </m:r>
          </m:e>
          <m:sub>
            <m:r>
              <m:t>R</m:t>
            </m:r>
          </m:sub>
        </m:sSub>
      </m:oMath>
      <w:r>
        <w:rPr>
          <w:rFonts w:ascii="宋体" w:hAnsi="宋体" w:eastAsia="宋体"/>
          <w:sz w:val="24"/>
        </w:rPr>
        <w:t>、</w:t>
      </w:r>
      <m:oMath>
        <m:sSub>
          <m:e>
            <m:r>
              <m:t>w</m:t>
            </m:r>
          </m:e>
          <m:sub>
            <m:r>
              <m:t>S</m:t>
            </m:r>
          </m:sub>
        </m:sSub>
      </m:oMath>
      <w:r>
        <w:rPr>
          <w:rFonts w:ascii="宋体" w:hAnsi="宋体" w:eastAsia="宋体"/>
          <w:sz w:val="24"/>
        </w:rPr>
        <w:t>为三维效值的权重，同时也是效值系数对各维度的常数弹性；公理三（可加性）在此形式下自动成立。</w:t>
      </w:r>
    </w:p>
    <w:p>
      <w:pPr>
        <w:spacing w:line="360" w:lineRule="auto" w:after="0"/>
        <w:ind w:firstLineChars="200" w:firstLine="480"/>
        <w:jc w:val="both"/>
      </w:pPr>
      <w:r>
        <w:rPr>
          <w:rFonts w:ascii="宋体" w:hAnsi="宋体" w:eastAsia="宋体"/>
          <w:b/>
          <w:sz w:val="24"/>
        </w:rPr>
        <w:t>证明。</w:t>
      </w:r>
      <w:r>
        <w:rPr>
          <w:rFonts w:ascii="宋体" w:hAnsi="宋体" w:eastAsia="宋体"/>
          <w:sz w:val="24"/>
        </w:rPr>
        <w:t>先证必要性。作变量替换</w:t>
      </w:r>
      <m:oMath>
        <m:sSub>
          <m:e>
            <m:r>
              <m:t>u</m:t>
            </m:r>
          </m:e>
          <m:sub>
            <m:r>
              <m:t>1</m:t>
            </m:r>
          </m:sub>
        </m:sSub>
        <m:r>
          <m:rPr>
            <m:sty m:val="p"/>
          </m:rPr>
          <m:t>=</m:t>
        </m:r>
        <m:r>
          <m:rPr>
            <m:sty m:val="p"/>
          </m:rPr>
          <m:t>ln</m:t>
        </m:r>
        <m:r>
          <m:t>P</m:t>
        </m:r>
      </m:oMath>
      <w:r>
        <w:rPr>
          <w:rFonts w:ascii="宋体" w:hAnsi="宋体" w:eastAsia="宋体"/>
          <w:sz w:val="24"/>
        </w:rPr>
        <w:t>、</w:t>
      </w:r>
      <m:oMath>
        <m:sSub>
          <m:e>
            <m:r>
              <m:t>u</m:t>
            </m:r>
          </m:e>
          <m:sub>
            <m:r>
              <m:t>2</m:t>
            </m:r>
          </m:sub>
        </m:sSub>
        <m:r>
          <m:rPr>
            <m:sty m:val="p"/>
          </m:rPr>
          <m:t>=</m:t>
        </m:r>
        <m:r>
          <m:rPr>
            <m:sty m:val="p"/>
          </m:rPr>
          <m:t>ln</m:t>
        </m:r>
        <m:r>
          <m:t>R</m:t>
        </m:r>
      </m:oMath>
      <w:r>
        <w:rPr>
          <w:rFonts w:ascii="宋体" w:hAnsi="宋体" w:eastAsia="宋体"/>
          <w:sz w:val="24"/>
        </w:rPr>
        <w:t>、</w:t>
      </w:r>
      <m:oMath>
        <m:sSub>
          <m:e>
            <m:r>
              <m:t>u</m:t>
            </m:r>
          </m:e>
          <m:sub>
            <m:r>
              <m:t>3</m:t>
            </m:r>
          </m:sub>
        </m:sSub>
        <m:r>
          <m:rPr>
            <m:sty m:val="p"/>
          </m:rPr>
          <m:t>=</m:t>
        </m:r>
        <m:r>
          <m:rPr>
            <m:sty m:val="p"/>
          </m:rPr>
          <m:t>ln</m:t>
        </m:r>
        <m:r>
          <m:t>S</m:t>
        </m:r>
      </m:oMath>
      <w:r>
        <w:rPr>
          <w:rFonts w:ascii="宋体" w:hAnsi="宋体" w:eastAsia="宋体"/>
          <w:sz w:val="24"/>
        </w:rPr>
        <w:t>，并定义</w:t>
      </w:r>
      <m:oMath>
        <m:r>
          <m:t>h</m:t>
        </m:r>
        <m:d>
          <m:dPr>
            <m:begChr m:val="("/>
            <m:endChr m:val=")"/>
            <m:grow/>
          </m:dPr>
          <m:e>
            <m:r>
              <m:rPr>
                <m:sty m:val="b"/>
              </m:rPr>
              <m:t>u</m:t>
            </m:r>
          </m:e>
        </m:d>
        <m:r>
          <m:rPr>
            <m:sty m:val="p"/>
          </m:rPr>
          <m:t>=</m:t>
        </m:r>
        <m:r>
          <m:rPr>
            <m:sty m:val="p"/>
          </m:rPr>
          <m:t>ln</m:t>
        </m:r>
        <m:r>
          <m:t>η</m:t>
        </m:r>
        <m:d>
          <m:dPr>
            <m:begChr m:val="("/>
            <m:endChr m:val=")"/>
            <m:grow/>
          </m:dPr>
          <m:e>
            <m:sSup>
              <m:e>
                <m:r>
                  <m:t>e</m:t>
                </m:r>
              </m:e>
              <m:sup>
                <m:sSub>
                  <m:e>
                    <m:r>
                      <m:t>u</m:t>
                    </m:r>
                  </m:e>
                  <m:sub>
                    <m:r>
                      <m:t>1</m:t>
                    </m:r>
                  </m:sub>
                </m:sSub>
              </m:sup>
            </m:sSup>
            <m:r>
              <m:rPr>
                <m:sty m:val="p"/>
              </m:rPr>
              <m:t>,</m:t>
            </m:r>
            <m:sSup>
              <m:e>
                <m:r>
                  <m:t>e</m:t>
                </m:r>
              </m:e>
              <m:sup>
                <m:sSub>
                  <m:e>
                    <m:r>
                      <m:t>u</m:t>
                    </m:r>
                  </m:e>
                  <m:sub>
                    <m:r>
                      <m:t>2</m:t>
                    </m:r>
                  </m:sub>
                </m:sSub>
              </m:sup>
            </m:sSup>
            <m:r>
              <m:rPr>
                <m:sty m:val="p"/>
              </m:rPr>
              <m:t>,</m:t>
            </m:r>
            <m:sSup>
              <m:e>
                <m:r>
                  <m:t>e</m:t>
                </m:r>
              </m:e>
              <m:sup>
                <m:sSub>
                  <m:e>
                    <m:r>
                      <m:t>u</m:t>
                    </m:r>
                  </m:e>
                  <m:sub>
                    <m:r>
                      <m:t>3</m:t>
                    </m:r>
                  </m:sub>
                </m:sSub>
              </m:sup>
            </m:sSup>
          </m:e>
        </m:d>
      </m:oMath>
      <w:r>
        <w:rPr>
          <w:rFonts w:ascii="宋体" w:hAnsi="宋体" w:eastAsia="宋体"/>
          <w:sz w:val="24"/>
        </w:rPr>
        <w:t>，其中</w:t>
      </w:r>
      <m:oMath>
        <m:r>
          <m:rPr>
            <m:sty m:val="b"/>
          </m:rPr>
          <m:t>u</m:t>
        </m:r>
        <m:r>
          <m:rPr>
            <m:sty m:val="p"/>
          </m:rPr>
          <m:t>=</m:t>
        </m:r>
        <m:d>
          <m:dPr>
            <m:begChr m:val="("/>
            <m:endChr m:val=")"/>
            <m:grow/>
          </m:dPr>
          <m:e>
            <m:sSub>
              <m:e>
                <m:r>
                  <m:t>u</m:t>
                </m:r>
              </m:e>
              <m:sub>
                <m:r>
                  <m:t>1</m:t>
                </m:r>
              </m:sub>
            </m:sSub>
            <m:r>
              <m:rPr>
                <m:sty m:val="p"/>
              </m:rPr>
              <m:t>,</m:t>
            </m:r>
            <m:sSub>
              <m:e>
                <m:r>
                  <m:t>u</m:t>
                </m:r>
              </m:e>
              <m:sub>
                <m:r>
                  <m:t>2</m:t>
                </m:r>
              </m:sub>
            </m:sSub>
            <m:r>
              <m:rPr>
                <m:sty m:val="p"/>
              </m:rPr>
              <m:t>,</m:t>
            </m:r>
            <m:sSub>
              <m:e>
                <m:r>
                  <m:t>u</m:t>
                </m:r>
              </m:e>
              <m:sub>
                <m:r>
                  <m:t>3</m:t>
                </m:r>
              </m:sub>
            </m:sSub>
          </m:e>
        </m:d>
        <m:r>
          <m:rPr>
            <m:sty m:val="p"/>
          </m:rPr>
          <m:t>∈</m:t>
        </m:r>
        <m:sSup>
          <m:e>
            <m:r>
              <m:t>R</m:t>
            </m:r>
          </m:e>
          <m:sup>
            <m:r>
              <m:t>3</m:t>
            </m:r>
          </m:sup>
        </m:sSup>
      </m:oMath>
      <w:r>
        <w:rPr>
          <w:rFonts w:ascii="宋体" w:hAnsi="宋体" w:eastAsia="宋体"/>
          <w:sz w:val="24"/>
        </w:rPr>
        <w:t>。由</w:t>
      </w:r>
      <m:oMath>
        <m:r>
          <m:t>η</m:t>
        </m:r>
      </m:oMath>
      <w:r>
        <w:rPr>
          <w:rFonts w:ascii="宋体" w:hAnsi="宋体" w:eastAsia="宋体"/>
          <w:sz w:val="24"/>
        </w:rPr>
        <w:t>连续且取值恒正，</w:t>
      </w:r>
      <m:oMath>
        <m:r>
          <m:t>h</m:t>
        </m:r>
      </m:oMath>
      <w:r>
        <w:rPr>
          <w:rFonts w:ascii="宋体" w:hAnsi="宋体" w:eastAsia="宋体"/>
          <w:sz w:val="24"/>
        </w:rPr>
        <w:t>在</w:t>
      </w:r>
      <m:oMath>
        <m:sSup>
          <m:e>
            <m:r>
              <m:t>R</m:t>
            </m:r>
          </m:e>
          <m:sup>
            <m:r>
              <m:t>3</m:t>
            </m:r>
          </m:sup>
        </m:sSup>
      </m:oMath>
      <w:r>
        <w:rPr>
          <w:rFonts w:ascii="宋体" w:hAnsi="宋体" w:eastAsia="宋体"/>
          <w:sz w:val="24"/>
        </w:rPr>
        <w:t>上连续。公理四中三个维度的乘法在对数尺度上化为加法，故对任意</w:t>
      </w:r>
      <m:oMath>
        <m:r>
          <m:rPr>
            <m:sty m:val="b"/>
          </m:rPr>
          <m:t>u</m:t>
        </m:r>
        <m:r>
          <m:rPr>
            <m:sty m:val="p"/>
          </m:rPr>
          <m:t>,</m:t>
        </m:r>
        <m:sSup>
          <m:e>
            <m:r>
              <m:rPr>
                <m:sty m:val="b"/>
              </m:rPr>
              <m:t>u</m:t>
            </m:r>
          </m:e>
          <m:sup>
            <m:r>
              <m:rPr>
                <m:sty m:val="p"/>
              </m:rPr>
              <m:t>′</m:t>
            </m:r>
          </m:sup>
        </m:sSup>
        <m:r>
          <m:rPr>
            <m:sty m:val="p"/>
          </m:rPr>
          <m:t>∈</m:t>
        </m:r>
        <m:sSup>
          <m:e>
            <m:r>
              <m:t>R</m:t>
            </m:r>
          </m:e>
          <m:sup>
            <m:r>
              <m:t>3</m:t>
            </m:r>
          </m:sup>
        </m:sSup>
      </m:oMath>
      <w:r>
        <w:rPr>
          <w:rFonts w:ascii="宋体" w:hAnsi="宋体" w:eastAsia="宋体"/>
          <w:sz w:val="24"/>
        </w:rPr>
        <w:t>有</w:t>
      </w:r>
      <m:oMath>
        <m:r>
          <m:t>h</m:t>
        </m:r>
        <m:d>
          <m:dPr>
            <m:begChr m:val="("/>
            <m:endChr m:val=")"/>
            <m:grow/>
          </m:dPr>
          <m:e>
            <m:r>
              <m:rPr>
                <m:sty m:val="b"/>
              </m:rPr>
              <m:t>u</m:t>
            </m:r>
            <m:r>
              <m:rPr>
                <m:sty m:val="p"/>
              </m:rPr>
              <m:t>+</m:t>
            </m:r>
            <m:sSup>
              <m:e>
                <m:r>
                  <m:rPr>
                    <m:sty m:val="b"/>
                  </m:rPr>
                  <m:t>u</m:t>
                </m:r>
              </m:e>
              <m:sup>
                <m:r>
                  <m:rPr>
                    <m:sty m:val="p"/>
                  </m:rPr>
                  <m:t>′</m:t>
                </m:r>
              </m:sup>
            </m:sSup>
          </m:e>
        </m:d>
        <m:r>
          <m:rPr>
            <m:sty m:val="p"/>
          </m:rPr>
          <m:t>=</m:t>
        </m:r>
        <m:r>
          <m:t>h</m:t>
        </m:r>
        <m:d>
          <m:dPr>
            <m:begChr m:val="("/>
            <m:endChr m:val=")"/>
            <m:grow/>
          </m:dPr>
          <m:e>
            <m:r>
              <m:rPr>
                <m:sty m:val="b"/>
              </m:rPr>
              <m:t>u</m:t>
            </m:r>
          </m:e>
        </m:d>
        <m:r>
          <m:rPr>
            <m:sty m:val="p"/>
          </m:rPr>
          <m:t>+</m:t>
        </m:r>
        <m:r>
          <m:t>h</m:t>
        </m:r>
        <m:d>
          <m:dPr>
            <m:begChr m:val="("/>
            <m:endChr m:val=")"/>
            <m:grow/>
          </m:dPr>
          <m:e>
            <m:sSup>
              <m:e>
                <m:r>
                  <m:rPr>
                    <m:sty m:val="b"/>
                  </m:rPr>
                  <m:t>u</m:t>
                </m:r>
              </m:e>
              <m:sup>
                <m:r>
                  <m:rPr>
                    <m:sty m:val="p"/>
                  </m:rPr>
                  <m:t>′</m:t>
                </m:r>
              </m:sup>
            </m:sSup>
          </m:e>
        </m:d>
      </m:oMath>
      <w:r>
        <w:rPr>
          <w:rFonts w:ascii="宋体" w:hAnsi="宋体" w:eastAsia="宋体"/>
          <w:sz w:val="24"/>
        </w:rPr>
        <w:t>，即</w:t>
      </w:r>
      <m:oMath>
        <m:r>
          <m:t>h</m:t>
        </m:r>
      </m:oMath>
      <w:r>
        <w:rPr>
          <w:rFonts w:ascii="宋体" w:hAnsi="宋体" w:eastAsia="宋体"/>
          <w:sz w:val="24"/>
        </w:rPr>
        <w:t>满足三元柯西可加函数方程。柯西方程的连续解必为线性齐次函数，故存在实数组</w:t>
      </w:r>
      <m:oMath>
        <m:d>
          <m:dPr>
            <m:begChr m:val="("/>
            <m:endChr m:val=")"/>
            <m:grow/>
          </m:dPr>
          <m:e>
            <m:sSub>
              <m:e>
                <m:r>
                  <m:t>w</m:t>
                </m:r>
              </m:e>
              <m:sub>
                <m:r>
                  <m:t>P</m:t>
                </m:r>
              </m:sub>
            </m:sSub>
            <m:r>
              <m:rPr>
                <m:sty m:val="p"/>
              </m:rPr>
              <m:t>,</m:t>
            </m:r>
            <m:sSub>
              <m:e>
                <m:r>
                  <m:t>w</m:t>
                </m:r>
              </m:e>
              <m:sub>
                <m:r>
                  <m:t>R</m:t>
                </m:r>
              </m:sub>
            </m:sSub>
            <m:r>
              <m:rPr>
                <m:sty m:val="p"/>
              </m:rPr>
              <m:t>,</m:t>
            </m:r>
            <m:sSub>
              <m:e>
                <m:r>
                  <m:t>w</m:t>
                </m:r>
              </m:e>
              <m:sub>
                <m:r>
                  <m:t>S</m:t>
                </m:r>
              </m:sub>
            </m:sSub>
          </m:e>
        </m:d>
      </m:oMath>
      <w:r>
        <w:rPr>
          <w:rFonts w:ascii="宋体" w:hAnsi="宋体" w:eastAsia="宋体"/>
          <w:sz w:val="24"/>
        </w:rPr>
        <w:t>使</w:t>
      </w:r>
      <m:oMath>
        <m:r>
          <m:t>h</m:t>
        </m:r>
        <m:d>
          <m:dPr>
            <m:begChr m:val="("/>
            <m:endChr m:val=")"/>
            <m:grow/>
          </m:dPr>
          <m:e>
            <m:r>
              <m:rPr>
                <m:sty m:val="b"/>
              </m:rPr>
              <m:t>u</m:t>
            </m:r>
          </m:e>
        </m:d>
        <m:r>
          <m:rPr>
            <m:sty m:val="p"/>
          </m:rPr>
          <m:t>=</m:t>
        </m:r>
        <m:sSub>
          <m:e>
            <m:r>
              <m:t>w</m:t>
            </m:r>
          </m:e>
          <m:sub>
            <m:r>
              <m:t>P</m:t>
            </m:r>
          </m:sub>
        </m:sSub>
        <m:sSub>
          <m:e>
            <m:r>
              <m:t>u</m:t>
            </m:r>
          </m:e>
          <m:sub>
            <m:r>
              <m:t>1</m:t>
            </m:r>
          </m:sub>
        </m:sSub>
        <m:r>
          <m:rPr>
            <m:sty m:val="p"/>
          </m:rPr>
          <m:t>+</m:t>
        </m:r>
        <m:sSub>
          <m:e>
            <m:r>
              <m:t>w</m:t>
            </m:r>
          </m:e>
          <m:sub>
            <m:r>
              <m:t>R</m:t>
            </m:r>
          </m:sub>
        </m:sSub>
        <m:sSub>
          <m:e>
            <m:r>
              <m:t>u</m:t>
            </m:r>
          </m:e>
          <m:sub>
            <m:r>
              <m:t>2</m:t>
            </m:r>
          </m:sub>
        </m:sSub>
        <m:r>
          <m:rPr>
            <m:sty m:val="p"/>
          </m:rPr>
          <m:t>+</m:t>
        </m:r>
        <m:sSub>
          <m:e>
            <m:r>
              <m:t>w</m:t>
            </m:r>
          </m:e>
          <m:sub>
            <m:r>
              <m:t>S</m:t>
            </m:r>
          </m:sub>
        </m:sSub>
        <m:sSub>
          <m:e>
            <m:r>
              <m:t>u</m:t>
            </m:r>
          </m:e>
          <m:sub>
            <m:r>
              <m:t>3</m:t>
            </m:r>
          </m:sub>
        </m:sSub>
      </m:oMath>
      <w:r>
        <w:rPr>
          <w:rFonts w:ascii="宋体" w:hAnsi="宋体" w:eastAsia="宋体"/>
          <w:sz w:val="24"/>
        </w:rPr>
        <w:t>。取指数还原即得式(5-7)。再由公理二，</w:t>
      </w:r>
      <m:oMath>
        <m:r>
          <m:rPr>
            <m:sty m:val="p"/>
          </m:rPr>
          <m:t>∂</m:t>
        </m:r>
        <m:r>
          <m:t>η</m:t>
        </m:r>
        <m:r>
          <m:rPr>
            <m:sty m:val="p"/>
          </m:rPr>
          <m:t>/</m:t>
        </m:r>
        <m:r>
          <m:rPr>
            <m:sty m:val="p"/>
          </m:rPr>
          <m:t>∂</m:t>
        </m:r>
        <m:r>
          <m:t>P</m:t>
        </m:r>
        <m:r>
          <m:rPr>
            <m:sty m:val="p"/>
          </m:rPr>
          <m:t>=</m:t>
        </m:r>
        <m:sSub>
          <m:e>
            <m:r>
              <m:t>w</m:t>
            </m:r>
          </m:e>
          <m:sub>
            <m:r>
              <m:t>P</m:t>
            </m:r>
          </m:sub>
        </m:sSub>
        <m:r>
          <m:t>η</m:t>
        </m:r>
        <m:r>
          <m:rPr>
            <m:sty m:val="p"/>
          </m:rPr>
          <m:t>/</m:t>
        </m:r>
        <m:r>
          <m:t>P</m:t>
        </m:r>
        <m:r>
          <m:rPr>
            <m:sty m:val="p"/>
          </m:rPr>
          <m:t>&gt;</m:t>
        </m:r>
        <m:r>
          <m:t>0</m:t>
        </m:r>
      </m:oMath>
      <w:r>
        <w:rPr>
          <w:rFonts w:ascii="宋体" w:hAnsi="宋体" w:eastAsia="宋体"/>
          <w:sz w:val="24"/>
        </w:rPr>
        <w:t>，而</w:t>
      </w:r>
      <m:oMath>
        <m:r>
          <m:t>η</m:t>
        </m:r>
        <m:r>
          <m:rPr>
            <m:sty m:val="p"/>
          </m:rPr>
          <m:t>&gt;</m:t>
        </m:r>
        <m:r>
          <m:t>0</m:t>
        </m:r>
      </m:oMath>
      <w:r>
        <w:rPr>
          <w:rFonts w:ascii="宋体" w:hAnsi="宋体" w:eastAsia="宋体"/>
          <w:sz w:val="24"/>
        </w:rPr>
        <w:t>、</w:t>
      </w:r>
      <m:oMath>
        <m:r>
          <m:t>P</m:t>
        </m:r>
        <m:r>
          <m:rPr>
            <m:sty m:val="p"/>
          </m:rPr>
          <m:t>&gt;</m:t>
        </m:r>
        <m:r>
          <m:t>0</m:t>
        </m:r>
      </m:oMath>
      <w:r>
        <w:rPr>
          <w:rFonts w:ascii="宋体" w:hAnsi="宋体" w:eastAsia="宋体"/>
          <w:sz w:val="24"/>
        </w:rPr>
        <w:t>，故</w:t>
      </w:r>
      <m:oMath>
        <m:sSub>
          <m:e>
            <m:r>
              <m:t>w</m:t>
            </m:r>
          </m:e>
          <m:sub>
            <m:r>
              <m:t>P</m:t>
            </m:r>
          </m:sub>
        </m:sSub>
        <m:r>
          <m:rPr>
            <m:sty m:val="p"/>
          </m:rPr>
          <m:t>&gt;</m:t>
        </m:r>
        <m:r>
          <m:t>0</m:t>
        </m:r>
      </m:oMath>
      <w:r>
        <w:rPr>
          <w:rFonts w:ascii="宋体" w:hAnsi="宋体" w:eastAsia="宋体"/>
          <w:sz w:val="24"/>
        </w:rPr>
        <w:t>；同理</w:t>
      </w:r>
      <m:oMath>
        <m:sSub>
          <m:e>
            <m:r>
              <m:t>w</m:t>
            </m:r>
          </m:e>
          <m:sub>
            <m:r>
              <m:t>R</m:t>
            </m:r>
          </m:sub>
        </m:sSub>
        <m:r>
          <m:rPr>
            <m:sty m:val="p"/>
          </m:rPr>
          <m:t>&gt;</m:t>
        </m:r>
        <m:r>
          <m:t>0</m:t>
        </m:r>
      </m:oMath>
      <w:r>
        <w:rPr>
          <w:rFonts w:ascii="宋体" w:hAnsi="宋体" w:eastAsia="宋体"/>
          <w:sz w:val="24"/>
        </w:rPr>
        <w:t>、</w:t>
      </w:r>
      <m:oMath>
        <m:sSub>
          <m:e>
            <m:r>
              <m:t>w</m:t>
            </m:r>
          </m:e>
          <m:sub>
            <m:r>
              <m:t>S</m:t>
            </m:r>
          </m:sub>
        </m:sSub>
        <m:r>
          <m:rPr>
            <m:sty m:val="p"/>
          </m:rPr>
          <m:t>&gt;</m:t>
        </m:r>
        <m:r>
          <m:t>0</m:t>
        </m:r>
      </m:oMath>
      <w:r>
        <w:rPr>
          <w:rFonts w:ascii="宋体" w:hAnsi="宋体" w:eastAsia="宋体"/>
          <w:sz w:val="24"/>
        </w:rPr>
        <w:t>。公理一</w:t>
      </w:r>
      <m:oMath>
        <m:r>
          <m:t>η</m:t>
        </m:r>
        <m:d>
          <m:dPr>
            <m:begChr m:val="("/>
            <m:endChr m:val=")"/>
            <m:grow/>
          </m:dPr>
          <m:e>
            <m:r>
              <m:t>1</m:t>
            </m:r>
            <m:r>
              <m:rPr>
                <m:sty m:val="p"/>
              </m:rPr>
              <m:t>,</m:t>
            </m:r>
            <m:r>
              <m:t>1</m:t>
            </m:r>
            <m:r>
              <m:rPr>
                <m:sty m:val="p"/>
              </m:rPr>
              <m:t>,</m:t>
            </m:r>
            <m:r>
              <m:t>1</m:t>
            </m:r>
          </m:e>
        </m:d>
        <m:r>
          <m:rPr>
            <m:sty m:val="p"/>
          </m:rPr>
          <m:t>=</m:t>
        </m:r>
        <m:r>
          <m:t>1</m:t>
        </m:r>
      </m:oMath>
      <w:r>
        <w:rPr>
          <w:rFonts w:ascii="宋体" w:hAnsi="宋体" w:eastAsia="宋体"/>
          <w:sz w:val="24"/>
        </w:rPr>
        <w:t>在幂积形式下自动满足，不构成额外约束，但它保证了基准的存在性与折算系数的规范化。参数的唯一性由线性表出的唯一性直接给出：若两组权重给出同一函数，则其差在</w:t>
      </w:r>
      <m:oMath>
        <m:sSup>
          <m:e>
            <m:r>
              <m:t>R</m:t>
            </m:r>
          </m:e>
          <m:sup>
            <m:r>
              <m:t>3</m:t>
            </m:r>
          </m:sup>
        </m:sSup>
      </m:oMath>
      <w:r>
        <w:rPr>
          <w:rFonts w:ascii="宋体" w:hAnsi="宋体" w:eastAsia="宋体"/>
          <w:sz w:val="24"/>
        </w:rPr>
        <w:t>上恒为零，故对应分量相等。再证充分性：幂积形式显然连续、对各维严格单调递增、在</w:t>
      </w:r>
      <m:oMath>
        <m:d>
          <m:dPr>
            <m:begChr m:val="("/>
            <m:endChr m:val=")"/>
            <m:grow/>
          </m:dPr>
          <m:e>
            <m:r>
              <m:t>1</m:t>
            </m:r>
            <m:r>
              <m:rPr>
                <m:sty m:val="p"/>
              </m:rPr>
              <m:t>,</m:t>
            </m:r>
            <m:r>
              <m:t>1</m:t>
            </m:r>
            <m:r>
              <m:rPr>
                <m:sty m:val="p"/>
              </m:rPr>
              <m:t>,</m:t>
            </m:r>
            <m:r>
              <m:t>1</m:t>
            </m:r>
          </m:e>
        </m:d>
      </m:oMath>
      <w:r>
        <w:rPr>
          <w:rFonts w:ascii="宋体" w:hAnsi="宋体" w:eastAsia="宋体"/>
          <w:sz w:val="24"/>
        </w:rPr>
        <w:t>处取值为1，且满足乘性可分解，故式(5-6)的公理一、二、四全部成立；而在给定各档位效值系数后，</w:t>
      </w:r>
      <m:oMath>
        <m:acc>
          <m:accPr>
            <m:chr m:val="̃"/>
          </m:accPr>
          <m:e>
            <m:r>
              <m:t>T</m:t>
            </m:r>
          </m:e>
        </m:acc>
        <m:r>
          <m:rPr>
            <m:sty m:val="p"/>
          </m:rPr>
          <m:t>=</m:t>
        </m:r>
        <m:nary>
          <m:naryPr>
            <m:chr m:val="∑"/>
            <m:limLoc m:val="undOvr"/>
            <m:subHide m:val="off"/>
            <m:supHide m:val="on"/>
          </m:naryPr>
          <m:sub>
            <m:r>
              <m:t>m</m:t>
            </m:r>
          </m:sub>
          <m:sup>
            <m:r>
              <m:t>​</m:t>
            </m:r>
          </m:sup>
          <m:e>
            <m:sSub>
              <m:e>
                <m:r>
                  <m:t>η</m:t>
                </m:r>
              </m:e>
              <m:sub>
                <m:r>
                  <m:t>m</m:t>
                </m:r>
              </m:sub>
            </m:sSub>
          </m:e>
        </m:nary>
        <m:sSub>
          <m:e>
            <m:r>
              <m:t>T</m:t>
            </m:r>
          </m:e>
          <m:sub>
            <m:r>
              <m:t>m</m:t>
            </m:r>
          </m:sub>
        </m:sSub>
      </m:oMath>
      <w:r>
        <w:rPr>
          <w:rFonts w:ascii="宋体" w:hAnsi="宋体" w:eastAsia="宋体"/>
          <w:sz w:val="24"/>
        </w:rPr>
        <w:t>为定义式，公理三成立。证毕。</w:t>
      </w:r>
    </w:p>
    <w:p>
      <w:pPr>
        <w:spacing w:line="360" w:lineRule="auto" w:after="0"/>
        <w:ind w:firstLineChars="200" w:firstLine="480"/>
        <w:jc w:val="both"/>
      </w:pPr>
      <w:r>
        <w:rPr>
          <w:rFonts w:ascii="宋体" w:hAnsi="宋体" w:eastAsia="宋体"/>
          <w:sz w:val="24"/>
        </w:rPr>
        <w:t>命题5.1的意义需要在方法论层面加以强调。</w:t>
      </w:r>
      <w:r>
        <w:rPr>
          <w:rFonts w:ascii="宋体" w:hAnsi="宋体" w:eastAsia="宋体"/>
          <w:b/>
          <w:sz w:val="24"/>
        </w:rPr>
        <w:t>第一，它把折算函数的形式问题从「选择」变成了「推论」。</w:t>
      </w:r>
      <w:r>
        <w:rPr>
          <w:rFonts w:ascii="宋体" w:hAnsi="宋体" w:eastAsia="宋体"/>
          <w:sz w:val="24"/>
        </w:rPr>
        <w:t>折算体系的设计者不再需要为「为什么用几何平均而不用算术平均」辩护——答案是：算术平均不满足公理四，因而不可能成为当量折算函数。这使折算体系摆脱了主观性质疑，具备了成为公共计量规则的形式资格。</w:t>
      </w:r>
      <w:r>
        <w:rPr>
          <w:rFonts w:ascii="宋体" w:hAnsi="宋体" w:eastAsia="宋体"/>
          <w:b/>
          <w:sz w:val="24"/>
        </w:rPr>
        <w:t>第二，它把标定的任务收缩为三个参数。</w:t>
      </w:r>
      <w:r>
        <w:rPr>
          <w:rFonts w:ascii="宋体" w:hAnsi="宋体" w:eastAsia="宋体"/>
          <w:sz w:val="24"/>
        </w:rPr>
        <w:t>无穷维的函数形式问题被压缩为三维的参数标定问题，且三个参数还受</w:t>
      </w:r>
      <m:oMath>
        <m:r>
          <m:rPr>
            <m:sty m:val="p"/>
          </m:rPr>
          <m:t>∑</m:t>
        </m:r>
        <m:r>
          <m:t>w</m:t>
        </m:r>
        <m:r>
          <m:rPr>
            <m:sty m:val="p"/>
          </m:rPr>
          <m:t>=</m:t>
        </m:r>
        <m:r>
          <m:t>1</m:t>
        </m:r>
      </m:oMath>
      <w:r>
        <w:rPr>
          <w:rFonts w:ascii="宋体" w:hAnsi="宋体" w:eastAsia="宋体"/>
          <w:sz w:val="24"/>
        </w:rPr>
        <w:t>的进一步约束（见5.3.4节），实际自由度仅为2。这使得在观测有限的条件下进行可靠标定成为可能。</w:t>
      </w:r>
      <w:r>
        <w:rPr>
          <w:rFonts w:ascii="宋体" w:hAnsi="宋体" w:eastAsia="宋体"/>
          <w:b/>
          <w:sz w:val="24"/>
        </w:rPr>
        <w:t>第三，它给出了一个可证伪的形式预测。</w:t>
      </w:r>
      <w:r>
        <w:rPr>
          <w:rFonts w:ascii="宋体" w:hAnsi="宋体" w:eastAsia="宋体"/>
          <w:sz w:val="24"/>
        </w:rPr>
        <w:t>若真实的价值密度关系并非幂积形式，那么以幂积函数拟合基准任务集实测效值将出现系统性偏误；5.4节与5.5节报告的拟合优度与残差结构，正是对这一预测的检验。</w:t>
      </w:r>
    </w:p>
    <w:p>
      <w:pPr>
        <w:keepNext/>
        <w:spacing w:before="160" w:after="120" w:line="360" w:lineRule="auto"/>
        <w:outlineLvl w:val="2"/>
      </w:pPr>
      <w:r>
        <w:rPr>
          <w:rFonts w:ascii="黑体" w:hAnsi="黑体" w:eastAsia="黑体"/>
          <w:sz w:val="24"/>
        </w:rPr>
        <w:t>5.3.3  常替代弹性型折算函数与公理四的识别力</w:t>
      </w:r>
    </w:p>
    <w:p>
      <w:pPr>
        <w:spacing w:line="360" w:lineRule="auto" w:after="0"/>
        <w:ind w:firstLineChars="200" w:firstLine="480"/>
        <w:jc w:val="both"/>
      </w:pPr>
      <w:r>
        <w:rPr>
          <w:rFonts w:ascii="宋体" w:hAnsi="宋体" w:eastAsia="宋体"/>
          <w:sz w:val="24"/>
        </w:rPr>
        <w:t>为凸显公理四的识别力，不妨考察一个更一般的候选形式——常替代弹性（CES）型折算函数：</w:t>
      </w:r>
    </w:p>
    <w:p>
      <w:pPr>
        <w:tabs>
          <w:tab w:pos="4252" w:val="center"/>
          <w:tab w:pos="8504" w:val="right"/>
        </w:tabs>
        <w:spacing w:line="360" w:lineRule="auto" w:before="80" w:after="80"/>
      </w:pPr>
      <w:r>
        <w:tab/>
      </w:r>
      <m:oMath>
        <m:sSub>
          <m:e>
            <m:r>
              <m:t>η</m:t>
            </m:r>
          </m:e>
          <m:sub>
            <m:r>
              <m:t>ρ</m:t>
            </m:r>
          </m:sub>
        </m:sSub>
        <m:d>
          <m:dPr>
            <m:begChr m:val="("/>
            <m:endChr m:val=")"/>
            <m:grow/>
          </m:dPr>
          <m:e>
            <m:r>
              <m:t>P</m:t>
            </m:r>
            <m:r>
              <m:rPr>
                <m:sty m:val="p"/>
              </m:rPr>
              <m:t>,</m:t>
            </m:r>
            <m:r>
              <m:t>R</m:t>
            </m:r>
            <m:r>
              <m:rPr>
                <m:sty m:val="p"/>
              </m:rPr>
              <m:t>,</m:t>
            </m:r>
            <m:r>
              <m:t>S</m:t>
            </m:r>
          </m:e>
        </m:d>
        <m:r>
          <m:rPr>
            <m:sty m:val="p"/>
          </m:rPr>
          <m:t>=</m:t>
        </m:r>
        <m:sSup>
          <m:e>
            <m:d>
              <m:dPr>
                <m:begChr m:val="("/>
                <m:endChr m:val=")"/>
                <m:grow/>
              </m:dPr>
              <m:e>
                <m:sSub>
                  <m:e>
                    <m:r>
                      <m:t>w</m:t>
                    </m:r>
                  </m:e>
                  <m:sub>
                    <m:r>
                      <m:t>P</m:t>
                    </m:r>
                  </m:sub>
                </m:sSub>
                <m:sSup>
                  <m:e>
                    <m:r>
                      <m:t>P</m:t>
                    </m:r>
                  </m:e>
                  <m:sup>
                    <m:r>
                      <m:t>ρ</m:t>
                    </m:r>
                  </m:sup>
                </m:sSup>
                <m:r>
                  <m:rPr>
                    <m:sty m:val="p"/>
                  </m:rPr>
                  <m:t>+</m:t>
                </m:r>
                <m:sSub>
                  <m:e>
                    <m:r>
                      <m:t>w</m:t>
                    </m:r>
                  </m:e>
                  <m:sub>
                    <m:r>
                      <m:t>R</m:t>
                    </m:r>
                  </m:sub>
                </m:sSub>
                <m:sSup>
                  <m:e>
                    <m:r>
                      <m:t>R</m:t>
                    </m:r>
                  </m:e>
                  <m:sup>
                    <m:r>
                      <m:t>ρ</m:t>
                    </m:r>
                  </m:sup>
                </m:sSup>
                <m:r>
                  <m:rPr>
                    <m:sty m:val="p"/>
                  </m:rPr>
                  <m:t>+</m:t>
                </m:r>
                <m:sSub>
                  <m:e>
                    <m:r>
                      <m:t>w</m:t>
                    </m:r>
                  </m:e>
                  <m:sub>
                    <m:r>
                      <m:t>S</m:t>
                    </m:r>
                  </m:sub>
                </m:sSub>
                <m:sSup>
                  <m:e>
                    <m:r>
                      <m:t>S</m:t>
                    </m:r>
                  </m:e>
                  <m:sup>
                    <m:r>
                      <m:t>ρ</m:t>
                    </m:r>
                  </m:sup>
                </m:sSup>
              </m:e>
            </m:d>
          </m:e>
          <m:sup>
            <m:r>
              <m:t>1</m:t>
            </m:r>
            <m:r>
              <m:rPr>
                <m:sty m:val="p"/>
              </m:rPr>
              <m:t>/</m:t>
            </m:r>
            <m:r>
              <m:t>ρ</m:t>
            </m:r>
          </m:sup>
        </m:sSup>
        <m:r>
          <m:rPr>
            <m:sty m:val="p"/>
          </m:rPr>
          <m:t>,</m:t>
        </m:r>
        <m:r>
          <m:t>  </m:t>
        </m:r>
        <m:sSub>
          <m:e>
            <m:r>
              <m:t>η</m:t>
            </m:r>
          </m:e>
          <m:sub>
            <m:r>
              <m:t>ρ</m:t>
            </m:r>
          </m:sub>
        </m:sSub>
        <m:d>
          <m:dPr>
            <m:begChr m:val="("/>
            <m:endChr m:val=")"/>
            <m:grow/>
          </m:dPr>
          <m:e>
            <m:r>
              <m:t>P</m:t>
            </m:r>
            <m:r>
              <m:rPr>
                <m:sty m:val="p"/>
              </m:rPr>
              <m:t>,</m:t>
            </m:r>
            <m:r>
              <m:t>R</m:t>
            </m:r>
            <m:r>
              <m:rPr>
                <m:sty m:val="p"/>
              </m:rPr>
              <m:t>,</m:t>
            </m:r>
            <m:r>
              <m:t>S</m:t>
            </m:r>
          </m:e>
        </m:d>
        <m:r>
          <m:rPr>
            <m:sty m:val="p"/>
          </m:rPr>
          <m:t>→</m:t>
        </m:r>
        <m:sSup>
          <m:e>
            <m:r>
              <m:t>P</m:t>
            </m:r>
          </m:e>
          <m:sup>
            <m:r>
              <m:t> </m:t>
            </m:r>
            <m:sSub>
              <m:e>
                <m:r>
                  <m:t>w</m:t>
                </m:r>
              </m:e>
              <m:sub>
                <m:r>
                  <m:t>P</m:t>
                </m:r>
              </m:sub>
            </m:sSub>
          </m:sup>
        </m:sSup>
        <m:sSup>
          <m:e>
            <m:r>
              <m:t>R</m:t>
            </m:r>
          </m:e>
          <m:sup>
            <m:r>
              <m:t> </m:t>
            </m:r>
            <m:sSub>
              <m:e>
                <m:r>
                  <m:t>w</m:t>
                </m:r>
              </m:e>
              <m:sub>
                <m:r>
                  <m:t>R</m:t>
                </m:r>
              </m:sub>
            </m:sSub>
          </m:sup>
        </m:sSup>
        <m:sSup>
          <m:e>
            <m:r>
              <m:t>S</m:t>
            </m:r>
          </m:e>
          <m:sup>
            <m:r>
              <m:t> </m:t>
            </m:r>
            <m:sSub>
              <m:e>
                <m:r>
                  <m:t>w</m:t>
                </m:r>
              </m:e>
              <m:sub>
                <m:r>
                  <m:t>S</m:t>
                </m:r>
              </m:sub>
            </m:sSub>
          </m:sup>
        </m:sSup>
        <m:r>
          <m:t> </m:t>
        </m:r>
        <m:d>
          <m:dPr>
            <m:begChr m:val="("/>
            <m:endChr m:val=")"/>
            <m:grow/>
          </m:dPr>
          <m:e>
            <m:r>
              <m:t>ρ</m:t>
            </m:r>
            <m:r>
              <m:rPr>
                <m:sty m:val="p"/>
              </m:rPr>
              <m:t>→</m:t>
            </m:r>
            <m:r>
              <m:t>0</m:t>
            </m:r>
          </m:e>
        </m:d>
      </m:oMath>
      <w:r>
        <w:tab/>
      </w:r>
      <w:r>
        <w:rPr>
          <w:rFonts w:ascii="Times New Roman" w:hAnsi="Times New Roman" w:eastAsia="宋体"/>
          <w:sz w:val="24"/>
        </w:rPr>
        <w:t>(5-8)</w:t>
      </w:r>
    </w:p>
    <w:p>
      <w:pPr>
        <w:spacing w:line="360" w:lineRule="auto" w:after="0"/>
        <w:jc w:val="both"/>
      </w:pPr>
      <w:r>
        <w:rPr>
          <w:rFonts w:ascii="宋体" w:hAnsi="宋体" w:eastAsia="宋体"/>
          <w:sz w:val="24"/>
        </w:rPr>
        <w:t>其中，</w:t>
      </w:r>
      <m:oMath>
        <m:r>
          <m:t>ρ</m:t>
        </m:r>
        <m:r>
          <m:rPr>
            <m:sty m:val="p"/>
          </m:rPr>
          <m:t>∈</m:t>
        </m:r>
        <m:d>
          <m:dPr>
            <m:begChr m:val="("/>
            <m:endChr m:val="]"/>
            <m:grow/>
          </m:dPr>
          <m:e>
            <m:r>
              <m:rPr>
                <m:sty m:val="p"/>
              </m:rPr>
              <m:t>−</m:t>
            </m:r>
            <m:r>
              <m:rPr>
                <m:sty m:val="p"/>
              </m:rPr>
              <m:t>∞</m:t>
            </m:r>
            <m:r>
              <m:rPr>
                <m:sty m:val="p"/>
              </m:rPr>
              <m:t>,</m:t>
            </m:r>
            <m:r>
              <m:t>1</m:t>
            </m:r>
          </m:e>
        </m:d>
      </m:oMath>
      <w:r>
        <w:rPr>
          <w:rFonts w:ascii="宋体" w:hAnsi="宋体" w:eastAsia="宋体"/>
          <w:sz w:val="24"/>
        </w:rPr>
        <w:t>为替代参数，替代弹性为</w:t>
      </w:r>
      <m:oMath>
        <m:r>
          <m:t>1</m:t>
        </m:r>
        <m:r>
          <m:rPr>
            <m:sty m:val="p"/>
          </m:rPr>
          <m:t>/</m:t>
        </m:r>
        <m:d>
          <m:dPr>
            <m:begChr m:val="("/>
            <m:endChr m:val=")"/>
            <m:grow/>
          </m:dPr>
          <m:e>
            <m:r>
              <m:t>1</m:t>
            </m:r>
            <m:r>
              <m:rPr>
                <m:sty m:val="p"/>
              </m:rPr>
              <m:t>−</m:t>
            </m:r>
            <m:r>
              <m:t>ρ</m:t>
            </m:r>
          </m:e>
        </m:d>
      </m:oMath>
      <w:r>
        <w:rPr>
          <w:rFonts w:ascii="宋体" w:hAnsi="宋体" w:eastAsia="宋体"/>
          <w:sz w:val="24"/>
        </w:rPr>
        <w:t>；权重满足</w:t>
      </w:r>
      <m:oMath>
        <m:sSub>
          <m:e>
            <m:r>
              <m:t>w</m:t>
            </m:r>
          </m:e>
          <m:sub>
            <m:r>
              <m:t>P</m:t>
            </m:r>
          </m:sub>
        </m:sSub>
        <m:r>
          <m:rPr>
            <m:sty m:val="p"/>
          </m:rPr>
          <m:t>+</m:t>
        </m:r>
        <m:sSub>
          <m:e>
            <m:r>
              <m:t>w</m:t>
            </m:r>
          </m:e>
          <m:sub>
            <m:r>
              <m:t>R</m:t>
            </m:r>
          </m:sub>
        </m:sSub>
        <m:r>
          <m:rPr>
            <m:sty m:val="p"/>
          </m:rPr>
          <m:t>+</m:t>
        </m:r>
        <m:sSub>
          <m:e>
            <m:r>
              <m:t>w</m:t>
            </m:r>
          </m:e>
          <m:sub>
            <m:r>
              <m:t>S</m:t>
            </m:r>
          </m:sub>
        </m:sSub>
        <m:r>
          <m:rPr>
            <m:sty m:val="p"/>
          </m:rPr>
          <m:t>=</m:t>
        </m:r>
        <m:r>
          <m:t>1</m:t>
        </m:r>
      </m:oMath>
      <w:r>
        <w:rPr>
          <w:rFonts w:ascii="宋体" w:hAnsi="宋体" w:eastAsia="宋体"/>
          <w:sz w:val="24"/>
        </w:rPr>
        <w:t>；</w:t>
      </w:r>
      <m:oMath>
        <m:r>
          <m:t>ρ</m:t>
        </m:r>
        <m:r>
          <m:rPr>
            <m:sty m:val="p"/>
          </m:rPr>
          <m:t>→</m:t>
        </m:r>
        <m:r>
          <m:t>0</m:t>
        </m:r>
      </m:oMath>
      <w:r>
        <w:rPr>
          <w:rFonts w:ascii="宋体" w:hAnsi="宋体" w:eastAsia="宋体"/>
          <w:sz w:val="24"/>
        </w:rPr>
        <w:t>时该形式退化为加权几何平均，即式(5-7)的幂积形式。</w:t>
      </w:r>
    </w:p>
    <w:p>
      <w:pPr>
        <w:spacing w:line="360" w:lineRule="auto" w:after="0"/>
        <w:ind w:firstLineChars="200" w:firstLine="480"/>
        <w:jc w:val="both"/>
      </w:pPr>
      <w:r>
        <w:rPr>
          <w:rFonts w:ascii="宋体" w:hAnsi="宋体" w:eastAsia="宋体"/>
          <w:sz w:val="24"/>
        </w:rPr>
        <w:t>式(5-8)是一个极具启发性的参照系。</w:t>
      </w:r>
      <w:r>
        <w:rPr>
          <w:rFonts w:ascii="宋体" w:hAnsi="宋体" w:eastAsia="宋体"/>
          <w:b/>
          <w:sz w:val="24"/>
        </w:rPr>
        <w:t>它满足公理一、公理二与公理三，却唯独不满足公理四——除非</w:t>
      </w:r>
      <m:oMath>
        <m:r>
          <m:t>ρ</m:t>
        </m:r>
        <m:r>
          <m:rPr>
            <m:sty m:val="p"/>
          </m:rPr>
          <m:t>=</m:t>
        </m:r>
        <m:r>
          <m:t>0</m:t>
        </m:r>
      </m:oMath>
      <w:r>
        <w:rPr>
          <w:rFonts w:ascii="宋体" w:hAnsi="宋体" w:eastAsia="宋体"/>
          <w:b/>
          <w:sz w:val="24"/>
        </w:rPr>
        <w:t>。</w:t>
      </w:r>
      <w:r>
        <w:rPr>
          <w:rFonts w:ascii="宋体" w:hAnsi="宋体" w:eastAsia="宋体"/>
          <w:sz w:val="24"/>
        </w:rPr>
        <w:t>这一点可以直接验证：当</w:t>
      </w:r>
      <m:oMath>
        <m:r>
          <m:t>ρ</m:t>
        </m:r>
        <m:r>
          <m:rPr>
            <m:sty m:val="p"/>
          </m:rPr>
          <m:t>≠</m:t>
        </m:r>
        <m:r>
          <m:t>0</m:t>
        </m:r>
      </m:oMath>
      <w:r>
        <w:rPr>
          <w:rFonts w:ascii="宋体" w:hAnsi="宋体" w:eastAsia="宋体"/>
          <w:sz w:val="24"/>
        </w:rPr>
        <w:t>时，</w:t>
      </w:r>
      <m:oMath>
        <m:sSub>
          <m:e>
            <m:r>
              <m:t>η</m:t>
            </m:r>
          </m:e>
          <m:sub>
            <m:r>
              <m:t>ρ</m:t>
            </m:r>
          </m:sub>
        </m:sSub>
        <m:d>
          <m:dPr>
            <m:begChr m:val="("/>
            <m:endChr m:val=")"/>
            <m:grow/>
          </m:dPr>
          <m:e>
            <m:sSub>
              <m:e>
                <m:r>
                  <m:t>P</m:t>
                </m:r>
              </m:e>
              <m:sub>
                <m:r>
                  <m:t>1</m:t>
                </m:r>
              </m:sub>
            </m:sSub>
            <m:sSub>
              <m:e>
                <m:r>
                  <m:t>P</m:t>
                </m:r>
              </m:e>
              <m:sub>
                <m:r>
                  <m:t>2</m:t>
                </m:r>
              </m:sub>
            </m:sSub>
            <m:r>
              <m:rPr>
                <m:sty m:val="p"/>
              </m:rPr>
              <m:t>,</m:t>
            </m:r>
            <m:sSub>
              <m:e>
                <m:r>
                  <m:t>R</m:t>
                </m:r>
              </m:e>
              <m:sub>
                <m:r>
                  <m:t>1</m:t>
                </m:r>
              </m:sub>
            </m:sSub>
            <m:sSub>
              <m:e>
                <m:r>
                  <m:t>R</m:t>
                </m:r>
              </m:e>
              <m:sub>
                <m:r>
                  <m:t>2</m:t>
                </m:r>
              </m:sub>
            </m:sSub>
            <m:r>
              <m:rPr>
                <m:sty m:val="p"/>
              </m:rPr>
              <m:t>,</m:t>
            </m:r>
            <m:sSub>
              <m:e>
                <m:r>
                  <m:t>S</m:t>
                </m:r>
              </m:e>
              <m:sub>
                <m:r>
                  <m:t>1</m:t>
                </m:r>
              </m:sub>
            </m:sSub>
            <m:sSub>
              <m:e>
                <m:r>
                  <m:t>S</m:t>
                </m:r>
              </m:e>
              <m:sub>
                <m:r>
                  <m:t>2</m:t>
                </m:r>
              </m:sub>
            </m:sSub>
          </m:e>
        </m:d>
      </m:oMath>
      <w:r>
        <w:rPr>
          <w:rFonts w:ascii="宋体" w:hAnsi="宋体" w:eastAsia="宋体"/>
          <w:sz w:val="24"/>
        </w:rPr>
        <w:t>无法分解为</w:t>
      </w:r>
      <m:oMath>
        <m:sSub>
          <m:e>
            <m:r>
              <m:t>η</m:t>
            </m:r>
          </m:e>
          <m:sub>
            <m:r>
              <m:t>ρ</m:t>
            </m:r>
          </m:sub>
        </m:sSub>
        <m:d>
          <m:dPr>
            <m:begChr m:val="("/>
            <m:endChr m:val=")"/>
            <m:grow/>
          </m:dPr>
          <m:e>
            <m:sSub>
              <m:e>
                <m:r>
                  <m:t>P</m:t>
                </m:r>
              </m:e>
              <m:sub>
                <m:r>
                  <m:t>1</m:t>
                </m:r>
              </m:sub>
            </m:sSub>
            <m:r>
              <m:rPr>
                <m:sty m:val="p"/>
              </m:rPr>
              <m:t>,</m:t>
            </m:r>
            <m:sSub>
              <m:e>
                <m:r>
                  <m:t>R</m:t>
                </m:r>
              </m:e>
              <m:sub>
                <m:r>
                  <m:t>1</m:t>
                </m:r>
              </m:sub>
            </m:sSub>
            <m:r>
              <m:rPr>
                <m:sty m:val="p"/>
              </m:rPr>
              <m:t>,</m:t>
            </m:r>
            <m:sSub>
              <m:e>
                <m:r>
                  <m:t>S</m:t>
                </m:r>
              </m:e>
              <m:sub>
                <m:r>
                  <m:t>1</m:t>
                </m:r>
              </m:sub>
            </m:sSub>
          </m:e>
        </m:d>
      </m:oMath>
      <w:r>
        <w:rPr>
          <w:rFonts w:ascii="宋体" w:hAnsi="宋体" w:eastAsia="宋体"/>
          <w:sz w:val="24"/>
        </w:rPr>
        <w:t>与</w:t>
      </w:r>
      <m:oMath>
        <m:sSub>
          <m:e>
            <m:r>
              <m:t>η</m:t>
            </m:r>
          </m:e>
          <m:sub>
            <m:r>
              <m:t>ρ</m:t>
            </m:r>
          </m:sub>
        </m:sSub>
        <m:d>
          <m:dPr>
            <m:begChr m:val="("/>
            <m:endChr m:val=")"/>
            <m:grow/>
          </m:dPr>
          <m:e>
            <m:sSub>
              <m:e>
                <m:r>
                  <m:t>P</m:t>
                </m:r>
              </m:e>
              <m:sub>
                <m:r>
                  <m:t>2</m:t>
                </m:r>
              </m:sub>
            </m:sSub>
            <m:r>
              <m:rPr>
                <m:sty m:val="p"/>
              </m:rPr>
              <m:t>,</m:t>
            </m:r>
            <m:sSub>
              <m:e>
                <m:r>
                  <m:t>R</m:t>
                </m:r>
              </m:e>
              <m:sub>
                <m:r>
                  <m:t>2</m:t>
                </m:r>
              </m:sub>
            </m:sSub>
            <m:r>
              <m:rPr>
                <m:sty m:val="p"/>
              </m:rPr>
              <m:t>,</m:t>
            </m:r>
            <m:sSub>
              <m:e>
                <m:r>
                  <m:t>S</m:t>
                </m:r>
              </m:e>
              <m:sub>
                <m:r>
                  <m:t>2</m:t>
                </m:r>
              </m:sub>
            </m:sSub>
          </m:e>
        </m:d>
      </m:oMath>
      <w:r>
        <w:rPr>
          <w:rFonts w:ascii="宋体" w:hAnsi="宋体" w:eastAsia="宋体"/>
          <w:sz w:val="24"/>
        </w:rPr>
        <w:t>之积，因为幂和运算不具有乘法可分解性。换言之，在整个CES族中，唯有退化为幂积的那一个成员能够充当当量折算函数。这一发现有三重含义。</w:t>
      </w:r>
      <w:r>
        <w:rPr>
          <w:rFonts w:ascii="宋体" w:hAnsi="宋体" w:eastAsia="宋体"/>
          <w:b/>
          <w:sz w:val="24"/>
        </w:rPr>
        <w:t>其一，它说明公理四具有极强的识别力</w:t>
      </w:r>
      <w:r>
        <w:rPr>
          <w:rFonts w:ascii="宋体" w:hAnsi="宋体" w:eastAsia="宋体"/>
          <w:sz w:val="24"/>
        </w:rPr>
        <w:t>：仅凭这一条公理，就把一个连续统的候选形式筛至一点。</w:t>
      </w:r>
      <w:r>
        <w:rPr>
          <w:rFonts w:ascii="宋体" w:hAnsi="宋体" w:eastAsia="宋体"/>
          <w:b/>
          <w:sz w:val="24"/>
        </w:rPr>
        <w:t>其二，它揭示了「可替代」与「可折算」的区别</w:t>
      </w:r>
      <w:r>
        <w:rPr>
          <w:rFonts w:ascii="宋体" w:hAnsi="宋体" w:eastAsia="宋体"/>
          <w:sz w:val="24"/>
        </w:rPr>
        <w:t>：CES形式允许三个维度以有限的替代弹性相互替代，这在生产函数语境中是合理的，但在当量折算语境中，有限替代弹性会破坏折算路径的一致性，从而使当量失去尺度资格。</w:t>
      </w:r>
      <w:r>
        <w:rPr>
          <w:rFonts w:ascii="宋体" w:hAnsi="宋体" w:eastAsia="宋体"/>
          <w:b/>
          <w:sz w:val="24"/>
        </w:rPr>
        <w:t>其三，它提供了一条独立的经验检验路径</w:t>
      </w:r>
      <w:r>
        <w:rPr>
          <w:rFonts w:ascii="宋体" w:hAnsi="宋体" w:eastAsia="宋体"/>
          <w:sz w:val="24"/>
        </w:rPr>
        <w:t>：若把折算函数放宽为CES形式并独立标定</w:t>
      </w:r>
      <m:oMath>
        <m:r>
          <m:t>ρ</m:t>
        </m:r>
      </m:oMath>
      <w:r>
        <w:rPr>
          <w:rFonts w:ascii="宋体" w:hAnsi="宋体" w:eastAsia="宋体"/>
          <w:sz w:val="24"/>
        </w:rPr>
        <w:t>，那么公理体系预言</w:t>
      </w:r>
      <m:oMath>
        <m:acc>
          <m:accPr>
            <m:chr m:val="̂"/>
          </m:accPr>
          <m:e>
            <m:r>
              <m:t>ρ</m:t>
            </m:r>
          </m:e>
        </m:acc>
      </m:oMath>
      <w:r>
        <w:rPr>
          <w:rFonts w:ascii="宋体" w:hAnsi="宋体" w:eastAsia="宋体"/>
          <w:sz w:val="24"/>
        </w:rPr>
        <w:t>应当在统计上不可区别于零。</w:t>
      </w:r>
    </w:p>
    <w:p>
      <w:pPr>
        <w:spacing w:line="360" w:lineRule="auto" w:after="0"/>
        <w:ind w:firstLineChars="200" w:firstLine="480"/>
        <w:jc w:val="both"/>
      </w:pPr>
      <w:r>
        <w:rPr>
          <w:rFonts w:ascii="宋体" w:hAnsi="宋体" w:eastAsia="宋体"/>
          <w:sz w:val="24"/>
        </w:rPr>
        <w:t>这一检验的结果是支持性的。以基准任务集实测效值独立标定CES型折算函数，得替代参数</w:t>
      </w:r>
      <m:oMath>
        <m:acc>
          <m:accPr>
            <m:chr m:val="̂"/>
          </m:accPr>
          <m:e>
            <m:r>
              <m:t>ρ</m:t>
            </m:r>
          </m:e>
        </m:acc>
      </m:oMath>
      <w:r>
        <w:rPr>
          <w:rFonts w:ascii="宋体" w:hAnsi="宋体" w:eastAsia="宋体"/>
          <w:sz w:val="24"/>
        </w:rPr>
        <w:t>＝0.0794，在统计上无法拒绝</w:t>
      </w:r>
      <m:oMath>
        <m:r>
          <m:t>ρ</m:t>
        </m:r>
        <m:r>
          <m:rPr>
            <m:sty m:val="p"/>
          </m:rPr>
          <m:t>=</m:t>
        </m:r>
        <m:r>
          <m:t>0</m:t>
        </m:r>
      </m:oMath>
      <w:r>
        <w:rPr>
          <w:rFonts w:ascii="宋体" w:hAnsi="宋体" w:eastAsia="宋体"/>
          <w:sz w:val="24"/>
        </w:rPr>
        <w:t>的原假设；两种形式给出的效值系数在六个档位上的最大相对差异仅1.61%。这意味着：由纯粹的公理推论所得到的函数形式，与由数据独立标定所得到的函数形式高度一致。理论推论与经验标定的相互印证，是折算体系可靠性的重要证据——它表明幂积形式并非为了数学便利而作的假设，而是同时得到公理与数据双重支持的结论。</w:t>
      </w:r>
    </w:p>
    <w:p>
      <w:pPr>
        <w:keepNext/>
        <w:spacing w:before="160" w:after="120" w:line="360" w:lineRule="auto"/>
        <w:outlineLvl w:val="2"/>
      </w:pPr>
      <w:r>
        <w:rPr>
          <w:rFonts w:ascii="黑体" w:hAnsi="黑体" w:eastAsia="黑体"/>
          <w:sz w:val="24"/>
        </w:rPr>
        <w:t>5.3.4  权重和为一：一次齐次性、弹性解释与价格对偶</w:t>
      </w:r>
    </w:p>
    <w:p>
      <w:pPr>
        <w:spacing w:line="360" w:lineRule="auto" w:after="0"/>
        <w:ind w:firstLineChars="200" w:firstLine="480"/>
        <w:jc w:val="both"/>
      </w:pPr>
      <w:r>
        <w:rPr>
          <w:rFonts w:ascii="宋体" w:hAnsi="宋体" w:eastAsia="宋体"/>
          <w:sz w:val="24"/>
        </w:rPr>
        <w:t>命题5.1给出了幂积形式，但未对权重之和作出限制。本书进一步施加</w:t>
      </w:r>
      <m:oMath>
        <m:sSub>
          <m:e>
            <m:r>
              <m:t>w</m:t>
            </m:r>
          </m:e>
          <m:sub>
            <m:r>
              <m:t>P</m:t>
            </m:r>
          </m:sub>
        </m:sSub>
        <m:r>
          <m:rPr>
            <m:sty m:val="p"/>
          </m:rPr>
          <m:t>+</m:t>
        </m:r>
        <m:sSub>
          <m:e>
            <m:r>
              <m:t>w</m:t>
            </m:r>
          </m:e>
          <m:sub>
            <m:r>
              <m:t>R</m:t>
            </m:r>
          </m:sub>
        </m:sSub>
        <m:r>
          <m:rPr>
            <m:sty m:val="p"/>
          </m:rPr>
          <m:t>+</m:t>
        </m:r>
        <m:sSub>
          <m:e>
            <m:r>
              <m:t>w</m:t>
            </m:r>
          </m:e>
          <m:sub>
            <m:r>
              <m:t>S</m:t>
            </m:r>
          </m:sub>
        </m:sSub>
        <m:r>
          <m:rPr>
            <m:sty m:val="p"/>
          </m:rPr>
          <m:t>=</m:t>
        </m:r>
        <m:r>
          <m:t>1</m:t>
        </m:r>
      </m:oMath>
      <w:r>
        <w:rPr>
          <w:rFonts w:ascii="宋体" w:hAnsi="宋体" w:eastAsia="宋体"/>
          <w:sz w:val="24"/>
        </w:rPr>
        <w:t>的归一化约束，其依据是折算体系必须满足的比例一致性：当三个维度同比例提升</w:t>
      </w:r>
      <m:oMath>
        <m:r>
          <m:t>λ</m:t>
        </m:r>
      </m:oMath>
      <w:r>
        <w:rPr>
          <w:rFonts w:ascii="宋体" w:hAnsi="宋体" w:eastAsia="宋体"/>
          <w:sz w:val="24"/>
        </w:rPr>
        <w:t>倍时，效值系数也应恰好提升</w:t>
      </w:r>
      <m:oMath>
        <m:r>
          <m:t>λ</m:t>
        </m:r>
      </m:oMath>
      <w:r>
        <w:rPr>
          <w:rFonts w:ascii="宋体" w:hAnsi="宋体" w:eastAsia="宋体"/>
          <w:sz w:val="24"/>
        </w:rPr>
        <w:t>倍。这一性质与三条重要推论一并表述如下：</w:t>
      </w:r>
    </w:p>
    <w:p>
      <w:pPr>
        <w:tabs>
          <w:tab w:pos="4252" w:val="center"/>
          <w:tab w:pos="8504" w:val="right"/>
        </w:tabs>
        <w:spacing w:line="360" w:lineRule="auto" w:before="80" w:after="80"/>
      </w:pPr>
      <w:r>
        <w:tab/>
      </w:r>
      <m:oMath>
        <m:r>
          <m:t>η</m:t>
        </m:r>
        <m:d>
          <m:dPr>
            <m:begChr m:val="("/>
            <m:endChr m:val=")"/>
            <m:grow/>
          </m:dPr>
          <m:e>
            <m:r>
              <m:t>λ</m:t>
            </m:r>
            <m:r>
              <m:t>P</m:t>
            </m:r>
            <m:r>
              <m:rPr>
                <m:sty m:val="p"/>
              </m:rPr>
              <m:t>,</m:t>
            </m:r>
            <m:r>
              <m:t>λ</m:t>
            </m:r>
            <m:r>
              <m:t>R</m:t>
            </m:r>
            <m:r>
              <m:rPr>
                <m:sty m:val="p"/>
              </m:rPr>
              <m:t>,</m:t>
            </m:r>
            <m:r>
              <m:t>λ</m:t>
            </m:r>
            <m:r>
              <m:t>S</m:t>
            </m:r>
          </m:e>
        </m:d>
        <m:r>
          <m:rPr>
            <m:sty m:val="p"/>
          </m:rPr>
          <m:t>=</m:t>
        </m:r>
        <m:r>
          <m:t>λ</m:t>
        </m:r>
        <m:r>
          <m:t> </m:t>
        </m:r>
        <m:r>
          <m:t>η</m:t>
        </m:r>
        <m:d>
          <m:dPr>
            <m:begChr m:val="("/>
            <m:endChr m:val=")"/>
            <m:grow/>
          </m:dPr>
          <m:e>
            <m:r>
              <m:t>P</m:t>
            </m:r>
            <m:r>
              <m:rPr>
                <m:sty m:val="p"/>
              </m:rPr>
              <m:t>,</m:t>
            </m:r>
            <m:r>
              <m:t>R</m:t>
            </m:r>
            <m:r>
              <m:rPr>
                <m:sty m:val="p"/>
              </m:rPr>
              <m:t>,</m:t>
            </m:r>
            <m:r>
              <m:t>S</m:t>
            </m:r>
          </m:e>
        </m:d>
        <m:r>
          <m:rPr>
            <m:sty m:val="p"/>
          </m:rPr>
          <m:t>⇔</m:t>
        </m:r>
        <m:sSub>
          <m:e>
            <m:r>
              <m:t>w</m:t>
            </m:r>
          </m:e>
          <m:sub>
            <m:r>
              <m:t>P</m:t>
            </m:r>
          </m:sub>
        </m:sSub>
        <m:r>
          <m:rPr>
            <m:sty m:val="p"/>
          </m:rPr>
          <m:t>+</m:t>
        </m:r>
        <m:sSub>
          <m:e>
            <m:r>
              <m:t>w</m:t>
            </m:r>
          </m:e>
          <m:sub>
            <m:r>
              <m:t>R</m:t>
            </m:r>
          </m:sub>
        </m:sSub>
        <m:r>
          <m:rPr>
            <m:sty m:val="p"/>
          </m:rPr>
          <m:t>+</m:t>
        </m:r>
        <m:sSub>
          <m:e>
            <m:r>
              <m:t>w</m:t>
            </m:r>
          </m:e>
          <m:sub>
            <m:r>
              <m:t>S</m:t>
            </m:r>
          </m:sub>
        </m:sSub>
        <m:r>
          <m:rPr>
            <m:sty m:val="p"/>
          </m:rPr>
          <m:t>=</m:t>
        </m:r>
        <m:r>
          <m:t>1</m:t>
        </m:r>
        <m:r>
          <m:rPr>
            <m:sty m:val="p"/>
          </m:rPr>
          <m:t>;</m:t>
        </m:r>
        <m:r>
          <m:t>  </m:t>
        </m:r>
        <m:f>
          <m:fPr>
            <m:type m:val="bar"/>
          </m:fPr>
          <m:num>
            <m:r>
              <m:rPr>
                <m:sty m:val="p"/>
              </m:rPr>
              <m:t>∂</m:t>
            </m:r>
            <m:r>
              <m:rPr>
                <m:sty m:val="p"/>
              </m:rPr>
              <m:t>ln</m:t>
            </m:r>
            <m:r>
              <m:t>η</m:t>
            </m:r>
          </m:num>
          <m:den>
            <m:r>
              <m:rPr>
                <m:sty m:val="p"/>
              </m:rPr>
              <m:t>∂</m:t>
            </m:r>
            <m:r>
              <m:rPr>
                <m:sty m:val="p"/>
              </m:rPr>
              <m:t>ln</m:t>
            </m:r>
            <m:r>
              <m:t>P</m:t>
            </m:r>
          </m:den>
        </m:f>
        <m:r>
          <m:rPr>
            <m:sty m:val="p"/>
          </m:rPr>
          <m:t>=</m:t>
        </m:r>
        <m:sSub>
          <m:e>
            <m:r>
              <m:t>w</m:t>
            </m:r>
          </m:e>
          <m:sub>
            <m:r>
              <m:t>P</m:t>
            </m:r>
          </m:sub>
        </m:sSub>
        <m:r>
          <m:rPr>
            <m:sty m:val="p"/>
          </m:rPr>
          <m:t>;</m:t>
        </m:r>
        <m:r>
          <m:t>  </m:t>
        </m:r>
        <m:acc>
          <m:accPr>
            <m:chr m:val="̃"/>
          </m:accPr>
          <m:e>
            <m:r>
              <m:t>p</m:t>
            </m:r>
          </m:e>
        </m:acc>
        <m:r>
          <m:rPr>
            <m:sty m:val="p"/>
          </m:rPr>
          <m:t>=</m:t>
        </m:r>
        <m:f>
          <m:fPr>
            <m:type m:val="bar"/>
          </m:fPr>
          <m:num>
            <m:r>
              <m:t>p</m:t>
            </m:r>
          </m:num>
          <m:den>
            <m:r>
              <m:t>η</m:t>
            </m:r>
          </m:den>
        </m:f>
        <m:r>
          <m:rPr>
            <m:sty m:val="p"/>
          </m:rPr>
          <m:t>,</m:t>
        </m:r>
        <m:r>
          <m:t>  </m:t>
        </m:r>
        <m:acc>
          <m:accPr>
            <m:chr m:val="̃"/>
          </m:accPr>
          <m:e>
            <m:r>
              <m:t>T</m:t>
            </m:r>
          </m:e>
        </m:acc>
        <m:r>
          <m:t> </m:t>
        </m:r>
        <m:acc>
          <m:accPr>
            <m:chr m:val="̃"/>
          </m:accPr>
          <m:e>
            <m:r>
              <m:t>p</m:t>
            </m:r>
          </m:e>
        </m:acc>
        <m:r>
          <m:rPr>
            <m:sty m:val="p"/>
          </m:rPr>
          <m:t>=</m:t>
        </m:r>
        <m:r>
          <m:t>T</m:t>
        </m:r>
        <m:r>
          <m:t> </m:t>
        </m:r>
        <m:r>
          <m:t>p</m:t>
        </m:r>
      </m:oMath>
      <w:r>
        <w:tab/>
      </w:r>
      <w:r>
        <w:rPr>
          <w:rFonts w:ascii="Times New Roman" w:hAnsi="Times New Roman" w:eastAsia="宋体"/>
          <w:sz w:val="24"/>
        </w:rPr>
        <w:t>(5-9)</w:t>
      </w:r>
    </w:p>
    <w:p>
      <w:pPr>
        <w:spacing w:line="360" w:lineRule="auto" w:after="0"/>
        <w:jc w:val="both"/>
      </w:pPr>
      <w:r>
        <w:rPr>
          <w:rFonts w:ascii="宋体" w:hAnsi="宋体" w:eastAsia="宋体"/>
          <w:sz w:val="24"/>
        </w:rPr>
        <w:t>其中，第一式为一次齐次性与权重归一化的等价关系，第二式为权重的弹性解释（对</w:t>
      </w:r>
      <m:oMath>
        <m:r>
          <m:t>R</m:t>
        </m:r>
      </m:oMath>
      <w:r>
        <w:rPr>
          <w:rFonts w:ascii="宋体" w:hAnsi="宋体" w:eastAsia="宋体"/>
          <w:sz w:val="24"/>
        </w:rPr>
        <w:t>、</w:t>
      </w:r>
      <m:oMath>
        <m:r>
          <m:t>S</m:t>
        </m:r>
      </m:oMath>
      <w:r>
        <w:rPr>
          <w:rFonts w:ascii="宋体" w:hAnsi="宋体" w:eastAsia="宋体"/>
          <w:sz w:val="24"/>
        </w:rPr>
        <w:t>同理），第三式为价格对偶关系，第四式表明折算不改变名义支出总额。</w:t>
      </w:r>
    </w:p>
    <w:p>
      <w:pPr>
        <w:spacing w:line="360" w:lineRule="auto" w:after="0"/>
        <w:ind w:firstLineChars="200" w:firstLine="480"/>
        <w:jc w:val="both"/>
      </w:pPr>
      <w:r>
        <w:rPr>
          <w:rFonts w:ascii="宋体" w:hAnsi="宋体" w:eastAsia="宋体"/>
          <w:sz w:val="24"/>
        </w:rPr>
        <w:t>式(5-9)的四个结论构成了折算体系的核心性质集合。</w:t>
      </w:r>
      <w:r>
        <w:rPr>
          <w:rFonts w:ascii="宋体" w:hAnsi="宋体" w:eastAsia="宋体"/>
          <w:b/>
          <w:sz w:val="24"/>
        </w:rPr>
        <w:t>一次齐次性保证了尺度不变。</w:t>
      </w:r>
      <w:r>
        <w:rPr>
          <w:rFonts w:ascii="宋体" w:hAnsi="宋体" w:eastAsia="宋体"/>
          <w:sz w:val="24"/>
        </w:rPr>
        <w:t>若</w:t>
      </w:r>
      <m:oMath>
        <m:r>
          <m:rPr>
            <m:sty m:val="p"/>
          </m:rPr>
          <m:t>∑</m:t>
        </m:r>
        <m:r>
          <m:t>w</m:t>
        </m:r>
        <m:r>
          <m:rPr>
            <m:sty m:val="p"/>
          </m:rPr>
          <m:t>&lt;</m:t>
        </m:r>
        <m:r>
          <m:t>1</m:t>
        </m:r>
      </m:oMath>
      <w:r>
        <w:rPr>
          <w:rFonts w:ascii="宋体" w:hAnsi="宋体" w:eastAsia="宋体"/>
          <w:sz w:val="24"/>
        </w:rPr>
        <w:t>，则当全行业能力普遍提升时，折算体系会系统性低估效值增长，标准词元流量将被人为压缩；若</w:t>
      </w:r>
      <m:oMath>
        <m:r>
          <m:rPr>
            <m:sty m:val="p"/>
          </m:rPr>
          <m:t>∑</m:t>
        </m:r>
        <m:r>
          <m:t>w</m:t>
        </m:r>
        <m:r>
          <m:rPr>
            <m:sty m:val="p"/>
          </m:rPr>
          <m:t>&gt;</m:t>
        </m:r>
        <m:r>
          <m:t>1</m:t>
        </m:r>
      </m:oMath>
      <w:r>
        <w:rPr>
          <w:rFonts w:ascii="宋体" w:hAnsi="宋体" w:eastAsia="宋体"/>
          <w:sz w:val="24"/>
        </w:rPr>
        <w:t>则相反，会把普遍的技术进步放大记入。唯有</w:t>
      </w:r>
      <m:oMath>
        <m:r>
          <m:rPr>
            <m:sty m:val="p"/>
          </m:rPr>
          <m:t>∑</m:t>
        </m:r>
        <m:r>
          <m:t>w</m:t>
        </m:r>
        <m:r>
          <m:rPr>
            <m:sty m:val="p"/>
          </m:rPr>
          <m:t>=</m:t>
        </m:r>
        <m:r>
          <m:t>1</m:t>
        </m:r>
      </m:oMath>
      <w:r>
        <w:rPr>
          <w:rFonts w:ascii="宋体" w:hAnsi="宋体" w:eastAsia="宋体"/>
          <w:sz w:val="24"/>
        </w:rPr>
        <w:t>，折算体系才对整体技术进步保持中性，这与当量单位应当只承担「换算」而不承担「评价」的定位一致。</w:t>
      </w:r>
      <w:r>
        <w:rPr>
          <w:rFonts w:ascii="宋体" w:hAnsi="宋体" w:eastAsia="宋体"/>
          <w:b/>
          <w:sz w:val="24"/>
        </w:rPr>
        <w:t>弹性解释使权重具有可交流的经济含义。</w:t>
      </w:r>
      <m:oMath>
        <m:sSub>
          <m:e>
            <m:r>
              <m:t>w</m:t>
            </m:r>
          </m:e>
          <m:sub>
            <m:r>
              <m:t>P</m:t>
            </m:r>
          </m:sub>
        </m:sSub>
      </m:oMath>
      <w:r>
        <w:rPr>
          <w:rFonts w:ascii="宋体" w:hAnsi="宋体" w:eastAsia="宋体"/>
          <w:sz w:val="24"/>
        </w:rPr>
        <w:t>即效值系数对算力强度的常数弹性：算力强度提高1%，效值系数提高0.4383%；等价地，算力强度翻倍带来效值系数提升35.5%，推理质量翻倍带来提升22.8%，场景效用翻倍带来提升20.2%。这一表述可以直接进入政策讨论，无需读者理解幂积函数的数学结构。</w:t>
      </w:r>
    </w:p>
    <w:p>
      <w:pPr>
        <w:spacing w:line="360" w:lineRule="auto" w:after="0"/>
        <w:ind w:firstLineChars="200" w:firstLine="480"/>
        <w:jc w:val="both"/>
      </w:pPr>
      <w:r>
        <w:rPr>
          <w:rFonts w:ascii="宋体" w:hAnsi="宋体" w:eastAsia="宋体"/>
          <w:b/>
          <w:sz w:val="24"/>
        </w:rPr>
        <w:t>价格对偶关系是折算体系与定价体系的接口。</w:t>
      </w:r>
      <w:r>
        <w:rPr>
          <w:rFonts w:ascii="宋体" w:hAnsi="宋体" w:eastAsia="宋体"/>
          <w:sz w:val="24"/>
        </w:rPr>
        <w:t>由</w:t>
      </w:r>
      <m:oMath>
        <m:acc>
          <m:accPr>
            <m:chr m:val="̃"/>
          </m:accPr>
          <m:e>
            <m:r>
              <m:t>p</m:t>
            </m:r>
          </m:e>
        </m:acc>
        <m:r>
          <m:rPr>
            <m:sty m:val="p"/>
          </m:rPr>
          <m:t>=</m:t>
        </m:r>
        <m:r>
          <m:t>p</m:t>
        </m:r>
        <m:r>
          <m:rPr>
            <m:sty m:val="p"/>
          </m:rPr>
          <m:t>/</m:t>
        </m:r>
        <m:r>
          <m:t>η</m:t>
        </m:r>
      </m:oMath>
      <w:r>
        <w:rPr>
          <w:rFonts w:ascii="宋体" w:hAnsi="宋体" w:eastAsia="宋体"/>
          <w:sz w:val="24"/>
        </w:rPr>
        <w:t>可知，标准词元价格是物理词元价格的效值调整值；第7章的三层定价结构、词元价格指数与标准词元价格指数的编制，全部建立在这一对偶关系之上。</w:t>
      </w:r>
      <w:r>
        <w:rPr>
          <w:rFonts w:ascii="宋体" w:hAnsi="宋体" w:eastAsia="宋体"/>
          <w:b/>
          <w:sz w:val="24"/>
        </w:rPr>
        <w:t>支出恒等式</w:t>
      </w:r>
      <m:oMath>
        <m:acc>
          <m:accPr>
            <m:chr m:val="̃"/>
          </m:accPr>
          <m:e>
            <m:r>
              <m:t>T</m:t>
            </m:r>
          </m:e>
        </m:acc>
        <m:acc>
          <m:accPr>
            <m:chr m:val="̃"/>
          </m:accPr>
          <m:e>
            <m:r>
              <m:t>p</m:t>
            </m:r>
          </m:e>
        </m:acc>
        <m:r>
          <m:rPr>
            <m:sty m:val="p"/>
          </m:rPr>
          <m:t>=</m:t>
        </m:r>
        <m:r>
          <m:t>T</m:t>
        </m:r>
        <m:r>
          <m:t>p</m:t>
        </m:r>
      </m:oMath>
      <w:r>
        <w:rPr>
          <w:rFonts w:ascii="宋体" w:hAnsi="宋体" w:eastAsia="宋体"/>
          <w:b/>
          <w:sz w:val="24"/>
        </w:rPr>
        <w:t>则保证了折算的会计中性。</w:t>
      </w:r>
      <w:r>
        <w:rPr>
          <w:rFonts w:ascii="宋体" w:hAnsi="宋体" w:eastAsia="宋体"/>
          <w:sz w:val="24"/>
        </w:rPr>
        <w:t>折算改变的是量与价的分割方式，不改变名义支出总额，因而不会在核算体系中凭空创造或消灭价值。这一性质对统计实务至关重要：它意味着折算可以作为一道「质量调整」工序嵌入现行核算流程，而不必重构支出侧的账目结构。事实上，这正是价格指数编制中量价分解的标准做法（Groshen等，2017；Redding和Weinstein，2020）——把名义支出的变动分解为价格变动与数量（质量调整后）变动两部分，标准词元折算所做的，是为词元这一新对象补上此前缺失的质量调整环节。</w:t>
      </w:r>
    </w:p>
    <w:p>
      <w:pPr>
        <w:keepNext/>
        <w:spacing w:before="160" w:after="120" w:line="360" w:lineRule="auto"/>
        <w:outlineLvl w:val="1"/>
      </w:pPr>
      <w:r>
        <w:rPr>
          <w:rFonts w:ascii="黑体" w:hAnsi="黑体" w:eastAsia="黑体"/>
          <w:sz w:val="28"/>
        </w:rPr>
        <w:t>5.4  折算系数的估计策略：基准、标定与稳健性</w:t>
      </w:r>
    </w:p>
    <w:p>
      <w:pPr>
        <w:keepNext/>
        <w:spacing w:before="160" w:after="120" w:line="360" w:lineRule="auto"/>
        <w:outlineLvl w:val="2"/>
      </w:pPr>
      <w:r>
        <w:rPr>
          <w:rFonts w:ascii="黑体" w:hAnsi="黑体" w:eastAsia="黑体"/>
          <w:sz w:val="24"/>
        </w:rPr>
        <w:t>5.4.1  基准档的选择：约定性、可稳定性与可解释性</w:t>
      </w:r>
    </w:p>
    <w:p>
      <w:pPr>
        <w:spacing w:line="360" w:lineRule="auto" w:after="0"/>
        <w:ind w:firstLineChars="200" w:firstLine="480"/>
        <w:jc w:val="both"/>
      </w:pPr>
      <w:r>
        <w:rPr>
          <w:rFonts w:ascii="宋体" w:hAnsi="宋体" w:eastAsia="宋体"/>
          <w:sz w:val="24"/>
        </w:rPr>
        <w:t>折算体系的第一个操作决策是基准档的选择。由式(2-6)的基准无关性可知，更换基准只会使全部折算系数按同一比例缩放，不改变任何相对结构与结论，因而基准选择在理论上是约定性的。但约定并非任意，一个好的基准应当同时满足三项实务标准。</w:t>
      </w:r>
      <w:r>
        <w:rPr>
          <w:rFonts w:ascii="宋体" w:hAnsi="宋体" w:eastAsia="宋体"/>
          <w:b/>
          <w:sz w:val="24"/>
        </w:rPr>
        <w:t>其一是用量代表性。</w:t>
      </w:r>
      <w:r>
        <w:rPr>
          <w:rFonts w:ascii="宋体" w:hAnsi="宋体" w:eastAsia="宋体"/>
          <w:sz w:val="24"/>
        </w:rPr>
        <w:t>基准档应在实际用量中占有显著份额，以使「1枚标准词元」对应一种普遍存在的服务形态。本书校准的2026年各档位用量份额显示，中型通用级占34%，为六档位中最高。</w:t>
      </w:r>
      <w:r>
        <w:rPr>
          <w:rFonts w:ascii="宋体" w:hAnsi="宋体" w:eastAsia="宋体"/>
          <w:b/>
          <w:sz w:val="24"/>
        </w:rPr>
        <w:t>其二是技术稳定性。</w:t>
      </w:r>
      <w:r>
        <w:rPr>
          <w:rFonts w:ascii="宋体" w:hAnsi="宋体" w:eastAsia="宋体"/>
          <w:sz w:val="24"/>
        </w:rPr>
        <w:t>基准档的技术形态应当相对稳定，不因个别产品的迭代而剧烈变动，否则基准本身就会成为波动源。中型通用级处于能力谱系的中段，其技术形态由多家供给方共同塑造，稳定性优于两端。</w:t>
      </w:r>
      <w:r>
        <w:rPr>
          <w:rFonts w:ascii="宋体" w:hAnsi="宋体" w:eastAsia="宋体"/>
          <w:b/>
          <w:sz w:val="24"/>
        </w:rPr>
        <w:t>其三是可解释性。</w:t>
      </w:r>
      <w:r>
        <w:rPr>
          <w:rFonts w:ascii="宋体" w:hAnsi="宋体" w:eastAsia="宋体"/>
          <w:sz w:val="24"/>
        </w:rPr>
        <w:t>基准应当位于分布的中部而非端点，以避免大多数折算系数集中于远大于1或远小于1的区间，影响直观理解与政策沟通。综合三项标准，本书以中型通用级模型在基准任务集上的词元为基准，规定其效值系数恒为1。</w:t>
      </w:r>
    </w:p>
    <w:p>
      <w:pPr>
        <w:spacing w:line="360" w:lineRule="auto" w:after="0"/>
        <w:ind w:firstLineChars="200" w:firstLine="480"/>
        <w:jc w:val="both"/>
      </w:pPr>
      <w:r>
        <w:rPr>
          <w:rFonts w:ascii="宋体" w:hAnsi="宋体" w:eastAsia="宋体"/>
          <w:sz w:val="24"/>
        </w:rPr>
        <w:t>这一选择与既有当量体系的做法一脉相承。标准煤的基准是低位发热量29307千焦每千克，它是一个规范值而非任何一种真实煤种的实测值（国家市场监督管理总局和国家标准化管理委员会，2020）；标准箱的基准是20英尺集装箱，而实际运输中40英尺箱的使用更为普遍；二氧化碳当量的基准是二氧化碳，而它并非增温潜势最高的温室气体（「WRI和WBCSD，2011」；「ISO，2018」）。三个成熟体系都表明：基准的价值在于其被普遍接受与长期稳定，而非其在某种意义上「最优」。因此本书主张，标准词元的基准一经确立，除非发生根本性的技术形态变迁，不宜频繁更换；确需更换时，应同时发布新旧基准的换算比例并对历史序列作链式接续，其做法与价格指数的基期轮换完全一致（Erickson和Pakes，2011）。</w:t>
      </w:r>
    </w:p>
    <w:p>
      <w:pPr>
        <w:keepNext/>
        <w:spacing w:before="160" w:after="120" w:line="360" w:lineRule="auto"/>
        <w:outlineLvl w:val="2"/>
      </w:pPr>
      <w:r>
        <w:rPr>
          <w:rFonts w:ascii="黑体" w:hAnsi="黑体" w:eastAsia="黑体"/>
          <w:sz w:val="24"/>
        </w:rPr>
        <w:t>5.4.2  基准任务集与实测效值：等效替代率的构造</w:t>
      </w:r>
    </w:p>
    <w:p>
      <w:pPr>
        <w:spacing w:line="360" w:lineRule="auto" w:after="0"/>
        <w:ind w:firstLineChars="200" w:firstLine="480"/>
        <w:jc w:val="both"/>
      </w:pPr>
      <w:r>
        <w:rPr>
          <w:rFonts w:ascii="宋体" w:hAnsi="宋体" w:eastAsia="宋体"/>
          <w:sz w:val="24"/>
        </w:rPr>
        <w:t>权重标定需要一组被解释变量，即各档位的「实测效值」。本书不以任何主观赋分构造这一变量，而是以</w:t>
      </w:r>
      <w:r>
        <w:rPr>
          <w:rFonts w:ascii="宋体" w:hAnsi="宋体" w:eastAsia="宋体"/>
          <w:b/>
          <w:sz w:val="24"/>
        </w:rPr>
        <w:t>等效替代率</w:t>
      </w:r>
      <w:r>
        <w:rPr>
          <w:rFonts w:ascii="宋体" w:hAnsi="宋体" w:eastAsia="宋体"/>
          <w:sz w:val="24"/>
        </w:rPr>
        <w:t>定义之：在规定的质量水平下，档位</w:t>
      </w:r>
      <m:oMath>
        <m:r>
          <m:t>k</m:t>
        </m:r>
      </m:oMath>
      <w:r>
        <w:rPr>
          <w:rFonts w:ascii="宋体" w:hAnsi="宋体" w:eastAsia="宋体"/>
          <w:sz w:val="24"/>
        </w:rPr>
        <w:t>完成基准任务集所需的物理词元量与基准档所需量之比的倒数，即：</w:t>
      </w:r>
    </w:p>
    <w:p>
      <w:pPr>
        <w:tabs>
          <w:tab w:pos="4252" w:val="center"/>
          <w:tab w:pos="8504" w:val="right"/>
        </w:tabs>
        <w:spacing w:line="360" w:lineRule="auto" w:before="80" w:after="80"/>
      </w:pPr>
      <w:r>
        <w:tab/>
      </w:r>
      <m:oMath>
        <m:sSubSup>
          <m:e>
            <m:r>
              <m:t>η</m:t>
            </m:r>
          </m:e>
          <m:sub>
            <m:r>
              <m:t>k</m:t>
            </m:r>
          </m:sub>
          <m:sup>
            <m:r>
              <m:rPr>
                <m:sty m:val="p"/>
              </m:rPr>
              <m:t>o</m:t>
            </m:r>
            <m:r>
              <m:rPr>
                <m:sty m:val="p"/>
              </m:rPr>
              <m:t>b</m:t>
            </m:r>
            <m:r>
              <m:rPr>
                <m:sty m:val="p"/>
              </m:rPr>
              <m:t>s</m:t>
            </m:r>
          </m:sup>
        </m:sSubSup>
        <m:r>
          <m:rPr>
            <m:sty m:val="p"/>
          </m:rPr>
          <m:t>=</m:t>
        </m:r>
        <m:sSup>
          <m:e>
            <m:d>
              <m:dPr>
                <m:begChr m:val="["/>
                <m:endChr m:val="]"/>
                <m:grow/>
              </m:dPr>
              <m:e>
                <m:nary>
                  <m:naryPr>
                    <m:chr m:val="∑"/>
                    <m:limLoc m:val="undOvr"/>
                    <m:subHide m:val="off"/>
                    <m:supHide m:val="on"/>
                  </m:naryPr>
                  <m:sub>
                    <m:r>
                      <m:t>j</m:t>
                    </m:r>
                    <m:r>
                      <m:rPr>
                        <m:sty m:val="p"/>
                      </m:rPr>
                      <m:t>∈</m:t>
                    </m:r>
                    <m:sSub>
                      <m:e>
                        <m:r>
                          <m:rPr>
                            <m:scr m:val="script"/>
                            <m:sty m:val="p"/>
                          </m:rPr>
                          <m:t>J</m:t>
                        </m:r>
                      </m:e>
                      <m:sub>
                        <m:r>
                          <m:t>0</m:t>
                        </m:r>
                      </m:sub>
                    </m:sSub>
                  </m:sub>
                  <m:sup>
                    <m:r>
                      <m:t>​</m:t>
                    </m:r>
                  </m:sup>
                  <m:e>
                    <m:sSub>
                      <m:e>
                        <m:r>
                          <m:t>ω</m:t>
                        </m:r>
                      </m:e>
                      <m:sub>
                        <m:r>
                          <m:t>j</m:t>
                        </m:r>
                      </m:sub>
                    </m:sSub>
                  </m:e>
                </m:nary>
                <m:r>
                  <m:t> </m:t>
                </m:r>
                <m:f>
                  <m:fPr>
                    <m:type m:val="bar"/>
                  </m:fPr>
                  <m:num>
                    <m:sSub>
                      <m:e>
                        <m:r>
                          <m:t>T</m:t>
                        </m:r>
                      </m:e>
                      <m:sub>
                        <m:r>
                          <m:t>k</m:t>
                        </m:r>
                        <m:r>
                          <m:t>j</m:t>
                        </m:r>
                      </m:sub>
                    </m:sSub>
                  </m:num>
                  <m:den>
                    <m:sSub>
                      <m:e>
                        <m:r>
                          <m:t>T</m:t>
                        </m:r>
                      </m:e>
                      <m:sub>
                        <m:r>
                          <m:t>0</m:t>
                        </m:r>
                        <m:r>
                          <m:t>j</m:t>
                        </m:r>
                      </m:sub>
                    </m:sSub>
                  </m:den>
                </m:f>
              </m:e>
            </m:d>
          </m:e>
          <m:sup>
            <m:r>
              <m:rPr>
                <m:sty m:val="p"/>
              </m:rPr>
              <m:t>−</m:t>
            </m:r>
            <m:r>
              <m:t>1</m:t>
            </m:r>
          </m:sup>
        </m:sSup>
        <m:r>
          <m:rPr>
            <m:sty m:val="p"/>
          </m:rPr>
          <m:t>,</m:t>
        </m:r>
        <m:r>
          <m:t>  </m:t>
        </m:r>
        <m:sSub>
          <m:e>
            <m:r>
              <m:t>T</m:t>
            </m:r>
          </m:e>
          <m:sub>
            <m:r>
              <m:t>k</m:t>
            </m:r>
            <m:r>
              <m:t>j</m:t>
            </m:r>
          </m:sub>
        </m:sSub>
        <m:r>
          <m:rPr>
            <m:sty m:val="p"/>
          </m:rPr>
          <m:t>=</m:t>
        </m:r>
        <m:r>
          <m:rPr>
            <m:sty m:val="p"/>
          </m:rPr>
          <m:t>min</m:t>
        </m:r>
        <m:d>
          <m:dPr>
            <m:begChr m:val="{"/>
            <m:endChr m:val="}"/>
            <m:grow/>
          </m:dPr>
          <m:e>
            <m:r>
              <m:t>T</m:t>
            </m:r>
            <m:r>
              <m:rPr>
                <m:sty m:val="p"/>
              </m:rPr>
              <m:t>:</m:t>
            </m:r>
            <m:r>
              <m:t> </m:t>
            </m:r>
            <m:sSub>
              <m:e>
                <m:r>
                  <m:t>q</m:t>
                </m:r>
              </m:e>
              <m:sub>
                <m:r>
                  <m:t>k</m:t>
                </m:r>
                <m:r>
                  <m:t>j</m:t>
                </m:r>
              </m:sub>
            </m:sSub>
            <m:d>
              <m:dPr>
                <m:begChr m:val="("/>
                <m:endChr m:val=")"/>
                <m:grow/>
              </m:dPr>
              <m:e>
                <m:r>
                  <m:t>T</m:t>
                </m:r>
              </m:e>
            </m:d>
            <m:r>
              <m:rPr>
                <m:sty m:val="p"/>
              </m:rPr>
              <m:t>≥</m:t>
            </m:r>
            <m:sSub>
              <m:e>
                <m:acc>
                  <m:accPr>
                    <m:chr m:val="‾"/>
                  </m:accPr>
                  <m:e>
                    <m:r>
                      <m:t>q</m:t>
                    </m:r>
                  </m:e>
                </m:acc>
              </m:e>
              <m:sub>
                <m:r>
                  <m:t>j</m:t>
                </m:r>
              </m:sub>
            </m:sSub>
          </m:e>
        </m:d>
      </m:oMath>
      <w:r>
        <w:tab/>
      </w:r>
      <w:r>
        <w:rPr>
          <w:rFonts w:ascii="Times New Roman" w:hAnsi="Times New Roman" w:eastAsia="宋体"/>
          <w:sz w:val="24"/>
        </w:rPr>
        <w:t>(5-10)</w:t>
      </w:r>
    </w:p>
    <w:p>
      <w:pPr>
        <w:spacing w:line="360" w:lineRule="auto" w:after="0"/>
        <w:jc w:val="both"/>
      </w:pPr>
      <w:r>
        <w:rPr>
          <w:rFonts w:ascii="宋体" w:hAnsi="宋体" w:eastAsia="宋体"/>
          <w:sz w:val="24"/>
        </w:rPr>
        <w:t>其中，</w:t>
      </w:r>
      <m:oMath>
        <m:sSub>
          <m:e>
            <m:r>
              <m:t>T</m:t>
            </m:r>
          </m:e>
          <m:sub>
            <m:r>
              <m:t>k</m:t>
            </m:r>
            <m:r>
              <m:t>j</m:t>
            </m:r>
          </m:sub>
        </m:sSub>
      </m:oMath>
      <w:r>
        <w:rPr>
          <w:rFonts w:ascii="宋体" w:hAnsi="宋体" w:eastAsia="宋体"/>
          <w:sz w:val="24"/>
        </w:rPr>
        <w:t>为档位</w:t>
      </w:r>
      <m:oMath>
        <m:r>
          <m:t>k</m:t>
        </m:r>
      </m:oMath>
      <w:r>
        <w:rPr>
          <w:rFonts w:ascii="宋体" w:hAnsi="宋体" w:eastAsia="宋体"/>
          <w:sz w:val="24"/>
        </w:rPr>
        <w:t>在任务</w:t>
      </w:r>
      <m:oMath>
        <m:r>
          <m:t>j</m:t>
        </m:r>
      </m:oMath>
      <w:r>
        <w:rPr>
          <w:rFonts w:ascii="宋体" w:hAnsi="宋体" w:eastAsia="宋体"/>
          <w:sz w:val="24"/>
        </w:rPr>
        <w:t>上达到规定质量水平</w:t>
      </w:r>
      <m:oMath>
        <m:sSub>
          <m:e>
            <m:acc>
              <m:accPr>
                <m:chr m:val="‾"/>
              </m:accPr>
              <m:e>
                <m:r>
                  <m:t>q</m:t>
                </m:r>
              </m:e>
            </m:acc>
          </m:e>
          <m:sub>
            <m:r>
              <m:t>j</m:t>
            </m:r>
          </m:sub>
        </m:sSub>
      </m:oMath>
      <w:r>
        <w:rPr>
          <w:rFonts w:ascii="宋体" w:hAnsi="宋体" w:eastAsia="宋体"/>
          <w:sz w:val="24"/>
        </w:rPr>
        <w:t>所需的最小物理词元量，</w:t>
      </w:r>
      <m:oMath>
        <m:sSub>
          <m:e>
            <m:r>
              <m:t>q</m:t>
            </m:r>
          </m:e>
          <m:sub>
            <m:r>
              <m:t>k</m:t>
            </m:r>
            <m:r>
              <m:t>j</m:t>
            </m:r>
          </m:sub>
        </m:sSub>
        <m:d>
          <m:dPr>
            <m:begChr m:val="("/>
            <m:endChr m:val=")"/>
            <m:grow/>
          </m:dPr>
          <m:e>
            <m:r>
              <m:t>T</m:t>
            </m:r>
          </m:e>
        </m:d>
      </m:oMath>
      <w:r>
        <w:rPr>
          <w:rFonts w:ascii="宋体" w:hAnsi="宋体" w:eastAsia="宋体"/>
          <w:sz w:val="24"/>
        </w:rPr>
        <w:t>为投入</w:t>
      </w:r>
      <m:oMath>
        <m:r>
          <m:t>T</m:t>
        </m:r>
      </m:oMath>
      <w:r>
        <w:rPr>
          <w:rFonts w:ascii="宋体" w:hAnsi="宋体" w:eastAsia="宋体"/>
          <w:sz w:val="24"/>
        </w:rPr>
        <w:t>枚词元时的达成度；</w:t>
      </w:r>
      <m:oMath>
        <m:sSubSup>
          <m:e>
            <m:r>
              <m:t>η</m:t>
            </m:r>
          </m:e>
          <m:sub>
            <m:r>
              <m:t>k</m:t>
            </m:r>
          </m:sub>
          <m:sup>
            <m:r>
              <m:rPr>
                <m:sty m:val="p"/>
              </m:rPr>
              <m:t>o</m:t>
            </m:r>
            <m:r>
              <m:rPr>
                <m:sty m:val="p"/>
              </m:rPr>
              <m:t>b</m:t>
            </m:r>
            <m:r>
              <m:rPr>
                <m:sty m:val="p"/>
              </m:rPr>
              <m:t>s</m:t>
            </m:r>
          </m:sup>
        </m:sSubSup>
      </m:oMath>
      <w:r>
        <w:rPr>
          <w:rFonts w:ascii="宋体" w:hAnsi="宋体" w:eastAsia="宋体"/>
          <w:sz w:val="24"/>
        </w:rPr>
        <w:t>即「1枚档位</w:t>
      </w:r>
      <m:oMath>
        <m:r>
          <m:t>k</m:t>
        </m:r>
      </m:oMath>
      <w:r>
        <w:rPr>
          <w:rFonts w:ascii="宋体" w:hAnsi="宋体" w:eastAsia="宋体"/>
          <w:sz w:val="24"/>
        </w:rPr>
        <w:t>词元相当于几枚基准档词元」的实测替代率。</w:t>
      </w:r>
    </w:p>
    <w:p>
      <w:pPr>
        <w:spacing w:line="360" w:lineRule="auto" w:after="0"/>
        <w:ind w:firstLineChars="200" w:firstLine="480"/>
        <w:jc w:val="both"/>
      </w:pPr>
      <w:r>
        <w:rPr>
          <w:rFonts w:ascii="宋体" w:hAnsi="宋体" w:eastAsia="宋体"/>
          <w:sz w:val="24"/>
        </w:rPr>
        <w:t>式(5-10)的构造有三点值得注意。</w:t>
      </w:r>
      <w:r>
        <w:rPr>
          <w:rFonts w:ascii="宋体" w:hAnsi="宋体" w:eastAsia="宋体"/>
          <w:b/>
          <w:sz w:val="24"/>
        </w:rPr>
        <w:t>第一，它是纯行为口径的。</w:t>
      </w:r>
      <w:r>
        <w:rPr>
          <w:rFonts w:ascii="宋体" w:hAnsi="宋体" w:eastAsia="宋体"/>
          <w:sz w:val="24"/>
        </w:rPr>
        <w:t>实测效值不依赖于任何关于价值的主观判断，只依赖于「完成同一件事各需多少词元」这一可观测事实；这使折算系数的标定与价格数据完全独立，从而使5.5.3节以价格检验折算结果的做法不构成循环论证。</w:t>
      </w:r>
      <w:r>
        <w:rPr>
          <w:rFonts w:ascii="宋体" w:hAnsi="宋体" w:eastAsia="宋体"/>
          <w:b/>
          <w:sz w:val="24"/>
        </w:rPr>
        <w:t>第二，它与标准煤的等热值替代逻辑同构。</w:t>
      </w:r>
      <w:r>
        <w:rPr>
          <w:rFonts w:ascii="宋体" w:hAnsi="宋体" w:eastAsia="宋体"/>
          <w:sz w:val="24"/>
        </w:rPr>
        <w:t>标准煤折算问的是「多少千克这种煤相当于1千克标准煤」，等效替代率问的是「多少枚这种词元相当于1枚标准词元」，二者在结构上完全一致，区别仅在于前者的替代关系由量热仪直接测得、后者需在任务集上实测。</w:t>
      </w:r>
      <w:r>
        <w:rPr>
          <w:rFonts w:ascii="宋体" w:hAnsi="宋体" w:eastAsia="宋体"/>
          <w:b/>
          <w:sz w:val="24"/>
        </w:rPr>
        <w:t>第三，质量门槛</w:t>
      </w:r>
      <m:oMath>
        <m:sSub>
          <m:e>
            <m:acc>
              <m:accPr>
                <m:chr m:val="‾"/>
              </m:accPr>
              <m:e>
                <m:r>
                  <m:t>q</m:t>
                </m:r>
              </m:e>
            </m:acc>
          </m:e>
          <m:sub>
            <m:r>
              <m:t>j</m:t>
            </m:r>
          </m:sub>
        </m:sSub>
      </m:oMath>
      <w:r>
        <w:rPr>
          <w:rFonts w:ascii="宋体" w:hAnsi="宋体" w:eastAsia="宋体"/>
          <w:b/>
          <w:sz w:val="24"/>
        </w:rPr>
        <w:t>的设定是关键的口径选择。</w:t>
      </w:r>
      <w:r>
        <w:rPr>
          <w:rFonts w:ascii="宋体" w:hAnsi="宋体" w:eastAsia="宋体"/>
          <w:sz w:val="24"/>
        </w:rPr>
        <w:t>门槛过低会使低档位模型也能「达标」，从而高估其效值；门槛过高则会使部分档位在任何词元投入下都无法达标，替代率无定义。本书按任务类型分别设定门槛，并在5.4.4节以门槛的上下浮动做稳健性检验。</w:t>
      </w:r>
    </w:p>
    <w:p>
      <w:pPr>
        <w:spacing w:line="360" w:lineRule="auto" w:after="0"/>
        <w:ind w:firstLineChars="200" w:firstLine="480"/>
        <w:jc w:val="both"/>
      </w:pPr>
      <w:r>
        <w:rPr>
          <w:rFonts w:ascii="宋体" w:hAnsi="宋体" w:eastAsia="宋体"/>
          <w:sz w:val="24"/>
        </w:rPr>
        <w:t>基准任务集</w:t>
      </w:r>
      <m:oMath>
        <m:sSub>
          <m:e>
            <m:r>
              <m:rPr>
                <m:scr m:val="script"/>
                <m:sty m:val="p"/>
              </m:rPr>
              <m:t>J</m:t>
            </m:r>
          </m:e>
          <m:sub>
            <m:r>
              <m:t>0</m:t>
            </m:r>
          </m:sub>
        </m:sSub>
      </m:oMath>
      <w:r>
        <w:rPr>
          <w:rFonts w:ascii="宋体" w:hAnsi="宋体" w:eastAsia="宋体"/>
          <w:sz w:val="24"/>
        </w:rPr>
        <w:t>的构造遵循代表性与稳定性两项原则。代表性要求任务集在场景结构上近似于实际用量分布，覆盖知识问答、文案生成、代码生成、智能设计、质检识别、合规审查与科研分析等主要场景；稳定性要求任务集中的任务具有明确的达成度判据且不易被针对性优化。任务权重</w:t>
      </w:r>
      <m:oMath>
        <m:sSub>
          <m:e>
            <m:r>
              <m:t>ω</m:t>
            </m:r>
          </m:e>
          <m:sub>
            <m:r>
              <m:t>j</m:t>
            </m:r>
          </m:sub>
        </m:sSub>
      </m:oMath>
      <w:r>
        <w:rPr>
          <w:rFonts w:ascii="宋体" w:hAnsi="宋体" w:eastAsia="宋体"/>
          <w:sz w:val="24"/>
        </w:rPr>
        <w:t>按各场景的实际词元用量份额设定，从而使实测效值反映真实使用结构而非评测偏好。需要指出，任务集的公开与否是一个两难：公开可提高可复现性，却会诱发针对任务集的过度优化；不公开可避免过度优化，却损害可核验性。本书主张采用「公开构造规则、轮换具体样本」的折中方案——这一安排与评测领域应对基准污染的通行做法一致，也与第14章建议的国家计量标准设计相衔接。</w:t>
      </w:r>
    </w:p>
    <w:p>
      <w:pPr>
        <w:keepNext/>
        <w:spacing w:before="160" w:after="120" w:line="360" w:lineRule="auto"/>
        <w:outlineLvl w:val="2"/>
      </w:pPr>
      <w:r>
        <w:rPr>
          <w:rFonts w:ascii="黑体" w:hAnsi="黑体" w:eastAsia="黑体"/>
          <w:sz w:val="24"/>
        </w:rPr>
        <w:t>5.4.3  权重标定：约束对数最小二乘及其闭式解</w:t>
      </w:r>
    </w:p>
    <w:p>
      <w:pPr>
        <w:spacing w:line="360" w:lineRule="auto" w:after="0"/>
        <w:ind w:firstLineChars="200" w:firstLine="480"/>
        <w:jc w:val="both"/>
      </w:pPr>
      <w:r>
        <w:rPr>
          <w:rFonts w:ascii="宋体" w:hAnsi="宋体" w:eastAsia="宋体"/>
          <w:sz w:val="24"/>
        </w:rPr>
        <w:t>有了三维测度与实测效值，权重标定即化为一个带线性约束的最小二乘问题。对式(5-7)取对数，折算函数在对数尺度上是线性的，故以对数残差平方和为目标函数：</w:t>
      </w:r>
    </w:p>
    <w:p>
      <w:pPr>
        <w:tabs>
          <w:tab w:pos="4252" w:val="center"/>
          <w:tab w:pos="8504" w:val="right"/>
        </w:tabs>
        <w:spacing w:line="360" w:lineRule="auto" w:before="80" w:after="80"/>
      </w:pPr>
      <w:r>
        <w:tab/>
      </w:r>
      <m:oMath>
        <m:acc>
          <m:accPr>
            <m:chr m:val="̂"/>
          </m:accPr>
          <m:e>
            <m:r>
              <m:rPr>
                <m:sty m:val="b"/>
              </m:rPr>
              <m:t>w</m:t>
            </m:r>
          </m:e>
        </m:acc>
        <m:r>
          <m:rPr>
            <m:sty m:val="p"/>
          </m:rPr>
          <m:t>=</m:t>
        </m:r>
        <m:r>
          <m:rPr>
            <m:sty m:val="p"/>
          </m:rPr>
          <m:t>arg</m:t>
        </m:r>
        <m:sSub>
          <m:e>
            <m:r>
              <m:rPr>
                <m:sty m:val="p"/>
              </m:rPr>
              <m:t>min</m:t>
            </m:r>
          </m:e>
          <m:sub>
            <m:r>
              <m:rPr>
                <m:sty m:val="b"/>
              </m:rPr>
              <m:t>w</m:t>
            </m:r>
          </m:sub>
        </m:sSub>
        <m:nary>
          <m:naryPr>
            <m:chr m:val="∑"/>
            <m:limLoc m:val="undOvr"/>
            <m:subHide m:val="off"/>
            <m:supHide m:val="off"/>
          </m:naryPr>
          <m:sub>
            <m:r>
              <m:t>k</m:t>
            </m:r>
            <m:r>
              <m:rPr>
                <m:sty m:val="p"/>
              </m:rPr>
              <m:t>=</m:t>
            </m:r>
            <m:r>
              <m:t>1</m:t>
            </m:r>
          </m:sub>
          <m:sup>
            <m:r>
              <m:t>K</m:t>
            </m:r>
          </m:sup>
          <m:e>
            <m:sSup>
              <m:e>
                <m:d>
                  <m:dPr>
                    <m:begChr m:val="("/>
                    <m:endChr m:val=")"/>
                    <m:grow/>
                  </m:dPr>
                  <m:e>
                    <m:r>
                      <m:rPr>
                        <m:sty m:val="p"/>
                      </m:rPr>
                      <m:t>ln</m:t>
                    </m:r>
                    <m:sSubSup>
                      <m:e>
                        <m:r>
                          <m:t>η</m:t>
                        </m:r>
                      </m:e>
                      <m:sub>
                        <m:r>
                          <m:t>k</m:t>
                        </m:r>
                      </m:sub>
                      <m:sup>
                        <m:r>
                          <m:rPr>
                            <m:sty m:val="p"/>
                          </m:rPr>
                          <m:t>o</m:t>
                        </m:r>
                        <m:r>
                          <m:rPr>
                            <m:sty m:val="p"/>
                          </m:rPr>
                          <m:t>b</m:t>
                        </m:r>
                        <m:r>
                          <m:rPr>
                            <m:sty m:val="p"/>
                          </m:rPr>
                          <m:t>s</m:t>
                        </m:r>
                      </m:sup>
                    </m:sSubSup>
                    <m:r>
                      <m:rPr>
                        <m:sty m:val="p"/>
                      </m:rPr>
                      <m:t>−</m:t>
                    </m:r>
                    <m:sSubSup>
                      <m:e>
                        <m:r>
                          <m:rPr>
                            <m:sty m:val="b"/>
                          </m:rPr>
                          <m:t>z</m:t>
                        </m:r>
                      </m:e>
                      <m:sub>
                        <m:r>
                          <m:t>k</m:t>
                        </m:r>
                      </m:sub>
                      <m:sup>
                        <m:r>
                          <m:rPr>
                            <m:sty m:val="p"/>
                          </m:rPr>
                          <m:t>′</m:t>
                        </m:r>
                      </m:sup>
                    </m:sSubSup>
                    <m:r>
                      <m:rPr>
                        <m:sty m:val="b"/>
                      </m:rPr>
                      <m:t>w</m:t>
                    </m:r>
                  </m:e>
                </m:d>
              </m:e>
              <m:sup>
                <m:r>
                  <m:t>2</m:t>
                </m:r>
              </m:sup>
            </m:sSup>
          </m:e>
        </m:nary>
        <m:r>
          <m:t> </m:t>
        </m:r>
        <m:r>
          <m:rPr>
            <m:sty m:val="p"/>
          </m:rPr>
          <m:t>s</m:t>
        </m:r>
        <m:r>
          <m:rPr>
            <m:sty m:val="p"/>
          </m:rPr>
          <m:t>.</m:t>
        </m:r>
        <m:r>
          <m:rPr>
            <m:sty m:val="p"/>
          </m:rPr>
          <m:t>t</m:t>
        </m:r>
        <m:r>
          <m:rPr>
            <m:sty m:val="p"/>
          </m:rPr>
          <m:t>.</m:t>
        </m:r>
        <m:r>
          <m:t> </m:t>
        </m:r>
        <m:sSup>
          <m:e>
            <m:r>
              <m:rPr>
                <m:sty m:val="b"/>
              </m:rPr>
              <m:t>1</m:t>
            </m:r>
          </m:e>
          <m:sup>
            <m:r>
              <m:rPr>
                <m:sty m:val="p"/>
              </m:rPr>
              <m:t>′</m:t>
            </m:r>
          </m:sup>
        </m:sSup>
        <m:r>
          <m:rPr>
            <m:sty m:val="b"/>
          </m:rPr>
          <m:t>w</m:t>
        </m:r>
        <m:r>
          <m:rPr>
            <m:sty m:val="p"/>
          </m:rPr>
          <m:t>=</m:t>
        </m:r>
        <m:r>
          <m:t>1</m:t>
        </m:r>
        <m:r>
          <m:rPr>
            <m:sty m:val="p"/>
          </m:rPr>
          <m:t>,</m:t>
        </m:r>
        <m:r>
          <m:t>  </m:t>
        </m:r>
        <m:sSub>
          <m:e>
            <m:r>
              <m:rPr>
                <m:sty m:val="b"/>
              </m:rPr>
              <m:t>z</m:t>
            </m:r>
          </m:e>
          <m:sub>
            <m:r>
              <m:t>k</m:t>
            </m:r>
          </m:sub>
        </m:sSub>
        <m:r>
          <m:rPr>
            <m:sty m:val="p"/>
          </m:rPr>
          <m:t>=</m:t>
        </m:r>
        <m:sSup>
          <m:e>
            <m:d>
              <m:dPr>
                <m:begChr m:val="("/>
                <m:endChr m:val=")"/>
                <m:grow/>
              </m:dPr>
              <m:e>
                <m:r>
                  <m:rPr>
                    <m:sty m:val="p"/>
                  </m:rPr>
                  <m:t>ln</m:t>
                </m:r>
                <m:sSub>
                  <m:e>
                    <m:r>
                      <m:t>P</m:t>
                    </m:r>
                  </m:e>
                  <m:sub>
                    <m:r>
                      <m:t>k</m:t>
                    </m:r>
                  </m:sub>
                </m:sSub>
                <m:r>
                  <m:rPr>
                    <m:sty m:val="p"/>
                  </m:rPr>
                  <m:t>,</m:t>
                </m:r>
                <m:r>
                  <m:t> </m:t>
                </m:r>
                <m:r>
                  <m:rPr>
                    <m:sty m:val="p"/>
                  </m:rPr>
                  <m:t>ln</m:t>
                </m:r>
                <m:sSub>
                  <m:e>
                    <m:r>
                      <m:t>R</m:t>
                    </m:r>
                  </m:e>
                  <m:sub>
                    <m:r>
                      <m:t>k</m:t>
                    </m:r>
                  </m:sub>
                </m:sSub>
                <m:r>
                  <m:rPr>
                    <m:sty m:val="p"/>
                  </m:rPr>
                  <m:t>,</m:t>
                </m:r>
                <m:r>
                  <m:t> </m:t>
                </m:r>
                <m:r>
                  <m:rPr>
                    <m:sty m:val="p"/>
                  </m:rPr>
                  <m:t>ln</m:t>
                </m:r>
                <m:sSub>
                  <m:e>
                    <m:r>
                      <m:t>S</m:t>
                    </m:r>
                  </m:e>
                  <m:sub>
                    <m:r>
                      <m:t>k</m:t>
                    </m:r>
                  </m:sub>
                </m:sSub>
              </m:e>
            </m:d>
          </m:e>
          <m:sup>
            <m:r>
              <m:rPr>
                <m:sty m:val="p"/>
              </m:rPr>
              <m:t>′</m:t>
            </m:r>
          </m:sup>
        </m:sSup>
      </m:oMath>
      <w:r>
        <w:tab/>
      </w:r>
      <w:r>
        <w:rPr>
          <w:rFonts w:ascii="Times New Roman" w:hAnsi="Times New Roman" w:eastAsia="宋体"/>
          <w:sz w:val="24"/>
        </w:rPr>
        <w:t>(5-11)</w:t>
      </w:r>
    </w:p>
    <w:p>
      <w:pPr>
        <w:spacing w:line="360" w:lineRule="auto" w:after="0"/>
        <w:jc w:val="both"/>
      </w:pPr>
      <w:r>
        <w:rPr>
          <w:rFonts w:ascii="宋体" w:hAnsi="宋体" w:eastAsia="宋体"/>
          <w:sz w:val="24"/>
        </w:rPr>
        <w:t>其中，</w:t>
      </w:r>
      <m:oMath>
        <m:r>
          <m:rPr>
            <m:sty m:val="b"/>
          </m:rPr>
          <m:t>w</m:t>
        </m:r>
        <m:r>
          <m:rPr>
            <m:sty m:val="p"/>
          </m:rPr>
          <m:t>=</m:t>
        </m:r>
        <m:sSup>
          <m:e>
            <m:d>
              <m:dPr>
                <m:begChr m:val="("/>
                <m:endChr m:val=")"/>
                <m:grow/>
              </m:dPr>
              <m:e>
                <m:sSub>
                  <m:e>
                    <m:r>
                      <m:t>w</m:t>
                    </m:r>
                  </m:e>
                  <m:sub>
                    <m:r>
                      <m:t>P</m:t>
                    </m:r>
                  </m:sub>
                </m:sSub>
                <m:r>
                  <m:rPr>
                    <m:sty m:val="p"/>
                  </m:rPr>
                  <m:t>,</m:t>
                </m:r>
                <m:sSub>
                  <m:e>
                    <m:r>
                      <m:t>w</m:t>
                    </m:r>
                  </m:e>
                  <m:sub>
                    <m:r>
                      <m:t>R</m:t>
                    </m:r>
                  </m:sub>
                </m:sSub>
                <m:r>
                  <m:rPr>
                    <m:sty m:val="p"/>
                  </m:rPr>
                  <m:t>,</m:t>
                </m:r>
                <m:sSub>
                  <m:e>
                    <m:r>
                      <m:t>w</m:t>
                    </m:r>
                  </m:e>
                  <m:sub>
                    <m:r>
                      <m:t>S</m:t>
                    </m:r>
                  </m:sub>
                </m:sSub>
              </m:e>
            </m:d>
          </m:e>
          <m:sup>
            <m:r>
              <m:rPr>
                <m:sty m:val="p"/>
              </m:rPr>
              <m:t>′</m:t>
            </m:r>
          </m:sup>
        </m:sSup>
      </m:oMath>
      <w:r>
        <w:rPr>
          <w:rFonts w:ascii="宋体" w:hAnsi="宋体" w:eastAsia="宋体"/>
          <w:sz w:val="24"/>
        </w:rPr>
        <w:t>为待标定权重向量，</w:t>
      </w:r>
      <m:oMath>
        <m:sSub>
          <m:e>
            <m:r>
              <m:rPr>
                <m:sty m:val="b"/>
              </m:rPr>
              <m:t>z</m:t>
            </m:r>
          </m:e>
          <m:sub>
            <m:r>
              <m:t>k</m:t>
            </m:r>
          </m:sub>
        </m:sSub>
      </m:oMath>
      <w:r>
        <w:rPr>
          <w:rFonts w:ascii="宋体" w:hAnsi="宋体" w:eastAsia="宋体"/>
          <w:sz w:val="24"/>
        </w:rPr>
        <w:t>为档位</w:t>
      </w:r>
      <m:oMath>
        <m:r>
          <m:t>k</m:t>
        </m:r>
      </m:oMath>
      <w:r>
        <w:rPr>
          <w:rFonts w:ascii="宋体" w:hAnsi="宋体" w:eastAsia="宋体"/>
          <w:sz w:val="24"/>
        </w:rPr>
        <w:t>的三维对数效值向量，</w:t>
      </w:r>
      <m:oMath>
        <m:r>
          <m:t>K</m:t>
        </m:r>
      </m:oMath>
      <w:r>
        <w:rPr>
          <w:rFonts w:ascii="宋体" w:hAnsi="宋体" w:eastAsia="宋体"/>
          <w:sz w:val="24"/>
        </w:rPr>
        <w:t>为标定样本量，</w:t>
      </w:r>
      <m:oMath>
        <m:r>
          <m:rPr>
            <m:sty m:val="b"/>
          </m:rPr>
          <m:t>1</m:t>
        </m:r>
      </m:oMath>
      <w:r>
        <w:rPr>
          <w:rFonts w:ascii="宋体" w:hAnsi="宋体" w:eastAsia="宋体"/>
          <w:sz w:val="24"/>
        </w:rPr>
        <w:t>为元素全为1的三维列向量；约束条件即式(5-9)的一次齐次性要求。</w:t>
      </w:r>
    </w:p>
    <w:p>
      <w:pPr>
        <w:spacing w:line="360" w:lineRule="auto" w:after="0"/>
        <w:ind w:firstLineChars="200" w:firstLine="480"/>
        <w:jc w:val="both"/>
      </w:pPr>
      <w:r>
        <w:rPr>
          <w:rFonts w:ascii="宋体" w:hAnsi="宋体" w:eastAsia="宋体"/>
          <w:sz w:val="24"/>
        </w:rPr>
        <w:t>式(5-11)是等式约束下的线性最小二乘问题，其解可由拉格朗日方法闭式给出：</w:t>
      </w:r>
    </w:p>
    <w:p>
      <w:pPr>
        <w:tabs>
          <w:tab w:pos="4252" w:val="center"/>
          <w:tab w:pos="8504" w:val="right"/>
        </w:tabs>
        <w:spacing w:line="360" w:lineRule="auto" w:before="80" w:after="80"/>
      </w:pPr>
      <w:r>
        <w:tab/>
      </w:r>
      <m:oMath>
        <m:acc>
          <m:accPr>
            <m:chr m:val="̂"/>
          </m:accPr>
          <m:e>
            <m:r>
              <m:rPr>
                <m:sty m:val="b"/>
              </m:rPr>
              <m:t>w</m:t>
            </m:r>
          </m:e>
        </m:acc>
        <m:r>
          <m:rPr>
            <m:sty m:val="p"/>
          </m:rPr>
          <m:t>=</m:t>
        </m:r>
        <m:sSub>
          <m:e>
            <m:acc>
              <m:accPr>
                <m:chr m:val="̂"/>
              </m:accPr>
              <m:e>
                <m:r>
                  <m:rPr>
                    <m:sty m:val="b"/>
                  </m:rPr>
                  <m:t>w</m:t>
                </m:r>
              </m:e>
            </m:acc>
          </m:e>
          <m:sub>
            <m:r>
              <m:rPr>
                <m:sty m:val="p"/>
              </m:rPr>
              <m:t>L</m:t>
            </m:r>
            <m:r>
              <m:rPr>
                <m:sty m:val="p"/>
              </m:rPr>
              <m:t>S</m:t>
            </m:r>
          </m:sub>
        </m:sSub>
        <m:r>
          <m:rPr>
            <m:sty m:val="p"/>
          </m:rPr>
          <m:t>+</m:t>
        </m:r>
        <m:sSup>
          <m:e>
            <m:d>
              <m:dPr>
                <m:begChr m:val="("/>
                <m:endChr m:val=")"/>
                <m:grow/>
              </m:dPr>
              <m:e>
                <m:sSup>
                  <m:e>
                    <m:r>
                      <m:rPr>
                        <m:sty m:val="b"/>
                      </m:rPr>
                      <m:t>Z</m:t>
                    </m:r>
                  </m:e>
                  <m:sup>
                    <m:r>
                      <m:rPr>
                        <m:sty m:val="p"/>
                      </m:rPr>
                      <m:t>′</m:t>
                    </m:r>
                  </m:sup>
                </m:sSup>
                <m:r>
                  <m:rPr>
                    <m:sty m:val="b"/>
                  </m:rPr>
                  <m:t>Z</m:t>
                </m:r>
              </m:e>
            </m:d>
          </m:e>
          <m:sup>
            <m:r>
              <m:rPr>
                <m:sty m:val="p"/>
              </m:rPr>
              <m:t>−</m:t>
            </m:r>
            <m:r>
              <m:t>1</m:t>
            </m:r>
          </m:sup>
        </m:sSup>
        <m:r>
          <m:rPr>
            <m:sty m:val="b"/>
          </m:rPr>
          <m:t>1</m:t>
        </m:r>
        <m:r>
          <m:t> </m:t>
        </m:r>
        <m:f>
          <m:fPr>
            <m:type m:val="bar"/>
          </m:fPr>
          <m:num>
            <m:r>
              <m:t>1</m:t>
            </m:r>
            <m:r>
              <m:rPr>
                <m:sty m:val="p"/>
              </m:rPr>
              <m:t>−</m:t>
            </m:r>
            <m:sSup>
              <m:e>
                <m:r>
                  <m:rPr>
                    <m:sty m:val="b"/>
                  </m:rPr>
                  <m:t>1</m:t>
                </m:r>
              </m:e>
              <m:sup>
                <m:r>
                  <m:rPr>
                    <m:sty m:val="p"/>
                  </m:rPr>
                  <m:t>′</m:t>
                </m:r>
              </m:sup>
            </m:sSup>
            <m:sSub>
              <m:e>
                <m:acc>
                  <m:accPr>
                    <m:chr m:val="̂"/>
                  </m:accPr>
                  <m:e>
                    <m:r>
                      <m:rPr>
                        <m:sty m:val="b"/>
                      </m:rPr>
                      <m:t>w</m:t>
                    </m:r>
                  </m:e>
                </m:acc>
              </m:e>
              <m:sub>
                <m:r>
                  <m:rPr>
                    <m:sty m:val="p"/>
                  </m:rPr>
                  <m:t>L</m:t>
                </m:r>
                <m:r>
                  <m:rPr>
                    <m:sty m:val="p"/>
                  </m:rPr>
                  <m:t>S</m:t>
                </m:r>
              </m:sub>
            </m:sSub>
          </m:num>
          <m:den>
            <m:sSup>
              <m:e>
                <m:r>
                  <m:rPr>
                    <m:sty m:val="b"/>
                  </m:rPr>
                  <m:t>1</m:t>
                </m:r>
              </m:e>
              <m:sup>
                <m:r>
                  <m:rPr>
                    <m:sty m:val="p"/>
                  </m:rPr>
                  <m:t>′</m:t>
                </m:r>
              </m:sup>
            </m:sSup>
            <m:sSup>
              <m:e>
                <m:d>
                  <m:dPr>
                    <m:begChr m:val="("/>
                    <m:endChr m:val=")"/>
                    <m:grow/>
                  </m:dPr>
                  <m:e>
                    <m:sSup>
                      <m:e>
                        <m:r>
                          <m:rPr>
                            <m:sty m:val="b"/>
                          </m:rPr>
                          <m:t>Z</m:t>
                        </m:r>
                      </m:e>
                      <m:sup>
                        <m:r>
                          <m:rPr>
                            <m:sty m:val="p"/>
                          </m:rPr>
                          <m:t>′</m:t>
                        </m:r>
                      </m:sup>
                    </m:sSup>
                    <m:r>
                      <m:rPr>
                        <m:sty m:val="b"/>
                      </m:rPr>
                      <m:t>Z</m:t>
                    </m:r>
                  </m:e>
                </m:d>
              </m:e>
              <m:sup>
                <m:r>
                  <m:rPr>
                    <m:sty m:val="p"/>
                  </m:rPr>
                  <m:t>−</m:t>
                </m:r>
                <m:r>
                  <m:t>1</m:t>
                </m:r>
              </m:sup>
            </m:sSup>
            <m:r>
              <m:rPr>
                <m:sty m:val="b"/>
              </m:rPr>
              <m:t>1</m:t>
            </m:r>
          </m:den>
        </m:f>
        <m:r>
          <m:rPr>
            <m:sty m:val="p"/>
          </m:rPr>
          <m:t>,</m:t>
        </m:r>
        <m:r>
          <m:t>  </m:t>
        </m:r>
        <m:sSub>
          <m:e>
            <m:acc>
              <m:accPr>
                <m:chr m:val="̂"/>
              </m:accPr>
              <m:e>
                <m:r>
                  <m:rPr>
                    <m:sty m:val="b"/>
                  </m:rPr>
                  <m:t>w</m:t>
                </m:r>
              </m:e>
            </m:acc>
          </m:e>
          <m:sub>
            <m:r>
              <m:rPr>
                <m:sty m:val="p"/>
              </m:rPr>
              <m:t>L</m:t>
            </m:r>
            <m:r>
              <m:rPr>
                <m:sty m:val="p"/>
              </m:rPr>
              <m:t>S</m:t>
            </m:r>
          </m:sub>
        </m:sSub>
        <m:r>
          <m:rPr>
            <m:sty m:val="p"/>
          </m:rPr>
          <m:t>=</m:t>
        </m:r>
        <m:sSup>
          <m:e>
            <m:d>
              <m:dPr>
                <m:begChr m:val="("/>
                <m:endChr m:val=")"/>
                <m:grow/>
              </m:dPr>
              <m:e>
                <m:sSup>
                  <m:e>
                    <m:r>
                      <m:rPr>
                        <m:sty m:val="b"/>
                      </m:rPr>
                      <m:t>Z</m:t>
                    </m:r>
                  </m:e>
                  <m:sup>
                    <m:r>
                      <m:rPr>
                        <m:sty m:val="p"/>
                      </m:rPr>
                      <m:t>′</m:t>
                    </m:r>
                  </m:sup>
                </m:sSup>
                <m:r>
                  <m:rPr>
                    <m:sty m:val="b"/>
                  </m:rPr>
                  <m:t>Z</m:t>
                </m:r>
              </m:e>
            </m:d>
          </m:e>
          <m:sup>
            <m:r>
              <m:rPr>
                <m:sty m:val="p"/>
              </m:rPr>
              <m:t>−</m:t>
            </m:r>
            <m:r>
              <m:t>1</m:t>
            </m:r>
          </m:sup>
        </m:sSup>
        <m:sSup>
          <m:e>
            <m:r>
              <m:rPr>
                <m:sty m:val="b"/>
              </m:rPr>
              <m:t>Z</m:t>
            </m:r>
          </m:e>
          <m:sup>
            <m:r>
              <m:rPr>
                <m:sty m:val="p"/>
              </m:rPr>
              <m:t>′</m:t>
            </m:r>
          </m:sup>
        </m:sSup>
        <m:r>
          <m:rPr>
            <m:sty m:val="b"/>
          </m:rPr>
          <m:t>y</m:t>
        </m:r>
      </m:oMath>
      <w:r>
        <w:tab/>
      </w:r>
      <w:r>
        <w:rPr>
          <w:rFonts w:ascii="Times New Roman" w:hAnsi="Times New Roman" w:eastAsia="宋体"/>
          <w:sz w:val="24"/>
        </w:rPr>
        <w:t>(5-12)</w:t>
      </w:r>
    </w:p>
    <w:p>
      <w:pPr>
        <w:spacing w:line="360" w:lineRule="auto" w:after="0"/>
        <w:jc w:val="both"/>
      </w:pPr>
      <w:r>
        <w:rPr>
          <w:rFonts w:ascii="宋体" w:hAnsi="宋体" w:eastAsia="宋体"/>
          <w:sz w:val="24"/>
        </w:rPr>
        <w:t>其中，</w:t>
      </w:r>
      <m:oMath>
        <m:r>
          <m:rPr>
            <m:sty m:val="b"/>
          </m:rPr>
          <m:t>Z</m:t>
        </m:r>
      </m:oMath>
      <w:r>
        <w:rPr>
          <w:rFonts w:ascii="宋体" w:hAnsi="宋体" w:eastAsia="宋体"/>
          <w:sz w:val="24"/>
        </w:rPr>
        <w:t>为以</w:t>
      </w:r>
      <m:oMath>
        <m:sSubSup>
          <m:e>
            <m:r>
              <m:rPr>
                <m:sty m:val="b"/>
              </m:rPr>
              <m:t>z</m:t>
            </m:r>
          </m:e>
          <m:sub>
            <m:r>
              <m:t>k</m:t>
            </m:r>
          </m:sub>
          <m:sup>
            <m:r>
              <m:rPr>
                <m:sty m:val="p"/>
              </m:rPr>
              <m:t>′</m:t>
            </m:r>
          </m:sup>
        </m:sSubSup>
      </m:oMath>
      <w:r>
        <w:rPr>
          <w:rFonts w:ascii="宋体" w:hAnsi="宋体" w:eastAsia="宋体"/>
          <w:sz w:val="24"/>
        </w:rPr>
        <w:t>为行的设计矩阵，</w:t>
      </w:r>
      <m:oMath>
        <m:r>
          <m:rPr>
            <m:sty m:val="b"/>
          </m:rPr>
          <m:t>y</m:t>
        </m:r>
      </m:oMath>
      <w:r>
        <w:rPr>
          <w:rFonts w:ascii="宋体" w:hAnsi="宋体" w:eastAsia="宋体"/>
          <w:sz w:val="24"/>
        </w:rPr>
        <w:t>为以</w:t>
      </w:r>
      <m:oMath>
        <m:r>
          <m:rPr>
            <m:sty m:val="p"/>
          </m:rPr>
          <m:t>ln</m:t>
        </m:r>
        <m:sSubSup>
          <m:e>
            <m:r>
              <m:t>η</m:t>
            </m:r>
          </m:e>
          <m:sub>
            <m:r>
              <m:t>k</m:t>
            </m:r>
          </m:sub>
          <m:sup>
            <m:r>
              <m:rPr>
                <m:sty m:val="p"/>
              </m:rPr>
              <m:t>o</m:t>
            </m:r>
            <m:r>
              <m:rPr>
                <m:sty m:val="p"/>
              </m:rPr>
              <m:t>b</m:t>
            </m:r>
            <m:r>
              <m:rPr>
                <m:sty m:val="p"/>
              </m:rPr>
              <m:t>s</m:t>
            </m:r>
          </m:sup>
        </m:sSubSup>
      </m:oMath>
      <w:r>
        <w:rPr>
          <w:rFonts w:ascii="宋体" w:hAnsi="宋体" w:eastAsia="宋体"/>
          <w:sz w:val="24"/>
        </w:rPr>
        <w:t>为元素的列向量，</w:t>
      </w:r>
      <m:oMath>
        <m:sSub>
          <m:e>
            <m:acc>
              <m:accPr>
                <m:chr m:val="̂"/>
              </m:accPr>
              <m:e>
                <m:r>
                  <m:rPr>
                    <m:sty m:val="b"/>
                  </m:rPr>
                  <m:t>w</m:t>
                </m:r>
              </m:e>
            </m:acc>
          </m:e>
          <m:sub>
            <m:r>
              <m:rPr>
                <m:sty m:val="p"/>
              </m:rPr>
              <m:t>L</m:t>
            </m:r>
            <m:r>
              <m:rPr>
                <m:sty m:val="p"/>
              </m:rPr>
              <m:t>S</m:t>
            </m:r>
          </m:sub>
        </m:sSub>
      </m:oMath>
      <w:r>
        <w:rPr>
          <w:rFonts w:ascii="宋体" w:hAnsi="宋体" w:eastAsia="宋体"/>
          <w:sz w:val="24"/>
        </w:rPr>
        <w:t>为不施加约束的普通最小二乘解；第二项即约束偏离量沿</w:t>
      </w:r>
      <m:oMath>
        <m:sSup>
          <m:e>
            <m:d>
              <m:dPr>
                <m:begChr m:val="("/>
                <m:endChr m:val=")"/>
                <m:grow/>
              </m:dPr>
              <m:e>
                <m:sSup>
                  <m:e>
                    <m:r>
                      <m:rPr>
                        <m:sty m:val="b"/>
                      </m:rPr>
                      <m:t>Z</m:t>
                    </m:r>
                  </m:e>
                  <m:sup>
                    <m:r>
                      <m:rPr>
                        <m:sty m:val="p"/>
                      </m:rPr>
                      <m:t>′</m:t>
                    </m:r>
                  </m:sup>
                </m:sSup>
                <m:r>
                  <m:rPr>
                    <m:sty m:val="b"/>
                  </m:rPr>
                  <m:t>Z</m:t>
                </m:r>
              </m:e>
            </m:d>
          </m:e>
          <m:sup>
            <m:r>
              <m:rPr>
                <m:sty m:val="p"/>
              </m:rPr>
              <m:t>−</m:t>
            </m:r>
            <m:r>
              <m:t>1</m:t>
            </m:r>
          </m:sup>
        </m:sSup>
        <m:r>
          <m:rPr>
            <m:sty m:val="b"/>
          </m:rPr>
          <m:t>1</m:t>
        </m:r>
      </m:oMath>
      <w:r>
        <w:rPr>
          <w:rFonts w:ascii="宋体" w:hAnsi="宋体" w:eastAsia="宋体"/>
          <w:sz w:val="24"/>
        </w:rPr>
        <w:t>方向的投影修正。</w:t>
      </w:r>
    </w:p>
    <w:p>
      <w:pPr>
        <w:spacing w:line="360" w:lineRule="auto" w:after="0"/>
        <w:ind w:firstLineChars="200" w:firstLine="480"/>
        <w:jc w:val="both"/>
      </w:pPr>
      <w:r>
        <w:rPr>
          <w:rFonts w:ascii="宋体" w:hAnsi="宋体" w:eastAsia="宋体"/>
          <w:sz w:val="24"/>
        </w:rPr>
        <w:t>以1240个档位—任务—时点观测标定式(5-11)，得权重估计</w:t>
      </w:r>
      <m:oMath>
        <m:sSub>
          <m:e>
            <m:r>
              <m:t>w</m:t>
            </m:r>
          </m:e>
          <m:sub>
            <m:r>
              <m:t>P</m:t>
            </m:r>
          </m:sub>
        </m:sSub>
      </m:oMath>
      <w:r>
        <w:rPr>
          <w:rFonts w:ascii="宋体" w:hAnsi="宋体" w:eastAsia="宋体"/>
          <w:sz w:val="24"/>
        </w:rPr>
        <w:t>＝0.4383、</w:t>
      </w:r>
      <m:oMath>
        <m:sSub>
          <m:e>
            <m:r>
              <m:t>w</m:t>
            </m:r>
          </m:e>
          <m:sub>
            <m:r>
              <m:t>R</m:t>
            </m:r>
          </m:sub>
        </m:sSub>
      </m:oMath>
      <w:r>
        <w:rPr>
          <w:rFonts w:ascii="宋体" w:hAnsi="宋体" w:eastAsia="宋体"/>
          <w:sz w:val="24"/>
        </w:rPr>
        <w:t>＝0.2964、</w:t>
      </w:r>
      <m:oMath>
        <m:sSub>
          <m:e>
            <m:r>
              <m:t>w</m:t>
            </m:r>
          </m:e>
          <m:sub>
            <m:r>
              <m:t>S</m:t>
            </m:r>
          </m:sub>
        </m:sSub>
      </m:oMath>
      <w:r>
        <w:rPr>
          <w:rFonts w:ascii="宋体" w:hAnsi="宋体" w:eastAsia="宋体"/>
          <w:sz w:val="24"/>
        </w:rPr>
        <w:t>＝0.2653，三者之和为1；基准任务集实测效值的拟合优度</w:t>
      </w:r>
      <m:oMath>
        <m:sSup>
          <m:e>
            <m:r>
              <m:t>R</m:t>
            </m:r>
          </m:e>
          <m:sup>
            <m:r>
              <m:t>2</m:t>
            </m:r>
          </m:sup>
        </m:sSup>
      </m:oMath>
      <w:r>
        <w:rPr>
          <w:rFonts w:ascii="宋体" w:hAnsi="宋体" w:eastAsia="宋体"/>
          <w:sz w:val="24"/>
        </w:rPr>
        <w:t>＝0.9996，对数尺度</w:t>
      </w:r>
      <m:oMath>
        <m:sSup>
          <m:e>
            <m:r>
              <m:t>R</m:t>
            </m:r>
          </m:e>
          <m:sup>
            <m:r>
              <m:t>2</m:t>
            </m:r>
          </m:sup>
        </m:sSup>
      </m:oMath>
      <w:r>
        <w:rPr>
          <w:rFonts w:ascii="宋体" w:hAnsi="宋体" w:eastAsia="宋体"/>
          <w:sz w:val="24"/>
        </w:rPr>
        <w:t>＝0.9997，均方根误差为0.0261。权重结构本身就是一个值得解读的实证结果。</w:t>
      </w:r>
      <w:r>
        <w:rPr>
          <w:rFonts w:ascii="宋体" w:hAnsi="宋体" w:eastAsia="宋体"/>
          <w:b/>
          <w:sz w:val="24"/>
        </w:rPr>
        <w:t>算力强度的权重最高</w:t>
      </w:r>
      <w:r>
        <w:rPr>
          <w:rFonts w:ascii="宋体" w:hAnsi="宋体" w:eastAsia="宋体"/>
          <w:sz w:val="24"/>
        </w:rPr>
        <w:t>，接近全部权重的四成四，这与5.2.1节指出的「投入侧离散远大于产出侧离散」相互印证：在效值的跨档位差异中，资源耗费的贡献最大。</w:t>
      </w:r>
      <w:r>
        <w:rPr>
          <w:rFonts w:ascii="宋体" w:hAnsi="宋体" w:eastAsia="宋体"/>
          <w:b/>
          <w:sz w:val="24"/>
        </w:rPr>
        <w:t>推理质量与场景效用的权重相近</w:t>
      </w:r>
      <w:r>
        <w:rPr>
          <w:rFonts w:ascii="宋体" w:hAnsi="宋体" w:eastAsia="宋体"/>
          <w:sz w:val="24"/>
        </w:rPr>
        <w:t>，分别约占三成与二成七，二者合计超过五成六，说明效值并非成本的同义反复——若</w:t>
      </w:r>
      <m:oMath>
        <m:sSub>
          <m:e>
            <m:r>
              <m:t>w</m:t>
            </m:r>
          </m:e>
          <m:sub>
            <m:r>
              <m:t>P</m:t>
            </m:r>
          </m:sub>
        </m:sSub>
      </m:oMath>
      <w:r>
        <w:rPr>
          <w:rFonts w:ascii="宋体" w:hAnsi="宋体" w:eastAsia="宋体"/>
          <w:sz w:val="24"/>
        </w:rPr>
        <w:t>接近1，折算体系就退化为成本折算，标准词元将等同于「标准算力」，从而丧失作为价值单位的独立意义。</w:t>
      </w:r>
      <w:r>
        <w:rPr>
          <w:rFonts w:ascii="宋体" w:hAnsi="宋体" w:eastAsia="宋体"/>
          <w:b/>
          <w:sz w:val="24"/>
        </w:rPr>
        <w:t>三个权重都显著为正且量级相当</w:t>
      </w:r>
      <w:r>
        <w:rPr>
          <w:rFonts w:ascii="宋体" w:hAnsi="宋体" w:eastAsia="宋体"/>
          <w:sz w:val="24"/>
        </w:rPr>
        <w:t>，这为三维设定提供了直接支持：没有任何一维可以被删去而不显著恶化拟合。</w:t>
      </w:r>
    </w:p>
    <w:p>
      <w:pPr>
        <w:keepNext/>
        <w:spacing w:before="160" w:after="120" w:line="360" w:lineRule="auto"/>
        <w:outlineLvl w:val="2"/>
      </w:pPr>
      <w:r>
        <w:rPr>
          <w:rFonts w:ascii="黑体" w:hAnsi="黑体" w:eastAsia="黑体"/>
          <w:sz w:val="24"/>
        </w:rPr>
        <w:t>5.4.4  稳健性：不确定性传播、传递一致性与形式检验</w:t>
      </w:r>
    </w:p>
    <w:p>
      <w:pPr>
        <w:spacing w:line="360" w:lineRule="auto" w:after="0"/>
        <w:ind w:firstLineChars="200" w:firstLine="480"/>
        <w:jc w:val="both"/>
      </w:pPr>
      <w:r>
        <w:rPr>
          <w:rFonts w:ascii="宋体" w:hAnsi="宋体" w:eastAsia="宋体"/>
          <w:sz w:val="24"/>
        </w:rPr>
        <w:t>折算系数是后续各章的基础输入，其不确定性必须被明示而非被隐藏。由式(5-7)在对数尺度上的线性性，效值系数估计量的不确定性可由权重估计量的协方差矩阵直接传播：</w:t>
      </w:r>
    </w:p>
    <w:p>
      <w:pPr>
        <w:tabs>
          <w:tab w:pos="4252" w:val="center"/>
          <w:tab w:pos="8504" w:val="right"/>
        </w:tabs>
        <w:spacing w:line="360" w:lineRule="auto" w:before="80" w:after="80"/>
      </w:pPr>
      <w:r>
        <w:tab/>
      </w:r>
      <m:oMath>
        <m:r>
          <m:rPr>
            <m:sty m:val="p"/>
          </m:rPr>
          <m:t>V</m:t>
        </m:r>
        <m:r>
          <m:rPr>
            <m:sty m:val="p"/>
          </m:rPr>
          <m:t>a</m:t>
        </m:r>
        <m:r>
          <m:rPr>
            <m:sty m:val="p"/>
          </m:rPr>
          <m:t>r</m:t>
        </m:r>
        <m:d>
          <m:dPr>
            <m:begChr m:val="("/>
            <m:endChr m:val=")"/>
            <m:grow/>
          </m:dPr>
          <m:e>
            <m:r>
              <m:rPr>
                <m:sty m:val="p"/>
              </m:rPr>
              <m:t>ln</m:t>
            </m:r>
            <m:sSub>
              <m:e>
                <m:acc>
                  <m:accPr>
                    <m:chr m:val="̂"/>
                  </m:accPr>
                  <m:e>
                    <m:r>
                      <m:t>η</m:t>
                    </m:r>
                  </m:e>
                </m:acc>
              </m:e>
              <m:sub>
                <m:r>
                  <m:t>k</m:t>
                </m:r>
              </m:sub>
            </m:sSub>
          </m:e>
        </m:d>
        <m:r>
          <m:rPr>
            <m:sty m:val="p"/>
          </m:rPr>
          <m:t>=</m:t>
        </m:r>
        <m:sSubSup>
          <m:e>
            <m:r>
              <m:rPr>
                <m:sty m:val="b"/>
              </m:rPr>
              <m:t>z</m:t>
            </m:r>
          </m:e>
          <m:sub>
            <m:r>
              <m:t>k</m:t>
            </m:r>
          </m:sub>
          <m:sup>
            <m:r>
              <m:rPr>
                <m:sty m:val="p"/>
              </m:rPr>
              <m:t>′</m:t>
            </m:r>
          </m:sup>
        </m:sSubSup>
        <m:r>
          <m:t> </m:t>
        </m:r>
        <m:r>
          <m:rPr>
            <m:sty m:val="p"/>
          </m:rPr>
          <m:t>V</m:t>
        </m:r>
        <m:r>
          <m:rPr>
            <m:sty m:val="p"/>
          </m:rPr>
          <m:t>a</m:t>
        </m:r>
        <m:r>
          <m:rPr>
            <m:sty m:val="p"/>
          </m:rPr>
          <m:t>r</m:t>
        </m:r>
        <m:d>
          <m:dPr>
            <m:begChr m:val="("/>
            <m:endChr m:val=")"/>
            <m:grow/>
          </m:dPr>
          <m:e>
            <m:acc>
              <m:accPr>
                <m:chr m:val="̂"/>
              </m:accPr>
              <m:e>
                <m:r>
                  <m:rPr>
                    <m:sty m:val="b"/>
                  </m:rPr>
                  <m:t>w</m:t>
                </m:r>
              </m:e>
            </m:acc>
          </m:e>
        </m:d>
        <m:sSub>
          <m:e>
            <m:r>
              <m:rPr>
                <m:sty m:val="b"/>
              </m:rPr>
              <m:t>z</m:t>
            </m:r>
          </m:e>
          <m:sub>
            <m:r>
              <m:t>k</m:t>
            </m:r>
          </m:sub>
        </m:sSub>
        <m:r>
          <m:rPr>
            <m:sty m:val="p"/>
          </m:rPr>
          <m:t>,</m:t>
        </m:r>
        <m:r>
          <m:t>  </m:t>
        </m:r>
        <m:sSub>
          <m:e>
            <m:acc>
              <m:accPr>
                <m:chr m:val="̂"/>
              </m:accPr>
              <m:e>
                <m:r>
                  <m:t>η</m:t>
                </m:r>
              </m:e>
            </m:acc>
          </m:e>
          <m:sub>
            <m:r>
              <m:t>k</m:t>
            </m:r>
          </m:sub>
        </m:sSub>
        <m:r>
          <m:rPr>
            <m:sty m:val="p"/>
          </m:rPr>
          <m:t>exp</m:t>
        </m:r>
        <m:d>
          <m:dPr>
            <m:begChr m:val="{"/>
            <m:endChr m:val="}"/>
            <m:grow/>
          </m:dPr>
          <m:e>
            <m:r>
              <m:rPr>
                <m:sty m:val="p"/>
              </m:rPr>
              <m:t>±</m:t>
            </m:r>
            <m:sSub>
              <m:e>
                <m:r>
                  <m:t>z</m:t>
                </m:r>
              </m:e>
              <m:sub>
                <m:r>
                  <m:t>α</m:t>
                </m:r>
                <m:r>
                  <m:rPr>
                    <m:sty m:val="p"/>
                  </m:rPr>
                  <m:t>/</m:t>
                </m:r>
                <m:r>
                  <m:t>2</m:t>
                </m:r>
              </m:sub>
            </m:sSub>
            <m:rad>
              <m:radPr>
                <m:degHide m:val="on"/>
              </m:radPr>
              <m:deg/>
              <m:e>
                <m:sSubSup>
                  <m:e>
                    <m:r>
                      <m:rPr>
                        <m:sty m:val="b"/>
                      </m:rPr>
                      <m:t>z</m:t>
                    </m:r>
                  </m:e>
                  <m:sub>
                    <m:r>
                      <m:t>k</m:t>
                    </m:r>
                  </m:sub>
                  <m:sup>
                    <m:r>
                      <m:rPr>
                        <m:sty m:val="p"/>
                      </m:rPr>
                      <m:t>′</m:t>
                    </m:r>
                  </m:sup>
                </m:sSubSup>
                <m:r>
                  <m:t> </m:t>
                </m:r>
                <m:r>
                  <m:rPr>
                    <m:sty m:val="p"/>
                  </m:rPr>
                  <m:t>V</m:t>
                </m:r>
                <m:r>
                  <m:rPr>
                    <m:sty m:val="p"/>
                  </m:rPr>
                  <m:t>a</m:t>
                </m:r>
                <m:r>
                  <m:rPr>
                    <m:sty m:val="p"/>
                  </m:rPr>
                  <m:t>r</m:t>
                </m:r>
                <m:d>
                  <m:dPr>
                    <m:begChr m:val="("/>
                    <m:endChr m:val=")"/>
                    <m:grow/>
                  </m:dPr>
                  <m:e>
                    <m:acc>
                      <m:accPr>
                        <m:chr m:val="̂"/>
                      </m:accPr>
                      <m:e>
                        <m:r>
                          <m:rPr>
                            <m:sty m:val="b"/>
                          </m:rPr>
                          <m:t>w</m:t>
                        </m:r>
                      </m:e>
                    </m:acc>
                  </m:e>
                </m:d>
                <m:sSub>
                  <m:e>
                    <m:r>
                      <m:rPr>
                        <m:sty m:val="b"/>
                      </m:rPr>
                      <m:t>z</m:t>
                    </m:r>
                  </m:e>
                  <m:sub>
                    <m:r>
                      <m:t>k</m:t>
                    </m:r>
                  </m:sub>
                </m:sSub>
              </m:e>
            </m:rad>
          </m:e>
        </m:d>
      </m:oMath>
      <w:r>
        <w:tab/>
      </w:r>
      <w:r>
        <w:rPr>
          <w:rFonts w:ascii="Times New Roman" w:hAnsi="Times New Roman" w:eastAsia="宋体"/>
          <w:sz w:val="24"/>
        </w:rPr>
        <w:t>(5-13)</w:t>
      </w:r>
    </w:p>
    <w:p>
      <w:pPr>
        <w:spacing w:line="360" w:lineRule="auto" w:after="0"/>
        <w:jc w:val="both"/>
      </w:pPr>
      <w:r>
        <w:rPr>
          <w:rFonts w:ascii="宋体" w:hAnsi="宋体" w:eastAsia="宋体"/>
          <w:sz w:val="24"/>
        </w:rPr>
        <w:t>其中，</w:t>
      </w:r>
      <m:oMath>
        <m:r>
          <m:rPr>
            <m:sty m:val="p"/>
          </m:rPr>
          <m:t>V</m:t>
        </m:r>
        <m:r>
          <m:rPr>
            <m:sty m:val="p"/>
          </m:rPr>
          <m:t>a</m:t>
        </m:r>
        <m:r>
          <m:rPr>
            <m:sty m:val="p"/>
          </m:rPr>
          <m:t>r</m:t>
        </m:r>
        <m:d>
          <m:dPr>
            <m:begChr m:val="("/>
            <m:endChr m:val=")"/>
            <m:grow/>
          </m:dPr>
          <m:e>
            <m:acc>
              <m:accPr>
                <m:chr m:val="̂"/>
              </m:accPr>
              <m:e>
                <m:r>
                  <m:rPr>
                    <m:sty m:val="b"/>
                  </m:rPr>
                  <m:t>w</m:t>
                </m:r>
              </m:e>
            </m:acc>
          </m:e>
        </m:d>
      </m:oMath>
      <w:r>
        <w:rPr>
          <w:rFonts w:ascii="宋体" w:hAnsi="宋体" w:eastAsia="宋体"/>
          <w:sz w:val="24"/>
        </w:rPr>
        <w:t>为约束最小二乘估计量的协方差矩阵，</w:t>
      </w:r>
      <m:oMath>
        <m:sSub>
          <m:e>
            <m:r>
              <m:t>z</m:t>
            </m:r>
          </m:e>
          <m:sub>
            <m:r>
              <m:t>α</m:t>
            </m:r>
            <m:r>
              <m:rPr>
                <m:sty m:val="p"/>
              </m:rPr>
              <m:t>/</m:t>
            </m:r>
            <m:r>
              <m:t>2</m:t>
            </m:r>
          </m:sub>
        </m:sSub>
      </m:oMath>
      <w:r>
        <w:rPr>
          <w:rFonts w:ascii="宋体" w:hAnsi="宋体" w:eastAsia="宋体"/>
          <w:sz w:val="24"/>
        </w:rPr>
        <w:t>为标准正态分布的分位数；第二式为效值系数的对数正态型置信区间。</w:t>
      </w:r>
    </w:p>
    <w:p>
      <w:pPr>
        <w:spacing w:line="360" w:lineRule="auto" w:after="0"/>
        <w:ind w:firstLineChars="200" w:firstLine="480"/>
        <w:jc w:val="both"/>
      </w:pPr>
      <w:r>
        <w:rPr>
          <w:rFonts w:ascii="宋体" w:hAnsi="宋体" w:eastAsia="宋体"/>
          <w:sz w:val="24"/>
        </w:rPr>
        <w:t>式(5-13)有一个直观而重要的含义：</w:t>
      </w:r>
      <w:r>
        <w:rPr>
          <w:rFonts w:ascii="宋体" w:hAnsi="宋体" w:eastAsia="宋体"/>
          <w:b/>
          <w:sz w:val="24"/>
        </w:rPr>
        <w:t>效值系数的不确定性随档位偏离基准的程度而放大</w:t>
      </w:r>
      <w:r>
        <w:rPr>
          <w:rFonts w:ascii="宋体" w:hAnsi="宋体" w:eastAsia="宋体"/>
          <w:sz w:val="24"/>
        </w:rPr>
        <w:t>。</w:t>
      </w:r>
      <m:oMath>
        <m:sSub>
          <m:e>
            <m:r>
              <m:rPr>
                <m:sty m:val="b"/>
              </m:rPr>
              <m:t>z</m:t>
            </m:r>
          </m:e>
          <m:sub>
            <m:r>
              <m:t>k</m:t>
            </m:r>
          </m:sub>
        </m:sSub>
      </m:oMath>
      <w:r>
        <w:rPr>
          <w:rFonts w:ascii="宋体" w:hAnsi="宋体" w:eastAsia="宋体"/>
          <w:sz w:val="24"/>
        </w:rPr>
        <w:t>是档位</w:t>
      </w:r>
      <m:oMath>
        <m:r>
          <m:t>k</m:t>
        </m:r>
      </m:oMath>
      <w:r>
        <w:rPr>
          <w:rFonts w:ascii="宋体" w:hAnsi="宋体" w:eastAsia="宋体"/>
          <w:sz w:val="24"/>
        </w:rPr>
        <w:t>的三维对数效值向量，档位越偏离基准，</w:t>
      </w:r>
      <m:oMath>
        <m:sSub>
          <m:e>
            <m:r>
              <m:rPr>
                <m:sty m:val="b"/>
              </m:rPr>
              <m:t>z</m:t>
            </m:r>
          </m:e>
          <m:sub>
            <m:r>
              <m:t>k</m:t>
            </m:r>
          </m:sub>
        </m:sSub>
      </m:oMath>
      <w:r>
        <w:rPr>
          <w:rFonts w:ascii="宋体" w:hAnsi="宋体" w:eastAsia="宋体"/>
          <w:sz w:val="24"/>
        </w:rPr>
        <w:t>的范数越大，方差也越大。这意味着基准附近的折算最为可靠，而对两端档位——尤其是推理增强级与轻量蒸馏级——的折算需要更审慎地报告区间。这一性质并非本折算体系的缺陷，而是所有当量体系的共性：外推总是比内插更不确定。它对实务的启示是，若某地区的词元结构高度集中于极端档位，其标准词元总量的置信区间应当相应放宽。</w:t>
      </w:r>
    </w:p>
    <w:p>
      <w:pPr>
        <w:spacing w:line="360" w:lineRule="auto" w:after="0"/>
        <w:ind w:firstLineChars="200" w:firstLine="480"/>
        <w:jc w:val="both"/>
      </w:pPr>
      <w:r>
        <w:rPr>
          <w:rFonts w:ascii="宋体" w:hAnsi="宋体" w:eastAsia="宋体"/>
          <w:sz w:val="24"/>
        </w:rPr>
        <w:t>除不确定性传播外，本书还实施了四项稳健性检验。</w:t>
      </w:r>
      <w:r>
        <w:rPr>
          <w:rFonts w:ascii="宋体" w:hAnsi="宋体" w:eastAsia="宋体"/>
          <w:b/>
          <w:sz w:val="24"/>
        </w:rPr>
        <w:t>检验一是传递一致性的数值验证。</w:t>
      </w:r>
      <w:r>
        <w:rPr>
          <w:rFonts w:ascii="宋体" w:hAnsi="宋体" w:eastAsia="宋体"/>
          <w:sz w:val="24"/>
        </w:rPr>
        <w:t>链式折算与直接折算之差在幂积形式下为机器精度量级（判据的形式定义见5.5.2节），本书实测的最大传递误差不超过</w:t>
      </w:r>
      <m:oMath>
        <m:sSup>
          <m:e>
            <m:r>
              <m:t>10</m:t>
            </m:r>
          </m:e>
          <m:sup>
            <m:r>
              <m:rPr>
                <m:sty m:val="p"/>
              </m:rPr>
              <m:t>−</m:t>
            </m:r>
            <m:r>
              <m:t>14</m:t>
            </m:r>
          </m:sup>
        </m:sSup>
      </m:oMath>
      <w:r>
        <w:rPr>
          <w:rFonts w:ascii="宋体" w:hAnsi="宋体" w:eastAsia="宋体"/>
          <w:sz w:val="24"/>
        </w:rPr>
        <w:t>量级，可加性与传递性同时成立。这一结果是形式推论的必然结果，报告它的意义在于确认数值实现无误。</w:t>
      </w:r>
      <w:r>
        <w:rPr>
          <w:rFonts w:ascii="宋体" w:hAnsi="宋体" w:eastAsia="宋体"/>
          <w:b/>
          <w:sz w:val="24"/>
        </w:rPr>
        <w:t>检验二是函数形式的放宽检验</w:t>
      </w:r>
      <w:r>
        <w:rPr>
          <w:rFonts w:ascii="宋体" w:hAnsi="宋体" w:eastAsia="宋体"/>
          <w:sz w:val="24"/>
        </w:rPr>
        <w:t>，即5.3.3节报告的CES标定，</w:t>
      </w:r>
      <m:oMath>
        <m:acc>
          <m:accPr>
            <m:chr m:val="̂"/>
          </m:accPr>
          <m:e>
            <m:r>
              <m:t>ρ</m:t>
            </m:r>
          </m:e>
        </m:acc>
      </m:oMath>
      <w:r>
        <w:rPr>
          <w:rFonts w:ascii="宋体" w:hAnsi="宋体" w:eastAsia="宋体"/>
          <w:sz w:val="24"/>
        </w:rPr>
        <w:t>＝0.0794无法拒绝零假设。</w:t>
      </w:r>
      <w:r>
        <w:rPr>
          <w:rFonts w:ascii="宋体" w:hAnsi="宋体" w:eastAsia="宋体"/>
          <w:b/>
          <w:sz w:val="24"/>
        </w:rPr>
        <w:t>检验三是基准更换检验。</w:t>
      </w:r>
      <w:r>
        <w:rPr>
          <w:rFonts w:ascii="宋体" w:hAnsi="宋体" w:eastAsia="宋体"/>
          <w:sz w:val="24"/>
        </w:rPr>
        <w:t>分别以开源旗舰级与轻量蒸馏级为基准重新标定，全部效值系数按同一比例缩放，权重估计与相对结构保持不变，验证了基准无关性。</w:t>
      </w:r>
      <w:r>
        <w:rPr>
          <w:rFonts w:ascii="宋体" w:hAnsi="宋体" w:eastAsia="宋体"/>
          <w:b/>
          <w:sz w:val="24"/>
        </w:rPr>
        <w:t>检验四是口径扰动检验。</w:t>
      </w:r>
      <w:r>
        <w:rPr>
          <w:rFonts w:ascii="宋体" w:hAnsi="宋体" w:eastAsia="宋体"/>
          <w:sz w:val="24"/>
        </w:rPr>
        <w:t>将质量门槛</w:t>
      </w:r>
      <m:oMath>
        <m:sSub>
          <m:e>
            <m:acc>
              <m:accPr>
                <m:chr m:val="‾"/>
              </m:accPr>
              <m:e>
                <m:r>
                  <m:t>q</m:t>
                </m:r>
              </m:e>
            </m:acc>
          </m:e>
          <m:sub>
            <m:r>
              <m:t>j</m:t>
            </m:r>
          </m:sub>
        </m:sSub>
      </m:oMath>
      <w:r>
        <w:rPr>
          <w:rFonts w:ascii="宋体" w:hAnsi="宋体" w:eastAsia="宋体"/>
          <w:sz w:val="24"/>
        </w:rPr>
        <w:t>上下浮动、将场景可占有系数</w:t>
      </w:r>
      <m:oMath>
        <m:sSub>
          <m:e>
            <m:r>
              <m:t>κ</m:t>
            </m:r>
          </m:e>
          <m:sub>
            <m:r>
              <m:t>j</m:t>
            </m:r>
          </m:sub>
        </m:sSub>
      </m:oMath>
      <w:r>
        <w:rPr>
          <w:rFonts w:ascii="宋体" w:hAnsi="宋体" w:eastAsia="宋体"/>
          <w:sz w:val="24"/>
        </w:rPr>
        <w:t>在合理区间内变动、将基准任务集按场景重抽样，权重估计的变动均未改变三维权重的排序与量级。四项检验共同支持一个判断：折算体系的核心结论不依赖于任何单一的口径选择。幂积拟合值与实测效值的最大相对误差为2.9%、平均相对误差为1.0%，其量级与实测效值本身的测量误差相当。</w:t>
      </w:r>
    </w:p>
    <w:p>
      <w:pPr>
        <w:keepNext/>
        <w:spacing w:before="160" w:after="120" w:line="360" w:lineRule="auto"/>
        <w:outlineLvl w:val="1"/>
      </w:pPr>
      <w:r>
        <w:rPr>
          <w:rFonts w:ascii="黑体" w:hAnsi="黑体" w:eastAsia="黑体"/>
          <w:sz w:val="28"/>
        </w:rPr>
        <w:t>5.5  标准词元指数的构建与六档位效值测算</w:t>
      </w:r>
    </w:p>
    <w:p>
      <w:pPr>
        <w:keepNext/>
        <w:spacing w:before="160" w:after="120" w:line="360" w:lineRule="auto"/>
        <w:outlineLvl w:val="2"/>
      </w:pPr>
      <w:r>
        <w:rPr>
          <w:rFonts w:ascii="黑体" w:hAnsi="黑体" w:eastAsia="黑体"/>
          <w:sz w:val="24"/>
        </w:rPr>
        <w:t>5.5.1  三维效值与合成效值系数</w:t>
      </w:r>
    </w:p>
    <w:p>
      <w:pPr>
        <w:spacing w:line="360" w:lineRule="auto" w:after="0"/>
        <w:ind w:firstLineChars="200" w:firstLine="480"/>
        <w:jc w:val="both"/>
      </w:pPr>
      <w:r>
        <w:rPr>
          <w:rFonts w:ascii="宋体" w:hAnsi="宋体" w:eastAsia="宋体"/>
          <w:sz w:val="24"/>
        </w:rPr>
        <w:t>按5.2节的口径测度三维效值、按5.4节的方法标定权重，即可得到六个档位的合成效值系数。六档位在三个维度上的取值与合成结果如图5.2所示。</w:t>
      </w:r>
    </w:p>
    <w:p>
      <w:pPr>
        <w:spacing w:before="120" w:after="40"/>
        <w:jc w:val="center"/>
      </w:pPr>
      <w:r>
        <w:drawing>
          <wp:inline xmlns:a="http://schemas.openxmlformats.org/drawingml/2006/main" xmlns:pic="http://schemas.openxmlformats.org/drawingml/2006/picture">
            <wp:extent cx="4860000" cy="2828092"/>
            <wp:docPr id="14" name="Picture 14"/>
            <wp:cNvGraphicFramePr>
              <a:graphicFrameLocks noChangeAspect="1"/>
            </wp:cNvGraphicFramePr>
            <a:graphic>
              <a:graphicData uri="http://schemas.openxmlformats.org/drawingml/2006/picture">
                <pic:pic>
                  <pic:nvPicPr>
                    <pic:cNvPr id="0" name="fig5_2.png"/>
                    <pic:cNvPicPr/>
                  </pic:nvPicPr>
                  <pic:blipFill>
                    <a:blip r:embed="rId22"/>
                    <a:stretch>
                      <a:fillRect/>
                    </a:stretch>
                  </pic:blipFill>
                  <pic:spPr>
                    <a:xfrm>
                      <a:off x="0" y="0"/>
                      <a:ext cx="4860000" cy="2828092"/>
                    </a:xfrm>
                    <a:prstGeom prst="rect"/>
                  </pic:spPr>
                </pic:pic>
              </a:graphicData>
            </a:graphic>
          </wp:inline>
        </w:drawing>
      </w:r>
    </w:p>
    <w:p>
      <w:pPr>
        <w:keepNext w:val="0"/>
        <w:spacing w:after="40"/>
        <w:jc w:val="center"/>
      </w:pPr>
      <w:r>
        <w:rPr>
          <w:rFonts w:ascii="黑体" w:hAnsi="黑体" w:eastAsia="黑体"/>
          <w:sz w:val="21"/>
        </w:rPr>
        <w:t>图5.2  六档位模型的三维效值与合成效值系数</w:t>
      </w:r>
    </w:p>
    <w:p>
      <w:pPr>
        <w:spacing w:after="200" w:line="240" w:lineRule="auto"/>
        <w:jc w:val="both"/>
      </w:pPr>
      <w:r>
        <w:rPr>
          <w:rFonts w:ascii="宋体" w:hAnsi="宋体" w:eastAsia="宋体"/>
          <w:sz w:val="18"/>
        </w:rPr>
        <w:t>注：左轴为三维效值</w:t>
      </w:r>
      <m:oMath>
        <m:r>
          <m:t>P</m:t>
        </m:r>
      </m:oMath>
      <w:r>
        <w:rPr>
          <w:rFonts w:ascii="宋体" w:hAnsi="宋体" w:eastAsia="宋体"/>
          <w:sz w:val="18"/>
        </w:rPr>
        <w:t>、</w:t>
      </w:r>
      <m:oMath>
        <m:r>
          <m:t>R</m:t>
        </m:r>
      </m:oMath>
      <w:r>
        <w:rPr>
          <w:rFonts w:ascii="宋体" w:hAnsi="宋体" w:eastAsia="宋体"/>
          <w:sz w:val="18"/>
        </w:rPr>
        <w:t>、</w:t>
      </w:r>
      <m:oMath>
        <m:r>
          <m:t>S</m:t>
        </m:r>
      </m:oMath>
      <w:r>
        <w:rPr>
          <w:rFonts w:ascii="宋体" w:hAnsi="宋体" w:eastAsia="宋体"/>
          <w:sz w:val="18"/>
        </w:rPr>
        <w:t>，右轴为合成效值系数</w:t>
      </w:r>
      <m:oMath>
        <m:r>
          <m:t>η</m:t>
        </m:r>
      </m:oMath>
      <w:r>
        <w:rPr>
          <w:rFonts w:ascii="宋体" w:hAnsi="宋体" w:eastAsia="宋体"/>
          <w:sz w:val="18"/>
        </w:rPr>
        <w:t>，四者均以中型通用级在基准任务集上的词元为基准归一（≡1）；档位系为避免挂靠具体商业产品而设的抽象分类。数据来源：作者依基准任务集校准复算。</w:t>
      </w:r>
    </w:p>
    <w:p>
      <w:pPr>
        <w:spacing w:line="360" w:lineRule="auto" w:after="0"/>
        <w:ind w:firstLineChars="200" w:firstLine="480"/>
        <w:jc w:val="both"/>
      </w:pPr>
      <w:r>
        <w:rPr>
          <w:rFonts w:ascii="宋体" w:hAnsi="宋体" w:eastAsia="宋体"/>
          <w:sz w:val="24"/>
        </w:rPr>
        <w:t>图5.2呈现的结构有三点值得解读。</w:t>
      </w:r>
      <w:r>
        <w:rPr>
          <w:rFonts w:ascii="宋体" w:hAnsi="宋体" w:eastAsia="宋体"/>
          <w:b/>
          <w:sz w:val="24"/>
        </w:rPr>
        <w:t>第一，三条柱的高度差异随档位系统性扩大。</w:t>
      </w:r>
      <w:r>
        <w:rPr>
          <w:rFonts w:ascii="宋体" w:hAnsi="宋体" w:eastAsia="宋体"/>
          <w:sz w:val="24"/>
        </w:rPr>
        <w:t>在轻量蒸馏级一侧，三维取值都低于基准且彼此接近；随着档位上升，算力强度的柱高迅速拉开，推理质量次之，场景效用最为平缓。到推理增强级，算力强度已达基准的8.4倍，而推理质量仅为3.1倍、场景效用1.9倍。</w:t>
      </w:r>
      <w:r>
        <w:rPr>
          <w:rFonts w:ascii="宋体" w:hAnsi="宋体" w:eastAsia="宋体"/>
          <w:b/>
          <w:sz w:val="24"/>
        </w:rPr>
        <w:t>第二，合成效值系数的折线位于三条柱之间且更接近产出侧。</w:t>
      </w:r>
      <w:r>
        <w:rPr>
          <w:rFonts w:ascii="宋体" w:hAnsi="宋体" w:eastAsia="宋体"/>
          <w:sz w:val="24"/>
        </w:rPr>
        <w:t>推理增强级的效值系数为4.28，远低于其算力强度8.4——这是权重结构与幂积形式共同作用的结果：幂积（几何平均）相对于算术平均更能抑制单一维度的极端值，从而避免把「算力堆叠」直接等同于「价值创造」。</w:t>
      </w:r>
      <w:r>
        <w:rPr>
          <w:rFonts w:ascii="宋体" w:hAnsi="宋体" w:eastAsia="宋体"/>
          <w:b/>
          <w:sz w:val="24"/>
        </w:rPr>
        <w:t>第三，多模态级的位置颇具特色。</w:t>
      </w:r>
      <w:r>
        <w:rPr>
          <w:rFonts w:ascii="宋体" w:hAnsi="宋体" w:eastAsia="宋体"/>
          <w:sz w:val="24"/>
        </w:rPr>
        <w:t>其算力强度与推理质量均低于旗舰闭源级（3.70对4.80、1.88对2.35），场景效用却是六档位中最高的（2.15），合成效值系数因而达到2.62，相当于旗舰闭源级的89%——远高于其算力强度之比（77%）所暗示的水平。这一「以场景取胜」的形态说明，效值折算体系确实能够识别出与算力规模不同步的价值来源，而这正是三维设定相对于单维成本折算的增量所在。</w:t>
      </w:r>
    </w:p>
    <w:p>
      <w:pPr>
        <w:spacing w:line="360" w:lineRule="auto" w:after="0"/>
        <w:ind w:firstLineChars="200" w:firstLine="480"/>
        <w:jc w:val="both"/>
      </w:pPr>
      <w:r>
        <w:rPr>
          <w:rFonts w:ascii="宋体" w:hAnsi="宋体" w:eastAsia="宋体"/>
          <w:sz w:val="24"/>
        </w:rPr>
        <w:t>六档位效值测算的完整结果，连同幂积拟合值、CES拟合值、市场单价与折算后单价，汇总于表5.2。</w:t>
      </w:r>
    </w:p>
    <w:p>
      <w:pPr>
        <w:keepNext/>
        <w:spacing w:before="160" w:after="40"/>
        <w:jc w:val="center"/>
      </w:pPr>
      <w:r>
        <w:rPr>
          <w:rFonts w:ascii="黑体" w:hAnsi="黑体" w:eastAsia="黑体"/>
          <w:sz w:val="21"/>
        </w:rPr>
        <w:t>表5.2  六档位模型的三维效值、实测效值与折算结果（2026年第二季度）</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773"/>
        <w:gridCol w:w="773"/>
        <w:gridCol w:w="773"/>
        <w:gridCol w:w="773"/>
        <w:gridCol w:w="773"/>
        <w:gridCol w:w="773"/>
        <w:gridCol w:w="773"/>
        <w:gridCol w:w="773"/>
        <w:gridCol w:w="773"/>
        <w:gridCol w:w="773"/>
        <w:gridCol w:w="773"/>
      </w:tblGrid>
      <w:tr>
        <w:tc>
          <w:tcPr>
            <w:tcW w:type="dxa" w:w="773"/>
            <w:tcBorders>
              <w:bottom w:val="single" w:sz="6" w:color="000000"/>
            </w:tcBorders>
            <w:vAlign w:val="center"/>
          </w:tcPr>
          <w:p>
            <w:pPr>
              <w:spacing w:line="240" w:lineRule="auto" w:after="20" w:before="20"/>
              <w:jc w:val="center"/>
            </w:pPr>
            <w:r/>
            <w:r>
              <w:rPr>
                <w:rFonts w:ascii="宋体" w:hAnsi="宋体" w:eastAsia="宋体"/>
                <w:b/>
                <w:sz w:val="21"/>
              </w:rPr>
              <w:t>模型档位</w:t>
            </w:r>
          </w:p>
        </w:tc>
        <w:tc>
          <w:tcPr>
            <w:tcW w:type="dxa" w:w="773"/>
            <w:tcBorders>
              <w:bottom w:val="single" w:sz="6" w:color="000000"/>
            </w:tcBorders>
            <w:vAlign w:val="center"/>
          </w:tcPr>
          <w:p>
            <w:pPr>
              <w:spacing w:line="240" w:lineRule="auto" w:after="20" w:before="20"/>
              <w:jc w:val="center"/>
            </w:pPr>
            <w:r/>
            <w:r>
              <w:rPr>
                <w:rFonts w:ascii="宋体" w:hAnsi="宋体" w:eastAsia="宋体"/>
                <w:b/>
                <w:sz w:val="21"/>
              </w:rPr>
              <w:t>P</w:t>
            </w:r>
          </w:p>
        </w:tc>
        <w:tc>
          <w:tcPr>
            <w:tcW w:type="dxa" w:w="773"/>
            <w:tcBorders>
              <w:bottom w:val="single" w:sz="6" w:color="000000"/>
            </w:tcBorders>
            <w:vAlign w:val="center"/>
          </w:tcPr>
          <w:p>
            <w:pPr>
              <w:spacing w:line="240" w:lineRule="auto" w:after="20" w:before="20"/>
              <w:jc w:val="center"/>
            </w:pPr>
            <w:r/>
            <w:r>
              <w:rPr>
                <w:rFonts w:ascii="宋体" w:hAnsi="宋体" w:eastAsia="宋体"/>
                <w:b/>
                <w:sz w:val="21"/>
              </w:rPr>
              <w:t>R</w:t>
            </w:r>
          </w:p>
        </w:tc>
        <w:tc>
          <w:tcPr>
            <w:tcW w:type="dxa" w:w="773"/>
            <w:tcBorders>
              <w:bottom w:val="single" w:sz="6" w:color="000000"/>
            </w:tcBorders>
            <w:vAlign w:val="center"/>
          </w:tcPr>
          <w:p>
            <w:pPr>
              <w:spacing w:line="240" w:lineRule="auto" w:after="20" w:before="20"/>
              <w:jc w:val="center"/>
            </w:pPr>
            <w:r/>
            <w:r>
              <w:rPr>
                <w:rFonts w:ascii="宋体" w:hAnsi="宋体" w:eastAsia="宋体"/>
                <w:b/>
                <w:sz w:val="21"/>
              </w:rPr>
              <w:t>S</w:t>
            </w:r>
          </w:p>
        </w:tc>
        <w:tc>
          <w:tcPr>
            <w:tcW w:type="dxa" w:w="773"/>
            <w:tcBorders>
              <w:bottom w:val="single" w:sz="6" w:color="000000"/>
            </w:tcBorders>
            <w:vAlign w:val="center"/>
          </w:tcPr>
          <w:p>
            <w:pPr>
              <w:spacing w:line="240" w:lineRule="auto" w:after="20" w:before="20"/>
              <w:jc w:val="center"/>
            </w:pPr>
            <w:r/>
            <w:r>
              <w:rPr>
                <w:rFonts w:ascii="宋体" w:hAnsi="宋体" w:eastAsia="宋体"/>
                <w:b/>
                <w:sz w:val="21"/>
              </w:rPr>
              <w:t>实测效值 η</w:t>
            </w:r>
          </w:p>
        </w:tc>
        <w:tc>
          <w:tcPr>
            <w:tcW w:type="dxa" w:w="773"/>
            <w:tcBorders>
              <w:bottom w:val="single" w:sz="6" w:color="000000"/>
            </w:tcBorders>
            <w:vAlign w:val="center"/>
          </w:tcPr>
          <w:p>
            <w:pPr>
              <w:spacing w:line="240" w:lineRule="auto" w:after="20" w:before="20"/>
              <w:jc w:val="center"/>
            </w:pPr>
            <w:r/>
            <w:r>
              <w:rPr>
                <w:rFonts w:ascii="宋体" w:hAnsi="宋体" w:eastAsia="宋体"/>
                <w:b/>
                <w:sz w:val="21"/>
              </w:rPr>
              <w:t>幂积拟合值</w:t>
            </w:r>
          </w:p>
        </w:tc>
        <w:tc>
          <w:tcPr>
            <w:tcW w:type="dxa" w:w="773"/>
            <w:tcBorders>
              <w:bottom w:val="single" w:sz="6" w:color="000000"/>
            </w:tcBorders>
            <w:vAlign w:val="center"/>
          </w:tcPr>
          <w:p>
            <w:pPr>
              <w:spacing w:line="240" w:lineRule="auto" w:after="20" w:before="20"/>
              <w:jc w:val="center"/>
            </w:pPr>
            <w:r/>
            <w:r>
              <w:rPr>
                <w:rFonts w:ascii="宋体" w:hAnsi="宋体" w:eastAsia="宋体"/>
                <w:b/>
                <w:sz w:val="21"/>
              </w:rPr>
              <w:t>CES拟合值</w:t>
            </w:r>
          </w:p>
        </w:tc>
        <w:tc>
          <w:tcPr>
            <w:tcW w:type="dxa" w:w="773"/>
            <w:tcBorders>
              <w:bottom w:val="single" w:sz="6" w:color="000000"/>
            </w:tcBorders>
            <w:vAlign w:val="center"/>
          </w:tcPr>
          <w:p>
            <w:pPr>
              <w:spacing w:line="240" w:lineRule="auto" w:after="20" w:before="20"/>
              <w:jc w:val="center"/>
            </w:pPr>
            <w:r/>
            <w:r>
              <w:rPr>
                <w:rFonts w:ascii="宋体" w:hAnsi="宋体" w:eastAsia="宋体"/>
                <w:b/>
                <w:sz w:val="21"/>
              </w:rPr>
              <w:t>相对误差（%）</w:t>
            </w:r>
          </w:p>
        </w:tc>
        <w:tc>
          <w:tcPr>
            <w:tcW w:type="dxa" w:w="773"/>
            <w:tcBorders>
              <w:bottom w:val="single" w:sz="6" w:color="000000"/>
            </w:tcBorders>
            <w:vAlign w:val="center"/>
          </w:tcPr>
          <w:p>
            <w:pPr>
              <w:spacing w:line="240" w:lineRule="auto" w:after="20" w:before="20"/>
              <w:jc w:val="center"/>
            </w:pPr>
            <w:r/>
            <w:r>
              <w:rPr>
                <w:rFonts w:ascii="宋体" w:hAnsi="宋体" w:eastAsia="宋体"/>
                <w:b/>
                <w:sz w:val="21"/>
              </w:rPr>
              <w:t>市场单价（元／百万物理词元）</w:t>
            </w:r>
          </w:p>
        </w:tc>
        <w:tc>
          <w:tcPr>
            <w:tcW w:type="dxa" w:w="773"/>
            <w:tcBorders>
              <w:bottom w:val="single" w:sz="6" w:color="000000"/>
            </w:tcBorders>
            <w:vAlign w:val="center"/>
          </w:tcPr>
          <w:p>
            <w:pPr>
              <w:spacing w:line="240" w:lineRule="auto" w:after="20" w:before="20"/>
              <w:jc w:val="center"/>
            </w:pPr>
            <w:r/>
            <w:r>
              <w:rPr>
                <w:rFonts w:ascii="宋体" w:hAnsi="宋体" w:eastAsia="宋体"/>
                <w:b/>
                <w:sz w:val="21"/>
              </w:rPr>
              <w:t>标准词元单价（元／百万STE）</w:t>
            </w:r>
          </w:p>
        </w:tc>
        <w:tc>
          <w:tcPr>
            <w:tcW w:type="dxa" w:w="773"/>
            <w:tcBorders>
              <w:bottom w:val="single" w:sz="6" w:color="000000"/>
            </w:tcBorders>
            <w:vAlign w:val="center"/>
          </w:tcPr>
          <w:p>
            <w:pPr>
              <w:spacing w:line="240" w:lineRule="auto" w:after="20" w:before="20"/>
              <w:jc w:val="center"/>
            </w:pPr>
            <w:r/>
            <w:r>
              <w:rPr>
                <w:rFonts w:ascii="宋体" w:hAnsi="宋体" w:eastAsia="宋体"/>
                <w:b/>
                <w:sz w:val="21"/>
              </w:rPr>
              <w:t>转化效率 θ（万STE／PFLOPS·h）</w:t>
            </w:r>
          </w:p>
        </w:tc>
      </w:tr>
      <w:tr>
        <w:tc>
          <w:tcPr>
            <w:tcW w:type="dxa" w:w="773"/>
            <w:vAlign w:val="center"/>
          </w:tcPr>
          <w:p>
            <w:pPr>
              <w:spacing w:line="240" w:lineRule="auto" w:after="20" w:before="20"/>
              <w:jc w:val="left"/>
            </w:pPr>
            <w:r/>
            <w:r>
              <w:rPr>
                <w:rFonts w:ascii="宋体" w:hAnsi="宋体" w:eastAsia="宋体"/>
                <w:sz w:val="21"/>
              </w:rPr>
              <w:t>轻量蒸馏级</w:t>
            </w:r>
          </w:p>
        </w:tc>
        <w:tc>
          <w:tcPr>
            <w:tcW w:type="dxa" w:w="773"/>
            <w:vAlign w:val="center"/>
          </w:tcPr>
          <w:p>
            <w:pPr>
              <w:spacing w:line="240" w:lineRule="auto" w:after="20" w:before="20"/>
              <w:jc w:val="center"/>
            </w:pPr>
            <w:r/>
            <w:r>
              <w:rPr>
                <w:rFonts w:ascii="宋体" w:hAnsi="宋体" w:eastAsia="宋体"/>
                <w:sz w:val="21"/>
              </w:rPr>
              <w:t>0.22</w:t>
            </w:r>
          </w:p>
        </w:tc>
        <w:tc>
          <w:tcPr>
            <w:tcW w:type="dxa" w:w="773"/>
            <w:vAlign w:val="center"/>
          </w:tcPr>
          <w:p>
            <w:pPr>
              <w:spacing w:line="240" w:lineRule="auto" w:after="20" w:before="20"/>
              <w:jc w:val="center"/>
            </w:pPr>
            <w:r/>
            <w:r>
              <w:rPr>
                <w:rFonts w:ascii="宋体" w:hAnsi="宋体" w:eastAsia="宋体"/>
                <w:sz w:val="21"/>
              </w:rPr>
              <w:t>0.46</w:t>
            </w:r>
          </w:p>
        </w:tc>
        <w:tc>
          <w:tcPr>
            <w:tcW w:type="dxa" w:w="773"/>
            <w:vAlign w:val="center"/>
          </w:tcPr>
          <w:p>
            <w:pPr>
              <w:spacing w:line="240" w:lineRule="auto" w:after="20" w:before="20"/>
              <w:jc w:val="center"/>
            </w:pPr>
            <w:r/>
            <w:r>
              <w:rPr>
                <w:rFonts w:ascii="宋体" w:hAnsi="宋体" w:eastAsia="宋体"/>
                <w:sz w:val="21"/>
              </w:rPr>
              <w:t>0.68</w:t>
            </w:r>
          </w:p>
        </w:tc>
        <w:tc>
          <w:tcPr>
            <w:tcW w:type="dxa" w:w="773"/>
            <w:vAlign w:val="center"/>
          </w:tcPr>
          <w:p>
            <w:pPr>
              <w:spacing w:line="240" w:lineRule="auto" w:after="20" w:before="20"/>
              <w:jc w:val="center"/>
            </w:pPr>
            <w:r/>
            <w:r>
              <w:rPr>
                <w:rFonts w:ascii="宋体" w:hAnsi="宋体" w:eastAsia="宋体"/>
                <w:sz w:val="21"/>
              </w:rPr>
              <w:t>0.38</w:t>
            </w:r>
          </w:p>
        </w:tc>
        <w:tc>
          <w:tcPr>
            <w:tcW w:type="dxa" w:w="773"/>
            <w:vAlign w:val="center"/>
          </w:tcPr>
          <w:p>
            <w:pPr>
              <w:spacing w:line="240" w:lineRule="auto" w:after="20" w:before="20"/>
              <w:jc w:val="center"/>
            </w:pPr>
            <w:r/>
            <w:r>
              <w:rPr>
                <w:rFonts w:ascii="宋体" w:hAnsi="宋体" w:eastAsia="宋体"/>
                <w:sz w:val="21"/>
              </w:rPr>
              <w:t>0.369</w:t>
            </w:r>
          </w:p>
        </w:tc>
        <w:tc>
          <w:tcPr>
            <w:tcW w:type="dxa" w:w="773"/>
            <w:vAlign w:val="center"/>
          </w:tcPr>
          <w:p>
            <w:pPr>
              <w:spacing w:line="240" w:lineRule="auto" w:after="20" w:before="20"/>
              <w:jc w:val="center"/>
            </w:pPr>
            <w:r/>
            <w:r>
              <w:rPr>
                <w:rFonts w:ascii="宋体" w:hAnsi="宋体" w:eastAsia="宋体"/>
                <w:sz w:val="21"/>
              </w:rPr>
              <w:t>0.373</w:t>
            </w:r>
          </w:p>
        </w:tc>
        <w:tc>
          <w:tcPr>
            <w:tcW w:type="dxa" w:w="773"/>
            <w:vAlign w:val="center"/>
          </w:tcPr>
          <w:p>
            <w:pPr>
              <w:spacing w:line="240" w:lineRule="auto" w:after="20" w:before="20"/>
              <w:jc w:val="center"/>
            </w:pPr>
            <w:r/>
            <w:r>
              <w:rPr>
                <w:rFonts w:ascii="宋体" w:hAnsi="宋体" w:eastAsia="宋体"/>
                <w:sz w:val="21"/>
              </w:rPr>
              <w:t>2.9</w:t>
            </w:r>
          </w:p>
        </w:tc>
        <w:tc>
          <w:tcPr>
            <w:tcW w:type="dxa" w:w="773"/>
            <w:vAlign w:val="center"/>
          </w:tcPr>
          <w:p>
            <w:pPr>
              <w:spacing w:line="240" w:lineRule="auto" w:after="20" w:before="20"/>
              <w:jc w:val="center"/>
            </w:pPr>
            <w:r/>
            <w:r>
              <w:rPr>
                <w:rFonts w:ascii="宋体" w:hAnsi="宋体" w:eastAsia="宋体"/>
                <w:sz w:val="21"/>
              </w:rPr>
              <w:t>0.40</w:t>
            </w:r>
          </w:p>
        </w:tc>
        <w:tc>
          <w:tcPr>
            <w:tcW w:type="dxa" w:w="773"/>
            <w:vAlign w:val="center"/>
          </w:tcPr>
          <w:p>
            <w:pPr>
              <w:spacing w:line="240" w:lineRule="auto" w:after="20" w:before="20"/>
              <w:jc w:val="center"/>
            </w:pPr>
            <w:r/>
            <w:r>
              <w:rPr>
                <w:rFonts w:ascii="宋体" w:hAnsi="宋体" w:eastAsia="宋体"/>
                <w:sz w:val="21"/>
              </w:rPr>
              <w:t>1.053</w:t>
            </w:r>
          </w:p>
        </w:tc>
        <w:tc>
          <w:tcPr>
            <w:tcW w:type="dxa" w:w="773"/>
            <w:vAlign w:val="center"/>
          </w:tcPr>
          <w:p>
            <w:pPr>
              <w:spacing w:line="240" w:lineRule="auto" w:after="20" w:before="20"/>
              <w:jc w:val="center"/>
            </w:pPr>
            <w:r/>
            <w:r>
              <w:rPr>
                <w:rFonts w:ascii="宋体" w:hAnsi="宋体" w:eastAsia="宋体"/>
                <w:sz w:val="21"/>
              </w:rPr>
              <w:t>42.0</w:t>
            </w:r>
          </w:p>
        </w:tc>
      </w:tr>
      <w:tr>
        <w:tc>
          <w:tcPr>
            <w:tcW w:type="dxa" w:w="773"/>
            <w:vAlign w:val="center"/>
          </w:tcPr>
          <w:p>
            <w:pPr>
              <w:spacing w:line="240" w:lineRule="auto" w:after="20" w:before="20"/>
              <w:jc w:val="left"/>
            </w:pPr>
            <w:r/>
            <w:r>
              <w:rPr>
                <w:rFonts w:ascii="宋体" w:hAnsi="宋体" w:eastAsia="宋体"/>
                <w:sz w:val="21"/>
              </w:rPr>
              <w:t>中型通用级</w:t>
            </w:r>
          </w:p>
        </w:tc>
        <w:tc>
          <w:tcPr>
            <w:tcW w:type="dxa" w:w="773"/>
            <w:vAlign w:val="center"/>
          </w:tcPr>
          <w:p>
            <w:pPr>
              <w:spacing w:line="240" w:lineRule="auto" w:after="20" w:before="20"/>
              <w:jc w:val="center"/>
            </w:pPr>
            <w:r/>
            <w:r>
              <w:rPr>
                <w:rFonts w:ascii="宋体" w:hAnsi="宋体" w:eastAsia="宋体"/>
                <w:sz w:val="21"/>
              </w:rPr>
              <w:t>1.00</w:t>
            </w:r>
          </w:p>
        </w:tc>
        <w:tc>
          <w:tcPr>
            <w:tcW w:type="dxa" w:w="773"/>
            <w:vAlign w:val="center"/>
          </w:tcPr>
          <w:p>
            <w:pPr>
              <w:spacing w:line="240" w:lineRule="auto" w:after="20" w:before="20"/>
              <w:jc w:val="center"/>
            </w:pPr>
            <w:r/>
            <w:r>
              <w:rPr>
                <w:rFonts w:ascii="宋体" w:hAnsi="宋体" w:eastAsia="宋体"/>
                <w:sz w:val="21"/>
              </w:rPr>
              <w:t>1.00</w:t>
            </w:r>
          </w:p>
        </w:tc>
        <w:tc>
          <w:tcPr>
            <w:tcW w:type="dxa" w:w="773"/>
            <w:vAlign w:val="center"/>
          </w:tcPr>
          <w:p>
            <w:pPr>
              <w:spacing w:line="240" w:lineRule="auto" w:after="20" w:before="20"/>
              <w:jc w:val="center"/>
            </w:pPr>
            <w:r/>
            <w:r>
              <w:rPr>
                <w:rFonts w:ascii="宋体" w:hAnsi="宋体" w:eastAsia="宋体"/>
                <w:sz w:val="21"/>
              </w:rPr>
              <w:t>1.00</w:t>
            </w:r>
          </w:p>
        </w:tc>
        <w:tc>
          <w:tcPr>
            <w:tcW w:type="dxa" w:w="773"/>
            <w:vAlign w:val="center"/>
          </w:tcPr>
          <w:p>
            <w:pPr>
              <w:spacing w:line="240" w:lineRule="auto" w:after="20" w:before="20"/>
              <w:jc w:val="center"/>
            </w:pPr>
            <w:r/>
            <w:r>
              <w:rPr>
                <w:rFonts w:ascii="宋体" w:hAnsi="宋体" w:eastAsia="宋体"/>
                <w:sz w:val="21"/>
              </w:rPr>
              <w:t>1.00</w:t>
            </w:r>
          </w:p>
        </w:tc>
        <w:tc>
          <w:tcPr>
            <w:tcW w:type="dxa" w:w="773"/>
            <w:vAlign w:val="center"/>
          </w:tcPr>
          <w:p>
            <w:pPr>
              <w:spacing w:line="240" w:lineRule="auto" w:after="20" w:before="20"/>
              <w:jc w:val="center"/>
            </w:pPr>
            <w:r/>
            <w:r>
              <w:rPr>
                <w:rFonts w:ascii="宋体" w:hAnsi="宋体" w:eastAsia="宋体"/>
                <w:sz w:val="21"/>
              </w:rPr>
              <w:t>1.000</w:t>
            </w:r>
          </w:p>
        </w:tc>
        <w:tc>
          <w:tcPr>
            <w:tcW w:type="dxa" w:w="773"/>
            <w:vAlign w:val="center"/>
          </w:tcPr>
          <w:p>
            <w:pPr>
              <w:spacing w:line="240" w:lineRule="auto" w:after="20" w:before="20"/>
              <w:jc w:val="center"/>
            </w:pPr>
            <w:r/>
            <w:r>
              <w:rPr>
                <w:rFonts w:ascii="宋体" w:hAnsi="宋体" w:eastAsia="宋体"/>
                <w:sz w:val="21"/>
              </w:rPr>
              <w:t>1.000</w:t>
            </w:r>
          </w:p>
        </w:tc>
        <w:tc>
          <w:tcPr>
            <w:tcW w:type="dxa" w:w="773"/>
            <w:vAlign w:val="center"/>
          </w:tcPr>
          <w:p>
            <w:pPr>
              <w:spacing w:line="240" w:lineRule="auto" w:after="20" w:before="20"/>
              <w:jc w:val="center"/>
            </w:pPr>
            <w:r/>
            <w:r>
              <w:rPr>
                <w:rFonts w:ascii="宋体" w:hAnsi="宋体" w:eastAsia="宋体"/>
                <w:sz w:val="21"/>
              </w:rPr>
              <w:t>0.0</w:t>
            </w:r>
          </w:p>
        </w:tc>
        <w:tc>
          <w:tcPr>
            <w:tcW w:type="dxa" w:w="773"/>
            <w:vAlign w:val="center"/>
          </w:tcPr>
          <w:p>
            <w:pPr>
              <w:spacing w:line="240" w:lineRule="auto" w:after="20" w:before="20"/>
              <w:jc w:val="center"/>
            </w:pPr>
            <w:r/>
            <w:r>
              <w:rPr>
                <w:rFonts w:ascii="宋体" w:hAnsi="宋体" w:eastAsia="宋体"/>
                <w:sz w:val="21"/>
              </w:rPr>
              <w:t>1.30</w:t>
            </w:r>
          </w:p>
        </w:tc>
        <w:tc>
          <w:tcPr>
            <w:tcW w:type="dxa" w:w="773"/>
            <w:vAlign w:val="center"/>
          </w:tcPr>
          <w:p>
            <w:pPr>
              <w:spacing w:line="240" w:lineRule="auto" w:after="20" w:before="20"/>
              <w:jc w:val="center"/>
            </w:pPr>
            <w:r/>
            <w:r>
              <w:rPr>
                <w:rFonts w:ascii="宋体" w:hAnsi="宋体" w:eastAsia="宋体"/>
                <w:sz w:val="21"/>
              </w:rPr>
              <w:t>1.300</w:t>
            </w:r>
          </w:p>
        </w:tc>
        <w:tc>
          <w:tcPr>
            <w:tcW w:type="dxa" w:w="773"/>
            <w:vAlign w:val="center"/>
          </w:tcPr>
          <w:p>
            <w:pPr>
              <w:spacing w:line="240" w:lineRule="auto" w:after="20" w:before="20"/>
              <w:jc w:val="center"/>
            </w:pPr>
            <w:r/>
            <w:r>
              <w:rPr>
                <w:rFonts w:ascii="宋体" w:hAnsi="宋体" w:eastAsia="宋体"/>
                <w:sz w:val="21"/>
              </w:rPr>
              <w:t>18.5</w:t>
            </w:r>
          </w:p>
        </w:tc>
      </w:tr>
      <w:tr>
        <w:tc>
          <w:tcPr>
            <w:tcW w:type="dxa" w:w="773"/>
            <w:vAlign w:val="center"/>
          </w:tcPr>
          <w:p>
            <w:pPr>
              <w:spacing w:line="240" w:lineRule="auto" w:after="20" w:before="20"/>
              <w:jc w:val="left"/>
            </w:pPr>
            <w:r/>
            <w:r>
              <w:rPr>
                <w:rFonts w:ascii="宋体" w:hAnsi="宋体" w:eastAsia="宋体"/>
                <w:sz w:val="21"/>
              </w:rPr>
              <w:t>开源旗舰级</w:t>
            </w:r>
          </w:p>
        </w:tc>
        <w:tc>
          <w:tcPr>
            <w:tcW w:type="dxa" w:w="773"/>
            <w:vAlign w:val="center"/>
          </w:tcPr>
          <w:p>
            <w:pPr>
              <w:spacing w:line="240" w:lineRule="auto" w:after="20" w:before="20"/>
              <w:jc w:val="center"/>
            </w:pPr>
            <w:r/>
            <w:r>
              <w:rPr>
                <w:rFonts w:ascii="宋体" w:hAnsi="宋体" w:eastAsia="宋体"/>
                <w:sz w:val="21"/>
              </w:rPr>
              <w:t>2.60</w:t>
            </w:r>
          </w:p>
        </w:tc>
        <w:tc>
          <w:tcPr>
            <w:tcW w:type="dxa" w:w="773"/>
            <w:vAlign w:val="center"/>
          </w:tcPr>
          <w:p>
            <w:pPr>
              <w:spacing w:line="240" w:lineRule="auto" w:after="20" w:before="20"/>
              <w:jc w:val="center"/>
            </w:pPr>
            <w:r/>
            <w:r>
              <w:rPr>
                <w:rFonts w:ascii="宋体" w:hAnsi="宋体" w:eastAsia="宋体"/>
                <w:sz w:val="21"/>
              </w:rPr>
              <w:t>1.72</w:t>
            </w:r>
          </w:p>
        </w:tc>
        <w:tc>
          <w:tcPr>
            <w:tcW w:type="dxa" w:w="773"/>
            <w:vAlign w:val="center"/>
          </w:tcPr>
          <w:p>
            <w:pPr>
              <w:spacing w:line="240" w:lineRule="auto" w:after="20" w:before="20"/>
              <w:jc w:val="center"/>
            </w:pPr>
            <w:r/>
            <w:r>
              <w:rPr>
                <w:rFonts w:ascii="宋体" w:hAnsi="宋体" w:eastAsia="宋体"/>
                <w:sz w:val="21"/>
              </w:rPr>
              <w:t>1.34</w:t>
            </w:r>
          </w:p>
        </w:tc>
        <w:tc>
          <w:tcPr>
            <w:tcW w:type="dxa" w:w="773"/>
            <w:vAlign w:val="center"/>
          </w:tcPr>
          <w:p>
            <w:pPr>
              <w:spacing w:line="240" w:lineRule="auto" w:after="20" w:before="20"/>
              <w:jc w:val="center"/>
            </w:pPr>
            <w:r/>
            <w:r>
              <w:rPr>
                <w:rFonts w:ascii="宋体" w:hAnsi="宋体" w:eastAsia="宋体"/>
                <w:sz w:val="21"/>
              </w:rPr>
              <w:t>1.96</w:t>
            </w:r>
          </w:p>
        </w:tc>
        <w:tc>
          <w:tcPr>
            <w:tcW w:type="dxa" w:w="773"/>
            <w:vAlign w:val="center"/>
          </w:tcPr>
          <w:p>
            <w:pPr>
              <w:spacing w:line="240" w:lineRule="auto" w:after="20" w:before="20"/>
              <w:jc w:val="center"/>
            </w:pPr>
            <w:r/>
            <w:r>
              <w:rPr>
                <w:rFonts w:ascii="宋体" w:hAnsi="宋体" w:eastAsia="宋体"/>
                <w:sz w:val="21"/>
              </w:rPr>
              <w:t>1.929</w:t>
            </w:r>
          </w:p>
        </w:tc>
        <w:tc>
          <w:tcPr>
            <w:tcW w:type="dxa" w:w="773"/>
            <w:vAlign w:val="center"/>
          </w:tcPr>
          <w:p>
            <w:pPr>
              <w:spacing w:line="240" w:lineRule="auto" w:after="20" w:before="20"/>
              <w:jc w:val="center"/>
            </w:pPr>
            <w:r/>
            <w:r>
              <w:rPr>
                <w:rFonts w:ascii="宋体" w:hAnsi="宋体" w:eastAsia="宋体"/>
                <w:sz w:val="21"/>
              </w:rPr>
              <w:t>1.935</w:t>
            </w:r>
          </w:p>
        </w:tc>
        <w:tc>
          <w:tcPr>
            <w:tcW w:type="dxa" w:w="773"/>
            <w:vAlign w:val="center"/>
          </w:tcPr>
          <w:p>
            <w:pPr>
              <w:spacing w:line="240" w:lineRule="auto" w:after="20" w:before="20"/>
              <w:jc w:val="center"/>
            </w:pPr>
            <w:r/>
            <w:r>
              <w:rPr>
                <w:rFonts w:ascii="宋体" w:hAnsi="宋体" w:eastAsia="宋体"/>
                <w:sz w:val="21"/>
              </w:rPr>
              <w:t>1.6</w:t>
            </w:r>
          </w:p>
        </w:tc>
        <w:tc>
          <w:tcPr>
            <w:tcW w:type="dxa" w:w="773"/>
            <w:vAlign w:val="center"/>
          </w:tcPr>
          <w:p>
            <w:pPr>
              <w:spacing w:line="240" w:lineRule="auto" w:after="20" w:before="20"/>
              <w:jc w:val="center"/>
            </w:pPr>
            <w:r/>
            <w:r>
              <w:rPr>
                <w:rFonts w:ascii="宋体" w:hAnsi="宋体" w:eastAsia="宋体"/>
                <w:sz w:val="21"/>
              </w:rPr>
              <w:t>3.30</w:t>
            </w:r>
          </w:p>
        </w:tc>
        <w:tc>
          <w:tcPr>
            <w:tcW w:type="dxa" w:w="773"/>
            <w:vAlign w:val="center"/>
          </w:tcPr>
          <w:p>
            <w:pPr>
              <w:spacing w:line="240" w:lineRule="auto" w:after="20" w:before="20"/>
              <w:jc w:val="center"/>
            </w:pPr>
            <w:r/>
            <w:r>
              <w:rPr>
                <w:rFonts w:ascii="宋体" w:hAnsi="宋体" w:eastAsia="宋体"/>
                <w:sz w:val="21"/>
              </w:rPr>
              <w:t>1.684</w:t>
            </w:r>
          </w:p>
        </w:tc>
        <w:tc>
          <w:tcPr>
            <w:tcW w:type="dxa" w:w="773"/>
            <w:vAlign w:val="center"/>
          </w:tcPr>
          <w:p>
            <w:pPr>
              <w:spacing w:line="240" w:lineRule="auto" w:after="20" w:before="20"/>
              <w:jc w:val="center"/>
            </w:pPr>
            <w:r/>
            <w:r>
              <w:rPr>
                <w:rFonts w:ascii="宋体" w:hAnsi="宋体" w:eastAsia="宋体"/>
                <w:sz w:val="21"/>
              </w:rPr>
              <w:t>9.2</w:t>
            </w:r>
          </w:p>
        </w:tc>
      </w:tr>
      <w:tr>
        <w:tc>
          <w:tcPr>
            <w:tcW w:type="dxa" w:w="773"/>
            <w:vAlign w:val="center"/>
          </w:tcPr>
          <w:p>
            <w:pPr>
              <w:spacing w:line="240" w:lineRule="auto" w:after="20" w:before="20"/>
              <w:jc w:val="left"/>
            </w:pPr>
            <w:r/>
            <w:r>
              <w:rPr>
                <w:rFonts w:ascii="宋体" w:hAnsi="宋体" w:eastAsia="宋体"/>
                <w:sz w:val="21"/>
              </w:rPr>
              <w:t>旗舰闭源级</w:t>
            </w:r>
          </w:p>
        </w:tc>
        <w:tc>
          <w:tcPr>
            <w:tcW w:type="dxa" w:w="773"/>
            <w:vAlign w:val="center"/>
          </w:tcPr>
          <w:p>
            <w:pPr>
              <w:spacing w:line="240" w:lineRule="auto" w:after="20" w:before="20"/>
              <w:jc w:val="center"/>
            </w:pPr>
            <w:r/>
            <w:r>
              <w:rPr>
                <w:rFonts w:ascii="宋体" w:hAnsi="宋体" w:eastAsia="宋体"/>
                <w:sz w:val="21"/>
              </w:rPr>
              <w:t>4.80</w:t>
            </w:r>
          </w:p>
        </w:tc>
        <w:tc>
          <w:tcPr>
            <w:tcW w:type="dxa" w:w="773"/>
            <w:vAlign w:val="center"/>
          </w:tcPr>
          <w:p>
            <w:pPr>
              <w:spacing w:line="240" w:lineRule="auto" w:after="20" w:before="20"/>
              <w:jc w:val="center"/>
            </w:pPr>
            <w:r/>
            <w:r>
              <w:rPr>
                <w:rFonts w:ascii="宋体" w:hAnsi="宋体" w:eastAsia="宋体"/>
                <w:sz w:val="21"/>
              </w:rPr>
              <w:t>2.35</w:t>
            </w:r>
          </w:p>
        </w:tc>
        <w:tc>
          <w:tcPr>
            <w:tcW w:type="dxa" w:w="773"/>
            <w:vAlign w:val="center"/>
          </w:tcPr>
          <w:p>
            <w:pPr>
              <w:spacing w:line="240" w:lineRule="auto" w:after="20" w:before="20"/>
              <w:jc w:val="center"/>
            </w:pPr>
            <w:r/>
            <w:r>
              <w:rPr>
                <w:rFonts w:ascii="宋体" w:hAnsi="宋体" w:eastAsia="宋体"/>
                <w:sz w:val="21"/>
              </w:rPr>
              <w:t>1.66</w:t>
            </w:r>
          </w:p>
        </w:tc>
        <w:tc>
          <w:tcPr>
            <w:tcW w:type="dxa" w:w="773"/>
            <w:vAlign w:val="center"/>
          </w:tcPr>
          <w:p>
            <w:pPr>
              <w:spacing w:line="240" w:lineRule="auto" w:after="20" w:before="20"/>
              <w:jc w:val="center"/>
            </w:pPr>
            <w:r/>
            <w:r>
              <w:rPr>
                <w:rFonts w:ascii="宋体" w:hAnsi="宋体" w:eastAsia="宋体"/>
                <w:sz w:val="21"/>
              </w:rPr>
              <w:t>2.94</w:t>
            </w:r>
          </w:p>
        </w:tc>
        <w:tc>
          <w:tcPr>
            <w:tcW w:type="dxa" w:w="773"/>
            <w:vAlign w:val="center"/>
          </w:tcPr>
          <w:p>
            <w:pPr>
              <w:spacing w:line="240" w:lineRule="auto" w:after="20" w:before="20"/>
              <w:jc w:val="center"/>
            </w:pPr>
            <w:r/>
            <w:r>
              <w:rPr>
                <w:rFonts w:ascii="宋体" w:hAnsi="宋体" w:eastAsia="宋体"/>
                <w:sz w:val="21"/>
              </w:rPr>
              <w:t>2.931</w:t>
            </w:r>
          </w:p>
        </w:tc>
        <w:tc>
          <w:tcPr>
            <w:tcW w:type="dxa" w:w="773"/>
            <w:vAlign w:val="center"/>
          </w:tcPr>
          <w:p>
            <w:pPr>
              <w:spacing w:line="240" w:lineRule="auto" w:after="20" w:before="20"/>
              <w:jc w:val="center"/>
            </w:pPr>
            <w:r/>
            <w:r>
              <w:rPr>
                <w:rFonts w:ascii="宋体" w:hAnsi="宋体" w:eastAsia="宋体"/>
                <w:sz w:val="21"/>
              </w:rPr>
              <w:t>2.955</w:t>
            </w:r>
          </w:p>
        </w:tc>
        <w:tc>
          <w:tcPr>
            <w:tcW w:type="dxa" w:w="773"/>
            <w:vAlign w:val="center"/>
          </w:tcPr>
          <w:p>
            <w:pPr>
              <w:spacing w:line="240" w:lineRule="auto" w:after="20" w:before="20"/>
              <w:jc w:val="center"/>
            </w:pPr>
            <w:r/>
            <w:r>
              <w:rPr>
                <w:rFonts w:ascii="宋体" w:hAnsi="宋体" w:eastAsia="宋体"/>
                <w:sz w:val="21"/>
              </w:rPr>
              <w:t>0.3</w:t>
            </w:r>
          </w:p>
        </w:tc>
        <w:tc>
          <w:tcPr>
            <w:tcW w:type="dxa" w:w="773"/>
            <w:vAlign w:val="center"/>
          </w:tcPr>
          <w:p>
            <w:pPr>
              <w:spacing w:line="240" w:lineRule="auto" w:after="20" w:before="20"/>
              <w:jc w:val="center"/>
            </w:pPr>
            <w:r/>
            <w:r>
              <w:rPr>
                <w:rFonts w:ascii="宋体" w:hAnsi="宋体" w:eastAsia="宋体"/>
                <w:sz w:val="21"/>
              </w:rPr>
              <w:t>7.00</w:t>
            </w:r>
          </w:p>
        </w:tc>
        <w:tc>
          <w:tcPr>
            <w:tcW w:type="dxa" w:w="773"/>
            <w:vAlign w:val="center"/>
          </w:tcPr>
          <w:p>
            <w:pPr>
              <w:spacing w:line="240" w:lineRule="auto" w:after="20" w:before="20"/>
              <w:jc w:val="center"/>
            </w:pPr>
            <w:r/>
            <w:r>
              <w:rPr>
                <w:rFonts w:ascii="宋体" w:hAnsi="宋体" w:eastAsia="宋体"/>
                <w:sz w:val="21"/>
              </w:rPr>
              <w:t>2.381</w:t>
            </w:r>
          </w:p>
        </w:tc>
        <w:tc>
          <w:tcPr>
            <w:tcW w:type="dxa" w:w="773"/>
            <w:vAlign w:val="center"/>
          </w:tcPr>
          <w:p>
            <w:pPr>
              <w:spacing w:line="240" w:lineRule="auto" w:after="20" w:before="20"/>
              <w:jc w:val="center"/>
            </w:pPr>
            <w:r/>
            <w:r>
              <w:rPr>
                <w:rFonts w:ascii="宋体" w:hAnsi="宋体" w:eastAsia="宋体"/>
                <w:sz w:val="21"/>
              </w:rPr>
              <w:t>5.4</w:t>
            </w:r>
          </w:p>
        </w:tc>
      </w:tr>
      <w:tr>
        <w:tc>
          <w:tcPr>
            <w:tcW w:type="dxa" w:w="773"/>
            <w:vAlign w:val="center"/>
          </w:tcPr>
          <w:p>
            <w:pPr>
              <w:spacing w:line="240" w:lineRule="auto" w:after="20" w:before="20"/>
              <w:jc w:val="left"/>
            </w:pPr>
            <w:r/>
            <w:r>
              <w:rPr>
                <w:rFonts w:ascii="宋体" w:hAnsi="宋体" w:eastAsia="宋体"/>
                <w:sz w:val="21"/>
              </w:rPr>
              <w:t>推理增强级</w:t>
            </w:r>
          </w:p>
        </w:tc>
        <w:tc>
          <w:tcPr>
            <w:tcW w:type="dxa" w:w="773"/>
            <w:vAlign w:val="center"/>
          </w:tcPr>
          <w:p>
            <w:pPr>
              <w:spacing w:line="240" w:lineRule="auto" w:after="20" w:before="20"/>
              <w:jc w:val="center"/>
            </w:pPr>
            <w:r/>
            <w:r>
              <w:rPr>
                <w:rFonts w:ascii="宋体" w:hAnsi="宋体" w:eastAsia="宋体"/>
                <w:sz w:val="21"/>
              </w:rPr>
              <w:t>8.40</w:t>
            </w:r>
          </w:p>
        </w:tc>
        <w:tc>
          <w:tcPr>
            <w:tcW w:type="dxa" w:w="773"/>
            <w:vAlign w:val="center"/>
          </w:tcPr>
          <w:p>
            <w:pPr>
              <w:spacing w:line="240" w:lineRule="auto" w:after="20" w:before="20"/>
              <w:jc w:val="center"/>
            </w:pPr>
            <w:r/>
            <w:r>
              <w:rPr>
                <w:rFonts w:ascii="宋体" w:hAnsi="宋体" w:eastAsia="宋体"/>
                <w:sz w:val="21"/>
              </w:rPr>
              <w:t>3.10</w:t>
            </w:r>
          </w:p>
        </w:tc>
        <w:tc>
          <w:tcPr>
            <w:tcW w:type="dxa" w:w="773"/>
            <w:vAlign w:val="center"/>
          </w:tcPr>
          <w:p>
            <w:pPr>
              <w:spacing w:line="240" w:lineRule="auto" w:after="20" w:before="20"/>
              <w:jc w:val="center"/>
            </w:pPr>
            <w:r/>
            <w:r>
              <w:rPr>
                <w:rFonts w:ascii="宋体" w:hAnsi="宋体" w:eastAsia="宋体"/>
                <w:sz w:val="21"/>
              </w:rPr>
              <w:t>1.92</w:t>
            </w:r>
          </w:p>
        </w:tc>
        <w:tc>
          <w:tcPr>
            <w:tcW w:type="dxa" w:w="773"/>
            <w:vAlign w:val="center"/>
          </w:tcPr>
          <w:p>
            <w:pPr>
              <w:spacing w:line="240" w:lineRule="auto" w:after="20" w:before="20"/>
              <w:jc w:val="center"/>
            </w:pPr>
            <w:r/>
            <w:r>
              <w:rPr>
                <w:rFonts w:ascii="宋体" w:hAnsi="宋体" w:eastAsia="宋体"/>
                <w:sz w:val="21"/>
              </w:rPr>
              <w:t>4.28</w:t>
            </w:r>
          </w:p>
        </w:tc>
        <w:tc>
          <w:tcPr>
            <w:tcW w:type="dxa" w:w="773"/>
            <w:vAlign w:val="center"/>
          </w:tcPr>
          <w:p>
            <w:pPr>
              <w:spacing w:line="240" w:lineRule="auto" w:after="20" w:before="20"/>
              <w:jc w:val="center"/>
            </w:pPr>
            <w:r/>
            <w:r>
              <w:rPr>
                <w:rFonts w:ascii="宋体" w:hAnsi="宋体" w:eastAsia="宋体"/>
                <w:sz w:val="21"/>
              </w:rPr>
              <w:t>4.226</w:t>
            </w:r>
          </w:p>
        </w:tc>
        <w:tc>
          <w:tcPr>
            <w:tcW w:type="dxa" w:w="773"/>
            <w:vAlign w:val="center"/>
          </w:tcPr>
          <w:p>
            <w:pPr>
              <w:spacing w:line="240" w:lineRule="auto" w:after="20" w:before="20"/>
              <w:jc w:val="center"/>
            </w:pPr>
            <w:r/>
            <w:r>
              <w:rPr>
                <w:rFonts w:ascii="宋体" w:hAnsi="宋体" w:eastAsia="宋体"/>
                <w:sz w:val="21"/>
              </w:rPr>
              <w:t>4.294</w:t>
            </w:r>
          </w:p>
        </w:tc>
        <w:tc>
          <w:tcPr>
            <w:tcW w:type="dxa" w:w="773"/>
            <w:vAlign w:val="center"/>
          </w:tcPr>
          <w:p>
            <w:pPr>
              <w:spacing w:line="240" w:lineRule="auto" w:after="20" w:before="20"/>
              <w:jc w:val="center"/>
            </w:pPr>
            <w:r/>
            <w:r>
              <w:rPr>
                <w:rFonts w:ascii="宋体" w:hAnsi="宋体" w:eastAsia="宋体"/>
                <w:sz w:val="21"/>
              </w:rPr>
              <w:t>1.3</w:t>
            </w:r>
          </w:p>
        </w:tc>
        <w:tc>
          <w:tcPr>
            <w:tcW w:type="dxa" w:w="773"/>
            <w:vAlign w:val="center"/>
          </w:tcPr>
          <w:p>
            <w:pPr>
              <w:spacing w:line="240" w:lineRule="auto" w:after="20" w:before="20"/>
              <w:jc w:val="center"/>
            </w:pPr>
            <w:r/>
            <w:r>
              <w:rPr>
                <w:rFonts w:ascii="宋体" w:hAnsi="宋体" w:eastAsia="宋体"/>
                <w:sz w:val="21"/>
              </w:rPr>
              <w:t>14.00</w:t>
            </w:r>
          </w:p>
        </w:tc>
        <w:tc>
          <w:tcPr>
            <w:tcW w:type="dxa" w:w="773"/>
            <w:vAlign w:val="center"/>
          </w:tcPr>
          <w:p>
            <w:pPr>
              <w:spacing w:line="240" w:lineRule="auto" w:after="20" w:before="20"/>
              <w:jc w:val="center"/>
            </w:pPr>
            <w:r/>
            <w:r>
              <w:rPr>
                <w:rFonts w:ascii="宋体" w:hAnsi="宋体" w:eastAsia="宋体"/>
                <w:sz w:val="21"/>
              </w:rPr>
              <w:t>3.271</w:t>
            </w:r>
          </w:p>
        </w:tc>
        <w:tc>
          <w:tcPr>
            <w:tcW w:type="dxa" w:w="773"/>
            <w:vAlign w:val="center"/>
          </w:tcPr>
          <w:p>
            <w:pPr>
              <w:spacing w:line="240" w:lineRule="auto" w:after="20" w:before="20"/>
              <w:jc w:val="center"/>
            </w:pPr>
            <w:r/>
            <w:r>
              <w:rPr>
                <w:rFonts w:ascii="宋体" w:hAnsi="宋体" w:eastAsia="宋体"/>
                <w:sz w:val="21"/>
              </w:rPr>
              <w:t>3.1</w:t>
            </w:r>
          </w:p>
        </w:tc>
      </w:tr>
      <w:tr>
        <w:tc>
          <w:tcPr>
            <w:tcW w:type="dxa" w:w="773"/>
            <w:vAlign w:val="center"/>
          </w:tcPr>
          <w:p>
            <w:pPr>
              <w:spacing w:line="240" w:lineRule="auto" w:after="20" w:before="20"/>
              <w:jc w:val="left"/>
            </w:pPr>
            <w:r/>
            <w:r>
              <w:rPr>
                <w:rFonts w:ascii="宋体" w:hAnsi="宋体" w:eastAsia="宋体"/>
                <w:sz w:val="21"/>
              </w:rPr>
              <w:t>多模态级</w:t>
            </w:r>
          </w:p>
        </w:tc>
        <w:tc>
          <w:tcPr>
            <w:tcW w:type="dxa" w:w="773"/>
            <w:vAlign w:val="center"/>
          </w:tcPr>
          <w:p>
            <w:pPr>
              <w:spacing w:line="240" w:lineRule="auto" w:after="20" w:before="20"/>
              <w:jc w:val="center"/>
            </w:pPr>
            <w:r/>
            <w:r>
              <w:rPr>
                <w:rFonts w:ascii="宋体" w:hAnsi="宋体" w:eastAsia="宋体"/>
                <w:sz w:val="21"/>
              </w:rPr>
              <w:t>3.70</w:t>
            </w:r>
          </w:p>
        </w:tc>
        <w:tc>
          <w:tcPr>
            <w:tcW w:type="dxa" w:w="773"/>
            <w:vAlign w:val="center"/>
          </w:tcPr>
          <w:p>
            <w:pPr>
              <w:spacing w:line="240" w:lineRule="auto" w:after="20" w:before="20"/>
              <w:jc w:val="center"/>
            </w:pPr>
            <w:r/>
            <w:r>
              <w:rPr>
                <w:rFonts w:ascii="宋体" w:hAnsi="宋体" w:eastAsia="宋体"/>
                <w:sz w:val="21"/>
              </w:rPr>
              <w:t>1.88</w:t>
            </w:r>
          </w:p>
        </w:tc>
        <w:tc>
          <w:tcPr>
            <w:tcW w:type="dxa" w:w="773"/>
            <w:vAlign w:val="center"/>
          </w:tcPr>
          <w:p>
            <w:pPr>
              <w:spacing w:line="240" w:lineRule="auto" w:after="20" w:before="20"/>
              <w:jc w:val="center"/>
            </w:pPr>
            <w:r/>
            <w:r>
              <w:rPr>
                <w:rFonts w:ascii="宋体" w:hAnsi="宋体" w:eastAsia="宋体"/>
                <w:sz w:val="21"/>
              </w:rPr>
              <w:t>2.15</w:t>
            </w:r>
          </w:p>
        </w:tc>
        <w:tc>
          <w:tcPr>
            <w:tcW w:type="dxa" w:w="773"/>
            <w:vAlign w:val="center"/>
          </w:tcPr>
          <w:p>
            <w:pPr>
              <w:spacing w:line="240" w:lineRule="auto" w:after="20" w:before="20"/>
              <w:jc w:val="center"/>
            </w:pPr>
            <w:r/>
            <w:r>
              <w:rPr>
                <w:rFonts w:ascii="宋体" w:hAnsi="宋体" w:eastAsia="宋体"/>
                <w:sz w:val="21"/>
              </w:rPr>
              <w:t>2.62</w:t>
            </w:r>
          </w:p>
        </w:tc>
        <w:tc>
          <w:tcPr>
            <w:tcW w:type="dxa" w:w="773"/>
            <w:vAlign w:val="center"/>
          </w:tcPr>
          <w:p>
            <w:pPr>
              <w:spacing w:line="240" w:lineRule="auto" w:after="20" w:before="20"/>
              <w:jc w:val="center"/>
            </w:pPr>
            <w:r/>
            <w:r>
              <w:rPr>
                <w:rFonts w:ascii="宋体" w:hAnsi="宋体" w:eastAsia="宋体"/>
                <w:sz w:val="21"/>
              </w:rPr>
              <w:t>2.621</w:t>
            </w:r>
          </w:p>
        </w:tc>
        <w:tc>
          <w:tcPr>
            <w:tcW w:type="dxa" w:w="773"/>
            <w:vAlign w:val="center"/>
          </w:tcPr>
          <w:p>
            <w:pPr>
              <w:spacing w:line="240" w:lineRule="auto" w:after="20" w:before="20"/>
              <w:jc w:val="center"/>
            </w:pPr>
            <w:r/>
            <w:r>
              <w:rPr>
                <w:rFonts w:ascii="宋体" w:hAnsi="宋体" w:eastAsia="宋体"/>
                <w:sz w:val="21"/>
              </w:rPr>
              <w:t>2.631</w:t>
            </w:r>
          </w:p>
        </w:tc>
        <w:tc>
          <w:tcPr>
            <w:tcW w:type="dxa" w:w="773"/>
            <w:vAlign w:val="center"/>
          </w:tcPr>
          <w:p>
            <w:pPr>
              <w:spacing w:line="240" w:lineRule="auto" w:after="20" w:before="20"/>
              <w:jc w:val="center"/>
            </w:pPr>
            <w:r/>
            <w:r>
              <w:rPr>
                <w:rFonts w:ascii="宋体" w:hAnsi="宋体" w:eastAsia="宋体"/>
                <w:sz w:val="21"/>
              </w:rPr>
              <w:t>0.0</w:t>
            </w:r>
          </w:p>
        </w:tc>
        <w:tc>
          <w:tcPr>
            <w:tcW w:type="dxa" w:w="773"/>
            <w:vAlign w:val="center"/>
          </w:tcPr>
          <w:p>
            <w:pPr>
              <w:spacing w:line="240" w:lineRule="auto" w:after="20" w:before="20"/>
              <w:jc w:val="center"/>
            </w:pPr>
            <w:r/>
            <w:r>
              <w:rPr>
                <w:rFonts w:ascii="宋体" w:hAnsi="宋体" w:eastAsia="宋体"/>
                <w:sz w:val="21"/>
              </w:rPr>
              <w:t>5.00</w:t>
            </w:r>
          </w:p>
        </w:tc>
        <w:tc>
          <w:tcPr>
            <w:tcW w:type="dxa" w:w="773"/>
            <w:vAlign w:val="center"/>
          </w:tcPr>
          <w:p>
            <w:pPr>
              <w:spacing w:line="240" w:lineRule="auto" w:after="20" w:before="20"/>
              <w:jc w:val="center"/>
            </w:pPr>
            <w:r/>
            <w:r>
              <w:rPr>
                <w:rFonts w:ascii="宋体" w:hAnsi="宋体" w:eastAsia="宋体"/>
                <w:sz w:val="21"/>
              </w:rPr>
              <w:t>1.908</w:t>
            </w:r>
          </w:p>
        </w:tc>
        <w:tc>
          <w:tcPr>
            <w:tcW w:type="dxa" w:w="773"/>
            <w:vAlign w:val="center"/>
          </w:tcPr>
          <w:p>
            <w:pPr>
              <w:spacing w:line="240" w:lineRule="auto" w:after="20" w:before="20"/>
              <w:jc w:val="center"/>
            </w:pPr>
            <w:r/>
            <w:r>
              <w:rPr>
                <w:rFonts w:ascii="宋体" w:hAnsi="宋体" w:eastAsia="宋体"/>
                <w:sz w:val="21"/>
              </w:rPr>
              <w:t>6.8</w:t>
            </w:r>
          </w:p>
        </w:tc>
      </w:tr>
      <w:tr>
        <w:tc>
          <w:tcPr>
            <w:tcW w:type="dxa" w:w="773"/>
            <w:vAlign w:val="center"/>
          </w:tcPr>
          <w:p>
            <w:pPr>
              <w:spacing w:line="240" w:lineRule="auto" w:after="20" w:before="20"/>
              <w:jc w:val="left"/>
            </w:pPr>
            <w:r/>
            <w:r>
              <w:rPr>
                <w:rFonts w:ascii="宋体" w:hAnsi="宋体" w:eastAsia="宋体"/>
                <w:sz w:val="21"/>
              </w:rPr>
              <w:t>最高／最低倍数</w:t>
            </w:r>
          </w:p>
        </w:tc>
        <w:tc>
          <w:tcPr>
            <w:tcW w:type="dxa" w:w="773"/>
            <w:vAlign w:val="center"/>
          </w:tcPr>
          <w:p>
            <w:pPr>
              <w:spacing w:line="240" w:lineRule="auto" w:after="20" w:before="20"/>
              <w:jc w:val="center"/>
            </w:pPr>
            <w:r/>
            <w:r>
              <w:rPr>
                <w:rFonts w:ascii="宋体" w:hAnsi="宋体" w:eastAsia="宋体"/>
                <w:sz w:val="21"/>
              </w:rPr>
              <w:t>38.2</w:t>
            </w:r>
          </w:p>
        </w:tc>
        <w:tc>
          <w:tcPr>
            <w:tcW w:type="dxa" w:w="773"/>
            <w:vAlign w:val="center"/>
          </w:tcPr>
          <w:p>
            <w:pPr>
              <w:spacing w:line="240" w:lineRule="auto" w:after="20" w:before="20"/>
              <w:jc w:val="center"/>
            </w:pPr>
            <w:r/>
            <w:r>
              <w:rPr>
                <w:rFonts w:ascii="宋体" w:hAnsi="宋体" w:eastAsia="宋体"/>
                <w:sz w:val="21"/>
              </w:rPr>
              <w:t>6.7</w:t>
            </w:r>
          </w:p>
        </w:tc>
        <w:tc>
          <w:tcPr>
            <w:tcW w:type="dxa" w:w="773"/>
            <w:vAlign w:val="center"/>
          </w:tcPr>
          <w:p>
            <w:pPr>
              <w:spacing w:line="240" w:lineRule="auto" w:after="20" w:before="20"/>
              <w:jc w:val="center"/>
            </w:pPr>
            <w:r/>
            <w:r>
              <w:rPr>
                <w:rFonts w:ascii="宋体" w:hAnsi="宋体" w:eastAsia="宋体"/>
                <w:sz w:val="21"/>
              </w:rPr>
              <w:t>3.2</w:t>
            </w:r>
          </w:p>
        </w:tc>
        <w:tc>
          <w:tcPr>
            <w:tcW w:type="dxa" w:w="773"/>
            <w:vAlign w:val="center"/>
          </w:tcPr>
          <w:p>
            <w:pPr>
              <w:spacing w:line="240" w:lineRule="auto" w:after="20" w:before="20"/>
              <w:jc w:val="center"/>
            </w:pPr>
            <w:r/>
            <w:r>
              <w:rPr>
                <w:rFonts w:ascii="宋体" w:hAnsi="宋体" w:eastAsia="宋体"/>
                <w:sz w:val="21"/>
              </w:rPr>
              <w:t>11.3</w:t>
            </w:r>
          </w:p>
        </w:tc>
        <w:tc>
          <w:tcPr>
            <w:tcW w:type="dxa" w:w="773"/>
            <w:vAlign w:val="center"/>
          </w:tcPr>
          <w:p>
            <w:pPr>
              <w:spacing w:line="240" w:lineRule="auto" w:after="20" w:before="20"/>
              <w:jc w:val="center"/>
            </w:pPr>
            <w:r/>
            <w:r>
              <w:rPr>
                <w:rFonts w:ascii="宋体" w:hAnsi="宋体" w:eastAsia="宋体"/>
                <w:sz w:val="21"/>
              </w:rPr>
              <w:t>—</w:t>
            </w:r>
          </w:p>
        </w:tc>
        <w:tc>
          <w:tcPr>
            <w:tcW w:type="dxa" w:w="773"/>
            <w:vAlign w:val="center"/>
          </w:tcPr>
          <w:p>
            <w:pPr>
              <w:spacing w:line="240" w:lineRule="auto" w:after="20" w:before="20"/>
              <w:jc w:val="center"/>
            </w:pPr>
            <w:r/>
            <w:r>
              <w:rPr>
                <w:rFonts w:ascii="宋体" w:hAnsi="宋体" w:eastAsia="宋体"/>
                <w:sz w:val="21"/>
              </w:rPr>
              <w:t>—</w:t>
            </w:r>
          </w:p>
        </w:tc>
        <w:tc>
          <w:tcPr>
            <w:tcW w:type="dxa" w:w="773"/>
            <w:vAlign w:val="center"/>
          </w:tcPr>
          <w:p>
            <w:pPr>
              <w:spacing w:line="240" w:lineRule="auto" w:after="20" w:before="20"/>
              <w:jc w:val="center"/>
            </w:pPr>
            <w:r/>
            <w:r>
              <w:rPr>
                <w:rFonts w:ascii="宋体" w:hAnsi="宋体" w:eastAsia="宋体"/>
                <w:sz w:val="21"/>
              </w:rPr>
              <w:t>—</w:t>
            </w:r>
          </w:p>
        </w:tc>
        <w:tc>
          <w:tcPr>
            <w:tcW w:type="dxa" w:w="773"/>
            <w:vAlign w:val="center"/>
          </w:tcPr>
          <w:p>
            <w:pPr>
              <w:spacing w:line="240" w:lineRule="auto" w:after="20" w:before="20"/>
              <w:jc w:val="center"/>
            </w:pPr>
            <w:r/>
            <w:r>
              <w:rPr>
                <w:rFonts w:ascii="宋体" w:hAnsi="宋体" w:eastAsia="宋体"/>
                <w:sz w:val="21"/>
              </w:rPr>
              <w:t>35.0</w:t>
            </w:r>
          </w:p>
        </w:tc>
        <w:tc>
          <w:tcPr>
            <w:tcW w:type="dxa" w:w="773"/>
            <w:vAlign w:val="center"/>
          </w:tcPr>
          <w:p>
            <w:pPr>
              <w:spacing w:line="240" w:lineRule="auto" w:after="20" w:before="20"/>
              <w:jc w:val="center"/>
            </w:pPr>
            <w:r/>
            <w:r>
              <w:rPr>
                <w:rFonts w:ascii="宋体" w:hAnsi="宋体" w:eastAsia="宋体"/>
                <w:sz w:val="21"/>
              </w:rPr>
              <w:t>3.1</w:t>
            </w:r>
          </w:p>
        </w:tc>
        <w:tc>
          <w:tcPr>
            <w:tcW w:type="dxa" w:w="773"/>
            <w:vAlign w:val="center"/>
          </w:tcPr>
          <w:p>
            <w:pPr>
              <w:spacing w:line="240" w:lineRule="auto" w:after="20" w:before="20"/>
              <w:jc w:val="center"/>
            </w:pPr>
            <w:r/>
            <w:r>
              <w:rPr>
                <w:rFonts w:ascii="宋体" w:hAnsi="宋体" w:eastAsia="宋体"/>
                <w:sz w:val="21"/>
              </w:rPr>
              <w:t>13.5</w:t>
            </w:r>
          </w:p>
        </w:tc>
      </w:tr>
    </w:tbl>
    <w:p>
      <w:pPr>
        <w:spacing w:after="200" w:line="240" w:lineRule="auto"/>
        <w:jc w:val="both"/>
      </w:pPr>
      <w:r>
        <w:rPr>
          <w:rFonts w:ascii="宋体" w:hAnsi="宋体" w:eastAsia="宋体"/>
          <w:sz w:val="18"/>
        </w:rPr>
        <w:t>注：P、R、S与实测效值η均以中型通用级为基准归一（≡1）；幂积拟合值由式(5-7)与标定权重计算，CES拟合值由式(5-8)在</w:t>
      </w:r>
      <m:oMath>
        <m:acc>
          <m:accPr>
            <m:chr m:val="̂"/>
          </m:accPr>
          <m:e>
            <m:r>
              <m:t>ρ</m:t>
            </m:r>
          </m:e>
        </m:acc>
      </m:oMath>
      <w:r>
        <w:rPr>
          <w:rFonts w:ascii="宋体" w:hAnsi="宋体" w:eastAsia="宋体"/>
          <w:sz w:val="18"/>
        </w:rPr>
        <w:t>＝0.0794处计算，相对误差为幂积拟合值与实测效值之差的绝对值占实测效值的比重；标准词元单价＝市场单价／η；θ为单位算力产出的标准词元数，其档位间差异含工程实现因素，详见第9章。标定样本量N＝1240，拟合优度</w:t>
      </w:r>
      <m:oMath>
        <m:sSup>
          <m:e>
            <m:r>
              <m:t>R</m:t>
            </m:r>
          </m:e>
          <m:sup>
            <m:r>
              <m:t>2</m:t>
            </m:r>
          </m:sup>
        </m:sSup>
      </m:oMath>
      <w:r>
        <w:rPr>
          <w:rFonts w:ascii="宋体" w:hAnsi="宋体" w:eastAsia="宋体"/>
          <w:sz w:val="18"/>
        </w:rPr>
        <w:t>＝0.9996、对数尺度</w:t>
      </w:r>
      <m:oMath>
        <m:sSup>
          <m:e>
            <m:r>
              <m:t>R</m:t>
            </m:r>
          </m:e>
          <m:sup>
            <m:r>
              <m:t>2</m:t>
            </m:r>
          </m:sup>
        </m:sSup>
      </m:oMath>
      <w:r>
        <w:rPr>
          <w:rFonts w:ascii="宋体" w:hAnsi="宋体" w:eastAsia="宋体"/>
          <w:sz w:val="18"/>
        </w:rPr>
        <w:t>＝0.9997、均方根误差0.0261。档位系为避免挂靠具体商业产品而设的抽象分类，各项数值系作者依基准任务集与2026年第二季度市场行情校准复算所得，不对应任何特定商业产品。数据来源：作者校准复算。</w:t>
      </w:r>
    </w:p>
    <w:p>
      <w:pPr>
        <w:spacing w:line="360" w:lineRule="auto" w:after="0"/>
        <w:ind w:firstLineChars="200" w:firstLine="480"/>
        <w:jc w:val="both"/>
      </w:pPr>
      <w:r>
        <w:rPr>
          <w:rFonts w:ascii="宋体" w:hAnsi="宋体" w:eastAsia="宋体"/>
          <w:sz w:val="24"/>
        </w:rPr>
        <w:t>表5.2的信息可以从三个角度读取。</w:t>
      </w:r>
      <w:r>
        <w:rPr>
          <w:rFonts w:ascii="宋体" w:hAnsi="宋体" w:eastAsia="宋体"/>
          <w:b/>
          <w:sz w:val="24"/>
        </w:rPr>
        <w:t>从拟合角度看，折算函数的经验表现良好。</w:t>
      </w:r>
      <w:r>
        <w:rPr>
          <w:rFonts w:ascii="宋体" w:hAnsi="宋体" w:eastAsia="宋体"/>
          <w:sz w:val="24"/>
        </w:rPr>
        <w:t>幂积拟合值与实测效值的最大相对误差为2.9%，出现在轻量蒸馏级；平均相对误差1.0%；CES拟合值与幂积拟合值的最大差异仅1.61%。三项指标共同说明，式(5-7)不是一个粗糙的近似，而是对实测替代关系的准确刻画。</w:t>
      </w:r>
      <w:r>
        <w:rPr>
          <w:rFonts w:ascii="宋体" w:hAnsi="宋体" w:eastAsia="宋体"/>
          <w:b/>
          <w:sz w:val="24"/>
        </w:rPr>
        <w:t>从结构角度看，效值增长显著慢于算力增长。</w:t>
      </w:r>
      <w:r>
        <w:rPr>
          <w:rFonts w:ascii="宋体" w:hAnsi="宋体" w:eastAsia="宋体"/>
          <w:sz w:val="24"/>
        </w:rPr>
        <w:t>定义效值—算力比</w:t>
      </w:r>
      <m:oMath>
        <m:r>
          <m:t>η</m:t>
        </m:r>
        <m:r>
          <m:rPr>
            <m:sty m:val="p"/>
          </m:rPr>
          <m:t>/</m:t>
        </m:r>
        <m:r>
          <m:t>P</m:t>
        </m:r>
      </m:oMath>
      <w:r>
        <w:rPr>
          <w:rFonts w:ascii="宋体" w:hAnsi="宋体" w:eastAsia="宋体"/>
          <w:sz w:val="24"/>
        </w:rPr>
        <w:t>，其在基准档为1，而在推理增强级降至0.51，在旗舰闭源级为0.61，在轻量蒸馏级则高达1.73。这一递减序列是模型能力边际报酬递减的直接度量，也解释了为什么「用最强模型做所有事」在经济上不可持续，以及为什么第9章的任务—模型最优匹配能够带来可观的效率改进。</w:t>
      </w:r>
      <w:r>
        <w:rPr>
          <w:rFonts w:ascii="宋体" w:hAnsi="宋体" w:eastAsia="宋体"/>
          <w:b/>
          <w:sz w:val="24"/>
        </w:rPr>
        <w:t>从价格角度看，折算显著压缩了单价的档位间差异。</w:t>
      </w:r>
      <w:r>
        <w:rPr>
          <w:rFonts w:ascii="宋体" w:hAnsi="宋体" w:eastAsia="宋体"/>
          <w:sz w:val="24"/>
        </w:rPr>
        <w:t>市场单价的档位间倍差为35.0倍，折算后单价的倍差降至3.1倍，收窄了约91%。这一收敛构成下一小节的正式检验对象。</w:t>
      </w:r>
    </w:p>
    <w:p>
      <w:pPr>
        <w:keepNext/>
        <w:spacing w:before="160" w:after="120" w:line="360" w:lineRule="auto"/>
        <w:outlineLvl w:val="2"/>
      </w:pPr>
      <w:r>
        <w:rPr>
          <w:rFonts w:ascii="黑体" w:hAnsi="黑体" w:eastAsia="黑体"/>
          <w:sz w:val="24"/>
        </w:rPr>
        <w:t>5.5.2  折算有效性的两项判据：内部一致性与外部收敛性</w:t>
      </w:r>
    </w:p>
    <w:p>
      <w:pPr>
        <w:spacing w:line="360" w:lineRule="auto" w:after="0"/>
        <w:ind w:firstLineChars="200" w:firstLine="480"/>
        <w:jc w:val="both"/>
      </w:pPr>
      <w:r>
        <w:rPr>
          <w:rFonts w:ascii="宋体" w:hAnsi="宋体" w:eastAsia="宋体"/>
          <w:sz w:val="24"/>
        </w:rPr>
        <w:t>一个折算体系是否有效，不能由构造者自我宣称，必须交由可操作的判据检验。本书提出两项判据：内部一致性判据检验折算体系自身是否自洽，外部收敛性判据检验折算是否达到了消除不可比的目的。二者的形式定义如下：</w:t>
      </w:r>
    </w:p>
    <w:p>
      <w:pPr>
        <w:tabs>
          <w:tab w:pos="4252" w:val="center"/>
          <w:tab w:pos="8504" w:val="right"/>
        </w:tabs>
        <w:spacing w:line="360" w:lineRule="auto" w:before="80" w:after="80"/>
      </w:pPr>
      <w:r>
        <w:tab/>
      </w:r>
      <m:oMath>
        <m:sSub>
          <m:e>
            <m:r>
              <m:t>ε</m:t>
            </m:r>
          </m:e>
          <m:sub>
            <m:r>
              <m:rPr>
                <m:sty m:val="p"/>
              </m:rPr>
              <m:t>t</m:t>
            </m:r>
            <m:r>
              <m:rPr>
                <m:sty m:val="p"/>
              </m:rPr>
              <m:t>r</m:t>
            </m:r>
          </m:sub>
        </m:sSub>
        <m:r>
          <m:rPr>
            <m:sty m:val="p"/>
          </m:rPr>
          <m:t>=</m:t>
        </m:r>
        <m:sSub>
          <m:e>
            <m:r>
              <m:rPr>
                <m:sty m:val="p"/>
              </m:rPr>
              <m:t>max</m:t>
            </m:r>
          </m:e>
          <m:sub>
            <m:r>
              <m:t>a</m:t>
            </m:r>
            <m:r>
              <m:rPr>
                <m:sty m:val="p"/>
              </m:rPr>
              <m:t>,</m:t>
            </m:r>
            <m:r>
              <m:t>b</m:t>
            </m:r>
            <m:r>
              <m:rPr>
                <m:sty m:val="p"/>
              </m:rPr>
              <m:t>,</m:t>
            </m:r>
            <m:r>
              <m:t>c</m:t>
            </m:r>
          </m:sub>
        </m:sSub>
        <m:d>
          <m:dPr>
            <m:begChr m:val="|"/>
            <m:endChr m:val="|"/>
            <m:grow/>
          </m:dPr>
          <m:e>
            <m:f>
              <m:fPr>
                <m:type m:val="bar"/>
              </m:fPr>
              <m:num>
                <m:sSub>
                  <m:e>
                    <m:acc>
                      <m:accPr>
                        <m:chr m:val="̂"/>
                      </m:accPr>
                      <m:e>
                        <m:r>
                          <m:t>η</m:t>
                        </m:r>
                      </m:e>
                    </m:acc>
                  </m:e>
                  <m:sub>
                    <m:r>
                      <m:t>c</m:t>
                    </m:r>
                  </m:sub>
                </m:sSub>
              </m:num>
              <m:den>
                <m:sSub>
                  <m:e>
                    <m:acc>
                      <m:accPr>
                        <m:chr m:val="̂"/>
                      </m:accPr>
                      <m:e>
                        <m:r>
                          <m:t>η</m:t>
                        </m:r>
                      </m:e>
                    </m:acc>
                  </m:e>
                  <m:sub>
                    <m:r>
                      <m:t>a</m:t>
                    </m:r>
                  </m:sub>
                </m:sSub>
              </m:den>
            </m:f>
            <m:r>
              <m:rPr>
                <m:sty m:val="p"/>
              </m:rPr>
              <m:t>−</m:t>
            </m:r>
            <m:f>
              <m:fPr>
                <m:type m:val="bar"/>
              </m:fPr>
              <m:num>
                <m:sSub>
                  <m:e>
                    <m:acc>
                      <m:accPr>
                        <m:chr m:val="̂"/>
                      </m:accPr>
                      <m:e>
                        <m:r>
                          <m:t>η</m:t>
                        </m:r>
                      </m:e>
                    </m:acc>
                  </m:e>
                  <m:sub>
                    <m:r>
                      <m:t>b</m:t>
                    </m:r>
                  </m:sub>
                </m:sSub>
              </m:num>
              <m:den>
                <m:sSub>
                  <m:e>
                    <m:acc>
                      <m:accPr>
                        <m:chr m:val="̂"/>
                      </m:accPr>
                      <m:e>
                        <m:r>
                          <m:t>η</m:t>
                        </m:r>
                      </m:e>
                    </m:acc>
                  </m:e>
                  <m:sub>
                    <m:r>
                      <m:t>a</m:t>
                    </m:r>
                  </m:sub>
                </m:sSub>
              </m:den>
            </m:f>
            <m:r>
              <m:rPr>
                <m:sty m:val="p"/>
              </m:rPr>
              <m:t>⋅</m:t>
            </m:r>
            <m:f>
              <m:fPr>
                <m:type m:val="bar"/>
              </m:fPr>
              <m:num>
                <m:sSub>
                  <m:e>
                    <m:acc>
                      <m:accPr>
                        <m:chr m:val="̂"/>
                      </m:accPr>
                      <m:e>
                        <m:r>
                          <m:t>η</m:t>
                        </m:r>
                      </m:e>
                    </m:acc>
                  </m:e>
                  <m:sub>
                    <m:r>
                      <m:t>c</m:t>
                    </m:r>
                  </m:sub>
                </m:sSub>
              </m:num>
              <m:den>
                <m:sSub>
                  <m:e>
                    <m:acc>
                      <m:accPr>
                        <m:chr m:val="̂"/>
                      </m:accPr>
                      <m:e>
                        <m:r>
                          <m:t>η</m:t>
                        </m:r>
                      </m:e>
                    </m:acc>
                  </m:e>
                  <m:sub>
                    <m:r>
                      <m:t>b</m:t>
                    </m:r>
                  </m:sub>
                </m:sSub>
              </m:den>
            </m:f>
          </m:e>
        </m:d>
        <m:r>
          <m:rPr>
            <m:sty m:val="p"/>
          </m:rPr>
          <m:t>,</m:t>
        </m:r>
        <m:r>
          <m:t>  </m:t>
        </m:r>
        <m:sSub>
          <m:e>
            <m:r>
              <m:t>Δ</m:t>
            </m:r>
          </m:e>
          <m:sub>
            <m:r>
              <m:rPr>
                <m:sty m:val="p"/>
              </m:rPr>
              <m:t>C</m:t>
            </m:r>
            <m:r>
              <m:rPr>
                <m:sty m:val="p"/>
              </m:rPr>
              <m:t>V</m:t>
            </m:r>
          </m:sub>
        </m:sSub>
        <m:r>
          <m:rPr>
            <m:sty m:val="p"/>
          </m:rPr>
          <m:t>=</m:t>
        </m:r>
        <m:r>
          <m:t>1</m:t>
        </m:r>
        <m:r>
          <m:rPr>
            <m:sty m:val="p"/>
          </m:rPr>
          <m:t>−</m:t>
        </m:r>
        <m:f>
          <m:fPr>
            <m:type m:val="bar"/>
          </m:fPr>
          <m:num>
            <m:r>
              <m:rPr>
                <m:sty m:val="p"/>
              </m:rPr>
              <m:t>C</m:t>
            </m:r>
            <m:r>
              <m:rPr>
                <m:sty m:val="p"/>
              </m:rPr>
              <m:t>V</m:t>
            </m:r>
            <m:d>
              <m:dPr>
                <m:begChr m:val="("/>
                <m:endChr m:val=")"/>
                <m:grow/>
              </m:dPr>
              <m:e>
                <m:r>
                  <m:t>p</m:t>
                </m:r>
                <m:r>
                  <m:rPr>
                    <m:sty m:val="p"/>
                  </m:rPr>
                  <m:t>/</m:t>
                </m:r>
                <m:acc>
                  <m:accPr>
                    <m:chr m:val="̂"/>
                  </m:accPr>
                  <m:e>
                    <m:r>
                      <m:t>η</m:t>
                    </m:r>
                  </m:e>
                </m:acc>
              </m:e>
            </m:d>
          </m:num>
          <m:den>
            <m:r>
              <m:rPr>
                <m:sty m:val="p"/>
              </m:rPr>
              <m:t>C</m:t>
            </m:r>
            <m:r>
              <m:rPr>
                <m:sty m:val="p"/>
              </m:rPr>
              <m:t>V</m:t>
            </m:r>
            <m:d>
              <m:dPr>
                <m:begChr m:val="("/>
                <m:endChr m:val=")"/>
                <m:grow/>
              </m:dPr>
              <m:e>
                <m:r>
                  <m:t>p</m:t>
                </m:r>
              </m:e>
            </m:d>
          </m:den>
        </m:f>
      </m:oMath>
      <w:r>
        <w:tab/>
      </w:r>
      <w:r>
        <w:rPr>
          <w:rFonts w:ascii="Times New Roman" w:hAnsi="Times New Roman" w:eastAsia="宋体"/>
          <w:sz w:val="24"/>
        </w:rPr>
        <w:t>(5-14)</w:t>
      </w:r>
    </w:p>
    <w:p>
      <w:pPr>
        <w:spacing w:line="360" w:lineRule="auto" w:after="0"/>
        <w:jc w:val="both"/>
      </w:pPr>
      <w:r>
        <w:rPr>
          <w:rFonts w:ascii="宋体" w:hAnsi="宋体" w:eastAsia="宋体"/>
          <w:sz w:val="24"/>
        </w:rPr>
        <w:t>其中，</w:t>
      </w:r>
      <m:oMath>
        <m:sSub>
          <m:e>
            <m:r>
              <m:t>ε</m:t>
            </m:r>
          </m:e>
          <m:sub>
            <m:r>
              <m:rPr>
                <m:sty m:val="p"/>
              </m:rPr>
              <m:t>t</m:t>
            </m:r>
            <m:r>
              <m:rPr>
                <m:sty m:val="p"/>
              </m:rPr>
              <m:t>r</m:t>
            </m:r>
          </m:sub>
        </m:sSub>
      </m:oMath>
      <w:r>
        <w:rPr>
          <w:rFonts w:ascii="宋体" w:hAnsi="宋体" w:eastAsia="宋体"/>
          <w:sz w:val="24"/>
        </w:rPr>
        <w:t>为传递一致性误差，取遍任意三个档位</w:t>
      </w:r>
      <m:oMath>
        <m:r>
          <m:t>a</m:t>
        </m:r>
      </m:oMath>
      <w:r>
        <w:rPr>
          <w:rFonts w:ascii="宋体" w:hAnsi="宋体" w:eastAsia="宋体"/>
          <w:sz w:val="24"/>
        </w:rPr>
        <w:t>、</w:t>
      </w:r>
      <m:oMath>
        <m:r>
          <m:t>b</m:t>
        </m:r>
      </m:oMath>
      <w:r>
        <w:rPr>
          <w:rFonts w:ascii="宋体" w:hAnsi="宋体" w:eastAsia="宋体"/>
          <w:sz w:val="24"/>
        </w:rPr>
        <w:t>、</w:t>
      </w:r>
      <m:oMath>
        <m:r>
          <m:t>c</m:t>
        </m:r>
      </m:oMath>
      <w:r>
        <w:rPr>
          <w:rFonts w:ascii="宋体" w:hAnsi="宋体" w:eastAsia="宋体"/>
          <w:sz w:val="24"/>
        </w:rPr>
        <w:t>的链式折算与直接折算之差的最大绝对值；</w:t>
      </w:r>
      <m:oMath>
        <m:r>
          <m:rPr>
            <m:sty m:val="p"/>
          </m:rPr>
          <m:t>C</m:t>
        </m:r>
        <m:r>
          <m:rPr>
            <m:sty m:val="p"/>
          </m:rPr>
          <m:t>V</m:t>
        </m:r>
        <m:d>
          <m:dPr>
            <m:begChr m:val="("/>
            <m:endChr m:val=")"/>
            <m:grow/>
          </m:dPr>
          <m:e>
            <m:r>
              <m:rPr>
                <m:sty m:val="p"/>
              </m:rPr>
              <m:t>⋅</m:t>
            </m:r>
          </m:e>
        </m:d>
      </m:oMath>
      <w:r>
        <w:rPr>
          <w:rFonts w:ascii="宋体" w:hAnsi="宋体" w:eastAsia="宋体"/>
          <w:sz w:val="24"/>
        </w:rPr>
        <w:t>为变异系数，</w:t>
      </w:r>
      <m:oMath>
        <m:sSub>
          <m:e>
            <m:r>
              <m:t>Δ</m:t>
            </m:r>
          </m:e>
          <m:sub>
            <m:r>
              <m:rPr>
                <m:sty m:val="p"/>
              </m:rPr>
              <m:t>C</m:t>
            </m:r>
            <m:r>
              <m:rPr>
                <m:sty m:val="p"/>
              </m:rPr>
              <m:t>V</m:t>
            </m:r>
          </m:sub>
        </m:sSub>
      </m:oMath>
      <w:r>
        <w:rPr>
          <w:rFonts w:ascii="宋体" w:hAnsi="宋体" w:eastAsia="宋体"/>
          <w:sz w:val="24"/>
        </w:rPr>
        <w:t>为折算带来的离散度下降幅度。</w:t>
      </w:r>
    </w:p>
    <w:p>
      <w:pPr>
        <w:spacing w:line="360" w:lineRule="auto" w:after="0"/>
        <w:ind w:firstLineChars="200" w:firstLine="480"/>
        <w:jc w:val="both"/>
      </w:pPr>
      <w:r>
        <w:rPr>
          <w:rFonts w:ascii="宋体" w:hAnsi="宋体" w:eastAsia="宋体"/>
          <w:sz w:val="24"/>
        </w:rPr>
        <w:t>内部一致性判据的检验结果是决定性的：本书实测的传递一致性误差</w:t>
      </w:r>
      <m:oMath>
        <m:sSub>
          <m:e>
            <m:r>
              <m:t>ε</m:t>
            </m:r>
          </m:e>
          <m:sub>
            <m:r>
              <m:rPr>
                <m:sty m:val="p"/>
              </m:rPr>
              <m:t>t</m:t>
            </m:r>
            <m:r>
              <m:rPr>
                <m:sty m:val="p"/>
              </m:rPr>
              <m:t>r</m:t>
            </m:r>
          </m:sub>
        </m:sSub>
      </m:oMath>
      <w:r>
        <w:rPr>
          <w:rFonts w:ascii="宋体" w:hAnsi="宋体" w:eastAsia="宋体"/>
          <w:sz w:val="24"/>
        </w:rPr>
        <w:t>不超过</w:t>
      </w:r>
      <m:oMath>
        <m:sSup>
          <m:e>
            <m:r>
              <m:t>10</m:t>
            </m:r>
          </m:e>
          <m:sup>
            <m:r>
              <m:rPr>
                <m:sty m:val="p"/>
              </m:rPr>
              <m:t>−</m:t>
            </m:r>
            <m:r>
              <m:t>14</m:t>
            </m:r>
          </m:sup>
        </m:sSup>
      </m:oMath>
      <w:r>
        <w:rPr>
          <w:rFonts w:ascii="宋体" w:hAnsi="宋体" w:eastAsia="宋体"/>
          <w:sz w:val="24"/>
        </w:rPr>
        <w:t>量级，即机器精度量级。这一结果并非偶然，而是命题5.1的必然推论——幂积形式在对数尺度上是线性的，而线性函数的可加性保证了任意折算路径给出相同结果。与之对照，若采用加权算术平均作为合成函数，传递误差将随档位差距扩大而迅速增长，在本书的六档位设定下可达数十个百分点，足以使套利成为可能。这一对照再次说明了公理四的实践价值：它不是形式上的洁癖，而是防止计量体系被套利瓦解的制度屏障。</w:t>
      </w:r>
    </w:p>
    <w:p>
      <w:pPr>
        <w:spacing w:line="360" w:lineRule="auto" w:after="0"/>
        <w:ind w:firstLineChars="200" w:firstLine="480"/>
        <w:jc w:val="both"/>
      </w:pPr>
      <w:r>
        <w:rPr>
          <w:rFonts w:ascii="宋体" w:hAnsi="宋体" w:eastAsia="宋体"/>
          <w:sz w:val="24"/>
        </w:rPr>
        <w:t>外部收敛性判据的检验则通过折算前后单位价格的分布对照完成。折算前后的价格离散度对照如图5.3所示。</w:t>
      </w:r>
    </w:p>
    <w:p>
      <w:pPr>
        <w:spacing w:before="120" w:after="40"/>
        <w:jc w:val="center"/>
      </w:pPr>
      <w:r>
        <w:drawing>
          <wp:inline xmlns:a="http://schemas.openxmlformats.org/drawingml/2006/main" xmlns:pic="http://schemas.openxmlformats.org/drawingml/2006/picture">
            <wp:extent cx="5040000" cy="2472973"/>
            <wp:docPr id="15" name="Picture 15"/>
            <wp:cNvGraphicFramePr>
              <a:graphicFrameLocks noChangeAspect="1"/>
            </wp:cNvGraphicFramePr>
            <a:graphic>
              <a:graphicData uri="http://schemas.openxmlformats.org/drawingml/2006/picture">
                <pic:pic>
                  <pic:nvPicPr>
                    <pic:cNvPr id="0" name="fig5_3.png"/>
                    <pic:cNvPicPr/>
                  </pic:nvPicPr>
                  <pic:blipFill>
                    <a:blip r:embed="rId23"/>
                    <a:stretch>
                      <a:fillRect/>
                    </a:stretch>
                  </pic:blipFill>
                  <pic:spPr>
                    <a:xfrm>
                      <a:off x="0" y="0"/>
                      <a:ext cx="5040000" cy="2472973"/>
                    </a:xfrm>
                    <a:prstGeom prst="rect"/>
                  </pic:spPr>
                </pic:pic>
              </a:graphicData>
            </a:graphic>
          </wp:inline>
        </w:drawing>
      </w:r>
    </w:p>
    <w:p>
      <w:pPr>
        <w:keepNext w:val="0"/>
        <w:spacing w:after="40"/>
        <w:jc w:val="center"/>
      </w:pPr>
      <w:r>
        <w:rPr>
          <w:rFonts w:ascii="黑体" w:hAnsi="黑体" w:eastAsia="黑体"/>
          <w:sz w:val="21"/>
        </w:rPr>
        <w:t>图5.3  折算前后单位价格离散度的对照</w:t>
      </w:r>
    </w:p>
    <w:p>
      <w:pPr>
        <w:spacing w:after="200" w:line="240" w:lineRule="auto"/>
        <w:jc w:val="both"/>
      </w:pPr>
      <w:r>
        <w:rPr>
          <w:rFonts w:ascii="宋体" w:hAnsi="宋体" w:eastAsia="宋体"/>
          <w:sz w:val="18"/>
        </w:rPr>
        <w:t>注：（a）为物理词元单价</w:t>
      </w:r>
      <m:oMath>
        <m:r>
          <m:t>p</m:t>
        </m:r>
      </m:oMath>
      <w:r>
        <w:rPr>
          <w:rFonts w:ascii="宋体" w:hAnsi="宋体" w:eastAsia="宋体"/>
          <w:sz w:val="18"/>
        </w:rPr>
        <w:t>的分布，（b）为标准词元单价</w:t>
      </w:r>
      <m:oMath>
        <m:acc>
          <m:accPr>
            <m:chr m:val="̃"/>
          </m:accPr>
          <m:e>
            <m:r>
              <m:t>p</m:t>
            </m:r>
          </m:e>
        </m:acc>
        <m:r>
          <m:rPr>
            <m:sty m:val="p"/>
          </m:rPr>
          <m:t>=</m:t>
        </m:r>
        <m:r>
          <m:t>p</m:t>
        </m:r>
        <m:r>
          <m:rPr>
            <m:sty m:val="p"/>
          </m:rPr>
          <m:t>/</m:t>
        </m:r>
        <m:r>
          <m:t>η</m:t>
        </m:r>
      </m:oMath>
      <w:r>
        <w:rPr>
          <w:rFonts w:ascii="宋体" w:hAnsi="宋体" w:eastAsia="宋体"/>
          <w:sz w:val="18"/>
        </w:rPr>
        <w:t>的分布；每档位40个服务报价观测、六档位共240个观测，纵轴为对数刻度；箱体为四分位区间、横线为中位数、须线为1.5倍四分位距、散点为界外值；CV为变异系数。数据来源：作者校准复算。</w:t>
      </w:r>
    </w:p>
    <w:p>
      <w:pPr>
        <w:spacing w:line="360" w:lineRule="auto" w:after="0"/>
        <w:ind w:firstLineChars="200" w:firstLine="480"/>
        <w:jc w:val="both"/>
      </w:pPr>
      <w:r>
        <w:rPr>
          <w:rFonts w:ascii="宋体" w:hAnsi="宋体" w:eastAsia="宋体"/>
          <w:sz w:val="24"/>
        </w:rPr>
        <w:t>图5.3给出的对照极为清晰。折算前，六档位的价格箱体沿纵轴阶梯式排列，档位之间几乎没有重叠，全样本变异系数达0.92；折算后，六个箱体收敛到同一水平带内并大幅重叠，变异系数降至0.31，离散度下降66%。其余两项离散度指标给出一致的结论：基尼系数由0.47降至0.17（下降64%），P90与P10之比由12.6倍收敛至2.4倍（下降81%）。三项指标一致显著收敛，其中变异系数与基尼系数的降幅均约三分之二，说明效值折算确实抓住了价格离散的主要来源——不同档位词元的价格差异，主要不是市场分割或价格歧视的产物，而是价值密度差异的正常反映。</w:t>
      </w:r>
    </w:p>
    <w:p>
      <w:pPr>
        <w:spacing w:line="360" w:lineRule="auto" w:after="0"/>
        <w:ind w:firstLineChars="200" w:firstLine="480"/>
        <w:jc w:val="both"/>
      </w:pPr>
      <w:r>
        <w:rPr>
          <w:rFonts w:ascii="宋体" w:hAnsi="宋体" w:eastAsia="宋体"/>
          <w:sz w:val="24"/>
        </w:rPr>
        <w:t>同样重要的是残余离散的解释。折算后仍存在的三成左右的离散并不意味着折算失败，恰恰相反，</w:t>
      </w:r>
      <w:r>
        <w:rPr>
          <w:rFonts w:ascii="宋体" w:hAnsi="宋体" w:eastAsia="宋体"/>
          <w:b/>
          <w:sz w:val="24"/>
        </w:rPr>
        <w:t>一个把全部离散消除殆尽的折算体系反而是可疑的</w:t>
      </w:r>
      <w:r>
        <w:rPr>
          <w:rFonts w:ascii="宋体" w:hAnsi="宋体" w:eastAsia="宋体"/>
          <w:sz w:val="24"/>
        </w:rPr>
        <w:t>，因为那意味着折算函数吸收了本不属于计量范畴的信息。残余离散至少包含四类真实经济信息：服务质量与可用性差异（时延、并发与可靠性）、市场势力差异（供给集中度与议价能力）、合约条款差异（承诺用量、峰谷分时与预留实例）以及区域成本差异（电价、地价与网络成本）。这四类信息正是第7章三层定价结构与第8章市场竞争分析的对象。折算的目标不是消灭差异，而是把「因价值密度不同而应有的差异」与「因市场摩擦而不应有的差异」分离开来——前者由折算系数解释，后者留给市场分析。</w:t>
      </w:r>
    </w:p>
    <w:p>
      <w:pPr>
        <w:keepNext/>
        <w:spacing w:before="160" w:after="120" w:line="360" w:lineRule="auto"/>
        <w:outlineLvl w:val="2"/>
      </w:pPr>
      <w:r>
        <w:rPr>
          <w:rFonts w:ascii="黑体" w:hAnsi="黑体" w:eastAsia="黑体"/>
          <w:sz w:val="24"/>
        </w:rPr>
        <w:t>5.5.3  市场是否已在为效值定价：效值—价格对应关系的检验</w:t>
      </w:r>
    </w:p>
    <w:p>
      <w:pPr>
        <w:spacing w:line="360" w:lineRule="auto" w:after="0"/>
        <w:ind w:firstLineChars="200" w:firstLine="480"/>
        <w:jc w:val="both"/>
      </w:pPr>
      <w:r>
        <w:rPr>
          <w:rFonts w:ascii="宋体" w:hAnsi="宋体" w:eastAsia="宋体"/>
          <w:sz w:val="24"/>
        </w:rPr>
        <w:t>折算体系的一个深层问题是：它究竟是研究者外加于市场的一套人为规则，还是对市场既有定价逻辑的显性化？回答这一问题的办法，是把效值系数与市场单价放在同一坐标系中考察其对应关系。若市场事实上已在为效值定价，那么各档位的观测点应当沿一条过原点的射线分布，射线的斜率即隐含的标准词元均价；若市场并未识别效值，观测点则应围绕一条水平线随机散布。检验结果如图5.4所示。</w:t>
      </w:r>
    </w:p>
    <w:p>
      <w:pPr>
        <w:spacing w:before="120" w:after="40"/>
        <w:jc w:val="center"/>
      </w:pPr>
      <w:r>
        <w:drawing>
          <wp:inline xmlns:a="http://schemas.openxmlformats.org/drawingml/2006/main" xmlns:pic="http://schemas.openxmlformats.org/drawingml/2006/picture">
            <wp:extent cx="4860000" cy="3259834"/>
            <wp:docPr id="16" name="Picture 16"/>
            <wp:cNvGraphicFramePr>
              <a:graphicFrameLocks noChangeAspect="1"/>
            </wp:cNvGraphicFramePr>
            <a:graphic>
              <a:graphicData uri="http://schemas.openxmlformats.org/drawingml/2006/picture">
                <pic:pic>
                  <pic:nvPicPr>
                    <pic:cNvPr id="0" name="fig5_4.png"/>
                    <pic:cNvPicPr/>
                  </pic:nvPicPr>
                  <pic:blipFill>
                    <a:blip r:embed="rId24"/>
                    <a:stretch>
                      <a:fillRect/>
                    </a:stretch>
                  </pic:blipFill>
                  <pic:spPr>
                    <a:xfrm>
                      <a:off x="0" y="0"/>
                      <a:ext cx="4860000" cy="3259834"/>
                    </a:xfrm>
                    <a:prstGeom prst="rect"/>
                  </pic:spPr>
                </pic:pic>
              </a:graphicData>
            </a:graphic>
          </wp:inline>
        </w:drawing>
      </w:r>
    </w:p>
    <w:p>
      <w:pPr>
        <w:keepNext w:val="0"/>
        <w:spacing w:after="40"/>
        <w:jc w:val="center"/>
      </w:pPr>
      <w:r>
        <w:rPr>
          <w:rFonts w:ascii="黑体" w:hAnsi="黑体" w:eastAsia="黑体"/>
          <w:sz w:val="21"/>
        </w:rPr>
        <w:t>图5.4  效值系数与市场价格的对应关系</w:t>
      </w:r>
    </w:p>
    <w:p>
      <w:pPr>
        <w:spacing w:after="200" w:line="240" w:lineRule="auto"/>
        <w:jc w:val="both"/>
      </w:pPr>
      <w:r>
        <w:rPr>
          <w:rFonts w:ascii="宋体" w:hAnsi="宋体" w:eastAsia="宋体"/>
          <w:sz w:val="18"/>
        </w:rPr>
        <w:t>注：横轴为效值系数η，纵轴为2026年第二季度每百万物理词元的市场单价；实线为过原点最小二乘拟合线，其斜率即隐含的标准词元均价；虚线段为各档位相对拟合线的残差。图中标注的两个决定系数含义不同：一为价格对效值的拟合优度，二为式(5-11)标定折算函数时对实测效值的拟合优度，二者不可混同。数据来源：作者校准复算。</w:t>
      </w:r>
    </w:p>
    <w:p>
      <w:pPr>
        <w:spacing w:line="360" w:lineRule="auto" w:after="0"/>
        <w:ind w:firstLineChars="200" w:firstLine="480"/>
        <w:jc w:val="both"/>
      </w:pPr>
      <w:r>
        <w:rPr>
          <w:rFonts w:ascii="宋体" w:hAnsi="宋体" w:eastAsia="宋体"/>
          <w:sz w:val="24"/>
        </w:rPr>
        <w:t>图5.4的结论是明确的：市场已经在为效值定价。六档位观测点沿一条过原点的射线系统性上升，过原点最小二乘拟合的斜率为2.62、决定系数为0.86。斜率的量纲是「元每百万标准词元」，即市场隐含的标准词元均价约为每百万2.62元。这一发现具有重要的方法论意义：</w:t>
      </w:r>
      <w:r>
        <w:rPr>
          <w:rFonts w:ascii="宋体" w:hAnsi="宋体" w:eastAsia="宋体"/>
          <w:b/>
          <w:sz w:val="24"/>
        </w:rPr>
        <w:t>本书所做的并非发明一套新的定价规则，而是把市场已经在暗中执行的折算逻辑显性化、公理化与制度化。</w:t>
      </w:r>
      <w:r>
        <w:rPr>
          <w:rFonts w:ascii="宋体" w:hAnsi="宋体" w:eastAsia="宋体"/>
          <w:sz w:val="24"/>
        </w:rPr>
        <w:t>分散在各家平台定价策略中的效值判断，本来就是一种事实上的折算，只是它既不公开、不统一，也不可核验；标准词元体系的贡献，是把这套隐性知识转化为公共计量基础设施。需要强调的是，此处的检验不构成循环论证：由式(5-10)可知，实测效值由等效替代率定义，其标定过程完全不使用价格数据，因而价格与效值的对应关系是一个独立的经验发现。</w:t>
      </w:r>
    </w:p>
    <w:p>
      <w:pPr>
        <w:spacing w:line="360" w:lineRule="auto" w:after="0"/>
        <w:ind w:firstLineChars="200" w:firstLine="480"/>
        <w:jc w:val="both"/>
      </w:pPr>
      <w:r>
        <w:rPr>
          <w:rFonts w:ascii="宋体" w:hAnsi="宋体" w:eastAsia="宋体"/>
          <w:sz w:val="24"/>
        </w:rPr>
        <w:t>拟合的残差结构则揭示了效值溢价的失衡。决定系数0.86虽高却远非完美：推理增强级的单价高出等比例拟合线2.80元，多模态级则低于拟合线1.85元。若折算体系完备且市场充分竞争，残差应当只反映随机扰动；系统性偏离则提示两类可能。</w:t>
      </w:r>
      <w:r>
        <w:rPr>
          <w:rFonts w:ascii="宋体" w:hAnsi="宋体" w:eastAsia="宋体"/>
          <w:b/>
          <w:sz w:val="24"/>
        </w:rPr>
        <w:t>一是效值维度的遗漏。</w:t>
      </w:r>
      <w:r>
        <w:rPr>
          <w:rFonts w:ascii="宋体" w:hAnsi="宋体" w:eastAsia="宋体"/>
          <w:sz w:val="24"/>
        </w:rPr>
        <w:t>例如多模态词元的场景效用可能被低估，因为跨模态任务的替代工时测度尚不成熟。</w:t>
      </w:r>
      <w:r>
        <w:rPr>
          <w:rFonts w:ascii="宋体" w:hAnsi="宋体" w:eastAsia="宋体"/>
          <w:b/>
          <w:sz w:val="24"/>
        </w:rPr>
        <w:t>二是市场势力与信息不对称造成的溢价失衡。</w:t>
      </w:r>
      <w:r>
        <w:rPr>
          <w:rFonts w:ascii="宋体" w:hAnsi="宋体" w:eastAsia="宋体"/>
          <w:sz w:val="24"/>
        </w:rPr>
        <w:t>本书倾向于后者：企业对所购词元效值的认知偏差均值达0.44，在质量不可观测的条件下，高效值供给难以获得应有溢价，而具有品牌与生态优势的供给方则可能获得超出效值的溢价（Akerlof，1970）。这一残差结构因此具有直接的政策含义：</w:t>
      </w:r>
      <w:r>
        <w:rPr>
          <w:rFonts w:ascii="宋体" w:hAnsi="宋体" w:eastAsia="宋体"/>
          <w:b/>
          <w:sz w:val="24"/>
        </w:rPr>
        <w:t>效值信息的公开披露，本身就是一项能够改善市场效率的制度供给</w:t>
      </w:r>
      <w:r>
        <w:rPr>
          <w:rFonts w:ascii="宋体" w:hAnsi="宋体" w:eastAsia="宋体"/>
          <w:sz w:val="24"/>
        </w:rPr>
        <w:t>——它使买方得以按效值而非按品牌支付，从而把溢价重新锚定于价值密度。第8章将据此讨论词元市场的柠檬化风险与信息披露制度，第14章将把效值披露列入政策建议。</w:t>
      </w:r>
    </w:p>
    <w:p>
      <w:pPr>
        <w:keepNext/>
        <w:spacing w:before="160" w:after="120" w:line="360" w:lineRule="auto"/>
        <w:outlineLvl w:val="2"/>
      </w:pPr>
      <w:r>
        <w:rPr>
          <w:rFonts w:ascii="黑体" w:hAnsi="黑体" w:eastAsia="黑体"/>
          <w:sz w:val="24"/>
        </w:rPr>
        <w:t>5.5.4  从个体折算到总量指数：标准词元流量的口径与纪律</w:t>
      </w:r>
    </w:p>
    <w:p>
      <w:pPr>
        <w:spacing w:line="360" w:lineRule="auto" w:after="0"/>
        <w:ind w:firstLineChars="200" w:firstLine="480"/>
        <w:jc w:val="both"/>
      </w:pPr>
      <w:r>
        <w:rPr>
          <w:rFonts w:ascii="宋体" w:hAnsi="宋体" w:eastAsia="宋体"/>
          <w:sz w:val="24"/>
        </w:rPr>
        <w:t>个体层的折算系数确立之后，总量层的标准词元流量即可按可加性直接构造：把各档位的物理词元量乘以相应效值系数后加总，即得标准词元总量；其与物理词元总量之比，即用量份额加权的平均效值系数。第3章式(3-8)已给出这一构造及其增长率分解，此处不再重复推导，而着重讨论总量指数的使用纪律。以本书校准的六档位用量份额计算，2026年按用量加权的平均效值系数为1.43，即平均而言每一枚物理词元约相当于1.43枚标准词元；据此，国家数据局公布的2026年3月日均140万亿枚物理词元，按标准词元口径约相当于日均200万亿枚。</w:t>
      </w:r>
    </w:p>
    <w:p>
      <w:pPr>
        <w:spacing w:line="360" w:lineRule="auto" w:after="0"/>
        <w:ind w:firstLineChars="200" w:firstLine="480"/>
        <w:jc w:val="both"/>
      </w:pPr>
      <w:r>
        <w:rPr>
          <w:rFonts w:ascii="宋体" w:hAnsi="宋体" w:eastAsia="宋体"/>
          <w:sz w:val="24"/>
        </w:rPr>
        <w:t>这一示意换算必须附加三条使用纪律，否则极易被误读。</w:t>
      </w:r>
      <w:r>
        <w:rPr>
          <w:rFonts w:ascii="宋体" w:hAnsi="宋体" w:eastAsia="宋体"/>
          <w:b/>
          <w:sz w:val="24"/>
        </w:rPr>
        <w:t>纪律一：官方从未发布标准词元口径的调用量。</w:t>
      </w:r>
      <w:r>
        <w:rPr>
          <w:rFonts w:ascii="宋体" w:hAnsi="宋体" w:eastAsia="宋体"/>
          <w:sz w:val="24"/>
        </w:rPr>
        <w:t>国家数据局公布的四个锚点——2024年初1000亿枚、2025年6月底30万亿枚、2025年底100万亿枚、2026年3月140万亿枚——全部是物理词元的全国日均调用量；本书的换算所用的份额与效值系数均系作者校准复算的结果，换算值不具有官方性质，不得作为统计数据引用。</w:t>
      </w:r>
      <w:r>
        <w:rPr>
          <w:rFonts w:ascii="宋体" w:hAnsi="宋体" w:eastAsia="宋体"/>
          <w:b/>
          <w:sz w:val="24"/>
        </w:rPr>
        <w:t>纪律二：换算比例随结构漂移而变化，不能作为固定系数事后修正历史序列。</w:t>
      </w:r>
      <w:r>
        <w:rPr>
          <w:rFonts w:ascii="宋体" w:hAnsi="宋体" w:eastAsia="宋体"/>
          <w:sz w:val="24"/>
        </w:rPr>
        <w:t>平均效值系数</w:t>
      </w:r>
      <m:oMath>
        <m:acc>
          <m:accPr>
            <m:chr m:val="‾"/>
          </m:accPr>
          <m:e>
            <m:r>
              <m:t>η</m:t>
            </m:r>
          </m:e>
        </m:acc>
      </m:oMath>
      <w:r>
        <w:rPr>
          <w:rFonts w:ascii="宋体" w:hAnsi="宋体" w:eastAsia="宋体"/>
          <w:sz w:val="24"/>
        </w:rPr>
        <w:t>本身是用量份额的函数，当结构向高效值档位漂移时它上升、反之下降；正确的做法是在计量环节按档位即时折算，而不是对总量事后乘一个固定倍数。</w:t>
      </w:r>
      <w:r>
        <w:rPr>
          <w:rFonts w:ascii="宋体" w:hAnsi="宋体" w:eastAsia="宋体"/>
          <w:b/>
          <w:sz w:val="24"/>
        </w:rPr>
        <w:t>纪律三：物理口径与当量口径的增长率不可混用。</w:t>
      </w:r>
      <w:r>
        <w:rPr>
          <w:rFonts w:ascii="宋体" w:hAnsi="宋体" w:eastAsia="宋体"/>
          <w:sz w:val="24"/>
        </w:rPr>
        <w:t>由式(3-8)可知，两种口径增长率之差恰等于平均效值系数的增长率，在结构快速漂移期这一差额足以改变任何以词元流量为自变量的实证结论。</w:t>
      </w:r>
    </w:p>
    <w:p>
      <w:pPr>
        <w:spacing w:line="360" w:lineRule="auto" w:after="0"/>
        <w:ind w:firstLineChars="200" w:firstLine="480"/>
        <w:jc w:val="both"/>
      </w:pPr>
      <w:r>
        <w:rPr>
          <w:rFonts w:ascii="宋体" w:hAnsi="宋体" w:eastAsia="宋体"/>
          <w:sz w:val="24"/>
        </w:rPr>
        <w:t>总量指数的构建还需回应一个技术问题：效值系数本身会随技术进步而变化，指数如何保持跨期可比？本书采用与价格指数编制相同的解决方案——链式接续。即在每个标定期内以固定效值系数计算当期标准词元流量，标定期更替时以重叠期的双口径观测计算接续因子，从而把各期的定基指数链接为连续序列（Erickson和Pakes，2011；Redding和Weinstein，2020）。链式方法的代价是丧失严格的定基可比性，收益是避免了固定权重在长期内的严重失真；在技术迭代速度以月计的词元领域，这一取舍显然应当倾向于链式。第7章编制的标准词元价格指数将采用同一处理，两者共享标定期与接续规则，以保证量、价两侧口径一致。这一点对第12章的增长核算尤为关键：若量的指数与价的指数采用不同的接续规则，名义支出的量价分解将出现系统性缺口。</w:t>
      </w:r>
    </w:p>
    <w:p>
      <w:pPr>
        <w:keepNext/>
        <w:spacing w:before="160" w:after="120" w:line="360" w:lineRule="auto"/>
        <w:outlineLvl w:val="1"/>
      </w:pPr>
      <w:r>
        <w:rPr>
          <w:rFonts w:ascii="黑体" w:hAnsi="黑体" w:eastAsia="黑体"/>
          <w:sz w:val="28"/>
        </w:rPr>
        <w:t>5.6  与标准煤、标准箱、二氧化碳当量的类比与差异</w:t>
      </w:r>
    </w:p>
    <w:p>
      <w:pPr>
        <w:keepNext/>
        <w:spacing w:before="160" w:after="120" w:line="360" w:lineRule="auto"/>
        <w:outlineLvl w:val="2"/>
      </w:pPr>
      <w:r>
        <w:rPr>
          <w:rFonts w:ascii="黑体" w:hAnsi="黑体" w:eastAsia="黑体"/>
          <w:sz w:val="24"/>
        </w:rPr>
        <w:t>5.6.1  四类当量体系的共同结构</w:t>
      </w:r>
    </w:p>
    <w:p>
      <w:pPr>
        <w:spacing w:line="360" w:lineRule="auto" w:after="0"/>
        <w:ind w:firstLineChars="200" w:firstLine="480"/>
        <w:jc w:val="both"/>
      </w:pPr>
      <w:r>
        <w:rPr>
          <w:rFonts w:ascii="宋体" w:hAnsi="宋体" w:eastAsia="宋体"/>
          <w:sz w:val="24"/>
        </w:rPr>
        <w:t>把标准词元置于当量折算的历史谱系中考察，既能确认其方法论的正统性，也能暴露其特殊困难。标准煤、标准箱、二氧化碳当量与标准词元四类体系的逐维比较见表5.3。</w:t>
      </w:r>
    </w:p>
    <w:p>
      <w:pPr>
        <w:keepNext/>
        <w:spacing w:before="160" w:after="40"/>
        <w:jc w:val="center"/>
      </w:pPr>
      <w:r>
        <w:rPr>
          <w:rFonts w:ascii="黑体" w:hAnsi="黑体" w:eastAsia="黑体"/>
          <w:sz w:val="21"/>
        </w:rPr>
        <w:t>表5.3  四类当量折算体系的逐维比较</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比较维度</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标准煤</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标准箱（TEU）</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二氧化碳当量</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标准词元（STE）</w:t>
            </w:r>
          </w:p>
        </w:tc>
      </w:tr>
      <w:tr>
        <w:tc>
          <w:tcPr>
            <w:tcW w:type="dxa" w:w="1701"/>
            <w:vAlign w:val="center"/>
          </w:tcPr>
          <w:p>
            <w:pPr>
              <w:spacing w:line="240" w:lineRule="auto" w:after="20" w:before="20"/>
              <w:jc w:val="left"/>
            </w:pPr>
            <w:r/>
            <w:r>
              <w:rPr>
                <w:rFonts w:ascii="宋体" w:hAnsi="宋体" w:eastAsia="宋体"/>
                <w:sz w:val="21"/>
              </w:rPr>
              <w:t>基准品</w:t>
            </w:r>
          </w:p>
        </w:tc>
        <w:tc>
          <w:tcPr>
            <w:tcW w:type="dxa" w:w="1701"/>
            <w:vAlign w:val="center"/>
          </w:tcPr>
          <w:p>
            <w:pPr>
              <w:spacing w:line="240" w:lineRule="auto" w:after="20" w:before="20"/>
              <w:jc w:val="left"/>
            </w:pPr>
            <w:r/>
            <w:r>
              <w:rPr>
                <w:rFonts w:ascii="宋体" w:hAnsi="宋体" w:eastAsia="宋体"/>
                <w:sz w:val="21"/>
              </w:rPr>
              <w:t>低位发热量29307千焦的1千克煤（规范值）</w:t>
            </w:r>
          </w:p>
        </w:tc>
        <w:tc>
          <w:tcPr>
            <w:tcW w:type="dxa" w:w="1701"/>
            <w:vAlign w:val="center"/>
          </w:tcPr>
          <w:p>
            <w:pPr>
              <w:spacing w:line="240" w:lineRule="auto" w:after="20" w:before="20"/>
              <w:jc w:val="left"/>
            </w:pPr>
            <w:r/>
            <w:r>
              <w:rPr>
                <w:rFonts w:ascii="宋体" w:hAnsi="宋体" w:eastAsia="宋体"/>
                <w:sz w:val="21"/>
              </w:rPr>
              <w:t>20英尺标准集装箱</w:t>
            </w:r>
          </w:p>
        </w:tc>
        <w:tc>
          <w:tcPr>
            <w:tcW w:type="dxa" w:w="1701"/>
            <w:vAlign w:val="center"/>
          </w:tcPr>
          <w:p>
            <w:pPr>
              <w:spacing w:line="240" w:lineRule="auto" w:after="20" w:before="20"/>
              <w:jc w:val="left"/>
            </w:pPr>
            <w:r/>
            <w:r>
              <w:rPr>
                <w:rFonts w:ascii="宋体" w:hAnsi="宋体" w:eastAsia="宋体"/>
                <w:sz w:val="21"/>
              </w:rPr>
              <w:t>1吨二氧化碳</w:t>
            </w:r>
          </w:p>
        </w:tc>
        <w:tc>
          <w:tcPr>
            <w:tcW w:type="dxa" w:w="1701"/>
            <w:vAlign w:val="center"/>
          </w:tcPr>
          <w:p>
            <w:pPr>
              <w:spacing w:line="240" w:lineRule="auto" w:after="20" w:before="20"/>
              <w:jc w:val="left"/>
            </w:pPr>
            <w:r/>
            <w:r>
              <w:rPr>
                <w:rFonts w:ascii="宋体" w:hAnsi="宋体" w:eastAsia="宋体"/>
                <w:sz w:val="21"/>
              </w:rPr>
              <w:t>中型通用级模型在基准任务集上的1枚词元</w:t>
            </w:r>
          </w:p>
        </w:tc>
      </w:tr>
      <w:tr>
        <w:tc>
          <w:tcPr>
            <w:tcW w:type="dxa" w:w="1701"/>
            <w:vAlign w:val="center"/>
          </w:tcPr>
          <w:p>
            <w:pPr>
              <w:spacing w:line="240" w:lineRule="auto" w:after="20" w:before="20"/>
              <w:jc w:val="left"/>
            </w:pPr>
            <w:r/>
            <w:r>
              <w:rPr>
                <w:rFonts w:ascii="宋体" w:hAnsi="宋体" w:eastAsia="宋体"/>
                <w:sz w:val="21"/>
              </w:rPr>
              <w:t>刻度依据</w:t>
            </w:r>
          </w:p>
        </w:tc>
        <w:tc>
          <w:tcPr>
            <w:tcW w:type="dxa" w:w="1701"/>
            <w:vAlign w:val="center"/>
          </w:tcPr>
          <w:p>
            <w:pPr>
              <w:spacing w:line="240" w:lineRule="auto" w:after="20" w:before="20"/>
              <w:jc w:val="left"/>
            </w:pPr>
            <w:r/>
            <w:r>
              <w:rPr>
                <w:rFonts w:ascii="宋体" w:hAnsi="宋体" w:eastAsia="宋体"/>
                <w:sz w:val="21"/>
              </w:rPr>
              <w:t>低位发热量</w:t>
            </w:r>
          </w:p>
        </w:tc>
        <w:tc>
          <w:tcPr>
            <w:tcW w:type="dxa" w:w="1701"/>
            <w:vAlign w:val="center"/>
          </w:tcPr>
          <w:p>
            <w:pPr>
              <w:spacing w:line="240" w:lineRule="auto" w:after="20" w:before="20"/>
              <w:jc w:val="left"/>
            </w:pPr>
            <w:r/>
            <w:r>
              <w:rPr>
                <w:rFonts w:ascii="宋体" w:hAnsi="宋体" w:eastAsia="宋体"/>
                <w:sz w:val="21"/>
              </w:rPr>
              <w:t>箱位当量</w:t>
            </w:r>
          </w:p>
        </w:tc>
        <w:tc>
          <w:tcPr>
            <w:tcW w:type="dxa" w:w="1701"/>
            <w:vAlign w:val="center"/>
          </w:tcPr>
          <w:p>
            <w:pPr>
              <w:spacing w:line="240" w:lineRule="auto" w:after="20" w:before="20"/>
              <w:jc w:val="left"/>
            </w:pPr>
            <w:r/>
            <w:r>
              <w:rPr>
                <w:rFonts w:ascii="宋体" w:hAnsi="宋体" w:eastAsia="宋体"/>
                <w:sz w:val="21"/>
              </w:rPr>
              <w:t>全球增温潜势</w:t>
            </w:r>
          </w:p>
        </w:tc>
        <w:tc>
          <w:tcPr>
            <w:tcW w:type="dxa" w:w="1701"/>
            <w:vAlign w:val="center"/>
          </w:tcPr>
          <w:p>
            <w:pPr>
              <w:spacing w:line="240" w:lineRule="auto" w:after="20" w:before="20"/>
              <w:jc w:val="left"/>
            </w:pPr>
            <w:r/>
            <w:r>
              <w:rPr>
                <w:rFonts w:ascii="宋体" w:hAnsi="宋体" w:eastAsia="宋体"/>
                <w:sz w:val="21"/>
              </w:rPr>
              <w:t>算力强度、推理质量与场景效用的加权几何合成</w:t>
            </w:r>
          </w:p>
        </w:tc>
      </w:tr>
      <w:tr>
        <w:tc>
          <w:tcPr>
            <w:tcW w:type="dxa" w:w="1701"/>
            <w:vAlign w:val="center"/>
          </w:tcPr>
          <w:p>
            <w:pPr>
              <w:spacing w:line="240" w:lineRule="auto" w:after="20" w:before="20"/>
              <w:jc w:val="left"/>
            </w:pPr>
            <w:r/>
            <w:r>
              <w:rPr>
                <w:rFonts w:ascii="宋体" w:hAnsi="宋体" w:eastAsia="宋体"/>
                <w:sz w:val="21"/>
              </w:rPr>
              <w:t>刻度维数</w:t>
            </w:r>
          </w:p>
        </w:tc>
        <w:tc>
          <w:tcPr>
            <w:tcW w:type="dxa" w:w="1701"/>
            <w:vAlign w:val="center"/>
          </w:tcPr>
          <w:p>
            <w:pPr>
              <w:spacing w:line="240" w:lineRule="auto" w:after="20" w:before="20"/>
              <w:jc w:val="left"/>
            </w:pPr>
            <w:r/>
            <w:r>
              <w:rPr>
                <w:rFonts w:ascii="宋体" w:hAnsi="宋体" w:eastAsia="宋体"/>
                <w:sz w:val="21"/>
              </w:rPr>
              <w:t>一维</w:t>
            </w:r>
          </w:p>
        </w:tc>
        <w:tc>
          <w:tcPr>
            <w:tcW w:type="dxa" w:w="1701"/>
            <w:vAlign w:val="center"/>
          </w:tcPr>
          <w:p>
            <w:pPr>
              <w:spacing w:line="240" w:lineRule="auto" w:after="20" w:before="20"/>
              <w:jc w:val="left"/>
            </w:pPr>
            <w:r/>
            <w:r>
              <w:rPr>
                <w:rFonts w:ascii="宋体" w:hAnsi="宋体" w:eastAsia="宋体"/>
                <w:sz w:val="21"/>
              </w:rPr>
              <w:t>一维</w:t>
            </w:r>
          </w:p>
        </w:tc>
        <w:tc>
          <w:tcPr>
            <w:tcW w:type="dxa" w:w="1701"/>
            <w:vAlign w:val="center"/>
          </w:tcPr>
          <w:p>
            <w:pPr>
              <w:spacing w:line="240" w:lineRule="auto" w:after="20" w:before="20"/>
              <w:jc w:val="left"/>
            </w:pPr>
            <w:r/>
            <w:r>
              <w:rPr>
                <w:rFonts w:ascii="宋体" w:hAnsi="宋体" w:eastAsia="宋体"/>
                <w:sz w:val="21"/>
              </w:rPr>
              <w:t>一维</w:t>
            </w:r>
          </w:p>
        </w:tc>
        <w:tc>
          <w:tcPr>
            <w:tcW w:type="dxa" w:w="1701"/>
            <w:vAlign w:val="center"/>
          </w:tcPr>
          <w:p>
            <w:pPr>
              <w:spacing w:line="240" w:lineRule="auto" w:after="20" w:before="20"/>
              <w:jc w:val="left"/>
            </w:pPr>
            <w:r/>
            <w:r>
              <w:rPr>
                <w:rFonts w:ascii="宋体" w:hAnsi="宋体" w:eastAsia="宋体"/>
                <w:sz w:val="21"/>
              </w:rPr>
              <w:t>三维合成</w:t>
            </w:r>
          </w:p>
        </w:tc>
      </w:tr>
      <w:tr>
        <w:tc>
          <w:tcPr>
            <w:tcW w:type="dxa" w:w="1701"/>
            <w:vAlign w:val="center"/>
          </w:tcPr>
          <w:p>
            <w:pPr>
              <w:spacing w:line="240" w:lineRule="auto" w:after="20" w:before="20"/>
              <w:jc w:val="left"/>
            </w:pPr>
            <w:r/>
            <w:r>
              <w:rPr>
                <w:rFonts w:ascii="宋体" w:hAnsi="宋体" w:eastAsia="宋体"/>
                <w:sz w:val="21"/>
              </w:rPr>
              <w:t>刻度的可测性</w:t>
            </w:r>
          </w:p>
        </w:tc>
        <w:tc>
          <w:tcPr>
            <w:tcW w:type="dxa" w:w="1701"/>
            <w:vAlign w:val="center"/>
          </w:tcPr>
          <w:p>
            <w:pPr>
              <w:spacing w:line="240" w:lineRule="auto" w:after="20" w:before="20"/>
              <w:jc w:val="left"/>
            </w:pPr>
            <w:r/>
            <w:r>
              <w:rPr>
                <w:rFonts w:ascii="宋体" w:hAnsi="宋体" w:eastAsia="宋体"/>
                <w:sz w:val="21"/>
              </w:rPr>
              <w:t>量热仪直接测得，争议极小</w:t>
            </w:r>
          </w:p>
        </w:tc>
        <w:tc>
          <w:tcPr>
            <w:tcW w:type="dxa" w:w="1701"/>
            <w:vAlign w:val="center"/>
          </w:tcPr>
          <w:p>
            <w:pPr>
              <w:spacing w:line="240" w:lineRule="auto" w:after="20" w:before="20"/>
              <w:jc w:val="left"/>
            </w:pPr>
            <w:r/>
            <w:r>
              <w:rPr>
                <w:rFonts w:ascii="宋体" w:hAnsi="宋体" w:eastAsia="宋体"/>
                <w:sz w:val="21"/>
              </w:rPr>
              <w:t>几何尺寸直接测得，无争议</w:t>
            </w:r>
          </w:p>
        </w:tc>
        <w:tc>
          <w:tcPr>
            <w:tcW w:type="dxa" w:w="1701"/>
            <w:vAlign w:val="center"/>
          </w:tcPr>
          <w:p>
            <w:pPr>
              <w:spacing w:line="240" w:lineRule="auto" w:after="20" w:before="20"/>
              <w:jc w:val="left"/>
            </w:pPr>
            <w:r/>
            <w:r>
              <w:rPr>
                <w:rFonts w:ascii="宋体" w:hAnsi="宋体" w:eastAsia="宋体"/>
                <w:sz w:val="21"/>
              </w:rPr>
              <w:t>由大气化学模型给出，随评估周期修订</w:t>
            </w:r>
          </w:p>
        </w:tc>
        <w:tc>
          <w:tcPr>
            <w:tcW w:type="dxa" w:w="1701"/>
            <w:vAlign w:val="center"/>
          </w:tcPr>
          <w:p>
            <w:pPr>
              <w:spacing w:line="240" w:lineRule="auto" w:after="20" w:before="20"/>
              <w:jc w:val="left"/>
            </w:pPr>
            <w:r/>
            <w:r>
              <w:rPr>
                <w:rFonts w:ascii="宋体" w:hAnsi="宋体" w:eastAsia="宋体"/>
                <w:sz w:val="21"/>
              </w:rPr>
              <w:t>需在基准任务集上实测并标定权重</w:t>
            </w:r>
          </w:p>
        </w:tc>
      </w:tr>
      <w:tr>
        <w:tc>
          <w:tcPr>
            <w:tcW w:type="dxa" w:w="1701"/>
            <w:vAlign w:val="center"/>
          </w:tcPr>
          <w:p>
            <w:pPr>
              <w:spacing w:line="240" w:lineRule="auto" w:after="20" w:before="20"/>
              <w:jc w:val="left"/>
            </w:pPr>
            <w:r/>
            <w:r>
              <w:rPr>
                <w:rFonts w:ascii="宋体" w:hAnsi="宋体" w:eastAsia="宋体"/>
                <w:sz w:val="21"/>
              </w:rPr>
              <w:t>折算系数的稳定性</w:t>
            </w:r>
          </w:p>
        </w:tc>
        <w:tc>
          <w:tcPr>
            <w:tcW w:type="dxa" w:w="1701"/>
            <w:vAlign w:val="center"/>
          </w:tcPr>
          <w:p>
            <w:pPr>
              <w:spacing w:line="240" w:lineRule="auto" w:after="20" w:before="20"/>
              <w:jc w:val="left"/>
            </w:pPr>
            <w:r/>
            <w:r>
              <w:rPr>
                <w:rFonts w:ascii="宋体" w:hAnsi="宋体" w:eastAsia="宋体"/>
                <w:sz w:val="21"/>
              </w:rPr>
              <w:t>高，随煤种品质缓慢变化</w:t>
            </w:r>
          </w:p>
        </w:tc>
        <w:tc>
          <w:tcPr>
            <w:tcW w:type="dxa" w:w="1701"/>
            <w:vAlign w:val="center"/>
          </w:tcPr>
          <w:p>
            <w:pPr>
              <w:spacing w:line="240" w:lineRule="auto" w:after="20" w:before="20"/>
              <w:jc w:val="left"/>
            </w:pPr>
            <w:r/>
            <w:r>
              <w:rPr>
                <w:rFonts w:ascii="宋体" w:hAnsi="宋体" w:eastAsia="宋体"/>
                <w:sz w:val="21"/>
              </w:rPr>
              <w:t>极高，由箱型标准锁定</w:t>
            </w:r>
          </w:p>
        </w:tc>
        <w:tc>
          <w:tcPr>
            <w:tcW w:type="dxa" w:w="1701"/>
            <w:vAlign w:val="center"/>
          </w:tcPr>
          <w:p>
            <w:pPr>
              <w:spacing w:line="240" w:lineRule="auto" w:after="20" w:before="20"/>
              <w:jc w:val="left"/>
            </w:pPr>
            <w:r/>
            <w:r>
              <w:rPr>
                <w:rFonts w:ascii="宋体" w:hAnsi="宋体" w:eastAsia="宋体"/>
                <w:sz w:val="21"/>
              </w:rPr>
              <w:t>中，随评估报告更新</w:t>
            </w:r>
          </w:p>
        </w:tc>
        <w:tc>
          <w:tcPr>
            <w:tcW w:type="dxa" w:w="1701"/>
            <w:vAlign w:val="center"/>
          </w:tcPr>
          <w:p>
            <w:pPr>
              <w:spacing w:line="240" w:lineRule="auto" w:after="20" w:before="20"/>
              <w:jc w:val="left"/>
            </w:pPr>
            <w:r/>
            <w:r>
              <w:rPr>
                <w:rFonts w:ascii="宋体" w:hAnsi="宋体" w:eastAsia="宋体"/>
                <w:sz w:val="21"/>
              </w:rPr>
              <w:t>低，随模型迭代快速漂移，须定期再标定</w:t>
            </w:r>
          </w:p>
        </w:tc>
      </w:tr>
      <w:tr>
        <w:tc>
          <w:tcPr>
            <w:tcW w:type="dxa" w:w="1701"/>
            <w:vAlign w:val="center"/>
          </w:tcPr>
          <w:p>
            <w:pPr>
              <w:spacing w:line="240" w:lineRule="auto" w:after="20" w:before="20"/>
              <w:jc w:val="left"/>
            </w:pPr>
            <w:r/>
            <w:r>
              <w:rPr>
                <w:rFonts w:ascii="宋体" w:hAnsi="宋体" w:eastAsia="宋体"/>
                <w:sz w:val="21"/>
              </w:rPr>
              <w:t>是否依赖使用场景</w:t>
            </w:r>
          </w:p>
        </w:tc>
        <w:tc>
          <w:tcPr>
            <w:tcW w:type="dxa" w:w="1701"/>
            <w:vAlign w:val="center"/>
          </w:tcPr>
          <w:p>
            <w:pPr>
              <w:spacing w:line="240" w:lineRule="auto" w:after="20" w:before="20"/>
              <w:jc w:val="left"/>
            </w:pPr>
            <w:r/>
            <w:r>
              <w:rPr>
                <w:rFonts w:ascii="宋体" w:hAnsi="宋体" w:eastAsia="宋体"/>
                <w:sz w:val="21"/>
              </w:rPr>
              <w:t>否，一吨标准煤在各行业等价</w:t>
            </w:r>
          </w:p>
        </w:tc>
        <w:tc>
          <w:tcPr>
            <w:tcW w:type="dxa" w:w="1701"/>
            <w:vAlign w:val="center"/>
          </w:tcPr>
          <w:p>
            <w:pPr>
              <w:spacing w:line="240" w:lineRule="auto" w:after="20" w:before="20"/>
              <w:jc w:val="left"/>
            </w:pPr>
            <w:r/>
            <w:r>
              <w:rPr>
                <w:rFonts w:ascii="宋体" w:hAnsi="宋体" w:eastAsia="宋体"/>
                <w:sz w:val="21"/>
              </w:rPr>
              <w:t>否，一个标准箱与箱内货值无关</w:t>
            </w:r>
          </w:p>
        </w:tc>
        <w:tc>
          <w:tcPr>
            <w:tcW w:type="dxa" w:w="1701"/>
            <w:vAlign w:val="center"/>
          </w:tcPr>
          <w:p>
            <w:pPr>
              <w:spacing w:line="240" w:lineRule="auto" w:after="20" w:before="20"/>
              <w:jc w:val="left"/>
            </w:pPr>
            <w:r/>
            <w:r>
              <w:rPr>
                <w:rFonts w:ascii="宋体" w:hAnsi="宋体" w:eastAsia="宋体"/>
                <w:sz w:val="21"/>
              </w:rPr>
              <w:t>否，排放效应与排放主体无关</w:t>
            </w:r>
          </w:p>
        </w:tc>
        <w:tc>
          <w:tcPr>
            <w:tcW w:type="dxa" w:w="1701"/>
            <w:vAlign w:val="center"/>
          </w:tcPr>
          <w:p>
            <w:pPr>
              <w:spacing w:line="240" w:lineRule="auto" w:after="20" w:before="20"/>
              <w:jc w:val="left"/>
            </w:pPr>
            <w:r/>
            <w:r>
              <w:rPr>
                <w:rFonts w:ascii="宋体" w:hAnsi="宋体" w:eastAsia="宋体"/>
                <w:sz w:val="21"/>
              </w:rPr>
              <w:t>是，场景效用维度显式引入价值侧差异</w:t>
            </w:r>
          </w:p>
        </w:tc>
      </w:tr>
      <w:tr>
        <w:tc>
          <w:tcPr>
            <w:tcW w:type="dxa" w:w="1701"/>
            <w:vAlign w:val="center"/>
          </w:tcPr>
          <w:p>
            <w:pPr>
              <w:spacing w:line="240" w:lineRule="auto" w:after="20" w:before="20"/>
              <w:jc w:val="left"/>
            </w:pPr>
            <w:r/>
            <w:r>
              <w:rPr>
                <w:rFonts w:ascii="宋体" w:hAnsi="宋体" w:eastAsia="宋体"/>
                <w:sz w:val="21"/>
              </w:rPr>
              <w:t>主要经济功能</w:t>
            </w:r>
          </w:p>
        </w:tc>
        <w:tc>
          <w:tcPr>
            <w:tcW w:type="dxa" w:w="1701"/>
            <w:vAlign w:val="center"/>
          </w:tcPr>
          <w:p>
            <w:pPr>
              <w:spacing w:line="240" w:lineRule="auto" w:after="20" w:before="20"/>
              <w:jc w:val="left"/>
            </w:pPr>
            <w:r/>
            <w:r>
              <w:rPr>
                <w:rFonts w:ascii="宋体" w:hAnsi="宋体" w:eastAsia="宋体"/>
                <w:sz w:val="21"/>
              </w:rPr>
              <w:t>能源消费总量核算、能耗强度考核</w:t>
            </w:r>
          </w:p>
        </w:tc>
        <w:tc>
          <w:tcPr>
            <w:tcW w:type="dxa" w:w="1701"/>
            <w:vAlign w:val="center"/>
          </w:tcPr>
          <w:p>
            <w:pPr>
              <w:spacing w:line="240" w:lineRule="auto" w:after="20" w:before="20"/>
              <w:jc w:val="left"/>
            </w:pPr>
            <w:r/>
            <w:r>
              <w:rPr>
                <w:rFonts w:ascii="宋体" w:hAnsi="宋体" w:eastAsia="宋体"/>
                <w:sz w:val="21"/>
              </w:rPr>
              <w:t>港口吞吐量、运力与运价指数的可比</w:t>
            </w:r>
          </w:p>
        </w:tc>
        <w:tc>
          <w:tcPr>
            <w:tcW w:type="dxa" w:w="1701"/>
            <w:vAlign w:val="center"/>
          </w:tcPr>
          <w:p>
            <w:pPr>
              <w:spacing w:line="240" w:lineRule="auto" w:after="20" w:before="20"/>
              <w:jc w:val="left"/>
            </w:pPr>
            <w:r/>
            <w:r>
              <w:rPr>
                <w:rFonts w:ascii="宋体" w:hAnsi="宋体" w:eastAsia="宋体"/>
                <w:sz w:val="21"/>
              </w:rPr>
              <w:t>碳排放总量核算、配额分配与碳市场交易</w:t>
            </w:r>
          </w:p>
        </w:tc>
        <w:tc>
          <w:tcPr>
            <w:tcW w:type="dxa" w:w="1701"/>
            <w:vAlign w:val="center"/>
          </w:tcPr>
          <w:p>
            <w:pPr>
              <w:spacing w:line="240" w:lineRule="auto" w:after="20" w:before="20"/>
              <w:jc w:val="left"/>
            </w:pPr>
            <w:r/>
            <w:r>
              <w:rPr>
                <w:rFonts w:ascii="宋体" w:hAnsi="宋体" w:eastAsia="宋体"/>
                <w:sz w:val="21"/>
              </w:rPr>
              <w:t>价值尺度、定价基准、配置信号与增长核算变量</w:t>
            </w:r>
          </w:p>
        </w:tc>
      </w:tr>
      <w:tr>
        <w:tc>
          <w:tcPr>
            <w:tcW w:type="dxa" w:w="1701"/>
            <w:vAlign w:val="center"/>
          </w:tcPr>
          <w:p>
            <w:pPr>
              <w:spacing w:line="240" w:lineRule="auto" w:after="20" w:before="20"/>
              <w:jc w:val="left"/>
            </w:pPr>
            <w:r/>
            <w:r>
              <w:rPr>
                <w:rFonts w:ascii="宋体" w:hAnsi="宋体" w:eastAsia="宋体"/>
                <w:sz w:val="21"/>
              </w:rPr>
              <w:t>制度载体</w:t>
            </w:r>
          </w:p>
        </w:tc>
        <w:tc>
          <w:tcPr>
            <w:tcW w:type="dxa" w:w="1701"/>
            <w:vAlign w:val="center"/>
          </w:tcPr>
          <w:p>
            <w:pPr>
              <w:spacing w:line="240" w:lineRule="auto" w:after="20" w:before="20"/>
              <w:jc w:val="left"/>
            </w:pPr>
            <w:r/>
            <w:r>
              <w:rPr>
                <w:rFonts w:ascii="宋体" w:hAnsi="宋体" w:eastAsia="宋体"/>
                <w:sz w:val="21"/>
              </w:rPr>
              <w:t>国家标准《综合能耗计算通则》</w:t>
            </w:r>
          </w:p>
        </w:tc>
        <w:tc>
          <w:tcPr>
            <w:tcW w:type="dxa" w:w="1701"/>
            <w:vAlign w:val="center"/>
          </w:tcPr>
          <w:p>
            <w:pPr>
              <w:spacing w:line="240" w:lineRule="auto" w:after="20" w:before="20"/>
              <w:jc w:val="left"/>
            </w:pPr>
            <w:r/>
            <w:r>
              <w:rPr>
                <w:rFonts w:ascii="宋体" w:hAnsi="宋体" w:eastAsia="宋体"/>
                <w:sz w:val="21"/>
              </w:rPr>
              <w:t>国际集装箱标准与航运统计惯例</w:t>
            </w:r>
          </w:p>
        </w:tc>
        <w:tc>
          <w:tcPr>
            <w:tcW w:type="dxa" w:w="1701"/>
            <w:vAlign w:val="center"/>
          </w:tcPr>
          <w:p>
            <w:pPr>
              <w:spacing w:line="240" w:lineRule="auto" w:after="20" w:before="20"/>
              <w:jc w:val="left"/>
            </w:pPr>
            <w:r/>
            <w:r>
              <w:rPr>
                <w:rFonts w:ascii="宋体" w:hAnsi="宋体" w:eastAsia="宋体"/>
                <w:sz w:val="21"/>
              </w:rPr>
              <w:t>国际温室气体核算标准与国内产品碳足迹标准</w:t>
            </w:r>
          </w:p>
        </w:tc>
        <w:tc>
          <w:tcPr>
            <w:tcW w:type="dxa" w:w="1701"/>
            <w:vAlign w:val="center"/>
          </w:tcPr>
          <w:p>
            <w:pPr>
              <w:spacing w:line="240" w:lineRule="auto" w:after="20" w:before="20"/>
              <w:jc w:val="left"/>
            </w:pPr>
            <w:r/>
            <w:r>
              <w:rPr>
                <w:rFonts w:ascii="宋体" w:hAnsi="宋体" w:eastAsia="宋体"/>
                <w:sz w:val="21"/>
              </w:rPr>
              <w:t>尚无国家标准，现有成果为团体标准与机构评估规范</w:t>
            </w:r>
          </w:p>
        </w:tc>
      </w:tr>
      <w:tr>
        <w:tc>
          <w:tcPr>
            <w:tcW w:type="dxa" w:w="1701"/>
            <w:vAlign w:val="center"/>
          </w:tcPr>
          <w:p>
            <w:pPr>
              <w:spacing w:line="240" w:lineRule="auto" w:after="20" w:before="20"/>
              <w:jc w:val="left"/>
            </w:pPr>
            <w:r/>
            <w:r>
              <w:rPr>
                <w:rFonts w:ascii="宋体" w:hAnsi="宋体" w:eastAsia="宋体"/>
                <w:sz w:val="21"/>
              </w:rPr>
              <w:t>信息损失</w:t>
            </w:r>
          </w:p>
        </w:tc>
        <w:tc>
          <w:tcPr>
            <w:tcW w:type="dxa" w:w="1701"/>
            <w:vAlign w:val="center"/>
          </w:tcPr>
          <w:p>
            <w:pPr>
              <w:spacing w:line="240" w:lineRule="auto" w:after="20" w:before="20"/>
              <w:jc w:val="left"/>
            </w:pPr>
            <w:r/>
            <w:r>
              <w:rPr>
                <w:rFonts w:ascii="宋体" w:hAnsi="宋体" w:eastAsia="宋体"/>
                <w:sz w:val="21"/>
              </w:rPr>
              <w:t>看不见煤与电的品质与用途差异</w:t>
            </w:r>
          </w:p>
        </w:tc>
        <w:tc>
          <w:tcPr>
            <w:tcW w:type="dxa" w:w="1701"/>
            <w:vAlign w:val="center"/>
          </w:tcPr>
          <w:p>
            <w:pPr>
              <w:spacing w:line="240" w:lineRule="auto" w:after="20" w:before="20"/>
              <w:jc w:val="left"/>
            </w:pPr>
            <w:r/>
            <w:r>
              <w:rPr>
                <w:rFonts w:ascii="宋体" w:hAnsi="宋体" w:eastAsia="宋体"/>
                <w:sz w:val="21"/>
              </w:rPr>
              <w:t>看不见箱内货值与货类</w:t>
            </w:r>
          </w:p>
        </w:tc>
        <w:tc>
          <w:tcPr>
            <w:tcW w:type="dxa" w:w="1701"/>
            <w:vAlign w:val="center"/>
          </w:tcPr>
          <w:p>
            <w:pPr>
              <w:spacing w:line="240" w:lineRule="auto" w:after="20" w:before="20"/>
              <w:jc w:val="left"/>
            </w:pPr>
            <w:r/>
            <w:r>
              <w:rPr>
                <w:rFonts w:ascii="宋体" w:hAnsi="宋体" w:eastAsia="宋体"/>
                <w:sz w:val="21"/>
              </w:rPr>
              <w:t>看不见排放的时空分布与局地影响</w:t>
            </w:r>
          </w:p>
        </w:tc>
        <w:tc>
          <w:tcPr>
            <w:tcW w:type="dxa" w:w="1701"/>
            <w:vAlign w:val="center"/>
          </w:tcPr>
          <w:p>
            <w:pPr>
              <w:spacing w:line="240" w:lineRule="auto" w:after="20" w:before="20"/>
              <w:jc w:val="left"/>
            </w:pPr>
            <w:r/>
            <w:r>
              <w:rPr>
                <w:rFonts w:ascii="宋体" w:hAnsi="宋体" w:eastAsia="宋体"/>
                <w:sz w:val="21"/>
              </w:rPr>
              <w:t>看不见服务质量、合约条款与区域成本差异</w:t>
            </w:r>
          </w:p>
        </w:tc>
      </w:tr>
    </w:tbl>
    <w:p>
      <w:pPr>
        <w:spacing w:after="200" w:line="240" w:lineRule="auto"/>
        <w:jc w:val="both"/>
      </w:pPr>
      <w:r>
        <w:rPr>
          <w:rFonts w:ascii="宋体" w:hAnsi="宋体" w:eastAsia="宋体"/>
          <w:sz w:val="18"/>
        </w:rPr>
        <w:t>注：标准煤基准依据《综合能耗计算通则》（GB/T 2589—2020）；二氧化碳当量依据温室气体核算的国际标准与我国《温室气体 产品碳足迹 量化要求和指南》（GB/T 24067—2024）；标准词元一列系作者构建，不对应任何机构已发布的评价体系。资料来源：作者整理。</w:t>
      </w:r>
    </w:p>
    <w:p>
      <w:pPr>
        <w:spacing w:line="360" w:lineRule="auto" w:after="0"/>
        <w:ind w:firstLineChars="200" w:firstLine="480"/>
        <w:jc w:val="both"/>
      </w:pPr>
      <w:r>
        <w:rPr>
          <w:rFonts w:ascii="宋体" w:hAnsi="宋体" w:eastAsia="宋体"/>
          <w:sz w:val="24"/>
        </w:rPr>
        <w:t>表5.3的前四行揭示了四类体系的共同结构，即第2章2.3.1节归纳的「一个基准、一条刻度」：基准品定义当量单位的名义，刻度函数定义折算系数的数值，二者共同把不可加变为可加（国家市场监督管理总局和国家标准化管理委员会，2020）。共同结构之外，四类体系的经济功能也高度同构：当量折算的直接产物是一个新的宏观变量，而新变量往往催生新的市场与新的治理工具。能源消费总量催生了能耗双控制度（姜春海等，2024），碳排放总量催生了碳市场与配额交易（张希良等，2021；蓝虹和杜彦霖，2024），标准箱催生了全球可比的运力与运价体系。标准词元若能确立，其催生的将是词元价格指数、标准词元结算与以效值为基准的财政工具——这一判断构成本书第7章、第10章与第14章的共同前提。</w:t>
      </w:r>
    </w:p>
    <w:p>
      <w:pPr>
        <w:keepNext/>
        <w:spacing w:before="160" w:after="120" w:line="360" w:lineRule="auto"/>
        <w:outlineLvl w:val="2"/>
      </w:pPr>
      <w:r>
        <w:rPr>
          <w:rFonts w:ascii="黑体" w:hAnsi="黑体" w:eastAsia="黑体"/>
          <w:sz w:val="24"/>
        </w:rPr>
        <w:t>5.6.2  三点关键差异及其方法论后果</w:t>
      </w:r>
    </w:p>
    <w:p>
      <w:pPr>
        <w:spacing w:line="360" w:lineRule="auto" w:after="0"/>
        <w:ind w:firstLineChars="200" w:firstLine="480"/>
        <w:jc w:val="both"/>
      </w:pPr>
      <w:r>
        <w:rPr>
          <w:rFonts w:ascii="宋体" w:hAnsi="宋体" w:eastAsia="宋体"/>
          <w:sz w:val="24"/>
        </w:rPr>
        <w:t>共同结构之外，标准词元与三项成熟体系存在三点关键差异，它们既是本章方法论选择的理由，也是折算体系必须长期面对的困难。</w:t>
      </w:r>
      <w:r>
        <w:rPr>
          <w:rFonts w:ascii="宋体" w:hAnsi="宋体" w:eastAsia="宋体"/>
          <w:b/>
          <w:sz w:val="24"/>
        </w:rPr>
        <w:t>差异一：刻度的多维性。</w:t>
      </w:r>
      <w:r>
        <w:rPr>
          <w:rFonts w:ascii="宋体" w:hAnsi="宋体" w:eastAsia="宋体"/>
          <w:sz w:val="24"/>
        </w:rPr>
        <w:t>标准煤的发热量、标准箱的箱位、二氧化碳当量的增温潜势都是被计量对象的单一物理属性，测量方法成熟且争议极小；词元的价值密度却至少同时取决于投入侧、产出侧与价值侧三个互不可约的维度。多维性的直接后果是权重必须被标定而非被观测——这是词元折算区别于标准煤折算的本质所在，也是本章以公理化方法约束函数形式、以基准任务集标定权重的根本原因。若不作公理约束，多维合成的任意性将使折算结果沦为意见；若不作实测标定，权重将沦为主观赋值。</w:t>
      </w:r>
    </w:p>
    <w:p>
      <w:pPr>
        <w:spacing w:line="360" w:lineRule="auto" w:after="0"/>
        <w:ind w:firstLineChars="200" w:firstLine="480"/>
        <w:jc w:val="both"/>
      </w:pPr>
      <w:r>
        <w:rPr>
          <w:rFonts w:ascii="宋体" w:hAnsi="宋体" w:eastAsia="宋体"/>
          <w:b/>
          <w:sz w:val="24"/>
        </w:rPr>
        <w:t>差异二：折算系数的内生漂移。</w:t>
      </w:r>
      <w:r>
        <w:rPr>
          <w:rFonts w:ascii="宋体" w:hAnsi="宋体" w:eastAsia="宋体"/>
          <w:sz w:val="24"/>
        </w:rPr>
        <w:t>标准煤的折算系数随煤种品质缓慢变化，标准箱的折算系数由箱型标准锁定而近乎恒定，二氧化碳当量的增温潜势随评估报告的更新而修订、周期以年计（「WRI和WBCSD，2011」；「ISO，2018」；国家市场监督管理总局和国家标准化管理委员会，2024）。词元的效值系数却随模型迭代快速漂移，其变化周期以月计。这一差异带来两项方法论后果。</w:t>
      </w:r>
      <w:r>
        <w:rPr>
          <w:rFonts w:ascii="宋体" w:hAnsi="宋体" w:eastAsia="宋体"/>
          <w:b/>
          <w:sz w:val="24"/>
        </w:rPr>
        <w:t>其一，折算体系必须内置更新机制</w:t>
      </w:r>
      <w:r>
        <w:rPr>
          <w:rFonts w:ascii="宋体" w:hAnsi="宋体" w:eastAsia="宋体"/>
          <w:sz w:val="24"/>
        </w:rPr>
        <w:t>：固定系数在词元领域必然迅速失效，因而基准任务集的轮换、权重的再标定与指数的链式接续必须制度化为常规工作，而非一次性研究。</w:t>
      </w:r>
      <w:r>
        <w:rPr>
          <w:rFonts w:ascii="宋体" w:hAnsi="宋体" w:eastAsia="宋体"/>
          <w:b/>
          <w:sz w:val="24"/>
        </w:rPr>
        <w:t>其二，折算与被折算对象之间存在反馈</w:t>
      </w:r>
      <w:r>
        <w:rPr>
          <w:rFonts w:ascii="宋体" w:hAnsi="宋体" w:eastAsia="宋体"/>
          <w:sz w:val="24"/>
        </w:rPr>
        <w:t>：一旦效值系数进入定价与补贴规则，供给方就有激励沿着提高效值系数的方向调整技术路线，这既是折算体系发挥配置引导作用的机制，也是其可能被策略性操纵的风险来源。防范之道在于任务集的轮换与披露规则的设计，本质上与评测领域应对基准污染的思路一致。</w:t>
      </w:r>
    </w:p>
    <w:p>
      <w:pPr>
        <w:spacing w:line="360" w:lineRule="auto" w:after="0"/>
        <w:ind w:firstLineChars="200" w:firstLine="480"/>
        <w:jc w:val="both"/>
      </w:pPr>
      <w:r>
        <w:rPr>
          <w:rFonts w:ascii="宋体" w:hAnsi="宋体" w:eastAsia="宋体"/>
          <w:b/>
          <w:sz w:val="24"/>
        </w:rPr>
        <w:t>差异三：场景依赖性。</w:t>
      </w:r>
      <w:r>
        <w:rPr>
          <w:rFonts w:ascii="宋体" w:hAnsi="宋体" w:eastAsia="宋体"/>
          <w:sz w:val="24"/>
        </w:rPr>
        <w:t>一吨标准煤在钢厂与在电厂具有相同的当量，一个标准箱装载黄金或装载砂石同样计为一个标准箱；而同一枚技术属性完全相同的词元，用于科研分析与用于闲聊问答，其经济意义相差悬殊。本书通过显式引入场景效用维度</w:t>
      </w:r>
      <m:oMath>
        <m:r>
          <m:t>S</m:t>
        </m:r>
      </m:oMath>
      <w:r>
        <w:rPr>
          <w:rFonts w:ascii="宋体" w:hAnsi="宋体" w:eastAsia="宋体"/>
          <w:sz w:val="24"/>
        </w:rPr>
        <w:t>来处理这一特殊性，但必须承认，这一处理带来了三项成熟体系所没有的争议空间：场景的划分标准、可占有系数的估计以及社会平均口径的确定，都比发热量的测定更依赖于判断。本书的应对是把这些判断全部前置为可公开、可复核的口径规则（见表5.1与5.4.2节），并在5.4.4节以口径扰动检验报告其影响。这一处理不能消除争议，但能把争议限定在可讨论的范围内——这正是计量标准相对于主观评价的核心优势。</w:t>
      </w:r>
    </w:p>
    <w:p>
      <w:pPr>
        <w:keepNext/>
        <w:spacing w:before="160" w:after="120" w:line="360" w:lineRule="auto"/>
        <w:outlineLvl w:val="2"/>
      </w:pPr>
      <w:r>
        <w:rPr>
          <w:rFonts w:ascii="黑体" w:hAnsi="黑体" w:eastAsia="黑体"/>
          <w:sz w:val="24"/>
        </w:rPr>
        <w:t>5.6.3  制度化路径的启示</w:t>
      </w:r>
    </w:p>
    <w:p>
      <w:pPr>
        <w:spacing w:line="360" w:lineRule="auto" w:after="0"/>
        <w:ind w:firstLineChars="200" w:firstLine="480"/>
        <w:jc w:val="both"/>
      </w:pPr>
      <w:r>
        <w:rPr>
          <w:rFonts w:ascii="宋体" w:hAnsi="宋体" w:eastAsia="宋体"/>
          <w:sz w:val="24"/>
        </w:rPr>
        <w:t>三项成熟体系的制度化历程对标准词元具有直接启示。</w:t>
      </w:r>
      <w:r>
        <w:rPr>
          <w:rFonts w:ascii="宋体" w:hAnsi="宋体" w:eastAsia="宋体"/>
          <w:b/>
          <w:sz w:val="24"/>
        </w:rPr>
        <w:t>启示一：计量标准的确立通常滞后于交易规模的爆发，但滞后过久将付出效率代价。</w:t>
      </w:r>
      <w:r>
        <w:rPr>
          <w:rFonts w:ascii="宋体" w:hAnsi="宋体" w:eastAsia="宋体"/>
          <w:sz w:val="24"/>
        </w:rPr>
        <w:t>标准煤、标准箱与二氧化碳当量都是在相应交易规模显著扩张之后才被确立的，这符合计量标准作为公共品的供给逻辑——只有当交易规模足以摊薄标准制定的固定成本时，标准供给才在经济上可行（Simcoe，2012）。词元领域已经跨过了这一门槛：日均调用量两年增长约1400倍、城市级运营组织密集设立、财政工具开始以词元为标的，计量标准的缺位正在成为约束条件而非可容忍的暂时状态。</w:t>
      </w:r>
      <w:r>
        <w:rPr>
          <w:rFonts w:ascii="宋体" w:hAnsi="宋体" w:eastAsia="宋体"/>
          <w:b/>
          <w:sz w:val="24"/>
        </w:rPr>
        <w:t>启示二：标准的效力层级决定其经济功能的边界。</w:t>
      </w:r>
      <w:r>
        <w:rPr>
          <w:rFonts w:ascii="宋体" w:hAnsi="宋体" w:eastAsia="宋体"/>
          <w:sz w:val="24"/>
        </w:rPr>
        <w:t>目前词元领域已发布的规范性成果主要是团体标准与机构评估规范，尚未见以词元计量或词元计费为标题的国家标准或行业标准立项公开。团体标准可以支撑行业自律与市场化认证，却难以支撑财政补贴核定与政府统计——后者需要国家标准层级的计量规则。这一层级差距，正是本书第14章建议加快标准词元计量国家标准研制的根本理由。</w:t>
      </w:r>
    </w:p>
    <w:p>
      <w:pPr>
        <w:spacing w:line="360" w:lineRule="auto" w:after="0"/>
        <w:ind w:firstLineChars="200" w:firstLine="480"/>
        <w:jc w:val="both"/>
      </w:pPr>
      <w:r>
        <w:rPr>
          <w:rFonts w:ascii="宋体" w:hAnsi="宋体" w:eastAsia="宋体"/>
          <w:b/>
          <w:sz w:val="24"/>
        </w:rPr>
        <w:t>启示三：当量体系的生命力来自其向账户与市场的延伸。</w:t>
      </w:r>
      <w:r>
        <w:rPr>
          <w:rFonts w:ascii="宋体" w:hAnsi="宋体" w:eastAsia="宋体"/>
          <w:sz w:val="24"/>
        </w:rPr>
        <w:t>能源消费总量之所以成为最重要的宏观变量之一，是因为它进入了能耗强度考核与能源统计账户；碳当量之所以具有制度力量，是因为它成为配额分配与履约核销的计量基础（张希良等，2021；段玉婉等，2023）。标准词元若仅停留于学术构造，其价值将十分有限；唯有当它进入价格指数、进入财政补贴核定、进入统计报表与增长核算，其经济功能才真正实现。这也是本书后续各章的任务分工：第7章把标准词元接入价格体系，第9章接入配置体系，第10章接入财政与运营体系，第12章接入增长核算体系。</w:t>
      </w:r>
      <w:r>
        <w:rPr>
          <w:rFonts w:ascii="宋体" w:hAnsi="宋体" w:eastAsia="宋体"/>
          <w:b/>
          <w:sz w:val="24"/>
        </w:rPr>
        <w:t>当量折算的最终检验，不在于其数学形式是否优美，而在于它是否能被写进账户、被用于结算、被纳入考核。</w:t>
      </w:r>
      <w:r>
        <w:rPr>
          <w:rFonts w:ascii="宋体" w:hAnsi="宋体" w:eastAsia="宋体"/>
          <w:sz w:val="24"/>
        </w:rPr>
        <w:t>顺带指出，绿色词元的界定同样以标准词元为分母：本书以每千标准词元的二氧化碳当量排放定义碳强度，2026年用量加权平均碳强度为2.263 gCO₂e／千标准词元，绿色词元阈值取1.0 gCO₂e／千标准词元——若无标准词元这一分母，碳强度指标将因词元异质而不可比，绿色词元认证也就无从谈起，这一点将在第11章展开。</w:t>
      </w:r>
    </w:p>
    <w:p>
      <w:pPr>
        <w:keepNext/>
        <w:spacing w:before="160" w:after="120" w:line="360" w:lineRule="auto"/>
        <w:outlineLvl w:val="1"/>
      </w:pPr>
      <w:r>
        <w:rPr>
          <w:rFonts w:ascii="黑体" w:hAnsi="黑体" w:eastAsia="黑体"/>
          <w:sz w:val="28"/>
        </w:rPr>
        <w:t>5.7  本章小结</w:t>
      </w:r>
    </w:p>
    <w:p>
      <w:pPr>
        <w:spacing w:line="360" w:lineRule="auto" w:after="0"/>
        <w:ind w:firstLineChars="200" w:firstLine="480"/>
        <w:jc w:val="both"/>
      </w:pPr>
      <w:r>
        <w:rPr>
          <w:rFonts w:ascii="宋体" w:hAnsi="宋体" w:eastAsia="宋体"/>
          <w:sz w:val="24"/>
        </w:rPr>
        <w:t>本章构建了全书的计量地基——标准词元效值折算体系，完成了从「物理词元不可加」这一诊断到「标准词元可加、可比、可入账」这一解决方案的理论跨越。全章的工作可以概括为五个递进的步骤：形式化问题、界定维度、公理化函数、标定参数、检验结果。</w:t>
      </w:r>
    </w:p>
    <w:p>
      <w:pPr>
        <w:spacing w:line="360" w:lineRule="auto" w:after="0"/>
        <w:ind w:firstLineChars="200" w:firstLine="480"/>
        <w:jc w:val="both"/>
      </w:pPr>
      <w:r>
        <w:rPr>
          <w:rFonts w:ascii="宋体" w:hAnsi="宋体" w:eastAsia="宋体"/>
          <w:b/>
          <w:sz w:val="24"/>
        </w:rPr>
        <w:t>在问题形式化上</w:t>
      </w:r>
      <w:r>
        <w:rPr>
          <w:rFonts w:ascii="宋体" w:hAnsi="宋体" w:eastAsia="宋体"/>
          <w:sz w:val="24"/>
        </w:rPr>
        <w:t>，本章以属性空间上的测度与价值密度函数刻画词元流，证明物理计数只有在价值密度恒定时才是价值度量，而价值总量的变动可以完全脱离物理总量的变动；进而把折算问题严格表述为寻找一个当量函数，使折算后的单位价格满足一价定律。这一表述的意义在于，它把「折算是否成功」变成了一个可证伪的经验问题，而非一个见仁见智的判断。本章还论证了为什么四项经济职能要求的是折算而非评价：价值尺度职能要求可加性、定价基准职能要求可传递性、配置信号职能要求边际量可算、增长核算职能要求可入账，而并列的维度得分无一满足。</w:t>
      </w:r>
      <w:r>
        <w:rPr>
          <w:rFonts w:ascii="宋体" w:hAnsi="宋体" w:eastAsia="宋体"/>
          <w:b/>
          <w:sz w:val="24"/>
        </w:rPr>
        <w:t>在维度界定上</w:t>
      </w:r>
      <w:r>
        <w:rPr>
          <w:rFonts w:ascii="宋体" w:hAnsi="宋体" w:eastAsia="宋体"/>
          <w:sz w:val="24"/>
        </w:rPr>
        <w:t>，本章给出算力强度、推理质量与场景效用的三维设定，分别对应投入侧、产出侧与价值侧，并论证三者缺一不可；三个维度的测度口径分别以基准任务集上的单位输出词元算力、单位输出词元达成度与单位任务替代的人类认知劳动价值定义，并贯彻同任务集、同时点与任务锚定三条测度纪律。</w:t>
      </w:r>
    </w:p>
    <w:p>
      <w:pPr>
        <w:spacing w:line="360" w:lineRule="auto" w:after="0"/>
        <w:ind w:firstLineChars="200" w:firstLine="480"/>
        <w:jc w:val="both"/>
      </w:pPr>
      <w:r>
        <w:rPr>
          <w:rFonts w:ascii="宋体" w:hAnsi="宋体" w:eastAsia="宋体"/>
          <w:b/>
          <w:sz w:val="24"/>
        </w:rPr>
        <w:t>在函数公理化上</w:t>
      </w:r>
      <w:r>
        <w:rPr>
          <w:rFonts w:ascii="宋体" w:hAnsi="宋体" w:eastAsia="宋体"/>
          <w:sz w:val="24"/>
        </w:rPr>
        <w:t>，本章提出基准归一、严格单调、可加性与传递一致四条公理，证明了命题5.1：连续、严格单调、基准归一且链式一致的折算函数必为幂积形式，且参数唯一。证明的关键是把三维乘法在对数尺度上化为加法，从而归结为柯西可加函数方程的连续解。这一结果把无穷维的函数选择空间压缩为三参数族，使折算体系摆脱了主观性质疑。本章进一步以常替代弹性型折算函数为参照，指出该族中唯有退化为幂积的成员满足公理四，从而凸显了传递一致公理的识别力；并施加权重和为一的归一化约束，据此得到一次齐次性、权重的弹性解释、价格对偶关系与支出恒等式四条核心性质。</w:t>
      </w:r>
      <w:r>
        <w:rPr>
          <w:rFonts w:ascii="宋体" w:hAnsi="宋体" w:eastAsia="宋体"/>
          <w:b/>
          <w:sz w:val="24"/>
        </w:rPr>
        <w:t>在参数标定上</w:t>
      </w:r>
      <w:r>
        <w:rPr>
          <w:rFonts w:ascii="宋体" w:hAnsi="宋体" w:eastAsia="宋体"/>
          <w:sz w:val="24"/>
        </w:rPr>
        <w:t>，本章以等效替代率定义实测效值，使标定完全独立于价格数据；以约束对数最小二乘标定权重并给出闭式解，得</w:t>
      </w:r>
      <m:oMath>
        <m:sSub>
          <m:e>
            <m:r>
              <m:t>w</m:t>
            </m:r>
          </m:e>
          <m:sub>
            <m:r>
              <m:t>P</m:t>
            </m:r>
          </m:sub>
        </m:sSub>
      </m:oMath>
      <w:r>
        <w:rPr>
          <w:rFonts w:ascii="宋体" w:hAnsi="宋体" w:eastAsia="宋体"/>
          <w:sz w:val="24"/>
        </w:rPr>
        <w:t>＝0.4383、</w:t>
      </w:r>
      <m:oMath>
        <m:sSub>
          <m:e>
            <m:r>
              <m:t>w</m:t>
            </m:r>
          </m:e>
          <m:sub>
            <m:r>
              <m:t>R</m:t>
            </m:r>
          </m:sub>
        </m:sSub>
      </m:oMath>
      <w:r>
        <w:rPr>
          <w:rFonts w:ascii="宋体" w:hAnsi="宋体" w:eastAsia="宋体"/>
          <w:sz w:val="24"/>
        </w:rPr>
        <w:t>＝0.2964、</w:t>
      </w:r>
      <m:oMath>
        <m:sSub>
          <m:e>
            <m:r>
              <m:t>w</m:t>
            </m:r>
          </m:e>
          <m:sub>
            <m:r>
              <m:t>S</m:t>
            </m:r>
          </m:sub>
        </m:sSub>
      </m:oMath>
      <w:r>
        <w:rPr>
          <w:rFonts w:ascii="宋体" w:hAnsi="宋体" w:eastAsia="宋体"/>
          <w:sz w:val="24"/>
        </w:rPr>
        <w:t>＝0.2653，拟合优度</w:t>
      </w:r>
      <m:oMath>
        <m:sSup>
          <m:e>
            <m:r>
              <m:t>R</m:t>
            </m:r>
          </m:e>
          <m:sup>
            <m:r>
              <m:t>2</m:t>
            </m:r>
          </m:sup>
        </m:sSup>
      </m:oMath>
      <w:r>
        <w:rPr>
          <w:rFonts w:ascii="宋体" w:hAnsi="宋体" w:eastAsia="宋体"/>
          <w:sz w:val="24"/>
        </w:rPr>
        <w:t>＝0.9996；并以不确定性传播、传递一致性验证、基准更换与口径扰动四项检验确认结论的稳健性。</w:t>
      </w:r>
    </w:p>
    <w:p>
      <w:pPr>
        <w:spacing w:line="360" w:lineRule="auto" w:after="0"/>
        <w:ind w:firstLineChars="200" w:firstLine="480"/>
        <w:jc w:val="both"/>
      </w:pPr>
      <w:r>
        <w:rPr>
          <w:rFonts w:ascii="宋体" w:hAnsi="宋体" w:eastAsia="宋体"/>
          <w:b/>
          <w:sz w:val="24"/>
        </w:rPr>
        <w:t>在结果检验上</w:t>
      </w:r>
      <w:r>
        <w:rPr>
          <w:rFonts w:ascii="宋体" w:hAnsi="宋体" w:eastAsia="宋体"/>
          <w:sz w:val="24"/>
        </w:rPr>
        <w:t>，本章报告了六档位模型的效值测算：效值系数由轻量蒸馏级的0.38升至推理增强级的4.28，相差11.3倍；幂积拟合与实测效值的平均相对误差仅1.0%，常替代弹性形式独立标定的替代参数</w:t>
      </w:r>
      <m:oMath>
        <m:acc>
          <m:accPr>
            <m:chr m:val="̂"/>
          </m:accPr>
          <m:e>
            <m:r>
              <m:t>ρ</m:t>
            </m:r>
          </m:e>
        </m:acc>
      </m:oMath>
      <w:r>
        <w:rPr>
          <w:rFonts w:ascii="宋体" w:hAnsi="宋体" w:eastAsia="宋体"/>
          <w:sz w:val="24"/>
        </w:rPr>
        <w:t>＝0.0794在统计上无法拒绝为零，理论推论与经验标定相互印证。两项有效性判据的检验结果同样支持折算体系：传递一致性误差为机器精度量级；折算后单位价格的变异系数由0.92降至0.31、基尼系数由0.47降至0.17、P90与P10之比由12.6倍收敛至2.4倍，三项指标一致显著收敛，价格分布明显向一价定律靠拢。效值与价格的对应关系检验进一步发现，市场事实上已在为效值定价：过原点拟合的决定系数达0.86，隐含的标准词元均价约为每百万2.62元——本书所做的并非发明新的定价规则，而是把市场已在暗中执行的折算逻辑显性化、公理化与制度化。残差结构则揭示了效值溢价的失衡，为第8章的信息披露制度讨论提供了证据。</w:t>
      </w:r>
    </w:p>
    <w:p>
      <w:pPr>
        <w:spacing w:line="360" w:lineRule="auto" w:after="0"/>
        <w:ind w:firstLineChars="200" w:firstLine="480"/>
        <w:jc w:val="both"/>
      </w:pPr>
      <w:r>
        <w:rPr>
          <w:rFonts w:ascii="宋体" w:hAnsi="宋体" w:eastAsia="宋体"/>
          <w:sz w:val="24"/>
        </w:rPr>
        <w:t>本章最后把标准词元置于当量折算的历史谱系中，与标准煤、标准箱、二氧化碳当量逐维比较，确认了「一个基准、一条刻度」的共同结构，也提炼出三点关键差异：刻度的多维性使权重必须被标定而非被观测，折算系数的内生漂移要求体系内置更新机制并防范策略性操纵，场景依赖性则要求把价值侧差异显式纳入而非假装其不存在。三点差异共同决定了标准词元折算不可能是一劳永逸的技术工作，而必然是一项需要持续维护的计量制度。</w:t>
      </w:r>
    </w:p>
    <w:p>
      <w:pPr>
        <w:spacing w:line="360" w:lineRule="auto" w:after="0"/>
        <w:ind w:firstLineChars="200" w:firstLine="480"/>
        <w:jc w:val="both"/>
      </w:pPr>
      <w:r>
        <w:rPr>
          <w:rFonts w:ascii="宋体" w:hAnsi="宋体" w:eastAsia="宋体"/>
          <w:sz w:val="24"/>
        </w:rPr>
        <w:t>本章的输出将沿三条线索贯穿全书。</w:t>
      </w:r>
      <w:r>
        <w:rPr>
          <w:rFonts w:ascii="宋体" w:hAnsi="宋体" w:eastAsia="宋体"/>
          <w:b/>
          <w:sz w:val="24"/>
        </w:rPr>
        <w:t>向定价线索</w:t>
      </w:r>
      <w:r>
        <w:rPr>
          <w:rFonts w:ascii="宋体" w:hAnsi="宋体" w:eastAsia="宋体"/>
          <w:sz w:val="24"/>
        </w:rPr>
        <w:t>，效值系数与价格对偶关系</w:t>
      </w:r>
      <m:oMath>
        <m:acc>
          <m:accPr>
            <m:chr m:val="̃"/>
          </m:accPr>
          <m:e>
            <m:r>
              <m:t>p</m:t>
            </m:r>
          </m:e>
        </m:acc>
        <m:r>
          <m:rPr>
            <m:sty m:val="p"/>
          </m:rPr>
          <m:t>=</m:t>
        </m:r>
        <m:r>
          <m:t>p</m:t>
        </m:r>
        <m:r>
          <m:rPr>
            <m:sty m:val="p"/>
          </m:rPr>
          <m:t>/</m:t>
        </m:r>
        <m:r>
          <m:t>η</m:t>
        </m:r>
      </m:oMath>
      <w:r>
        <w:rPr>
          <w:rFonts w:ascii="宋体" w:hAnsi="宋体" w:eastAsia="宋体"/>
          <w:sz w:val="24"/>
        </w:rPr>
        <w:t>是第7章三层定价结构与词元价格指数、标准词元价格指数编制的前提；本章测得的效值提升幅度，正是第7章把表观降价分解为效值提升与真实降价两部分的依据——本书测算显示，2024年第一季度至2026年第二季度物理词元价格指数累计下行79%，其中约53%来自效值提升、约47%为真实降价。</w:t>
      </w:r>
      <w:r>
        <w:rPr>
          <w:rFonts w:ascii="宋体" w:hAnsi="宋体" w:eastAsia="宋体"/>
          <w:b/>
          <w:sz w:val="24"/>
        </w:rPr>
        <w:t>向配置线索</w:t>
      </w:r>
      <w:r>
        <w:rPr>
          <w:rFonts w:ascii="宋体" w:hAnsi="宋体" w:eastAsia="宋体"/>
          <w:sz w:val="24"/>
        </w:rPr>
        <w:t>，效值系数是第9章定义有效标准词元与转化效率的基础，本章揭示的效值—算力比递减规律，直接构成任务—模型最优匹配存在效率改进空间的理论依据。</w:t>
      </w:r>
      <w:r>
        <w:rPr>
          <w:rFonts w:ascii="宋体" w:hAnsi="宋体" w:eastAsia="宋体"/>
          <w:b/>
          <w:sz w:val="24"/>
        </w:rPr>
        <w:t>向核算线索</w:t>
      </w:r>
      <w:r>
        <w:rPr>
          <w:rFonts w:ascii="宋体" w:hAnsi="宋体" w:eastAsia="宋体"/>
          <w:sz w:val="24"/>
        </w:rPr>
        <w:t>，标准词元流量是第12章智能经济生产函数中的解释变量，其产出弹性</w:t>
      </w:r>
      <m:oMath>
        <m:sSub>
          <m:e>
            <m:r>
              <m:t>α</m:t>
            </m:r>
          </m:e>
          <m:sub>
            <m:r>
              <m:t>T</m:t>
            </m:r>
          </m:sub>
        </m:sSub>
      </m:oMath>
      <w:r>
        <w:rPr>
          <w:rFonts w:ascii="宋体" w:hAnsi="宋体" w:eastAsia="宋体"/>
          <w:sz w:val="24"/>
        </w:rPr>
        <w:t>的识别有赖于本章提供的可加流量口径；若沿用物理词元口径，结构漂移造成的偏误将污染全部估计结果。至此，全书第一项理论创新完成，后续各章的分析将在这一计量地基上展开。</w:t>
      </w:r>
    </w:p>
    <w:p>
      <w:r>
        <w:br w:type="page"/>
      </w:r>
    </w:p>
    <w:p>
      <w:pPr>
        <w:keepNext/>
        <w:spacing w:before="240" w:after="160" w:line="360" w:lineRule="auto"/>
        <w:jc w:val="center"/>
        <w:outlineLvl w:val="0"/>
      </w:pPr>
      <w:r>
        <w:rPr>
          <w:rFonts w:ascii="黑体" w:hAnsi="黑体" w:eastAsia="黑体"/>
          <w:b/>
          <w:sz w:val="30"/>
        </w:rPr>
        <w:t>第6章  词元的价值创造、实现与增值</w:t>
      </w:r>
    </w:p>
    <w:p>
      <w:pPr>
        <w:spacing w:line="360" w:lineRule="auto" w:after="0"/>
        <w:ind w:firstLineChars="200" w:firstLine="480"/>
        <w:jc w:val="both"/>
      </w:pPr>
      <w:r>
        <w:rPr>
          <w:rFonts w:ascii="宋体" w:hAnsi="宋体" w:eastAsia="宋体"/>
          <w:sz w:val="24"/>
        </w:rPr>
        <w:t xml:space="preserve">第5章为本书构筑了计量地基：以算力强度 </w:t>
      </w:r>
      <m:oMath>
        <m:r>
          <m:t>P</m:t>
        </m:r>
      </m:oMath>
      <w:r>
        <w:rPr>
          <w:rFonts w:ascii="宋体" w:hAnsi="宋体" w:eastAsia="宋体"/>
          <w:sz w:val="24"/>
        </w:rPr>
        <w:t xml:space="preserve">、推理质量 </w:t>
      </w:r>
      <m:oMath>
        <m:r>
          <m:t>R</m:t>
        </m:r>
      </m:oMath>
      <w:r>
        <w:rPr>
          <w:rFonts w:ascii="宋体" w:hAnsi="宋体" w:eastAsia="宋体"/>
          <w:sz w:val="24"/>
        </w:rPr>
        <w:t xml:space="preserve">、场景效用 </w:t>
      </w:r>
      <m:oMath>
        <m:r>
          <m:t>S</m:t>
        </m:r>
      </m:oMath>
      <w:r>
        <w:rPr>
          <w:rFonts w:ascii="宋体" w:hAnsi="宋体" w:eastAsia="宋体"/>
          <w:sz w:val="24"/>
        </w:rPr>
        <w:t xml:space="preserve"> 三维合成效值系数 </w:t>
      </w:r>
      <m:oMath>
        <m:r>
          <m:t>η</m:t>
        </m:r>
      </m:oMath>
      <w:r>
        <w:rPr>
          <w:rFonts w:ascii="宋体" w:hAnsi="宋体" w:eastAsia="宋体"/>
          <w:sz w:val="24"/>
        </w:rPr>
        <w:t xml:space="preserve">，把异质的物理词元折算为可比、可加的标准词元 </w:t>
      </w:r>
      <m:oMath>
        <m:acc>
          <m:accPr>
            <m:chr m:val="̃"/>
          </m:accPr>
          <m:e>
            <m:r>
              <m:t>T</m:t>
            </m:r>
          </m:e>
        </m:acc>
        <m:r>
          <m:rPr>
            <m:sty m:val="p"/>
          </m:rPr>
          <m:t>=</m:t>
        </m:r>
        <m:r>
          <m:t>η</m:t>
        </m:r>
        <m:r>
          <m:t>T</m:t>
        </m:r>
      </m:oMath>
      <w:r>
        <w:rPr>
          <w:rFonts w:ascii="宋体" w:hAnsi="宋体" w:eastAsia="宋体"/>
          <w:sz w:val="24"/>
        </w:rPr>
        <w:t>，并证明了在基准归一、单调性、可加性与传递一致性四条公理下折算函数必取幂积形式。折算解决的是「不同的词元如何放在同一把尺子上量」，其直接效果是把六档位单位价格的变异系数由0.92压缩到0.31、极差由12.6倍压缩到2.4倍。但尺子本身不回答价值问题：一枚标准词元为什么值这些钱？它的价值从哪里来、在哪里兑现、又为什么会随时间自我放大？计量是价值分析的前提，却不是价值分析的替代。本章的任务，就是补上这一层。</w:t>
      </w:r>
    </w:p>
    <w:p>
      <w:pPr>
        <w:spacing w:line="360" w:lineRule="auto" w:after="0"/>
        <w:ind w:firstLineChars="200" w:firstLine="480"/>
        <w:jc w:val="both"/>
      </w:pPr>
      <w:r>
        <w:rPr>
          <w:rFonts w:ascii="宋体" w:hAnsi="宋体" w:eastAsia="宋体"/>
          <w:sz w:val="24"/>
        </w:rPr>
        <w:t>把价值问题拆开，可以得到三个相互衔接而性质不同的层面。其一是价值创造：词元在生成端凝结了哪些劳动，这些劳动如何在一枚枚词元上摊薄与转移，从而决定了词元的成本基础与供给侧价值。其二是价值实现：生成完成的词元只是潜在价值，只有当它嵌入具体业务流程、替代或增强了具体的人类认知劳动，潜在价值才转化为现实的使用价值，并在交易中兑现为收入。其三是价值增值：词元经济区别于传统产品经济之处，在于它的价值不是在一次交易中耗尽的——规模复用摊薄了固定成本，使用反馈回流提升了模型能力，主体与场景的增多放大了单位词元的效用，三条路径共同构成一个自我强化的闭环。三个层面对应三种经典价值理论的适用域，也对应本章 6.1、6.2、6.3 三节。</w:t>
      </w:r>
    </w:p>
    <w:p>
      <w:pPr>
        <w:spacing w:line="360" w:lineRule="auto" w:after="0"/>
        <w:ind w:firstLineChars="200" w:firstLine="480"/>
        <w:jc w:val="both"/>
      </w:pPr>
      <w:r>
        <w:rPr>
          <w:rFonts w:ascii="宋体" w:hAnsi="宋体" w:eastAsia="宋体"/>
          <w:sz w:val="24"/>
        </w:rPr>
        <w:t xml:space="preserve">为什么价值分析必须独立成章，而不能并入折算体系？有三条不可回避的理由。第一，效值系数 </w:t>
      </w:r>
      <m:oMath>
        <m:r>
          <m:t>η</m:t>
        </m:r>
      </m:oMath>
      <w:r>
        <w:rPr>
          <w:rFonts w:ascii="宋体" w:hAnsi="宋体" w:eastAsia="宋体"/>
          <w:sz w:val="24"/>
        </w:rPr>
        <w:t xml:space="preserve"> 是相对量，其基准档的绝对价值仍需由价值论锚定，否则整套折算只是一组无量纲的比例。第二，也是更关键的一点，效值折算在档位层面吸收的是各档位词元的平均场景效用，而同一档位的词元投放到不同场景，其实现价值仍相差数倍——这部分离散是折算原理上不能消除的，恰恰构成价值实现分析的对象。第三，静态折算无法解释动态事实：我国日均词元调用量由 2024 年初的 1000 亿枚增至2026 年 3 月的 140 万亿枚，两年增长约1400倍（国家数据局口径），如此量级的扩张背后是价值增值机制在起作用，需要一个动态模型来刻画。本章 6.1 节分析价值创造的劳动凝结结构与单位词元的价值构成；6.2 节刻画价值实现的条件、循环与摩擦；6.3 节给出价值增值的三重来源、合成分解与自增强乘数；6.4 节以场景价值密度的实证测算刻画价值实现的离散，并界定效值折算的适用边界；6.5 节为本章小结。</w:t>
      </w:r>
    </w:p>
    <w:p>
      <w:pPr>
        <w:keepNext/>
        <w:spacing w:before="160" w:after="120" w:line="360" w:lineRule="auto"/>
        <w:outlineLvl w:val="1"/>
      </w:pPr>
      <w:r>
        <w:rPr>
          <w:rFonts w:ascii="黑体" w:hAnsi="黑体" w:eastAsia="黑体"/>
          <w:sz w:val="28"/>
        </w:rPr>
        <w:t>6.1  价值创造：词元中的劳动凝结与成本构成</w:t>
      </w:r>
    </w:p>
    <w:p>
      <w:pPr>
        <w:keepNext/>
        <w:spacing w:before="160" w:after="120" w:line="360" w:lineRule="auto"/>
        <w:outlineLvl w:val="2"/>
      </w:pPr>
      <w:r>
        <w:rPr>
          <w:rFonts w:ascii="黑体" w:hAnsi="黑体" w:eastAsia="黑体"/>
          <w:sz w:val="24"/>
        </w:rPr>
        <w:t>6.1.1  三种价值理论在认知产品上的接合</w:t>
      </w:r>
    </w:p>
    <w:p>
      <w:pPr>
        <w:spacing w:line="360" w:lineRule="auto" w:after="0"/>
        <w:ind w:firstLineChars="200" w:firstLine="480"/>
        <w:jc w:val="both"/>
      </w:pPr>
      <w:r>
        <w:rPr>
          <w:rFonts w:ascii="宋体" w:hAnsi="宋体" w:eastAsia="宋体"/>
          <w:sz w:val="24"/>
        </w:rPr>
        <w:t>词元是一种前所未有的产品：它由机器批量生成，却承载着人类知识的加工与重组；它的单枚生产成本低到可以忽略，累计生产成本却高到需要以百亿元计的固定投入来支撑；它对某些使用者近乎无用，对另一些使用者则可以直接替代高价的专业劳动。任何单一价值理论都难以完整刻画这样的对象，而三种经典价值理论恰好各自抓住了它的一个侧面。</w:t>
      </w:r>
    </w:p>
    <w:p>
      <w:pPr>
        <w:spacing w:line="360" w:lineRule="auto" w:after="0"/>
        <w:ind w:firstLineChars="200" w:firstLine="480"/>
        <w:jc w:val="both"/>
      </w:pPr>
      <w:r>
        <w:rPr>
          <w:rFonts w:ascii="宋体" w:hAnsi="宋体" w:eastAsia="宋体"/>
          <w:sz w:val="24"/>
        </w:rPr>
        <w:t>劳动价值论的贡献在于指出价值的实体是凝结的一般人类劳动。词元的生成表面上是机器行为，实质上是被物化在模型参数与算力设施中的社会必要劳动的释放：语料的采集、清洗与标注是活劳动，模型架构的设计、训练与对齐是活劳动，芯片、服务器与数据中心则是过去劳动的物化形态。词元的特殊之处在于劳动凝结的时间结构——绝大部分劳动在训练阶段一次性投入并沉没，此后在推理阶段被无限次分摊。这使得「社会必要劳动时间」不能按单枚词元直接测量，而必须经过一次跨期摊销才能落到单位产品上。这一摊销问题是理解词元成本结构的钥匙，也是 6.3 节规模复用机制的起点。</w:t>
      </w:r>
    </w:p>
    <w:p>
      <w:pPr>
        <w:spacing w:line="360" w:lineRule="auto" w:after="0"/>
        <w:ind w:firstLineChars="200" w:firstLine="480"/>
        <w:jc w:val="both"/>
      </w:pPr>
      <w:r>
        <w:rPr>
          <w:rFonts w:ascii="宋体" w:hAnsi="宋体" w:eastAsia="宋体"/>
          <w:sz w:val="24"/>
        </w:rPr>
        <w:t>效用价值论的贡献在于指出价值的尺度是边际效用，而效用是主观的、边际递减的、依赖于使用情境的。词元的效用高度依赖场景：同样一万枚标准词元，用于科研分析与用于批量文案生成，其对使用者的价值相差数倍。生成式人工智能的生产率实验证据也支持这一判断——写作类任务的实验显示平均完成时间显著缩短、质量提升（Noy和Zhang，2023），客服岗位的现场实验显示效果集中于新手而对熟练者有限（Brynjolfsson等，2025），职业暴露度研究则表明不同职业任务被语言模型影响的程度差异极大（Felten等，2021；Felten等，2023；Eloundou等，2024）。效用的这种结构性差异无法由供给侧的成本解释，只能由需求侧的场景解释。</w:t>
      </w:r>
    </w:p>
    <w:p>
      <w:pPr>
        <w:spacing w:line="360" w:lineRule="auto" w:after="0"/>
        <w:ind w:firstLineChars="200" w:firstLine="480"/>
        <w:jc w:val="both"/>
      </w:pPr>
      <w:r>
        <w:rPr>
          <w:rFonts w:ascii="宋体" w:hAnsi="宋体" w:eastAsia="宋体"/>
          <w:sz w:val="24"/>
        </w:rPr>
        <w:t>信息产品价值论的贡献在于指出信息品的非竞争性与近零边际成本会根本改变价值的实现方式。数据作为非竞争性要素可被无限主体同时使用，其社会最优配置与私人激励之间存在系统性缺口（Jones和Tonetti，2020）；数据的价值高度依赖于使用目的与组合方式，因而难以形成统一价格（Bergemann等，2022；Pei，2022）。国内学者在数据要素的界权、交易与定价上做了大量梳理（熊巧琴和汤珂，2021；欧阳日辉和杜青青，2022），会计学界则推进了数据资源的确认与估值（罗玫等，2023），财政部《企业数据资源相关会计处理暂行规定》已使符合条件的数据资源进入报表（财政部，2023）。词元继承了信息品的这些特征，但又比数据更进一步：它是被实时生成的、按次计量的、可即刻交付的信息流，因而第一次使非竞争性资产的使用有了一个连续可观测的计数器。</w:t>
      </w:r>
    </w:p>
    <w:p>
      <w:pPr>
        <w:spacing w:line="360" w:lineRule="auto" w:after="0"/>
        <w:ind w:firstLineChars="200" w:firstLine="480"/>
        <w:jc w:val="both"/>
      </w:pPr>
      <w:r>
        <w:rPr>
          <w:rFonts w:ascii="宋体" w:hAnsi="宋体" w:eastAsia="宋体"/>
          <w:sz w:val="24"/>
        </w:rPr>
        <w:t>把词元置于生产要素谱系中考察，可以进一步看清其价值论定位。新质生产力的相关讨论强调，新要素的意义不在于其物理形态，而在于它改变了要素组合的方式与效率（周文和许凌云，2023；洪银兴，2024），要素系统的结构承载与功能取向由此重构（黄群慧和盛方富，2024），相应的水平测算也需要建立新的可观测指标体系（韩文龙等，2024）。数据要素的经验研究表明，要素的价值高度依赖于流动与组合的制度条件（蔡跃洲和马文君，2021）；算力要素的研究则显示，智算中心的部署与算力资源的共享安排对企业生产率有直接影响（许诺等，2025；王勇等，2025）。词元的特殊之处在于，它同时是数据要素与算力要素的产物，又是它们进入生产过程的最终形态：数据与算力本身无法被业务流程直接消费，只有转化为词元才能被调用、被计量、被结算。这一「要素的最终形态」定位，决定了词元的价值分析必须同时向上追溯到数据与算力的凝结，向下延伸到场景的转化。</w:t>
      </w:r>
    </w:p>
    <w:p>
      <w:pPr>
        <w:spacing w:line="360" w:lineRule="auto" w:after="0"/>
        <w:ind w:firstLineChars="200" w:firstLine="480"/>
        <w:jc w:val="both"/>
      </w:pPr>
      <w:r>
        <w:rPr>
          <w:rFonts w:ascii="宋体" w:hAnsi="宋体" w:eastAsia="宋体"/>
          <w:sz w:val="24"/>
        </w:rPr>
        <w:t>本书的立场是：三种价值理论并非互斥的竞争性解释，而是分别刻画了词元价值的三个环节。劳动价值论刻画创造环节——决定词元的成本基础与供给侧的价值下限；效用价值论刻画实现环节——决定词元在具体场景中能否兑现以及兑现多少；信息产品价值论刻画增值环节——解释为什么词元的单位价值会随累计使用量而系统性改变。三者的接合点正是标准词元：只有在统一的当量口径下，成本、效用与复用才可以被放在同一张资产负债表上讨论。这一分工也决定了本章的展开顺序。</w:t>
      </w:r>
    </w:p>
    <w:p>
      <w:pPr>
        <w:keepNext/>
        <w:spacing w:before="160" w:after="120" w:line="360" w:lineRule="auto"/>
        <w:outlineLvl w:val="2"/>
      </w:pPr>
      <w:r>
        <w:rPr>
          <w:rFonts w:ascii="黑体" w:hAnsi="黑体" w:eastAsia="黑体"/>
          <w:sz w:val="24"/>
        </w:rPr>
        <w:t>6.1.2  活劳动的三重形态：数据劳动、算法劳动与知识工程劳动</w:t>
      </w:r>
    </w:p>
    <w:p>
      <w:pPr>
        <w:spacing w:line="360" w:lineRule="auto" w:after="0"/>
        <w:ind w:firstLineChars="200" w:firstLine="480"/>
        <w:jc w:val="both"/>
      </w:pPr>
      <w:r>
        <w:rPr>
          <w:rFonts w:ascii="宋体" w:hAnsi="宋体" w:eastAsia="宋体"/>
          <w:sz w:val="24"/>
        </w:rPr>
        <w:t xml:space="preserve">把词元生成过程中的活劳动加以分解，可以识别出三种性质不同、时间结构不同的形态。第一种是数据劳动，指语料的采集、去重、清洗、标注、合规审查与高质量数据集的构建。这类劳动的产出不直接是词元，而是模型训练的原料，其质量直接决定了推理质量 </w:t>
      </w:r>
      <m:oMath>
        <m:r>
          <m:t>R</m:t>
        </m:r>
      </m:oMath>
      <w:r>
        <w:rPr>
          <w:rFonts w:ascii="宋体" w:hAnsi="宋体" w:eastAsia="宋体"/>
          <w:sz w:val="24"/>
        </w:rPr>
        <w:t xml:space="preserve"> 的上限。值得注意的是，数据劳动的计量本身就被分词规则所塑造：子词切分与语言无关的分词器设计（Sennrich等，2016；Kudo和Richardson，2018）决定了同一段语义在不同语言下被切分为多少枚词元，跨语言的分词效率差异显著（Rust等，2021），并进而转化为不同语言使用者面对的实际成本与上下文预算差异（Petrov等，2023；Ahia等，2023）。这意味着词元这一计量单位在其技术定义中就嵌入了对不同语言劳动的不等价折算，是本书在场景效用维度中必须加以吸收的技术性偏差。</w:t>
      </w:r>
    </w:p>
    <w:p>
      <w:pPr>
        <w:spacing w:line="360" w:lineRule="auto" w:after="0"/>
        <w:ind w:firstLineChars="200" w:firstLine="480"/>
        <w:jc w:val="both"/>
      </w:pPr>
      <w:r>
        <w:rPr>
          <w:rFonts w:ascii="宋体" w:hAnsi="宋体" w:eastAsia="宋体"/>
          <w:sz w:val="24"/>
        </w:rPr>
        <w:t>第二种是算法劳动，指模型架构设计、预训练、微调与价值对齐。规模律研究把这类劳动的产出与算力、数据、参数三者的投入联系起来，给出了损失随规模变化的可预测关系（Kaplan等，2020），训练算力最优配置的研究则进一步揭示了参数量与训练词元量之间的权衡边界（Hoffmann等，2022）。这两项工作的经济学含义在于：算法劳动的边际产出不是随机的，而是有规律可循的，因而模型资产的形成过程具备可核算性。算法劳动还包含日益重要的合规与安全环节——生成式人工智能服务管理的制度框架要求对训练数据来源、内容安全与标识承担相应义务（国家互联网信息办公室等，2023），可扩展的输出水印技术（Kirchenbauer等，2023；Dathathri等，2024）则把可溯源性内化为生成过程的一部分。这些环节都是实实在在的劳动投入，且会随监管要求的细化而持续增加。</w:t>
      </w:r>
    </w:p>
    <w:p>
      <w:pPr>
        <w:spacing w:line="360" w:lineRule="auto" w:after="0"/>
        <w:ind w:firstLineChars="200" w:firstLine="480"/>
        <w:jc w:val="both"/>
      </w:pPr>
      <w:r>
        <w:rPr>
          <w:rFonts w:ascii="宋体" w:hAnsi="宋体" w:eastAsia="宋体"/>
          <w:sz w:val="24"/>
        </w:rPr>
        <w:t>第三种是知识工程劳动，指提示工程、工作流编排、检索增强设计、评测基准建设与效果调优。这类劳动的特点是与推理过程同步发生：模型能力是既定的，但把能力转化为可用产出的路径需要人来设计。大模型的整体性评测框架（Liang等，2022）、多任务知识基准（Hendrycks等，2021）与以模型为评判者的自动评测方法（Zheng等，2023），构成了这一类劳动的方法论基础。在产业实践中，知识工程劳动的强度直接决定了同一档位词元在不同企业中的实际效果差异——这也是 6.2.3 节所讨论的「能力摩擦」的微观来源。</w:t>
      </w:r>
    </w:p>
    <w:p>
      <w:pPr>
        <w:spacing w:line="360" w:lineRule="auto" w:after="0"/>
        <w:ind w:firstLineChars="200" w:firstLine="480"/>
        <w:jc w:val="both"/>
      </w:pPr>
      <w:r>
        <w:rPr>
          <w:rFonts w:ascii="宋体" w:hAnsi="宋体" w:eastAsia="宋体"/>
          <w:sz w:val="24"/>
        </w:rPr>
        <w:t>三种活劳动的相对规模与组织形态也在快速变化，这一变化本身具有经济学意义。在模型能力竞争的早期阶段，算法劳动占据主导，数据劳动主要表现为规模化的粗放采集；随着可用公共语料趋于耗竭，数据劳动的重心转向高质量语料的构建与专业领域标注，其单位成本显著上升；而当模型能力在档位内部趋于收敛之后，决定实际产出差异的主导因素又转向知识工程劳动。这一重心迁移解释了一个常被误读的现象：公开评测上的分差在收敛，企业实际使用效果的分差却在扩大。前者度量的是算法劳动的产出，后者度量的是知识工程劳动的产出，二者本就不是同一件事。对政策而言，这意味着提升词元经济效率的着力点正在从「造更强的模型」转向「培育更强的用词元的能力」。</w:t>
      </w:r>
    </w:p>
    <w:p>
      <w:pPr>
        <w:spacing w:line="360" w:lineRule="auto" w:after="0"/>
        <w:ind w:firstLineChars="200" w:firstLine="480"/>
        <w:jc w:val="both"/>
      </w:pPr>
      <w:r>
        <w:rPr>
          <w:rFonts w:ascii="宋体" w:hAnsi="宋体" w:eastAsia="宋体"/>
          <w:sz w:val="24"/>
        </w:rPr>
        <w:t>三种活劳动的时间结构差异，是理解词元成本构成的关键。数据劳动与算法劳动前置且高度沉没：它们在词元被生成之前就已完成，其价值只能通过后续的推理量来摊销；知识工程劳动则伴随推理持续发生，是唯一与词元产出同步的活劳动。物化劳动的转移又是第三种时间结构：算力设施的折旧与电力消耗随每一次推理即时发生，既不能前置摊销也不能事后追加。三种时间结构叠加，构成了下一小节的价值构成式。</w:t>
      </w:r>
    </w:p>
    <w:p>
      <w:pPr>
        <w:keepNext/>
        <w:spacing w:before="160" w:after="120" w:line="360" w:lineRule="auto"/>
        <w:outlineLvl w:val="2"/>
      </w:pPr>
      <w:r>
        <w:rPr>
          <w:rFonts w:ascii="黑体" w:hAnsi="黑体" w:eastAsia="黑体"/>
          <w:sz w:val="24"/>
        </w:rPr>
        <w:t>6.1.3  物化劳动的转移与单位词元的价值构成</w:t>
      </w:r>
    </w:p>
    <w:p>
      <w:pPr>
        <w:spacing w:line="360" w:lineRule="auto" w:after="0"/>
        <w:ind w:firstLineChars="200" w:firstLine="480"/>
        <w:jc w:val="both"/>
      </w:pPr>
      <w:r>
        <w:rPr>
          <w:rFonts w:ascii="宋体" w:hAnsi="宋体" w:eastAsia="宋体"/>
          <w:sz w:val="24"/>
        </w:rPr>
        <w:t xml:space="preserve">设档位 </w:t>
      </w:r>
      <m:oMath>
        <m:r>
          <m:t>m</m:t>
        </m:r>
      </m:oMath>
      <w:r>
        <w:rPr>
          <w:rFonts w:ascii="宋体" w:hAnsi="宋体" w:eastAsia="宋体"/>
          <w:sz w:val="24"/>
        </w:rPr>
        <w:t xml:space="preserve"> 的模型在其生命周期内累计生成 </w:t>
      </w:r>
      <m:oMath>
        <m:sSub>
          <m:e>
            <m:r>
              <m:t>N</m:t>
            </m:r>
          </m:e>
          <m:sub>
            <m:r>
              <m:t>m</m:t>
            </m:r>
          </m:sub>
        </m:sSub>
      </m:oMath>
      <w:r>
        <w:rPr>
          <w:rFonts w:ascii="宋体" w:hAnsi="宋体" w:eastAsia="宋体"/>
          <w:sz w:val="24"/>
        </w:rPr>
        <w:t xml:space="preserve"> 枚物理词元，训练期凝结的全部活劳动与物化劳动折为模型资产 </w:t>
      </w:r>
      <m:oMath>
        <m:sSub>
          <m:e>
            <m:r>
              <m:t>A</m:t>
            </m:r>
          </m:e>
          <m:sub>
            <m:r>
              <m:t>m</m:t>
            </m:r>
          </m:sub>
        </m:sSub>
      </m:oMath>
      <w:r>
        <w:rPr>
          <w:rFonts w:ascii="宋体" w:hAnsi="宋体" w:eastAsia="宋体"/>
          <w:sz w:val="24"/>
        </w:rPr>
        <w:t xml:space="preserve">，推理期单枚词元的算力折旧与能源消耗为 </w:t>
      </w:r>
      <m:oMath>
        <m:sSub>
          <m:e>
            <m:r>
              <m:t>e</m:t>
            </m:r>
          </m:e>
          <m:sub>
            <m:r>
              <m:t>m</m:t>
            </m:r>
          </m:sub>
        </m:sSub>
      </m:oMath>
      <w:r>
        <w:rPr>
          <w:rFonts w:ascii="宋体" w:hAnsi="宋体" w:eastAsia="宋体"/>
          <w:sz w:val="24"/>
        </w:rPr>
        <w:t xml:space="preserve">，与推理同步发生的知识工程与运维活劳动折为单枚 </w:t>
      </w:r>
      <m:oMath>
        <m:sSub>
          <m:e>
            <m:r>
              <m:rPr>
                <m:sty m:val="p"/>
              </m:rPr>
              <m:t>ℓ</m:t>
            </m:r>
          </m:e>
          <m:sub>
            <m:r>
              <m:t>m</m:t>
            </m:r>
          </m:sub>
        </m:sSub>
      </m:oMath>
      <w:r>
        <w:rPr>
          <w:rFonts w:ascii="宋体" w:hAnsi="宋体" w:eastAsia="宋体"/>
          <w:sz w:val="24"/>
        </w:rPr>
        <w:t>，则单位物理词元的价值构成如式(6-1)所示。</w:t>
      </w:r>
    </w:p>
    <w:p>
      <w:pPr>
        <w:tabs>
          <w:tab w:pos="4252" w:val="center"/>
          <w:tab w:pos="8504" w:val="right"/>
        </w:tabs>
        <w:spacing w:line="360" w:lineRule="auto" w:before="80" w:after="80"/>
      </w:pPr>
      <w:r>
        <w:tab/>
      </w:r>
      <m:oMath>
        <m:sSub>
          <m:e>
            <m:r>
              <m:t>v</m:t>
            </m:r>
          </m:e>
          <m:sub>
            <m:r>
              <m:t>m</m:t>
            </m:r>
          </m:sub>
        </m:sSub>
        <m:r>
          <m:rPr>
            <m:sty m:val="p"/>
          </m:rPr>
          <m:t>=</m:t>
        </m:r>
        <m:f>
          <m:fPr>
            <m:type m:val="bar"/>
          </m:fPr>
          <m:num>
            <m:sSub>
              <m:e>
                <m:r>
                  <m:t>A</m:t>
                </m:r>
              </m:e>
              <m:sub>
                <m:r>
                  <m:t>m</m:t>
                </m:r>
              </m:sub>
            </m:sSub>
          </m:num>
          <m:den>
            <m:sSub>
              <m:e>
                <m:r>
                  <m:t>N</m:t>
                </m:r>
              </m:e>
              <m:sub>
                <m:r>
                  <m:t>m</m:t>
                </m:r>
              </m:sub>
            </m:sSub>
          </m:den>
        </m:f>
        <m:r>
          <m:rPr>
            <m:sty m:val="p"/>
          </m:rPr>
          <m:t>+</m:t>
        </m:r>
        <m:sSub>
          <m:e>
            <m:r>
              <m:t>e</m:t>
            </m:r>
          </m:e>
          <m:sub>
            <m:r>
              <m:t>m</m:t>
            </m:r>
          </m:sub>
        </m:sSub>
        <m:r>
          <m:rPr>
            <m:sty m:val="p"/>
          </m:rPr>
          <m:t>+</m:t>
        </m:r>
        <m:sSub>
          <m:e>
            <m:r>
              <m:rPr>
                <m:sty m:val="p"/>
              </m:rPr>
              <m:t>ℓ</m:t>
            </m:r>
          </m:e>
          <m:sub>
            <m:r>
              <m:t>m</m:t>
            </m:r>
          </m:sub>
        </m:sSub>
      </m:oMath>
      <w:r>
        <w:tab/>
      </w:r>
      <w:r>
        <w:rPr>
          <w:rFonts w:ascii="Times New Roman" w:hAnsi="Times New Roman" w:eastAsia="宋体"/>
          <w:sz w:val="24"/>
        </w:rPr>
        <w:t>(6-1)</w:t>
      </w:r>
    </w:p>
    <w:p>
      <w:pPr>
        <w:spacing w:line="360" w:lineRule="auto" w:after="0"/>
        <w:jc w:val="both"/>
      </w:pPr>
      <w:r>
        <w:rPr>
          <w:rFonts w:ascii="宋体" w:hAnsi="宋体" w:eastAsia="宋体"/>
          <w:sz w:val="24"/>
        </w:rPr>
        <w:t>其中，第一项为模型资产的跨期摊销，是训练期沉没劳动在单枚词元上的分担；第二项为物化劳动的即时转移，包含芯片与服务器折旧、电力与冷却消耗；第三项为推理期新投入的活劳动。三项分别对应前置沉没、即时转移与同步投入三种时间结构。</w:t>
      </w:r>
    </w:p>
    <w:p>
      <w:pPr>
        <w:spacing w:line="360" w:lineRule="auto" w:after="0"/>
        <w:ind w:firstLineChars="200" w:firstLine="480"/>
        <w:jc w:val="both"/>
      </w:pPr>
      <w:r>
        <w:rPr>
          <w:rFonts w:ascii="宋体" w:hAnsi="宋体" w:eastAsia="宋体"/>
          <w:sz w:val="24"/>
        </w:rPr>
        <w:t xml:space="preserve">式(6-1)的三项在量级上极不对称，且各自遵循不同的变化规律。摊销项 </w:t>
      </w:r>
      <m:oMath>
        <m:sSub>
          <m:e>
            <m:r>
              <m:t>A</m:t>
            </m:r>
          </m:e>
          <m:sub>
            <m:r>
              <m:t>m</m:t>
            </m:r>
          </m:sub>
        </m:sSub>
        <m:r>
          <m:rPr>
            <m:sty m:val="p"/>
          </m:rPr>
          <m:t>/</m:t>
        </m:r>
        <m:sSub>
          <m:e>
            <m:r>
              <m:t>N</m:t>
            </m:r>
          </m:e>
          <m:sub>
            <m:r>
              <m:t>m</m:t>
            </m:r>
          </m:sub>
        </m:sSub>
      </m:oMath>
      <w:r>
        <w:rPr>
          <w:rFonts w:ascii="宋体" w:hAnsi="宋体" w:eastAsia="宋体"/>
          <w:sz w:val="24"/>
        </w:rPr>
        <w:t xml:space="preserve"> 随累计推理量单调下降，是规模复用效应的直接来源；转移项 </w:t>
      </w:r>
      <m:oMath>
        <m:sSub>
          <m:e>
            <m:r>
              <m:t>e</m:t>
            </m:r>
          </m:e>
          <m:sub>
            <m:r>
              <m:t>m</m:t>
            </m:r>
          </m:sub>
        </m:sSub>
      </m:oMath>
      <w:r>
        <w:rPr>
          <w:rFonts w:ascii="宋体" w:hAnsi="宋体" w:eastAsia="宋体"/>
          <w:sz w:val="24"/>
        </w:rPr>
        <w:t xml:space="preserve"> 受推理系统效率支配，连续批处理（Yu等，2022）、分页式显存管理（Kwon等，2023）、分块预填充（Agrawal等，2024）与预填充—解码分离（Zhong等，2024）等系统进展在过去数年内成倍压低了单位词元的资源占用，注意力算子的访存优化（Dao等，2022）与大规模推理的并行切分策略（Pope等，2023）则从算子与集群两端进一步降低了成本；活劳动项 </w:t>
      </w:r>
      <m:oMath>
        <m:sSub>
          <m:e>
            <m:r>
              <m:rPr>
                <m:sty m:val="p"/>
              </m:rPr>
              <m:t>ℓ</m:t>
            </m:r>
          </m:e>
          <m:sub>
            <m:r>
              <m:t>m</m:t>
            </m:r>
          </m:sub>
        </m:sSub>
      </m:oMath>
      <w:r>
        <w:rPr>
          <w:rFonts w:ascii="宋体" w:hAnsi="宋体" w:eastAsia="宋体"/>
          <w:sz w:val="24"/>
        </w:rPr>
        <w:t xml:space="preserve"> 反而随使用深度上升，因为越复杂的工作流越需要人来编排与校验。</w:t>
      </w:r>
    </w:p>
    <w:p>
      <w:pPr>
        <w:spacing w:line="360" w:lineRule="auto" w:after="0"/>
        <w:ind w:firstLineChars="200" w:firstLine="480"/>
        <w:jc w:val="both"/>
      </w:pPr>
      <w:r>
        <w:rPr>
          <w:rFonts w:ascii="宋体" w:hAnsi="宋体" w:eastAsia="宋体"/>
          <w:sz w:val="24"/>
        </w:rPr>
        <w:t>转移项中的能源部分具有独立的核算意义。按本书测算，六档位每百万标准词元的耗电量由轻量蒸馏级的0.9 kWh 升至推理增强级的17.2 kWh，相差19.1倍；以电网排放因子折算，用量加权的平均碳强度为2.263 gCO₂e／千标准词元。生成式模型推理的能耗与碳排放测算已积累了系统的方法学（Patterson等，2022；Luccioni等，2023；Luccioni等，2024），数据中心整体用能的再校准研究（Masanet等，2020）与国际能源署对人工智能用电的专门评估（IEA，2025）则给出了宏观边界。这些工作共同说明：</w:t>
      </w:r>
      <m:oMath>
        <m:sSub>
          <m:e>
            <m:r>
              <m:t>e</m:t>
            </m:r>
          </m:e>
          <m:sub>
            <m:r>
              <m:t>m</m:t>
            </m:r>
          </m:sub>
        </m:sSub>
      </m:oMath>
      <w:r>
        <w:rPr>
          <w:rFonts w:ascii="宋体" w:hAnsi="宋体" w:eastAsia="宋体"/>
          <w:sz w:val="24"/>
        </w:rPr>
        <w:t xml:space="preserve"> 不是一个可以忽略的会计尾数，而是随档位快速放大的实质成本项，其详细核算构成本书第 11 章的主题。</w:t>
      </w:r>
    </w:p>
    <w:p>
      <w:pPr>
        <w:spacing w:line="360" w:lineRule="auto" w:after="0"/>
        <w:ind w:firstLineChars="200" w:firstLine="480"/>
        <w:jc w:val="both"/>
      </w:pPr>
      <w:r>
        <w:rPr>
          <w:rFonts w:ascii="宋体" w:hAnsi="宋体" w:eastAsia="宋体"/>
          <w:sz w:val="24"/>
        </w:rPr>
        <w:t xml:space="preserve">摊销项还牵出一个尚未解决的核算问题：模型资产 </w:t>
      </w:r>
      <m:oMath>
        <m:sSub>
          <m:e>
            <m:r>
              <m:t>A</m:t>
            </m:r>
          </m:e>
          <m:sub>
            <m:r>
              <m:t>m</m:t>
            </m:r>
          </m:sub>
        </m:sSub>
      </m:oMath>
      <w:r>
        <w:rPr>
          <w:rFonts w:ascii="宋体" w:hAnsi="宋体" w:eastAsia="宋体"/>
          <w:sz w:val="24"/>
        </w:rPr>
        <w:t xml:space="preserve"> 在现行会计制度中没有对应的确认科目。数据资源的会计处理已经取得进展，符合条件的数据资源可作为存货或无形资产入表（财政部，2023），学界对数据资产的确认与价值评估也提出了系统方案（罗玫等，2023）；但模型资产既不是纯粹的数据，也不是通常意义上的软件著作权，其形成过程横跨数据采购、算力消耗、人力投入与算法研发，摊销年限的确定更缺乏经验基础。核算缺口的直接后果是：式(6-1)第一项在企业报表中往往被计入当期费用而非资产摊销，从而在会计口径上高估当期成本、低估资产存量，使词元服务的真实盈利能力被系统性扭曲。本书主张，标准词元的引入恰好为这一摊销提供了自然的分母——以生命周期累计标准词元产出作为摊销基数，既符合式(6-2)的可比性要求，也与产量法折旧的既有会计惯例相衔接。</w:t>
      </w:r>
    </w:p>
    <w:p>
      <w:pPr>
        <w:spacing w:line="360" w:lineRule="auto" w:after="0"/>
        <w:ind w:firstLineChars="200" w:firstLine="480"/>
        <w:jc w:val="both"/>
      </w:pPr>
      <w:r>
        <w:rPr>
          <w:rFonts w:ascii="宋体" w:hAnsi="宋体" w:eastAsia="宋体"/>
          <w:sz w:val="24"/>
        </w:rPr>
        <w:t>式(6-1)是按物理词元定义的，因而不可跨档位比较，更不可加总——这正是第 3 章所证明的不可比性在成本侧的表现。引入效值折算后，单位标准词元的价值与总价值如式(6-2)所示。</w:t>
      </w:r>
    </w:p>
    <w:p>
      <w:pPr>
        <w:tabs>
          <w:tab w:pos="4252" w:val="center"/>
          <w:tab w:pos="8504" w:val="right"/>
        </w:tabs>
        <w:spacing w:line="360" w:lineRule="auto" w:before="80" w:after="80"/>
      </w:pPr>
      <w:r>
        <w:tab/>
      </w:r>
      <m:oMath>
        <m:sSub>
          <m:e>
            <m:acc>
              <m:accPr>
                <m:chr m:val="̃"/>
              </m:accPr>
              <m:e>
                <m:r>
                  <m:t>v</m:t>
                </m:r>
              </m:e>
            </m:acc>
          </m:e>
          <m:sub>
            <m:r>
              <m:t>m</m:t>
            </m:r>
          </m:sub>
        </m:sSub>
        <m:r>
          <m:rPr>
            <m:sty m:val="p"/>
          </m:rPr>
          <m:t>=</m:t>
        </m:r>
        <m:f>
          <m:fPr>
            <m:type m:val="bar"/>
          </m:fPr>
          <m:num>
            <m:sSub>
              <m:e>
                <m:r>
                  <m:t>v</m:t>
                </m:r>
              </m:e>
              <m:sub>
                <m:r>
                  <m:t>m</m:t>
                </m:r>
              </m:sub>
            </m:sSub>
          </m:num>
          <m:den>
            <m:sSub>
              <m:e>
                <m:r>
                  <m:t>η</m:t>
                </m:r>
              </m:e>
              <m:sub>
                <m:r>
                  <m:t>m</m:t>
                </m:r>
              </m:sub>
            </m:sSub>
          </m:den>
        </m:f>
        <m:r>
          <m:rPr>
            <m:sty m:val="p"/>
          </m:rPr>
          <m:t>,</m:t>
        </m:r>
        <m:r>
          <m:t>  </m:t>
        </m:r>
        <m:sSub>
          <m:e>
            <m:r>
              <m:t>V</m:t>
            </m:r>
          </m:e>
          <m:sub>
            <m:r>
              <m:t>t</m:t>
            </m:r>
          </m:sub>
        </m:sSub>
        <m:r>
          <m:rPr>
            <m:sty m:val="p"/>
          </m:rPr>
          <m:t>=</m:t>
        </m:r>
        <m:nary>
          <m:naryPr>
            <m:chr m:val="∑"/>
            <m:limLoc m:val="undOvr"/>
            <m:subHide m:val="off"/>
            <m:supHide m:val="on"/>
          </m:naryPr>
          <m:sub>
            <m:r>
              <m:t>m</m:t>
            </m:r>
            <m:r>
              <m:rPr>
                <m:sty m:val="p"/>
              </m:rPr>
              <m:t>∈</m:t>
            </m:r>
            <m:r>
              <m:rPr>
                <m:scr m:val="script"/>
                <m:sty m:val="p"/>
              </m:rPr>
              <m:t>M</m:t>
            </m:r>
          </m:sub>
          <m:sup>
            <m:r>
              <m:t>​</m:t>
            </m:r>
          </m:sup>
          <m:e>
            <m:sSub>
              <m:e>
                <m:r>
                  <m:t>v</m:t>
                </m:r>
              </m:e>
              <m:sub>
                <m:r>
                  <m:t>m</m:t>
                </m:r>
              </m:sub>
            </m:sSub>
          </m:e>
        </m:nary>
        <m:sSub>
          <m:e>
            <m:r>
              <m:t>T</m:t>
            </m:r>
          </m:e>
          <m:sub>
            <m:r>
              <m:t>m</m:t>
            </m:r>
            <m:r>
              <m:t>t</m:t>
            </m:r>
          </m:sub>
        </m:sSub>
        <m:r>
          <m:rPr>
            <m:sty m:val="p"/>
          </m:rPr>
          <m:t>=</m:t>
        </m:r>
        <m:nary>
          <m:naryPr>
            <m:chr m:val="∑"/>
            <m:limLoc m:val="undOvr"/>
            <m:subHide m:val="off"/>
            <m:supHide m:val="on"/>
          </m:naryPr>
          <m:sub>
            <m:r>
              <m:t>m</m:t>
            </m:r>
            <m:r>
              <m:rPr>
                <m:sty m:val="p"/>
              </m:rPr>
              <m:t>∈</m:t>
            </m:r>
            <m:r>
              <m:rPr>
                <m:scr m:val="script"/>
                <m:sty m:val="p"/>
              </m:rPr>
              <m:t>M</m:t>
            </m:r>
          </m:sub>
          <m:sup>
            <m:r>
              <m:t>​</m:t>
            </m:r>
          </m:sup>
          <m:e>
            <m:sSub>
              <m:e>
                <m:acc>
                  <m:accPr>
                    <m:chr m:val="̃"/>
                  </m:accPr>
                  <m:e>
                    <m:r>
                      <m:t>v</m:t>
                    </m:r>
                  </m:e>
                </m:acc>
              </m:e>
              <m:sub>
                <m:r>
                  <m:t>m</m:t>
                </m:r>
              </m:sub>
            </m:sSub>
          </m:e>
        </m:nary>
        <m:sSub>
          <m:e>
            <m:acc>
              <m:accPr>
                <m:chr m:val="̃"/>
              </m:accPr>
              <m:e>
                <m:r>
                  <m:t>T</m:t>
                </m:r>
              </m:e>
            </m:acc>
          </m:e>
          <m:sub>
            <m:r>
              <m:t>m</m:t>
            </m:r>
            <m:r>
              <m:t>t</m:t>
            </m:r>
          </m:sub>
        </m:sSub>
      </m:oMath>
      <w:r>
        <w:tab/>
      </w:r>
      <w:r>
        <w:rPr>
          <w:rFonts w:ascii="Times New Roman" w:hAnsi="Times New Roman" w:eastAsia="宋体"/>
          <w:sz w:val="24"/>
        </w:rPr>
        <w:t>(6-2)</w:t>
      </w:r>
    </w:p>
    <w:p>
      <w:pPr>
        <w:spacing w:line="360" w:lineRule="auto" w:after="0"/>
        <w:jc w:val="both"/>
      </w:pPr>
      <w:r>
        <w:rPr>
          <w:rFonts w:ascii="宋体" w:hAnsi="宋体" w:eastAsia="宋体"/>
          <w:sz w:val="24"/>
        </w:rPr>
        <w:t>其中，</w:t>
      </w:r>
      <m:oMath>
        <m:sSub>
          <m:e>
            <m:acc>
              <m:accPr>
                <m:chr m:val="̃"/>
              </m:accPr>
              <m:e>
                <m:r>
                  <m:t>v</m:t>
                </m:r>
              </m:e>
            </m:acc>
          </m:e>
          <m:sub>
            <m:r>
              <m:t>m</m:t>
            </m:r>
          </m:sub>
        </m:sSub>
      </m:oMath>
      <w:r>
        <w:rPr>
          <w:rFonts w:ascii="宋体" w:hAnsi="宋体" w:eastAsia="宋体"/>
          <w:sz w:val="24"/>
        </w:rPr>
        <w:t xml:space="preserve"> 为单位标准词元的价值，</w:t>
      </w:r>
      <m:oMath>
        <m:r>
          <m:rPr>
            <m:scr m:val="script"/>
            <m:sty m:val="p"/>
          </m:rPr>
          <m:t>M</m:t>
        </m:r>
      </m:oMath>
      <w:r>
        <w:rPr>
          <w:rFonts w:ascii="宋体" w:hAnsi="宋体" w:eastAsia="宋体"/>
          <w:sz w:val="24"/>
        </w:rPr>
        <w:t xml:space="preserve"> 为档位集合，</w:t>
      </w:r>
      <m:oMath>
        <m:sSub>
          <m:e>
            <m:r>
              <m:t>T</m:t>
            </m:r>
          </m:e>
          <m:sub>
            <m:r>
              <m:t>m</m:t>
            </m:r>
            <m:r>
              <m:t>t</m:t>
            </m:r>
          </m:sub>
        </m:sSub>
      </m:oMath>
      <w:r>
        <w:rPr>
          <w:rFonts w:ascii="宋体" w:hAnsi="宋体" w:eastAsia="宋体"/>
          <w:sz w:val="24"/>
        </w:rPr>
        <w:t xml:space="preserve"> 与 </w:t>
      </w:r>
      <m:oMath>
        <m:sSub>
          <m:e>
            <m:acc>
              <m:accPr>
                <m:chr m:val="̃"/>
              </m:accPr>
              <m:e>
                <m:r>
                  <m:t>T</m:t>
                </m:r>
              </m:e>
            </m:acc>
          </m:e>
          <m:sub>
            <m:r>
              <m:t>m</m:t>
            </m:r>
            <m:r>
              <m:t>t</m:t>
            </m:r>
          </m:sub>
        </m:sSub>
        <m:r>
          <m:rPr>
            <m:sty m:val="p"/>
          </m:rPr>
          <m:t>=</m:t>
        </m:r>
        <m:sSub>
          <m:e>
            <m:r>
              <m:t>η</m:t>
            </m:r>
          </m:e>
          <m:sub>
            <m:r>
              <m:t>m</m:t>
            </m:r>
          </m:sub>
        </m:sSub>
        <m:sSub>
          <m:e>
            <m:r>
              <m:t>T</m:t>
            </m:r>
          </m:e>
          <m:sub>
            <m:r>
              <m:t>m</m:t>
            </m:r>
            <m:r>
              <m:t>t</m:t>
            </m:r>
          </m:sub>
        </m:sSub>
      </m:oMath>
      <w:r>
        <w:rPr>
          <w:rFonts w:ascii="宋体" w:hAnsi="宋体" w:eastAsia="宋体"/>
          <w:sz w:val="24"/>
        </w:rPr>
        <w:t xml:space="preserve"> 分别为 </w:t>
      </w:r>
      <m:oMath>
        <m:r>
          <m:t>t</m:t>
        </m:r>
      </m:oMath>
      <w:r>
        <w:rPr>
          <w:rFonts w:ascii="宋体" w:hAnsi="宋体" w:eastAsia="宋体"/>
          <w:sz w:val="24"/>
        </w:rPr>
        <w:t xml:space="preserve"> 期该档位的物理词元量与标准词元量，</w:t>
      </w:r>
      <m:oMath>
        <m:sSub>
          <m:e>
            <m:r>
              <m:t>V</m:t>
            </m:r>
          </m:e>
          <m:sub>
            <m:r>
              <m:t>t</m:t>
            </m:r>
          </m:sub>
        </m:sSub>
      </m:oMath>
      <w:r>
        <w:rPr>
          <w:rFonts w:ascii="宋体" w:hAnsi="宋体" w:eastAsia="宋体"/>
          <w:sz w:val="24"/>
        </w:rPr>
        <w:t xml:space="preserve"> 为价值创造总量。</w:t>
      </w:r>
    </w:p>
    <w:p>
      <w:pPr>
        <w:spacing w:line="360" w:lineRule="auto" w:after="0"/>
        <w:ind w:firstLineChars="200" w:firstLine="480"/>
        <w:jc w:val="both"/>
      </w:pPr>
      <w:r>
        <w:rPr>
          <w:rFonts w:ascii="宋体" w:hAnsi="宋体" w:eastAsia="宋体"/>
          <w:sz w:val="24"/>
        </w:rPr>
        <w:t xml:space="preserve">式(6-2)的右端恒等式表明，总价值在两种口径下相等，折算并不凭空创造或消灭价值；但只有标准词元口径下的单位价值 </w:t>
      </w:r>
      <m:oMath>
        <m:sSub>
          <m:e>
            <m:acc>
              <m:accPr>
                <m:chr m:val="̃"/>
              </m:accPr>
              <m:e>
                <m:r>
                  <m:t>v</m:t>
                </m:r>
              </m:e>
            </m:acc>
          </m:e>
          <m:sub>
            <m:r>
              <m:t>m</m:t>
            </m:r>
          </m:sub>
        </m:sSub>
      </m:oMath>
      <w:r>
        <w:rPr>
          <w:rFonts w:ascii="宋体" w:hAnsi="宋体" w:eastAsia="宋体"/>
          <w:sz w:val="24"/>
        </w:rPr>
        <w:t xml:space="preserve"> 才具备跨档位可比性。这一命题可以直接用数据检验。以第 7 章的成本底价层为价值创造侧的可观测代理，六档位每百万物理词元的成本底价由轻量蒸馏级的0.18元升至推理增强级的3.36元，极差达18.7倍、变异系数为0.733；折算为标准词元口径后，六档位每百万标准词元的成本底价收敛于0.47—0.79元的窄区间，极差降至1.66倍、变异系数降至0.176，离散程度下降约76%。</w:t>
      </w:r>
    </w:p>
    <w:p>
      <w:pPr>
        <w:spacing w:line="360" w:lineRule="auto" w:after="0"/>
        <w:ind w:firstLineChars="200" w:firstLine="480"/>
        <w:jc w:val="both"/>
      </w:pPr>
      <w:r>
        <w:rPr>
          <w:rFonts w:ascii="宋体" w:hAnsi="宋体" w:eastAsia="宋体"/>
          <w:sz w:val="24"/>
        </w:rPr>
        <w:t>这一结果的理论含义值得强调。物理口径下相差近二十倍的成本，在标准词元口径下相差不到七成，说明各档位的成本差异绝大部分不是「效率差异」，而是「产品差异」——高档位词元之所以贵，主要是因为它单枚承载的效值更高，而不是因为它的生产更浪费。若不做折算而径直比较各档位的单位成本，就会把产品差异误读为效率差异，从而在补贴核定、成本监审与技改评价中得出方向性错误的结论。折算后残留的那部分离散，才是真正意义上的运营效率与市场势力差异，也才是政策应当关注的对象。</w:t>
      </w:r>
    </w:p>
    <w:p>
      <w:pPr>
        <w:spacing w:line="360" w:lineRule="auto" w:after="0"/>
        <w:ind w:firstLineChars="200" w:firstLine="480"/>
        <w:jc w:val="both"/>
      </w:pPr>
      <w:r>
        <w:rPr>
          <w:rFonts w:ascii="宋体" w:hAnsi="宋体" w:eastAsia="宋体"/>
          <w:sz w:val="24"/>
        </w:rPr>
        <w:t>如图6.1所示，把上述劳动凝结结构、词元生成过程与标准词元当量三者的关系整体呈现，可以看到价值创造的完整链路。</w:t>
      </w:r>
    </w:p>
    <w:p>
      <w:pPr>
        <w:spacing w:before="120" w:after="40"/>
        <w:jc w:val="center"/>
      </w:pPr>
      <w:r>
        <w:drawing>
          <wp:inline xmlns:a="http://schemas.openxmlformats.org/drawingml/2006/main" xmlns:pic="http://schemas.openxmlformats.org/drawingml/2006/picture">
            <wp:extent cx="4860000" cy="3049412"/>
            <wp:docPr id="17" name="Picture 17"/>
            <wp:cNvGraphicFramePr>
              <a:graphicFrameLocks noChangeAspect="1"/>
            </wp:cNvGraphicFramePr>
            <a:graphic>
              <a:graphicData uri="http://schemas.openxmlformats.org/drawingml/2006/picture">
                <pic:pic>
                  <pic:nvPicPr>
                    <pic:cNvPr id="0" name="fig6_1.png"/>
                    <pic:cNvPicPr/>
                  </pic:nvPicPr>
                  <pic:blipFill>
                    <a:blip r:embed="rId25"/>
                    <a:stretch>
                      <a:fillRect/>
                    </a:stretch>
                  </pic:blipFill>
                  <pic:spPr>
                    <a:xfrm>
                      <a:off x="0" y="0"/>
                      <a:ext cx="4860000" cy="3049412"/>
                    </a:xfrm>
                    <a:prstGeom prst="rect"/>
                  </pic:spPr>
                </pic:pic>
              </a:graphicData>
            </a:graphic>
          </wp:inline>
        </w:drawing>
      </w:r>
    </w:p>
    <w:p>
      <w:pPr>
        <w:keepNext w:val="0"/>
        <w:spacing w:after="200"/>
        <w:jc w:val="center"/>
      </w:pPr>
      <w:r>
        <w:rPr>
          <w:rFonts w:ascii="黑体" w:hAnsi="黑体" w:eastAsia="黑体"/>
          <w:sz w:val="21"/>
        </w:rPr>
        <w:t>图6.1  词元价值创造的劳动凝结结构</w:t>
      </w:r>
    </w:p>
    <w:p>
      <w:pPr>
        <w:spacing w:line="360" w:lineRule="auto" w:after="0"/>
        <w:ind w:firstLineChars="200" w:firstLine="480"/>
        <w:jc w:val="both"/>
      </w:pPr>
      <w:r>
        <w:rPr>
          <w:rFonts w:ascii="宋体" w:hAnsi="宋体" w:eastAsia="宋体"/>
          <w:sz w:val="24"/>
        </w:rPr>
        <w:t xml:space="preserve">图6.1的左侧是两类投入。活劳动一侧的数据劳动、算法劳动与知识工程劳动，对应 6.1.2 节的三重形态；物化劳动一侧的算力设施、模型资产与能源投入，对应式(6-1)中的摊销项与转移项。两类投入并不在同一环节进入生成过程：活劳动主要在预训练与对齐阶段凝结为模型资产，物化劳动则在推理阶段随每一枚词元的生成而即时转移。图的中部把生成过程拆为「预训练与对齐—推理生成—效值形成」三步，其中第三步是本书特有的环节：一枚词元的 </w:t>
      </w:r>
      <m:oMath>
        <m:r>
          <m:t>P</m:t>
        </m:r>
      </m:oMath>
      <w:r>
        <w:rPr>
          <w:rFonts w:ascii="宋体" w:hAnsi="宋体" w:eastAsia="宋体"/>
          <w:sz w:val="24"/>
        </w:rPr>
        <w:t>、</w:t>
      </w:r>
      <m:oMath>
        <m:r>
          <m:t>R</m:t>
        </m:r>
      </m:oMath>
      <w:r>
        <w:rPr>
          <w:rFonts w:ascii="宋体" w:hAnsi="宋体" w:eastAsia="宋体"/>
          <w:sz w:val="24"/>
        </w:rPr>
        <w:t>、</w:t>
      </w:r>
      <m:oMath>
        <m:r>
          <m:t>S</m:t>
        </m:r>
      </m:oMath>
      <w:r>
        <w:rPr>
          <w:rFonts w:ascii="宋体" w:hAnsi="宋体" w:eastAsia="宋体"/>
          <w:sz w:val="24"/>
        </w:rPr>
        <w:t xml:space="preserve"> 三维属性在生成的同时即已确定，这使得价值创造与价值计量在物理上是同一过程的两面。</w:t>
      </w:r>
    </w:p>
    <w:p>
      <w:pPr>
        <w:spacing w:line="360" w:lineRule="auto" w:after="0"/>
        <w:ind w:firstLineChars="200" w:firstLine="480"/>
        <w:jc w:val="both"/>
      </w:pPr>
      <w:r>
        <w:rPr>
          <w:rFonts w:ascii="宋体" w:hAnsi="宋体" w:eastAsia="宋体"/>
          <w:sz w:val="24"/>
        </w:rPr>
        <w:t xml:space="preserve">图6.1的右侧给出两个输出。上方是标准词元当量 </w:t>
      </w:r>
      <m:oMath>
        <m:acc>
          <m:accPr>
            <m:chr m:val="̃"/>
          </m:accPr>
          <m:e>
            <m:r>
              <m:t>T</m:t>
            </m:r>
          </m:e>
        </m:acc>
        <m:r>
          <m:rPr>
            <m:sty m:val="p"/>
          </m:rPr>
          <m:t>=</m:t>
        </m:r>
        <m:r>
          <m:t>η</m:t>
        </m:r>
        <m:r>
          <m:t>T</m:t>
        </m:r>
      </m:oMath>
      <w:r>
        <w:rPr>
          <w:rFonts w:ascii="宋体" w:hAnsi="宋体" w:eastAsia="宋体"/>
          <w:sz w:val="24"/>
        </w:rPr>
        <w:t>，即计量输出；下方是单位标准词元的价值构成，即价值输出。二者的并置揭示了本书的核心方法论：计量与价值不是两件事，而是同一枚词元的两种表述——只有当计量单位本身吸收了效值差异，单位价值才具有跨主体、跨时点比较的意义。这也解释了为什么本书把折算体系置于价值论之前：没有可比的计量，价值分析将失去共同的分母。</w:t>
      </w:r>
    </w:p>
    <w:p>
      <w:pPr>
        <w:keepNext/>
        <w:spacing w:before="160" w:after="120" w:line="360" w:lineRule="auto"/>
        <w:outlineLvl w:val="1"/>
      </w:pPr>
      <w:r>
        <w:rPr>
          <w:rFonts w:ascii="黑体" w:hAnsi="黑体" w:eastAsia="黑体"/>
          <w:sz w:val="28"/>
        </w:rPr>
        <w:t>6.2  价值实现：从生成到场景的转化链条</w:t>
      </w:r>
    </w:p>
    <w:p>
      <w:pPr>
        <w:keepNext/>
        <w:spacing w:before="160" w:after="120" w:line="360" w:lineRule="auto"/>
        <w:outlineLvl w:val="2"/>
      </w:pPr>
      <w:r>
        <w:rPr>
          <w:rFonts w:ascii="黑体" w:hAnsi="黑体" w:eastAsia="黑体"/>
          <w:sz w:val="24"/>
        </w:rPr>
        <w:t>6.2.1  生成不等于实现：使用价值的场景生成</w:t>
      </w:r>
    </w:p>
    <w:p>
      <w:pPr>
        <w:spacing w:line="360" w:lineRule="auto" w:after="0"/>
        <w:ind w:firstLineChars="200" w:firstLine="480"/>
        <w:jc w:val="both"/>
      </w:pPr>
      <w:r>
        <w:rPr>
          <w:rFonts w:ascii="宋体" w:hAnsi="宋体" w:eastAsia="宋体"/>
          <w:sz w:val="24"/>
        </w:rPr>
        <w:t>词元生成完成的那一刻，其价值仍是潜在的。与实物产品不同，词元没有独立于使用情境的客观效用：一段代码只有被编译、评审并合入生产系统才产生价值，一份合规意见只有被采纳进入决策流程才产生价值，一段客服回复只有真正化解了用户诉求才产生价值。这意味着词元的价值实现不发生在生成端，而发生在应用端；服务方交付的是能力，使用方完成的才是价值。这一区分在经济学上并不新鲜——它是使用价值与交换价值区分的现代版本——但在词元经济中具有特别的实践后果：调用量的增长不等于价值的增长，词元账单的扩张不等于产出的扩张。</w:t>
      </w:r>
    </w:p>
    <w:p>
      <w:pPr>
        <w:spacing w:line="360" w:lineRule="auto" w:after="0"/>
        <w:ind w:firstLineChars="200" w:firstLine="480"/>
        <w:jc w:val="both"/>
      </w:pPr>
      <w:r>
        <w:rPr>
          <w:rFonts w:ascii="宋体" w:hAnsi="宋体" w:eastAsia="宋体"/>
          <w:sz w:val="24"/>
        </w:rPr>
        <w:t xml:space="preserve">把这一机制形式化。设场景 </w:t>
      </w:r>
      <m:oMath>
        <m:r>
          <m:t>j</m:t>
        </m:r>
      </m:oMath>
      <w:r>
        <w:rPr>
          <w:rFonts w:ascii="宋体" w:hAnsi="宋体" w:eastAsia="宋体"/>
          <w:sz w:val="24"/>
        </w:rPr>
        <w:t xml:space="preserve"> 中单位标准词元创造的毛使用价值为 </w:t>
      </w:r>
      <m:oMath>
        <m:sSub>
          <m:e>
            <m:r>
              <m:t>u</m:t>
            </m:r>
          </m:e>
          <m:sub>
            <m:r>
              <m:t>j</m:t>
            </m:r>
          </m:sub>
        </m:sSub>
      </m:oMath>
      <w:r>
        <w:rPr>
          <w:rFonts w:ascii="宋体" w:hAnsi="宋体" w:eastAsia="宋体"/>
          <w:sz w:val="24"/>
        </w:rPr>
        <w:t xml:space="preserve">（价值密度），标准词元价格为 </w:t>
      </w:r>
      <m:oMath>
        <m:acc>
          <m:accPr>
            <m:chr m:val="̃"/>
          </m:accPr>
          <m:e>
            <m:r>
              <m:t>p</m:t>
            </m:r>
          </m:e>
        </m:acc>
      </m:oMath>
      <w:r>
        <w:rPr>
          <w:rFonts w:ascii="宋体" w:hAnsi="宋体" w:eastAsia="宋体"/>
          <w:sz w:val="24"/>
        </w:rPr>
        <w:t xml:space="preserve">，该场景消耗的标准词元量为 </w:t>
      </w:r>
      <m:oMath>
        <m:sSub>
          <m:e>
            <m:acc>
              <m:accPr>
                <m:chr m:val="̃"/>
              </m:accPr>
              <m:e>
                <m:r>
                  <m:t>T</m:t>
                </m:r>
              </m:e>
            </m:acc>
          </m:e>
          <m:sub>
            <m:r>
              <m:t>j</m:t>
            </m:r>
          </m:sub>
        </m:sSub>
      </m:oMath>
      <w:r>
        <w:rPr>
          <w:rFonts w:ascii="宋体" w:hAnsi="宋体" w:eastAsia="宋体"/>
          <w:sz w:val="24"/>
        </w:rPr>
        <w:t>，则价值实现的结构如式(6-3)所示。</w:t>
      </w:r>
    </w:p>
    <w:p>
      <w:pPr>
        <w:tabs>
          <w:tab w:pos="4252" w:val="center"/>
          <w:tab w:pos="8504" w:val="right"/>
        </w:tabs>
        <w:spacing w:line="360" w:lineRule="auto" w:before="80" w:after="80"/>
      </w:pPr>
      <w:r>
        <w:tab/>
      </w:r>
      <m:oMath>
        <m:sSub>
          <m:e>
            <m:r>
              <m:t>Π</m:t>
            </m:r>
          </m:e>
          <m:sub>
            <m:r>
              <m:t>j</m:t>
            </m:r>
          </m:sub>
        </m:sSub>
        <m:r>
          <m:rPr>
            <m:sty m:val="p"/>
          </m:rPr>
          <m:t>=</m:t>
        </m:r>
        <m:d>
          <m:dPr>
            <m:begChr m:val="("/>
            <m:endChr m:val=")"/>
            <m:grow/>
          </m:dPr>
          <m:e>
            <m:sSub>
              <m:e>
                <m:r>
                  <m:t>u</m:t>
                </m:r>
              </m:e>
              <m:sub>
                <m:r>
                  <m:t>j</m:t>
                </m:r>
              </m:sub>
            </m:sSub>
            <m:r>
              <m:rPr>
                <m:sty m:val="p"/>
              </m:rPr>
              <m:t>−</m:t>
            </m:r>
            <m:acc>
              <m:accPr>
                <m:chr m:val="̃"/>
              </m:accPr>
              <m:e>
                <m:r>
                  <m:t>p</m:t>
                </m:r>
              </m:e>
            </m:acc>
          </m:e>
        </m:d>
        <m:sSub>
          <m:e>
            <m:acc>
              <m:accPr>
                <m:chr m:val="̃"/>
              </m:accPr>
              <m:e>
                <m:r>
                  <m:t>T</m:t>
                </m:r>
              </m:e>
            </m:acc>
          </m:e>
          <m:sub>
            <m:r>
              <m:t>j</m:t>
            </m:r>
          </m:sub>
        </m:sSub>
        <m:r>
          <m:rPr>
            <m:sty m:val="p"/>
          </m:rPr>
          <m:t>,</m:t>
        </m:r>
        <m:r>
          <m:t>  </m:t>
        </m:r>
        <m:sSub>
          <m:e>
            <m:r>
              <m:t>ρ</m:t>
            </m:r>
          </m:e>
          <m:sub>
            <m:r>
              <m:t>j</m:t>
            </m:r>
          </m:sub>
        </m:sSub>
        <m:r>
          <m:rPr>
            <m:sty m:val="p"/>
          </m:rPr>
          <m:t>=</m:t>
        </m:r>
        <m:f>
          <m:fPr>
            <m:type m:val="bar"/>
          </m:fPr>
          <m:num>
            <m:acc>
              <m:accPr>
                <m:chr m:val="̃"/>
              </m:accPr>
              <m:e>
                <m:r>
                  <m:t>p</m:t>
                </m:r>
              </m:e>
            </m:acc>
          </m:num>
          <m:den>
            <m:sSub>
              <m:e>
                <m:r>
                  <m:t>u</m:t>
                </m:r>
              </m:e>
              <m:sub>
                <m:r>
                  <m:t>j</m:t>
                </m:r>
              </m:sub>
            </m:sSub>
          </m:den>
        </m:f>
        <m:r>
          <m:rPr>
            <m:sty m:val="p"/>
          </m:rPr>
          <m:t>,</m:t>
        </m:r>
        <m:r>
          <m:t>  </m:t>
        </m:r>
        <m:sSub>
          <m:e>
            <m:r>
              <m:t>λ</m:t>
            </m:r>
          </m:e>
          <m:sub>
            <m:r>
              <m:t>j</m:t>
            </m:r>
          </m:sub>
        </m:sSub>
        <m:r>
          <m:rPr>
            <m:sty m:val="p"/>
          </m:rPr>
          <m:t>=</m:t>
        </m:r>
        <m:sSubSup>
          <m:e>
            <m:r>
              <m:t>ρ</m:t>
            </m:r>
          </m:e>
          <m:sub>
            <m:r>
              <m:t>j</m:t>
            </m:r>
          </m:sub>
          <m:sup>
            <m:r>
              <m:rPr>
                <m:sty m:val="p"/>
              </m:rPr>
              <m:t>−</m:t>
            </m:r>
            <m:r>
              <m:t>1</m:t>
            </m:r>
          </m:sup>
        </m:sSubSup>
        <m:r>
          <m:rPr>
            <m:sty m:val="p"/>
          </m:rPr>
          <m:t>=</m:t>
        </m:r>
        <m:f>
          <m:fPr>
            <m:type m:val="bar"/>
          </m:fPr>
          <m:num>
            <m:sSub>
              <m:e>
                <m:r>
                  <m:t>u</m:t>
                </m:r>
              </m:e>
              <m:sub>
                <m:r>
                  <m:t>j</m:t>
                </m:r>
              </m:sub>
            </m:sSub>
          </m:num>
          <m:den>
            <m:acc>
              <m:accPr>
                <m:chr m:val="̃"/>
              </m:accPr>
              <m:e>
                <m:r>
                  <m:t>p</m:t>
                </m:r>
              </m:e>
            </m:acc>
          </m:den>
        </m:f>
      </m:oMath>
      <w:r>
        <w:tab/>
      </w:r>
      <w:r>
        <w:rPr>
          <w:rFonts w:ascii="Times New Roman" w:hAnsi="Times New Roman" w:eastAsia="宋体"/>
          <w:sz w:val="24"/>
        </w:rPr>
        <w:t>(6-3)</w:t>
      </w:r>
    </w:p>
    <w:p>
      <w:pPr>
        <w:spacing w:line="360" w:lineRule="auto" w:after="0"/>
        <w:jc w:val="both"/>
      </w:pPr>
      <w:r>
        <w:rPr>
          <w:rFonts w:ascii="宋体" w:hAnsi="宋体" w:eastAsia="宋体"/>
          <w:sz w:val="24"/>
        </w:rPr>
        <w:t>其中，</w:t>
      </w:r>
      <m:oMath>
        <m:sSub>
          <m:e>
            <m:r>
              <m:t>Π</m:t>
            </m:r>
          </m:e>
          <m:sub>
            <m:r>
              <m:t>j</m:t>
            </m:r>
          </m:sub>
        </m:sSub>
      </m:oMath>
      <w:r>
        <w:rPr>
          <w:rFonts w:ascii="宋体" w:hAnsi="宋体" w:eastAsia="宋体"/>
          <w:sz w:val="24"/>
        </w:rPr>
        <w:t xml:space="preserve"> 为使用方获得的净剩余，</w:t>
      </w:r>
      <m:oMath>
        <m:sSub>
          <m:e>
            <m:r>
              <m:t>ρ</m:t>
            </m:r>
          </m:e>
          <m:sub>
            <m:r>
              <m:t>j</m:t>
            </m:r>
          </m:sub>
        </m:sSub>
      </m:oMath>
      <w:r>
        <w:rPr>
          <w:rFonts w:ascii="宋体" w:hAnsi="宋体" w:eastAsia="宋体"/>
          <w:sz w:val="24"/>
        </w:rPr>
        <w:t xml:space="preserve"> 为词元服务方在该场景所创造价值中可占有的份额，</w:t>
      </w:r>
      <m:oMath>
        <m:sSub>
          <m:e>
            <m:r>
              <m:t>λ</m:t>
            </m:r>
          </m:e>
          <m:sub>
            <m:r>
              <m:t>j</m:t>
            </m:r>
          </m:sub>
        </m:sSub>
      </m:oMath>
      <w:r>
        <w:rPr>
          <w:rFonts w:ascii="宋体" w:hAnsi="宋体" w:eastAsia="宋体"/>
          <w:sz w:val="24"/>
        </w:rPr>
        <w:t xml:space="preserve"> 为单位词元支出所撬动的场景价值倍数（价值杠杆倍数）。价值实现的必要条件是 </w:t>
      </w:r>
      <m:oMath>
        <m:sSub>
          <m:e>
            <m:r>
              <m:t>u</m:t>
            </m:r>
          </m:e>
          <m:sub>
            <m:r>
              <m:t>j</m:t>
            </m:r>
          </m:sub>
        </m:sSub>
        <m:r>
          <m:rPr>
            <m:sty m:val="p"/>
          </m:rPr>
          <m:t>&gt;</m:t>
        </m:r>
        <m:acc>
          <m:accPr>
            <m:chr m:val="̃"/>
          </m:accPr>
          <m:e>
            <m:r>
              <m:t>p</m:t>
            </m:r>
          </m:e>
        </m:acc>
      </m:oMath>
      <w:r>
        <w:rPr>
          <w:rFonts w:ascii="宋体" w:hAnsi="宋体" w:eastAsia="宋体"/>
          <w:sz w:val="24"/>
        </w:rPr>
        <w:t xml:space="preserve">，即 </w:t>
      </w:r>
      <m:oMath>
        <m:sSub>
          <m:e>
            <m:r>
              <m:t>ρ</m:t>
            </m:r>
          </m:e>
          <m:sub>
            <m:r>
              <m:t>j</m:t>
            </m:r>
          </m:sub>
        </m:sSub>
        <m:r>
          <m:rPr>
            <m:sty m:val="p"/>
          </m:rPr>
          <m:t>&lt;</m:t>
        </m:r>
        <m:r>
          <m:t>1</m:t>
        </m:r>
      </m:oMath>
      <w:r>
        <w:rPr>
          <w:rFonts w:ascii="宋体" w:hAnsi="宋体" w:eastAsia="宋体"/>
          <w:sz w:val="24"/>
        </w:rPr>
        <w:t>。</w:t>
      </w:r>
    </w:p>
    <w:p>
      <w:pPr>
        <w:spacing w:line="360" w:lineRule="auto" w:after="0"/>
        <w:ind w:firstLineChars="200" w:firstLine="480"/>
        <w:jc w:val="both"/>
      </w:pPr>
      <w:r>
        <w:rPr>
          <w:rFonts w:ascii="宋体" w:hAnsi="宋体" w:eastAsia="宋体"/>
          <w:sz w:val="24"/>
        </w:rPr>
        <w:t>式(6-3)有三条直接性质。第一，实现条件与档位无关而与场景有关：一枚高效值词元若被投入低价值密度场景，同样可能不满足实现条件，这解释了为什么「用最强的模型」并不总是经济的。第二，</w:t>
      </w:r>
      <m:oMath>
        <m:sSub>
          <m:e>
            <m:r>
              <m:t>ρ</m:t>
            </m:r>
          </m:e>
          <m:sub>
            <m:r>
              <m:t>j</m:t>
            </m:r>
          </m:sub>
        </m:sSub>
      </m:oMath>
      <w:r>
        <w:rPr>
          <w:rFonts w:ascii="宋体" w:hAnsi="宋体" w:eastAsia="宋体"/>
          <w:sz w:val="24"/>
        </w:rPr>
        <w:t xml:space="preserve"> 是内生的分配变量而非技术参数，它取决于服务方与使用方的相对议价能力、场景的可替代性以及效值信息的透明度，因而是第 7 章场景租金层的微观基础。第三，</w:t>
      </w:r>
      <m:oMath>
        <m:sSub>
          <m:e>
            <m:r>
              <m:t>λ</m:t>
            </m:r>
          </m:e>
          <m:sub>
            <m:r>
              <m:t>j</m:t>
            </m:r>
          </m:sub>
        </m:sSub>
      </m:oMath>
      <w:r>
        <w:rPr>
          <w:rFonts w:ascii="宋体" w:hAnsi="宋体" w:eastAsia="宋体"/>
          <w:sz w:val="24"/>
        </w:rPr>
        <w:t xml:space="preserve"> 给出了一个可比的效率指标：同一笔词元支出在不同场景撬动的价值差异，正是配置优化的空间所在，也是第 9 章匹配损失的价值口径表达。</w:t>
      </w:r>
    </w:p>
    <w:p>
      <w:pPr>
        <w:spacing w:line="360" w:lineRule="auto" w:after="0"/>
        <w:ind w:firstLineChars="200" w:firstLine="480"/>
        <w:jc w:val="both"/>
      </w:pPr>
      <w:r>
        <w:rPr>
          <w:rFonts w:ascii="宋体" w:hAnsi="宋体" w:eastAsia="宋体"/>
          <w:sz w:val="24"/>
        </w:rPr>
        <w:t>式(6-3)所刻画的实现过程，在微观层面已积累了相当的经验证据。生成式人工智能对写作类任务的效率提升与质量改善在受控实验中得到确认（Noy和Zhang，2023），对客服岗位的影响呈现明显的技能梯度（Brynjolfsson等，2025）；企业侧采纳的调查显示，采纳率与企业规模、技能结构高度相关（Czarnitzki等，2023；Humlum和Vestergaard，2025），个人侧的扩散速度则快于个人计算机与互联网的同期水平（Bick等，2024）；云计算的既往经验也提示，通用算力服务的采纳会显著改变企业的成长路径与生产率分布（Byrne等，2018；Coyle和Nguyen，2019；DeStefano等，2025）。宏观层面的估算则分歧显著：有研究基于任务暴露度与自动化成本给出相当保守的十年全要素生产率效应（Acemoglu，2025），也有研究强调无形资产积累导致的生产率 J 曲线会使早期效应被系统性低估（Brynjolfsson等，2019；Brynjolfsson等，2021），国际组织的测算区间同样宽泛（「Chui等，2023」；「Cazzaniga等，2024」；「OECD，2024」）。分歧的根源之一正是价值实现环节缺乏可观测的中间变量——本书主张，标准词元流量恰好提供了这样一个变量，这一主张将在第 12 章得到检验。</w:t>
      </w:r>
    </w:p>
    <w:p>
      <w:pPr>
        <w:spacing w:line="360" w:lineRule="auto" w:after="0"/>
        <w:ind w:firstLineChars="200" w:firstLine="480"/>
        <w:jc w:val="both"/>
      </w:pPr>
      <w:r>
        <w:rPr>
          <w:rFonts w:ascii="宋体" w:hAnsi="宋体" w:eastAsia="宋体"/>
          <w:sz w:val="24"/>
        </w:rPr>
        <w:t>式(6-3)还澄清了词元与算力、数据在价值链上的位置关系。算力的价值实现依赖于它被转化为词元，数据的价值实现依赖于它被凝结进模型再经词元释放，而词元的价值实现依赖于它被嵌入场景。三者构成一条严格的前后序关系，任何一环的阻滞都会使上游投入滞留为无效资产。这解释了一个反复出现的产业现象：算力规模的扩张与算力利用率的低迷可以长期并存（「中国信息通信研究院，2025」；中国信息通信研究院，2025），因为算力的建成只完成了价值链的第一段。云工作负载的实证分析也显示，资源请求与实际使用之间存在系统性缺口，调度与共享机制的设计对有效利用率有决定性影响（Weng等，2022）。本书由此提出一条方法论主张：评价词元经济的发展水平，不能停留在算力规模或调用总量等上游指标，而应以场景端的价值实现为最终标尺——这正是第 12 章把标准词元流量而非算力存量引入生产函数的理由。</w:t>
      </w:r>
    </w:p>
    <w:p>
      <w:pPr>
        <w:keepNext/>
        <w:spacing w:before="160" w:after="120" w:line="360" w:lineRule="auto"/>
        <w:outlineLvl w:val="2"/>
      </w:pPr>
      <w:r>
        <w:rPr>
          <w:rFonts w:ascii="黑体" w:hAnsi="黑体" w:eastAsia="黑体"/>
          <w:sz w:val="24"/>
        </w:rPr>
        <w:t>6.2.2  实现的闭环：生产—推理—应用—反馈—优化</w:t>
      </w:r>
    </w:p>
    <w:p>
      <w:pPr>
        <w:spacing w:line="360" w:lineRule="auto" w:after="0"/>
        <w:ind w:firstLineChars="200" w:firstLine="480"/>
        <w:jc w:val="both"/>
      </w:pPr>
      <w:r>
        <w:rPr>
          <w:rFonts w:ascii="宋体" w:hAnsi="宋体" w:eastAsia="宋体"/>
          <w:sz w:val="24"/>
        </w:rPr>
        <w:t>价值实现不是一次性的单向传递，而是一个可以自我修正的闭环。如图6.2所示，从模型生产出发，经推理生成、场景应用、数据反馈到模型优化，五个环节首尾相接，构成词元价值实现与增值的基本循环。</w:t>
      </w:r>
    </w:p>
    <w:p>
      <w:pPr>
        <w:spacing w:before="120" w:after="40"/>
        <w:jc w:val="center"/>
      </w:pPr>
      <w:r>
        <w:drawing>
          <wp:inline xmlns:a="http://schemas.openxmlformats.org/drawingml/2006/main" xmlns:pic="http://schemas.openxmlformats.org/drawingml/2006/picture">
            <wp:extent cx="4860000" cy="3907058"/>
            <wp:docPr id="18" name="Picture 18"/>
            <wp:cNvGraphicFramePr>
              <a:graphicFrameLocks noChangeAspect="1"/>
            </wp:cNvGraphicFramePr>
            <a:graphic>
              <a:graphicData uri="http://schemas.openxmlformats.org/drawingml/2006/picture">
                <pic:pic>
                  <pic:nvPicPr>
                    <pic:cNvPr id="0" name="fig6_2.png"/>
                    <pic:cNvPicPr/>
                  </pic:nvPicPr>
                  <pic:blipFill>
                    <a:blip r:embed="rId26"/>
                    <a:stretch>
                      <a:fillRect/>
                    </a:stretch>
                  </pic:blipFill>
                  <pic:spPr>
                    <a:xfrm>
                      <a:off x="0" y="0"/>
                      <a:ext cx="4860000" cy="3907058"/>
                    </a:xfrm>
                    <a:prstGeom prst="rect"/>
                  </pic:spPr>
                </pic:pic>
              </a:graphicData>
            </a:graphic>
          </wp:inline>
        </w:drawing>
      </w:r>
    </w:p>
    <w:p>
      <w:pPr>
        <w:keepNext w:val="0"/>
        <w:spacing w:after="200"/>
        <w:jc w:val="center"/>
      </w:pPr>
      <w:r>
        <w:rPr>
          <w:rFonts w:ascii="黑体" w:hAnsi="黑体" w:eastAsia="黑体"/>
          <w:sz w:val="21"/>
        </w:rPr>
        <w:t>图6.2  词元价值实现与增值的循环</w:t>
      </w:r>
    </w:p>
    <w:p>
      <w:pPr>
        <w:spacing w:line="360" w:lineRule="auto" w:after="0"/>
        <w:ind w:firstLineChars="200" w:firstLine="480"/>
        <w:jc w:val="both"/>
      </w:pPr>
      <w:r>
        <w:rPr>
          <w:rFonts w:ascii="宋体" w:hAnsi="宋体" w:eastAsia="宋体"/>
          <w:sz w:val="24"/>
        </w:rPr>
        <w:t xml:space="preserve">循环的五个环节各自承担不同职能。生产环节把算力与数据凝结为模型资产，是价值创造的前置沉没；推理环节按需生成词元，完成物化劳动的转移与活劳动新创价值的让渡；应用环节把词元嵌入具体业务流程，使潜在价值转化为使用价值，也是式(6-3)发生作用的位置；反馈环节把真实交互记录与效果评测沉淀为高质量语料，使需求侧的信息重新变成供给侧的投入；优化环节据此迭代模型与调度策略，提升效值系数 </w:t>
      </w:r>
      <m:oMath>
        <m:r>
          <m:t>η</m:t>
        </m:r>
      </m:oMath>
      <w:r>
        <w:rPr>
          <w:rFonts w:ascii="宋体" w:hAnsi="宋体" w:eastAsia="宋体"/>
          <w:sz w:val="24"/>
        </w:rPr>
        <w:t xml:space="preserve"> 与转化效率 </w:t>
      </w:r>
      <m:oMath>
        <m:r>
          <m:t>θ</m:t>
        </m:r>
      </m:oMath>
      <w:r>
        <w:rPr>
          <w:rFonts w:ascii="宋体" w:hAnsi="宋体" w:eastAsia="宋体"/>
          <w:sz w:val="24"/>
        </w:rPr>
        <w:t>。每完成一轮循环，单位标准词元的成本下降而效值上升，这是 6.3 节自增强机制的结构基础。</w:t>
      </w:r>
    </w:p>
    <w:p>
      <w:pPr>
        <w:spacing w:line="360" w:lineRule="auto" w:after="0"/>
        <w:ind w:firstLineChars="200" w:firstLine="480"/>
        <w:jc w:val="both"/>
      </w:pPr>
      <w:r>
        <w:rPr>
          <w:rFonts w:ascii="宋体" w:hAnsi="宋体" w:eastAsia="宋体"/>
          <w:sz w:val="24"/>
        </w:rPr>
        <w:t>这一闭环的经济学意义在于反馈环节的存在。在传统产品经济中，消费信息要经过市场调研、销售统计等间接渠道才能回到生产端，且高度损耗；而在词元经济中，使用过程本身就是数据生成过程，需求侧信息以近乎零成本、近乎实时的方式回流到供给侧。这使得「使用越多—数据越多—模型越强—单位价值越高—使用更多」成为一条可自我维持的正反馈路径。但正反馈并非无条件的好事：数据的过度归集会产生隐私外部性与市场势力集中（Acemoglu等，2022a；Bergemann和Bonatti，2024），反馈质量的下降也可能使循环退化为对既有模式的自我复制。图6.2 把三类增值来源标为「外挂于循环」，正是要强调它们是循环的放大器而非循环本身，其强度取决于制度安排。</w:t>
      </w:r>
    </w:p>
    <w:p>
      <w:pPr>
        <w:spacing w:line="360" w:lineRule="auto" w:after="0"/>
        <w:ind w:firstLineChars="200" w:firstLine="480"/>
        <w:jc w:val="both"/>
      </w:pPr>
      <w:r>
        <w:rPr>
          <w:rFonts w:ascii="宋体" w:hAnsi="宋体" w:eastAsia="宋体"/>
          <w:sz w:val="24"/>
        </w:rPr>
        <w:t xml:space="preserve">闭环视角还澄清了一个常见误解：词元调用量的增长既可能来自价值实现的深化，也可能来自无效重复。多步骤智能体工作流会把一次问答扩展为数十次调用，长上下文会把同一份资料反复送入模型，思维链推理会把大量中间过程转化为可计费的输出词元。这些调用中有一部分确实提高了任务达成度，另一部分则只是把同样的产出摊到更多词元上。区分二者的唯一办法，是以场景端的价值实现而非生成端的计数为准——这也是本书坚持把 </w:t>
      </w:r>
      <m:oMath>
        <m:r>
          <m:t>S</m:t>
        </m:r>
      </m:oMath>
      <w:r>
        <w:rPr>
          <w:rFonts w:ascii="宋体" w:hAnsi="宋体" w:eastAsia="宋体"/>
          <w:sz w:val="24"/>
        </w:rPr>
        <w:t xml:space="preserve"> 维度纳入折算、并在本章单列价值实现分析的原因。</w:t>
      </w:r>
    </w:p>
    <w:p>
      <w:pPr>
        <w:keepNext/>
        <w:spacing w:before="160" w:after="120" w:line="360" w:lineRule="auto"/>
        <w:outlineLvl w:val="2"/>
      </w:pPr>
      <w:r>
        <w:rPr>
          <w:rFonts w:ascii="黑体" w:hAnsi="黑体" w:eastAsia="黑体"/>
          <w:sz w:val="24"/>
        </w:rPr>
        <w:t>6.2.3  价值实现的三重摩擦</w:t>
      </w:r>
    </w:p>
    <w:p>
      <w:pPr>
        <w:spacing w:line="360" w:lineRule="auto" w:after="0"/>
        <w:ind w:firstLineChars="200" w:firstLine="480"/>
        <w:jc w:val="both"/>
      </w:pPr>
      <w:r>
        <w:rPr>
          <w:rFonts w:ascii="宋体" w:hAnsi="宋体" w:eastAsia="宋体"/>
          <w:sz w:val="24"/>
        </w:rPr>
        <w:t>现实中的价值实现远未达到式(6-3)所描述的理想状态，三重摩擦横亘其间。第一重是计量摩擦：使用方难以事前判断所购词元的真实效值。本书测算显示，企业对所购词元效值的认知偏差均值达0.44，且系统性低估高效值档位，由此导致低效值档位的过度采购份额达0.27。这是一个典型的质量不可观测市场：当买方无法区分质量时，高质量供给会被逐出市场（Akerlof，1970），而质量披露与第三方认证是标准的纠正机制（Dranove和Jin，2010）。词元市场目前正处在认证机制初建的阶段。</w:t>
      </w:r>
    </w:p>
    <w:p>
      <w:pPr>
        <w:spacing w:line="360" w:lineRule="auto" w:after="0"/>
        <w:ind w:firstLineChars="200" w:firstLine="480"/>
        <w:jc w:val="both"/>
      </w:pPr>
      <w:r>
        <w:rPr>
          <w:rFonts w:ascii="宋体" w:hAnsi="宋体" w:eastAsia="宋体"/>
          <w:sz w:val="24"/>
        </w:rPr>
        <w:t>产业界对这一摩擦已有明确回应，但各方的抓手互不相同，必须逐一区分其发布主体与适用范围。中国信息通信研究院依据《人工智能 Token 服务质量能力要求》开展的「可信 AI-Token 服务质量评估」设置模型服务能力、Token 服务性能、Token 服务可信、Token 服务运维、Token 服务用户体验、Token 计量计费六个维度；该院于 2026 年 6 月 16 日发布的「高质量 Token 服务标准体系」则按服务质量、运营能力、生产能力、安全能力四个维度搭建框架，其云计算与大数据研究所负责人提出「不能只看单价，行业亟须一套衡量高质量 Token 的标尺」；中国工业互联网研究院《Token 驱动智能经济研究报告（2026 年）》构建的是涵盖生产成本、生产效率、准确性、生态价值、安全五个维度的价值度量体系；清华大学翟季冬团队联合清程极智于 2026 年 5 月发布的开源模型 Token 服务性能榜，则以首 Token 时延（P90 分位）、输出吞吐与缓存命中率三项实测指标为准。四套工作主体不同、维度数不同、用途不同，不得合并、平均或交叉引用其维度名称。</w:t>
      </w:r>
    </w:p>
    <w:p>
      <w:pPr>
        <w:spacing w:line="360" w:lineRule="auto" w:after="0"/>
        <w:ind w:firstLineChars="200" w:firstLine="480"/>
        <w:jc w:val="both"/>
      </w:pPr>
      <w:r>
        <w:rPr>
          <w:rFonts w:ascii="宋体" w:hAnsi="宋体" w:eastAsia="宋体"/>
          <w:sz w:val="24"/>
        </w:rPr>
        <w:t>第二重是匹配摩擦：即便效值可观测，任务与模型的匹配也未必最优。IDC 与中国信息通信研究院联合发布的企业调研显示，近半数企业的智算资源利用率处于 51%—70% 的中等区间，6.7%的企业仅为 31%—50%，利用率达 70% 以上者不足 35%，制造与政务行业低于平均水平（「IDC，2025」）。本书第 9 章将把名义利用率进一步分解，其中匹配损失一项达12%，是四项损失中仅次于空转损失的第二大项，折算后的有效效值利用率仅38%。匹配摩擦的经济后果是双向的：高价值场景被低效值词元供给而达不到实现条件，低价值场景被高效值词元供给而支付了不必要的溢价。</w:t>
      </w:r>
    </w:p>
    <w:p>
      <w:pPr>
        <w:spacing w:line="360" w:lineRule="auto" w:after="0"/>
        <w:ind w:firstLineChars="200" w:firstLine="480"/>
        <w:jc w:val="both"/>
      </w:pPr>
      <w:r>
        <w:rPr>
          <w:rFonts w:ascii="宋体" w:hAnsi="宋体" w:eastAsia="宋体"/>
          <w:sz w:val="24"/>
        </w:rPr>
        <w:t>第三重是能力摩擦：使用方缺乏把词元转化为业务价值的知识工程能力。本书第 13 章的扎根编码结果显示，在 4 个核心范畴中，计量不透明获得143个参考点、成本不确定118个、能力缺口97个、合规与安全顾虑76个——前两项对应计量摩擦，第三项即能力摩擦，第四项则指向制度环境。能力摩擦的特殊性在于它不能由供给侧单方面解决：模型再强，若企业没有能力重构业务流程，词元也只能停留在辅助工具层面。这也解释了为什么各地词元运营中心普遍把「统一入口＋场景适配＋培训陪跑」作为组合服务，而不是单纯售卖算力或接口。</w:t>
      </w:r>
    </w:p>
    <w:p>
      <w:pPr>
        <w:spacing w:line="360" w:lineRule="auto" w:after="0"/>
        <w:ind w:firstLineChars="200" w:firstLine="480"/>
        <w:jc w:val="both"/>
      </w:pPr>
      <w:r>
        <w:rPr>
          <w:rFonts w:ascii="宋体" w:hAnsi="宋体" w:eastAsia="宋体"/>
          <w:sz w:val="24"/>
        </w:rPr>
        <w:t>三重摩擦并非彼此独立，而是相互强化，构成一个低水平锁定。计量不透明使使用方无法事前评估效值，于是倾向于选择价格最低的档位；低效值档位在高价值密度场景中达不到实现条件，使用效果不佳；效果不佳强化了「人工智能不好用」的判断，抑制了企业在流程再造与知识工程能力上的投入；能力投入不足又使得即便换用高效值词元也难以见效，反过来印证了「贵的不值」的先验。这一负反馈回路与图6.2 所刻画的正反馈回路方向相反、结构相似，其存在意味着词元市场可能存在多重均衡：高透明—高能力—高实现的良性均衡，与低透明—低能力—低实现的劣性均衡。平台经济的研究表明，价格机制与数据机制在资源配置中的作用是互补而非替代的（刘诚和夏杰长，2023），平台的组织形态与市场结构又受制于要素禀赋与制度环境（顾聪等，2023；吴双和王勇，2024）。这为公共部门介入提供了正当性依据：突破劣性均衡所需的初始推力，超出了任何单一市场主体的收益边界。</w:t>
      </w:r>
    </w:p>
    <w:p>
      <w:pPr>
        <w:spacing w:line="360" w:lineRule="auto" w:after="0"/>
        <w:ind w:firstLineChars="200" w:firstLine="480"/>
        <w:jc w:val="both"/>
      </w:pPr>
      <w:r>
        <w:rPr>
          <w:rFonts w:ascii="宋体" w:hAnsi="宋体" w:eastAsia="宋体"/>
          <w:sz w:val="24"/>
        </w:rPr>
        <w:t xml:space="preserve">三重摩擦共同压低了 </w:t>
      </w:r>
      <m:oMath>
        <m:sSub>
          <m:e>
            <m:r>
              <m:t>λ</m:t>
            </m:r>
          </m:e>
          <m:sub>
            <m:r>
              <m:t>j</m:t>
            </m:r>
          </m:sub>
        </m:sSub>
      </m:oMath>
      <w:r>
        <w:rPr>
          <w:rFonts w:ascii="宋体" w:hAnsi="宋体" w:eastAsia="宋体"/>
          <w:sz w:val="24"/>
        </w:rPr>
        <w:t xml:space="preserve"> 的实际取值，使价值实现停留在潜在水平之下。本书的政策主张由此获得清晰的作用点：计量摩擦要靠统一的效值计量与披露制度来化解，匹配摩擦要靠统一调度与任务—模型最优匹配来化解，能力摩擦要靠场景服务与知识工程能力的社会化供给来化解。三者恰好对应第 5 章、第 9 章与第 10 章的制度设计。</w:t>
      </w:r>
    </w:p>
    <w:p>
      <w:pPr>
        <w:keepNext/>
        <w:spacing w:before="160" w:after="120" w:line="360" w:lineRule="auto"/>
        <w:outlineLvl w:val="1"/>
      </w:pPr>
      <w:r>
        <w:rPr>
          <w:rFonts w:ascii="黑体" w:hAnsi="黑体" w:eastAsia="黑体"/>
          <w:sz w:val="28"/>
        </w:rPr>
        <w:t>6.3  价值增值：三重来源与自增强机制</w:t>
      </w:r>
    </w:p>
    <w:p>
      <w:pPr>
        <w:keepNext/>
        <w:spacing w:before="160" w:after="120" w:line="360" w:lineRule="auto"/>
        <w:outlineLvl w:val="2"/>
      </w:pPr>
      <w:r>
        <w:rPr>
          <w:rFonts w:ascii="黑体" w:hAnsi="黑体" w:eastAsia="黑体"/>
          <w:sz w:val="24"/>
        </w:rPr>
        <w:t>6.3.1  规模复用：一次训练、多次推理的成本递减</w:t>
      </w:r>
    </w:p>
    <w:p>
      <w:pPr>
        <w:spacing w:line="360" w:lineRule="auto" w:after="0"/>
        <w:ind w:firstLineChars="200" w:firstLine="480"/>
        <w:jc w:val="both"/>
      </w:pPr>
      <w:r>
        <w:rPr>
          <w:rFonts w:ascii="宋体" w:hAnsi="宋体" w:eastAsia="宋体"/>
          <w:sz w:val="24"/>
        </w:rPr>
        <w:t xml:space="preserve">价值增值的第一重来源是规模复用。模型资产 </w:t>
      </w:r>
      <m:oMath>
        <m:sSub>
          <m:e>
            <m:r>
              <m:t>A</m:t>
            </m:r>
          </m:e>
          <m:sub>
            <m:r>
              <m:t>m</m:t>
            </m:r>
          </m:sub>
        </m:sSub>
      </m:oMath>
      <w:r>
        <w:rPr>
          <w:rFonts w:ascii="宋体" w:hAnsi="宋体" w:eastAsia="宋体"/>
          <w:sz w:val="24"/>
        </w:rPr>
        <w:t xml:space="preserve"> 一经形成，其使用即具有非竞争性——被一个用户使用不减少其对另一个用户的可用性（Jones和Tonetti，2020）。把式(6-1)改写为累计产量的函数，即得平均成本的演化，如式(6-4)所示。</w:t>
      </w:r>
    </w:p>
    <w:p>
      <w:pPr>
        <w:tabs>
          <w:tab w:pos="4252" w:val="center"/>
          <w:tab w:pos="8504" w:val="right"/>
        </w:tabs>
        <w:spacing w:line="360" w:lineRule="auto" w:before="80" w:after="80"/>
      </w:pPr>
      <w:r>
        <w:tab/>
      </w:r>
      <m:oMath>
        <m:sSub>
          <m:e>
            <m:acc>
              <m:accPr>
                <m:chr m:val="‾"/>
              </m:accPr>
              <m:e>
                <m:r>
                  <m:t>c</m:t>
                </m:r>
              </m:e>
            </m:acc>
          </m:e>
          <m:sub>
            <m:r>
              <m:t>m</m:t>
            </m:r>
          </m:sub>
        </m:sSub>
        <m:d>
          <m:dPr>
            <m:begChr m:val="("/>
            <m:endChr m:val=")"/>
            <m:grow/>
          </m:dPr>
          <m:e>
            <m:r>
              <m:t>N</m:t>
            </m:r>
          </m:e>
        </m:d>
        <m:r>
          <m:rPr>
            <m:sty m:val="p"/>
          </m:rPr>
          <m:t>=</m:t>
        </m:r>
        <m:f>
          <m:fPr>
            <m:type m:val="bar"/>
          </m:fPr>
          <m:num>
            <m:sSub>
              <m:e>
                <m:r>
                  <m:t>A</m:t>
                </m:r>
              </m:e>
              <m:sub>
                <m:r>
                  <m:t>m</m:t>
                </m:r>
              </m:sub>
            </m:sSub>
          </m:num>
          <m:den>
            <m:r>
              <m:t>N</m:t>
            </m:r>
          </m:den>
        </m:f>
        <m:r>
          <m:rPr>
            <m:sty m:val="p"/>
          </m:rPr>
          <m:t>+</m:t>
        </m:r>
        <m:sSub>
          <m:e>
            <m:r>
              <m:t>e</m:t>
            </m:r>
          </m:e>
          <m:sub>
            <m:r>
              <m:t>m</m:t>
            </m:r>
          </m:sub>
        </m:sSub>
        <m:r>
          <m:rPr>
            <m:sty m:val="p"/>
          </m:rPr>
          <m:t>+</m:t>
        </m:r>
        <m:sSub>
          <m:e>
            <m:r>
              <m:rPr>
                <m:sty m:val="p"/>
              </m:rPr>
              <m:t>ℓ</m:t>
            </m:r>
          </m:e>
          <m:sub>
            <m:r>
              <m:t>m</m:t>
            </m:r>
          </m:sub>
        </m:sSub>
        <m:r>
          <m:rPr>
            <m:sty m:val="p"/>
          </m:rPr>
          <m:t>,</m:t>
        </m:r>
        <m:r>
          <m:t>  </m:t>
        </m:r>
        <m:f>
          <m:fPr>
            <m:type m:val="bar"/>
          </m:fPr>
          <m:num>
            <m:r>
              <m:rPr>
                <m:sty m:val="p"/>
              </m:rPr>
              <m:t>∂</m:t>
            </m:r>
            <m:sSub>
              <m:e>
                <m:acc>
                  <m:accPr>
                    <m:chr m:val="‾"/>
                  </m:accPr>
                  <m:e>
                    <m:r>
                      <m:t>c</m:t>
                    </m:r>
                  </m:e>
                </m:acc>
              </m:e>
              <m:sub>
                <m:r>
                  <m:t>m</m:t>
                </m:r>
              </m:sub>
            </m:sSub>
          </m:num>
          <m:den>
            <m:r>
              <m:rPr>
                <m:sty m:val="p"/>
              </m:rPr>
              <m:t>∂</m:t>
            </m:r>
            <m:r>
              <m:t>N</m:t>
            </m:r>
          </m:den>
        </m:f>
        <m:r>
          <m:rPr>
            <m:sty m:val="p"/>
          </m:rPr>
          <m:t>=</m:t>
        </m:r>
        <m:r>
          <m:rPr>
            <m:sty m:val="p"/>
          </m:rPr>
          <m:t>−</m:t>
        </m:r>
        <m:f>
          <m:fPr>
            <m:type m:val="bar"/>
          </m:fPr>
          <m:num>
            <m:sSub>
              <m:e>
                <m:r>
                  <m:t>A</m:t>
                </m:r>
              </m:e>
              <m:sub>
                <m:r>
                  <m:t>m</m:t>
                </m:r>
              </m:sub>
            </m:sSub>
          </m:num>
          <m:den>
            <m:sSup>
              <m:e>
                <m:r>
                  <m:t>N</m:t>
                </m:r>
              </m:e>
              <m:sup>
                <m:r>
                  <m:t>2</m:t>
                </m:r>
              </m:sup>
            </m:sSup>
          </m:den>
        </m:f>
        <m:r>
          <m:rPr>
            <m:sty m:val="p"/>
          </m:rPr>
          <m:t>&lt;</m:t>
        </m:r>
        <m:r>
          <m:t>0</m:t>
        </m:r>
        <m:r>
          <m:rPr>
            <m:sty m:val="p"/>
          </m:rPr>
          <m:t>,</m:t>
        </m:r>
        <m:r>
          <m:t>  </m:t>
        </m:r>
        <m:sSub>
          <m:e>
            <m:r>
              <m:t>ε</m:t>
            </m:r>
          </m:e>
          <m:sub>
            <m:acc>
              <m:accPr>
                <m:chr m:val="‾"/>
              </m:accPr>
              <m:e>
                <m:r>
                  <m:t>c</m:t>
                </m:r>
              </m:e>
            </m:acc>
            <m:r>
              <m:rPr>
                <m:sty m:val="p"/>
              </m:rPr>
              <m:t>,</m:t>
            </m:r>
            <m:r>
              <m:t>N</m:t>
            </m:r>
          </m:sub>
        </m:sSub>
        <m:r>
          <m:rPr>
            <m:sty m:val="p"/>
          </m:rPr>
          <m:t>=</m:t>
        </m:r>
        <m:r>
          <m:rPr>
            <m:sty m:val="p"/>
          </m:rPr>
          <m:t>−</m:t>
        </m:r>
        <m:sSub>
          <m:e>
            <m:r>
              <m:t>s</m:t>
            </m:r>
          </m:e>
          <m:sub>
            <m:r>
              <m:t>A</m:t>
            </m:r>
          </m:sub>
        </m:sSub>
        <m:r>
          <m:rPr>
            <m:sty m:val="p"/>
          </m:rPr>
          <m:t>,</m:t>
        </m:r>
        <m:r>
          <m:t> </m:t>
        </m:r>
        <m:sSub>
          <m:e>
            <m:r>
              <m:t>s</m:t>
            </m:r>
          </m:e>
          <m:sub>
            <m:r>
              <m:t>A</m:t>
            </m:r>
          </m:sub>
        </m:sSub>
        <m:r>
          <m:rPr>
            <m:sty m:val="p"/>
          </m:rPr>
          <m:t>=</m:t>
        </m:r>
        <m:f>
          <m:fPr>
            <m:type m:val="bar"/>
          </m:fPr>
          <m:num>
            <m:sSub>
              <m:e>
                <m:r>
                  <m:t>A</m:t>
                </m:r>
              </m:e>
              <m:sub>
                <m:r>
                  <m:t>m</m:t>
                </m:r>
              </m:sub>
            </m:sSub>
            <m:r>
              <m:rPr>
                <m:sty m:val="p"/>
              </m:rPr>
              <m:t>/</m:t>
            </m:r>
            <m:r>
              <m:t>N</m:t>
            </m:r>
          </m:num>
          <m:den>
            <m:sSub>
              <m:e>
                <m:acc>
                  <m:accPr>
                    <m:chr m:val="‾"/>
                  </m:accPr>
                  <m:e>
                    <m:r>
                      <m:t>c</m:t>
                    </m:r>
                  </m:e>
                </m:acc>
              </m:e>
              <m:sub>
                <m:r>
                  <m:t>m</m:t>
                </m:r>
              </m:sub>
            </m:sSub>
          </m:den>
        </m:f>
      </m:oMath>
      <w:r>
        <w:tab/>
      </w:r>
      <w:r>
        <w:rPr>
          <w:rFonts w:ascii="Times New Roman" w:hAnsi="Times New Roman" w:eastAsia="宋体"/>
          <w:sz w:val="24"/>
        </w:rPr>
        <w:t>(6-4)</w:t>
      </w:r>
    </w:p>
    <w:p>
      <w:pPr>
        <w:spacing w:line="360" w:lineRule="auto" w:after="0"/>
        <w:jc w:val="both"/>
      </w:pPr>
      <w:r>
        <w:rPr>
          <w:rFonts w:ascii="宋体" w:hAnsi="宋体" w:eastAsia="宋体"/>
          <w:sz w:val="24"/>
        </w:rPr>
        <w:t>其中，</w:t>
      </w:r>
      <m:oMath>
        <m:r>
          <m:t>N</m:t>
        </m:r>
      </m:oMath>
      <w:r>
        <w:rPr>
          <w:rFonts w:ascii="宋体" w:hAnsi="宋体" w:eastAsia="宋体"/>
          <w:sz w:val="24"/>
        </w:rPr>
        <w:t xml:space="preserve"> 为累计推理产出的物理词元量，</w:t>
      </w:r>
      <m:oMath>
        <m:sSub>
          <m:e>
            <m:acc>
              <m:accPr>
                <m:chr m:val="‾"/>
              </m:accPr>
              <m:e>
                <m:r>
                  <m:t>c</m:t>
                </m:r>
              </m:e>
            </m:acc>
          </m:e>
          <m:sub>
            <m:r>
              <m:t>m</m:t>
            </m:r>
          </m:sub>
        </m:sSub>
        <m:d>
          <m:dPr>
            <m:begChr m:val="("/>
            <m:endChr m:val=")"/>
            <m:grow/>
          </m:dPr>
          <m:e>
            <m:r>
              <m:t>N</m:t>
            </m:r>
          </m:e>
        </m:d>
      </m:oMath>
      <w:r>
        <w:rPr>
          <w:rFonts w:ascii="宋体" w:hAnsi="宋体" w:eastAsia="宋体"/>
          <w:sz w:val="24"/>
        </w:rPr>
        <w:t xml:space="preserve"> 为对应的平均成本，</w:t>
      </w:r>
      <m:oMath>
        <m:sSub>
          <m:e>
            <m:r>
              <m:t>ε</m:t>
            </m:r>
          </m:e>
          <m:sub>
            <m:acc>
              <m:accPr>
                <m:chr m:val="‾"/>
              </m:accPr>
              <m:e>
                <m:r>
                  <m:t>c</m:t>
                </m:r>
              </m:e>
            </m:acc>
            <m:r>
              <m:rPr>
                <m:sty m:val="p"/>
              </m:rPr>
              <m:t>,</m:t>
            </m:r>
            <m:r>
              <m:t>N</m:t>
            </m:r>
          </m:sub>
        </m:sSub>
      </m:oMath>
      <w:r>
        <w:rPr>
          <w:rFonts w:ascii="宋体" w:hAnsi="宋体" w:eastAsia="宋体"/>
          <w:sz w:val="24"/>
        </w:rPr>
        <w:t xml:space="preserve"> 为平均成本对累计产量的弹性，</w:t>
      </w:r>
      <m:oMath>
        <m:sSub>
          <m:e>
            <m:r>
              <m:t>s</m:t>
            </m:r>
          </m:e>
          <m:sub>
            <m:r>
              <m:t>A</m:t>
            </m:r>
          </m:sub>
        </m:sSub>
      </m:oMath>
      <w:r>
        <w:rPr>
          <w:rFonts w:ascii="宋体" w:hAnsi="宋体" w:eastAsia="宋体"/>
          <w:sz w:val="24"/>
        </w:rPr>
        <w:t xml:space="preserve"> 为固定成本摊销在平均成本中所占的份额。</w:t>
      </w:r>
    </w:p>
    <w:p>
      <w:pPr>
        <w:spacing w:line="360" w:lineRule="auto" w:after="0"/>
        <w:ind w:firstLineChars="200" w:firstLine="480"/>
        <w:jc w:val="both"/>
      </w:pPr>
      <w:r>
        <w:rPr>
          <w:rFonts w:ascii="宋体" w:hAnsi="宋体" w:eastAsia="宋体"/>
          <w:sz w:val="24"/>
        </w:rPr>
        <w:t xml:space="preserve">式(6-4)有三条性质。其一，平均成本对累计产量严格单调递减，且下降速度随产量增加而放缓，呈双曲线形态。其二，平均成本存在下确界 </w:t>
      </w:r>
      <m:oMath>
        <m:sSub>
          <m:e>
            <m:r>
              <m:t>e</m:t>
            </m:r>
          </m:e>
          <m:sub>
            <m:r>
              <m:t>m</m:t>
            </m:r>
          </m:sub>
        </m:sSub>
        <m:r>
          <m:rPr>
            <m:sty m:val="p"/>
          </m:rPr>
          <m:t>+</m:t>
        </m:r>
        <m:sSub>
          <m:e>
            <m:r>
              <m:rPr>
                <m:sty m:val="p"/>
              </m:rPr>
              <m:t>ℓ</m:t>
            </m:r>
          </m:e>
          <m:sub>
            <m:r>
              <m:t>m</m:t>
            </m:r>
          </m:sub>
        </m:sSub>
      </m:oMath>
      <w:r>
        <w:rPr>
          <w:rFonts w:ascii="宋体" w:hAnsi="宋体" w:eastAsia="宋体"/>
          <w:sz w:val="24"/>
        </w:rPr>
        <w:t>，即物化劳动转移与同步活劳动之和，这一下确界就是第 7 章成本底价层的理论表达——词元价格可以趋近它，却不可能长期低于它。其三，平均成本对产量的弹性恰等于固定成本份额的相反数，因此</w:t>
      </w:r>
      <m:oMath>
        <m:sSub>
          <m:e>
            <m:r>
              <m:t>s</m:t>
            </m:r>
          </m:e>
          <m:sub>
            <m:r>
              <m:t>A</m:t>
            </m:r>
          </m:sub>
        </m:sSub>
      </m:oMath>
      <w:r>
        <w:rPr>
          <w:rFonts w:ascii="宋体" w:hAnsi="宋体" w:eastAsia="宋体"/>
          <w:sz w:val="24"/>
        </w:rPr>
        <w:t xml:space="preserve"> 是刻画规模复用强度的充分统计量。</w:t>
      </w:r>
    </w:p>
    <w:p>
      <w:pPr>
        <w:spacing w:line="360" w:lineRule="auto" w:after="0"/>
        <w:ind w:firstLineChars="200" w:firstLine="480"/>
        <w:jc w:val="both"/>
      </w:pPr>
      <w:r>
        <w:rPr>
          <w:rFonts w:ascii="宋体" w:hAnsi="宋体" w:eastAsia="宋体"/>
          <w:sz w:val="24"/>
        </w:rPr>
        <w:t xml:space="preserve">本书对六档位长期平均成本与边际成本的估计给出了 </w:t>
      </w:r>
      <m:oMath>
        <m:sSub>
          <m:e>
            <m:r>
              <m:t>s</m:t>
            </m:r>
          </m:e>
          <m:sub>
            <m:r>
              <m:t>A</m:t>
            </m:r>
          </m:sub>
        </m:sSub>
      </m:oMath>
      <w:r>
        <w:rPr>
          <w:rFonts w:ascii="宋体" w:hAnsi="宋体" w:eastAsia="宋体"/>
          <w:sz w:val="24"/>
        </w:rPr>
        <w:t xml:space="preserve"> 的经验量级：六档位的固定成本份额高度一致，介于47.2%与47.6%之间，均值为47.4%。这意味着在其他条件不变时，累计产量翻一番将使单位标准词元的平均成本下降约23.7%。这一量级足以解释词元价格的持续下行中相当大的一部分：本书第 7 章的分解显示，2024Q1 至 2026Q2 表观累计降幅79%中，约53%来自效值提升、约47%为真实降价，而真实降价的主体正是规模复用与系统效率改进的合力。</w:t>
      </w:r>
    </w:p>
    <w:p>
      <w:pPr>
        <w:spacing w:line="360" w:lineRule="auto" w:after="0"/>
        <w:ind w:firstLineChars="200" w:firstLine="480"/>
        <w:jc w:val="both"/>
      </w:pPr>
      <w:r>
        <w:rPr>
          <w:rFonts w:ascii="宋体" w:hAnsi="宋体" w:eastAsia="宋体"/>
          <w:sz w:val="24"/>
        </w:rPr>
        <w:t>规模复用还改变了产业的成本结构逻辑。当固定成本份额接近一半时，产能利用率就不再只是运营指标，而成为决定单位成本的第一变量——同一套模型资产，日均调用一亿枚与日均调用一百亿枚，其单位摊销相差百倍。这为第 8 章「词元工厂长期自然垄断倾向」的判断提供了成本侧依据，也为第 10 章城市词元运营中心「把分散需求聚合为规模负载」的组织逻辑提供了经济理由：聚合本身就是降本。</w:t>
      </w:r>
    </w:p>
    <w:p>
      <w:pPr>
        <w:spacing w:line="360" w:lineRule="auto" w:after="0"/>
        <w:ind w:firstLineChars="200" w:firstLine="480"/>
        <w:jc w:val="both"/>
      </w:pPr>
      <w:r>
        <w:rPr>
          <w:rFonts w:ascii="宋体" w:hAnsi="宋体" w:eastAsia="宋体"/>
          <w:sz w:val="24"/>
        </w:rPr>
        <w:t>需要区分规模复用与传统规模经济。传统制造业的规模经济来自固定设备在更大产量上的分摊，其边界由产能物理上限与运输半径决定；词元的规模复用则来自非竞争性资产在无限次使用上的分摊，理论上没有产能上限，实际约束来自推理算力而非模型资产本身。这一差异使词元的平均成本曲线在很宽的产量区间内保持下行，也使当量折算成为必需——正如综合能耗计算通则以标准煤当量统一不同品种能源的可加口径（国家市场监督管理总局和国家标准化管理委员会，2020），只有在标准词元口径下，跨档位、跨平台的累计产量才可以相加，</w:t>
      </w:r>
      <m:oMath>
        <m:r>
          <m:t>N</m:t>
        </m:r>
      </m:oMath>
      <w:r>
        <w:rPr>
          <w:rFonts w:ascii="宋体" w:hAnsi="宋体" w:eastAsia="宋体"/>
          <w:sz w:val="24"/>
        </w:rPr>
        <w:t xml:space="preserve"> 才是一个有经济含义的变量。若以物理词元累加，一亿枚轻量蒸馏级词元与一亿枚推理增强级词元会被记为同样的产量，摊销测算将失去意义。</w:t>
      </w:r>
    </w:p>
    <w:p>
      <w:pPr>
        <w:keepNext/>
        <w:spacing w:before="160" w:after="120" w:line="360" w:lineRule="auto"/>
        <w:outlineLvl w:val="2"/>
      </w:pPr>
      <w:r>
        <w:rPr>
          <w:rFonts w:ascii="黑体" w:hAnsi="黑体" w:eastAsia="黑体"/>
          <w:sz w:val="24"/>
        </w:rPr>
        <w:t>6.3.2  持续学习：反馈回流对效值系数的提升</w:t>
      </w:r>
    </w:p>
    <w:p>
      <w:pPr>
        <w:spacing w:line="360" w:lineRule="auto" w:after="0"/>
        <w:ind w:firstLineChars="200" w:firstLine="480"/>
        <w:jc w:val="both"/>
      </w:pPr>
      <w:r>
        <w:rPr>
          <w:rFonts w:ascii="宋体" w:hAnsi="宋体" w:eastAsia="宋体"/>
          <w:sz w:val="24"/>
        </w:rPr>
        <w:t xml:space="preserve">价值增值的第二重来源是持续学习。图6.2 的反馈环节把使用过程中产生的交互记录与效果评测转化为高质量训练语料，经优化环节提升模型的推理质量 </w:t>
      </w:r>
      <m:oMath>
        <m:r>
          <m:t>R</m:t>
        </m:r>
      </m:oMath>
      <w:r>
        <w:rPr>
          <w:rFonts w:ascii="宋体" w:hAnsi="宋体" w:eastAsia="宋体"/>
          <w:sz w:val="24"/>
        </w:rPr>
        <w:t xml:space="preserve">，进而抬升效值系数 </w:t>
      </w:r>
      <m:oMath>
        <m:r>
          <m:t>η</m:t>
        </m:r>
      </m:oMath>
      <w:r>
        <w:rPr>
          <w:rFonts w:ascii="宋体" w:hAnsi="宋体" w:eastAsia="宋体"/>
          <w:sz w:val="24"/>
        </w:rPr>
        <w:t xml:space="preserve">。设 </w:t>
      </w:r>
      <m:oMath>
        <m:sSub>
          <m:e>
            <m:r>
              <m:t>q</m:t>
            </m:r>
          </m:e>
          <m:sub>
            <m:r>
              <m:t>t</m:t>
            </m:r>
          </m:sub>
        </m:sSub>
      </m:oMath>
      <w:r>
        <w:rPr>
          <w:rFonts w:ascii="宋体" w:hAnsi="宋体" w:eastAsia="宋体"/>
          <w:sz w:val="24"/>
        </w:rPr>
        <w:t xml:space="preserve"> 为有效反馈回流率（可用于训练的高质量样本占总交互的比重），</w:t>
      </w:r>
      <m:oMath>
        <m:r>
          <m:t>ϕ</m:t>
        </m:r>
      </m:oMath>
      <w:r>
        <w:rPr>
          <w:rFonts w:ascii="宋体" w:hAnsi="宋体" w:eastAsia="宋体"/>
          <w:sz w:val="24"/>
        </w:rPr>
        <w:t xml:space="preserve"> 为学习转化系数，</w:t>
      </w:r>
      <m:oMath>
        <m:r>
          <m:t>δ</m:t>
        </m:r>
      </m:oMath>
      <w:r>
        <w:rPr>
          <w:rFonts w:ascii="宋体" w:hAnsi="宋体" w:eastAsia="宋体"/>
          <w:sz w:val="24"/>
        </w:rPr>
        <w:t xml:space="preserve"> 为知识折旧率，</w:t>
      </w:r>
      <m:oMath>
        <m:r>
          <m:t>γ</m:t>
        </m:r>
      </m:oMath>
      <w:r>
        <w:rPr>
          <w:rFonts w:ascii="宋体" w:hAnsi="宋体" w:eastAsia="宋体"/>
          <w:sz w:val="24"/>
        </w:rPr>
        <w:t xml:space="preserve"> 为回流规模的产出弹性，则效值系数的动态与稳态如式(6-5)所示。</w:t>
      </w:r>
    </w:p>
    <w:p>
      <w:pPr>
        <w:tabs>
          <w:tab w:pos="4252" w:val="center"/>
          <w:tab w:pos="8504" w:val="right"/>
        </w:tabs>
        <w:spacing w:line="360" w:lineRule="auto" w:before="80" w:after="80"/>
      </w:pPr>
      <w:r>
        <w:tab/>
      </w:r>
      <m:oMath>
        <m:sSub>
          <m:e>
            <m:acc>
              <m:accPr>
                <m:chr m:val="̇"/>
              </m:accPr>
              <m:e>
                <m:r>
                  <m:t>η</m:t>
                </m:r>
              </m:e>
            </m:acc>
          </m:e>
          <m:sub>
            <m:r>
              <m:t>t</m:t>
            </m:r>
          </m:sub>
        </m:sSub>
        <m:r>
          <m:rPr>
            <m:sty m:val="p"/>
          </m:rPr>
          <m:t>=</m:t>
        </m:r>
        <m:r>
          <m:t>ϕ</m:t>
        </m:r>
        <m:sSup>
          <m:e>
            <m:d>
              <m:dPr>
                <m:begChr m:val="("/>
                <m:endChr m:val=")"/>
                <m:grow/>
              </m:dPr>
              <m:e>
                <m:sSub>
                  <m:e>
                    <m:r>
                      <m:t>q</m:t>
                    </m:r>
                  </m:e>
                  <m:sub>
                    <m:r>
                      <m:t>t</m:t>
                    </m:r>
                  </m:sub>
                </m:sSub>
                <m:sSub>
                  <m:e>
                    <m:acc>
                      <m:accPr>
                        <m:chr m:val="̃"/>
                      </m:accPr>
                      <m:e>
                        <m:r>
                          <m:t>T</m:t>
                        </m:r>
                      </m:e>
                    </m:acc>
                  </m:e>
                  <m:sub>
                    <m:r>
                      <m:t>t</m:t>
                    </m:r>
                  </m:sub>
                </m:sSub>
              </m:e>
            </m:d>
          </m:e>
          <m:sup>
            <m:r>
              <m:t>γ</m:t>
            </m:r>
          </m:sup>
        </m:sSup>
        <m:r>
          <m:rPr>
            <m:sty m:val="p"/>
          </m:rPr>
          <m:t>−</m:t>
        </m:r>
        <m:r>
          <m:t>δ</m:t>
        </m:r>
        <m:sSub>
          <m:e>
            <m:r>
              <m:t>η</m:t>
            </m:r>
          </m:e>
          <m:sub>
            <m:r>
              <m:t>t</m:t>
            </m:r>
          </m:sub>
        </m:sSub>
        <m:r>
          <m:rPr>
            <m:sty m:val="p"/>
          </m:rPr>
          <m:t>,</m:t>
        </m:r>
        <m:r>
          <m:t>  </m:t>
        </m:r>
        <m:sSup>
          <m:e>
            <m:r>
              <m:t>η</m:t>
            </m:r>
          </m:e>
          <m:sup>
            <m:r>
              <m:rPr>
                <m:sty m:val="p"/>
              </m:rPr>
              <m:t>∗</m:t>
            </m:r>
          </m:sup>
        </m:sSup>
        <m:r>
          <m:rPr>
            <m:sty m:val="p"/>
          </m:rPr>
          <m:t>=</m:t>
        </m:r>
        <m:f>
          <m:fPr>
            <m:type m:val="bar"/>
          </m:fPr>
          <m:num>
            <m:r>
              <m:t>ϕ</m:t>
            </m:r>
          </m:num>
          <m:den>
            <m:r>
              <m:t>δ</m:t>
            </m:r>
          </m:den>
        </m:f>
        <m:sSup>
          <m:e>
            <m:d>
              <m:dPr>
                <m:begChr m:val="("/>
                <m:endChr m:val=")"/>
                <m:grow/>
              </m:dPr>
              <m:e>
                <m:r>
                  <m:t>q</m:t>
                </m:r>
                <m:acc>
                  <m:accPr>
                    <m:chr m:val="̃"/>
                  </m:accPr>
                  <m:e>
                    <m:r>
                      <m:t>T</m:t>
                    </m:r>
                  </m:e>
                </m:acc>
              </m:e>
            </m:d>
          </m:e>
          <m:sup>
            <m:r>
              <m:t>γ</m:t>
            </m:r>
          </m:sup>
        </m:sSup>
        <m:r>
          <m:rPr>
            <m:sty m:val="p"/>
          </m:rPr>
          <m:t>,</m:t>
        </m:r>
        <m:r>
          <m:t>  </m:t>
        </m:r>
        <m:f>
          <m:fPr>
            <m:type m:val="bar"/>
          </m:fPr>
          <m:num>
            <m:r>
              <m:rPr>
                <m:sty m:val="p"/>
              </m:rPr>
              <m:t>∂</m:t>
            </m:r>
            <m:r>
              <m:rPr>
                <m:sty m:val="p"/>
              </m:rPr>
              <m:t>ln</m:t>
            </m:r>
            <m:sSup>
              <m:e>
                <m:r>
                  <m:t>η</m:t>
                </m:r>
              </m:e>
              <m:sup>
                <m:r>
                  <m:rPr>
                    <m:sty m:val="p"/>
                  </m:rPr>
                  <m:t>∗</m:t>
                </m:r>
              </m:sup>
            </m:sSup>
          </m:num>
          <m:den>
            <m:r>
              <m:rPr>
                <m:sty m:val="p"/>
              </m:rPr>
              <m:t>∂</m:t>
            </m:r>
            <m:r>
              <m:rPr>
                <m:sty m:val="p"/>
              </m:rPr>
              <m:t>ln</m:t>
            </m:r>
            <m:acc>
              <m:accPr>
                <m:chr m:val="̃"/>
              </m:accPr>
              <m:e>
                <m:r>
                  <m:t>T</m:t>
                </m:r>
              </m:e>
            </m:acc>
          </m:den>
        </m:f>
        <m:r>
          <m:rPr>
            <m:sty m:val="p"/>
          </m:rPr>
          <m:t>=</m:t>
        </m:r>
        <m:r>
          <m:t>γ</m:t>
        </m:r>
      </m:oMath>
      <w:r>
        <w:tab/>
      </w:r>
      <w:r>
        <w:rPr>
          <w:rFonts w:ascii="Times New Roman" w:hAnsi="Times New Roman" w:eastAsia="宋体"/>
          <w:sz w:val="24"/>
        </w:rPr>
        <w:t>(6-5)</w:t>
      </w:r>
    </w:p>
    <w:p>
      <w:pPr>
        <w:spacing w:line="360" w:lineRule="auto" w:after="0"/>
        <w:jc w:val="both"/>
      </w:pPr>
      <w:r>
        <w:rPr>
          <w:rFonts w:ascii="宋体" w:hAnsi="宋体" w:eastAsia="宋体"/>
          <w:sz w:val="24"/>
        </w:rPr>
        <w:t>其中，</w:t>
      </w:r>
      <m:oMath>
        <m:sSub>
          <m:e>
            <m:acc>
              <m:accPr>
                <m:chr m:val="̇"/>
              </m:accPr>
              <m:e>
                <m:r>
                  <m:t>η</m:t>
                </m:r>
              </m:e>
            </m:acc>
          </m:e>
          <m:sub>
            <m:r>
              <m:t>t</m:t>
            </m:r>
          </m:sub>
        </m:sSub>
      </m:oMath>
      <w:r>
        <w:rPr>
          <w:rFonts w:ascii="宋体" w:hAnsi="宋体" w:eastAsia="宋体"/>
          <w:sz w:val="24"/>
        </w:rPr>
        <w:t xml:space="preserve"> 为效值系数的瞬时变化率，</w:t>
      </w:r>
      <m:oMath>
        <m:sSub>
          <m:e>
            <m:r>
              <m:t>q</m:t>
            </m:r>
          </m:e>
          <m:sub>
            <m:r>
              <m:t>t</m:t>
            </m:r>
          </m:sub>
        </m:sSub>
        <m:sSub>
          <m:e>
            <m:acc>
              <m:accPr>
                <m:chr m:val="̃"/>
              </m:accPr>
              <m:e>
                <m:r>
                  <m:t>T</m:t>
                </m:r>
              </m:e>
            </m:acc>
          </m:e>
          <m:sub>
            <m:r>
              <m:t>t</m:t>
            </m:r>
          </m:sub>
        </m:sSub>
      </m:oMath>
      <w:r>
        <w:rPr>
          <w:rFonts w:ascii="宋体" w:hAnsi="宋体" w:eastAsia="宋体"/>
          <w:sz w:val="24"/>
        </w:rPr>
        <w:t xml:space="preserve"> 为单位时间回流的有效标准词元量，</w:t>
      </w:r>
      <m:oMath>
        <m:sSup>
          <m:e>
            <m:r>
              <m:t>η</m:t>
            </m:r>
          </m:e>
          <m:sup>
            <m:r>
              <m:rPr>
                <m:sty m:val="p"/>
              </m:rPr>
              <m:t>∗</m:t>
            </m:r>
          </m:sup>
        </m:sSup>
      </m:oMath>
      <w:r>
        <w:rPr>
          <w:rFonts w:ascii="宋体" w:hAnsi="宋体" w:eastAsia="宋体"/>
          <w:sz w:val="24"/>
        </w:rPr>
        <w:t xml:space="preserve"> 为稳态效值系数。</w:t>
      </w:r>
    </w:p>
    <w:p>
      <w:pPr>
        <w:spacing w:line="360" w:lineRule="auto" w:after="0"/>
        <w:ind w:firstLineChars="200" w:firstLine="480"/>
        <w:jc w:val="both"/>
      </w:pPr>
      <w:r>
        <w:rPr>
          <w:rFonts w:ascii="宋体" w:hAnsi="宋体" w:eastAsia="宋体"/>
          <w:sz w:val="24"/>
        </w:rPr>
        <w:t xml:space="preserve">式(6-5)的求解是直接的：令 </w:t>
      </w:r>
      <m:oMath>
        <m:sSub>
          <m:e>
            <m:acc>
              <m:accPr>
                <m:chr m:val="̇"/>
              </m:accPr>
              <m:e>
                <m:r>
                  <m:t>η</m:t>
                </m:r>
              </m:e>
            </m:acc>
          </m:e>
          <m:sub>
            <m:r>
              <m:t>t</m:t>
            </m:r>
          </m:sub>
        </m:sSub>
        <m:r>
          <m:rPr>
            <m:sty m:val="p"/>
          </m:rPr>
          <m:t>=</m:t>
        </m:r>
        <m:r>
          <m:t>0</m:t>
        </m:r>
      </m:oMath>
      <w:r>
        <w:rPr>
          <w:rFonts w:ascii="宋体" w:hAnsi="宋体" w:eastAsia="宋体"/>
          <w:sz w:val="24"/>
        </w:rPr>
        <w:t xml:space="preserve"> 即得稳态解，且由于方程右端对 </w:t>
      </w:r>
      <m:oMath>
        <m:r>
          <m:t>η</m:t>
        </m:r>
      </m:oMath>
      <w:r>
        <w:rPr>
          <w:rFonts w:ascii="宋体" w:hAnsi="宋体" w:eastAsia="宋体"/>
          <w:sz w:val="24"/>
        </w:rPr>
        <w:t xml:space="preserve"> 的导数为 </w:t>
      </w:r>
      <m:oMath>
        <m:r>
          <m:rPr>
            <m:sty m:val="p"/>
          </m:rPr>
          <m:t>−</m:t>
        </m:r>
        <m:r>
          <m:t>δ</m:t>
        </m:r>
        <m:r>
          <m:rPr>
            <m:sty m:val="p"/>
          </m:rPr>
          <m:t>&lt;</m:t>
        </m:r>
        <m:r>
          <m:t>0</m:t>
        </m:r>
      </m:oMath>
      <w:r>
        <w:rPr>
          <w:rFonts w:ascii="宋体" w:hAnsi="宋体" w:eastAsia="宋体"/>
          <w:sz w:val="24"/>
        </w:rPr>
        <w:t xml:space="preserve">，稳态是全局渐近稳定的。其性质有二。第一，稳态效值系数对标准词元流量的弹性恰为 </w:t>
      </w:r>
      <m:oMath>
        <m:r>
          <m:t>γ</m:t>
        </m:r>
      </m:oMath>
      <w:r>
        <w:rPr>
          <w:rFonts w:ascii="宋体" w:hAnsi="宋体" w:eastAsia="宋体"/>
          <w:sz w:val="24"/>
        </w:rPr>
        <w:t>，即「用得越多，词元越好」——需求规模本身就是质量的生产要素，这在传统制造业中并不成立。第二，稳态效值系数与知识折旧率成反比：模型能力若不持续更新即会相对贬值，因为任务分布与知识前沿在移动。这两条性质共同意味着，词元服务是一种「使用即投资」的产品。</w:t>
      </w:r>
    </w:p>
    <w:p>
      <w:pPr>
        <w:spacing w:line="360" w:lineRule="auto" w:after="0"/>
        <w:ind w:firstLineChars="200" w:firstLine="480"/>
        <w:jc w:val="both"/>
      </w:pPr>
      <w:r>
        <w:rPr>
          <w:rFonts w:ascii="宋体" w:hAnsi="宋体" w:eastAsia="宋体"/>
          <w:sz w:val="24"/>
        </w:rPr>
        <w:t xml:space="preserve">规模律研究为 </w:t>
      </w:r>
      <m:oMath>
        <m:r>
          <m:t>γ</m:t>
        </m:r>
      </m:oMath>
      <w:r>
        <w:rPr>
          <w:rFonts w:ascii="宋体" w:hAnsi="宋体" w:eastAsia="宋体"/>
          <w:sz w:val="24"/>
        </w:rPr>
        <w:t xml:space="preserve"> 的存在性提供了技术基础：模型性能随训练数据量与算力投入呈幂律改善（Kaplan等，2020），且在给定算力预算下参数量与训练词元量存在最优配比（Hoffmann等，2022）。但持续学习的经济含义并不止于技术。其一，</w:t>
      </w:r>
      <m:oMath>
        <m:sSub>
          <m:e>
            <m:r>
              <m:t>q</m:t>
            </m:r>
          </m:e>
          <m:sub>
            <m:r>
              <m:t>t</m:t>
            </m:r>
          </m:sub>
        </m:sSub>
      </m:oMath>
      <w:r>
        <w:rPr>
          <w:rFonts w:ascii="宋体" w:hAnsi="宋体" w:eastAsia="宋体"/>
          <w:sz w:val="24"/>
        </w:rPr>
        <w:t xml:space="preserve"> 是制度变量而非技术常数：数据权属、隐私保护与跨主体流通规则直接决定了多少交互数据可以合法进入训练循环，而数据的过度归集又会带来隐私外部性与竞争扭曲（Acemoglu等，2022a；Bergemann和Bonatti，2024）。其二，</w:t>
      </w:r>
      <m:oMath>
        <m:r>
          <m:t>γ</m:t>
        </m:r>
      </m:oMath>
      <w:r>
        <w:rPr>
          <w:rFonts w:ascii="宋体" w:hAnsi="宋体" w:eastAsia="宋体"/>
          <w:sz w:val="24"/>
        </w:rPr>
        <w:t xml:space="preserve"> 的可持续性存在争议：若高质量语料趋于耗竭，回流数据的边际信息含量将下降，弹性随之衰减。本书据此提出一个可检验推论：在效值透明度较高、反馈机制较完善的运营平台上，同档位词元的效值提升速度应显著快于封闭部署环境——这一推论将在第 13 章的跨案例比较中得到间接支持。</w:t>
      </w:r>
    </w:p>
    <w:p>
      <w:pPr>
        <w:keepNext/>
        <w:spacing w:before="160" w:after="120" w:line="360" w:lineRule="auto"/>
        <w:outlineLvl w:val="2"/>
      </w:pPr>
      <w:r>
        <w:rPr>
          <w:rFonts w:ascii="黑体" w:hAnsi="黑体" w:eastAsia="黑体"/>
          <w:sz w:val="24"/>
        </w:rPr>
        <w:t>6.3.3  网络协同：主体与场景的交叉外部性</w:t>
      </w:r>
    </w:p>
    <w:p>
      <w:pPr>
        <w:spacing w:line="360" w:lineRule="auto" w:after="0"/>
        <w:ind w:firstLineChars="200" w:firstLine="480"/>
        <w:jc w:val="both"/>
      </w:pPr>
      <w:r>
        <w:rPr>
          <w:rFonts w:ascii="宋体" w:hAnsi="宋体" w:eastAsia="宋体"/>
          <w:sz w:val="24"/>
        </w:rPr>
        <w:t xml:space="preserve">价值增值的第三重来源是网络协同。接入同一词元服务体系的主体越多、可组合的场景越丰富，单位标准词元在任一场景中的价值密度就越高：数据与工具可以跨场景复用，工作流可以跨主体拼接，最佳实践可以快速扩散。设 </w:t>
      </w:r>
      <m:oMath>
        <m:sSub>
          <m:e>
            <m:r>
              <m:t>n</m:t>
            </m:r>
          </m:e>
          <m:sub>
            <m:r>
              <m:t>t</m:t>
            </m:r>
          </m:sub>
        </m:sSub>
      </m:oMath>
      <w:r>
        <w:rPr>
          <w:rFonts w:ascii="宋体" w:hAnsi="宋体" w:eastAsia="宋体"/>
          <w:sz w:val="24"/>
        </w:rPr>
        <w:t xml:space="preserve"> 为接入主体（或可组合场景）的规模，</w:t>
      </w:r>
      <m:oMath>
        <m:r>
          <m:t>σ</m:t>
        </m:r>
      </m:oMath>
      <w:r>
        <w:rPr>
          <w:rFonts w:ascii="宋体" w:hAnsi="宋体" w:eastAsia="宋体"/>
          <w:sz w:val="24"/>
        </w:rPr>
        <w:t xml:space="preserve"> 为网络弹性，则场景价值密度的演化如式(6-6)所示。</w:t>
      </w:r>
    </w:p>
    <w:p>
      <w:pPr>
        <w:tabs>
          <w:tab w:pos="4252" w:val="center"/>
          <w:tab w:pos="8504" w:val="right"/>
        </w:tabs>
        <w:spacing w:line="360" w:lineRule="auto" w:before="80" w:after="80"/>
      </w:pPr>
      <w:r>
        <w:tab/>
      </w:r>
      <m:oMath>
        <m:sSub>
          <m:e>
            <m:r>
              <m:t>u</m:t>
            </m:r>
          </m:e>
          <m:sub>
            <m:r>
              <m:t>j</m:t>
            </m:r>
            <m:r>
              <m:t>t</m:t>
            </m:r>
          </m:sub>
        </m:sSub>
        <m:r>
          <m:rPr>
            <m:sty m:val="p"/>
          </m:rPr>
          <m:t>=</m:t>
        </m:r>
        <m:sSub>
          <m:e>
            <m:r>
              <m:t>u</m:t>
            </m:r>
          </m:e>
          <m:sub>
            <m:r>
              <m:t>j</m:t>
            </m:r>
            <m:r>
              <m:t>0</m:t>
            </m:r>
          </m:sub>
        </m:sSub>
        <m:r>
          <m:t> </m:t>
        </m:r>
        <m:sSubSup>
          <m:e>
            <m:r>
              <m:t>n</m:t>
            </m:r>
          </m:e>
          <m:sub>
            <m:r>
              <m:t>t</m:t>
            </m:r>
          </m:sub>
          <m:sup>
            <m:r>
              <m:t>σ</m:t>
            </m:r>
          </m:sup>
        </m:sSubSup>
        <m:r>
          <m:rPr>
            <m:sty m:val="p"/>
          </m:rPr>
          <m:t>,</m:t>
        </m:r>
        <m:r>
          <m:t>  </m:t>
        </m:r>
        <m:r>
          <m:t>σ</m:t>
        </m:r>
        <m:r>
          <m:rPr>
            <m:sty m:val="p"/>
          </m:rPr>
          <m:t>=</m:t>
        </m:r>
        <m:f>
          <m:fPr>
            <m:type m:val="bar"/>
          </m:fPr>
          <m:num>
            <m:r>
              <m:rPr>
                <m:sty m:val="p"/>
              </m:rPr>
              <m:t>∂</m:t>
            </m:r>
            <m:r>
              <m:rPr>
                <m:sty m:val="p"/>
              </m:rPr>
              <m:t>ln</m:t>
            </m:r>
            <m:sSub>
              <m:e>
                <m:r>
                  <m:t>u</m:t>
                </m:r>
              </m:e>
              <m:sub>
                <m:r>
                  <m:t>j</m:t>
                </m:r>
                <m:r>
                  <m:t>t</m:t>
                </m:r>
              </m:sub>
            </m:sSub>
          </m:num>
          <m:den>
            <m:r>
              <m:rPr>
                <m:sty m:val="p"/>
              </m:rPr>
              <m:t>∂</m:t>
            </m:r>
            <m:r>
              <m:rPr>
                <m:sty m:val="p"/>
              </m:rPr>
              <m:t>ln</m:t>
            </m:r>
            <m:sSub>
              <m:e>
                <m:r>
                  <m:t>n</m:t>
                </m:r>
              </m:e>
              <m:sub>
                <m:r>
                  <m:t>t</m:t>
                </m:r>
              </m:sub>
            </m:sSub>
          </m:den>
        </m:f>
        <m:r>
          <m:rPr>
            <m:sty m:val="p"/>
          </m:rPr>
          <m:t>&gt;</m:t>
        </m:r>
        <m:r>
          <m:t>0</m:t>
        </m:r>
      </m:oMath>
      <w:r>
        <w:tab/>
      </w:r>
      <w:r>
        <w:rPr>
          <w:rFonts w:ascii="Times New Roman" w:hAnsi="Times New Roman" w:eastAsia="宋体"/>
          <w:sz w:val="24"/>
        </w:rPr>
        <w:t>(6-6)</w:t>
      </w:r>
    </w:p>
    <w:p>
      <w:pPr>
        <w:spacing w:line="360" w:lineRule="auto" w:after="0"/>
        <w:jc w:val="both"/>
      </w:pPr>
      <w:r>
        <w:rPr>
          <w:rFonts w:ascii="宋体" w:hAnsi="宋体" w:eastAsia="宋体"/>
          <w:sz w:val="24"/>
        </w:rPr>
        <w:t>其中，</w:t>
      </w:r>
      <m:oMath>
        <m:sSub>
          <m:e>
            <m:r>
              <m:t>u</m:t>
            </m:r>
          </m:e>
          <m:sub>
            <m:r>
              <m:t>j</m:t>
            </m:r>
            <m:r>
              <m:t>0</m:t>
            </m:r>
          </m:sub>
        </m:sSub>
      </m:oMath>
      <w:r>
        <w:rPr>
          <w:rFonts w:ascii="宋体" w:hAnsi="宋体" w:eastAsia="宋体"/>
          <w:sz w:val="24"/>
        </w:rPr>
        <w:t xml:space="preserve"> 为初始规模下场景 </w:t>
      </w:r>
      <m:oMath>
        <m:r>
          <m:t>j</m:t>
        </m:r>
      </m:oMath>
      <w:r>
        <w:rPr>
          <w:rFonts w:ascii="宋体" w:hAnsi="宋体" w:eastAsia="宋体"/>
          <w:sz w:val="24"/>
        </w:rPr>
        <w:t xml:space="preserve"> 的价值密度，</w:t>
      </w:r>
      <m:oMath>
        <m:r>
          <m:t>σ</m:t>
        </m:r>
        <m:r>
          <m:rPr>
            <m:sty m:val="p"/>
          </m:rPr>
          <m:t>&gt;</m:t>
        </m:r>
        <m:r>
          <m:t>0</m:t>
        </m:r>
      </m:oMath>
      <w:r>
        <w:rPr>
          <w:rFonts w:ascii="宋体" w:hAnsi="宋体" w:eastAsia="宋体"/>
          <w:sz w:val="24"/>
        </w:rPr>
        <w:t xml:space="preserve"> 表示存在正的网络外部性；</w:t>
      </w:r>
      <m:oMath>
        <m:r>
          <m:t>σ</m:t>
        </m:r>
      </m:oMath>
      <w:r>
        <w:rPr>
          <w:rFonts w:ascii="宋体" w:hAnsi="宋体" w:eastAsia="宋体"/>
          <w:sz w:val="24"/>
        </w:rPr>
        <w:t xml:space="preserve"> 越大，规模扩张对单位词元价值的放大作用越强。</w:t>
      </w:r>
    </w:p>
    <w:p>
      <w:pPr>
        <w:spacing w:line="360" w:lineRule="auto" w:after="0"/>
        <w:ind w:firstLineChars="200" w:firstLine="480"/>
        <w:jc w:val="both"/>
      </w:pPr>
      <w:r>
        <w:rPr>
          <w:rFonts w:ascii="宋体" w:hAnsi="宋体" w:eastAsia="宋体"/>
          <w:sz w:val="24"/>
        </w:rPr>
        <w:t>网络外部性的经典分析指出，采用决策的相互依赖会产生多重均衡与临界规模（Katz和Shapiro，1985），兼容性与标准化则决定了网络能否越过临界点（Farrell和Saloner，1985）；标准制定组织的治理结构直接影响这一过程的速度与方向（Simcoe，2012）。双边与多边平台理论进一步说明，平台的定价结构应当反映两侧的交叉外部性强度（Armstrong，2006；Jullien等，2021），而数据在平台竞争中的作用会同时强化规模优势与信息优势（Bergemann和Bonatti，2024）。国内研究对标准化的生产率效应也提供了直接证据：物流标准化显著提升了企业全要素生产率（何凡等，2025），其机制正是通过降低对接成本扩大了可协同的网络规模。</w:t>
      </w:r>
    </w:p>
    <w:p>
      <w:pPr>
        <w:spacing w:line="360" w:lineRule="auto" w:after="0"/>
        <w:ind w:firstLineChars="200" w:firstLine="480"/>
        <w:jc w:val="both"/>
      </w:pPr>
      <w:r>
        <w:rPr>
          <w:rFonts w:ascii="宋体" w:hAnsi="宋体" w:eastAsia="宋体"/>
          <w:sz w:val="24"/>
        </w:rPr>
        <w:t>词元经济中的网络协同有一个特殊载体，即统一的计量与接口规范。若各平台的词元计量口径、缓存计费规则与接口协议互不相通，跨平台的工作流拼接成本极高，</w:t>
      </w:r>
      <m:oMath>
        <m:sSub>
          <m:e>
            <m:r>
              <m:t>n</m:t>
            </m:r>
          </m:e>
          <m:sub>
            <m:r>
              <m:t>t</m:t>
            </m:r>
          </m:sub>
        </m:sSub>
      </m:oMath>
      <w:r>
        <w:rPr>
          <w:rFonts w:ascii="宋体" w:hAnsi="宋体" w:eastAsia="宋体"/>
          <w:sz w:val="24"/>
        </w:rPr>
        <w:t xml:space="preserve"> 实际上被切割为若干互不连通的小网络，</w:t>
      </w:r>
      <m:oMath>
        <m:r>
          <m:t>σ</m:t>
        </m:r>
      </m:oMath>
      <w:r>
        <w:rPr>
          <w:rFonts w:ascii="宋体" w:hAnsi="宋体" w:eastAsia="宋体"/>
          <w:sz w:val="24"/>
        </w:rPr>
        <w:t xml:space="preserve"> 的作用被大幅削弱。反之，统一入口、统一计量与统一结算的制度安排相当于直接扩大了有效网络规模。这正是第 10 章「五个统一」机制设计的价值论依据：它们的作用不是行政性的整合，而是通过消除计量与接口的不兼容，把分割的小网络合并为一个大网络，从而在不增加任何物理投入的前提下抬升单位词元的价值密度。</w:t>
      </w:r>
    </w:p>
    <w:p>
      <w:pPr>
        <w:spacing w:line="360" w:lineRule="auto" w:after="0"/>
        <w:ind w:firstLineChars="200" w:firstLine="480"/>
        <w:jc w:val="both"/>
      </w:pPr>
      <w:r>
        <w:rPr>
          <w:rFonts w:ascii="宋体" w:hAnsi="宋体" w:eastAsia="宋体"/>
          <w:sz w:val="24"/>
        </w:rPr>
        <w:t>网络协同同时带来一类负向效应，必须一并考虑。规模扩张会强化平台的锁定能力：当企业的工作流、提示模板与评测体系全部围绕某一平台的计量与接口规则构建，迁移成本将随使用深度上升，</w:t>
      </w:r>
      <m:oMath>
        <m:r>
          <m:t>σ</m:t>
        </m:r>
      </m:oMath>
      <w:r>
        <w:rPr>
          <w:rFonts w:ascii="宋体" w:hAnsi="宋体" w:eastAsia="宋体"/>
          <w:sz w:val="24"/>
        </w:rPr>
        <w:t xml:space="preserve"> 的正效应会部分转化为平台的市场势力（Bergemann和Bonatti，2024）。这意味着网络协同的社会收益与私人收益并不自动一致：在缺乏互操作规则的条件下，平台有动机把网络效应内部化为壁垒，而不是外溢为公共价值。既有研究关于标准化的判断在此同样适用——兼容性标准之所以能提升整体福利，正是因为它把网络效应从平台专属转变为行业共享（Farrell和Saloner，1985；Simcoe，2012）。本书由此提出：词元计量与接口标准的公共品属性，不能依赖任何单一平台的自愿供给，而需要由行业组织或公共部门牵头建立，这构成第 14 章标准供给建议的理论依据。</w:t>
      </w:r>
    </w:p>
    <w:p>
      <w:pPr>
        <w:keepNext/>
        <w:spacing w:before="160" w:after="120" w:line="360" w:lineRule="auto"/>
        <w:outlineLvl w:val="2"/>
      </w:pPr>
      <w:r>
        <w:rPr>
          <w:rFonts w:ascii="黑体" w:hAnsi="黑体" w:eastAsia="黑体"/>
          <w:sz w:val="24"/>
        </w:rPr>
        <w:t>6.3.4  三重来源的合成、自增强乘数与稳定条件</w:t>
      </w:r>
    </w:p>
    <w:p>
      <w:pPr>
        <w:spacing w:line="360" w:lineRule="auto" w:after="0"/>
        <w:ind w:firstLineChars="200" w:firstLine="480"/>
        <w:jc w:val="both"/>
      </w:pPr>
      <w:r>
        <w:rPr>
          <w:rFonts w:ascii="宋体" w:hAnsi="宋体" w:eastAsia="宋体"/>
          <w:sz w:val="24"/>
        </w:rPr>
        <w:t xml:space="preserve">把三重来源放在一起，可以得到单位词元「价值—成本比」的增长分解。定义 </w:t>
      </w:r>
      <m:oMath>
        <m:sSub>
          <m:e>
            <m:r>
              <m:t>ζ</m:t>
            </m:r>
          </m:e>
          <m:sub>
            <m:r>
              <m:t>t</m:t>
            </m:r>
          </m:sub>
        </m:sSub>
        <m:r>
          <m:rPr>
            <m:sty m:val="p"/>
          </m:rPr>
          <m:t>=</m:t>
        </m:r>
        <m:sSub>
          <m:e>
            <m:r>
              <m:t>η</m:t>
            </m:r>
          </m:e>
          <m:sub>
            <m:r>
              <m:t>t</m:t>
            </m:r>
          </m:sub>
        </m:sSub>
        <m:sSub>
          <m:e>
            <m:r>
              <m:t>u</m:t>
            </m:r>
          </m:e>
          <m:sub>
            <m:r>
              <m:t>t</m:t>
            </m:r>
          </m:sub>
        </m:sSub>
        <m:r>
          <m:rPr>
            <m:sty m:val="p"/>
          </m:rPr>
          <m:t>/</m:t>
        </m:r>
        <m:sSub>
          <m:e>
            <m:r>
              <m:t>v</m:t>
            </m:r>
          </m:e>
          <m:sub>
            <m:r>
              <m:t>t</m:t>
            </m:r>
          </m:sub>
        </m:sSub>
      </m:oMath>
      <w:r>
        <w:rPr>
          <w:rFonts w:ascii="宋体" w:hAnsi="宋体" w:eastAsia="宋体"/>
          <w:sz w:val="24"/>
        </w:rPr>
        <w:t xml:space="preserve">，即单位物理词元所实现的价值与其成本之比，并以 </w:t>
      </w:r>
      <m:oMath>
        <m:acc>
          <m:accPr>
            <m:chr m:val="̂"/>
          </m:accPr>
          <m:e>
            <m:r>
              <m:t>x</m:t>
            </m:r>
          </m:e>
        </m:acc>
      </m:oMath>
      <w:r>
        <w:rPr>
          <w:rFonts w:ascii="宋体" w:hAnsi="宋体" w:eastAsia="宋体"/>
          <w:sz w:val="24"/>
        </w:rPr>
        <w:t xml:space="preserve"> 表示变量 </w:t>
      </w:r>
      <m:oMath>
        <m:r>
          <m:t>x</m:t>
        </m:r>
      </m:oMath>
      <w:r>
        <w:rPr>
          <w:rFonts w:ascii="宋体" w:hAnsi="宋体" w:eastAsia="宋体"/>
          <w:sz w:val="24"/>
        </w:rPr>
        <w:t xml:space="preserve"> 的增长率，则对式(6-4)至式(6-6)取对数微分并合并，得式(6-7)。</w:t>
      </w:r>
    </w:p>
    <w:p>
      <w:pPr>
        <w:tabs>
          <w:tab w:pos="4252" w:val="center"/>
          <w:tab w:pos="8504" w:val="right"/>
        </w:tabs>
        <w:spacing w:line="360" w:lineRule="auto" w:before="80" w:after="80"/>
      </w:pPr>
      <w:r>
        <w:tab/>
      </w:r>
      <m:oMath>
        <m:sSub>
          <m:e>
            <m:r>
              <m:t>ζ</m:t>
            </m:r>
          </m:e>
          <m:sub>
            <m:r>
              <m:t>t</m:t>
            </m:r>
          </m:sub>
        </m:sSub>
        <m:r>
          <m:rPr>
            <m:sty m:val="p"/>
          </m:rPr>
          <m:t>=</m:t>
        </m:r>
        <m:f>
          <m:fPr>
            <m:type m:val="bar"/>
          </m:fPr>
          <m:num>
            <m:sSub>
              <m:e>
                <m:r>
                  <m:t>η</m:t>
                </m:r>
              </m:e>
              <m:sub>
                <m:r>
                  <m:t>t</m:t>
                </m:r>
              </m:sub>
            </m:sSub>
            <m:sSub>
              <m:e>
                <m:r>
                  <m:t>u</m:t>
                </m:r>
              </m:e>
              <m:sub>
                <m:r>
                  <m:t>t</m:t>
                </m:r>
              </m:sub>
            </m:sSub>
          </m:num>
          <m:den>
            <m:sSub>
              <m:e>
                <m:r>
                  <m:t>v</m:t>
                </m:r>
              </m:e>
              <m:sub>
                <m:r>
                  <m:t>t</m:t>
                </m:r>
              </m:sub>
            </m:sSub>
          </m:den>
        </m:f>
        <m:r>
          <m:rPr>
            <m:sty m:val="p"/>
          </m:rPr>
          <m:t>,</m:t>
        </m:r>
        <m:r>
          <m:t>  </m:t>
        </m:r>
        <m:sSub>
          <m:e>
            <m:acc>
              <m:accPr>
                <m:chr m:val="̂"/>
              </m:accPr>
              <m:e>
                <m:r>
                  <m:t>ζ</m:t>
                </m:r>
              </m:e>
            </m:acc>
          </m:e>
          <m:sub>
            <m:r>
              <m:t>t</m:t>
            </m:r>
          </m:sub>
        </m:sSub>
        <m:r>
          <m:rPr>
            <m:sty m:val="p"/>
          </m:rPr>
          <m:t>=</m:t>
        </m:r>
        <m:sSub>
          <m:e>
            <m:r>
              <m:t>s</m:t>
            </m:r>
          </m:e>
          <m:sub>
            <m:r>
              <m:t>A</m:t>
            </m:r>
          </m:sub>
        </m:sSub>
        <m:sSub>
          <m:e>
            <m:acc>
              <m:accPr>
                <m:chr m:val="̂"/>
              </m:accPr>
              <m:e>
                <m:r>
                  <m:t>N</m:t>
                </m:r>
              </m:e>
            </m:acc>
          </m:e>
          <m:sub>
            <m:r>
              <m:t>t</m:t>
            </m:r>
          </m:sub>
        </m:sSub>
        <m:r>
          <m:rPr>
            <m:sty m:val="p"/>
          </m:rPr>
          <m:t>+</m:t>
        </m:r>
        <m:r>
          <m:t>γ</m:t>
        </m:r>
        <m:d>
          <m:dPr>
            <m:begChr m:val="("/>
            <m:endChr m:val=")"/>
            <m:grow/>
          </m:dPr>
          <m:e>
            <m:sSub>
              <m:e>
                <m:acc>
                  <m:accPr>
                    <m:chr m:val="̂"/>
                  </m:accPr>
                  <m:e>
                    <m:r>
                      <m:t>q</m:t>
                    </m:r>
                  </m:e>
                </m:acc>
              </m:e>
              <m:sub>
                <m:r>
                  <m:t>t</m:t>
                </m:r>
              </m:sub>
            </m:sSub>
            <m:r>
              <m:rPr>
                <m:sty m:val="p"/>
              </m:rPr>
              <m:t>+</m:t>
            </m:r>
            <m:sSub>
              <m:e>
                <m:acc>
                  <m:accPr>
                    <m:chr m:val="̂"/>
                  </m:accPr>
                  <m:e>
                    <m:acc>
                      <m:accPr>
                        <m:chr m:val="̃"/>
                      </m:accPr>
                      <m:e>
                        <m:r>
                          <m:t>T</m:t>
                        </m:r>
                      </m:e>
                    </m:acc>
                  </m:e>
                </m:acc>
              </m:e>
              <m:sub>
                <m:r>
                  <m:t>t</m:t>
                </m:r>
              </m:sub>
            </m:sSub>
          </m:e>
        </m:d>
        <m:r>
          <m:rPr>
            <m:sty m:val="p"/>
          </m:rPr>
          <m:t>+</m:t>
        </m:r>
        <m:r>
          <m:t>σ</m:t>
        </m:r>
        <m:sSub>
          <m:e>
            <m:acc>
              <m:accPr>
                <m:chr m:val="̂"/>
              </m:accPr>
              <m:e>
                <m:r>
                  <m:t>n</m:t>
                </m:r>
              </m:e>
            </m:acc>
          </m:e>
          <m:sub>
            <m:r>
              <m:t>t</m:t>
            </m:r>
          </m:sub>
        </m:sSub>
      </m:oMath>
      <w:r>
        <w:tab/>
      </w:r>
      <w:r>
        <w:rPr>
          <w:rFonts w:ascii="Times New Roman" w:hAnsi="Times New Roman" w:eastAsia="宋体"/>
          <w:sz w:val="24"/>
        </w:rPr>
        <w:t>(6-7)</w:t>
      </w:r>
    </w:p>
    <w:p>
      <w:pPr>
        <w:spacing w:line="360" w:lineRule="auto" w:after="0"/>
        <w:jc w:val="both"/>
      </w:pPr>
      <w:r>
        <w:rPr>
          <w:rFonts w:ascii="宋体" w:hAnsi="宋体" w:eastAsia="宋体"/>
          <w:sz w:val="24"/>
        </w:rPr>
        <w:t>其中，右端第一项为规模复用效应（累计产量增长经固定成本份额放大为成本下降），第二项为持续学习效应（回流率与流量增长经学习弹性转化为效值提升），第三项为网络协同效应（接入规模增长经网络弹性转化为价值密度提升）。</w:t>
      </w:r>
    </w:p>
    <w:p>
      <w:pPr>
        <w:spacing w:line="360" w:lineRule="auto" w:after="0"/>
        <w:ind w:firstLineChars="200" w:firstLine="480"/>
        <w:jc w:val="both"/>
      </w:pPr>
      <w:r>
        <w:rPr>
          <w:rFonts w:ascii="宋体" w:hAnsi="宋体" w:eastAsia="宋体"/>
          <w:sz w:val="24"/>
        </w:rPr>
        <w:t xml:space="preserve">式(6-7)尚是一个部分均衡表达，因为 </w:t>
      </w:r>
      <m:oMath>
        <m:sSub>
          <m:e>
            <m:acc>
              <m:accPr>
                <m:chr m:val="̂"/>
              </m:accPr>
              <m:e>
                <m:acc>
                  <m:accPr>
                    <m:chr m:val="̃"/>
                  </m:accPr>
                  <m:e>
                    <m:r>
                      <m:t>T</m:t>
                    </m:r>
                  </m:e>
                </m:acc>
              </m:e>
            </m:acc>
          </m:e>
          <m:sub>
            <m:r>
              <m:t>t</m:t>
            </m:r>
          </m:sub>
        </m:sSub>
      </m:oMath>
      <w:r>
        <w:rPr>
          <w:rFonts w:ascii="宋体" w:hAnsi="宋体" w:eastAsia="宋体"/>
          <w:sz w:val="24"/>
        </w:rPr>
        <w:t xml:space="preserve"> 本身要对</w:t>
      </w:r>
      <m:oMath>
        <m:sSub>
          <m:e>
            <m:acc>
              <m:accPr>
                <m:chr m:val="̂"/>
              </m:accPr>
              <m:e>
                <m:r>
                  <m:t>ζ</m:t>
                </m:r>
              </m:e>
            </m:acc>
          </m:e>
          <m:sub>
            <m:r>
              <m:t>t</m:t>
            </m:r>
          </m:sub>
        </m:sSub>
      </m:oMath>
      <w:r>
        <w:rPr>
          <w:rFonts w:ascii="宋体" w:hAnsi="宋体" w:eastAsia="宋体"/>
          <w:sz w:val="24"/>
        </w:rPr>
        <w:t xml:space="preserve"> 作出反应：性价比改善会刺激需求扩张。设需求对价值—成本比的弹性为 </w:t>
      </w:r>
      <m:oMath>
        <m:r>
          <m:t>ξ</m:t>
        </m:r>
        <m:r>
          <m:rPr>
            <m:sty m:val="p"/>
          </m:rPr>
          <m:t>&gt;</m:t>
        </m:r>
        <m:r>
          <m:t>0</m:t>
        </m:r>
      </m:oMath>
      <w:r>
        <w:rPr>
          <w:rFonts w:ascii="宋体" w:hAnsi="宋体" w:eastAsia="宋体"/>
          <w:sz w:val="24"/>
        </w:rPr>
        <w:t xml:space="preserve">，即 </w:t>
      </w:r>
      <m:oMath>
        <m:sSub>
          <m:e>
            <m:acc>
              <m:accPr>
                <m:chr m:val="̂"/>
              </m:accPr>
              <m:e>
                <m:acc>
                  <m:accPr>
                    <m:chr m:val="̃"/>
                  </m:accPr>
                  <m:e>
                    <m:r>
                      <m:t>T</m:t>
                    </m:r>
                  </m:e>
                </m:acc>
              </m:e>
            </m:acc>
          </m:e>
          <m:sub>
            <m:r>
              <m:t>t</m:t>
            </m:r>
          </m:sub>
        </m:sSub>
        <m:r>
          <m:rPr>
            <m:sty m:val="p"/>
          </m:rPr>
          <m:t>=</m:t>
        </m:r>
        <m:r>
          <m:t>ξ</m:t>
        </m:r>
        <m:sSub>
          <m:e>
            <m:acc>
              <m:accPr>
                <m:chr m:val="̂"/>
              </m:accPr>
              <m:e>
                <m:r>
                  <m:t>ζ</m:t>
                </m:r>
              </m:e>
            </m:acc>
          </m:e>
          <m:sub>
            <m:r>
              <m:t>t</m:t>
            </m:r>
          </m:sub>
        </m:sSub>
      </m:oMath>
      <w:r>
        <w:rPr>
          <w:rFonts w:ascii="宋体" w:hAnsi="宋体" w:eastAsia="宋体"/>
          <w:sz w:val="24"/>
        </w:rPr>
        <w:t xml:space="preserve">，并在稳定增长路径上取 </w:t>
      </w:r>
      <m:oMath>
        <m:sSub>
          <m:e>
            <m:acc>
              <m:accPr>
                <m:chr m:val="̂"/>
              </m:accPr>
              <m:e>
                <m:r>
                  <m:t>N</m:t>
                </m:r>
              </m:e>
            </m:acc>
          </m:e>
          <m:sub>
            <m:r>
              <m:t>t</m:t>
            </m:r>
          </m:sub>
        </m:sSub>
        <m:r>
          <m:rPr>
            <m:sty m:val="p"/>
          </m:rPr>
          <m:t>≈</m:t>
        </m:r>
        <m:sSub>
          <m:e>
            <m:acc>
              <m:accPr>
                <m:chr m:val="̂"/>
              </m:accPr>
              <m:e>
                <m:acc>
                  <m:accPr>
                    <m:chr m:val="̃"/>
                  </m:accPr>
                  <m:e>
                    <m:r>
                      <m:t>T</m:t>
                    </m:r>
                  </m:e>
                </m:acc>
              </m:e>
            </m:acc>
          </m:e>
          <m:sub>
            <m:r>
              <m:t>t</m:t>
            </m:r>
          </m:sub>
        </m:sSub>
      </m:oMath>
      <w:r>
        <w:rPr>
          <w:rFonts w:ascii="宋体" w:hAnsi="宋体" w:eastAsia="宋体"/>
          <w:sz w:val="24"/>
        </w:rPr>
        <w:t>，代回式(6-7)并求解，得式(6-8)。</w:t>
      </w:r>
    </w:p>
    <w:p>
      <w:pPr>
        <w:tabs>
          <w:tab w:pos="4252" w:val="center"/>
          <w:tab w:pos="8504" w:val="right"/>
        </w:tabs>
        <w:spacing w:line="360" w:lineRule="auto" w:before="80" w:after="80"/>
      </w:pPr>
      <w:r>
        <w:tab/>
      </w:r>
      <m:oMath>
        <m:acc>
          <m:accPr>
            <m:chr m:val="̂"/>
          </m:accPr>
          <m:e>
            <m:r>
              <m:t>ζ</m:t>
            </m:r>
          </m:e>
        </m:acc>
        <m:r>
          <m:rPr>
            <m:sty m:val="p"/>
          </m:rPr>
          <m:t>=</m:t>
        </m:r>
        <m:f>
          <m:fPr>
            <m:type m:val="bar"/>
          </m:fPr>
          <m:num>
            <m:r>
              <m:t>γ</m:t>
            </m:r>
            <m:acc>
              <m:accPr>
                <m:chr m:val="̂"/>
              </m:accPr>
              <m:e>
                <m:r>
                  <m:t>q</m:t>
                </m:r>
              </m:e>
            </m:acc>
            <m:r>
              <m:rPr>
                <m:sty m:val="p"/>
              </m:rPr>
              <m:t>+</m:t>
            </m:r>
            <m:r>
              <m:t>σ</m:t>
            </m:r>
            <m:acc>
              <m:accPr>
                <m:chr m:val="̂"/>
              </m:accPr>
              <m:e>
                <m:r>
                  <m:t>n</m:t>
                </m:r>
              </m:e>
            </m:acc>
          </m:num>
          <m:den>
            <m:r>
              <m:t>1</m:t>
            </m:r>
            <m:r>
              <m:rPr>
                <m:sty m:val="p"/>
              </m:rPr>
              <m:t>−</m:t>
            </m:r>
            <m:d>
              <m:dPr>
                <m:begChr m:val="("/>
                <m:endChr m:val=")"/>
                <m:grow/>
              </m:dPr>
              <m:e>
                <m:sSub>
                  <m:e>
                    <m:r>
                      <m:t>s</m:t>
                    </m:r>
                  </m:e>
                  <m:sub>
                    <m:r>
                      <m:t>A</m:t>
                    </m:r>
                  </m:sub>
                </m:sSub>
                <m:r>
                  <m:rPr>
                    <m:sty m:val="p"/>
                  </m:rPr>
                  <m:t>+</m:t>
                </m:r>
                <m:r>
                  <m:t>γ</m:t>
                </m:r>
              </m:e>
            </m:d>
            <m:r>
              <m:t>ξ</m:t>
            </m:r>
          </m:den>
        </m:f>
        <m:r>
          <m:rPr>
            <m:sty m:val="p"/>
          </m:rPr>
          <m:t>,</m:t>
        </m:r>
        <m:r>
          <m:t>  </m:t>
        </m:r>
        <m:r>
          <m:t>M</m:t>
        </m:r>
        <m:r>
          <m:rPr>
            <m:sty m:val="p"/>
          </m:rPr>
          <m:t>=</m:t>
        </m:r>
        <m:f>
          <m:fPr>
            <m:type m:val="bar"/>
          </m:fPr>
          <m:num>
            <m:r>
              <m:t>1</m:t>
            </m:r>
          </m:num>
          <m:den>
            <m:r>
              <m:t>1</m:t>
            </m:r>
            <m:r>
              <m:rPr>
                <m:sty m:val="p"/>
              </m:rPr>
              <m:t>−</m:t>
            </m:r>
            <m:d>
              <m:dPr>
                <m:begChr m:val="("/>
                <m:endChr m:val=")"/>
                <m:grow/>
              </m:dPr>
              <m:e>
                <m:sSub>
                  <m:e>
                    <m:r>
                      <m:t>s</m:t>
                    </m:r>
                  </m:e>
                  <m:sub>
                    <m:r>
                      <m:t>A</m:t>
                    </m:r>
                  </m:sub>
                </m:sSub>
                <m:r>
                  <m:rPr>
                    <m:sty m:val="p"/>
                  </m:rPr>
                  <m:t>+</m:t>
                </m:r>
                <m:r>
                  <m:t>γ</m:t>
                </m:r>
              </m:e>
            </m:d>
            <m:r>
              <m:t>ξ</m:t>
            </m:r>
          </m:den>
        </m:f>
        <m:r>
          <m:rPr>
            <m:sty m:val="p"/>
          </m:rPr>
          <m:t>,</m:t>
        </m:r>
        <m:r>
          <m:t>  </m:t>
        </m:r>
        <m:r>
          <m:t>γ</m:t>
        </m:r>
        <m:r>
          <m:rPr>
            <m:sty m:val="p"/>
          </m:rPr>
          <m:t>&lt;</m:t>
        </m:r>
        <m:f>
          <m:fPr>
            <m:type m:val="bar"/>
          </m:fPr>
          <m:num>
            <m:r>
              <m:t>1</m:t>
            </m:r>
          </m:num>
          <m:den>
            <m:r>
              <m:t>ξ</m:t>
            </m:r>
          </m:den>
        </m:f>
        <m:r>
          <m:rPr>
            <m:sty m:val="p"/>
          </m:rPr>
          <m:t>−</m:t>
        </m:r>
        <m:sSub>
          <m:e>
            <m:r>
              <m:t>s</m:t>
            </m:r>
          </m:e>
          <m:sub>
            <m:r>
              <m:t>A</m:t>
            </m:r>
          </m:sub>
        </m:sSub>
      </m:oMath>
      <w:r>
        <w:tab/>
      </w:r>
      <w:r>
        <w:rPr>
          <w:rFonts w:ascii="Times New Roman" w:hAnsi="Times New Roman" w:eastAsia="宋体"/>
          <w:sz w:val="24"/>
        </w:rPr>
        <w:t>(6-8)</w:t>
      </w:r>
    </w:p>
    <w:p>
      <w:pPr>
        <w:spacing w:line="360" w:lineRule="auto" w:after="0"/>
        <w:jc w:val="both"/>
      </w:pPr>
      <w:r>
        <w:rPr>
          <w:rFonts w:ascii="宋体" w:hAnsi="宋体" w:eastAsia="宋体"/>
          <w:sz w:val="24"/>
        </w:rPr>
        <w:t>其中，</w:t>
      </w:r>
      <m:oMath>
        <m:r>
          <m:t>M</m:t>
        </m:r>
      </m:oMath>
      <w:r>
        <w:rPr>
          <w:rFonts w:ascii="宋体" w:hAnsi="宋体" w:eastAsia="宋体"/>
          <w:sz w:val="24"/>
        </w:rPr>
        <w:t xml:space="preserve"> 为自增强乘数，衡量外生冲击（回流率改善或接入规模扩张）经闭环放大后的总效应；右端不等式为闭环的稳定条件，违反该条件时系统不存在有限增长率的均衡路径。</w:t>
      </w:r>
    </w:p>
    <w:p>
      <w:pPr>
        <w:spacing w:line="360" w:lineRule="auto" w:after="0"/>
        <w:ind w:firstLineChars="200" w:firstLine="480"/>
        <w:jc w:val="both"/>
      </w:pPr>
      <w:r>
        <w:rPr>
          <w:rFonts w:ascii="宋体" w:hAnsi="宋体" w:eastAsia="宋体"/>
          <w:sz w:val="24"/>
        </w:rPr>
        <w:t xml:space="preserve">式(6-8)可以直接代入本书的估计值加以量化。以第 8 章估计的需求价格弹性绝对值1.34作为 </w:t>
      </w:r>
      <m:oMath>
        <m:r>
          <m:t>ξ</m:t>
        </m:r>
      </m:oMath>
      <w:r>
        <w:rPr>
          <w:rFonts w:ascii="宋体" w:hAnsi="宋体" w:eastAsia="宋体"/>
          <w:sz w:val="24"/>
        </w:rPr>
        <w:t xml:space="preserve"> 的下界、以 6.3.1 节的固定成本份额47.4%作为 </w:t>
      </w:r>
      <m:oMath>
        <m:sSub>
          <m:e>
            <m:r>
              <m:t>s</m:t>
            </m:r>
          </m:e>
          <m:sub>
            <m:r>
              <m:t>A</m:t>
            </m:r>
          </m:sub>
        </m:sSub>
      </m:oMath>
      <w:r>
        <w:rPr>
          <w:rFonts w:ascii="宋体" w:hAnsi="宋体" w:eastAsia="宋体"/>
          <w:sz w:val="24"/>
        </w:rPr>
        <w:t>，则在不考虑持续学习（</w:t>
      </w:r>
      <m:oMath>
        <m:r>
          <m:t>γ</m:t>
        </m:r>
        <m:r>
          <m:rPr>
            <m:sty m:val="p"/>
          </m:rPr>
          <m:t>=</m:t>
        </m:r>
        <m:r>
          <m:t>0</m:t>
        </m:r>
      </m:oMath>
      <w:r>
        <w:rPr>
          <w:rFonts w:ascii="宋体" w:hAnsi="宋体" w:eastAsia="宋体"/>
          <w:sz w:val="24"/>
        </w:rPr>
        <w:t xml:space="preserve">）的情形下，自增强乘数已达2.74——仅规模复用与需求响应的相互强化，就足以把外生改善放大近三倍。稳定条件要求 </w:t>
      </w:r>
      <m:oMath>
        <m:r>
          <m:t>γ</m:t>
        </m:r>
        <m:r>
          <m:rPr>
            <m:sty m:val="p"/>
          </m:rPr>
          <m:t>&lt;</m:t>
        </m:r>
        <m:r>
          <m:t>0.272</m:t>
        </m:r>
      </m:oMath>
      <w:r>
        <w:rPr>
          <w:rFonts w:ascii="宋体" w:hAnsi="宋体" w:eastAsia="宋体"/>
          <w:sz w:val="24"/>
        </w:rPr>
        <w:t>：一旦持续学习的弹性超过这一临界值，闭环将不存在有限增长率的均衡，模型将预测爆炸式扩张。现实中约束这一发散的力量有三：算力供给的物理上限、场景渗透的饱和上限，以及高质量语料的耗竭。三者共同把爆炸式路径拉回到有限增长。</w:t>
      </w:r>
    </w:p>
    <w:p>
      <w:pPr>
        <w:spacing w:line="360" w:lineRule="auto" w:after="0"/>
        <w:ind w:firstLineChars="200" w:firstLine="480"/>
        <w:jc w:val="both"/>
      </w:pPr>
      <w:r>
        <w:rPr>
          <w:rFonts w:ascii="宋体" w:hAnsi="宋体" w:eastAsia="宋体"/>
          <w:sz w:val="24"/>
        </w:rPr>
        <w:t>这一框架为观察到的宏观事实提供了内部一致的解释。我国日均词元调用量由 2024 年初的 1000 亿枚增至 2025 年 6 月底的 30 万亿枚、2025 年底的 100 万亿枚、2026 年 3 月的 140 万亿枚，两年约1400倍——这一量级的扩张不可能由任何单一因素解释，而自增强乘数恰好说明：中等强度的技术改进与制度改善，经由「成本下降—需求扩张—摊销加深—成本再下降」与「使用增加—数据回流—效值提升—使用再增加」两条回路的相互放大，可以产生数量级级别的总效应。需要强调的是，上述四个时点均为国家数据局公开发布的官方锚点，其间各季度点位系本书校准复算插值，官方未单独发布。</w:t>
      </w:r>
    </w:p>
    <w:p>
      <w:pPr>
        <w:spacing w:line="360" w:lineRule="auto" w:after="0"/>
        <w:ind w:firstLineChars="200" w:firstLine="480"/>
        <w:jc w:val="both"/>
      </w:pPr>
      <w:r>
        <w:rPr>
          <w:rFonts w:ascii="宋体" w:hAnsi="宋体" w:eastAsia="宋体"/>
          <w:sz w:val="24"/>
        </w:rPr>
        <w:t xml:space="preserve">自增强机制也把本章与通用目的技术理论接上了。通用目的技术的特征是普适性、持续改进与创新互补性（Bresnahan和Trajtenberg，1995），其宏观效应往往滞后于技术出现（Crafts，2021）；生产率 J 曲线理论则给出了滞后的微观机制——无形资产的积累先于产出的显现（Brynjolfsson等，2019；Brynjolfsson等，2021）；关于测度误差能否解释生产率放缓的争论提醒我们不要过度依赖单一解释（Syverson，2017）；而人工智能对创新过程本身的改造，可能通过「思想生产函数」放大长期增长效应（Aghion等，2019；Korinek，2023）。式(6-7)与式(6-8)可以视为把这些定性判断落在词元这一可观测变量上的一次尝试：本书对智能经济生产函数的估计给出标准词元流量的产出弹性 </w:t>
      </w:r>
      <m:oMath>
        <m:sSub>
          <m:e>
            <m:r>
              <m:t>α</m:t>
            </m:r>
          </m:e>
          <m:sub>
            <m:r>
              <m:t>T</m:t>
            </m:r>
          </m:sub>
        </m:sSub>
      </m:oMath>
      <w:r>
        <w:rPr>
          <w:rFonts w:ascii="宋体" w:hAnsi="宋体" w:eastAsia="宋体"/>
          <w:sz w:val="24"/>
        </w:rPr>
        <w:t>＝0.108，2026 年词元流量对产出增长的直接贡献为0.34个百分点、占实际增长率的6.8%，而 2024 年这两个数字分别仅为0.06个百分点与1.2%——贡献在两年内提升约5.7倍，正是自增强机制在增长核算口径下的投影。</w:t>
      </w:r>
    </w:p>
    <w:p>
      <w:pPr>
        <w:keepNext/>
        <w:spacing w:before="160" w:after="120" w:line="360" w:lineRule="auto"/>
        <w:outlineLvl w:val="1"/>
      </w:pPr>
      <w:r>
        <w:rPr>
          <w:rFonts w:ascii="黑体" w:hAnsi="黑体" w:eastAsia="黑体"/>
          <w:sz w:val="28"/>
        </w:rPr>
        <w:t>6.4  场景依赖性的实证刻画：价值实现的离散与折算的边界</w:t>
      </w:r>
    </w:p>
    <w:p>
      <w:pPr>
        <w:keepNext/>
        <w:spacing w:before="160" w:after="120" w:line="360" w:lineRule="auto"/>
        <w:outlineLvl w:val="2"/>
      </w:pPr>
      <w:r>
        <w:rPr>
          <w:rFonts w:ascii="黑体" w:hAnsi="黑体" w:eastAsia="黑体"/>
          <w:sz w:val="24"/>
        </w:rPr>
        <w:t>6.4.1  场景价值密度的测算与结构</w:t>
      </w:r>
    </w:p>
    <w:p>
      <w:pPr>
        <w:spacing w:line="360" w:lineRule="auto" w:after="0"/>
        <w:ind w:firstLineChars="200" w:firstLine="480"/>
        <w:jc w:val="both"/>
      </w:pPr>
      <w:r>
        <w:rPr>
          <w:rFonts w:ascii="宋体" w:hAnsi="宋体" w:eastAsia="宋体"/>
          <w:sz w:val="24"/>
        </w:rPr>
        <w:t xml:space="preserve">价值实现的核心变量是场景价值密度 </w:t>
      </w:r>
      <m:oMath>
        <m:sSub>
          <m:e>
            <m:r>
              <m:t>u</m:t>
            </m:r>
          </m:e>
          <m:sub>
            <m:r>
              <m:t>j</m:t>
            </m:r>
          </m:sub>
        </m:sSub>
      </m:oMath>
      <w:r>
        <w:rPr>
          <w:rFonts w:ascii="宋体" w:hAnsi="宋体" w:eastAsia="宋体"/>
          <w:sz w:val="24"/>
        </w:rPr>
        <w:t>，即单位标准词元在某一场景中创造的毛使用价值。本书按八类典型应用场景对其加以测算，测算口径是：以场景中被词元替代或增强的人类认知劳动的市场价值为基准，按任务达成度折算到单位标准词元，得到以元每万标准词元表示的价值密度。为使不同场景之间可比，测算统一以完成同等任务所需的标准词元量为分母，从而剔除了因模型档位不同造成的用量差异。表6.1 报告测算结果与由式(6-3)导出的价值实现结构。</w:t>
      </w:r>
    </w:p>
    <w:p>
      <w:pPr>
        <w:keepNext/>
        <w:spacing w:before="160" w:after="40"/>
        <w:jc w:val="center"/>
      </w:pPr>
      <w:r>
        <w:rPr>
          <w:rFonts w:ascii="黑体" w:hAnsi="黑体" w:eastAsia="黑体"/>
          <w:sz w:val="21"/>
        </w:rPr>
        <w:t>表6.1  八类应用场景的标准词元价值密度与价值实现结构</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应用场景</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价值密度（元／万 STE）</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相对最低场景（倍）</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价值杠杆倍数</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可占有份额（%）</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价值密度的主导来源</w:t>
            </w:r>
          </w:p>
        </w:tc>
      </w:tr>
      <w:tr>
        <w:tc>
          <w:tcPr>
            <w:tcW w:type="dxa" w:w="1417"/>
            <w:vAlign w:val="center"/>
          </w:tcPr>
          <w:p>
            <w:pPr>
              <w:spacing w:line="240" w:lineRule="auto" w:after="20" w:before="20"/>
              <w:jc w:val="left"/>
            </w:pPr>
            <w:r/>
            <w:r>
              <w:rPr>
                <w:rFonts w:ascii="宋体" w:hAnsi="宋体" w:eastAsia="宋体"/>
                <w:sz w:val="21"/>
              </w:rPr>
              <w:t>科研分析</w:t>
            </w:r>
          </w:p>
        </w:tc>
        <w:tc>
          <w:tcPr>
            <w:tcW w:type="dxa" w:w="1417"/>
            <w:vAlign w:val="center"/>
          </w:tcPr>
          <w:p>
            <w:pPr>
              <w:spacing w:line="240" w:lineRule="auto" w:after="20" w:before="20"/>
              <w:jc w:val="center"/>
            </w:pPr>
            <w:r/>
            <w:r>
              <w:rPr>
                <w:rFonts w:ascii="宋体" w:hAnsi="宋体" w:eastAsia="宋体"/>
                <w:sz w:val="21"/>
              </w:rPr>
              <w:t>11.3</w:t>
            </w:r>
          </w:p>
        </w:tc>
        <w:tc>
          <w:tcPr>
            <w:tcW w:type="dxa" w:w="1417"/>
            <w:vAlign w:val="center"/>
          </w:tcPr>
          <w:p>
            <w:pPr>
              <w:spacing w:line="240" w:lineRule="auto" w:after="20" w:before="20"/>
              <w:jc w:val="center"/>
            </w:pPr>
            <w:r/>
            <w:r>
              <w:rPr>
                <w:rFonts w:ascii="宋体" w:hAnsi="宋体" w:eastAsia="宋体"/>
                <w:sz w:val="21"/>
              </w:rPr>
              <w:t>5.95</w:t>
            </w:r>
          </w:p>
        </w:tc>
        <w:tc>
          <w:tcPr>
            <w:tcW w:type="dxa" w:w="1417"/>
            <w:vAlign w:val="center"/>
          </w:tcPr>
          <w:p>
            <w:pPr>
              <w:spacing w:line="240" w:lineRule="auto" w:after="20" w:before="20"/>
              <w:jc w:val="center"/>
            </w:pPr>
            <w:r/>
            <w:r>
              <w:rPr>
                <w:rFonts w:ascii="宋体" w:hAnsi="宋体" w:eastAsia="宋体"/>
                <w:sz w:val="21"/>
              </w:rPr>
              <w:t>583</w:t>
            </w:r>
          </w:p>
        </w:tc>
        <w:tc>
          <w:tcPr>
            <w:tcW w:type="dxa" w:w="1417"/>
            <w:vAlign w:val="center"/>
          </w:tcPr>
          <w:p>
            <w:pPr>
              <w:spacing w:line="240" w:lineRule="auto" w:after="20" w:before="20"/>
              <w:jc w:val="center"/>
            </w:pPr>
            <w:r/>
            <w:r>
              <w:rPr>
                <w:rFonts w:ascii="宋体" w:hAnsi="宋体" w:eastAsia="宋体"/>
                <w:sz w:val="21"/>
              </w:rPr>
              <w:t>0.17</w:t>
            </w:r>
          </w:p>
        </w:tc>
        <w:tc>
          <w:tcPr>
            <w:tcW w:type="dxa" w:w="1417"/>
            <w:vAlign w:val="center"/>
          </w:tcPr>
          <w:p>
            <w:pPr>
              <w:spacing w:line="240" w:lineRule="auto" w:after="20" w:before="20"/>
              <w:jc w:val="left"/>
            </w:pPr>
            <w:r/>
            <w:r>
              <w:rPr>
                <w:rFonts w:ascii="宋体" w:hAnsi="宋体" w:eastAsia="宋体"/>
                <w:sz w:val="21"/>
              </w:rPr>
              <w:t>高阶推理链条长，所替代的专家劳动稀缺</w:t>
            </w:r>
          </w:p>
        </w:tc>
      </w:tr>
      <w:tr>
        <w:tc>
          <w:tcPr>
            <w:tcW w:type="dxa" w:w="1417"/>
            <w:vAlign w:val="center"/>
          </w:tcPr>
          <w:p>
            <w:pPr>
              <w:spacing w:line="240" w:lineRule="auto" w:after="20" w:before="20"/>
              <w:jc w:val="left"/>
            </w:pPr>
            <w:r/>
            <w:r>
              <w:rPr>
                <w:rFonts w:ascii="宋体" w:hAnsi="宋体" w:eastAsia="宋体"/>
                <w:sz w:val="21"/>
              </w:rPr>
              <w:t>合规审查</w:t>
            </w:r>
          </w:p>
        </w:tc>
        <w:tc>
          <w:tcPr>
            <w:tcW w:type="dxa" w:w="1417"/>
            <w:vAlign w:val="center"/>
          </w:tcPr>
          <w:p>
            <w:pPr>
              <w:spacing w:line="240" w:lineRule="auto" w:after="20" w:before="20"/>
              <w:jc w:val="center"/>
            </w:pPr>
            <w:r/>
            <w:r>
              <w:rPr>
                <w:rFonts w:ascii="宋体" w:hAnsi="宋体" w:eastAsia="宋体"/>
                <w:sz w:val="21"/>
              </w:rPr>
              <w:t>9.1</w:t>
            </w:r>
          </w:p>
        </w:tc>
        <w:tc>
          <w:tcPr>
            <w:tcW w:type="dxa" w:w="1417"/>
            <w:vAlign w:val="center"/>
          </w:tcPr>
          <w:p>
            <w:pPr>
              <w:spacing w:line="240" w:lineRule="auto" w:after="20" w:before="20"/>
              <w:jc w:val="center"/>
            </w:pPr>
            <w:r/>
            <w:r>
              <w:rPr>
                <w:rFonts w:ascii="宋体" w:hAnsi="宋体" w:eastAsia="宋体"/>
                <w:sz w:val="21"/>
              </w:rPr>
              <w:t>4.79</w:t>
            </w:r>
          </w:p>
        </w:tc>
        <w:tc>
          <w:tcPr>
            <w:tcW w:type="dxa" w:w="1417"/>
            <w:vAlign w:val="center"/>
          </w:tcPr>
          <w:p>
            <w:pPr>
              <w:spacing w:line="240" w:lineRule="auto" w:after="20" w:before="20"/>
              <w:jc w:val="center"/>
            </w:pPr>
            <w:r/>
            <w:r>
              <w:rPr>
                <w:rFonts w:ascii="宋体" w:hAnsi="宋体" w:eastAsia="宋体"/>
                <w:sz w:val="21"/>
              </w:rPr>
              <w:t>469</w:t>
            </w:r>
          </w:p>
        </w:tc>
        <w:tc>
          <w:tcPr>
            <w:tcW w:type="dxa" w:w="1417"/>
            <w:vAlign w:val="center"/>
          </w:tcPr>
          <w:p>
            <w:pPr>
              <w:spacing w:line="240" w:lineRule="auto" w:after="20" w:before="20"/>
              <w:jc w:val="center"/>
            </w:pPr>
            <w:r/>
            <w:r>
              <w:rPr>
                <w:rFonts w:ascii="宋体" w:hAnsi="宋体" w:eastAsia="宋体"/>
                <w:sz w:val="21"/>
              </w:rPr>
              <w:t>0.21</w:t>
            </w:r>
          </w:p>
        </w:tc>
        <w:tc>
          <w:tcPr>
            <w:tcW w:type="dxa" w:w="1417"/>
            <w:vAlign w:val="center"/>
          </w:tcPr>
          <w:p>
            <w:pPr>
              <w:spacing w:line="240" w:lineRule="auto" w:after="20" w:before="20"/>
              <w:jc w:val="left"/>
            </w:pPr>
            <w:r/>
            <w:r>
              <w:rPr>
                <w:rFonts w:ascii="宋体" w:hAnsi="宋体" w:eastAsia="宋体"/>
                <w:sz w:val="21"/>
              </w:rPr>
              <w:t>错判代价高，产出承载责任成本</w:t>
            </w:r>
          </w:p>
        </w:tc>
      </w:tr>
      <w:tr>
        <w:tc>
          <w:tcPr>
            <w:tcW w:type="dxa" w:w="1417"/>
            <w:vAlign w:val="center"/>
          </w:tcPr>
          <w:p>
            <w:pPr>
              <w:spacing w:line="240" w:lineRule="auto" w:after="20" w:before="20"/>
              <w:jc w:val="left"/>
            </w:pPr>
            <w:r/>
            <w:r>
              <w:rPr>
                <w:rFonts w:ascii="宋体" w:hAnsi="宋体" w:eastAsia="宋体"/>
                <w:sz w:val="21"/>
              </w:rPr>
              <w:t>代码生成</w:t>
            </w:r>
          </w:p>
        </w:tc>
        <w:tc>
          <w:tcPr>
            <w:tcW w:type="dxa" w:w="1417"/>
            <w:vAlign w:val="center"/>
          </w:tcPr>
          <w:p>
            <w:pPr>
              <w:spacing w:line="240" w:lineRule="auto" w:after="20" w:before="20"/>
              <w:jc w:val="center"/>
            </w:pPr>
            <w:r/>
            <w:r>
              <w:rPr>
                <w:rFonts w:ascii="宋体" w:hAnsi="宋体" w:eastAsia="宋体"/>
                <w:sz w:val="21"/>
              </w:rPr>
              <w:t>8.6</w:t>
            </w:r>
          </w:p>
        </w:tc>
        <w:tc>
          <w:tcPr>
            <w:tcW w:type="dxa" w:w="1417"/>
            <w:vAlign w:val="center"/>
          </w:tcPr>
          <w:p>
            <w:pPr>
              <w:spacing w:line="240" w:lineRule="auto" w:after="20" w:before="20"/>
              <w:jc w:val="center"/>
            </w:pPr>
            <w:r/>
            <w:r>
              <w:rPr>
                <w:rFonts w:ascii="宋体" w:hAnsi="宋体" w:eastAsia="宋体"/>
                <w:sz w:val="21"/>
              </w:rPr>
              <w:t>4.53</w:t>
            </w:r>
          </w:p>
        </w:tc>
        <w:tc>
          <w:tcPr>
            <w:tcW w:type="dxa" w:w="1417"/>
            <w:vAlign w:val="center"/>
          </w:tcPr>
          <w:p>
            <w:pPr>
              <w:spacing w:line="240" w:lineRule="auto" w:after="20" w:before="20"/>
              <w:jc w:val="center"/>
            </w:pPr>
            <w:r/>
            <w:r>
              <w:rPr>
                <w:rFonts w:ascii="宋体" w:hAnsi="宋体" w:eastAsia="宋体"/>
                <w:sz w:val="21"/>
              </w:rPr>
              <w:t>443</w:t>
            </w:r>
          </w:p>
        </w:tc>
        <w:tc>
          <w:tcPr>
            <w:tcW w:type="dxa" w:w="1417"/>
            <w:vAlign w:val="center"/>
          </w:tcPr>
          <w:p>
            <w:pPr>
              <w:spacing w:line="240" w:lineRule="auto" w:after="20" w:before="20"/>
              <w:jc w:val="center"/>
            </w:pPr>
            <w:r/>
            <w:r>
              <w:rPr>
                <w:rFonts w:ascii="宋体" w:hAnsi="宋体" w:eastAsia="宋体"/>
                <w:sz w:val="21"/>
              </w:rPr>
              <w:t>0.23</w:t>
            </w:r>
          </w:p>
        </w:tc>
        <w:tc>
          <w:tcPr>
            <w:tcW w:type="dxa" w:w="1417"/>
            <w:vAlign w:val="center"/>
          </w:tcPr>
          <w:p>
            <w:pPr>
              <w:spacing w:line="240" w:lineRule="auto" w:after="20" w:before="20"/>
              <w:jc w:val="left"/>
            </w:pPr>
            <w:r/>
            <w:r>
              <w:rPr>
                <w:rFonts w:ascii="宋体" w:hAnsi="宋体" w:eastAsia="宋体"/>
                <w:sz w:val="21"/>
              </w:rPr>
              <w:t>产出可直接验收并进入生产系统</w:t>
            </w:r>
          </w:p>
        </w:tc>
      </w:tr>
      <w:tr>
        <w:tc>
          <w:tcPr>
            <w:tcW w:type="dxa" w:w="1417"/>
            <w:vAlign w:val="center"/>
          </w:tcPr>
          <w:p>
            <w:pPr>
              <w:spacing w:line="240" w:lineRule="auto" w:after="20" w:before="20"/>
              <w:jc w:val="left"/>
            </w:pPr>
            <w:r/>
            <w:r>
              <w:rPr>
                <w:rFonts w:ascii="宋体" w:hAnsi="宋体" w:eastAsia="宋体"/>
                <w:sz w:val="21"/>
              </w:rPr>
              <w:t>智能设计</w:t>
            </w:r>
          </w:p>
        </w:tc>
        <w:tc>
          <w:tcPr>
            <w:tcW w:type="dxa" w:w="1417"/>
            <w:vAlign w:val="center"/>
          </w:tcPr>
          <w:p>
            <w:pPr>
              <w:spacing w:line="240" w:lineRule="auto" w:after="20" w:before="20"/>
              <w:jc w:val="center"/>
            </w:pPr>
            <w:r/>
            <w:r>
              <w:rPr>
                <w:rFonts w:ascii="宋体" w:hAnsi="宋体" w:eastAsia="宋体"/>
                <w:sz w:val="21"/>
              </w:rPr>
              <w:t>7.2</w:t>
            </w:r>
          </w:p>
        </w:tc>
        <w:tc>
          <w:tcPr>
            <w:tcW w:type="dxa" w:w="1417"/>
            <w:vAlign w:val="center"/>
          </w:tcPr>
          <w:p>
            <w:pPr>
              <w:spacing w:line="240" w:lineRule="auto" w:after="20" w:before="20"/>
              <w:jc w:val="center"/>
            </w:pPr>
            <w:r/>
            <w:r>
              <w:rPr>
                <w:rFonts w:ascii="宋体" w:hAnsi="宋体" w:eastAsia="宋体"/>
                <w:sz w:val="21"/>
              </w:rPr>
              <w:t>3.79</w:t>
            </w:r>
          </w:p>
        </w:tc>
        <w:tc>
          <w:tcPr>
            <w:tcW w:type="dxa" w:w="1417"/>
            <w:vAlign w:val="center"/>
          </w:tcPr>
          <w:p>
            <w:pPr>
              <w:spacing w:line="240" w:lineRule="auto" w:after="20" w:before="20"/>
              <w:jc w:val="center"/>
            </w:pPr>
            <w:r/>
            <w:r>
              <w:rPr>
                <w:rFonts w:ascii="宋体" w:hAnsi="宋体" w:eastAsia="宋体"/>
                <w:sz w:val="21"/>
              </w:rPr>
              <w:t>371</w:t>
            </w:r>
          </w:p>
        </w:tc>
        <w:tc>
          <w:tcPr>
            <w:tcW w:type="dxa" w:w="1417"/>
            <w:vAlign w:val="center"/>
          </w:tcPr>
          <w:p>
            <w:pPr>
              <w:spacing w:line="240" w:lineRule="auto" w:after="20" w:before="20"/>
              <w:jc w:val="center"/>
            </w:pPr>
            <w:r/>
            <w:r>
              <w:rPr>
                <w:rFonts w:ascii="宋体" w:hAnsi="宋体" w:eastAsia="宋体"/>
                <w:sz w:val="21"/>
              </w:rPr>
              <w:t>0.27</w:t>
            </w:r>
          </w:p>
        </w:tc>
        <w:tc>
          <w:tcPr>
            <w:tcW w:type="dxa" w:w="1417"/>
            <w:vAlign w:val="center"/>
          </w:tcPr>
          <w:p>
            <w:pPr>
              <w:spacing w:line="240" w:lineRule="auto" w:after="20" w:before="20"/>
              <w:jc w:val="left"/>
            </w:pPr>
            <w:r/>
            <w:r>
              <w:rPr>
                <w:rFonts w:ascii="宋体" w:hAnsi="宋体" w:eastAsia="宋体"/>
                <w:sz w:val="21"/>
              </w:rPr>
              <w:t>方案空间大，迭代次数决定产出质量</w:t>
            </w:r>
          </w:p>
        </w:tc>
      </w:tr>
      <w:tr>
        <w:tc>
          <w:tcPr>
            <w:tcW w:type="dxa" w:w="1417"/>
            <w:vAlign w:val="center"/>
          </w:tcPr>
          <w:p>
            <w:pPr>
              <w:spacing w:line="240" w:lineRule="auto" w:after="20" w:before="20"/>
              <w:jc w:val="left"/>
            </w:pPr>
            <w:r/>
            <w:r>
              <w:rPr>
                <w:rFonts w:ascii="宋体" w:hAnsi="宋体" w:eastAsia="宋体"/>
                <w:sz w:val="21"/>
              </w:rPr>
              <w:t>质检与识别</w:t>
            </w:r>
          </w:p>
        </w:tc>
        <w:tc>
          <w:tcPr>
            <w:tcW w:type="dxa" w:w="1417"/>
            <w:vAlign w:val="center"/>
          </w:tcPr>
          <w:p>
            <w:pPr>
              <w:spacing w:line="240" w:lineRule="auto" w:after="20" w:before="20"/>
              <w:jc w:val="center"/>
            </w:pPr>
            <w:r/>
            <w:r>
              <w:rPr>
                <w:rFonts w:ascii="宋体" w:hAnsi="宋体" w:eastAsia="宋体"/>
                <w:sz w:val="21"/>
              </w:rPr>
              <w:t>6.4</w:t>
            </w:r>
          </w:p>
        </w:tc>
        <w:tc>
          <w:tcPr>
            <w:tcW w:type="dxa" w:w="1417"/>
            <w:vAlign w:val="center"/>
          </w:tcPr>
          <w:p>
            <w:pPr>
              <w:spacing w:line="240" w:lineRule="auto" w:after="20" w:before="20"/>
              <w:jc w:val="center"/>
            </w:pPr>
            <w:r/>
            <w:r>
              <w:rPr>
                <w:rFonts w:ascii="宋体" w:hAnsi="宋体" w:eastAsia="宋体"/>
                <w:sz w:val="21"/>
              </w:rPr>
              <w:t>3.37</w:t>
            </w:r>
          </w:p>
        </w:tc>
        <w:tc>
          <w:tcPr>
            <w:tcW w:type="dxa" w:w="1417"/>
            <w:vAlign w:val="center"/>
          </w:tcPr>
          <w:p>
            <w:pPr>
              <w:spacing w:line="240" w:lineRule="auto" w:after="20" w:before="20"/>
              <w:jc w:val="center"/>
            </w:pPr>
            <w:r/>
            <w:r>
              <w:rPr>
                <w:rFonts w:ascii="宋体" w:hAnsi="宋体" w:eastAsia="宋体"/>
                <w:sz w:val="21"/>
              </w:rPr>
              <w:t>330</w:t>
            </w:r>
          </w:p>
        </w:tc>
        <w:tc>
          <w:tcPr>
            <w:tcW w:type="dxa" w:w="1417"/>
            <w:vAlign w:val="center"/>
          </w:tcPr>
          <w:p>
            <w:pPr>
              <w:spacing w:line="240" w:lineRule="auto" w:after="20" w:before="20"/>
              <w:jc w:val="center"/>
            </w:pPr>
            <w:r/>
            <w:r>
              <w:rPr>
                <w:rFonts w:ascii="宋体" w:hAnsi="宋体" w:eastAsia="宋体"/>
                <w:sz w:val="21"/>
              </w:rPr>
              <w:t>0.30</w:t>
            </w:r>
          </w:p>
        </w:tc>
        <w:tc>
          <w:tcPr>
            <w:tcW w:type="dxa" w:w="1417"/>
            <w:vAlign w:val="center"/>
          </w:tcPr>
          <w:p>
            <w:pPr>
              <w:spacing w:line="240" w:lineRule="auto" w:after="20" w:before="20"/>
              <w:jc w:val="left"/>
            </w:pPr>
            <w:r/>
            <w:r>
              <w:rPr>
                <w:rFonts w:ascii="宋体" w:hAnsi="宋体" w:eastAsia="宋体"/>
                <w:sz w:val="21"/>
              </w:rPr>
              <w:t>多模态实时处理，替代密集人工巡检</w:t>
            </w:r>
          </w:p>
        </w:tc>
      </w:tr>
      <w:tr>
        <w:tc>
          <w:tcPr>
            <w:tcW w:type="dxa" w:w="1417"/>
            <w:vAlign w:val="center"/>
          </w:tcPr>
          <w:p>
            <w:pPr>
              <w:spacing w:line="240" w:lineRule="auto" w:after="20" w:before="20"/>
              <w:jc w:val="left"/>
            </w:pPr>
            <w:r/>
            <w:r>
              <w:rPr>
                <w:rFonts w:ascii="宋体" w:hAnsi="宋体" w:eastAsia="宋体"/>
                <w:sz w:val="21"/>
              </w:rPr>
              <w:t>知识问答</w:t>
            </w:r>
          </w:p>
        </w:tc>
        <w:tc>
          <w:tcPr>
            <w:tcW w:type="dxa" w:w="1417"/>
            <w:vAlign w:val="center"/>
          </w:tcPr>
          <w:p>
            <w:pPr>
              <w:spacing w:line="240" w:lineRule="auto" w:after="20" w:before="20"/>
              <w:jc w:val="center"/>
            </w:pPr>
            <w:r/>
            <w:r>
              <w:rPr>
                <w:rFonts w:ascii="宋体" w:hAnsi="宋体" w:eastAsia="宋体"/>
                <w:sz w:val="21"/>
              </w:rPr>
              <w:t>2.4</w:t>
            </w:r>
          </w:p>
        </w:tc>
        <w:tc>
          <w:tcPr>
            <w:tcW w:type="dxa" w:w="1417"/>
            <w:vAlign w:val="center"/>
          </w:tcPr>
          <w:p>
            <w:pPr>
              <w:spacing w:line="240" w:lineRule="auto" w:after="20" w:before="20"/>
              <w:jc w:val="center"/>
            </w:pPr>
            <w:r/>
            <w:r>
              <w:rPr>
                <w:rFonts w:ascii="宋体" w:hAnsi="宋体" w:eastAsia="宋体"/>
                <w:sz w:val="21"/>
              </w:rPr>
              <w:t>1.26</w:t>
            </w:r>
          </w:p>
        </w:tc>
        <w:tc>
          <w:tcPr>
            <w:tcW w:type="dxa" w:w="1417"/>
            <w:vAlign w:val="center"/>
          </w:tcPr>
          <w:p>
            <w:pPr>
              <w:spacing w:line="240" w:lineRule="auto" w:after="20" w:before="20"/>
              <w:jc w:val="center"/>
            </w:pPr>
            <w:r/>
            <w:r>
              <w:rPr>
                <w:rFonts w:ascii="宋体" w:hAnsi="宋体" w:eastAsia="宋体"/>
                <w:sz w:val="21"/>
              </w:rPr>
              <w:t>124</w:t>
            </w:r>
          </w:p>
        </w:tc>
        <w:tc>
          <w:tcPr>
            <w:tcW w:type="dxa" w:w="1417"/>
            <w:vAlign w:val="center"/>
          </w:tcPr>
          <w:p>
            <w:pPr>
              <w:spacing w:line="240" w:lineRule="auto" w:after="20" w:before="20"/>
              <w:jc w:val="center"/>
            </w:pPr>
            <w:r/>
            <w:r>
              <w:rPr>
                <w:rFonts w:ascii="宋体" w:hAnsi="宋体" w:eastAsia="宋体"/>
                <w:sz w:val="21"/>
              </w:rPr>
              <w:t>0.81</w:t>
            </w:r>
          </w:p>
        </w:tc>
        <w:tc>
          <w:tcPr>
            <w:tcW w:type="dxa" w:w="1417"/>
            <w:vAlign w:val="center"/>
          </w:tcPr>
          <w:p>
            <w:pPr>
              <w:spacing w:line="240" w:lineRule="auto" w:after="20" w:before="20"/>
              <w:jc w:val="left"/>
            </w:pPr>
            <w:r/>
            <w:r>
              <w:rPr>
                <w:rFonts w:ascii="宋体" w:hAnsi="宋体" w:eastAsia="宋体"/>
                <w:sz w:val="21"/>
              </w:rPr>
              <w:t>低阶检索为主，人工替代品充裕</w:t>
            </w:r>
          </w:p>
        </w:tc>
      </w:tr>
      <w:tr>
        <w:tc>
          <w:tcPr>
            <w:tcW w:type="dxa" w:w="1417"/>
            <w:vAlign w:val="center"/>
          </w:tcPr>
          <w:p>
            <w:pPr>
              <w:spacing w:line="240" w:lineRule="auto" w:after="20" w:before="20"/>
              <w:jc w:val="left"/>
            </w:pPr>
            <w:r/>
            <w:r>
              <w:rPr>
                <w:rFonts w:ascii="宋体" w:hAnsi="宋体" w:eastAsia="宋体"/>
                <w:sz w:val="21"/>
              </w:rPr>
              <w:t>客服对话</w:t>
            </w:r>
          </w:p>
        </w:tc>
        <w:tc>
          <w:tcPr>
            <w:tcW w:type="dxa" w:w="1417"/>
            <w:vAlign w:val="center"/>
          </w:tcPr>
          <w:p>
            <w:pPr>
              <w:spacing w:line="240" w:lineRule="auto" w:after="20" w:before="20"/>
              <w:jc w:val="center"/>
            </w:pPr>
            <w:r/>
            <w:r>
              <w:rPr>
                <w:rFonts w:ascii="宋体" w:hAnsi="宋体" w:eastAsia="宋体"/>
                <w:sz w:val="21"/>
              </w:rPr>
              <w:t>2.1</w:t>
            </w:r>
          </w:p>
        </w:tc>
        <w:tc>
          <w:tcPr>
            <w:tcW w:type="dxa" w:w="1417"/>
            <w:vAlign w:val="center"/>
          </w:tcPr>
          <w:p>
            <w:pPr>
              <w:spacing w:line="240" w:lineRule="auto" w:after="20" w:before="20"/>
              <w:jc w:val="center"/>
            </w:pPr>
            <w:r/>
            <w:r>
              <w:rPr>
                <w:rFonts w:ascii="宋体" w:hAnsi="宋体" w:eastAsia="宋体"/>
                <w:sz w:val="21"/>
              </w:rPr>
              <w:t>1.11</w:t>
            </w:r>
          </w:p>
        </w:tc>
        <w:tc>
          <w:tcPr>
            <w:tcW w:type="dxa" w:w="1417"/>
            <w:vAlign w:val="center"/>
          </w:tcPr>
          <w:p>
            <w:pPr>
              <w:spacing w:line="240" w:lineRule="auto" w:after="20" w:before="20"/>
              <w:jc w:val="center"/>
            </w:pPr>
            <w:r/>
            <w:r>
              <w:rPr>
                <w:rFonts w:ascii="宋体" w:hAnsi="宋体" w:eastAsia="宋体"/>
                <w:sz w:val="21"/>
              </w:rPr>
              <w:t>108</w:t>
            </w:r>
          </w:p>
        </w:tc>
        <w:tc>
          <w:tcPr>
            <w:tcW w:type="dxa" w:w="1417"/>
            <w:vAlign w:val="center"/>
          </w:tcPr>
          <w:p>
            <w:pPr>
              <w:spacing w:line="240" w:lineRule="auto" w:after="20" w:before="20"/>
              <w:jc w:val="center"/>
            </w:pPr>
            <w:r/>
            <w:r>
              <w:rPr>
                <w:rFonts w:ascii="宋体" w:hAnsi="宋体" w:eastAsia="宋体"/>
                <w:sz w:val="21"/>
              </w:rPr>
              <w:t>0.92</w:t>
            </w:r>
          </w:p>
        </w:tc>
        <w:tc>
          <w:tcPr>
            <w:tcW w:type="dxa" w:w="1417"/>
            <w:vAlign w:val="center"/>
          </w:tcPr>
          <w:p>
            <w:pPr>
              <w:spacing w:line="240" w:lineRule="auto" w:after="20" w:before="20"/>
              <w:jc w:val="left"/>
            </w:pPr>
            <w:r/>
            <w:r>
              <w:rPr>
                <w:rFonts w:ascii="宋体" w:hAnsi="宋体" w:eastAsia="宋体"/>
                <w:sz w:val="21"/>
              </w:rPr>
              <w:t>流程标准化，所替代人力单价低</w:t>
            </w:r>
          </w:p>
        </w:tc>
      </w:tr>
      <w:tr>
        <w:tc>
          <w:tcPr>
            <w:tcW w:type="dxa" w:w="1417"/>
            <w:vAlign w:val="center"/>
          </w:tcPr>
          <w:p>
            <w:pPr>
              <w:spacing w:line="240" w:lineRule="auto" w:after="20" w:before="20"/>
              <w:jc w:val="left"/>
            </w:pPr>
            <w:r/>
            <w:r>
              <w:rPr>
                <w:rFonts w:ascii="宋体" w:hAnsi="宋体" w:eastAsia="宋体"/>
                <w:sz w:val="21"/>
              </w:rPr>
              <w:t>文案生成</w:t>
            </w:r>
          </w:p>
        </w:tc>
        <w:tc>
          <w:tcPr>
            <w:tcW w:type="dxa" w:w="1417"/>
            <w:vAlign w:val="center"/>
          </w:tcPr>
          <w:p>
            <w:pPr>
              <w:spacing w:line="240" w:lineRule="auto" w:after="20" w:before="20"/>
              <w:jc w:val="center"/>
            </w:pPr>
            <w:r/>
            <w:r>
              <w:rPr>
                <w:rFonts w:ascii="宋体" w:hAnsi="宋体" w:eastAsia="宋体"/>
                <w:sz w:val="21"/>
              </w:rPr>
              <w:t>1.9</w:t>
            </w:r>
          </w:p>
        </w:tc>
        <w:tc>
          <w:tcPr>
            <w:tcW w:type="dxa" w:w="1417"/>
            <w:vAlign w:val="center"/>
          </w:tcPr>
          <w:p>
            <w:pPr>
              <w:spacing w:line="240" w:lineRule="auto" w:after="20" w:before="20"/>
              <w:jc w:val="center"/>
            </w:pPr>
            <w:r/>
            <w:r>
              <w:rPr>
                <w:rFonts w:ascii="宋体" w:hAnsi="宋体" w:eastAsia="宋体"/>
                <w:sz w:val="21"/>
              </w:rPr>
              <w:t>1.00</w:t>
            </w:r>
          </w:p>
        </w:tc>
        <w:tc>
          <w:tcPr>
            <w:tcW w:type="dxa" w:w="1417"/>
            <w:vAlign w:val="center"/>
          </w:tcPr>
          <w:p>
            <w:pPr>
              <w:spacing w:line="240" w:lineRule="auto" w:after="20" w:before="20"/>
              <w:jc w:val="center"/>
            </w:pPr>
            <w:r/>
            <w:r>
              <w:rPr>
                <w:rFonts w:ascii="宋体" w:hAnsi="宋体" w:eastAsia="宋体"/>
                <w:sz w:val="21"/>
              </w:rPr>
              <w:t>98</w:t>
            </w:r>
          </w:p>
        </w:tc>
        <w:tc>
          <w:tcPr>
            <w:tcW w:type="dxa" w:w="1417"/>
            <w:vAlign w:val="center"/>
          </w:tcPr>
          <w:p>
            <w:pPr>
              <w:spacing w:line="240" w:lineRule="auto" w:after="20" w:before="20"/>
              <w:jc w:val="center"/>
            </w:pPr>
            <w:r/>
            <w:r>
              <w:rPr>
                <w:rFonts w:ascii="宋体" w:hAnsi="宋体" w:eastAsia="宋体"/>
                <w:sz w:val="21"/>
              </w:rPr>
              <w:t>1.02</w:t>
            </w:r>
          </w:p>
        </w:tc>
        <w:tc>
          <w:tcPr>
            <w:tcW w:type="dxa" w:w="1417"/>
            <w:vAlign w:val="center"/>
          </w:tcPr>
          <w:p>
            <w:pPr>
              <w:spacing w:line="240" w:lineRule="auto" w:after="20" w:before="20"/>
              <w:jc w:val="left"/>
            </w:pPr>
            <w:r/>
            <w:r>
              <w:rPr>
                <w:rFonts w:ascii="宋体" w:hAnsi="宋体" w:eastAsia="宋体"/>
                <w:sz w:val="21"/>
              </w:rPr>
              <w:t>产出同质化，单件成品价值低</w:t>
            </w:r>
          </w:p>
        </w:tc>
      </w:tr>
    </w:tbl>
    <w:p>
      <w:pPr>
        <w:spacing w:after="200" w:line="240" w:lineRule="auto"/>
        <w:jc w:val="both"/>
      </w:pPr>
      <w:r>
        <w:rPr>
          <w:rFonts w:ascii="宋体" w:hAnsi="宋体" w:eastAsia="宋体"/>
          <w:sz w:val="18"/>
        </w:rPr>
        <w:t>注：价值密度为单位标准词元在该场景创造的毛使用价值，未扣除应用侧自身的人力与系统投入，因而价值杠杆倍数是上限而非净收益率；价值杠杆倍数与可占有份额按支出加权的标准词元均价1.94元／百万标准词元计算，该均价由六档位市场价与用量份额复算得到（式6-3）。数据来源：作者校准复算。</w:t>
      </w:r>
    </w:p>
    <w:p>
      <w:pPr>
        <w:spacing w:line="360" w:lineRule="auto" w:after="0"/>
        <w:ind w:firstLineChars="200" w:firstLine="480"/>
        <w:jc w:val="both"/>
      </w:pPr>
      <w:r>
        <w:rPr>
          <w:rFonts w:ascii="宋体" w:hAnsi="宋体" w:eastAsia="宋体"/>
          <w:sz w:val="24"/>
        </w:rPr>
        <w:t>表6.1 显示，八类场景的价值密度由文案生成的1.9元／万标准词元升至科研分析的11.3元／万标准词元，跨度5.9倍。排序本身传递了清晰的经济逻辑：价值密度高的场景，其共同特征是所替代的认知劳动稀缺、单位时间价值高、错误代价大或产出可直接进入生产系统；价值密度低的场景则以标准化、可替代性强、单件成品价值低为特征。这与任务层面的职业暴露度研究结论一致——人工智能对不同任务的影响并非均匀分布，而是高度集中于特定的认知任务类型（Felten等，2021；Eloundou等，2024；Autor，2024）。</w:t>
      </w:r>
    </w:p>
    <w:p>
      <w:pPr>
        <w:spacing w:line="360" w:lineRule="auto" w:after="0"/>
        <w:ind w:firstLineChars="200" w:firstLine="480"/>
        <w:jc w:val="both"/>
      </w:pPr>
      <w:r>
        <w:rPr>
          <w:rFonts w:ascii="宋体" w:hAnsi="宋体" w:eastAsia="宋体"/>
          <w:sz w:val="24"/>
        </w:rPr>
        <w:t>更值得注意的是价值杠杆倍数一列。按支出加权的标准词元均价1.94元／百万标准词元计，同一笔词元支出在科研分析场景撬动的毛价值约为其583倍，在文案生成场景约为98倍；反过来说，词元服务方在所创造的毛价值中可占有的份额介于0.17%与1.02%之间，绝大部分价值以使用方剩余的形式留在应用侧。必须谨慎解读这一结果：</w:t>
      </w:r>
      <m:oMath>
        <m:sSub>
          <m:e>
            <m:r>
              <m:t>u</m:t>
            </m:r>
          </m:e>
          <m:sub>
            <m:r>
              <m:t>j</m:t>
            </m:r>
          </m:sub>
        </m:sSub>
      </m:oMath>
      <w:r>
        <w:rPr>
          <w:rFonts w:ascii="宋体" w:hAnsi="宋体" w:eastAsia="宋体"/>
          <w:sz w:val="24"/>
        </w:rPr>
        <w:t xml:space="preserve"> 是毛使用价值，未扣除应用侧自身的人力、系统与流程改造投入，因此杠杆倍数是上限而非净收益率。但即便打上足够大的折扣，结论的方向依然稳健——词元定价所争夺的，只是其所参与创造的价值中很小的一块。这一判断对理解词元价格的快速下行至关重要：在可占有份额本就极低的条件下，价格竞争对使用方决策的影响远小于效值与匹配质量的影响，「唯低价」的竞争策略在价值论上是缺乏依据的。</w:t>
      </w:r>
    </w:p>
    <w:p>
      <w:pPr>
        <w:spacing w:line="360" w:lineRule="auto" w:after="0"/>
        <w:ind w:firstLineChars="200" w:firstLine="480"/>
        <w:jc w:val="both"/>
      </w:pPr>
      <w:r>
        <w:rPr>
          <w:rFonts w:ascii="宋体" w:hAnsi="宋体" w:eastAsia="宋体"/>
          <w:sz w:val="24"/>
        </w:rPr>
        <w:t>如图6.3所示，把八类场景的价值密度按降序排列，可以更直观地看到实现价值的层级结构。</w:t>
      </w:r>
    </w:p>
    <w:p>
      <w:pPr>
        <w:spacing w:before="120" w:after="40"/>
        <w:jc w:val="center"/>
      </w:pPr>
      <w:r>
        <w:drawing>
          <wp:inline xmlns:a="http://schemas.openxmlformats.org/drawingml/2006/main" xmlns:pic="http://schemas.openxmlformats.org/drawingml/2006/picture">
            <wp:extent cx="4860000" cy="2895834"/>
            <wp:docPr id="19" name="Picture 19"/>
            <wp:cNvGraphicFramePr>
              <a:graphicFrameLocks noChangeAspect="1"/>
            </wp:cNvGraphicFramePr>
            <a:graphic>
              <a:graphicData uri="http://schemas.openxmlformats.org/drawingml/2006/picture">
                <pic:pic>
                  <pic:nvPicPr>
                    <pic:cNvPr id="0" name="fig6_3.png"/>
                    <pic:cNvPicPr/>
                  </pic:nvPicPr>
                  <pic:blipFill>
                    <a:blip r:embed="rId27"/>
                    <a:stretch>
                      <a:fillRect/>
                    </a:stretch>
                  </pic:blipFill>
                  <pic:spPr>
                    <a:xfrm>
                      <a:off x="0" y="0"/>
                      <a:ext cx="4860000" cy="2895834"/>
                    </a:xfrm>
                    <a:prstGeom prst="rect"/>
                  </pic:spPr>
                </pic:pic>
              </a:graphicData>
            </a:graphic>
          </wp:inline>
        </w:drawing>
      </w:r>
    </w:p>
    <w:p>
      <w:pPr>
        <w:keepNext w:val="0"/>
        <w:spacing w:after="40"/>
        <w:jc w:val="center"/>
      </w:pPr>
      <w:r>
        <w:rPr>
          <w:rFonts w:ascii="黑体" w:hAnsi="黑体" w:eastAsia="黑体"/>
          <w:sz w:val="21"/>
        </w:rPr>
        <w:t>图6.3  同量标准词元在不同场景的价值离散</w:t>
      </w:r>
    </w:p>
    <w:p>
      <w:pPr>
        <w:spacing w:after="200" w:line="240" w:lineRule="auto"/>
        <w:jc w:val="both"/>
      </w:pPr>
      <w:r>
        <w:rPr>
          <w:rFonts w:ascii="宋体" w:hAnsi="宋体" w:eastAsia="宋体"/>
          <w:sz w:val="18"/>
        </w:rPr>
        <w:t>注：横轴为单位标准词元在该场景创造的毛使用价值，口径与表6.1 一致，未扣除应用侧自身投入；八类场景为本书按任务性质归并的典型场景，非任何平台的官方分类。数据来源：作者校准复算。</w:t>
      </w:r>
    </w:p>
    <w:p>
      <w:pPr>
        <w:spacing w:line="360" w:lineRule="auto" w:after="0"/>
        <w:ind w:firstLineChars="200" w:firstLine="480"/>
        <w:jc w:val="both"/>
      </w:pPr>
      <w:r>
        <w:rPr>
          <w:rFonts w:ascii="宋体" w:hAnsi="宋体" w:eastAsia="宋体"/>
          <w:sz w:val="24"/>
        </w:rPr>
        <w:t>图6.3 呈现出明显的两段式结构：科研分析、合规审查、代码生成、智能设计、质检与识别五类场景构成高价值密度段，知识问答、客服对话、文案生成三类构成低价值密度段，两段之间存在一个陡降。这一形态的政策含义在于：以调用量为唯一考核指标的补贴与统计安排，会系统性地偏向低价值密度场景——因为同样的补贴额度在低密度场景可以换来更多的词元计数。若要引导词元流向高价值密度场景，考核口径就必须从物理词元计数转向标准词元流量，并进一步引入场景权重。这正是本书主张把词元纳入统计与补贴核定时必须先完成折算的现实理由。</w:t>
      </w:r>
    </w:p>
    <w:p>
      <w:pPr>
        <w:spacing w:line="360" w:lineRule="auto" w:after="0"/>
        <w:ind w:firstLineChars="200" w:firstLine="480"/>
        <w:jc w:val="both"/>
      </w:pPr>
      <w:r>
        <w:rPr>
          <w:rFonts w:ascii="宋体" w:hAnsi="宋体" w:eastAsia="宋体"/>
          <w:sz w:val="24"/>
        </w:rPr>
        <w:t>测算结果的稳健性需要说明三点。第一，价值密度的绝对水平依赖于对被替代认知劳动市场价值的估计，这一估计受行业工资水平与任务分解粒度的影响，因而绝对值存在不确定性；但相对排序取决于任务性质而非工资水平，对参数取值不敏感。第二，测算以标准词元为分母，已剔除档位差异造成的用量差异，因而所反映的确实是场景本身的价值密度，而非「高档位模型服务高价值场景」的选择效应。第三，八类场景是按任务性质归并的典型场景，不对应任何平台的官方分类；实际业务中的复合场景往往横跨多类，其价值密度介于对应各类之间。就本书的目的而言，重要的不是任一场景的精确数值，而是离散的量级——只要跨场景价值密度存在数倍差异这一事实成立，本章的边界命题即告成立。</w:t>
      </w:r>
    </w:p>
    <w:p>
      <w:pPr>
        <w:keepNext/>
        <w:spacing w:before="160" w:after="120" w:line="360" w:lineRule="auto"/>
        <w:outlineLvl w:val="2"/>
      </w:pPr>
      <w:r>
        <w:rPr>
          <w:rFonts w:ascii="黑体" w:hAnsi="黑体" w:eastAsia="黑体"/>
          <w:sz w:val="24"/>
        </w:rPr>
        <w:t>6.4.2  两重离散与效值折算的适用边界</w:t>
      </w:r>
    </w:p>
    <w:p>
      <w:pPr>
        <w:spacing w:line="360" w:lineRule="auto" w:after="0"/>
        <w:ind w:firstLineChars="200" w:firstLine="480"/>
        <w:jc w:val="both"/>
      </w:pPr>
      <w:r>
        <w:rPr>
          <w:rFonts w:ascii="宋体" w:hAnsi="宋体" w:eastAsia="宋体"/>
          <w:sz w:val="24"/>
        </w:rPr>
        <w:t xml:space="preserve">现在可以回答本章开篇提出的关键问题：效值折算究竟消除了什么、没有消除什么？答案是：折算消除的是供给侧的档位离散，没有也不可能消除需求侧的场景离散。原因在于效值系数 </w:t>
      </w:r>
      <m:oMath>
        <m:sSub>
          <m:e>
            <m:r>
              <m:t>η</m:t>
            </m:r>
          </m:e>
          <m:sub>
            <m:r>
              <m:t>m</m:t>
            </m:r>
          </m:sub>
        </m:sSub>
      </m:oMath>
      <w:r>
        <w:rPr>
          <w:rFonts w:ascii="宋体" w:hAnsi="宋体" w:eastAsia="宋体"/>
          <w:sz w:val="24"/>
        </w:rPr>
        <w:t xml:space="preserve"> 是按档位定义的，其中的场景效用维度 </w:t>
      </w:r>
      <m:oMath>
        <m:sSub>
          <m:e>
            <m:r>
              <m:t>S</m:t>
            </m:r>
          </m:e>
          <m:sub>
            <m:r>
              <m:t>m</m:t>
            </m:r>
          </m:sub>
        </m:sSub>
      </m:oMath>
      <w:r>
        <w:rPr>
          <w:rFonts w:ascii="宋体" w:hAnsi="宋体" w:eastAsia="宋体"/>
          <w:sz w:val="24"/>
        </w:rPr>
        <w:t xml:space="preserve"> 反映的是该档位词元在其典型任务组合下的平均场景适配能力，而不是某一具体场景的价值密度。同一档位的词元投放到不同场景，</w:t>
      </w:r>
      <m:oMath>
        <m:sSub>
          <m:e>
            <m:r>
              <m:t>η</m:t>
            </m:r>
          </m:e>
          <m:sub>
            <m:r>
              <m:t>m</m:t>
            </m:r>
          </m:sub>
        </m:sSub>
      </m:oMath>
      <w:r>
        <w:rPr>
          <w:rFonts w:ascii="宋体" w:hAnsi="宋体" w:eastAsia="宋体"/>
          <w:sz w:val="24"/>
        </w:rPr>
        <w:t xml:space="preserve"> 完全相同，实现价值却相差数倍。这不是折算体系的缺陷，而是价值创造与价值实现分属不同环节的必然结果。</w:t>
      </w:r>
    </w:p>
    <w:p>
      <w:pPr>
        <w:spacing w:line="360" w:lineRule="auto" w:after="0"/>
        <w:ind w:firstLineChars="200" w:firstLine="480"/>
        <w:jc w:val="both"/>
      </w:pPr>
      <w:r>
        <w:rPr>
          <w:rFonts w:ascii="宋体" w:hAnsi="宋体" w:eastAsia="宋体"/>
          <w:sz w:val="24"/>
        </w:rPr>
        <w:t xml:space="preserve">两重离散的合成可以形式化。设效值系数与场景价值密度在统计上相互独立，则单位物理词元实现价值 </w:t>
      </w:r>
      <m:oMath>
        <m:sSub>
          <m:e>
            <m:r>
              <m:t>V</m:t>
            </m:r>
          </m:e>
          <m:sub>
            <m:r>
              <m:t>m</m:t>
            </m:r>
            <m:r>
              <m:t>j</m:t>
            </m:r>
          </m:sub>
        </m:sSub>
        <m:r>
          <m:rPr>
            <m:sty m:val="p"/>
          </m:rPr>
          <m:t>=</m:t>
        </m:r>
        <m:sSub>
          <m:e>
            <m:r>
              <m:t>η</m:t>
            </m:r>
          </m:e>
          <m:sub>
            <m:r>
              <m:t>m</m:t>
            </m:r>
          </m:sub>
        </m:sSub>
        <m:sSub>
          <m:e>
            <m:r>
              <m:t>u</m:t>
            </m:r>
          </m:e>
          <m:sub>
            <m:r>
              <m:t>j</m:t>
            </m:r>
          </m:sub>
        </m:sSub>
      </m:oMath>
      <w:r>
        <w:rPr>
          <w:rFonts w:ascii="宋体" w:hAnsi="宋体" w:eastAsia="宋体"/>
          <w:sz w:val="24"/>
        </w:rPr>
        <w:t xml:space="preserve"> 的变异系数满足式(6-9)。</w:t>
      </w:r>
    </w:p>
    <w:p>
      <w:pPr>
        <w:tabs>
          <w:tab w:pos="4252" w:val="center"/>
          <w:tab w:pos="8504" w:val="right"/>
        </w:tabs>
        <w:spacing w:line="360" w:lineRule="auto" w:before="80" w:after="80"/>
      </w:pPr>
      <w:r>
        <w:tab/>
      </w:r>
      <m:oMath>
        <m:sSub>
          <m:e>
            <m:r>
              <m:rPr>
                <m:sty m:val="p"/>
              </m:rPr>
              <m:t>C</m:t>
            </m:r>
            <m:r>
              <m:rPr>
                <m:sty m:val="p"/>
              </m:rPr>
              <m:t>V</m:t>
            </m:r>
          </m:e>
          <m:sub>
            <m:r>
              <m:t>V</m:t>
            </m:r>
          </m:sub>
        </m:sSub>
        <m:r>
          <m:rPr>
            <m:sty m:val="p"/>
          </m:rPr>
          <m:t>=</m:t>
        </m:r>
        <m:rad>
          <m:radPr>
            <m:degHide m:val="on"/>
          </m:radPr>
          <m:deg/>
          <m:e>
            <m:d>
              <m:dPr>
                <m:begChr m:val="("/>
                <m:endChr m:val=")"/>
                <m:grow/>
              </m:dPr>
              <m:e>
                <m:r>
                  <m:t>1</m:t>
                </m:r>
                <m:r>
                  <m:rPr>
                    <m:sty m:val="p"/>
                  </m:rPr>
                  <m:t>+</m:t>
                </m:r>
                <m:sSubSup>
                  <m:e>
                    <m:r>
                      <m:rPr>
                        <m:sty m:val="p"/>
                      </m:rPr>
                      <m:t>C</m:t>
                    </m:r>
                    <m:r>
                      <m:rPr>
                        <m:sty m:val="p"/>
                      </m:rPr>
                      <m:t>V</m:t>
                    </m:r>
                  </m:e>
                  <m:sub>
                    <m:r>
                      <m:t>η</m:t>
                    </m:r>
                  </m:sub>
                  <m:sup>
                    <m:r>
                      <m:t>2</m:t>
                    </m:r>
                  </m:sup>
                </m:sSubSup>
              </m:e>
            </m:d>
            <m:d>
              <m:dPr>
                <m:begChr m:val="("/>
                <m:endChr m:val=")"/>
                <m:grow/>
              </m:dPr>
              <m:e>
                <m:r>
                  <m:t>1</m:t>
                </m:r>
                <m:r>
                  <m:rPr>
                    <m:sty m:val="p"/>
                  </m:rPr>
                  <m:t>+</m:t>
                </m:r>
                <m:sSubSup>
                  <m:e>
                    <m:r>
                      <m:rPr>
                        <m:sty m:val="p"/>
                      </m:rPr>
                      <m:t>C</m:t>
                    </m:r>
                    <m:r>
                      <m:rPr>
                        <m:sty m:val="p"/>
                      </m:rPr>
                      <m:t>V</m:t>
                    </m:r>
                  </m:e>
                  <m:sub>
                    <m:r>
                      <m:t>u</m:t>
                    </m:r>
                  </m:sub>
                  <m:sup>
                    <m:r>
                      <m:t>2</m:t>
                    </m:r>
                  </m:sup>
                </m:sSubSup>
              </m:e>
            </m:d>
            <m:r>
              <m:rPr>
                <m:sty m:val="p"/>
              </m:rPr>
              <m:t>−</m:t>
            </m:r>
            <m:r>
              <m:t>1</m:t>
            </m:r>
          </m:e>
        </m:rad>
      </m:oMath>
      <w:r>
        <w:tab/>
      </w:r>
      <w:r>
        <w:rPr>
          <w:rFonts w:ascii="Times New Roman" w:hAnsi="Times New Roman" w:eastAsia="宋体"/>
          <w:sz w:val="24"/>
        </w:rPr>
        <w:t>(6-9)</w:t>
      </w:r>
    </w:p>
    <w:p>
      <w:pPr>
        <w:spacing w:line="360" w:lineRule="auto" w:after="0"/>
        <w:jc w:val="both"/>
      </w:pPr>
      <w:r>
        <w:rPr>
          <w:rFonts w:ascii="宋体" w:hAnsi="宋体" w:eastAsia="宋体"/>
          <w:sz w:val="24"/>
        </w:rPr>
        <w:t>其中，</w:t>
      </w:r>
      <m:oMath>
        <m:sSub>
          <m:e>
            <m:r>
              <m:rPr>
                <m:sty m:val="p"/>
              </m:rPr>
              <m:t>C</m:t>
            </m:r>
            <m:r>
              <m:rPr>
                <m:sty m:val="p"/>
              </m:rPr>
              <m:t>V</m:t>
            </m:r>
          </m:e>
          <m:sub>
            <m:r>
              <m:t>η</m:t>
            </m:r>
          </m:sub>
        </m:sSub>
      </m:oMath>
      <w:r>
        <w:rPr>
          <w:rFonts w:ascii="宋体" w:hAnsi="宋体" w:eastAsia="宋体"/>
          <w:sz w:val="24"/>
        </w:rPr>
        <w:t xml:space="preserve"> 为六档位效值系数的变异系数，</w:t>
      </w:r>
      <m:oMath>
        <m:sSub>
          <m:e>
            <m:r>
              <m:rPr>
                <m:sty m:val="p"/>
              </m:rPr>
              <m:t>C</m:t>
            </m:r>
            <m:r>
              <m:rPr>
                <m:sty m:val="p"/>
              </m:rPr>
              <m:t>V</m:t>
            </m:r>
          </m:e>
          <m:sub>
            <m:r>
              <m:t>u</m:t>
            </m:r>
          </m:sub>
        </m:sSub>
      </m:oMath>
      <w:r>
        <w:rPr>
          <w:rFonts w:ascii="宋体" w:hAnsi="宋体" w:eastAsia="宋体"/>
          <w:sz w:val="24"/>
        </w:rPr>
        <w:t xml:space="preserve"> 为八类场景价值密度的变异系数，</w:t>
      </w:r>
      <m:oMath>
        <m:sSub>
          <m:e>
            <m:r>
              <m:rPr>
                <m:sty m:val="p"/>
              </m:rPr>
              <m:t>C</m:t>
            </m:r>
            <m:r>
              <m:rPr>
                <m:sty m:val="p"/>
              </m:rPr>
              <m:t>V</m:t>
            </m:r>
          </m:e>
          <m:sub>
            <m:r>
              <m:t>V</m:t>
            </m:r>
          </m:sub>
        </m:sSub>
      </m:oMath>
      <w:r>
        <w:rPr>
          <w:rFonts w:ascii="宋体" w:hAnsi="宋体" w:eastAsia="宋体"/>
          <w:sz w:val="24"/>
        </w:rPr>
        <w:t xml:space="preserve"> 为二者交叉组合后实现价值的变异系数。该式表明，两重离散在乘性结构下不是简单相加，而是相互放大。</w:t>
      </w:r>
    </w:p>
    <w:p>
      <w:pPr>
        <w:spacing w:line="360" w:lineRule="auto" w:after="0"/>
        <w:ind w:firstLineChars="200" w:firstLine="480"/>
        <w:jc w:val="both"/>
      </w:pPr>
      <w:r>
        <w:rPr>
          <w:rFonts w:ascii="宋体" w:hAnsi="宋体" w:eastAsia="宋体"/>
          <w:sz w:val="24"/>
        </w:rPr>
        <w:t>表6.2 按四种口径报告离散度的对照结果，据此可以清楚地界定折算的适用边界。</w:t>
      </w:r>
    </w:p>
    <w:p>
      <w:pPr>
        <w:keepNext/>
        <w:spacing w:before="160" w:after="40"/>
        <w:jc w:val="center"/>
      </w:pPr>
      <w:r>
        <w:rPr>
          <w:rFonts w:ascii="黑体" w:hAnsi="黑体" w:eastAsia="黑体"/>
          <w:sz w:val="21"/>
        </w:rPr>
        <w:t>表6.2  四种口径下词元价值离散度的对照</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离散度口径</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变异系数</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基尼系数</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极差倍数</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离散的经济来源</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效值折算的作用</w:t>
            </w:r>
          </w:p>
        </w:tc>
      </w:tr>
      <w:tr>
        <w:tc>
          <w:tcPr>
            <w:tcW w:type="dxa" w:w="1417"/>
            <w:vAlign w:val="center"/>
          </w:tcPr>
          <w:p>
            <w:pPr>
              <w:spacing w:line="240" w:lineRule="auto" w:after="20" w:before="20"/>
              <w:jc w:val="left"/>
            </w:pPr>
            <w:r/>
            <w:r>
              <w:rPr>
                <w:rFonts w:ascii="宋体" w:hAnsi="宋体" w:eastAsia="宋体"/>
                <w:sz w:val="21"/>
              </w:rPr>
              <w:t>单位物理词元价格（跨六档位）</w:t>
            </w:r>
          </w:p>
        </w:tc>
        <w:tc>
          <w:tcPr>
            <w:tcW w:type="dxa" w:w="1417"/>
            <w:vAlign w:val="center"/>
          </w:tcPr>
          <w:p>
            <w:pPr>
              <w:spacing w:line="240" w:lineRule="auto" w:after="20" w:before="20"/>
              <w:jc w:val="center"/>
            </w:pPr>
            <w:r/>
            <w:r>
              <w:rPr>
                <w:rFonts w:ascii="宋体" w:hAnsi="宋体" w:eastAsia="宋体"/>
                <w:sz w:val="21"/>
              </w:rPr>
              <w:t>0.92</w:t>
            </w:r>
          </w:p>
        </w:tc>
        <w:tc>
          <w:tcPr>
            <w:tcW w:type="dxa" w:w="1417"/>
            <w:vAlign w:val="center"/>
          </w:tcPr>
          <w:p>
            <w:pPr>
              <w:spacing w:line="240" w:lineRule="auto" w:after="20" w:before="20"/>
              <w:jc w:val="center"/>
            </w:pPr>
            <w:r/>
            <w:r>
              <w:rPr>
                <w:rFonts w:ascii="宋体" w:hAnsi="宋体" w:eastAsia="宋体"/>
                <w:sz w:val="21"/>
              </w:rPr>
              <w:t>0.47</w:t>
            </w:r>
          </w:p>
        </w:tc>
        <w:tc>
          <w:tcPr>
            <w:tcW w:type="dxa" w:w="1417"/>
            <w:vAlign w:val="center"/>
          </w:tcPr>
          <w:p>
            <w:pPr>
              <w:spacing w:line="240" w:lineRule="auto" w:after="20" w:before="20"/>
              <w:jc w:val="center"/>
            </w:pPr>
            <w:r/>
            <w:r>
              <w:rPr>
                <w:rFonts w:ascii="宋体" w:hAnsi="宋体" w:eastAsia="宋体"/>
                <w:sz w:val="21"/>
              </w:rPr>
              <w:t>12.6</w:t>
            </w:r>
          </w:p>
        </w:tc>
        <w:tc>
          <w:tcPr>
            <w:tcW w:type="dxa" w:w="1417"/>
            <w:vAlign w:val="center"/>
          </w:tcPr>
          <w:p>
            <w:pPr>
              <w:spacing w:line="240" w:lineRule="auto" w:after="20" w:before="20"/>
              <w:jc w:val="left"/>
            </w:pPr>
            <w:r/>
            <w:r>
              <w:rPr>
                <w:rFonts w:ascii="宋体" w:hAnsi="宋体" w:eastAsia="宋体"/>
                <w:sz w:val="21"/>
              </w:rPr>
              <w:t>模型能力与生产成本的档位差异</w:t>
            </w:r>
          </w:p>
        </w:tc>
        <w:tc>
          <w:tcPr>
            <w:tcW w:type="dxa" w:w="1417"/>
            <w:vAlign w:val="center"/>
          </w:tcPr>
          <w:p>
            <w:pPr>
              <w:spacing w:line="240" w:lineRule="auto" w:after="20" w:before="20"/>
              <w:jc w:val="center"/>
            </w:pPr>
            <w:r/>
            <w:r>
              <w:rPr>
                <w:rFonts w:ascii="宋体" w:hAnsi="宋体" w:eastAsia="宋体"/>
                <w:sz w:val="21"/>
              </w:rPr>
              <w:t>可基本消除</w:t>
            </w:r>
          </w:p>
        </w:tc>
      </w:tr>
      <w:tr>
        <w:tc>
          <w:tcPr>
            <w:tcW w:type="dxa" w:w="1417"/>
            <w:vAlign w:val="center"/>
          </w:tcPr>
          <w:p>
            <w:pPr>
              <w:spacing w:line="240" w:lineRule="auto" w:after="20" w:before="20"/>
              <w:jc w:val="left"/>
            </w:pPr>
            <w:r/>
            <w:r>
              <w:rPr>
                <w:rFonts w:ascii="宋体" w:hAnsi="宋体" w:eastAsia="宋体"/>
                <w:sz w:val="21"/>
              </w:rPr>
              <w:t>单位标准词元价格（跨六档位）</w:t>
            </w:r>
          </w:p>
        </w:tc>
        <w:tc>
          <w:tcPr>
            <w:tcW w:type="dxa" w:w="1417"/>
            <w:vAlign w:val="center"/>
          </w:tcPr>
          <w:p>
            <w:pPr>
              <w:spacing w:line="240" w:lineRule="auto" w:after="20" w:before="20"/>
              <w:jc w:val="center"/>
            </w:pPr>
            <w:r/>
            <w:r>
              <w:rPr>
                <w:rFonts w:ascii="宋体" w:hAnsi="宋体" w:eastAsia="宋体"/>
                <w:sz w:val="21"/>
              </w:rPr>
              <w:t>0.31</w:t>
            </w:r>
          </w:p>
        </w:tc>
        <w:tc>
          <w:tcPr>
            <w:tcW w:type="dxa" w:w="1417"/>
            <w:vAlign w:val="center"/>
          </w:tcPr>
          <w:p>
            <w:pPr>
              <w:spacing w:line="240" w:lineRule="auto" w:after="20" w:before="20"/>
              <w:jc w:val="center"/>
            </w:pPr>
            <w:r/>
            <w:r>
              <w:rPr>
                <w:rFonts w:ascii="宋体" w:hAnsi="宋体" w:eastAsia="宋体"/>
                <w:sz w:val="21"/>
              </w:rPr>
              <w:t>0.17</w:t>
            </w:r>
          </w:p>
        </w:tc>
        <w:tc>
          <w:tcPr>
            <w:tcW w:type="dxa" w:w="1417"/>
            <w:vAlign w:val="center"/>
          </w:tcPr>
          <w:p>
            <w:pPr>
              <w:spacing w:line="240" w:lineRule="auto" w:after="20" w:before="20"/>
              <w:jc w:val="center"/>
            </w:pPr>
            <w:r/>
            <w:r>
              <w:rPr>
                <w:rFonts w:ascii="宋体" w:hAnsi="宋体" w:eastAsia="宋体"/>
                <w:sz w:val="21"/>
              </w:rPr>
              <w:t>2.4</w:t>
            </w:r>
          </w:p>
        </w:tc>
        <w:tc>
          <w:tcPr>
            <w:tcW w:type="dxa" w:w="1417"/>
            <w:vAlign w:val="center"/>
          </w:tcPr>
          <w:p>
            <w:pPr>
              <w:spacing w:line="240" w:lineRule="auto" w:after="20" w:before="20"/>
              <w:jc w:val="left"/>
            </w:pPr>
            <w:r/>
            <w:r>
              <w:rPr>
                <w:rFonts w:ascii="宋体" w:hAnsi="宋体" w:eastAsia="宋体"/>
                <w:sz w:val="21"/>
              </w:rPr>
              <w:t>运营效率与市场势力的残差</w:t>
            </w:r>
          </w:p>
        </w:tc>
        <w:tc>
          <w:tcPr>
            <w:tcW w:type="dxa" w:w="1417"/>
            <w:vAlign w:val="center"/>
          </w:tcPr>
          <w:p>
            <w:pPr>
              <w:spacing w:line="240" w:lineRule="auto" w:after="20" w:before="20"/>
              <w:jc w:val="center"/>
            </w:pPr>
            <w:r/>
            <w:r>
              <w:rPr>
                <w:rFonts w:ascii="宋体" w:hAnsi="宋体" w:eastAsia="宋体"/>
                <w:sz w:val="21"/>
              </w:rPr>
              <w:t>折算后的剩余</w:t>
            </w:r>
          </w:p>
        </w:tc>
      </w:tr>
      <w:tr>
        <w:tc>
          <w:tcPr>
            <w:tcW w:type="dxa" w:w="1417"/>
            <w:vAlign w:val="center"/>
          </w:tcPr>
          <w:p>
            <w:pPr>
              <w:spacing w:line="240" w:lineRule="auto" w:after="20" w:before="20"/>
              <w:jc w:val="left"/>
            </w:pPr>
            <w:r/>
            <w:r>
              <w:rPr>
                <w:rFonts w:ascii="宋体" w:hAnsi="宋体" w:eastAsia="宋体"/>
                <w:sz w:val="21"/>
              </w:rPr>
              <w:t>单位标准词元的场景价值密度（跨八类场景）</w:t>
            </w:r>
          </w:p>
        </w:tc>
        <w:tc>
          <w:tcPr>
            <w:tcW w:type="dxa" w:w="1417"/>
            <w:vAlign w:val="center"/>
          </w:tcPr>
          <w:p>
            <w:pPr>
              <w:spacing w:line="240" w:lineRule="auto" w:after="20" w:before="20"/>
              <w:jc w:val="center"/>
            </w:pPr>
            <w:r/>
            <w:r>
              <w:rPr>
                <w:rFonts w:ascii="宋体" w:hAnsi="宋体" w:eastAsia="宋体"/>
                <w:sz w:val="21"/>
              </w:rPr>
              <w:t>0.55</w:t>
            </w:r>
          </w:p>
        </w:tc>
        <w:tc>
          <w:tcPr>
            <w:tcW w:type="dxa" w:w="1417"/>
            <w:vAlign w:val="center"/>
          </w:tcPr>
          <w:p>
            <w:pPr>
              <w:spacing w:line="240" w:lineRule="auto" w:after="20" w:before="20"/>
              <w:jc w:val="center"/>
            </w:pPr>
            <w:r/>
            <w:r>
              <w:rPr>
                <w:rFonts w:ascii="宋体" w:hAnsi="宋体" w:eastAsia="宋体"/>
                <w:sz w:val="21"/>
              </w:rPr>
              <w:t>0.31</w:t>
            </w:r>
          </w:p>
        </w:tc>
        <w:tc>
          <w:tcPr>
            <w:tcW w:type="dxa" w:w="1417"/>
            <w:vAlign w:val="center"/>
          </w:tcPr>
          <w:p>
            <w:pPr>
              <w:spacing w:line="240" w:lineRule="auto" w:after="20" w:before="20"/>
              <w:jc w:val="center"/>
            </w:pPr>
            <w:r/>
            <w:r>
              <w:rPr>
                <w:rFonts w:ascii="宋体" w:hAnsi="宋体" w:eastAsia="宋体"/>
                <w:sz w:val="21"/>
              </w:rPr>
              <w:t>5.9</w:t>
            </w:r>
          </w:p>
        </w:tc>
        <w:tc>
          <w:tcPr>
            <w:tcW w:type="dxa" w:w="1417"/>
            <w:vAlign w:val="center"/>
          </w:tcPr>
          <w:p>
            <w:pPr>
              <w:spacing w:line="240" w:lineRule="auto" w:after="20" w:before="20"/>
              <w:jc w:val="left"/>
            </w:pPr>
            <w:r/>
            <w:r>
              <w:rPr>
                <w:rFonts w:ascii="宋体" w:hAnsi="宋体" w:eastAsia="宋体"/>
                <w:sz w:val="21"/>
              </w:rPr>
              <w:t>所替代认知劳动的价值密度差异</w:t>
            </w:r>
          </w:p>
        </w:tc>
        <w:tc>
          <w:tcPr>
            <w:tcW w:type="dxa" w:w="1417"/>
            <w:vAlign w:val="center"/>
          </w:tcPr>
          <w:p>
            <w:pPr>
              <w:spacing w:line="240" w:lineRule="auto" w:after="20" w:before="20"/>
              <w:jc w:val="center"/>
            </w:pPr>
            <w:r/>
            <w:r>
              <w:rPr>
                <w:rFonts w:ascii="宋体" w:hAnsi="宋体" w:eastAsia="宋体"/>
                <w:sz w:val="21"/>
              </w:rPr>
              <w:t>原理上不可消除</w:t>
            </w:r>
          </w:p>
        </w:tc>
      </w:tr>
      <w:tr>
        <w:tc>
          <w:tcPr>
            <w:tcW w:type="dxa" w:w="1417"/>
            <w:vAlign w:val="center"/>
          </w:tcPr>
          <w:p>
            <w:pPr>
              <w:spacing w:line="240" w:lineRule="auto" w:after="20" w:before="20"/>
              <w:jc w:val="left"/>
            </w:pPr>
            <w:r/>
            <w:r>
              <w:rPr>
                <w:rFonts w:ascii="宋体" w:hAnsi="宋体" w:eastAsia="宋体"/>
                <w:sz w:val="21"/>
              </w:rPr>
              <w:t>单位物理词元的实现价值（六档位×八场景）</w:t>
            </w:r>
          </w:p>
        </w:tc>
        <w:tc>
          <w:tcPr>
            <w:tcW w:type="dxa" w:w="1417"/>
            <w:vAlign w:val="center"/>
          </w:tcPr>
          <w:p>
            <w:pPr>
              <w:spacing w:line="240" w:lineRule="auto" w:after="20" w:before="20"/>
              <w:jc w:val="center"/>
            </w:pPr>
            <w:r/>
            <w:r>
              <w:rPr>
                <w:rFonts w:ascii="宋体" w:hAnsi="宋体" w:eastAsia="宋体"/>
                <w:sz w:val="21"/>
              </w:rPr>
              <w:t>0.86</w:t>
            </w:r>
          </w:p>
        </w:tc>
        <w:tc>
          <w:tcPr>
            <w:tcW w:type="dxa" w:w="1417"/>
            <w:vAlign w:val="center"/>
          </w:tcPr>
          <w:p>
            <w:pPr>
              <w:spacing w:line="240" w:lineRule="auto" w:after="20" w:before="20"/>
              <w:jc w:val="center"/>
            </w:pPr>
            <w:r/>
            <w:r>
              <w:rPr>
                <w:rFonts w:ascii="宋体" w:hAnsi="宋体" w:eastAsia="宋体"/>
                <w:sz w:val="21"/>
              </w:rPr>
              <w:t>0.47</w:t>
            </w:r>
          </w:p>
        </w:tc>
        <w:tc>
          <w:tcPr>
            <w:tcW w:type="dxa" w:w="1417"/>
            <w:vAlign w:val="center"/>
          </w:tcPr>
          <w:p>
            <w:pPr>
              <w:spacing w:line="240" w:lineRule="auto" w:after="20" w:before="20"/>
              <w:jc w:val="center"/>
            </w:pPr>
            <w:r/>
            <w:r>
              <w:rPr>
                <w:rFonts w:ascii="宋体" w:hAnsi="宋体" w:eastAsia="宋体"/>
                <w:sz w:val="21"/>
              </w:rPr>
              <w:t>67.0</w:t>
            </w:r>
          </w:p>
        </w:tc>
        <w:tc>
          <w:tcPr>
            <w:tcW w:type="dxa" w:w="1417"/>
            <w:vAlign w:val="center"/>
          </w:tcPr>
          <w:p>
            <w:pPr>
              <w:spacing w:line="240" w:lineRule="auto" w:after="20" w:before="20"/>
              <w:jc w:val="left"/>
            </w:pPr>
            <w:r/>
            <w:r>
              <w:rPr>
                <w:rFonts w:ascii="宋体" w:hAnsi="宋体" w:eastAsia="宋体"/>
                <w:sz w:val="21"/>
              </w:rPr>
              <w:t>供给侧效值与需求侧价值密度的交叉</w:t>
            </w:r>
          </w:p>
        </w:tc>
        <w:tc>
          <w:tcPr>
            <w:tcW w:type="dxa" w:w="1417"/>
            <w:vAlign w:val="center"/>
          </w:tcPr>
          <w:p>
            <w:pPr>
              <w:spacing w:line="240" w:lineRule="auto" w:after="20" w:before="20"/>
              <w:jc w:val="center"/>
            </w:pPr>
            <w:r/>
            <w:r>
              <w:rPr>
                <w:rFonts w:ascii="宋体" w:hAnsi="宋体" w:eastAsia="宋体"/>
                <w:sz w:val="21"/>
              </w:rPr>
              <w:t>仅可消除其中的档位分量</w:t>
            </w:r>
          </w:p>
        </w:tc>
      </w:tr>
    </w:tbl>
    <w:p>
      <w:pPr>
        <w:spacing w:after="200" w:line="240" w:lineRule="auto"/>
        <w:jc w:val="both"/>
      </w:pPr>
      <w:r>
        <w:rPr>
          <w:rFonts w:ascii="宋体" w:hAnsi="宋体" w:eastAsia="宋体"/>
          <w:sz w:val="18"/>
        </w:rPr>
        <w:t>注：前两行取自第5章折算前后单位价格的离散度测算；第三行由本章八类场景价值密度计算；第四行为六档位效值系数与八类场景价值密度的等权交叉组合（共 48 个组合），其变异系数按式(6-9)合成、基尼系数按交叉组合直接计算。变异系数与基尼系数均按总体口径计算，极差倍数为最大值与最小值之比。数据来源：作者校准复算。</w:t>
      </w:r>
    </w:p>
    <w:p>
      <w:pPr>
        <w:spacing w:line="360" w:lineRule="auto" w:after="0"/>
        <w:ind w:firstLineChars="200" w:firstLine="480"/>
        <w:jc w:val="both"/>
      </w:pPr>
      <w:r>
        <w:rPr>
          <w:rFonts w:ascii="宋体" w:hAnsi="宋体" w:eastAsia="宋体"/>
          <w:sz w:val="24"/>
        </w:rPr>
        <w:t>表6.2 的四行构成一条完整的推理链。第一行显示，物理口径下六档位单价的变异系数为0.92、极差12.6倍，词元不可比亦不可加；第二行显示，折算后离散度降至0.31与2.4倍，基尼系数由0.47降至0.17，价格趋近一价定律，说明供给侧的异质性确已被折算吸收。第三行显示，即便全部按标准词元计量，八类场景的价值密度仍有0.55的变异系数与5.9倍的极差——这部分离散完全来自需求侧，折算原理上无法触及。第四行显示，两重离散交叉后，单枚物理词元实现价值的变异系数升至0.86、极差达67倍，远超任一单独口径。</w:t>
      </w:r>
    </w:p>
    <w:p>
      <w:pPr>
        <w:spacing w:line="360" w:lineRule="auto" w:after="0"/>
        <w:ind w:firstLineChars="200" w:firstLine="480"/>
        <w:jc w:val="both"/>
      </w:pPr>
      <w:r>
        <w:rPr>
          <w:rFonts w:ascii="宋体" w:hAnsi="宋体" w:eastAsia="宋体"/>
          <w:sz w:val="24"/>
        </w:rPr>
        <w:t>这一结果对本书的理论体系有三重含义。第一，它界定了标准词元的功能边界：标准词元是价值创造侧的可比计量单位，可以承担价格指数、成本核算与增长核算的分母功能，但不能单独充当价值实现的度量——后者还需要场景维度的信息。第二，它为价格的纵向差异提供了价值论依据：既然同量标准词元在不同场景的实现价值相差数倍，按场景差别定价就不是单纯的市场势力行使，而部分地反映了真实的价值差异，这正是纵向差异化产品定价理论所刻画的情形（Mussa和Rosen，1978；Bhargava和Choudhary，2008），也是版本划分与个性化定价能够改善配置的条件所在（Dubé和Misra，2023）。第三，它提示价格指数的编制必须做质量调整：在产品质量快速变化的市场上，未经调整的价格指数会把质量改善误记为价格下降，特征价格方法正是为此而生（Griliches，1961；Pakes，2003；Erickson和Pakes，2011），数字时代的价格测度还需处理品种更替与新产品偏误（Groshen等，2017；Redding和Weinstein，2020）。本书第 7 章的标准词元价格指数正是沿这一思路构建的。</w:t>
      </w:r>
    </w:p>
    <w:p>
      <w:pPr>
        <w:keepNext/>
        <w:spacing w:before="160" w:after="120" w:line="360" w:lineRule="auto"/>
        <w:outlineLvl w:val="2"/>
      </w:pPr>
      <w:r>
        <w:rPr>
          <w:rFonts w:ascii="黑体" w:hAnsi="黑体" w:eastAsia="黑体"/>
          <w:sz w:val="24"/>
        </w:rPr>
        <w:t>6.4.3  理论定位与制度含义</w:t>
      </w:r>
    </w:p>
    <w:p>
      <w:pPr>
        <w:spacing w:line="360" w:lineRule="auto" w:after="0"/>
        <w:ind w:firstLineChars="200" w:firstLine="480"/>
        <w:jc w:val="both"/>
      </w:pPr>
      <w:r>
        <w:rPr>
          <w:rFonts w:ascii="宋体" w:hAnsi="宋体" w:eastAsia="宋体"/>
          <w:sz w:val="24"/>
        </w:rPr>
        <w:t xml:space="preserve">本章的分析可以归纳为一个三段式命题：词元的价值创造于供给侧的劳动凝结，实现于需求侧的场景转化，增值于二者相互作用形成的自增强闭环。三段之间不是并列关系，而是条件关系——没有创造就没有可实现的对象，没有实现就没有回流的数据，没有回流就没有增值的动力。这一命题把本书的计量地基与后续的定价、配置、核算三块内容连成一体：第 7 章的三层定价结构可以直接读作三段式命题的价格投影，成本底价层对应价值创造、效值溢价层对应折算后的质量梯度、场景租金层对应价值实现的可占有份额；第 9 章的匹配损失可以读作价值实现的效率损失；第 12 章把标准词元流量引入生产函数并估计其产出弹性 </w:t>
      </w:r>
      <m:oMath>
        <m:sSub>
          <m:e>
            <m:r>
              <m:t>α</m:t>
            </m:r>
          </m:e>
          <m:sub>
            <m:r>
              <m:t>T</m:t>
            </m:r>
          </m:sub>
        </m:sSub>
      </m:oMath>
      <w:r>
        <w:rPr>
          <w:rFonts w:ascii="宋体" w:hAnsi="宋体" w:eastAsia="宋体"/>
          <w:sz w:val="24"/>
        </w:rPr>
        <w:t>，则是价值增值在增长核算口径下的检验。</w:t>
      </w:r>
    </w:p>
    <w:p>
      <w:pPr>
        <w:spacing w:line="360" w:lineRule="auto" w:after="0"/>
        <w:ind w:firstLineChars="200" w:firstLine="480"/>
        <w:jc w:val="both"/>
      </w:pPr>
      <w:r>
        <w:rPr>
          <w:rFonts w:ascii="宋体" w:hAnsi="宋体" w:eastAsia="宋体"/>
          <w:sz w:val="24"/>
        </w:rPr>
        <w:t xml:space="preserve">在与既有工作的关系上，需要作一处明确的界定。本书用于折算的 </w:t>
      </w:r>
      <m:oMath>
        <m:d>
          <m:dPr>
            <m:begChr m:val="("/>
            <m:endChr m:val=")"/>
            <m:grow/>
          </m:dPr>
          <m:e>
            <m:r>
              <m:t>P</m:t>
            </m:r>
            <m:r>
              <m:rPr>
                <m:sty m:val="p"/>
              </m:rPr>
              <m:t>,</m:t>
            </m:r>
            <m:r>
              <m:t>R</m:t>
            </m:r>
            <m:r>
              <m:rPr>
                <m:sty m:val="p"/>
              </m:rPr>
              <m:t>,</m:t>
            </m:r>
            <m:r>
              <m:t>S</m:t>
            </m:r>
          </m:e>
        </m:d>
      </m:oMath>
      <w:r>
        <w:rPr>
          <w:rFonts w:ascii="宋体" w:hAnsi="宋体" w:eastAsia="宋体"/>
          <w:sz w:val="24"/>
        </w:rPr>
        <w:t xml:space="preserve"> 三维效值体系是作者自主构建的理论框架，不源自任何机构的既有成果。与之构成对话的真实既有工作有四套，前文 6.2.3 节已逐一列明其发布主体与维度构成：中国信息通信研究院的六维「可信 AI-Token 服务质量评估」与四维「高质量 Token 服务标准体系」、中国工业互联网研究院的五维价值度量体系、清华大学翟季冬团队联合清程极智的三项实测指标。这四套工作的共同特征是多维评价：其产出是若干并列的维度得分或达标基线，例如中国信息通信研究院「词元（Token）服务能力攀登计划」首批企业达成的性能基线为吞吐不低于 55 Token／秒、首 Token 时延不高于 0.9 秒、调用成功率 99.9%。多维评价可以回答「这家服务商好不好」，却无法把异质词元合成为可加总、可计价、可入账的单一当量，因而不能进入价格指数、补贴核定与增长核算。本书的理论增量正在于此：从多维评价推进到当量折算。</w:t>
      </w:r>
    </w:p>
    <w:p>
      <w:pPr>
        <w:spacing w:line="360" w:lineRule="auto" w:after="0"/>
        <w:ind w:firstLineChars="200" w:firstLine="480"/>
        <w:jc w:val="both"/>
      </w:pPr>
      <w:r>
        <w:rPr>
          <w:rFonts w:ascii="宋体" w:hAnsi="宋体" w:eastAsia="宋体"/>
          <w:sz w:val="24"/>
        </w:rPr>
        <w:t>制度层面的含义同样清晰。词元作为计量单位的社会认受性已经建立：全国科学技术名词审定委员会于 2026 年 3 月 25 日发布公告，优先推荐并面向全社会发布试用人工智能领域名词 token 的中文名「词元」，并明确将在常态化审定中结合社会推广应用情况最终确认；同月，国家数据局局长在中国发展高层论坛 2026 年年会上使用并推介这一译名，提出词元「可计量、可定价、可交易」，是智能时代的价值锚点。名称的统一是必要的第一步，但本章的分析表明它远不充分：可计量需要效值折算，可定价需要区分创造与实现，可交易需要解决效值信息不对称。三项要求分别指向计量标准、价格指数与质量披露三类公共品，而这些公共品的供给主体尚未明确。</w:t>
      </w:r>
    </w:p>
    <w:p>
      <w:pPr>
        <w:spacing w:line="360" w:lineRule="auto" w:after="0"/>
        <w:ind w:firstLineChars="200" w:firstLine="480"/>
        <w:jc w:val="both"/>
      </w:pPr>
      <w:r>
        <w:rPr>
          <w:rFonts w:ascii="宋体" w:hAnsi="宋体" w:eastAsia="宋体"/>
          <w:sz w:val="24"/>
        </w:rPr>
        <w:t xml:space="preserve">从价值论的角度看，还有两点需要提请注意。其一，价值实现的绝大部分留在应用侧，意味着以词元服务收入衡量词元经济规模会严重低估其经济意义——数字经济核算中类似的低估问题已被反复讨论（杨仲山和张美慧，2019；许宪春等，2021；蔡跃洲和牛新星，2021），词元经济的核算需要在服务收入之外补充使用侧的价值测度。其二，价值实现依赖于使用方的组织与能力重构，这与人工智能对就业与技能结构影响的研究相互印证：技术的产出效应取决于任务的重新配置而非单纯替代（Acemoglu和Restrepo，2019；Goldfarb等，2023），企业数字化转型对人力资本结构与劳动收入份额的影响也高度依赖于组织调整的深度（肖土盛等，2022；何小钢等，2023），我国的经验研究还显示技术应用对不同技能群体的影响存在显著异质性（王林辉等，2022；王林辉等，2023）。这提示：提升 </w:t>
      </w:r>
      <m:oMath>
        <m:sSub>
          <m:e>
            <m:r>
              <m:t>λ</m:t>
            </m:r>
          </m:e>
          <m:sub>
            <m:r>
              <m:t>j</m:t>
            </m:r>
          </m:sub>
        </m:sSub>
      </m:oMath>
      <w:r>
        <w:rPr>
          <w:rFonts w:ascii="宋体" w:hAnsi="宋体" w:eastAsia="宋体"/>
          <w:sz w:val="24"/>
        </w:rPr>
        <w:t xml:space="preserve"> 的政策抓手不只在供给侧的算力与模型，更在需求侧的能力建设与流程再造——「人工智能＋」行动把应用深化置于核心位置（国务院，2025），正体现了这一判断。</w:t>
      </w:r>
    </w:p>
    <w:p>
      <w:pPr>
        <w:spacing w:line="360" w:lineRule="auto" w:after="0"/>
        <w:ind w:firstLineChars="200" w:firstLine="480"/>
        <w:jc w:val="both"/>
      </w:pPr>
      <w:r>
        <w:rPr>
          <w:rFonts w:ascii="宋体" w:hAnsi="宋体" w:eastAsia="宋体"/>
          <w:sz w:val="24"/>
        </w:rPr>
        <w:t>最后需要指出本章框架在统计制度上的一项直接要求。既然价值创造与价值实现分处不同环节、遵循不同规律，词元经济的统计就不能只设一套指标。合理的安排是「双口径并行」：生产侧以标准词元流量为核心指标，反映价值创造的规模与结构，可直接进入投入产出与增长核算；应用侧以场景加权的实现价值为核心指标，反映价值实现的深度与效率，用于评价政策成效与区域差异。目前的公开统计基本只有前者的雏形——国家数据局发布的日均调用量属于生产侧的物理口径，尚未做效值折算；全国数据资源调查提供了数据要素侧的存量信息（「国家数据局，2026」），「数据要素×」行动与「人工智能＋」行动则给出了场景推进的政策清单（「国家数据局等，2023」；国务院，2025），但缺乏与之配套的价值实现统计。补齐这一缺口，是词元经济从「有数据」走向「可核算」的关键一步，也是本书在第 14 章提出建立标准词元统计制度建议的直接依据。</w:t>
      </w:r>
    </w:p>
    <w:p>
      <w:pPr>
        <w:keepNext/>
        <w:spacing w:before="160" w:after="120" w:line="360" w:lineRule="auto"/>
        <w:outlineLvl w:val="1"/>
      </w:pPr>
      <w:r>
        <w:rPr>
          <w:rFonts w:ascii="黑体" w:hAnsi="黑体" w:eastAsia="黑体"/>
          <w:sz w:val="28"/>
        </w:rPr>
        <w:t>6.5  本章小结</w:t>
      </w:r>
    </w:p>
    <w:p>
      <w:pPr>
        <w:spacing w:line="360" w:lineRule="auto" w:after="0"/>
        <w:ind w:firstLineChars="200" w:firstLine="480"/>
        <w:jc w:val="both"/>
      </w:pPr>
      <w:r>
        <w:rPr>
          <w:rFonts w:ascii="宋体" w:hAnsi="宋体" w:eastAsia="宋体"/>
          <w:sz w:val="24"/>
        </w:rPr>
        <w:t>本章在第 5 章折算体系的基础上，回答了词元的价值从哪里来、在哪里兑现、为何增值三个问题，形成一个「创造—实现—增值」的三段式价值分析框架。在价值创造层面，本章把词元中凝结的劳动分解为前置沉没的数据劳动与算法劳动、与推理同步发生的知识工程劳动，以及即时转移的物化劳动三类时间结构，给出单位物理词元的价值构成式(6-1)与折算后的可加总表达式(6-2)。经验测算表明，六档位每百万物理词元的成本底价极差达18.7倍、变异系数0.733，折算为标准词元口径后极差降至1.66倍、变异系数降至0.176——档位间成本差异的绝大部分是产品差异而非效率差异，若不做折算而直接比较单位成本，将在补贴核定与成本监审中得出方向性错误的结论。</w:t>
      </w:r>
    </w:p>
    <w:p>
      <w:pPr>
        <w:spacing w:line="360" w:lineRule="auto" w:after="0"/>
        <w:ind w:firstLineChars="200" w:firstLine="480"/>
        <w:jc w:val="both"/>
      </w:pPr>
      <w:r>
        <w:rPr>
          <w:rFonts w:ascii="宋体" w:hAnsi="宋体" w:eastAsia="宋体"/>
          <w:sz w:val="24"/>
        </w:rPr>
        <w:t>在价值实现层面，本章提出「生成不等于实现」的基本判断，以式(6-3)刻画场景价值密度、可占有份额与价值杠杆倍数三者的关系，给出价值实现的必要条件；以图6.2 的「生产—推理—应用—反馈—优化」五环节闭环说明需求侧信息如何经反馈回流重新成为供给侧投入，这是词元经济区别于传统产品经济的结构性特征；并识别出阻碍价值实现的三重摩擦——效值认知偏差达0.44的计量摩擦、损失达12%的匹配摩擦，以及以能力缺口为核心的能力摩擦。三重摩擦分别对应统一计量与披露、统一调度与最优匹配、场景服务与能力社会化供给三类制度安排，构成后续章节政策设计的作用点。</w:t>
      </w:r>
    </w:p>
    <w:p>
      <w:pPr>
        <w:spacing w:line="360" w:lineRule="auto" w:after="0"/>
        <w:ind w:firstLineChars="200" w:firstLine="480"/>
        <w:jc w:val="both"/>
      </w:pPr>
      <w:r>
        <w:rPr>
          <w:rFonts w:ascii="宋体" w:hAnsi="宋体" w:eastAsia="宋体"/>
          <w:sz w:val="24"/>
        </w:rPr>
        <w:t>在价值增值层面，本章识别出规模复用、持续学习与网络协同三重来源，分别以式(6-4)至式(6-6)加以刻画，并合成为价值—成本比的增长分解式(6-7)与内生化需求响应后的自增强乘数式(6-8)。测算显示，六档位固定成本份额均值为47.4%，累计产量翻番可使单位标准词元平均成本下降约23.7%；以需求价格弹性绝对值1.34为需求响应弹性，仅规模复用与需求响应的相互强化即可产生2.74倍的自增强乘数，而闭环稳定要求持续学习弹性小于0.272。这一框架为两年约1400倍的调用量扩张提供了内部一致的解释：数量级级别的总效应，来自中等强度改进经双重正反馈回路的连乘放大，而非任何单一因素的突变。</w:t>
      </w:r>
    </w:p>
    <w:p>
      <w:pPr>
        <w:spacing w:line="360" w:lineRule="auto" w:after="0"/>
        <w:ind w:firstLineChars="200" w:firstLine="480"/>
        <w:jc w:val="both"/>
      </w:pPr>
      <w:r>
        <w:rPr>
          <w:rFonts w:ascii="宋体" w:hAnsi="宋体" w:eastAsia="宋体"/>
          <w:sz w:val="24"/>
        </w:rPr>
        <w:t>在实证刻画层面，本章测算了八类应用场景的标准词元价值密度，跨度达5.9倍；按支出加权的标准词元均价计，价值杠杆倍数介于98倍与583倍之间，词元服务方在所创造毛价值中的可占有份额不足1%，绝大部分价值以使用方剩余的形式留在应用侧。更重要的是四种口径的离散度对照所揭示的边界命题：效值折算把跨档位单价的变异系数由0.92压到0.31，却对跨场景价值密度0.55的变异系数无能为力；两重离散交叉后，单枚物理词元实现价值的极差可达67倍。标准词元因此是价值创造侧的可比计量单位，可以承担价格指数、成本核算与增长核算的分母功能，但不能单独充当价值实现的度量。</w:t>
      </w:r>
    </w:p>
    <w:p>
      <w:pPr>
        <w:spacing w:line="360" w:lineRule="auto" w:after="0"/>
        <w:ind w:firstLineChars="200" w:firstLine="480"/>
        <w:jc w:val="both"/>
      </w:pPr>
      <w:r>
        <w:rPr>
          <w:rFonts w:ascii="宋体" w:hAnsi="宋体" w:eastAsia="宋体"/>
          <w:sz w:val="24"/>
        </w:rPr>
        <w:t xml:space="preserve">本章的结论向后续各章输出三项直接结果。其一，三段式价值命题为第 7 章的三层定价结构提供价值论依据：成本底价层对应价值创造、效值溢价层对应折算后的质量梯度、场景租金层对应价值实现的可占有份额，三层不是定价技巧的堆叠，而是价值环节的价格投影。其二，价值实现的三重摩擦为第 9 章的配置分析与第 10 章的机制设计指明了作用点，其中匹配摩擦的价值口径表达即为匹配损失。其三，自增强乘数与式(6-7)的增长分解为第 12 章把标准词元流量引入生产函数、以产出弹性 </w:t>
      </w:r>
      <m:oMath>
        <m:sSub>
          <m:e>
            <m:r>
              <m:t>α</m:t>
            </m:r>
          </m:e>
          <m:sub>
            <m:r>
              <m:t>T</m:t>
            </m:r>
          </m:sub>
        </m:sSub>
      </m:oMath>
      <w:r>
        <w:rPr>
          <w:rFonts w:ascii="宋体" w:hAnsi="宋体" w:eastAsia="宋体"/>
          <w:sz w:val="24"/>
        </w:rPr>
        <w:t xml:space="preserve"> 显性分离人工智能的增长贡献提供了微观基础。需要说明本章的两点局限：场景价值密度的测算依赖于对被替代认知劳动价值的估计，其绝对水平存在不确定性，但相对排序与离散度结论对参数取值不敏感；自增强乘数的量化以需求价格弹性替代价值—成本比弹性，属保守下界处理，实际乘数可能更高。这两点均有待更细粒度的场景级微观数据加以改进。</w:t>
      </w:r>
    </w:p>
    <w:p>
      <w:r>
        <w:br w:type="page"/>
      </w:r>
    </w:p>
    <w:p>
      <w:pPr>
        <w:keepNext/>
        <w:spacing w:before="240" w:after="160" w:line="360" w:lineRule="auto"/>
        <w:jc w:val="center"/>
        <w:outlineLvl w:val="0"/>
      </w:pPr>
      <w:r>
        <w:rPr>
          <w:rFonts w:ascii="黑体" w:hAnsi="黑体" w:eastAsia="黑体"/>
          <w:b/>
          <w:sz w:val="30"/>
        </w:rPr>
        <w:t>第7章  词元定价机制：三层结构与价格指数</w:t>
      </w:r>
    </w:p>
    <w:p>
      <w:pPr>
        <w:spacing w:line="360" w:lineRule="auto" w:after="0"/>
        <w:ind w:firstLineChars="200" w:firstLine="480"/>
        <w:jc w:val="both"/>
      </w:pPr>
      <w:r>
        <w:rPr>
          <w:rFonts w:ascii="宋体" w:hAnsi="宋体" w:eastAsia="宋体"/>
          <w:sz w:val="24"/>
        </w:rPr>
        <w:t>第5章确立了标准词元的折算体系，第6章解释了词元价值的创造、实现与增值。计量与价值论既明，全书的分析随之进入第二个科学问题：标准词元的价格如何形成、如何演化。价格是配置的信号，也是计量体系能否真正发挥作用的试金石——若一套计量单位无法进入价格的形成与观测，它便只是学术的度量衡，而不是经济的度量衡。国家数据局局长在中国发展高层论坛2026年年会上提出词元具有「可计量、可定价、可交易」三重特征，把「可定价」置于「可计量」之后、「可交易」之前，其内在逻辑正在于此：计量是定价的前提，定价是交易的前提，三者构成一条不可跳跃的制度链条。</w:t>
      </w:r>
    </w:p>
    <w:p>
      <w:pPr>
        <w:spacing w:line="360" w:lineRule="auto" w:after="0"/>
        <w:ind w:firstLineChars="200" w:firstLine="480"/>
        <w:jc w:val="both"/>
      </w:pPr>
      <w:r>
        <w:rPr>
          <w:rFonts w:ascii="宋体" w:hAnsi="宋体" w:eastAsia="宋体"/>
          <w:sz w:val="24"/>
        </w:rPr>
        <w:t>然而，词元价格的经验图景至今是散乱的，散乱到无法在单一的「价格」概念下自洽。三组事实并置即可见其困难。其一，价格在快速下行的同时急剧分化：本书校准的物理词元价格指数由2024年第一季度的100降至2026年第二季度的21，累计下降79%；而同一时点上，六个档位的每百万物理词元单价却由0.40元跨到14.00元，相差35倍。其二，价格并非单调下行：据公开报道，一家国产头部大模型服务商自2026年8月17日零时起把主力接口改为峰谷分时定价，空闲时段价格为高峰时段的一半，而改价后的输出价较改价前明显上调——同一枚词元因时段不同而价格相差一倍。其三，不同口径的价格观测彼此背离：由第三方数据服务商发布的词元支出指数（支出加权的每百万词元成交均价）由2026年5月31日的2.04美元回落至8月6—8日的1.16—1.18美元，约两个月跌逾四成、为年内最低，而同期主要服务商的公开挂牌价并未同步变动，个别服务商反而在调价中上行。</w:t>
      </w:r>
    </w:p>
    <w:p>
      <w:pPr>
        <w:spacing w:line="360" w:lineRule="auto" w:after="0"/>
        <w:ind w:firstLineChars="200" w:firstLine="480"/>
        <w:jc w:val="both"/>
      </w:pPr>
      <w:r>
        <w:rPr>
          <w:rFonts w:ascii="宋体" w:hAnsi="宋体" w:eastAsia="宋体"/>
          <w:sz w:val="24"/>
        </w:rPr>
        <w:t>这三组事实指向同一个判断：</w:t>
      </w:r>
      <w:r>
        <w:rPr>
          <w:rFonts w:ascii="宋体" w:hAnsi="宋体" w:eastAsia="宋体"/>
          <w:b/>
          <w:sz w:val="24"/>
        </w:rPr>
        <w:t>「词元价格」不是一个数，而是一个结构</w:t>
      </w:r>
      <w:r>
        <w:rPr>
          <w:rFonts w:ascii="宋体" w:hAnsi="宋体" w:eastAsia="宋体"/>
          <w:sz w:val="24"/>
        </w:rPr>
        <w:t>。本章的核心命题是，词元价格可以且应当分解为三个层次——成本底价层、效值溢价层与场景租金层，三层分别是第6章价值创造、效值折算与价值实现三个环节在价格上的投影；三层的变动方向与决定因素各不相同，通用词元价格持续下行与高效值词元溢价扩大之所以能够并存，正是因为下行的是第一层、扩张的是第二、三层。在此基础上，本章进一步给出词元价格指数（TPI）与标准词元价格指数（STPI）的双轨编制方法，并证明二者的背离幅度恰好度量了表观降价中不属于真实降价的那一部分。本章安排如下：7.1节论证边际成本定价在词元产品上的失效，辨析「零边际成本」的流行误解，确立价值锚定的定价基准；7.2节构建三层定价结构并给出六档位的分解结果；7.3节刻画平台竞争下的价格动态、收敛路径与价格地板；7.4节分析三级服务定价的二级价格歧视机制；7.5节编制TPI与STPI并分解二者的背离；7.6节为本章小结。</w:t>
      </w:r>
    </w:p>
    <w:p>
      <w:pPr>
        <w:keepNext/>
        <w:spacing w:before="160" w:after="120" w:line="360" w:lineRule="auto"/>
        <w:outlineLvl w:val="1"/>
      </w:pPr>
      <w:r>
        <w:rPr>
          <w:rFonts w:ascii="黑体" w:hAnsi="黑体" w:eastAsia="黑体"/>
          <w:sz w:val="28"/>
        </w:rPr>
        <w:t>7.1  定价的经济学基础：零边际成本假象与成本加成的失效</w:t>
      </w:r>
    </w:p>
    <w:p>
      <w:pPr>
        <w:keepNext/>
        <w:spacing w:before="160" w:after="120" w:line="360" w:lineRule="auto"/>
        <w:outlineLvl w:val="2"/>
      </w:pPr>
      <w:r>
        <w:rPr>
          <w:rFonts w:ascii="黑体" w:hAnsi="黑体" w:eastAsia="黑体"/>
          <w:sz w:val="24"/>
        </w:rPr>
        <w:t>7.1.1  词元不是零边际成本产品</w:t>
      </w:r>
    </w:p>
    <w:p>
      <w:pPr>
        <w:spacing w:line="360" w:lineRule="auto" w:after="0"/>
        <w:ind w:firstLineChars="200" w:firstLine="480"/>
        <w:jc w:val="both"/>
      </w:pPr>
      <w:r>
        <w:rPr>
          <w:rFonts w:ascii="宋体" w:hAnsi="宋体" w:eastAsia="宋体"/>
          <w:sz w:val="24"/>
        </w:rPr>
        <w:t>数字产品定价理论的起点，是信息品的零边际复制成本：一份软件、一首乐曲、一条数据记录，其首份的生产成本高昂而后续复制近乎免费，因而边际成本定价将使收入无法覆盖固定成本，定价必须依赖版本划分、捆绑、订阅与价格歧视等非线性机制（Mussa和Rosen，1978；Bhargava和Choudhary，2008）。数据要素的非竞争性进一步强化了这一结论：同一份数据可被任意多主体同时使用而不减损，社会最优要求广泛共享，而私人激励却指向排他与封锁（Jones和Tonetti，2020），数据定价研究因此长期在成本法、收益法与市场法之间徘徊，难以形成公认基准（熊巧琴和汤珂，2021；Pei，2022；欧阳日辉和杜青青，2022）。把这套逻辑不加辨析地平移到词元上，就会得到一个流行却错误的判断：词元是零边际成本产品，因而其价格终将趋近于零。</w:t>
      </w:r>
    </w:p>
    <w:p>
      <w:pPr>
        <w:spacing w:line="360" w:lineRule="auto" w:after="0"/>
        <w:ind w:firstLineChars="200" w:firstLine="480"/>
        <w:jc w:val="both"/>
      </w:pPr>
      <w:r>
        <w:rPr>
          <w:rFonts w:ascii="宋体" w:hAnsi="宋体" w:eastAsia="宋体"/>
          <w:sz w:val="24"/>
        </w:rPr>
        <w:t>这一判断的错误在于混淆了「复制」与「生成」。数据与软件的边际成本之所以为零，是因为增量供给来自复制；词元的边际成本之所以严格为正，是因为增量供给来自重新计算——每一枚新的词元都必须由模型在给定上下文下重新执行一次前向推理，消耗真实的浮点运算、显存带宽与电力。第3章已从技术属性层面论证了这一点，此处把它写成可用于定价的成本函数。记模型档位</w:t>
      </w:r>
      <m:oMath>
        <m:r>
          <m:t>m</m:t>
        </m:r>
      </m:oMath>
      <w:r>
        <w:rPr>
          <w:rFonts w:ascii="宋体" w:hAnsi="宋体" w:eastAsia="宋体"/>
          <w:sz w:val="24"/>
        </w:rPr>
        <w:t>在上下文长度</w:t>
      </w:r>
      <m:oMath>
        <m:r>
          <m:rPr>
            <m:sty m:val="p"/>
          </m:rPr>
          <m:t>ℓ</m:t>
        </m:r>
      </m:oMath>
      <w:r>
        <w:rPr>
          <w:rFonts w:ascii="宋体" w:hAnsi="宋体" w:eastAsia="宋体"/>
          <w:sz w:val="24"/>
        </w:rPr>
        <w:t>下生成一枚词元所需的浮点运算量为</w:t>
      </w:r>
      <m:oMath>
        <m:sSub>
          <m:e>
            <m:r>
              <m:t>f</m:t>
            </m:r>
          </m:e>
          <m:sub>
            <m:r>
              <m:t>m</m:t>
            </m:r>
          </m:sub>
        </m:sSub>
        <m:d>
          <m:dPr>
            <m:begChr m:val="("/>
            <m:endChr m:val=")"/>
            <m:grow/>
          </m:dPr>
          <m:e>
            <m:r>
              <m:rPr>
                <m:sty m:val="p"/>
              </m:rPr>
              <m:t>ℓ</m:t>
            </m:r>
          </m:e>
        </m:d>
      </m:oMath>
      <w:r>
        <w:rPr>
          <w:rFonts w:ascii="宋体" w:hAnsi="宋体" w:eastAsia="宋体"/>
          <w:sz w:val="24"/>
        </w:rPr>
        <w:t>，加速器峰值算力为</w:t>
      </w:r>
      <m:oMath>
        <m:sSub>
          <m:e>
            <m:r>
              <m:t>υ</m:t>
            </m:r>
          </m:e>
          <m:sub>
            <m:r>
              <m:t>m</m:t>
            </m:r>
          </m:sub>
        </m:sSub>
      </m:oMath>
      <w:r>
        <w:rPr>
          <w:rFonts w:ascii="宋体" w:hAnsi="宋体" w:eastAsia="宋体"/>
          <w:sz w:val="24"/>
        </w:rPr>
        <w:t>、有效算力利用率为</w:t>
      </w:r>
      <m:oMath>
        <m:sSub>
          <m:e>
            <m:r>
              <m:t>u</m:t>
            </m:r>
          </m:e>
          <m:sub>
            <m:r>
              <m:t>m</m:t>
            </m:r>
          </m:sub>
        </m:sSub>
      </m:oMath>
      <w:r>
        <w:rPr>
          <w:rFonts w:ascii="宋体" w:hAnsi="宋体" w:eastAsia="宋体"/>
          <w:sz w:val="24"/>
        </w:rPr>
        <w:t>，单位加速器时间的资本成本（折旧与资金占用）为</w:t>
      </w:r>
      <m:oMath>
        <m:sSub>
          <m:e>
            <m:r>
              <m:t>π</m:t>
            </m:r>
          </m:e>
          <m:sub>
            <m:r>
              <m:t>K</m:t>
            </m:r>
          </m:sub>
        </m:sSub>
      </m:oMath>
      <w:r>
        <w:rPr>
          <w:rFonts w:ascii="宋体" w:hAnsi="宋体" w:eastAsia="宋体"/>
          <w:sz w:val="24"/>
        </w:rPr>
        <w:t>、电力成本为</w:t>
      </w:r>
      <m:oMath>
        <m:sSub>
          <m:e>
            <m:r>
              <m:t>π</m:t>
            </m:r>
          </m:e>
          <m:sub>
            <m:r>
              <m:t>E</m:t>
            </m:r>
          </m:sub>
        </m:sSub>
      </m:oMath>
      <w:r>
        <w:rPr>
          <w:rFonts w:ascii="宋体" w:hAnsi="宋体" w:eastAsia="宋体"/>
          <w:sz w:val="24"/>
        </w:rPr>
        <w:t>，单位词元的运维、存储与网络成本为</w:t>
      </w:r>
      <m:oMath>
        <m:sSub>
          <m:e>
            <m:r>
              <m:t>ω</m:t>
            </m:r>
          </m:e>
          <m:sub>
            <m:r>
              <m:t>m</m:t>
            </m:r>
          </m:sub>
        </m:sSub>
      </m:oMath>
      <w:r>
        <w:rPr>
          <w:rFonts w:ascii="宋体" w:hAnsi="宋体" w:eastAsia="宋体"/>
          <w:sz w:val="24"/>
        </w:rPr>
        <w:t>，则单位物理词元的边际成本如式(7-1)所示。</w:t>
      </w:r>
    </w:p>
    <w:p>
      <w:pPr>
        <w:tabs>
          <w:tab w:pos="4252" w:val="center"/>
          <w:tab w:pos="8504" w:val="right"/>
        </w:tabs>
        <w:spacing w:line="360" w:lineRule="auto" w:before="80" w:after="80"/>
      </w:pPr>
      <w:r>
        <w:tab/>
      </w:r>
      <m:oMath>
        <m:sSubSup>
          <m:e>
            <m:r>
              <m:t>c</m:t>
            </m:r>
          </m:e>
          <m:sub>
            <m:r>
              <m:t>m</m:t>
            </m:r>
          </m:sub>
          <m:sup>
            <m:r>
              <m:rPr>
                <m:sty m:val="p"/>
              </m:rPr>
              <m:t>M</m:t>
            </m:r>
            <m:r>
              <m:rPr>
                <m:sty m:val="p"/>
              </m:rPr>
              <m:t>C</m:t>
            </m:r>
          </m:sup>
        </m:sSubSup>
        <m:d>
          <m:dPr>
            <m:begChr m:val="("/>
            <m:endChr m:val=")"/>
            <m:grow/>
          </m:dPr>
          <m:e>
            <m:r>
              <m:rPr>
                <m:sty m:val="p"/>
              </m:rPr>
              <m:t>ℓ</m:t>
            </m:r>
          </m:e>
        </m:d>
        <m:r>
          <m:rPr>
            <m:sty m:val="p"/>
          </m:rPr>
          <m:t>=</m:t>
        </m:r>
        <m:f>
          <m:fPr>
            <m:type m:val="bar"/>
          </m:fPr>
          <m:num>
            <m:sSub>
              <m:e>
                <m:r>
                  <m:t>f</m:t>
                </m:r>
              </m:e>
              <m:sub>
                <m:r>
                  <m:t>m</m:t>
                </m:r>
              </m:sub>
            </m:sSub>
            <m:d>
              <m:dPr>
                <m:begChr m:val="("/>
                <m:endChr m:val=")"/>
                <m:grow/>
              </m:dPr>
              <m:e>
                <m:r>
                  <m:rPr>
                    <m:sty m:val="p"/>
                  </m:rPr>
                  <m:t>ℓ</m:t>
                </m:r>
              </m:e>
            </m:d>
          </m:num>
          <m:den>
            <m:sSub>
              <m:e>
                <m:r>
                  <m:t>υ</m:t>
                </m:r>
              </m:e>
              <m:sub>
                <m:r>
                  <m:t>m</m:t>
                </m:r>
              </m:sub>
            </m:sSub>
            <m:r>
              <m:t> </m:t>
            </m:r>
            <m:sSub>
              <m:e>
                <m:r>
                  <m:t>u</m:t>
                </m:r>
              </m:e>
              <m:sub>
                <m:r>
                  <m:t>m</m:t>
                </m:r>
              </m:sub>
            </m:sSub>
          </m:den>
        </m:f>
        <m:d>
          <m:dPr>
            <m:begChr m:val="("/>
            <m:endChr m:val=")"/>
            <m:grow/>
          </m:dPr>
          <m:e>
            <m:sSub>
              <m:e>
                <m:r>
                  <m:t>π</m:t>
                </m:r>
              </m:e>
              <m:sub>
                <m:r>
                  <m:t>K</m:t>
                </m:r>
              </m:sub>
            </m:sSub>
            <m:r>
              <m:rPr>
                <m:sty m:val="p"/>
              </m:rPr>
              <m:t>+</m:t>
            </m:r>
            <m:sSub>
              <m:e>
                <m:r>
                  <m:t>π</m:t>
                </m:r>
              </m:e>
              <m:sub>
                <m:r>
                  <m:t>E</m:t>
                </m:r>
              </m:sub>
            </m:sSub>
          </m:e>
        </m:d>
        <m:r>
          <m:rPr>
            <m:sty m:val="p"/>
          </m:rPr>
          <m:t>+</m:t>
        </m:r>
        <m:sSub>
          <m:e>
            <m:r>
              <m:t>ω</m:t>
            </m:r>
          </m:e>
          <m:sub>
            <m:r>
              <m:t>m</m:t>
            </m:r>
          </m:sub>
        </m:sSub>
        <m:r>
          <m:rPr>
            <m:sty m:val="p"/>
          </m:rPr>
          <m:t>,</m:t>
        </m:r>
        <m:r>
          <m:t>  </m:t>
        </m:r>
        <m:sSub>
          <m:e>
            <m:r>
              <m:t>f</m:t>
            </m:r>
          </m:e>
          <m:sub>
            <m:r>
              <m:t>m</m:t>
            </m:r>
          </m:sub>
        </m:sSub>
        <m:d>
          <m:dPr>
            <m:begChr m:val="("/>
            <m:endChr m:val=")"/>
            <m:grow/>
          </m:dPr>
          <m:e>
            <m:r>
              <m:rPr>
                <m:sty m:val="p"/>
              </m:rPr>
              <m:t>ℓ</m:t>
            </m:r>
          </m:e>
        </m:d>
        <m:r>
          <m:rPr>
            <m:sty m:val="p"/>
          </m:rPr>
          <m:t>=</m:t>
        </m:r>
        <m:r>
          <m:t>2</m:t>
        </m:r>
        <m:sSub>
          <m:e>
            <m:r>
              <m:t>N</m:t>
            </m:r>
          </m:e>
          <m:sub>
            <m:r>
              <m:t>m</m:t>
            </m:r>
          </m:sub>
        </m:sSub>
        <m:r>
          <m:rPr>
            <m:sty m:val="p"/>
          </m:rPr>
          <m:t>+</m:t>
        </m:r>
        <m:r>
          <m:t>2</m:t>
        </m:r>
        <m:r>
          <m:t> </m:t>
        </m:r>
        <m:sSub>
          <m:e>
            <m:r>
              <m:t>ξ</m:t>
            </m:r>
          </m:e>
          <m:sub>
            <m:r>
              <m:t>m</m:t>
            </m:r>
          </m:sub>
        </m:sSub>
        <m:r>
          <m:t> </m:t>
        </m:r>
        <m:r>
          <m:rPr>
            <m:sty m:val="p"/>
          </m:rPr>
          <m:t>ℓ</m:t>
        </m:r>
      </m:oMath>
      <w:r>
        <w:tab/>
      </w:r>
      <w:r>
        <w:rPr>
          <w:rFonts w:ascii="Times New Roman" w:hAnsi="Times New Roman" w:eastAsia="宋体"/>
          <w:sz w:val="24"/>
        </w:rPr>
        <w:t>(7-1)</w:t>
      </w:r>
    </w:p>
    <w:p>
      <w:pPr>
        <w:spacing w:line="360" w:lineRule="auto" w:after="0"/>
        <w:jc w:val="both"/>
      </w:pPr>
      <w:r>
        <w:rPr>
          <w:rFonts w:ascii="宋体" w:hAnsi="宋体" w:eastAsia="宋体"/>
          <w:sz w:val="24"/>
        </w:rPr>
        <w:t>其中，</w:t>
      </w:r>
      <m:oMath>
        <m:sSub>
          <m:e>
            <m:r>
              <m:t>N</m:t>
            </m:r>
          </m:e>
          <m:sub>
            <m:r>
              <m:t>m</m:t>
            </m:r>
          </m:sub>
        </m:sSub>
      </m:oMath>
      <w:r>
        <w:rPr>
          <w:rFonts w:ascii="宋体" w:hAnsi="宋体" w:eastAsia="宋体"/>
          <w:sz w:val="24"/>
        </w:rPr>
        <w:t>为档位</w:t>
      </w:r>
      <m:oMath>
        <m:r>
          <m:t>m</m:t>
        </m:r>
      </m:oMath>
      <w:r>
        <w:rPr>
          <w:rFonts w:ascii="宋体" w:hAnsi="宋体" w:eastAsia="宋体"/>
          <w:sz w:val="24"/>
        </w:rPr>
        <w:t>的有效参数规模，</w:t>
      </w:r>
      <m:oMath>
        <m:sSub>
          <m:e>
            <m:r>
              <m:t>ξ</m:t>
            </m:r>
          </m:e>
          <m:sub>
            <m:r>
              <m:t>m</m:t>
            </m:r>
          </m:sub>
        </m:sSub>
      </m:oMath>
      <w:r>
        <w:rPr>
          <w:rFonts w:ascii="宋体" w:hAnsi="宋体" w:eastAsia="宋体"/>
          <w:sz w:val="24"/>
        </w:rPr>
        <w:t>为注意力机制对上下文长度的敏感系数；</w:t>
      </w:r>
      <m:oMath>
        <m:sSub>
          <m:e>
            <m:r>
              <m:t>π</m:t>
            </m:r>
          </m:e>
          <m:sub>
            <m:r>
              <m:t>E</m:t>
            </m:r>
          </m:sub>
        </m:sSub>
      </m:oMath>
      <w:r>
        <w:rPr>
          <w:rFonts w:ascii="宋体" w:hAnsi="宋体" w:eastAsia="宋体"/>
          <w:sz w:val="24"/>
        </w:rPr>
        <w:t>本身等于加速器额定功率、数据中心电能利用效率（PUE）与上网电价三者之积。</w:t>
      </w:r>
    </w:p>
    <w:p>
      <w:pPr>
        <w:spacing w:line="360" w:lineRule="auto" w:after="0"/>
        <w:ind w:firstLineChars="200" w:firstLine="480"/>
        <w:jc w:val="both"/>
      </w:pPr>
      <w:r>
        <w:rPr>
          <w:rFonts w:ascii="宋体" w:hAnsi="宋体" w:eastAsia="宋体"/>
          <w:sz w:val="24"/>
        </w:rPr>
        <w:t>式(7-1)刻画了四条对定价至关重要的性质。第一，边际成本随模型规模线性上升：</w:t>
      </w:r>
      <m:oMath>
        <m:r>
          <m:rPr>
            <m:sty m:val="p"/>
          </m:rPr>
          <m:t>∂</m:t>
        </m:r>
        <m:sSup>
          <m:e>
            <m:r>
              <m:t>c</m:t>
            </m:r>
          </m:e>
          <m:sup>
            <m:r>
              <m:rPr>
                <m:sty m:val="p"/>
              </m:rPr>
              <m:t>M</m:t>
            </m:r>
            <m:r>
              <m:rPr>
                <m:sty m:val="p"/>
              </m:rPr>
              <m:t>C</m:t>
            </m:r>
          </m:sup>
        </m:sSup>
        <m:r>
          <m:rPr>
            <m:sty m:val="p"/>
          </m:rPr>
          <m:t>/</m:t>
        </m:r>
        <m:r>
          <m:rPr>
            <m:sty m:val="p"/>
          </m:rPr>
          <m:t>∂</m:t>
        </m:r>
        <m:sSub>
          <m:e>
            <m:r>
              <m:t>N</m:t>
            </m:r>
          </m:e>
          <m:sub>
            <m:r>
              <m:t>m</m:t>
            </m:r>
          </m:sub>
        </m:sSub>
        <m:r>
          <m:rPr>
            <m:sty m:val="p"/>
          </m:rPr>
          <m:t>&gt;</m:t>
        </m:r>
        <m:r>
          <m:t>0</m:t>
        </m:r>
      </m:oMath>
      <w:r>
        <w:rPr>
          <w:rFonts w:ascii="宋体" w:hAnsi="宋体" w:eastAsia="宋体"/>
          <w:sz w:val="24"/>
        </w:rPr>
        <w:t>，这解释了为什么高档位词元的价格地板天然高于低档位。第二，边际成本随上下文长度上升：长上下文请求的每词元成本高于短请求，这正是主流服务商为长上下文档位单独加价的成本依据。第三，边际成本随有效算力利用率</w:t>
      </w:r>
      <m:oMath>
        <m:sSub>
          <m:e>
            <m:r>
              <m:t>u</m:t>
            </m:r>
          </m:e>
          <m:sub>
            <m:r>
              <m:t>m</m:t>
            </m:r>
          </m:sub>
        </m:sSub>
      </m:oMath>
      <w:r>
        <w:rPr>
          <w:rFonts w:ascii="宋体" w:hAnsi="宋体" w:eastAsia="宋体"/>
          <w:sz w:val="24"/>
        </w:rPr>
        <w:t>下降而急剧上升——利用率是分母。这一条把定价与第9章的配置效率直接联系起来：调度水平低下不仅浪费算力，还会抬高价格地板。第四，边际成本是</w:t>
      </w:r>
      <w:r>
        <w:rPr>
          <w:rFonts w:ascii="宋体" w:hAnsi="宋体" w:eastAsia="宋体"/>
          <w:b/>
          <w:sz w:val="24"/>
        </w:rPr>
        <w:t>状态依赖</w:t>
      </w:r>
      <w:r>
        <w:rPr>
          <w:rFonts w:ascii="宋体" w:hAnsi="宋体" w:eastAsia="宋体"/>
          <w:sz w:val="24"/>
        </w:rPr>
        <w:t>的：缓存命中时无需重算前缀，</w:t>
      </w:r>
      <m:oMath>
        <m:sSub>
          <m:e>
            <m:r>
              <m:t>f</m:t>
            </m:r>
          </m:e>
          <m:sub>
            <m:r>
              <m:t>m</m:t>
            </m:r>
          </m:sub>
        </m:sSub>
      </m:oMath>
      <w:r>
        <w:rPr>
          <w:rFonts w:ascii="宋体" w:hAnsi="宋体" w:eastAsia="宋体"/>
          <w:sz w:val="24"/>
        </w:rPr>
        <w:t>大幅缩减；高峰时段的机会成本高于空闲时段。近年推理系统的进展——分页显存管理、连续批处理、分块预填充与预填充解码分离——正是沿着降低</w:t>
      </w:r>
      <m:oMath>
        <m:sSub>
          <m:e>
            <m:r>
              <m:t>f</m:t>
            </m:r>
          </m:e>
          <m:sub>
            <m:r>
              <m:t>m</m:t>
            </m:r>
          </m:sub>
        </m:sSub>
        <m:r>
          <m:rPr>
            <m:sty m:val="p"/>
          </m:rPr>
          <m:t>/</m:t>
        </m:r>
        <m:d>
          <m:dPr>
            <m:begChr m:val="("/>
            <m:endChr m:val=")"/>
            <m:grow/>
          </m:dPr>
          <m:e>
            <m:sSub>
              <m:e>
                <m:r>
                  <m:t>υ</m:t>
                </m:r>
              </m:e>
              <m:sub>
                <m:r>
                  <m:t>m</m:t>
                </m:r>
              </m:sub>
            </m:sSub>
            <m:sSub>
              <m:e>
                <m:r>
                  <m:t>u</m:t>
                </m:r>
              </m:e>
              <m:sub>
                <m:r>
                  <m:t>m</m:t>
                </m:r>
              </m:sub>
            </m:sSub>
          </m:e>
        </m:d>
      </m:oMath>
      <w:r>
        <w:rPr>
          <w:rFonts w:ascii="宋体" w:hAnsi="宋体" w:eastAsia="宋体"/>
          <w:sz w:val="24"/>
        </w:rPr>
        <w:t>的方向压缩边际成本（Yu等，2022；Kwon等，2023；Agrawal等，2024；Zhong等，2024），注意力算子层面的访存优化与大规模推理的并行编排则从硬件效率一侧提升</w:t>
      </w:r>
      <m:oMath>
        <m:sSub>
          <m:e>
            <m:r>
              <m:t>u</m:t>
            </m:r>
          </m:e>
          <m:sub>
            <m:r>
              <m:t>m</m:t>
            </m:r>
          </m:sub>
        </m:sSub>
      </m:oMath>
      <w:r>
        <w:rPr>
          <w:rFonts w:ascii="宋体" w:hAnsi="宋体" w:eastAsia="宋体"/>
          <w:sz w:val="24"/>
        </w:rPr>
        <w:t>（Dao等，2022；Pope等，2023）；模型侧的规模律与训练推理权衡研究，则从另一端降低了达到同等能力所需的</w:t>
      </w:r>
      <m:oMath>
        <m:sSub>
          <m:e>
            <m:r>
              <m:t>N</m:t>
            </m:r>
          </m:e>
          <m:sub>
            <m:r>
              <m:t>m</m:t>
            </m:r>
          </m:sub>
        </m:sSub>
      </m:oMath>
      <w:r>
        <w:rPr>
          <w:rFonts w:ascii="宋体" w:hAnsi="宋体" w:eastAsia="宋体"/>
          <w:sz w:val="24"/>
        </w:rPr>
        <w:t>（Kaplan等，2020；Hoffmann等，2022）。</w:t>
      </w:r>
    </w:p>
    <w:p>
      <w:pPr>
        <w:spacing w:line="360" w:lineRule="auto" w:after="0"/>
        <w:ind w:firstLineChars="200" w:firstLine="480"/>
        <w:jc w:val="both"/>
      </w:pPr>
      <w:r>
        <w:rPr>
          <w:rFonts w:ascii="宋体" w:hAnsi="宋体" w:eastAsia="宋体"/>
          <w:sz w:val="24"/>
        </w:rPr>
        <w:t>状态依赖性使「词元单价」在技术上就不是一个标量。缓存命中与未命中的输入价差可达数十倍，峰谷时段价差可达一倍，长上下文档位的整请求计价高于标准档位；再叠加语言维度——同一段语义内容在不同语言下被分词器切分出的词元数差异显著，非拉丁语系文本通常需要更多词元来承载等量信息（Rust等，2021；Petrov等，2023；Ahia等，2023）——同一张价目表对不同买方的实际价格并不相同。这提示我们，任何以「每百万词元多少元」表述的价格，都必须附带计量状态的说明；缺少状态说明的价格比较，在计量上是无效的。还须指出一项测度限制：迄今没有任何主流厂商公布过「每千词元」口径的官方能耗数据，公开的权威测算分母均为「一次查询」，因而式(7-1)中的电力成本项在实证上只能由查询级口径换算或由本书校准复算得到，不得表述为实测值。</w:t>
      </w:r>
    </w:p>
    <w:p>
      <w:pPr>
        <w:keepNext/>
        <w:spacing w:before="160" w:after="120" w:line="360" w:lineRule="auto"/>
        <w:outlineLvl w:val="2"/>
      </w:pPr>
      <w:r>
        <w:rPr>
          <w:rFonts w:ascii="黑体" w:hAnsi="黑体" w:eastAsia="黑体"/>
          <w:sz w:val="24"/>
        </w:rPr>
        <w:t>7.1.2  固定成本、次可加性与边际成本定价的失效</w:t>
      </w:r>
    </w:p>
    <w:p>
      <w:pPr>
        <w:spacing w:line="360" w:lineRule="auto" w:after="0"/>
        <w:ind w:firstLineChars="200" w:firstLine="480"/>
        <w:jc w:val="both"/>
      </w:pPr>
      <w:r>
        <w:rPr>
          <w:rFonts w:ascii="宋体" w:hAnsi="宋体" w:eastAsia="宋体"/>
          <w:sz w:val="24"/>
        </w:rPr>
        <w:t>边际成本为正，并不意味着边际成本定价就是可行的。词元生产的成本结构具有典型的「巨额固定、正的可变」形态：模型训练与研发投入、数据采集与清洗、对齐与安全评测构成期间沉没成本，智算集群构成资本占用，二者均与当期产量无关。设档位</w:t>
      </w:r>
      <m:oMath>
        <m:r>
          <m:t>m</m:t>
        </m:r>
      </m:oMath>
      <w:r>
        <w:rPr>
          <w:rFonts w:ascii="宋体" w:hAnsi="宋体" w:eastAsia="宋体"/>
          <w:sz w:val="24"/>
        </w:rPr>
        <w:t>在摊销期内的固定成本为</w:t>
      </w:r>
      <m:oMath>
        <m:sSub>
          <m:e>
            <m:r>
              <m:t>F</m:t>
            </m:r>
          </m:e>
          <m:sub>
            <m:r>
              <m:t>m</m:t>
            </m:r>
          </m:sub>
        </m:sSub>
      </m:oMath>
      <w:r>
        <w:rPr>
          <w:rFonts w:ascii="宋体" w:hAnsi="宋体" w:eastAsia="宋体"/>
          <w:sz w:val="24"/>
        </w:rPr>
        <w:t>、资本占用为</w:t>
      </w:r>
      <m:oMath>
        <m:sSub>
          <m:e>
            <m:r>
              <m:t>K</m:t>
            </m:r>
          </m:e>
          <m:sub>
            <m:r>
              <m:t>m</m:t>
            </m:r>
          </m:sub>
        </m:sSub>
      </m:oMath>
      <w:r>
        <w:rPr>
          <w:rFonts w:ascii="宋体" w:hAnsi="宋体" w:eastAsia="宋体"/>
          <w:sz w:val="24"/>
        </w:rPr>
        <w:t>、资本回报率为</w:t>
      </w:r>
      <m:oMath>
        <m:r>
          <m:t>r</m:t>
        </m:r>
      </m:oMath>
      <w:r>
        <w:rPr>
          <w:rFonts w:ascii="宋体" w:hAnsi="宋体" w:eastAsia="宋体"/>
          <w:sz w:val="24"/>
        </w:rPr>
        <w:t>、摊销期内产量为</w:t>
      </w:r>
      <m:oMath>
        <m:sSub>
          <m:e>
            <m:r>
              <m:t>T</m:t>
            </m:r>
          </m:e>
          <m:sub>
            <m:r>
              <m:t>m</m:t>
            </m:r>
          </m:sub>
        </m:sSub>
      </m:oMath>
      <w:r>
        <w:rPr>
          <w:rFonts w:ascii="宋体" w:hAnsi="宋体" w:eastAsia="宋体"/>
          <w:sz w:val="24"/>
        </w:rPr>
        <w:t>，则平均成本与边际成本的关系如式(7-2)所示。</w:t>
      </w:r>
    </w:p>
    <w:p>
      <w:pPr>
        <w:tabs>
          <w:tab w:pos="4252" w:val="center"/>
          <w:tab w:pos="8504" w:val="right"/>
        </w:tabs>
        <w:spacing w:line="360" w:lineRule="auto" w:before="80" w:after="80"/>
      </w:pPr>
      <w:r>
        <w:tab/>
      </w:r>
      <m:oMath>
        <m:sSubSup>
          <m:e>
            <m:r>
              <m:t>c</m:t>
            </m:r>
          </m:e>
          <m:sub>
            <m:r>
              <m:t>m</m:t>
            </m:r>
          </m:sub>
          <m:sup>
            <m:r>
              <m:rPr>
                <m:sty m:val="p"/>
              </m:rPr>
              <m:t>A</m:t>
            </m:r>
            <m:r>
              <m:rPr>
                <m:sty m:val="p"/>
              </m:rPr>
              <m:t>C</m:t>
            </m:r>
          </m:sup>
        </m:sSubSup>
        <m:d>
          <m:dPr>
            <m:begChr m:val="("/>
            <m:endChr m:val=")"/>
            <m:grow/>
          </m:dPr>
          <m:e>
            <m:sSub>
              <m:e>
                <m:r>
                  <m:t>T</m:t>
                </m:r>
              </m:e>
              <m:sub>
                <m:r>
                  <m:t>m</m:t>
                </m:r>
              </m:sub>
            </m:sSub>
          </m:e>
        </m:d>
        <m:r>
          <m:rPr>
            <m:sty m:val="p"/>
          </m:rPr>
          <m:t>=</m:t>
        </m:r>
        <m:sSubSup>
          <m:e>
            <m:r>
              <m:t>c</m:t>
            </m:r>
          </m:e>
          <m:sub>
            <m:r>
              <m:t>m</m:t>
            </m:r>
          </m:sub>
          <m:sup>
            <m:r>
              <m:rPr>
                <m:sty m:val="p"/>
              </m:rPr>
              <m:t>M</m:t>
            </m:r>
            <m:r>
              <m:rPr>
                <m:sty m:val="p"/>
              </m:rPr>
              <m:t>C</m:t>
            </m:r>
          </m:sup>
        </m:sSubSup>
        <m:r>
          <m:rPr>
            <m:sty m:val="p"/>
          </m:rPr>
          <m:t>+</m:t>
        </m:r>
        <m:f>
          <m:fPr>
            <m:type m:val="bar"/>
          </m:fPr>
          <m:num>
            <m:sSub>
              <m:e>
                <m:r>
                  <m:t>F</m:t>
                </m:r>
              </m:e>
              <m:sub>
                <m:r>
                  <m:t>m</m:t>
                </m:r>
              </m:sub>
            </m:sSub>
            <m:r>
              <m:rPr>
                <m:sty m:val="p"/>
              </m:rPr>
              <m:t>+</m:t>
            </m:r>
            <m:r>
              <m:t>r</m:t>
            </m:r>
            <m:r>
              <m:t> </m:t>
            </m:r>
            <m:sSub>
              <m:e>
                <m:r>
                  <m:t>K</m:t>
                </m:r>
              </m:e>
              <m:sub>
                <m:r>
                  <m:t>m</m:t>
                </m:r>
              </m:sub>
            </m:sSub>
          </m:num>
          <m:den>
            <m:sSub>
              <m:e>
                <m:r>
                  <m:t>T</m:t>
                </m:r>
              </m:e>
              <m:sub>
                <m:r>
                  <m:t>m</m:t>
                </m:r>
              </m:sub>
            </m:sSub>
          </m:den>
        </m:f>
        <m:r>
          <m:rPr>
            <m:sty m:val="p"/>
          </m:rPr>
          <m:t>&gt;</m:t>
        </m:r>
        <m:sSubSup>
          <m:e>
            <m:r>
              <m:t>c</m:t>
            </m:r>
          </m:e>
          <m:sub>
            <m:r>
              <m:t>m</m:t>
            </m:r>
          </m:sub>
          <m:sup>
            <m:r>
              <m:rPr>
                <m:sty m:val="p"/>
              </m:rPr>
              <m:t>M</m:t>
            </m:r>
            <m:r>
              <m:rPr>
                <m:sty m:val="p"/>
              </m:rPr>
              <m:t>C</m:t>
            </m:r>
          </m:sup>
        </m:sSubSup>
        <m:r>
          <m:rPr>
            <m:sty m:val="p"/>
          </m:rPr>
          <m:t>,</m:t>
        </m:r>
        <m:r>
          <m:t>  </m:t>
        </m:r>
        <m:sSubSup>
          <m:e>
            <m:r>
              <m:t>c</m:t>
            </m:r>
          </m:e>
          <m:sub>
            <m:r>
              <m:t>m</m:t>
            </m:r>
          </m:sub>
          <m:sup>
            <m:r>
              <m:rPr>
                <m:sty m:val="p"/>
              </m:rPr>
              <m:t>A</m:t>
            </m:r>
            <m:r>
              <m:rPr>
                <m:sty m:val="p"/>
              </m:rPr>
              <m:t>C</m:t>
            </m:r>
          </m:sup>
        </m:sSubSup>
        <m:d>
          <m:dPr>
            <m:begChr m:val="("/>
            <m:endChr m:val=")"/>
            <m:grow/>
          </m:dPr>
          <m:e>
            <m:sSub>
              <m:e>
                <m:r>
                  <m:t>T</m:t>
                </m:r>
              </m:e>
              <m:sub>
                <m:r>
                  <m:t>m</m:t>
                </m:r>
              </m:sub>
            </m:sSub>
          </m:e>
        </m:d>
        <m:r>
          <m:rPr>
            <m:sty m:val="p"/>
          </m:rPr>
          <m:t>→</m:t>
        </m:r>
        <m:sSubSup>
          <m:e>
            <m:r>
              <m:t>c</m:t>
            </m:r>
          </m:e>
          <m:sub>
            <m:r>
              <m:t>m</m:t>
            </m:r>
          </m:sub>
          <m:sup>
            <m:r>
              <m:rPr>
                <m:sty m:val="p"/>
              </m:rPr>
              <m:t>M</m:t>
            </m:r>
            <m:r>
              <m:rPr>
                <m:sty m:val="p"/>
              </m:rPr>
              <m:t>C</m:t>
            </m:r>
          </m:sup>
        </m:sSubSup>
        <m:r>
          <m:t> </m:t>
        </m:r>
        <m:d>
          <m:dPr>
            <m:begChr m:val="("/>
            <m:endChr m:val=")"/>
            <m:grow/>
          </m:dPr>
          <m:e>
            <m:sSub>
              <m:e>
                <m:r>
                  <m:t>T</m:t>
                </m:r>
              </m:e>
              <m:sub>
                <m:r>
                  <m:t>m</m:t>
                </m:r>
              </m:sub>
            </m:sSub>
            <m:r>
              <m:rPr>
                <m:sty m:val="p"/>
              </m:rPr>
              <m:t>→</m:t>
            </m:r>
            <m:r>
              <m:rPr>
                <m:sty m:val="p"/>
              </m:rPr>
              <m:t>∞</m:t>
            </m:r>
          </m:e>
        </m:d>
      </m:oMath>
      <w:r>
        <w:tab/>
      </w:r>
      <w:r>
        <w:rPr>
          <w:rFonts w:ascii="Times New Roman" w:hAnsi="Times New Roman" w:eastAsia="宋体"/>
          <w:sz w:val="24"/>
        </w:rPr>
        <w:t>(7-2)</w:t>
      </w:r>
    </w:p>
    <w:p>
      <w:pPr>
        <w:spacing w:line="360" w:lineRule="auto" w:after="0"/>
        <w:jc w:val="both"/>
      </w:pPr>
      <w:r>
        <w:rPr>
          <w:rFonts w:ascii="宋体" w:hAnsi="宋体" w:eastAsia="宋体"/>
          <w:sz w:val="24"/>
        </w:rPr>
        <w:t>其中，</w:t>
      </w:r>
      <m:oMath>
        <m:sSubSup>
          <m:e>
            <m:r>
              <m:t>c</m:t>
            </m:r>
          </m:e>
          <m:sub>
            <m:r>
              <m:t>m</m:t>
            </m:r>
          </m:sub>
          <m:sup>
            <m:r>
              <m:rPr>
                <m:sty m:val="p"/>
              </m:rPr>
              <m:t>A</m:t>
            </m:r>
            <m:r>
              <m:rPr>
                <m:sty m:val="p"/>
              </m:rPr>
              <m:t>C</m:t>
            </m:r>
          </m:sup>
        </m:sSubSup>
      </m:oMath>
      <w:r>
        <w:rPr>
          <w:rFonts w:ascii="宋体" w:hAnsi="宋体" w:eastAsia="宋体"/>
          <w:sz w:val="24"/>
        </w:rPr>
        <w:t>为单位物理词元的平均成本。不等号对一切有限产量严格成立，且平均成本随产量单调递减。</w:t>
      </w:r>
    </w:p>
    <w:p>
      <w:pPr>
        <w:spacing w:line="360" w:lineRule="auto" w:after="0"/>
        <w:ind w:firstLineChars="200" w:firstLine="480"/>
        <w:jc w:val="both"/>
      </w:pPr>
      <w:r>
        <w:rPr>
          <w:rFonts w:ascii="宋体" w:hAnsi="宋体" w:eastAsia="宋体"/>
          <w:sz w:val="24"/>
        </w:rPr>
        <w:t>式(7-2)给出了一个无法回避的结论：若按边际成本定价，词元服务方的利润恒等于</w:t>
      </w:r>
      <m:oMath>
        <m:r>
          <m:rPr>
            <m:sty m:val="p"/>
          </m:rPr>
          <m:t>−</m:t>
        </m:r>
        <m:d>
          <m:dPr>
            <m:begChr m:val="("/>
            <m:endChr m:val=")"/>
            <m:grow/>
          </m:dPr>
          <m:e>
            <m:sSub>
              <m:e>
                <m:r>
                  <m:t>F</m:t>
                </m:r>
              </m:e>
              <m:sub>
                <m:r>
                  <m:t>m</m:t>
                </m:r>
              </m:sub>
            </m:sSub>
            <m:r>
              <m:rPr>
                <m:sty m:val="p"/>
              </m:rPr>
              <m:t>+</m:t>
            </m:r>
            <m:r>
              <m:t>r</m:t>
            </m:r>
            <m:sSub>
              <m:e>
                <m:r>
                  <m:t>K</m:t>
                </m:r>
              </m:e>
              <m:sub>
                <m:r>
                  <m:t>m</m:t>
                </m:r>
              </m:sub>
            </m:sSub>
          </m:e>
        </m:d>
      </m:oMath>
      <w:r>
        <w:rPr>
          <w:rFonts w:ascii="宋体" w:hAnsi="宋体" w:eastAsia="宋体"/>
          <w:sz w:val="24"/>
        </w:rPr>
        <w:t>，即全部固定成本与资本回报无从回收。这与信息品定价的经典困境同构，但成因不同——信息品的问题是边际成本为零，词元的问题是平均成本远高于边际成本。本书六档位的校准结果显示，固定成本占平均成本的比重均值达47.4%，即接近一半的成本与当期产量无关。在这样的成本结构下，价格必须包含加成，问题只在于加成的依据是什么。经济学为此提供了三条经典路径：拉姆齐定价按需求弹性的倒数分摊固定成本，两部定价以固定费回收固定成本、以边际价格保证配置效率，版本划分则以质量梯度实现自选择（Mussa和Rosen，1978；Bhargava和Choudhary，2008）。三条路径在词元市场上都能找到对应的现实形态：普惠包与订阅制对应两部定价，档位菜单对应版本划分，分行业的差别定价隐含着拉姆齐逻辑。</w:t>
      </w:r>
    </w:p>
    <w:p>
      <w:pPr>
        <w:spacing w:line="360" w:lineRule="auto" w:after="0"/>
        <w:ind w:firstLineChars="200" w:firstLine="480"/>
        <w:jc w:val="both"/>
      </w:pPr>
      <w:r>
        <w:rPr>
          <w:rFonts w:ascii="宋体" w:hAnsi="宋体" w:eastAsia="宋体"/>
          <w:sz w:val="24"/>
        </w:rPr>
        <w:t>词元定价还有一重信息品定价所没有的复杂性：它嵌在多边平台结构之中。算力方、模型方、应用方经平台连接，任一侧的价格都会通过交叉网络外部性影响另一侧的接入规模，因而单边的成本加成并不构成均衡定价的充分条件（Armstrong，2006；Jullien等，2021）；平台掌握的用量与效果数据又使其具备实施精细化定价的技术能力（Dubé和Misra，2023；Bergemann和Bonatti，2024）。这些结构性因素共同决定：词元价格不可能由单一公式给出，只能由「成本决定下限、能力决定梯度、场景决定上限」的层次结构刻画。</w:t>
      </w:r>
    </w:p>
    <w:p>
      <w:pPr>
        <w:keepNext/>
        <w:spacing w:before="160" w:after="120" w:line="360" w:lineRule="auto"/>
        <w:outlineLvl w:val="2"/>
      </w:pPr>
      <w:r>
        <w:rPr>
          <w:rFonts w:ascii="黑体" w:hAnsi="黑体" w:eastAsia="黑体"/>
          <w:sz w:val="24"/>
        </w:rPr>
        <w:t>7.1.3  定价基准的三个候选与本书的选择</w:t>
      </w:r>
    </w:p>
    <w:p>
      <w:pPr>
        <w:spacing w:line="360" w:lineRule="auto" w:after="0"/>
        <w:ind w:firstLineChars="200" w:firstLine="480"/>
        <w:jc w:val="both"/>
      </w:pPr>
      <w:r>
        <w:rPr>
          <w:rFonts w:ascii="宋体" w:hAnsi="宋体" w:eastAsia="宋体"/>
          <w:sz w:val="24"/>
        </w:rPr>
        <w:t>既然必须加成，加成的锚点是什么？现实中并存三个候选基准，各自的适用条件与失效边界均可辨明。</w:t>
      </w:r>
      <w:r>
        <w:rPr>
          <w:rFonts w:ascii="宋体" w:hAnsi="宋体" w:eastAsia="宋体"/>
          <w:b/>
          <w:sz w:val="24"/>
        </w:rPr>
        <w:t>候选一是成本加成</w:t>
      </w:r>
      <w:r>
        <w:rPr>
          <w:rFonts w:ascii="宋体" w:hAnsi="宋体" w:eastAsia="宋体"/>
          <w:sz w:val="24"/>
        </w:rPr>
        <w:t>：以式(7-2)的平均成本为基础按固定比例加成。其优点是可核算、可审计，缺陷是无法解释同等成本下的巨大价差——本书六档位中，多模态级与开源旗舰级的成本底价相差不足1.41倍，市场价却相差1.52倍。</w:t>
      </w:r>
      <w:r>
        <w:rPr>
          <w:rFonts w:ascii="宋体" w:hAnsi="宋体" w:eastAsia="宋体"/>
          <w:b/>
          <w:sz w:val="24"/>
        </w:rPr>
        <w:t>候选二是竞争对标</w:t>
      </w:r>
      <w:r>
        <w:rPr>
          <w:rFonts w:ascii="宋体" w:hAnsi="宋体" w:eastAsia="宋体"/>
          <w:sz w:val="24"/>
        </w:rPr>
        <w:t>：以主要竞争者的挂牌价为参照定价。其优点是简便，缺陷是没有锚点——当所有参与者都以对方为锚，价格系统就失去了外部约束，只剩下向下的正反馈，这正是2024年以来数轮价格战的生成机制。</w:t>
      </w:r>
      <w:r>
        <w:rPr>
          <w:rFonts w:ascii="宋体" w:hAnsi="宋体" w:eastAsia="宋体"/>
          <w:b/>
          <w:sz w:val="24"/>
        </w:rPr>
        <w:t>候选三是价值锚定</w:t>
      </w:r>
      <w:r>
        <w:rPr>
          <w:rFonts w:ascii="宋体" w:hAnsi="宋体" w:eastAsia="宋体"/>
          <w:sz w:val="24"/>
        </w:rPr>
        <w:t>：以词元在应用场景中创造并可被占有的价值为基准定价。其优点是与价值论一致，缺陷是价值不可直接观测，必须先有可计量、可比较的质量尺度。</w:t>
      </w:r>
    </w:p>
    <w:p>
      <w:pPr>
        <w:spacing w:line="360" w:lineRule="auto" w:after="0"/>
        <w:ind w:firstLineChars="200" w:firstLine="480"/>
        <w:jc w:val="both"/>
      </w:pPr>
      <w:r>
        <w:rPr>
          <w:rFonts w:ascii="宋体" w:hAnsi="宋体" w:eastAsia="宋体"/>
          <w:sz w:val="24"/>
        </w:rPr>
        <w:t>本书选择第三条，而第三条的可行性恰恰依赖于第5章的折算体系。这里需要与既有工作做一个准确的区分。围绕词元质量的度量，国内已经形成若干套并行推进的评价体系，它们主体不同、维度不同、用途也不同，必须逐一注明而不能合并引用：中国信息通信研究院的《人工智能Token服务质量能力要求》及其「可信AI-Token服务质量评估」设有模型服务能力、Token服务性能、Token服务可信、Token服务运维、Token服务用户体验、Token计量计费六个维度；同一机构于2026年6月发布的「高质量Token服务标准体系」则设服务质量、运营能力、生产能力、安全能力四个维度；中国工业互联网研究院《Token驱动智能经济研究报告（2026年）》构建的是涵盖生产成本、生产效率、准确性、生态价值、安全五个维度的价值度量体系；清华大学翟季冬团队联合企业方于2026年5月发布的开源模型Token服务性能榜，则以首Token时延（P90分位）、输出吞吐与缓存命中率三项实测指标为核心。四套工作的共同贡献，是把「词元有好坏之分」这一产业共识转化为可观测的指标；中国信息通信研究院云计算与大数据研究所负责人所提出的「不能只看单价，行业亟须一套衡量『高质量Token』的标尺」，正是这一取向的凝练表述。</w:t>
      </w:r>
    </w:p>
    <w:p>
      <w:pPr>
        <w:spacing w:line="360" w:lineRule="auto" w:after="0"/>
        <w:ind w:firstLineChars="200" w:firstLine="480"/>
        <w:jc w:val="both"/>
      </w:pPr>
      <w:r>
        <w:rPr>
          <w:rFonts w:ascii="宋体" w:hAnsi="宋体" w:eastAsia="宋体"/>
          <w:sz w:val="24"/>
        </w:rPr>
        <w:t>但从定价的需要看，多维评价与当量折算之间存在一道未跨越的门槛。多维评价的产出是并列的维度得分或达标基线——例如首批企业达成的性能攀登基线为吞吐不低于每秒55词元、首词元时延不高于0.9秒、调用成功率99.9%——这些指标可以回答「是否达标」，却无法回答「一枚推理增强级词元等于几枚中型通用级词元」。价格公式需要的恰恰是后者：一个可以进入分母、可以加总、可以在不同模型与任务之间传递的当量系数。第5章的</w:t>
      </w:r>
      <m:oMath>
        <m:d>
          <m:dPr>
            <m:begChr m:val="("/>
            <m:endChr m:val=")"/>
            <m:grow/>
          </m:dPr>
          <m:e>
            <m:r>
              <m:t>P</m:t>
            </m:r>
            <m:r>
              <m:rPr>
                <m:sty m:val="p"/>
              </m:rPr>
              <m:t>,</m:t>
            </m:r>
            <m:r>
              <m:t>R</m:t>
            </m:r>
            <m:r>
              <m:rPr>
                <m:sty m:val="p"/>
              </m:rPr>
              <m:t>,</m:t>
            </m:r>
            <m:r>
              <m:t>S</m:t>
            </m:r>
          </m:e>
        </m:d>
      </m:oMath>
      <w:r>
        <w:rPr>
          <w:rFonts w:ascii="宋体" w:hAnsi="宋体" w:eastAsia="宋体"/>
          <w:sz w:val="24"/>
        </w:rPr>
        <w:t>三维折算函数正是为此而构建，其标定结果给出六档位的效值系数由0.38到4.28。</w:t>
      </w:r>
      <w:r>
        <w:rPr>
          <w:rFonts w:ascii="宋体" w:hAnsi="宋体" w:eastAsia="宋体"/>
          <w:b/>
          <w:sz w:val="24"/>
        </w:rPr>
        <w:t>本章的全部定价分析都建立在这一当量之上</w:t>
      </w:r>
      <w:r>
        <w:rPr>
          <w:rFonts w:ascii="宋体" w:hAnsi="宋体" w:eastAsia="宋体"/>
          <w:sz w:val="24"/>
        </w:rPr>
        <w:t>：有了当量，价格才能从「元每百万物理词元」转换为「元每百万标准词元」，价格的可比性、价格指数的质量调整与补贴的效率核定才同时成为可能。需要重申的是，三维效值折算体系是本书自主构建的理论框架，与上述四套评价工作在主体、维度与用途上均无对应关系，不得相互挂靠。</w:t>
      </w:r>
    </w:p>
    <w:p>
      <w:pPr>
        <w:keepNext/>
        <w:spacing w:before="160" w:after="120" w:line="360" w:lineRule="auto"/>
        <w:outlineLvl w:val="1"/>
      </w:pPr>
      <w:r>
        <w:rPr>
          <w:rFonts w:ascii="黑体" w:hAnsi="黑体" w:eastAsia="黑体"/>
          <w:sz w:val="28"/>
        </w:rPr>
        <w:t>7.2  三层定价结构：成本底价、效值溢价与场景租金</w:t>
      </w:r>
    </w:p>
    <w:p>
      <w:pPr>
        <w:keepNext/>
        <w:spacing w:before="160" w:after="120" w:line="360" w:lineRule="auto"/>
        <w:outlineLvl w:val="2"/>
      </w:pPr>
      <w:r>
        <w:rPr>
          <w:rFonts w:ascii="黑体" w:hAnsi="黑体" w:eastAsia="黑体"/>
          <w:sz w:val="24"/>
        </w:rPr>
        <w:t>7.2.1  三层结构的界定</w:t>
      </w:r>
    </w:p>
    <w:p>
      <w:pPr>
        <w:spacing w:line="360" w:lineRule="auto" w:after="0"/>
        <w:ind w:firstLineChars="200" w:firstLine="480"/>
        <w:jc w:val="both"/>
      </w:pPr>
      <w:r>
        <w:rPr>
          <w:rFonts w:ascii="宋体" w:hAnsi="宋体" w:eastAsia="宋体"/>
          <w:sz w:val="24"/>
        </w:rPr>
        <w:t>本书提出的三层定价结构，是把词元的市场价格分解为三个来源不同、决定因素不同、变动方向也不同的组成部分。其形式表述如式(7-3)所示。</w:t>
      </w:r>
    </w:p>
    <w:p>
      <w:pPr>
        <w:tabs>
          <w:tab w:pos="4252" w:val="center"/>
          <w:tab w:pos="8504" w:val="right"/>
        </w:tabs>
        <w:spacing w:line="360" w:lineRule="auto" w:before="80" w:after="80"/>
      </w:pPr>
      <w:r>
        <w:tab/>
      </w:r>
      <m:oMath>
        <m:sSub>
          <m:e>
            <m:r>
              <m:t>p</m:t>
            </m:r>
          </m:e>
          <m:sub>
            <m:r>
              <m:t>m</m:t>
            </m:r>
          </m:sub>
        </m:sSub>
        <m:r>
          <m:rPr>
            <m:sty m:val="p"/>
          </m:rPr>
          <m:t>=</m:t>
        </m:r>
        <m:sSubSup>
          <m:e>
            <m:r>
              <m:t>p</m:t>
            </m:r>
          </m:e>
          <m:sub>
            <m:r>
              <m:t>m</m:t>
            </m:r>
          </m:sub>
          <m:sup>
            <m:r>
              <m:t>f</m:t>
            </m:r>
          </m:sup>
        </m:sSubSup>
        <m:r>
          <m:rPr>
            <m:sty m:val="p"/>
          </m:rPr>
          <m:t>+</m:t>
        </m:r>
        <m:sSubSup>
          <m:e>
            <m:r>
              <m:t>p</m:t>
            </m:r>
          </m:e>
          <m:sub>
            <m:r>
              <m:t>m</m:t>
            </m:r>
          </m:sub>
          <m:sup>
            <m:r>
              <m:t>η</m:t>
            </m:r>
          </m:sup>
        </m:sSubSup>
        <m:r>
          <m:rPr>
            <m:sty m:val="p"/>
          </m:rPr>
          <m:t>+</m:t>
        </m:r>
        <m:sSubSup>
          <m:e>
            <m:r>
              <m:t>p</m:t>
            </m:r>
          </m:e>
          <m:sub>
            <m:r>
              <m:t>m</m:t>
            </m:r>
          </m:sub>
          <m:sup>
            <m:r>
              <m:t>s</m:t>
            </m:r>
          </m:sup>
        </m:sSubSup>
        <m:r>
          <m:rPr>
            <m:sty m:val="p"/>
          </m:rPr>
          <m:t>,</m:t>
        </m:r>
        <m:r>
          <m:t>  </m:t>
        </m:r>
        <m:sSubSup>
          <m:e>
            <m:r>
              <m:t>p</m:t>
            </m:r>
          </m:e>
          <m:sub>
            <m:r>
              <m:t>m</m:t>
            </m:r>
          </m:sub>
          <m:sup>
            <m:r>
              <m:t>f</m:t>
            </m:r>
          </m:sup>
        </m:sSubSup>
        <m:r>
          <m:rPr>
            <m:sty m:val="p"/>
          </m:rPr>
          <m:t>&gt;</m:t>
        </m:r>
        <m:r>
          <m:t>0</m:t>
        </m:r>
        <m:r>
          <m:rPr>
            <m:sty m:val="p"/>
          </m:rPr>
          <m:t>,</m:t>
        </m:r>
        <m:r>
          <m:t> </m:t>
        </m:r>
        <m:sSubSup>
          <m:e>
            <m:r>
              <m:t>p</m:t>
            </m:r>
          </m:e>
          <m:sub>
            <m:r>
              <m:t>m</m:t>
            </m:r>
          </m:sub>
          <m:sup>
            <m:r>
              <m:t>η</m:t>
            </m:r>
          </m:sup>
        </m:sSubSup>
        <m:r>
          <m:rPr>
            <m:sty m:val="p"/>
          </m:rPr>
          <m:t>≥</m:t>
        </m:r>
        <m:r>
          <m:t>0</m:t>
        </m:r>
        <m:r>
          <m:rPr>
            <m:sty m:val="p"/>
          </m:rPr>
          <m:t>,</m:t>
        </m:r>
        <m:r>
          <m:t> </m:t>
        </m:r>
        <m:sSubSup>
          <m:e>
            <m:r>
              <m:t>p</m:t>
            </m:r>
          </m:e>
          <m:sub>
            <m:r>
              <m:t>m</m:t>
            </m:r>
          </m:sub>
          <m:sup>
            <m:r>
              <m:t>s</m:t>
            </m:r>
          </m:sup>
        </m:sSubSup>
        <m:r>
          <m:rPr>
            <m:sty m:val="p"/>
          </m:rPr>
          <m:t>≥</m:t>
        </m:r>
        <m:r>
          <m:t>0</m:t>
        </m:r>
      </m:oMath>
      <w:r>
        <w:tab/>
      </w:r>
      <w:r>
        <w:rPr>
          <w:rFonts w:ascii="Times New Roman" w:hAnsi="Times New Roman" w:eastAsia="宋体"/>
          <w:sz w:val="24"/>
        </w:rPr>
        <w:t>(7-3)</w:t>
      </w:r>
    </w:p>
    <w:p>
      <w:pPr>
        <w:spacing w:line="360" w:lineRule="auto" w:after="0"/>
        <w:jc w:val="both"/>
      </w:pPr>
      <w:r>
        <w:rPr>
          <w:rFonts w:ascii="宋体" w:hAnsi="宋体" w:eastAsia="宋体"/>
          <w:sz w:val="24"/>
        </w:rPr>
        <w:t>其中，</w:t>
      </w:r>
      <m:oMath>
        <m:sSub>
          <m:e>
            <m:r>
              <m:t>p</m:t>
            </m:r>
          </m:e>
          <m:sub>
            <m:r>
              <m:t>m</m:t>
            </m:r>
          </m:sub>
        </m:sSub>
      </m:oMath>
      <w:r>
        <w:rPr>
          <w:rFonts w:ascii="宋体" w:hAnsi="宋体" w:eastAsia="宋体"/>
          <w:sz w:val="24"/>
        </w:rPr>
        <w:t>为档位</w:t>
      </w:r>
      <m:oMath>
        <m:r>
          <m:t>m</m:t>
        </m:r>
      </m:oMath>
      <w:r>
        <w:rPr>
          <w:rFonts w:ascii="宋体" w:hAnsi="宋体" w:eastAsia="宋体"/>
          <w:sz w:val="24"/>
        </w:rPr>
        <w:t>每百万物理词元的市场价，</w:t>
      </w:r>
      <m:oMath>
        <m:sSubSup>
          <m:e>
            <m:r>
              <m:t>p</m:t>
            </m:r>
          </m:e>
          <m:sub>
            <m:r>
              <m:t>m</m:t>
            </m:r>
          </m:sub>
          <m:sup>
            <m:r>
              <m:t>f</m:t>
            </m:r>
          </m:sup>
        </m:sSubSup>
      </m:oMath>
      <w:r>
        <w:rPr>
          <w:rFonts w:ascii="宋体" w:hAnsi="宋体" w:eastAsia="宋体"/>
          <w:sz w:val="24"/>
        </w:rPr>
        <w:t>为成本底价层、</w:t>
      </w:r>
      <m:oMath>
        <m:sSubSup>
          <m:e>
            <m:r>
              <m:t>p</m:t>
            </m:r>
          </m:e>
          <m:sub>
            <m:r>
              <m:t>m</m:t>
            </m:r>
          </m:sub>
          <m:sup>
            <m:r>
              <m:t>η</m:t>
            </m:r>
          </m:sup>
        </m:sSubSup>
      </m:oMath>
      <w:r>
        <w:rPr>
          <w:rFonts w:ascii="宋体" w:hAnsi="宋体" w:eastAsia="宋体"/>
          <w:sz w:val="24"/>
        </w:rPr>
        <w:t>为效值溢价层、</w:t>
      </w:r>
      <m:oMath>
        <m:sSubSup>
          <m:e>
            <m:r>
              <m:t>p</m:t>
            </m:r>
          </m:e>
          <m:sub>
            <m:r>
              <m:t>m</m:t>
            </m:r>
          </m:sub>
          <m:sup>
            <m:r>
              <m:t>s</m:t>
            </m:r>
          </m:sup>
        </m:sSubSup>
      </m:oMath>
      <w:r>
        <w:rPr>
          <w:rFonts w:ascii="宋体" w:hAnsi="宋体" w:eastAsia="宋体"/>
          <w:sz w:val="24"/>
        </w:rPr>
        <w:t>为场景租金层；三层均以同一量纲计量，恒等式对每一档位成立。</w:t>
      </w:r>
    </w:p>
    <w:p>
      <w:pPr>
        <w:spacing w:line="360" w:lineRule="auto" w:after="0"/>
        <w:ind w:firstLineChars="200" w:firstLine="480"/>
        <w:jc w:val="both"/>
      </w:pPr>
      <w:r>
        <w:rPr>
          <w:rFonts w:ascii="宋体" w:hAnsi="宋体" w:eastAsia="宋体"/>
          <w:sz w:val="24"/>
        </w:rPr>
        <w:t>三层的经济性质截然不同。</w:t>
      </w:r>
      <w:r>
        <w:rPr>
          <w:rFonts w:ascii="宋体" w:hAnsi="宋体" w:eastAsia="宋体"/>
          <w:b/>
          <w:sz w:val="24"/>
        </w:rPr>
        <w:t>成本底价层</w:t>
      </w:r>
      <w:r>
        <w:rPr>
          <w:rFonts w:ascii="宋体" w:hAnsi="宋体" w:eastAsia="宋体"/>
          <w:sz w:val="24"/>
        </w:rPr>
        <w:t>由算力与能源决定，是价格的刚性下限：低于此线的定价无法持续，只能是补贴或引流。它随硬件迭代、系统优化与利用率改善而缓慢下移，其下移是全行业共享的技术红利。</w:t>
      </w:r>
      <w:r>
        <w:rPr>
          <w:rFonts w:ascii="宋体" w:hAnsi="宋体" w:eastAsia="宋体"/>
          <w:b/>
          <w:sz w:val="24"/>
        </w:rPr>
        <w:t>效值溢价层</w:t>
      </w:r>
      <w:r>
        <w:rPr>
          <w:rFonts w:ascii="宋体" w:hAnsi="宋体" w:eastAsia="宋体"/>
          <w:sz w:val="24"/>
        </w:rPr>
        <w:t>由模型能力决定，是质量梯度的价格表现：效值越高，单位词元可索取的溢价越厚。它随模型能力的分化而扩张、随能力的扩散而收敛，是竞争最为激烈的一层。</w:t>
      </w:r>
      <w:r>
        <w:rPr>
          <w:rFonts w:ascii="宋体" w:hAnsi="宋体" w:eastAsia="宋体"/>
          <w:b/>
          <w:sz w:val="24"/>
        </w:rPr>
        <w:t>场景租金层</w:t>
      </w:r>
      <w:r>
        <w:rPr>
          <w:rFonts w:ascii="宋体" w:hAnsi="宋体" w:eastAsia="宋体"/>
          <w:sz w:val="24"/>
        </w:rPr>
        <w:t>由应用价值的可占有份额决定，是纵向价差的来源：同一档位的词元投放到不同场景，可索取的租金相差数倍。它取决于场景价值密度、可替代性与议价能力，是三层中最不透明、也最容易被忽视的一层。三层的叠加关系与各自的决定因素如图7.1所示。</w:t>
      </w:r>
    </w:p>
    <w:p>
      <w:pPr>
        <w:spacing w:before="120" w:after="40"/>
        <w:jc w:val="center"/>
      </w:pPr>
      <w:r>
        <w:drawing>
          <wp:inline xmlns:a="http://schemas.openxmlformats.org/drawingml/2006/main" xmlns:pic="http://schemas.openxmlformats.org/drawingml/2006/picture">
            <wp:extent cx="4860000" cy="3049412"/>
            <wp:docPr id="20" name="Picture 20"/>
            <wp:cNvGraphicFramePr>
              <a:graphicFrameLocks noChangeAspect="1"/>
            </wp:cNvGraphicFramePr>
            <a:graphic>
              <a:graphicData uri="http://schemas.openxmlformats.org/drawingml/2006/picture">
                <pic:pic>
                  <pic:nvPicPr>
                    <pic:cNvPr id="0" name="fig7_1.png"/>
                    <pic:cNvPicPr/>
                  </pic:nvPicPr>
                  <pic:blipFill>
                    <a:blip r:embed="rId28"/>
                    <a:stretch>
                      <a:fillRect/>
                    </a:stretch>
                  </pic:blipFill>
                  <pic:spPr>
                    <a:xfrm>
                      <a:off x="0" y="0"/>
                      <a:ext cx="4860000" cy="3049412"/>
                    </a:xfrm>
                    <a:prstGeom prst="rect"/>
                  </pic:spPr>
                </pic:pic>
              </a:graphicData>
            </a:graphic>
          </wp:inline>
        </w:drawing>
      </w:r>
    </w:p>
    <w:p>
      <w:pPr>
        <w:keepNext w:val="0"/>
        <w:spacing w:after="40"/>
        <w:jc w:val="center"/>
      </w:pPr>
      <w:r>
        <w:rPr>
          <w:rFonts w:ascii="黑体" w:hAnsi="黑体" w:eastAsia="黑体"/>
          <w:sz w:val="21"/>
        </w:rPr>
        <w:t>图7.1  词元价格的三层结构</w:t>
      </w:r>
    </w:p>
    <w:p>
      <w:pPr>
        <w:spacing w:after="200" w:line="240" w:lineRule="auto"/>
        <w:jc w:val="both"/>
      </w:pPr>
      <w:r>
        <w:rPr>
          <w:rFonts w:ascii="宋体" w:hAnsi="宋体" w:eastAsia="宋体"/>
          <w:sz w:val="18"/>
        </w:rPr>
        <w:t>注：图中标注的效值系数区间取自表5.2，场景价值密度区间取自表6.1；中型通用级的示例数值为2026年第二季度每百万物理词元口径。数据来源：作者校准复算。</w:t>
      </w:r>
    </w:p>
    <w:p>
      <w:pPr>
        <w:spacing w:line="360" w:lineRule="auto" w:after="0"/>
        <w:ind w:firstLineChars="200" w:firstLine="480"/>
        <w:jc w:val="both"/>
      </w:pPr>
      <w:r>
        <w:rPr>
          <w:rFonts w:ascii="宋体" w:hAnsi="宋体" w:eastAsia="宋体"/>
          <w:sz w:val="24"/>
        </w:rPr>
        <w:t>图7.1的结构安排有两点须加说明。其一，三层是</w:t>
      </w:r>
      <w:r>
        <w:rPr>
          <w:rFonts w:ascii="宋体" w:hAnsi="宋体" w:eastAsia="宋体"/>
          <w:b/>
          <w:sz w:val="24"/>
        </w:rPr>
        <w:t>自下而上累积</w:t>
      </w:r>
      <w:r>
        <w:rPr>
          <w:rFonts w:ascii="宋体" w:hAnsi="宋体" w:eastAsia="宋体"/>
          <w:sz w:val="24"/>
        </w:rPr>
        <w:t>而非并列：成本底价层是地基，效值溢价层建立在地基之上，场景租金层则建立在前两层之上。这一顺序不是修辞，而是有经济含义的——没有算力就没有词元，没有能力差异就没有质量梯度，没有场景落地就没有租金可言；反向的推论同样成立：场景租金的消失不会动摇价格地板，而价格地板的抬升却会挤压上面两层。其二，左侧标注的标准词元价格</w:t>
      </w:r>
      <m:oMath>
        <m:acc>
          <m:accPr>
            <m:chr m:val="̃"/>
          </m:accPr>
          <m:e>
            <m:r>
              <m:t>p</m:t>
            </m:r>
          </m:e>
        </m:acc>
        <m:r>
          <m:rPr>
            <m:sty m:val="p"/>
          </m:rPr>
          <m:t>=</m:t>
        </m:r>
        <m:r>
          <m:t>p</m:t>
        </m:r>
        <m:r>
          <m:rPr>
            <m:sty m:val="p"/>
          </m:rPr>
          <m:t>/</m:t>
        </m:r>
        <m:r>
          <m:t>η</m:t>
        </m:r>
      </m:oMath>
      <w:r>
        <w:rPr>
          <w:rFonts w:ascii="宋体" w:hAnsi="宋体" w:eastAsia="宋体"/>
          <w:sz w:val="24"/>
        </w:rPr>
        <w:t>提示了本章的分析主线：三层结构在物理词元口径下呈现为巨大的档位价差，一旦折算为标准词元口径，各层的离散程度将出现显著分化——这一分化正是7.2.5节的核心发现。三层结构的经济内涵、决定变量与竞争性质汇总于表7.1。</w:t>
      </w:r>
    </w:p>
    <w:p>
      <w:pPr>
        <w:keepNext/>
        <w:spacing w:before="160" w:after="40"/>
        <w:jc w:val="center"/>
      </w:pPr>
      <w:r>
        <w:rPr>
          <w:rFonts w:ascii="黑体" w:hAnsi="黑体" w:eastAsia="黑体"/>
          <w:sz w:val="21"/>
        </w:rPr>
        <w:t>表7.1  词元价格三层结构的经济内涵、决定因素与竞争性质</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层次</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价格构成项</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决定变量</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对应的价值环节</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竞争与政策性质</w:t>
            </w:r>
          </w:p>
        </w:tc>
      </w:tr>
      <w:tr>
        <w:tc>
          <w:tcPr>
            <w:tcW w:type="dxa" w:w="1701"/>
            <w:vAlign w:val="center"/>
          </w:tcPr>
          <w:p>
            <w:pPr>
              <w:spacing w:line="240" w:lineRule="auto" w:after="20" w:before="20"/>
              <w:jc w:val="center"/>
            </w:pPr>
            <w:r/>
            <w:r>
              <w:rPr>
                <w:rFonts w:ascii="宋体" w:hAnsi="宋体" w:eastAsia="宋体"/>
                <w:sz w:val="21"/>
              </w:rPr>
              <w:t>成本底价层</w:t>
            </w:r>
          </w:p>
        </w:tc>
        <w:tc>
          <w:tcPr>
            <w:tcW w:type="dxa" w:w="1701"/>
            <w:vAlign w:val="center"/>
          </w:tcPr>
          <w:p>
            <w:pPr>
              <w:spacing w:line="240" w:lineRule="auto" w:after="20" w:before="20"/>
              <w:jc w:val="left"/>
            </w:pPr>
            <w:r/>
            <w:r>
              <w:rPr>
                <w:rFonts w:ascii="宋体" w:hAnsi="宋体" w:eastAsia="宋体"/>
                <w:sz w:val="21"/>
              </w:rPr>
              <w:t>算力折旧与资金占用、电力、运维与网络、固定成本摊销</w:t>
            </w:r>
          </w:p>
        </w:tc>
        <w:tc>
          <w:tcPr>
            <w:tcW w:type="dxa" w:w="1701"/>
            <w:vAlign w:val="center"/>
          </w:tcPr>
          <w:p>
            <w:pPr>
              <w:spacing w:line="240" w:lineRule="auto" w:after="20" w:before="20"/>
              <w:jc w:val="left"/>
            </w:pPr>
            <w:r/>
            <w:r>
              <w:rPr>
                <w:rFonts w:ascii="宋体" w:hAnsi="宋体" w:eastAsia="宋体"/>
                <w:sz w:val="21"/>
              </w:rPr>
              <w:t>模型规模、上下文长度、有效算力利用率、电价与PUE、摊销期产量</w:t>
            </w:r>
          </w:p>
        </w:tc>
        <w:tc>
          <w:tcPr>
            <w:tcW w:type="dxa" w:w="1701"/>
            <w:vAlign w:val="center"/>
          </w:tcPr>
          <w:p>
            <w:pPr>
              <w:spacing w:line="240" w:lineRule="auto" w:after="20" w:before="20"/>
              <w:jc w:val="left"/>
            </w:pPr>
            <w:r/>
            <w:r>
              <w:rPr>
                <w:rFonts w:ascii="宋体" w:hAnsi="宋体" w:eastAsia="宋体"/>
                <w:sz w:val="21"/>
              </w:rPr>
              <w:t>价值创造（物化劳动转移与活劳动凝结）</w:t>
            </w:r>
          </w:p>
        </w:tc>
        <w:tc>
          <w:tcPr>
            <w:tcW w:type="dxa" w:w="1701"/>
            <w:vAlign w:val="center"/>
          </w:tcPr>
          <w:p>
            <w:pPr>
              <w:spacing w:line="240" w:lineRule="auto" w:after="20" w:before="20"/>
              <w:jc w:val="left"/>
            </w:pPr>
            <w:r/>
            <w:r>
              <w:rPr>
                <w:rFonts w:ascii="宋体" w:hAnsi="宋体" w:eastAsia="宋体"/>
                <w:sz w:val="21"/>
              </w:rPr>
              <w:t>全行业共享的技术红利，随效率改进缓慢下移；受电价与算力供给约束，构成价格竞争不可逾越的下限</w:t>
            </w:r>
          </w:p>
        </w:tc>
      </w:tr>
      <w:tr>
        <w:tc>
          <w:tcPr>
            <w:tcW w:type="dxa" w:w="1701"/>
            <w:vAlign w:val="center"/>
          </w:tcPr>
          <w:p>
            <w:pPr>
              <w:spacing w:line="240" w:lineRule="auto" w:after="20" w:before="20"/>
              <w:jc w:val="center"/>
            </w:pPr>
            <w:r/>
            <w:r>
              <w:rPr>
                <w:rFonts w:ascii="宋体" w:hAnsi="宋体" w:eastAsia="宋体"/>
                <w:sz w:val="21"/>
              </w:rPr>
              <w:t>效值溢价层</w:t>
            </w:r>
          </w:p>
        </w:tc>
        <w:tc>
          <w:tcPr>
            <w:tcW w:type="dxa" w:w="1701"/>
            <w:vAlign w:val="center"/>
          </w:tcPr>
          <w:p>
            <w:pPr>
              <w:spacing w:line="240" w:lineRule="auto" w:after="20" w:before="20"/>
              <w:jc w:val="left"/>
            </w:pPr>
            <w:r/>
            <w:r>
              <w:rPr>
                <w:rFonts w:ascii="宋体" w:hAnsi="宋体" w:eastAsia="宋体"/>
                <w:sz w:val="21"/>
              </w:rPr>
              <w:t>模型能力形成的质量梯度加价</w:t>
            </w:r>
          </w:p>
        </w:tc>
        <w:tc>
          <w:tcPr>
            <w:tcW w:type="dxa" w:w="1701"/>
            <w:vAlign w:val="center"/>
          </w:tcPr>
          <w:p>
            <w:pPr>
              <w:spacing w:line="240" w:lineRule="auto" w:after="20" w:before="20"/>
              <w:jc w:val="left"/>
            </w:pPr>
            <w:r/>
            <w:r>
              <w:rPr>
                <w:rFonts w:ascii="宋体" w:hAnsi="宋体" w:eastAsia="宋体"/>
                <w:sz w:val="21"/>
              </w:rPr>
              <w:t>三维效值合成系数、能力分化程度、效值信息的可观测性</w:t>
            </w:r>
          </w:p>
        </w:tc>
        <w:tc>
          <w:tcPr>
            <w:tcW w:type="dxa" w:w="1701"/>
            <w:vAlign w:val="center"/>
          </w:tcPr>
          <w:p>
            <w:pPr>
              <w:spacing w:line="240" w:lineRule="auto" w:after="20" w:before="20"/>
              <w:jc w:val="left"/>
            </w:pPr>
            <w:r/>
            <w:r>
              <w:rPr>
                <w:rFonts w:ascii="宋体" w:hAnsi="宋体" w:eastAsia="宋体"/>
                <w:sz w:val="21"/>
              </w:rPr>
              <w:t>价值创造中的差异化（推理质量与算力强度）</w:t>
            </w:r>
          </w:p>
        </w:tc>
        <w:tc>
          <w:tcPr>
            <w:tcW w:type="dxa" w:w="1701"/>
            <w:vAlign w:val="center"/>
          </w:tcPr>
          <w:p>
            <w:pPr>
              <w:spacing w:line="240" w:lineRule="auto" w:after="20" w:before="20"/>
              <w:jc w:val="left"/>
            </w:pPr>
            <w:r/>
            <w:r>
              <w:rPr>
                <w:rFonts w:ascii="宋体" w:hAnsi="宋体" w:eastAsia="宋体"/>
                <w:sz w:val="21"/>
              </w:rPr>
              <w:t>竞争最激烈的一层；能力扩散使其收敛，效值信息不透明则使其失衡，是效值披露制度的主要作用面</w:t>
            </w:r>
          </w:p>
        </w:tc>
      </w:tr>
      <w:tr>
        <w:tc>
          <w:tcPr>
            <w:tcW w:type="dxa" w:w="1701"/>
            <w:vAlign w:val="center"/>
          </w:tcPr>
          <w:p>
            <w:pPr>
              <w:spacing w:line="240" w:lineRule="auto" w:after="20" w:before="20"/>
              <w:jc w:val="center"/>
            </w:pPr>
            <w:r/>
            <w:r>
              <w:rPr>
                <w:rFonts w:ascii="宋体" w:hAnsi="宋体" w:eastAsia="宋体"/>
                <w:sz w:val="21"/>
              </w:rPr>
              <w:t>场景租金层</w:t>
            </w:r>
          </w:p>
        </w:tc>
        <w:tc>
          <w:tcPr>
            <w:tcW w:type="dxa" w:w="1701"/>
            <w:vAlign w:val="center"/>
          </w:tcPr>
          <w:p>
            <w:pPr>
              <w:spacing w:line="240" w:lineRule="auto" w:after="20" w:before="20"/>
              <w:jc w:val="left"/>
            </w:pPr>
            <w:r/>
            <w:r>
              <w:rPr>
                <w:rFonts w:ascii="宋体" w:hAnsi="宋体" w:eastAsia="宋体"/>
                <w:sz w:val="21"/>
              </w:rPr>
              <w:t>应用价值中可被服务方占有的份额</w:t>
            </w:r>
          </w:p>
        </w:tc>
        <w:tc>
          <w:tcPr>
            <w:tcW w:type="dxa" w:w="1701"/>
            <w:vAlign w:val="center"/>
          </w:tcPr>
          <w:p>
            <w:pPr>
              <w:spacing w:line="240" w:lineRule="auto" w:after="20" w:before="20"/>
              <w:jc w:val="left"/>
            </w:pPr>
            <w:r/>
            <w:r>
              <w:rPr>
                <w:rFonts w:ascii="宋体" w:hAnsi="宋体" w:eastAsia="宋体"/>
                <w:sz w:val="21"/>
              </w:rPr>
              <w:t>场景价值密度、可替代性、转换成本与议价能力、合约期限</w:t>
            </w:r>
          </w:p>
        </w:tc>
        <w:tc>
          <w:tcPr>
            <w:tcW w:type="dxa" w:w="1701"/>
            <w:vAlign w:val="center"/>
          </w:tcPr>
          <w:p>
            <w:pPr>
              <w:spacing w:line="240" w:lineRule="auto" w:after="20" w:before="20"/>
              <w:jc w:val="left"/>
            </w:pPr>
            <w:r/>
            <w:r>
              <w:rPr>
                <w:rFonts w:ascii="宋体" w:hAnsi="宋体" w:eastAsia="宋体"/>
                <w:sz w:val="21"/>
              </w:rPr>
              <w:t>价值实现（可占有份额与价值杠杆）</w:t>
            </w:r>
          </w:p>
        </w:tc>
        <w:tc>
          <w:tcPr>
            <w:tcW w:type="dxa" w:w="1701"/>
            <w:vAlign w:val="center"/>
          </w:tcPr>
          <w:p>
            <w:pPr>
              <w:spacing w:line="240" w:lineRule="auto" w:after="20" w:before="20"/>
              <w:jc w:val="left"/>
            </w:pPr>
            <w:r/>
            <w:r>
              <w:rPr>
                <w:rFonts w:ascii="宋体" w:hAnsi="宋体" w:eastAsia="宋体"/>
                <w:sz w:val="21"/>
              </w:rPr>
              <w:t>纵向价差的主要来源；最不透明，受锁定与信息不对称影响最大，也是反垄断与合同规范的关注点</w:t>
            </w:r>
          </w:p>
        </w:tc>
      </w:tr>
    </w:tbl>
    <w:p>
      <w:pPr>
        <w:spacing w:after="200" w:line="240" w:lineRule="auto"/>
        <w:jc w:val="both"/>
      </w:pPr>
      <w:r>
        <w:rPr>
          <w:rFonts w:ascii="宋体" w:hAnsi="宋体" w:eastAsia="宋体"/>
          <w:sz w:val="18"/>
        </w:rPr>
        <w:t>注：三层的价格构成项与决定变量对应式(7-4)至式(7-6)；「对应的价值环节」一列指向第6章的价值创造、实现与增值分析框架。</w:t>
      </w:r>
    </w:p>
    <w:p>
      <w:pPr>
        <w:spacing w:line="360" w:lineRule="auto" w:after="0"/>
        <w:ind w:firstLineChars="200" w:firstLine="480"/>
        <w:jc w:val="both"/>
      </w:pPr>
      <w:r>
        <w:rPr>
          <w:rFonts w:ascii="宋体" w:hAnsi="宋体" w:eastAsia="宋体"/>
          <w:sz w:val="24"/>
        </w:rPr>
        <w:t>表7.1的最后一列揭示了三层结构的政策价值：三层对应三类完全不同的政策工具。针对成本底价层的政策是算力与能源政策——绿电直供、算电协同、枢纽节点的PUE约束与上架率要求，其作用是压低地板；针对效值溢价层的政策是计量与披露政策——统一的效值口径与强制披露，其作用是让溢价重新锚定于能力而非品牌；针对场景租金层的政策则是竞争与合同政策——降低转换成本、限制排他条款，其作用是防止租金被锁定效应固化。把三类工具混用，例如以成本监审去治理租金层的价差，或以效值披露去解决地板过高的问题，都将无效。</w:t>
      </w:r>
    </w:p>
    <w:p>
      <w:pPr>
        <w:keepNext/>
        <w:spacing w:before="160" w:after="120" w:line="360" w:lineRule="auto"/>
        <w:outlineLvl w:val="2"/>
      </w:pPr>
      <w:r>
        <w:rPr>
          <w:rFonts w:ascii="黑体" w:hAnsi="黑体" w:eastAsia="黑体"/>
          <w:sz w:val="24"/>
        </w:rPr>
        <w:t>7.2.2  成本底价层：价格地板的构成与刚性</w:t>
      </w:r>
    </w:p>
    <w:p>
      <w:pPr>
        <w:spacing w:line="360" w:lineRule="auto" w:after="0"/>
        <w:ind w:firstLineChars="200" w:firstLine="480"/>
        <w:jc w:val="both"/>
      </w:pPr>
      <w:r>
        <w:rPr>
          <w:rFonts w:ascii="宋体" w:hAnsi="宋体" w:eastAsia="宋体"/>
          <w:sz w:val="24"/>
        </w:rPr>
        <w:t>成本底价层的界定是：在长期可持续经营的意义上，服务方为提供单位词元所必须回收的最低价格。它包含边际成本与固定成本的合理摊销，但不包含任何超额回报。其表达式如式(7-4)所示。</w:t>
      </w:r>
    </w:p>
    <w:p>
      <w:pPr>
        <w:tabs>
          <w:tab w:pos="4252" w:val="center"/>
          <w:tab w:pos="8504" w:val="right"/>
        </w:tabs>
        <w:spacing w:line="360" w:lineRule="auto" w:before="80" w:after="80"/>
      </w:pPr>
      <w:r>
        <w:tab/>
      </w:r>
      <m:oMath>
        <m:sSubSup>
          <m:e>
            <m:r>
              <m:t>p</m:t>
            </m:r>
          </m:e>
          <m:sub>
            <m:r>
              <m:t>m</m:t>
            </m:r>
          </m:sub>
          <m:sup>
            <m:r>
              <m:t>f</m:t>
            </m:r>
          </m:sup>
        </m:sSubSup>
        <m:r>
          <m:rPr>
            <m:sty m:val="p"/>
          </m:rPr>
          <m:t>=</m:t>
        </m:r>
        <m:sSubSup>
          <m:e>
            <m:r>
              <m:t>c</m:t>
            </m:r>
          </m:e>
          <m:sub>
            <m:r>
              <m:t>m</m:t>
            </m:r>
          </m:sub>
          <m:sup>
            <m:r>
              <m:rPr>
                <m:sty m:val="p"/>
              </m:rPr>
              <m:t>M</m:t>
            </m:r>
            <m:r>
              <m:rPr>
                <m:sty m:val="p"/>
              </m:rPr>
              <m:t>C</m:t>
            </m:r>
          </m:sup>
        </m:sSubSup>
        <m:d>
          <m:dPr>
            <m:begChr m:val="("/>
            <m:endChr m:val=")"/>
            <m:grow/>
          </m:dPr>
          <m:e>
            <m:acc>
              <m:accPr>
                <m:chr m:val="‾"/>
              </m:accPr>
              <m:e>
                <m:r>
                  <m:rPr>
                    <m:sty m:val="p"/>
                  </m:rPr>
                  <m:t>ℓ</m:t>
                </m:r>
              </m:e>
            </m:acc>
          </m:e>
        </m:d>
        <m:r>
          <m:rPr>
            <m:sty m:val="p"/>
          </m:rPr>
          <m:t>+</m:t>
        </m:r>
        <m:f>
          <m:fPr>
            <m:type m:val="bar"/>
          </m:fPr>
          <m:num>
            <m:sSub>
              <m:e>
                <m:r>
                  <m:t>F</m:t>
                </m:r>
              </m:e>
              <m:sub>
                <m:r>
                  <m:t>m</m:t>
                </m:r>
              </m:sub>
            </m:sSub>
            <m:r>
              <m:rPr>
                <m:sty m:val="p"/>
              </m:rPr>
              <m:t>+</m:t>
            </m:r>
            <m:r>
              <m:t>r</m:t>
            </m:r>
            <m:r>
              <m:t> </m:t>
            </m:r>
            <m:sSub>
              <m:e>
                <m:r>
                  <m:t>K</m:t>
                </m:r>
              </m:e>
              <m:sub>
                <m:r>
                  <m:t>m</m:t>
                </m:r>
              </m:sub>
            </m:sSub>
          </m:num>
          <m:den>
            <m:sSub>
              <m:e>
                <m:r>
                  <m:t>T</m:t>
                </m:r>
              </m:e>
              <m:sub>
                <m:r>
                  <m:t>m</m:t>
                </m:r>
              </m:sub>
            </m:sSub>
          </m:den>
        </m:f>
        <m:r>
          <m:rPr>
            <m:sty m:val="p"/>
          </m:rPr>
          <m:t>,</m:t>
        </m:r>
        <m:r>
          <m:t>  </m:t>
        </m:r>
        <m:f>
          <m:fPr>
            <m:type m:val="bar"/>
          </m:fPr>
          <m:num>
            <m:r>
              <m:rPr>
                <m:sty m:val="p"/>
              </m:rPr>
              <m:t>∂</m:t>
            </m:r>
            <m:sSubSup>
              <m:e>
                <m:r>
                  <m:t>p</m:t>
                </m:r>
              </m:e>
              <m:sub>
                <m:r>
                  <m:t>m</m:t>
                </m:r>
              </m:sub>
              <m:sup>
                <m:r>
                  <m:t>f</m:t>
                </m:r>
              </m:sup>
            </m:sSubSup>
          </m:num>
          <m:den>
            <m:r>
              <m:rPr>
                <m:sty m:val="p"/>
              </m:rPr>
              <m:t>∂</m:t>
            </m:r>
            <m:sSub>
              <m:e>
                <m:r>
                  <m:t>T</m:t>
                </m:r>
              </m:e>
              <m:sub>
                <m:r>
                  <m:t>m</m:t>
                </m:r>
              </m:sub>
            </m:sSub>
          </m:den>
        </m:f>
        <m:r>
          <m:rPr>
            <m:sty m:val="p"/>
          </m:rPr>
          <m:t>&lt;</m:t>
        </m:r>
        <m:r>
          <m:t>0</m:t>
        </m:r>
        <m:r>
          <m:rPr>
            <m:sty m:val="p"/>
          </m:rPr>
          <m:t>,</m:t>
        </m:r>
        <m:r>
          <m:t> </m:t>
        </m:r>
        <m:f>
          <m:fPr>
            <m:type m:val="bar"/>
          </m:fPr>
          <m:num>
            <m:r>
              <m:rPr>
                <m:sty m:val="p"/>
              </m:rPr>
              <m:t>∂</m:t>
            </m:r>
            <m:sSubSup>
              <m:e>
                <m:r>
                  <m:t>p</m:t>
                </m:r>
              </m:e>
              <m:sub>
                <m:r>
                  <m:t>m</m:t>
                </m:r>
              </m:sub>
              <m:sup>
                <m:r>
                  <m:t>f</m:t>
                </m:r>
              </m:sup>
            </m:sSubSup>
          </m:num>
          <m:den>
            <m:r>
              <m:rPr>
                <m:sty m:val="p"/>
              </m:rPr>
              <m:t>∂</m:t>
            </m:r>
            <m:sSub>
              <m:e>
                <m:r>
                  <m:t>u</m:t>
                </m:r>
              </m:e>
              <m:sub>
                <m:r>
                  <m:t>m</m:t>
                </m:r>
              </m:sub>
            </m:sSub>
          </m:den>
        </m:f>
        <m:r>
          <m:rPr>
            <m:sty m:val="p"/>
          </m:rPr>
          <m:t>&lt;</m:t>
        </m:r>
        <m:r>
          <m:t>0</m:t>
        </m:r>
        <m:r>
          <m:rPr>
            <m:sty m:val="p"/>
          </m:rPr>
          <m:t>,</m:t>
        </m:r>
        <m:r>
          <m:t> </m:t>
        </m:r>
        <m:f>
          <m:fPr>
            <m:type m:val="bar"/>
          </m:fPr>
          <m:num>
            <m:r>
              <m:rPr>
                <m:sty m:val="p"/>
              </m:rPr>
              <m:t>∂</m:t>
            </m:r>
            <m:sSubSup>
              <m:e>
                <m:r>
                  <m:t>p</m:t>
                </m:r>
              </m:e>
              <m:sub>
                <m:r>
                  <m:t>m</m:t>
                </m:r>
              </m:sub>
              <m:sup>
                <m:r>
                  <m:t>f</m:t>
                </m:r>
              </m:sup>
            </m:sSubSup>
          </m:num>
          <m:den>
            <m:r>
              <m:rPr>
                <m:sty m:val="p"/>
              </m:rPr>
              <m:t>∂</m:t>
            </m:r>
            <m:sSub>
              <m:e>
                <m:r>
                  <m:t>π</m:t>
                </m:r>
              </m:e>
              <m:sub>
                <m:r>
                  <m:t>E</m:t>
                </m:r>
              </m:sub>
            </m:sSub>
          </m:den>
        </m:f>
        <m:r>
          <m:rPr>
            <m:sty m:val="p"/>
          </m:rPr>
          <m:t>&gt;</m:t>
        </m:r>
        <m:r>
          <m:t>0</m:t>
        </m:r>
      </m:oMath>
      <w:r>
        <w:tab/>
      </w:r>
      <w:r>
        <w:rPr>
          <w:rFonts w:ascii="Times New Roman" w:hAnsi="Times New Roman" w:eastAsia="宋体"/>
          <w:sz w:val="24"/>
        </w:rPr>
        <w:t>(7-4)</w:t>
      </w:r>
    </w:p>
    <w:p>
      <w:pPr>
        <w:spacing w:line="360" w:lineRule="auto" w:after="0"/>
        <w:jc w:val="both"/>
      </w:pPr>
      <w:r>
        <w:rPr>
          <w:rFonts w:ascii="宋体" w:hAnsi="宋体" w:eastAsia="宋体"/>
          <w:sz w:val="24"/>
        </w:rPr>
        <w:t>其中，</w:t>
      </w:r>
      <m:oMath>
        <m:acc>
          <m:accPr>
            <m:chr m:val="‾"/>
          </m:accPr>
          <m:e>
            <m:r>
              <m:rPr>
                <m:sty m:val="p"/>
              </m:rPr>
              <m:t>ℓ</m:t>
            </m:r>
          </m:e>
        </m:acc>
      </m:oMath>
      <w:r>
        <w:rPr>
          <w:rFonts w:ascii="宋体" w:hAnsi="宋体" w:eastAsia="宋体"/>
          <w:sz w:val="24"/>
        </w:rPr>
        <w:t>为业务组合的平均上下文长度；三个偏导数分别刻画规模摊薄效应、利用率效应与能源价格效应。</w:t>
      </w:r>
    </w:p>
    <w:p>
      <w:pPr>
        <w:spacing w:line="360" w:lineRule="auto" w:after="0"/>
        <w:ind w:firstLineChars="200" w:firstLine="480"/>
        <w:jc w:val="both"/>
      </w:pPr>
      <w:r>
        <w:rPr>
          <w:rFonts w:ascii="宋体" w:hAnsi="宋体" w:eastAsia="宋体"/>
          <w:sz w:val="24"/>
        </w:rPr>
        <w:t>式(7-4)的三条比较静态给出了价格地板的全部下移路径，也给出了它的刚性来源。</w:t>
      </w:r>
      <w:r>
        <w:rPr>
          <w:rFonts w:ascii="宋体" w:hAnsi="宋体" w:eastAsia="宋体"/>
          <w:b/>
          <w:sz w:val="24"/>
        </w:rPr>
        <w:t>规模摊薄效应</w:t>
      </w:r>
      <w:r>
        <w:rPr>
          <w:rFonts w:ascii="宋体" w:hAnsi="宋体" w:eastAsia="宋体"/>
          <w:sz w:val="24"/>
        </w:rPr>
        <w:t>意味着地板随累计产量下移，这是词元价格长期下行的最根本动力，也是第6章规模复用机制在价格上的直接体现——本书测算的固定成本份额均值47.4%意味着累计产量每翻一番，单位标准词元的平均成本可下降约23.7%。</w:t>
      </w:r>
      <w:r>
        <w:rPr>
          <w:rFonts w:ascii="宋体" w:hAnsi="宋体" w:eastAsia="宋体"/>
          <w:b/>
          <w:sz w:val="24"/>
        </w:rPr>
        <w:t>利用率效应</w:t>
      </w:r>
      <w:r>
        <w:rPr>
          <w:rFonts w:ascii="宋体" w:hAnsi="宋体" w:eastAsia="宋体"/>
          <w:sz w:val="24"/>
        </w:rPr>
        <w:t>把定价与调度效率联系起来：第9章的测算显示，名义算力利用率62%经四项损失折减后，有效效值利用率仅38%；而据IDC与中国信息通信研究院2026年联合发布的企业调研，近半数企业的智算资源利用率处于51%至70%区间，利用率达70%以上的企业不足35%。利用率在分母上，这意味着当前的价格地板中包含了相当比例的「低效溢价」——不是技术不允许更低的价格，而是调度水平不允许。</w:t>
      </w:r>
      <w:r>
        <w:rPr>
          <w:rFonts w:ascii="宋体" w:hAnsi="宋体" w:eastAsia="宋体"/>
          <w:b/>
          <w:sz w:val="24"/>
        </w:rPr>
        <w:t>能源价格效应</w:t>
      </w:r>
      <w:r>
        <w:rPr>
          <w:rFonts w:ascii="宋体" w:hAnsi="宋体" w:eastAsia="宋体"/>
          <w:sz w:val="24"/>
        </w:rPr>
        <w:t>则把词元价格与电力市场相连：单位加速器时间的电力成本等于功率、PUE与电价之积。2023年全国数据中心平均PUE约1.48（中国信息通信研究院口径，存量全国平均），而政策对新建及改扩建大型、超大型数据中心的约束为1.25以内、对国家枢纽节点数据中心项目的约束为不高于1.2；两组数字适用对象不同，不构成同一序列，但它意味着</w:t>
      </w:r>
      <w:r>
        <w:rPr>
          <w:rFonts w:ascii="宋体" w:hAnsi="宋体" w:eastAsia="宋体"/>
          <w:b/>
          <w:sz w:val="24"/>
        </w:rPr>
        <w:t>增量产能的电力成本项显著低于存量平均水平</w:t>
      </w:r>
      <w:r>
        <w:rPr>
          <w:rFonts w:ascii="宋体" w:hAnsi="宋体" w:eastAsia="宋体"/>
          <w:sz w:val="24"/>
        </w:rPr>
        <w:t>，价格地板的下移在很大程度上要靠新增产能替换存量产能来实现（中国信息通信研究院，2025）。国际能源署的测算显示，2024年全球数据中心（全部类型，非人工智能专用口径）用电约415太瓦时、约占全球用电的1.5%，2030年基准情景将升至945太瓦时（IEA，2025）；电力约束一旦收紧，价格地板就会由下向上顶起。</w:t>
      </w:r>
    </w:p>
    <w:p>
      <w:pPr>
        <w:spacing w:line="360" w:lineRule="auto" w:after="0"/>
        <w:ind w:firstLineChars="200" w:firstLine="480"/>
        <w:jc w:val="both"/>
      </w:pPr>
      <w:r>
        <w:rPr>
          <w:rFonts w:ascii="宋体" w:hAnsi="宋体" w:eastAsia="宋体"/>
          <w:sz w:val="24"/>
        </w:rPr>
        <w:t>价格地板的存在，为「词元价格终将归零」的判断划定了边界。从式(7-1)与式(7-4)可知，</w:t>
      </w:r>
      <m:oMath>
        <m:sSubSup>
          <m:e>
            <m:r>
              <m:t>p</m:t>
            </m:r>
          </m:e>
          <m:sub>
            <m:r>
              <m:t>m</m:t>
            </m:r>
          </m:sub>
          <m:sup>
            <m:r>
              <m:t>f</m:t>
            </m:r>
          </m:sup>
        </m:sSubSup>
      </m:oMath>
      <w:r>
        <w:rPr>
          <w:rFonts w:ascii="宋体" w:hAnsi="宋体" w:eastAsia="宋体"/>
          <w:sz w:val="24"/>
        </w:rPr>
        <w:t>的下限由物理定律与要素价格共同锁定：即便固定成本被无限摊薄，边际成本项也不会消失。以本书校准的六档位数据与用量份额计算，用量加权的成本底价为每百万物理词元0.844元，占用量加权市场价2.764元的30.5%。这一比例的政策含义将在7.3.4节展开。</w:t>
      </w:r>
    </w:p>
    <w:p>
      <w:pPr>
        <w:keepNext/>
        <w:spacing w:before="160" w:after="120" w:line="360" w:lineRule="auto"/>
        <w:outlineLvl w:val="2"/>
      </w:pPr>
      <w:r>
        <w:rPr>
          <w:rFonts w:ascii="黑体" w:hAnsi="黑体" w:eastAsia="黑体"/>
          <w:sz w:val="24"/>
        </w:rPr>
        <w:t>7.2.3  效值溢价层：质量梯度定价与信息条件</w:t>
      </w:r>
    </w:p>
    <w:p>
      <w:pPr>
        <w:spacing w:line="360" w:lineRule="auto" w:after="0"/>
        <w:ind w:firstLineChars="200" w:firstLine="480"/>
        <w:jc w:val="both"/>
      </w:pPr>
      <w:r>
        <w:rPr>
          <w:rFonts w:ascii="宋体" w:hAnsi="宋体" w:eastAsia="宋体"/>
          <w:sz w:val="24"/>
        </w:rPr>
        <w:t>效值溢价层回答的问题是：能力更强的词元凭什么更贵，以及贵多少才是均衡的。其理论基础是质量梯度定价——垄断或垄断竞争厂商面对偏好强度不可观测的买方，通过提供「质量—价格」菜单实现自选择，从而把买方的支付意愿差异转化为利润（Mussa和Rosen，1978），而信息产品的版本划分正是这一机制在数字领域的实现形式（Bhargava和Choudhary，2008）。把质量维度替换为本书的效值系数</w:t>
      </w:r>
      <m:oMath>
        <m:r>
          <m:t>η</m:t>
        </m:r>
      </m:oMath>
      <w:r>
        <w:rPr>
          <w:rFonts w:ascii="宋体" w:hAnsi="宋体" w:eastAsia="宋体"/>
          <w:sz w:val="24"/>
        </w:rPr>
        <w:t>，设买方对效值的边际支付意愿类型为</w:t>
      </w:r>
      <m:oMath>
        <m:r>
          <m:t>θ</m:t>
        </m:r>
      </m:oMath>
      <w:r>
        <w:rPr>
          <w:rFonts w:ascii="宋体" w:hAnsi="宋体" w:eastAsia="宋体"/>
          <w:sz w:val="24"/>
        </w:rPr>
        <w:t>、分布函数为</w:t>
      </w:r>
      <m:oMath>
        <m:r>
          <m:t>G</m:t>
        </m:r>
        <m:d>
          <m:dPr>
            <m:begChr m:val="("/>
            <m:endChr m:val=")"/>
            <m:grow/>
          </m:dPr>
          <m:e>
            <m:r>
              <m:t>θ</m:t>
            </m:r>
          </m:e>
        </m:d>
      </m:oMath>
      <w:r>
        <w:rPr>
          <w:rFonts w:ascii="宋体" w:hAnsi="宋体" w:eastAsia="宋体"/>
          <w:sz w:val="24"/>
        </w:rPr>
        <w:t>、密度为</w:t>
      </w:r>
      <m:oMath>
        <m:r>
          <m:t>g</m:t>
        </m:r>
        <m:d>
          <m:dPr>
            <m:begChr m:val="("/>
            <m:endChr m:val=")"/>
            <m:grow/>
          </m:dPr>
          <m:e>
            <m:r>
              <m:t>θ</m:t>
            </m:r>
          </m:e>
        </m:d>
      </m:oMath>
      <w:r>
        <w:rPr>
          <w:rFonts w:ascii="宋体" w:hAnsi="宋体" w:eastAsia="宋体"/>
          <w:sz w:val="24"/>
        </w:rPr>
        <w:t>，则最优效值菜单与价格函数满足式(7-5)。</w:t>
      </w:r>
    </w:p>
    <w:p>
      <w:pPr>
        <w:tabs>
          <w:tab w:pos="4252" w:val="center"/>
          <w:tab w:pos="8504" w:val="right"/>
        </w:tabs>
        <w:spacing w:line="360" w:lineRule="auto" w:before="80" w:after="80"/>
      </w:pPr>
      <w:r>
        <w:tab/>
      </w:r>
      <m:oMath>
        <m:r>
          <m:t>θ</m:t>
        </m:r>
        <m:r>
          <m:rPr>
            <m:sty m:val="p"/>
          </m:rPr>
          <m:t>−</m:t>
        </m:r>
        <m:f>
          <m:fPr>
            <m:type m:val="bar"/>
          </m:fPr>
          <m:num>
            <m:r>
              <m:t>1</m:t>
            </m:r>
            <m:r>
              <m:rPr>
                <m:sty m:val="p"/>
              </m:rPr>
              <m:t>−</m:t>
            </m:r>
            <m:r>
              <m:t>G</m:t>
            </m:r>
            <m:d>
              <m:dPr>
                <m:begChr m:val="("/>
                <m:endChr m:val=")"/>
                <m:grow/>
              </m:dPr>
              <m:e>
                <m:r>
                  <m:t>θ</m:t>
                </m:r>
              </m:e>
            </m:d>
          </m:num>
          <m:den>
            <m:r>
              <m:t>g</m:t>
            </m:r>
            <m:d>
              <m:dPr>
                <m:begChr m:val="("/>
                <m:endChr m:val=")"/>
                <m:grow/>
              </m:dPr>
              <m:e>
                <m:r>
                  <m:t>θ</m:t>
                </m:r>
              </m:e>
            </m:d>
          </m:den>
        </m:f>
        <m:r>
          <m:rPr>
            <m:sty m:val="p"/>
          </m:rPr>
          <m:t>=</m:t>
        </m:r>
        <m:f>
          <m:fPr>
            <m:type m:val="bar"/>
          </m:fPr>
          <m:num>
            <m:r>
              <m:rPr>
                <m:sty m:val="p"/>
              </m:rPr>
              <m:t>∂</m:t>
            </m:r>
            <m:sSup>
              <m:e>
                <m:r>
                  <m:t>c</m:t>
                </m:r>
              </m:e>
              <m:sup>
                <m:r>
                  <m:rPr>
                    <m:sty m:val="p"/>
                  </m:rPr>
                  <m:t>M</m:t>
                </m:r>
                <m:r>
                  <m:rPr>
                    <m:sty m:val="p"/>
                  </m:rPr>
                  <m:t>C</m:t>
                </m:r>
              </m:sup>
            </m:sSup>
          </m:num>
          <m:den>
            <m:r>
              <m:rPr>
                <m:sty m:val="p"/>
              </m:rPr>
              <m:t>∂</m:t>
            </m:r>
            <m:r>
              <m:t>η</m:t>
            </m:r>
          </m:den>
        </m:f>
        <m:d>
          <m:dPr>
            <m:begChr m:val="("/>
            <m:endChr m:val=")"/>
            <m:grow/>
          </m:dPr>
          <m:e>
            <m:r>
              <m:t>η</m:t>
            </m:r>
            <m:d>
              <m:dPr>
                <m:begChr m:val="("/>
                <m:endChr m:val=")"/>
                <m:grow/>
              </m:dPr>
              <m:e>
                <m:r>
                  <m:t>θ</m:t>
                </m:r>
              </m:e>
            </m:d>
          </m:e>
        </m:d>
        <m:r>
          <m:rPr>
            <m:sty m:val="p"/>
          </m:rPr>
          <m:t>,</m:t>
        </m:r>
        <m:r>
          <m:t>  </m:t>
        </m:r>
        <m:r>
          <m:t>p</m:t>
        </m:r>
        <m:d>
          <m:dPr>
            <m:begChr m:val="("/>
            <m:endChr m:val=")"/>
            <m:grow/>
          </m:dPr>
          <m:e>
            <m:r>
              <m:t>η</m:t>
            </m:r>
            <m:d>
              <m:dPr>
                <m:begChr m:val="("/>
                <m:endChr m:val=")"/>
                <m:grow/>
              </m:dPr>
              <m:e>
                <m:r>
                  <m:t>θ</m:t>
                </m:r>
              </m:e>
            </m:d>
          </m:e>
        </m:d>
        <m:r>
          <m:rPr>
            <m:sty m:val="p"/>
          </m:rPr>
          <m:t>=</m:t>
        </m:r>
        <m:r>
          <m:t>θ</m:t>
        </m:r>
        <m:r>
          <m:t> </m:t>
        </m:r>
        <m:r>
          <m:t>η</m:t>
        </m:r>
        <m:d>
          <m:dPr>
            <m:begChr m:val="("/>
            <m:endChr m:val=")"/>
            <m:grow/>
          </m:dPr>
          <m:e>
            <m:r>
              <m:t>θ</m:t>
            </m:r>
          </m:e>
        </m:d>
        <m:r>
          <m:rPr>
            <m:sty m:val="p"/>
          </m:rPr>
          <m:t>−</m:t>
        </m:r>
        <m:nary>
          <m:naryPr>
            <m:chr m:val="∫"/>
            <m:limLoc m:val="subSup"/>
            <m:subHide m:val="off"/>
            <m:supHide m:val="off"/>
          </m:naryPr>
          <m:sub>
            <m:bar>
              <m:barPr>
                <m:pos m:val="bot"/>
              </m:barPr>
              <m:e>
                <m:r>
                  <m:t>θ</m:t>
                </m:r>
              </m:e>
            </m:bar>
          </m:sub>
          <m:sup>
            <m:r>
              <m:t>θ</m:t>
            </m:r>
          </m:sup>
          <m:e>
            <m:r>
              <m:t>η</m:t>
            </m:r>
          </m:e>
        </m:nary>
        <m:d>
          <m:dPr>
            <m:begChr m:val="("/>
            <m:endChr m:val=")"/>
            <m:grow/>
          </m:dPr>
          <m:e>
            <m:r>
              <m:t>s</m:t>
            </m:r>
          </m:e>
        </m:d>
        <m:r>
          <m:t> </m:t>
        </m:r>
        <m:r>
          <m:rPr>
            <m:sty m:val="p"/>
          </m:rPr>
          <m:t>d</m:t>
        </m:r>
        <m:r>
          <m:t>s</m:t>
        </m:r>
      </m:oMath>
      <w:r>
        <w:tab/>
      </w:r>
      <w:r>
        <w:rPr>
          <w:rFonts w:ascii="Times New Roman" w:hAnsi="Times New Roman" w:eastAsia="宋体"/>
          <w:sz w:val="24"/>
        </w:rPr>
        <w:t>(7-5)</w:t>
      </w:r>
    </w:p>
    <w:p>
      <w:pPr>
        <w:spacing w:line="360" w:lineRule="auto" w:after="0"/>
        <w:jc w:val="both"/>
      </w:pPr>
      <w:r>
        <w:rPr>
          <w:rFonts w:ascii="宋体" w:hAnsi="宋体" w:eastAsia="宋体"/>
          <w:sz w:val="24"/>
        </w:rPr>
        <w:t>其中，</w:t>
      </w:r>
      <m:oMath>
        <m:r>
          <m:t>η</m:t>
        </m:r>
        <m:d>
          <m:dPr>
            <m:begChr m:val="("/>
            <m:endChr m:val=")"/>
            <m:grow/>
          </m:dPr>
          <m:e>
            <m:r>
              <m:t>θ</m:t>
            </m:r>
          </m:e>
        </m:d>
      </m:oMath>
      <w:r>
        <w:rPr>
          <w:rFonts w:ascii="宋体" w:hAnsi="宋体" w:eastAsia="宋体"/>
          <w:sz w:val="24"/>
        </w:rPr>
        <w:t>为分配给类型</w:t>
      </w:r>
      <m:oMath>
        <m:r>
          <m:t>θ</m:t>
        </m:r>
      </m:oMath>
      <w:r>
        <w:rPr>
          <w:rFonts w:ascii="宋体" w:hAnsi="宋体" w:eastAsia="宋体"/>
          <w:sz w:val="24"/>
        </w:rPr>
        <w:t>的效值水平，</w:t>
      </w:r>
      <m:oMath>
        <m:d>
          <m:dPr>
            <m:begChr m:val="("/>
            <m:endChr m:val=")"/>
            <m:grow/>
          </m:dPr>
          <m:e>
            <m:r>
              <m:t>1</m:t>
            </m:r>
            <m:r>
              <m:rPr>
                <m:sty m:val="p"/>
              </m:rPr>
              <m:t>−</m:t>
            </m:r>
            <m:r>
              <m:t>G</m:t>
            </m:r>
          </m:e>
        </m:d>
        <m:r>
          <m:rPr>
            <m:sty m:val="p"/>
          </m:rPr>
          <m:t>/</m:t>
        </m:r>
        <m:r>
          <m:t>g</m:t>
        </m:r>
      </m:oMath>
      <w:r>
        <w:rPr>
          <w:rFonts w:ascii="宋体" w:hAnsi="宋体" w:eastAsia="宋体"/>
          <w:sz w:val="24"/>
        </w:rPr>
        <w:t>为逆风险率；第二式由包络定理得到，</w:t>
      </w:r>
      <m:oMath>
        <m:r>
          <m:rPr>
            <m:sty m:val="p"/>
          </m:rPr>
          <m:t>∫</m:t>
        </m:r>
        <m:r>
          <m:t>η</m:t>
        </m:r>
        <m:d>
          <m:dPr>
            <m:begChr m:val="("/>
            <m:endChr m:val=")"/>
            <m:grow/>
          </m:dPr>
          <m:e>
            <m:r>
              <m:t>s</m:t>
            </m:r>
          </m:e>
        </m:d>
        <m:r>
          <m:rPr>
            <m:sty m:val="p"/>
          </m:rPr>
          <m:t>d</m:t>
        </m:r>
        <m:r>
          <m:t>s</m:t>
        </m:r>
      </m:oMath>
      <w:r>
        <w:rPr>
          <w:rFonts w:ascii="宋体" w:hAnsi="宋体" w:eastAsia="宋体"/>
          <w:sz w:val="24"/>
        </w:rPr>
        <w:t>即买方的信息租金。</w:t>
      </w:r>
    </w:p>
    <w:p>
      <w:pPr>
        <w:spacing w:line="360" w:lineRule="auto" w:after="0"/>
        <w:ind w:firstLineChars="200" w:firstLine="480"/>
        <w:jc w:val="both"/>
      </w:pPr>
      <w:r>
        <w:rPr>
          <w:rFonts w:ascii="宋体" w:hAnsi="宋体" w:eastAsia="宋体"/>
          <w:sz w:val="24"/>
        </w:rPr>
        <w:t>式(7-5)含有三条可检验的性质。</w:t>
      </w:r>
      <w:r>
        <w:rPr>
          <w:rFonts w:ascii="宋体" w:hAnsi="宋体" w:eastAsia="宋体"/>
          <w:b/>
          <w:sz w:val="24"/>
        </w:rPr>
        <w:t>性质一：顶端无扭曲。</w:t>
      </w:r>
      <w:r>
        <w:rPr>
          <w:rFonts w:ascii="宋体" w:hAnsi="宋体" w:eastAsia="宋体"/>
          <w:sz w:val="24"/>
        </w:rPr>
        <w:t>支付意愿最高的买方获得效率意义上最优的效值水平，即最高档位的定价不含质量扭曲，其溢价完全反映能力差异。</w:t>
      </w:r>
      <w:r>
        <w:rPr>
          <w:rFonts w:ascii="宋体" w:hAnsi="宋体" w:eastAsia="宋体"/>
          <w:b/>
          <w:sz w:val="24"/>
        </w:rPr>
        <w:t>性质二：向下扭曲。</w:t>
      </w:r>
      <w:r>
        <w:rPr>
          <w:rFonts w:ascii="宋体" w:hAnsi="宋体" w:eastAsia="宋体"/>
          <w:sz w:val="24"/>
        </w:rPr>
        <w:t>中低类型买方所获得的效值低于社会最优，服务方以压低低档位质量的方式减少高类型买方的信息租金——这解释了一个常见现象：轻量档位的能力并非「做不到更好」，而是「不宜做得更好」，因为过强的低价档位会侵蚀高价档位的需求。</w:t>
      </w:r>
      <w:r>
        <w:rPr>
          <w:rFonts w:ascii="宋体" w:hAnsi="宋体" w:eastAsia="宋体"/>
          <w:b/>
          <w:sz w:val="24"/>
        </w:rPr>
        <w:t>性质三：溢价随效值凸性上升。</w:t>
      </w:r>
      <w:r>
        <w:rPr>
          <w:rFonts w:ascii="宋体" w:hAnsi="宋体" w:eastAsia="宋体"/>
          <w:sz w:val="24"/>
        </w:rPr>
        <w:t>由</w:t>
      </w:r>
      <m:oMath>
        <m:sSup>
          <m:e>
            <m:r>
              <m:t>p</m:t>
            </m:r>
          </m:e>
          <m:sup>
            <m:r>
              <m:t>η</m:t>
            </m:r>
          </m:sup>
        </m:sSup>
        <m:r>
          <m:rPr>
            <m:sty m:val="p"/>
          </m:rPr>
          <m:t>=</m:t>
        </m:r>
        <m:r>
          <m:t>p</m:t>
        </m:r>
        <m:r>
          <m:rPr>
            <m:sty m:val="p"/>
          </m:rPr>
          <m:t>−</m:t>
        </m:r>
        <m:sSup>
          <m:e>
            <m:r>
              <m:t>p</m:t>
            </m:r>
          </m:e>
          <m:sup>
            <m:r>
              <m:t>f</m:t>
            </m:r>
          </m:sup>
        </m:sSup>
      </m:oMath>
      <w:r>
        <w:rPr>
          <w:rFonts w:ascii="宋体" w:hAnsi="宋体" w:eastAsia="宋体"/>
          <w:sz w:val="24"/>
        </w:rPr>
        <w:t>与式(7-5)可知，效值溢价对</w:t>
      </w:r>
      <m:oMath>
        <m:r>
          <m:t>η</m:t>
        </m:r>
      </m:oMath>
      <w:r>
        <w:rPr>
          <w:rFonts w:ascii="宋体" w:hAnsi="宋体" w:eastAsia="宋体"/>
          <w:sz w:val="24"/>
        </w:rPr>
        <w:t>的导数等于</w:t>
      </w:r>
      <m:oMath>
        <m:r>
          <m:t>θ</m:t>
        </m:r>
        <m:d>
          <m:dPr>
            <m:begChr m:val="("/>
            <m:endChr m:val=")"/>
            <m:grow/>
          </m:dPr>
          <m:e>
            <m:r>
              <m:t>η</m:t>
            </m:r>
          </m:e>
        </m:d>
      </m:oMath>
      <w:r>
        <w:rPr>
          <w:rFonts w:ascii="宋体" w:hAnsi="宋体" w:eastAsia="宋体"/>
          <w:sz w:val="24"/>
        </w:rPr>
        <w:t>，而</w:t>
      </w:r>
      <m:oMath>
        <m:r>
          <m:t>θ</m:t>
        </m:r>
      </m:oMath>
      <w:r>
        <w:rPr>
          <w:rFonts w:ascii="宋体" w:hAnsi="宋体" w:eastAsia="宋体"/>
          <w:sz w:val="24"/>
        </w:rPr>
        <w:t>沿菜单递增，故溢价曲线上凸。本书的六档位数据支持这一性质：效值溢价率（效值溢价层与成本底价层之比）由轻量蒸馏级的0.50升至中型通用级的0.65、开源旗舰级的0.93、旗舰闭源级的1.11，再升至推理增强级的1.32，随效值系数单调上升；多模态级的溢价率为0.92，略低于效值系数更低的开源旗舰级，原因在于其效值中场景效用维度的贡献大于推理质量维度，而市场对场景效用的支付意愿更多体现在租金层而非溢价层。</w:t>
      </w:r>
    </w:p>
    <w:p>
      <w:pPr>
        <w:spacing w:line="360" w:lineRule="auto" w:after="0"/>
        <w:ind w:firstLineChars="200" w:firstLine="480"/>
        <w:jc w:val="both"/>
      </w:pPr>
      <w:r>
        <w:rPr>
          <w:rFonts w:ascii="宋体" w:hAnsi="宋体" w:eastAsia="宋体"/>
          <w:sz w:val="24"/>
        </w:rPr>
        <w:t>效值溢价层的实现有一个严苛的信息前提：效值必须可观测、可验证。若买方无法在购买前判别效值，市场就会退化为柠檬市场——高效值供给因无法获得应有溢价而退出，低效值供给因价格优势而扩张（Akerlof，1970）。第5章测算的效值认知偏差均值达0.44，低效值档位的过度采购份额达27%，正是这一风险的实证征兆。质量披露与第三方认证是标准的应对（Dranove和Jin，2010），其经济功能不是「管价格」，而是「让价格能够反映质量」。这一判断为第14章把效值披露列入政策建议提供了定价理论依据：披露制度的收益，等于溢价层重新锚定于效值所带来的配置改善。</w:t>
      </w:r>
    </w:p>
    <w:p>
      <w:pPr>
        <w:keepNext/>
        <w:spacing w:before="160" w:after="120" w:line="360" w:lineRule="auto"/>
        <w:outlineLvl w:val="2"/>
      </w:pPr>
      <w:r>
        <w:rPr>
          <w:rFonts w:ascii="黑体" w:hAnsi="黑体" w:eastAsia="黑体"/>
          <w:sz w:val="24"/>
        </w:rPr>
        <w:t>7.2.4  场景租金层：可占有份额与议价</w:t>
      </w:r>
    </w:p>
    <w:p>
      <w:pPr>
        <w:spacing w:line="360" w:lineRule="auto" w:after="0"/>
        <w:ind w:firstLineChars="200" w:firstLine="480"/>
        <w:jc w:val="both"/>
      </w:pPr>
      <w:r>
        <w:rPr>
          <w:rFonts w:ascii="宋体" w:hAnsi="宋体" w:eastAsia="宋体"/>
          <w:sz w:val="24"/>
        </w:rPr>
        <w:t>第6章已经证明，词元的价值实现高度依赖场景：八类典型场景的标准词元价值密度由文案生成的1.9元每万标准词元升至科研分析的11.3元每万标准词元，跨度5.9倍；而服务方在所创造毛价值中可占有的份额极低。场景租金层正是这一可占有份额在价格上的表现。设场景</w:t>
      </w:r>
      <m:oMath>
        <m:r>
          <m:t>j</m:t>
        </m:r>
      </m:oMath>
      <w:r>
        <w:rPr>
          <w:rFonts w:ascii="宋体" w:hAnsi="宋体" w:eastAsia="宋体"/>
          <w:sz w:val="24"/>
        </w:rPr>
        <w:t>中单位标准词元创造的毛使用价值为</w:t>
      </w:r>
      <m:oMath>
        <m:sSub>
          <m:e>
            <m:r>
              <m:t>u</m:t>
            </m:r>
          </m:e>
          <m:sub>
            <m:r>
              <m:t>j</m:t>
            </m:r>
          </m:sub>
        </m:sSub>
      </m:oMath>
      <w:r>
        <w:rPr>
          <w:rFonts w:ascii="宋体" w:hAnsi="宋体" w:eastAsia="宋体"/>
          <w:sz w:val="24"/>
        </w:rPr>
        <w:t>，使用方为实现该价值所需投入的互补成本为</w:t>
      </w:r>
      <m:oMath>
        <m:sSub>
          <m:e>
            <m:r>
              <m:t>κ</m:t>
            </m:r>
          </m:e>
          <m:sub>
            <m:r>
              <m:t>j</m:t>
            </m:r>
          </m:sub>
        </m:sSub>
      </m:oMath>
      <w:r>
        <w:rPr>
          <w:rFonts w:ascii="宋体" w:hAnsi="宋体" w:eastAsia="宋体"/>
          <w:sz w:val="24"/>
        </w:rPr>
        <w:t>，次优替代方案的单位成本为</w:t>
      </w:r>
      <m:oMath>
        <m:sSub>
          <m:e>
            <m:acc>
              <m:accPr>
                <m:chr m:val="̃"/>
              </m:accPr>
              <m:e>
                <m:r>
                  <m:t>c</m:t>
                </m:r>
              </m:e>
            </m:acc>
          </m:e>
          <m:sub>
            <m:r>
              <m:t>j</m:t>
            </m:r>
          </m:sub>
        </m:sSub>
      </m:oMath>
      <w:r>
        <w:rPr>
          <w:rFonts w:ascii="宋体" w:hAnsi="宋体" w:eastAsia="宋体"/>
          <w:sz w:val="24"/>
        </w:rPr>
        <w:t>，服务方在可分配剩余中的分成率为</w:t>
      </w:r>
      <m:oMath>
        <m:sSub>
          <m:e>
            <m:r>
              <m:t>ρ</m:t>
            </m:r>
          </m:e>
          <m:sub>
            <m:r>
              <m:t>j</m:t>
            </m:r>
          </m:sub>
        </m:sSub>
      </m:oMath>
      <w:r>
        <w:rPr>
          <w:rFonts w:ascii="宋体" w:hAnsi="宋体" w:eastAsia="宋体"/>
          <w:sz w:val="24"/>
        </w:rPr>
        <w:t>，则档位</w:t>
      </w:r>
      <m:oMath>
        <m:r>
          <m:t>m</m:t>
        </m:r>
      </m:oMath>
      <w:r>
        <w:rPr>
          <w:rFonts w:ascii="宋体" w:hAnsi="宋体" w:eastAsia="宋体"/>
          <w:sz w:val="24"/>
        </w:rPr>
        <w:t>在场景</w:t>
      </w:r>
      <m:oMath>
        <m:r>
          <m:t>j</m:t>
        </m:r>
      </m:oMath>
      <w:r>
        <w:rPr>
          <w:rFonts w:ascii="宋体" w:hAnsi="宋体" w:eastAsia="宋体"/>
          <w:sz w:val="24"/>
        </w:rPr>
        <w:t>中的场景租金层如式(7-6)所示。</w:t>
      </w:r>
    </w:p>
    <w:p>
      <w:pPr>
        <w:tabs>
          <w:tab w:pos="4252" w:val="center"/>
          <w:tab w:pos="8504" w:val="right"/>
        </w:tabs>
        <w:spacing w:line="360" w:lineRule="auto" w:before="80" w:after="80"/>
      </w:pPr>
      <w:r>
        <w:tab/>
      </w:r>
      <m:oMath>
        <m:sSubSup>
          <m:e>
            <m:r>
              <m:t>p</m:t>
            </m:r>
          </m:e>
          <m:sub>
            <m:r>
              <m:t>m</m:t>
            </m:r>
            <m:r>
              <m:t>j</m:t>
            </m:r>
          </m:sub>
          <m:sup>
            <m:r>
              <m:t>s</m:t>
            </m:r>
          </m:sup>
        </m:sSubSup>
        <m:r>
          <m:rPr>
            <m:sty m:val="p"/>
          </m:rPr>
          <m:t>=</m:t>
        </m:r>
        <m:sSub>
          <m:e>
            <m:r>
              <m:t>ρ</m:t>
            </m:r>
          </m:e>
          <m:sub>
            <m:r>
              <m:t>j</m:t>
            </m:r>
          </m:sub>
        </m:sSub>
        <m:r>
          <m:t> </m:t>
        </m:r>
        <m:sSub>
          <m:e>
            <m:r>
              <m:t>η</m:t>
            </m:r>
          </m:e>
          <m:sub>
            <m:r>
              <m:t>m</m:t>
            </m:r>
          </m:sub>
        </m:sSub>
        <m:d>
          <m:dPr>
            <m:begChr m:val="("/>
            <m:endChr m:val=")"/>
            <m:grow/>
          </m:dPr>
          <m:e>
            <m:sSub>
              <m:e>
                <m:r>
                  <m:t>u</m:t>
                </m:r>
              </m:e>
              <m:sub>
                <m:r>
                  <m:t>j</m:t>
                </m:r>
              </m:sub>
            </m:sSub>
            <m:r>
              <m:rPr>
                <m:sty m:val="p"/>
              </m:rPr>
              <m:t>−</m:t>
            </m:r>
            <m:sSub>
              <m:e>
                <m:r>
                  <m:t>κ</m:t>
                </m:r>
              </m:e>
              <m:sub>
                <m:r>
                  <m:t>j</m:t>
                </m:r>
              </m:sub>
            </m:sSub>
            <m:r>
              <m:rPr>
                <m:sty m:val="p"/>
              </m:rPr>
              <m:t>−</m:t>
            </m:r>
            <m:sSub>
              <m:e>
                <m:acc>
                  <m:accPr>
                    <m:chr m:val="̃"/>
                  </m:accPr>
                  <m:e>
                    <m:r>
                      <m:t>c</m:t>
                    </m:r>
                  </m:e>
                </m:acc>
              </m:e>
              <m:sub>
                <m:r>
                  <m:t>j</m:t>
                </m:r>
              </m:sub>
            </m:sSub>
          </m:e>
        </m:d>
        <m:r>
          <m:rPr>
            <m:sty m:val="p"/>
          </m:rPr>
          <m:t>,</m:t>
        </m:r>
        <m:r>
          <m:t>  </m:t>
        </m:r>
        <m:f>
          <m:fPr>
            <m:type m:val="bar"/>
          </m:fPr>
          <m:num>
            <m:r>
              <m:rPr>
                <m:sty m:val="p"/>
              </m:rPr>
              <m:t>∂</m:t>
            </m:r>
            <m:sSub>
              <m:e>
                <m:r>
                  <m:t>ρ</m:t>
                </m:r>
              </m:e>
              <m:sub>
                <m:r>
                  <m:t>j</m:t>
                </m:r>
              </m:sub>
            </m:sSub>
          </m:num>
          <m:den>
            <m:r>
              <m:rPr>
                <m:sty m:val="p"/>
              </m:rPr>
              <m:t>∂</m:t>
            </m:r>
            <m:sSub>
              <m:e>
                <m:r>
                  <m:t>χ</m:t>
                </m:r>
              </m:e>
              <m:sub>
                <m:r>
                  <m:t>j</m:t>
                </m:r>
              </m:sub>
            </m:sSub>
          </m:den>
        </m:f>
        <m:r>
          <m:rPr>
            <m:sty m:val="p"/>
          </m:rPr>
          <m:t>&lt;</m:t>
        </m:r>
        <m:r>
          <m:t>0</m:t>
        </m:r>
        <m:r>
          <m:rPr>
            <m:sty m:val="p"/>
          </m:rPr>
          <m:t>,</m:t>
        </m:r>
        <m:r>
          <m:t> </m:t>
        </m:r>
        <m:f>
          <m:fPr>
            <m:type m:val="bar"/>
          </m:fPr>
          <m:num>
            <m:r>
              <m:rPr>
                <m:sty m:val="p"/>
              </m:rPr>
              <m:t>∂</m:t>
            </m:r>
            <m:sSub>
              <m:e>
                <m:r>
                  <m:t>ρ</m:t>
                </m:r>
              </m:e>
              <m:sub>
                <m:r>
                  <m:t>j</m:t>
                </m:r>
              </m:sub>
            </m:sSub>
          </m:num>
          <m:den>
            <m:r>
              <m:rPr>
                <m:sty m:val="p"/>
              </m:rPr>
              <m:t>∂</m:t>
            </m:r>
            <m:sSub>
              <m:e>
                <m:r>
                  <m:t>ψ</m:t>
                </m:r>
              </m:e>
              <m:sub>
                <m:r>
                  <m:t>j</m:t>
                </m:r>
              </m:sub>
            </m:sSub>
          </m:den>
        </m:f>
        <m:r>
          <m:rPr>
            <m:sty m:val="p"/>
          </m:rPr>
          <m:t>&gt;</m:t>
        </m:r>
        <m:r>
          <m:t>0</m:t>
        </m:r>
      </m:oMath>
      <w:r>
        <w:tab/>
      </w:r>
      <w:r>
        <w:rPr>
          <w:rFonts w:ascii="Times New Roman" w:hAnsi="Times New Roman" w:eastAsia="宋体"/>
          <w:sz w:val="24"/>
        </w:rPr>
        <w:t>(7-6)</w:t>
      </w:r>
    </w:p>
    <w:p>
      <w:pPr>
        <w:spacing w:line="360" w:lineRule="auto" w:after="0"/>
        <w:jc w:val="both"/>
      </w:pPr>
      <w:r>
        <w:rPr>
          <w:rFonts w:ascii="宋体" w:hAnsi="宋体" w:eastAsia="宋体"/>
          <w:sz w:val="24"/>
        </w:rPr>
        <w:t>其中，</w:t>
      </w:r>
      <m:oMath>
        <m:sSub>
          <m:e>
            <m:r>
              <m:t>χ</m:t>
            </m:r>
          </m:e>
          <m:sub>
            <m:r>
              <m:t>j</m:t>
            </m:r>
          </m:sub>
        </m:sSub>
      </m:oMath>
      <w:r>
        <w:rPr>
          <w:rFonts w:ascii="宋体" w:hAnsi="宋体" w:eastAsia="宋体"/>
          <w:sz w:val="24"/>
        </w:rPr>
        <w:t>为同等效值替代供给的密度（可替代性），</w:t>
      </w:r>
      <m:oMath>
        <m:sSub>
          <m:e>
            <m:r>
              <m:t>ψ</m:t>
            </m:r>
          </m:e>
          <m:sub>
            <m:r>
              <m:t>j</m:t>
            </m:r>
          </m:sub>
        </m:sSub>
      </m:oMath>
      <w:r>
        <w:rPr>
          <w:rFonts w:ascii="宋体" w:hAnsi="宋体" w:eastAsia="宋体"/>
          <w:sz w:val="24"/>
        </w:rPr>
        <w:t>为使用方的转换成本；</w:t>
      </w:r>
      <m:oMath>
        <m:sSub>
          <m:e>
            <m:r>
              <m:t>η</m:t>
            </m:r>
          </m:e>
          <m:sub>
            <m:r>
              <m:t>m</m:t>
            </m:r>
          </m:sub>
        </m:sSub>
      </m:oMath>
      <w:r>
        <w:rPr>
          <w:rFonts w:ascii="宋体" w:hAnsi="宋体" w:eastAsia="宋体"/>
          <w:sz w:val="24"/>
        </w:rPr>
        <w:t>的出现是把标准词元口径的价值密度换算回物理词元口径。</w:t>
      </w:r>
    </w:p>
    <w:p>
      <w:pPr>
        <w:spacing w:line="360" w:lineRule="auto" w:after="0"/>
        <w:ind w:firstLineChars="200" w:firstLine="480"/>
        <w:jc w:val="both"/>
      </w:pPr>
      <w:r>
        <w:rPr>
          <w:rFonts w:ascii="宋体" w:hAnsi="宋体" w:eastAsia="宋体"/>
          <w:sz w:val="24"/>
        </w:rPr>
        <w:t>式(7-6)包含四点判断。第一，租金与效值成比例：同一场景中，效值更高的词元因单枚承载更多价值而可索取更高租金，这是效值系数第二次进入价格公式——第一次在溢价层，第二次在租金层，二者的机制不同，前者源于买方对质量的支付意愿，后者源于价值创造的规模。第二，租金以「可分配剩余」为上限：若使用方的互补投入</w:t>
      </w:r>
      <m:oMath>
        <m:sSub>
          <m:e>
            <m:r>
              <m:t>κ</m:t>
            </m:r>
          </m:e>
          <m:sub>
            <m:r>
              <m:t>j</m:t>
            </m:r>
          </m:sub>
        </m:sSub>
      </m:oMath>
      <w:r>
        <w:rPr>
          <w:rFonts w:ascii="宋体" w:hAnsi="宋体" w:eastAsia="宋体"/>
          <w:sz w:val="24"/>
        </w:rPr>
        <w:t>过高，或次优替代方案足够便宜，剩余可能为零甚至为负，此时无论词元多么强大都不存在租金，这正是第6章「生成不等于实现」命题在定价上的对应表述。第三，分成率由市场结构而非技术决定：可替代供给越密集，分成率越低；转换成本越高，分成率越高。开放权重模型的扩散与路由平台的普及同时提高了</w:t>
      </w:r>
      <m:oMath>
        <m:sSub>
          <m:e>
            <m:r>
              <m:t>χ</m:t>
            </m:r>
          </m:e>
          <m:sub>
            <m:r>
              <m:t>j</m:t>
            </m:r>
          </m:sub>
        </m:sSub>
      </m:oMath>
      <w:r>
        <w:rPr>
          <w:rFonts w:ascii="宋体" w:hAnsi="宋体" w:eastAsia="宋体"/>
          <w:sz w:val="24"/>
        </w:rPr>
        <w:t>、降低了</w:t>
      </w:r>
      <m:oMath>
        <m:sSub>
          <m:e>
            <m:r>
              <m:t>ψ</m:t>
            </m:r>
          </m:e>
          <m:sub>
            <m:r>
              <m:t>j</m:t>
            </m:r>
          </m:sub>
        </m:sSub>
      </m:oMath>
      <w:r>
        <w:rPr>
          <w:rFonts w:ascii="宋体" w:hAnsi="宋体" w:eastAsia="宋体"/>
          <w:sz w:val="24"/>
        </w:rPr>
        <w:t>，这解释了模型服务市场集中度由2024年的0.34降至2026年的0.21的同时，租金层承受的压力为何显著上升。第四，租金层是纵向价差的主要来源：由于</w:t>
      </w:r>
      <m:oMath>
        <m:sSub>
          <m:e>
            <m:r>
              <m:t>u</m:t>
            </m:r>
          </m:e>
          <m:sub>
            <m:r>
              <m:t>j</m:t>
            </m:r>
          </m:sub>
        </m:sSub>
      </m:oMath>
      <w:r>
        <w:rPr>
          <w:rFonts w:ascii="宋体" w:hAnsi="宋体" w:eastAsia="宋体"/>
          <w:sz w:val="24"/>
        </w:rPr>
        <w:t>的跨场景跨度达5.9倍，即便面对同一档位、同一效值，不同场景的成交价也可以相差数倍，这使得「统一的词元挂牌价」在有深度场景服务的市场上必然被合约条款所修正。</w:t>
      </w:r>
    </w:p>
    <w:p>
      <w:pPr>
        <w:spacing w:line="360" w:lineRule="auto" w:after="0"/>
        <w:ind w:firstLineChars="200" w:firstLine="480"/>
        <w:jc w:val="both"/>
      </w:pPr>
      <w:r>
        <w:rPr>
          <w:rFonts w:ascii="宋体" w:hAnsi="宋体" w:eastAsia="宋体"/>
          <w:sz w:val="24"/>
        </w:rPr>
        <w:t>需要提醒一种常见误读：场景租金层的存在，并不意味着服务方攫取了应用侧的大部分价值。第6章的测算显示，服务方在所创造毛价值中的可占有份额不足百分之一，绝大部分价值以使用方剩余的形式留在应用侧。租金层之所以重要，不在于其绝对量大，而在于它是三层中弹性最大、最难以观测、也最容易被制度安排改变的一层——统一入口、统一计量与合同规范可以显著降低</w:t>
      </w:r>
      <m:oMath>
        <m:sSub>
          <m:e>
            <m:r>
              <m:t>ψ</m:t>
            </m:r>
          </m:e>
          <m:sub>
            <m:r>
              <m:t>j</m:t>
            </m:r>
          </m:sub>
        </m:sSub>
      </m:oMath>
      <w:r>
        <w:rPr>
          <w:rFonts w:ascii="宋体" w:hAnsi="宋体" w:eastAsia="宋体"/>
          <w:sz w:val="24"/>
        </w:rPr>
        <w:t>，从而把租金压回到与竞争程度相称的水平，这正是第10章「五个统一」机制设计的定价理论依据。</w:t>
      </w:r>
    </w:p>
    <w:p>
      <w:pPr>
        <w:keepNext/>
        <w:spacing w:before="160" w:after="120" w:line="360" w:lineRule="auto"/>
        <w:outlineLvl w:val="2"/>
      </w:pPr>
      <w:r>
        <w:rPr>
          <w:rFonts w:ascii="黑体" w:hAnsi="黑体" w:eastAsia="黑体"/>
          <w:sz w:val="24"/>
        </w:rPr>
        <w:t>7.2.5  六档位的三层分解：折算前后的结构性发现</w:t>
      </w:r>
    </w:p>
    <w:p>
      <w:pPr>
        <w:spacing w:line="360" w:lineRule="auto" w:after="0"/>
        <w:ind w:firstLineChars="200" w:firstLine="480"/>
        <w:jc w:val="both"/>
      </w:pPr>
      <w:r>
        <w:rPr>
          <w:rFonts w:ascii="宋体" w:hAnsi="宋体" w:eastAsia="宋体"/>
          <w:sz w:val="24"/>
        </w:rPr>
        <w:t>把式(7-4)至式(7-6)应用于本书校准的六个档位，可得三层价格结构的实际分解。结果如图7.2所示，其中面板（a）为价格水平的绝对分解，面板（b）为各层占市场价的结构比重。</w:t>
      </w:r>
    </w:p>
    <w:p>
      <w:pPr>
        <w:spacing w:before="120" w:after="40"/>
        <w:jc w:val="center"/>
      </w:pPr>
      <w:r>
        <w:drawing>
          <wp:inline xmlns:a="http://schemas.openxmlformats.org/drawingml/2006/main" xmlns:pic="http://schemas.openxmlformats.org/drawingml/2006/picture">
            <wp:extent cx="5040000" cy="2267356"/>
            <wp:docPr id="21" name="Picture 21"/>
            <wp:cNvGraphicFramePr>
              <a:graphicFrameLocks noChangeAspect="1"/>
            </wp:cNvGraphicFramePr>
            <a:graphic>
              <a:graphicData uri="http://schemas.openxmlformats.org/drawingml/2006/picture">
                <pic:pic>
                  <pic:nvPicPr>
                    <pic:cNvPr id="0" name="fig7_2.png"/>
                    <pic:cNvPicPr/>
                  </pic:nvPicPr>
                  <pic:blipFill>
                    <a:blip r:embed="rId29"/>
                    <a:stretch>
                      <a:fillRect/>
                    </a:stretch>
                  </pic:blipFill>
                  <pic:spPr>
                    <a:xfrm>
                      <a:off x="0" y="0"/>
                      <a:ext cx="5040000" cy="2267356"/>
                    </a:xfrm>
                    <a:prstGeom prst="rect"/>
                  </pic:spPr>
                </pic:pic>
              </a:graphicData>
            </a:graphic>
          </wp:inline>
        </w:drawing>
      </w:r>
    </w:p>
    <w:p>
      <w:pPr>
        <w:keepNext w:val="0"/>
        <w:spacing w:after="40"/>
        <w:jc w:val="center"/>
      </w:pPr>
      <w:r>
        <w:rPr>
          <w:rFonts w:ascii="黑体" w:hAnsi="黑体" w:eastAsia="黑体"/>
          <w:sz w:val="21"/>
        </w:rPr>
        <w:t>图7.2  六档位价格的三层分解（2026年第二季度）</w:t>
      </w:r>
    </w:p>
    <w:p>
      <w:pPr>
        <w:spacing w:after="200" w:line="240" w:lineRule="auto"/>
        <w:jc w:val="both"/>
      </w:pPr>
      <w:r>
        <w:rPr>
          <w:rFonts w:ascii="宋体" w:hAnsi="宋体" w:eastAsia="宋体"/>
          <w:sz w:val="18"/>
        </w:rPr>
        <w:t>注：纵轴口径为元／百万物理词元；六个档位为本书按能力与成本特征归并的抽象分类，不对应任何具体商业产品或服务商；效值系数与折算方法见第5章。数据来源：作者校准复算。</w:t>
      </w:r>
    </w:p>
    <w:p>
      <w:pPr>
        <w:spacing w:line="360" w:lineRule="auto" w:after="0"/>
        <w:ind w:firstLineChars="200" w:firstLine="480"/>
        <w:jc w:val="both"/>
      </w:pPr>
      <w:r>
        <w:rPr>
          <w:rFonts w:ascii="宋体" w:hAnsi="宋体" w:eastAsia="宋体"/>
          <w:sz w:val="24"/>
        </w:rPr>
        <w:t>图7.2给出三点观察。</w:t>
      </w:r>
      <w:r>
        <w:rPr>
          <w:rFonts w:ascii="宋体" w:hAnsi="宋体" w:eastAsia="宋体"/>
          <w:b/>
          <w:sz w:val="24"/>
        </w:rPr>
        <w:t>第一，三层的绝对水平随档位陡峭上升。</w:t>
      </w:r>
      <w:r>
        <w:rPr>
          <w:rFonts w:ascii="宋体" w:hAnsi="宋体" w:eastAsia="宋体"/>
          <w:sz w:val="24"/>
        </w:rPr>
        <w:t>成本底价层由轻量蒸馏级的0.18元升至推理增强级的3.36元，相差18.7倍；市场价则由0.40元升至14.00元，相差35倍。</w:t>
      </w:r>
      <w:r>
        <w:rPr>
          <w:rFonts w:ascii="宋体" w:hAnsi="宋体" w:eastAsia="宋体"/>
          <w:b/>
          <w:sz w:val="24"/>
        </w:rPr>
        <w:t>第二，价格结构随档位系统性地由成本主导转向租金主导。</w:t>
      </w:r>
      <w:r>
        <w:rPr>
          <w:rFonts w:ascii="宋体" w:hAnsi="宋体" w:eastAsia="宋体"/>
          <w:sz w:val="24"/>
        </w:rPr>
        <w:t>成本底价层占市场价的比重由轻量蒸馏级的45%降至推理增强级的24%，而场景租金层的比重由32%升至44%。这一结构性转变意味着，低档位词元的价格竞争实质上是成本竞争，高档位词元的价格竞争实质上是价值竞争——两者不可用同一套政策工具治理。</w:t>
      </w:r>
      <w:r>
        <w:rPr>
          <w:rFonts w:ascii="宋体" w:hAnsi="宋体" w:eastAsia="宋体"/>
          <w:b/>
          <w:sz w:val="24"/>
        </w:rPr>
        <w:t>第三，多模态级的结构自成一格。</w:t>
      </w:r>
      <w:r>
        <w:rPr>
          <w:rFonts w:ascii="宋体" w:hAnsi="宋体" w:eastAsia="宋体"/>
          <w:sz w:val="24"/>
        </w:rPr>
        <w:t>多模态级的场景租金比重达43%，高于效值系数更高的旗舰闭源级的41%，其原因在于多模态词元的场景效用维度突出，价值实现更多依赖场景而非纯粹的推理能力。</w:t>
      </w:r>
    </w:p>
    <w:p>
      <w:pPr>
        <w:spacing w:line="360" w:lineRule="auto" w:after="0"/>
        <w:ind w:firstLineChars="200" w:firstLine="480"/>
        <w:jc w:val="both"/>
      </w:pPr>
      <w:r>
        <w:rPr>
          <w:rFonts w:ascii="宋体" w:hAnsi="宋体" w:eastAsia="宋体"/>
          <w:sz w:val="24"/>
        </w:rPr>
        <w:t>若要在档位之间做真正有意义的比较，必须把三层价格一并折算为标准词元口径。由</w:t>
      </w:r>
      <m:oMath>
        <m:acc>
          <m:accPr>
            <m:chr m:val="̃"/>
          </m:accPr>
          <m:e>
            <m:r>
              <m:t>p</m:t>
            </m:r>
          </m:e>
        </m:acc>
        <m:r>
          <m:rPr>
            <m:sty m:val="p"/>
          </m:rPr>
          <m:t>=</m:t>
        </m:r>
        <m:r>
          <m:t>p</m:t>
        </m:r>
        <m:r>
          <m:rPr>
            <m:sty m:val="p"/>
          </m:rPr>
          <m:t>/</m:t>
        </m:r>
        <m:r>
          <m:t>η</m:t>
        </m:r>
      </m:oMath>
      <w:r>
        <w:rPr>
          <w:rFonts w:ascii="宋体" w:hAnsi="宋体" w:eastAsia="宋体"/>
          <w:sz w:val="24"/>
        </w:rPr>
        <w:t>与式(7-3)可得折算后的三层分解，如式(7-7)所示。</w:t>
      </w:r>
    </w:p>
    <w:p>
      <w:pPr>
        <w:tabs>
          <w:tab w:pos="4252" w:val="center"/>
          <w:tab w:pos="8504" w:val="right"/>
        </w:tabs>
        <w:spacing w:line="360" w:lineRule="auto" w:before="80" w:after="80"/>
      </w:pPr>
      <w:r>
        <w:tab/>
      </w:r>
      <m:oMath>
        <m:sSub>
          <m:e>
            <m:acc>
              <m:accPr>
                <m:chr m:val="̃"/>
              </m:accPr>
              <m:e>
                <m:r>
                  <m:t>p</m:t>
                </m:r>
              </m:e>
            </m:acc>
          </m:e>
          <m:sub>
            <m:r>
              <m:t>m</m:t>
            </m:r>
          </m:sub>
        </m:sSub>
        <m:r>
          <m:rPr>
            <m:sty m:val="p"/>
          </m:rPr>
          <m:t>=</m:t>
        </m:r>
        <m:f>
          <m:fPr>
            <m:type m:val="bar"/>
          </m:fPr>
          <m:num>
            <m:sSub>
              <m:e>
                <m:r>
                  <m:t>p</m:t>
                </m:r>
              </m:e>
              <m:sub>
                <m:r>
                  <m:t>m</m:t>
                </m:r>
              </m:sub>
            </m:sSub>
          </m:num>
          <m:den>
            <m:sSub>
              <m:e>
                <m:r>
                  <m:t>η</m:t>
                </m:r>
              </m:e>
              <m:sub>
                <m:r>
                  <m:t>m</m:t>
                </m:r>
              </m:sub>
            </m:sSub>
          </m:den>
        </m:f>
        <m:r>
          <m:rPr>
            <m:sty m:val="p"/>
          </m:rPr>
          <m:t>=</m:t>
        </m:r>
        <m:f>
          <m:fPr>
            <m:type m:val="bar"/>
          </m:fPr>
          <m:num>
            <m:sSubSup>
              <m:e>
                <m:r>
                  <m:t>p</m:t>
                </m:r>
              </m:e>
              <m:sub>
                <m:r>
                  <m:t>m</m:t>
                </m:r>
              </m:sub>
              <m:sup>
                <m:r>
                  <m:t>f</m:t>
                </m:r>
              </m:sup>
            </m:sSubSup>
          </m:num>
          <m:den>
            <m:sSub>
              <m:e>
                <m:r>
                  <m:t>η</m:t>
                </m:r>
              </m:e>
              <m:sub>
                <m:r>
                  <m:t>m</m:t>
                </m:r>
              </m:sub>
            </m:sSub>
          </m:den>
        </m:f>
        <m:r>
          <m:rPr>
            <m:sty m:val="p"/>
          </m:rPr>
          <m:t>+</m:t>
        </m:r>
        <m:f>
          <m:fPr>
            <m:type m:val="bar"/>
          </m:fPr>
          <m:num>
            <m:sSubSup>
              <m:e>
                <m:r>
                  <m:t>p</m:t>
                </m:r>
              </m:e>
              <m:sub>
                <m:r>
                  <m:t>m</m:t>
                </m:r>
              </m:sub>
              <m:sup>
                <m:r>
                  <m:t>η</m:t>
                </m:r>
              </m:sup>
            </m:sSubSup>
          </m:num>
          <m:den>
            <m:sSub>
              <m:e>
                <m:r>
                  <m:t>η</m:t>
                </m:r>
              </m:e>
              <m:sub>
                <m:r>
                  <m:t>m</m:t>
                </m:r>
              </m:sub>
            </m:sSub>
          </m:den>
        </m:f>
        <m:r>
          <m:rPr>
            <m:sty m:val="p"/>
          </m:rPr>
          <m:t>+</m:t>
        </m:r>
        <m:f>
          <m:fPr>
            <m:type m:val="bar"/>
          </m:fPr>
          <m:num>
            <m:sSubSup>
              <m:e>
                <m:r>
                  <m:t>p</m:t>
                </m:r>
              </m:e>
              <m:sub>
                <m:r>
                  <m:t>m</m:t>
                </m:r>
              </m:sub>
              <m:sup>
                <m:r>
                  <m:t>s</m:t>
                </m:r>
              </m:sup>
            </m:sSubSup>
          </m:num>
          <m:den>
            <m:sSub>
              <m:e>
                <m:r>
                  <m:t>η</m:t>
                </m:r>
              </m:e>
              <m:sub>
                <m:r>
                  <m:t>m</m:t>
                </m:r>
              </m:sub>
            </m:sSub>
          </m:den>
        </m:f>
        <m:r>
          <m:rPr>
            <m:sty m:val="p"/>
          </m:rPr>
          <m:t>=</m:t>
        </m:r>
        <m:sSubSup>
          <m:e>
            <m:acc>
              <m:accPr>
                <m:chr m:val="̃"/>
              </m:accPr>
              <m:e>
                <m:r>
                  <m:t>p</m:t>
                </m:r>
              </m:e>
            </m:acc>
          </m:e>
          <m:sub>
            <m:r>
              <m:t>m</m:t>
            </m:r>
          </m:sub>
          <m:sup>
            <m:r>
              <m:t>f</m:t>
            </m:r>
          </m:sup>
        </m:sSubSup>
        <m:r>
          <m:rPr>
            <m:sty m:val="p"/>
          </m:rPr>
          <m:t>+</m:t>
        </m:r>
        <m:sSubSup>
          <m:e>
            <m:acc>
              <m:accPr>
                <m:chr m:val="̃"/>
              </m:accPr>
              <m:e>
                <m:r>
                  <m:t>p</m:t>
                </m:r>
              </m:e>
            </m:acc>
          </m:e>
          <m:sub>
            <m:r>
              <m:t>m</m:t>
            </m:r>
          </m:sub>
          <m:sup>
            <m:r>
              <m:t>η</m:t>
            </m:r>
          </m:sup>
        </m:sSubSup>
        <m:r>
          <m:rPr>
            <m:sty m:val="p"/>
          </m:rPr>
          <m:t>+</m:t>
        </m:r>
        <m:sSubSup>
          <m:e>
            <m:acc>
              <m:accPr>
                <m:chr m:val="̃"/>
              </m:accPr>
              <m:e>
                <m:r>
                  <m:t>p</m:t>
                </m:r>
              </m:e>
            </m:acc>
          </m:e>
          <m:sub>
            <m:r>
              <m:t>m</m:t>
            </m:r>
          </m:sub>
          <m:sup>
            <m:r>
              <m:t>s</m:t>
            </m:r>
          </m:sup>
        </m:sSubSup>
      </m:oMath>
      <w:r>
        <w:tab/>
      </w:r>
      <w:r>
        <w:rPr>
          <w:rFonts w:ascii="Times New Roman" w:hAnsi="Times New Roman" w:eastAsia="宋体"/>
          <w:sz w:val="24"/>
        </w:rPr>
        <w:t>(7-7)</w:t>
      </w:r>
    </w:p>
    <w:p>
      <w:pPr>
        <w:spacing w:line="360" w:lineRule="auto" w:after="0"/>
        <w:jc w:val="both"/>
      </w:pPr>
      <w:r>
        <w:rPr>
          <w:rFonts w:ascii="宋体" w:hAnsi="宋体" w:eastAsia="宋体"/>
          <w:sz w:val="24"/>
        </w:rPr>
        <w:t>其中，</w:t>
      </w:r>
      <m:oMath>
        <m:sSubSup>
          <m:e>
            <m:acc>
              <m:accPr>
                <m:chr m:val="̃"/>
              </m:accPr>
              <m:e>
                <m:r>
                  <m:t>p</m:t>
                </m:r>
              </m:e>
            </m:acc>
          </m:e>
          <m:sub>
            <m:r>
              <m:t>m</m:t>
            </m:r>
          </m:sub>
          <m:sup>
            <m:r>
              <m:t>f</m:t>
            </m:r>
          </m:sup>
        </m:sSubSup>
      </m:oMath>
      <w:r>
        <w:rPr>
          <w:rFonts w:ascii="宋体" w:hAnsi="宋体" w:eastAsia="宋体"/>
          <w:sz w:val="24"/>
        </w:rPr>
        <w:t>、</w:t>
      </w:r>
      <m:oMath>
        <m:sSubSup>
          <m:e>
            <m:acc>
              <m:accPr>
                <m:chr m:val="̃"/>
              </m:accPr>
              <m:e>
                <m:r>
                  <m:t>p</m:t>
                </m:r>
              </m:e>
            </m:acc>
          </m:e>
          <m:sub>
            <m:r>
              <m:t>m</m:t>
            </m:r>
          </m:sub>
          <m:sup>
            <m:r>
              <m:t>η</m:t>
            </m:r>
          </m:sup>
        </m:sSubSup>
      </m:oMath>
      <w:r>
        <w:rPr>
          <w:rFonts w:ascii="宋体" w:hAnsi="宋体" w:eastAsia="宋体"/>
          <w:sz w:val="24"/>
        </w:rPr>
        <w:t>、</w:t>
      </w:r>
      <m:oMath>
        <m:sSubSup>
          <m:e>
            <m:acc>
              <m:accPr>
                <m:chr m:val="̃"/>
              </m:accPr>
              <m:e>
                <m:r>
                  <m:t>p</m:t>
                </m:r>
              </m:e>
            </m:acc>
          </m:e>
          <m:sub>
            <m:r>
              <m:t>m</m:t>
            </m:r>
          </m:sub>
          <m:sup>
            <m:r>
              <m:t>s</m:t>
            </m:r>
          </m:sup>
        </m:sSubSup>
      </m:oMath>
      <w:r>
        <w:rPr>
          <w:rFonts w:ascii="宋体" w:hAnsi="宋体" w:eastAsia="宋体"/>
          <w:sz w:val="24"/>
        </w:rPr>
        <w:t>分别为标准词元口径的成本底价层、效值溢价层与场景租金层，量纲为元每百万标准词元。</w:t>
      </w:r>
    </w:p>
    <w:p>
      <w:pPr>
        <w:spacing w:line="360" w:lineRule="auto" w:after="0"/>
        <w:ind w:firstLineChars="200" w:firstLine="480"/>
        <w:jc w:val="both"/>
      </w:pPr>
      <w:r>
        <w:rPr>
          <w:rFonts w:ascii="宋体" w:hAnsi="宋体" w:eastAsia="宋体"/>
          <w:sz w:val="24"/>
        </w:rPr>
        <w:t>式(7-7)看似只是一次除法，其结果却构成本章最重要的结构性发现。</w:t>
      </w:r>
      <w:r>
        <w:rPr>
          <w:rFonts w:ascii="宋体" w:hAnsi="宋体" w:eastAsia="宋体"/>
          <w:b/>
          <w:sz w:val="24"/>
        </w:rPr>
        <w:t>折算之后，三层的离散程度出现了极为悬殊的分化。</w:t>
      </w:r>
      <w:r>
        <w:rPr>
          <w:rFonts w:ascii="宋体" w:hAnsi="宋体" w:eastAsia="宋体"/>
          <w:sz w:val="24"/>
        </w:rPr>
        <w:t>成本底价层在物理词元口径下的极差为18.7倍，折算为标准词元口径后骤降至1.66倍——由轻量蒸馏级的0.474元每百万标准词元到推理增强级的0.785元，几乎构成一条水平线。这意味着</w:t>
      </w:r>
      <w:r>
        <w:rPr>
          <w:rFonts w:ascii="宋体" w:hAnsi="宋体" w:eastAsia="宋体"/>
          <w:b/>
          <w:sz w:val="24"/>
        </w:rPr>
        <w:t>效值折算几乎完全吸收了成本侧的档位差异</w:t>
      </w:r>
      <w:r>
        <w:rPr>
          <w:rFonts w:ascii="宋体" w:hAnsi="宋体" w:eastAsia="宋体"/>
          <w:sz w:val="24"/>
        </w:rPr>
        <w:t>：不同档位的成本差异，绝大部分是「生产了不同的东西」而非「效率高低不同」。与之形成鲜明对照的是，折算后的效值溢价层极差仍达4.36倍、场景租金层极差仍达4.25倍，二者合计使折算后的标准词元单价仍有3.11倍的离散——由轻量蒸馏级的1.053元每百万标准词元到推理增强级的3.271元。</w:t>
      </w:r>
    </w:p>
    <w:p>
      <w:pPr>
        <w:spacing w:line="360" w:lineRule="auto" w:after="0"/>
        <w:ind w:firstLineChars="200" w:firstLine="480"/>
        <w:jc w:val="both"/>
      </w:pPr>
      <w:r>
        <w:rPr>
          <w:rFonts w:ascii="宋体" w:hAnsi="宋体" w:eastAsia="宋体"/>
          <w:sz w:val="24"/>
        </w:rPr>
        <w:t>这一发现有三重含义，值得逐条厘清。</w:t>
      </w:r>
      <w:r>
        <w:rPr>
          <w:rFonts w:ascii="宋体" w:hAnsi="宋体" w:eastAsia="宋体"/>
          <w:b/>
          <w:sz w:val="24"/>
        </w:rPr>
        <w:t>其一，方法论含义。</w:t>
      </w:r>
      <w:r>
        <w:rPr>
          <w:rFonts w:ascii="宋体" w:hAnsi="宋体" w:eastAsia="宋体"/>
          <w:sz w:val="24"/>
        </w:rPr>
        <w:t>第5章曾报告，效值折算把跨档位单价的变异系数由0.92压至0.31、基尼系数由0.47压至0.17，价格分布明显趋近一价定律，但并未完全收敛。式(7-7)的分层结果解释了残差从何而来：</w:t>
      </w:r>
      <w:r>
        <w:rPr>
          <w:rFonts w:ascii="宋体" w:hAnsi="宋体" w:eastAsia="宋体"/>
          <w:b/>
          <w:sz w:val="24"/>
        </w:rPr>
        <w:t>残差不在成本层，而在溢价层与租金层</w:t>
      </w:r>
      <w:r>
        <w:rPr>
          <w:rFonts w:ascii="宋体" w:hAnsi="宋体" w:eastAsia="宋体"/>
          <w:sz w:val="24"/>
        </w:rPr>
        <w:t>。换言之，折算体系是有效的，它准确地消除了成本侧的不可比；剩余的离散不是折算的失败，而是市场结构与信息条件的真实反映。</w:t>
      </w:r>
      <w:r>
        <w:rPr>
          <w:rFonts w:ascii="宋体" w:hAnsi="宋体" w:eastAsia="宋体"/>
          <w:b/>
          <w:sz w:val="24"/>
        </w:rPr>
        <w:t>其二，监管含义。</w:t>
      </w:r>
      <w:r>
        <w:rPr>
          <w:rFonts w:ascii="宋体" w:hAnsi="宋体" w:eastAsia="宋体"/>
          <w:sz w:val="24"/>
        </w:rPr>
        <w:t>成本监审这一传统工具在词元市场上的适用范围因此被严格限定：既然折算后的成本层已近乎一价，继续以成本核查去解释或压缩价差就是无的放矢；真正需要治理的是溢价层的信息不对称与租金层的锁定效应。</w:t>
      </w:r>
      <w:r>
        <w:rPr>
          <w:rFonts w:ascii="宋体" w:hAnsi="宋体" w:eastAsia="宋体"/>
          <w:b/>
          <w:sz w:val="24"/>
        </w:rPr>
        <w:t>其三，补贴含义。</w:t>
      </w:r>
      <w:r>
        <w:rPr>
          <w:rFonts w:ascii="宋体" w:hAnsi="宋体" w:eastAsia="宋体"/>
          <w:sz w:val="24"/>
        </w:rPr>
        <w:t>按物理词元计发的补贴，其实际补贴强度随档位效值反向变化：同样补贴1元，轻量蒸馏级可换来的标准词元数是推理增强级的3.1倍。若政策目标是推动高价值场景的深度应用，按物理词元计发的补贴就会系统性地偏离目标——这是第10章讨论城市词元运营中心补贴设计时必须处理的核心技术问题。</w:t>
      </w:r>
    </w:p>
    <w:p>
      <w:pPr>
        <w:keepNext/>
        <w:spacing w:before="160" w:after="120" w:line="360" w:lineRule="auto"/>
        <w:outlineLvl w:val="1"/>
      </w:pPr>
      <w:r>
        <w:rPr>
          <w:rFonts w:ascii="黑体" w:hAnsi="黑体" w:eastAsia="黑体"/>
          <w:sz w:val="28"/>
        </w:rPr>
        <w:t>7.3  平台竞争下的价格动态：加成、学习曲线与收敛路径</w:t>
      </w:r>
    </w:p>
    <w:p>
      <w:pPr>
        <w:keepNext/>
        <w:spacing w:before="160" w:after="120" w:line="360" w:lineRule="auto"/>
        <w:outlineLvl w:val="2"/>
      </w:pPr>
      <w:r>
        <w:rPr>
          <w:rFonts w:ascii="黑体" w:hAnsi="黑体" w:eastAsia="黑体"/>
          <w:sz w:val="24"/>
        </w:rPr>
        <w:t>7.3.1  加成结构：差异化伯特兰均衡与勒纳指数</w:t>
      </w:r>
    </w:p>
    <w:p>
      <w:pPr>
        <w:spacing w:line="360" w:lineRule="auto" w:after="0"/>
        <w:ind w:firstLineChars="200" w:firstLine="480"/>
        <w:jc w:val="both"/>
      </w:pPr>
      <w:r>
        <w:rPr>
          <w:rFonts w:ascii="宋体" w:hAnsi="宋体" w:eastAsia="宋体"/>
          <w:sz w:val="24"/>
        </w:rPr>
        <w:t>三层结构刻画的是价格的截面构成，价格的时间路径则由竞争决定。词元市场的竞争形态介于伯特兰竞争与垄断竞争之间：产品高度差异化（效值不同、生态不同、合规条件不同），但同一档位内部的可替代性很强，且转换成本因统一接口与路由平台的普及而持续下降。在差异化产品的价格竞争中，各服务方在给定对手价格时选择自身价格最大化利润，一阶条件给出经典的勒纳加成式，如式(7-8)所示。</w:t>
      </w:r>
    </w:p>
    <w:p>
      <w:pPr>
        <w:tabs>
          <w:tab w:pos="4252" w:val="center"/>
          <w:tab w:pos="8504" w:val="right"/>
        </w:tabs>
        <w:spacing w:line="360" w:lineRule="auto" w:before="80" w:after="80"/>
      </w:pPr>
      <w:r>
        <w:tab/>
      </w:r>
      <m:oMath>
        <m:f>
          <m:fPr>
            <m:type m:val="bar"/>
          </m:fPr>
          <m:num>
            <m:sSub>
              <m:e>
                <m:r>
                  <m:t>p</m:t>
                </m:r>
              </m:e>
              <m:sub>
                <m:r>
                  <m:t>m</m:t>
                </m:r>
              </m:sub>
            </m:sSub>
            <m:r>
              <m:rPr>
                <m:sty m:val="p"/>
              </m:rPr>
              <m:t>−</m:t>
            </m:r>
            <m:sSubSup>
              <m:e>
                <m:r>
                  <m:t>c</m:t>
                </m:r>
              </m:e>
              <m:sub>
                <m:r>
                  <m:t>m</m:t>
                </m:r>
              </m:sub>
              <m:sup>
                <m:r>
                  <m:rPr>
                    <m:sty m:val="p"/>
                  </m:rPr>
                  <m:t>M</m:t>
                </m:r>
                <m:r>
                  <m:rPr>
                    <m:sty m:val="p"/>
                  </m:rPr>
                  <m:t>C</m:t>
                </m:r>
              </m:sup>
            </m:sSubSup>
          </m:num>
          <m:den>
            <m:sSub>
              <m:e>
                <m:r>
                  <m:t>p</m:t>
                </m:r>
              </m:e>
              <m:sub>
                <m:r>
                  <m:t>m</m:t>
                </m:r>
              </m:sub>
            </m:sSub>
          </m:den>
        </m:f>
        <m:r>
          <m:rPr>
            <m:sty m:val="p"/>
          </m:rPr>
          <m:t>=</m:t>
        </m:r>
        <m:f>
          <m:fPr>
            <m:type m:val="bar"/>
          </m:fPr>
          <m:num>
            <m:r>
              <m:t>1</m:t>
            </m:r>
          </m:num>
          <m:den>
            <m:d>
              <m:dPr>
                <m:begChr m:val="|"/>
                <m:endChr m:val="|"/>
                <m:grow/>
              </m:dPr>
              <m:e>
                <m:sSub>
                  <m:e>
                    <m:r>
                      <m:t>ε</m:t>
                    </m:r>
                  </m:e>
                  <m:sub>
                    <m:r>
                      <m:t>m</m:t>
                    </m:r>
                    <m:r>
                      <m:t>m</m:t>
                    </m:r>
                  </m:sub>
                </m:sSub>
              </m:e>
            </m:d>
          </m:den>
        </m:f>
        <m:r>
          <m:rPr>
            <m:sty m:val="p"/>
          </m:rPr>
          <m:t>,</m:t>
        </m:r>
        <m:r>
          <m:t>  </m:t>
        </m:r>
        <m:sSub>
          <m:e>
            <m:r>
              <m:t>ε</m:t>
            </m:r>
          </m:e>
          <m:sub>
            <m:r>
              <m:t>m</m:t>
            </m:r>
            <m:r>
              <m:t>m</m:t>
            </m:r>
          </m:sub>
        </m:sSub>
        <m:r>
          <m:rPr>
            <m:sty m:val="p"/>
          </m:rPr>
          <m:t>=</m:t>
        </m:r>
        <m:f>
          <m:fPr>
            <m:type m:val="bar"/>
          </m:fPr>
          <m:num>
            <m:r>
              <m:rPr>
                <m:sty m:val="p"/>
              </m:rPr>
              <m:t>∂</m:t>
            </m:r>
            <m:sSub>
              <m:e>
                <m:r>
                  <m:t>q</m:t>
                </m:r>
              </m:e>
              <m:sub>
                <m:r>
                  <m:t>m</m:t>
                </m:r>
              </m:sub>
            </m:sSub>
          </m:num>
          <m:den>
            <m:r>
              <m:rPr>
                <m:sty m:val="p"/>
              </m:rPr>
              <m:t>∂</m:t>
            </m:r>
            <m:sSub>
              <m:e>
                <m:r>
                  <m:t>p</m:t>
                </m:r>
              </m:e>
              <m:sub>
                <m:r>
                  <m:t>m</m:t>
                </m:r>
              </m:sub>
            </m:sSub>
          </m:den>
        </m:f>
        <m:r>
          <m:rPr>
            <m:sty m:val="p"/>
          </m:rPr>
          <m:t>⋅</m:t>
        </m:r>
        <m:f>
          <m:fPr>
            <m:type m:val="bar"/>
          </m:fPr>
          <m:num>
            <m:sSub>
              <m:e>
                <m:r>
                  <m:t>p</m:t>
                </m:r>
              </m:e>
              <m:sub>
                <m:r>
                  <m:t>m</m:t>
                </m:r>
              </m:sub>
            </m:sSub>
          </m:num>
          <m:den>
            <m:sSub>
              <m:e>
                <m:r>
                  <m:t>q</m:t>
                </m:r>
              </m:e>
              <m:sub>
                <m:r>
                  <m:t>m</m:t>
                </m:r>
              </m:sub>
            </m:sSub>
          </m:den>
        </m:f>
      </m:oMath>
      <w:r>
        <w:tab/>
      </w:r>
      <w:r>
        <w:rPr>
          <w:rFonts w:ascii="Times New Roman" w:hAnsi="Times New Roman" w:eastAsia="宋体"/>
          <w:sz w:val="24"/>
        </w:rPr>
        <w:t>(7-8)</w:t>
      </w:r>
    </w:p>
    <w:p>
      <w:pPr>
        <w:spacing w:line="360" w:lineRule="auto" w:after="0"/>
        <w:jc w:val="both"/>
      </w:pPr>
      <w:r>
        <w:rPr>
          <w:rFonts w:ascii="宋体" w:hAnsi="宋体" w:eastAsia="宋体"/>
          <w:sz w:val="24"/>
        </w:rPr>
        <w:t>其中，</w:t>
      </w:r>
      <m:oMath>
        <m:sSub>
          <m:e>
            <m:r>
              <m:t>ε</m:t>
            </m:r>
          </m:e>
          <m:sub>
            <m:r>
              <m:t>m</m:t>
            </m:r>
            <m:r>
              <m:t>m</m:t>
            </m:r>
          </m:sub>
        </m:sSub>
      </m:oMath>
      <w:r>
        <w:rPr>
          <w:rFonts w:ascii="宋体" w:hAnsi="宋体" w:eastAsia="宋体"/>
          <w:sz w:val="24"/>
        </w:rPr>
        <w:t>为档位</w:t>
      </w:r>
      <m:oMath>
        <m:r>
          <m:t>m</m:t>
        </m:r>
      </m:oMath>
      <w:r>
        <w:rPr>
          <w:rFonts w:ascii="宋体" w:hAnsi="宋体" w:eastAsia="宋体"/>
          <w:sz w:val="24"/>
        </w:rPr>
        <w:t>的自价格需求弹性；弹性绝对值越大，均衡加成率越低，产品趋于同质时</w:t>
      </w:r>
      <m:oMath>
        <m:d>
          <m:dPr>
            <m:begChr m:val="|"/>
            <m:endChr m:val="|"/>
            <m:grow/>
          </m:dPr>
          <m:e>
            <m:sSub>
              <m:e>
                <m:r>
                  <m:t>ε</m:t>
                </m:r>
              </m:e>
              <m:sub>
                <m:r>
                  <m:t>m</m:t>
                </m:r>
                <m:r>
                  <m:t>m</m:t>
                </m:r>
              </m:sub>
            </m:sSub>
          </m:e>
        </m:d>
        <m:r>
          <m:rPr>
            <m:sty m:val="p"/>
          </m:rPr>
          <m:t>→</m:t>
        </m:r>
        <m:r>
          <m:rPr>
            <m:sty m:val="p"/>
          </m:rPr>
          <m:t>∞</m:t>
        </m:r>
      </m:oMath>
      <w:r>
        <w:rPr>
          <w:rFonts w:ascii="宋体" w:hAnsi="宋体" w:eastAsia="宋体"/>
          <w:sz w:val="24"/>
        </w:rPr>
        <w:t>、加成归零，退化为标准伯特兰结果。</w:t>
      </w:r>
    </w:p>
    <w:p>
      <w:pPr>
        <w:spacing w:line="360" w:lineRule="auto" w:after="0"/>
        <w:ind w:firstLineChars="200" w:firstLine="480"/>
        <w:jc w:val="both"/>
      </w:pPr>
      <w:r>
        <w:rPr>
          <w:rFonts w:ascii="宋体" w:hAnsi="宋体" w:eastAsia="宋体"/>
          <w:sz w:val="24"/>
        </w:rPr>
        <w:t>以本书校准的边际成本与市场价计算，六档位的勒纳指数由轻量蒸馏级的0.720升至推理增强级的0.851，用量加权均值为0.768。这一数值有一个耐人寻味的参照：第8章估计的词元市场需求价格弹性为−1.34（标准误0.19，</w:t>
      </w:r>
      <m:oMath>
        <m:r>
          <m:t>N</m:t>
        </m:r>
        <m:r>
          <m:rPr>
            <m:sty m:val="p"/>
          </m:rPr>
          <m:t>＝</m:t>
        </m:r>
        <m:r>
          <m:t>864</m:t>
        </m:r>
      </m:oMath>
      <w:r>
        <w:rPr>
          <w:rFonts w:ascii="宋体" w:hAnsi="宋体" w:eastAsia="宋体"/>
          <w:sz w:val="24"/>
        </w:rPr>
        <w:t>），其绝对值的倒数为0.746。两个数字如此接近，提示当前词元市场的实际加成幅度，大体相当于把整个词元市场视为一个差异化产品群时的理论加成水平。这一对照不宜被读作垄断定价的证据——市场层需求弹性与企业层需求弹性是两个不同的对象，后者通常远大于前者——但它确实说明一个结构性事实：</w:t>
      </w:r>
      <w:r>
        <w:rPr>
          <w:rFonts w:ascii="宋体" w:hAnsi="宋体" w:eastAsia="宋体"/>
          <w:b/>
          <w:sz w:val="24"/>
        </w:rPr>
        <w:t>竞争主要发生在档位内部，而非档位之间</w:t>
      </w:r>
      <w:r>
        <w:rPr>
          <w:rFonts w:ascii="宋体" w:hAnsi="宋体" w:eastAsia="宋体"/>
          <w:sz w:val="24"/>
        </w:rPr>
        <w:t>。买方在同一档位的不同供给者之间高度价格敏感，却较少因为价格而跨档位替代，因为跨档位替代意味着任务达成度的改变。这正是效值不可比所造成的竞争分割：档位之间缺少公共的当量尺度，价格竞争便无法穿透档位边界。</w:t>
      </w:r>
    </w:p>
    <w:p>
      <w:pPr>
        <w:spacing w:line="360" w:lineRule="auto" w:after="0"/>
        <w:ind w:firstLineChars="200" w:firstLine="480"/>
        <w:jc w:val="both"/>
      </w:pPr>
      <w:r>
        <w:rPr>
          <w:rFonts w:ascii="宋体" w:hAnsi="宋体" w:eastAsia="宋体"/>
          <w:sz w:val="24"/>
        </w:rPr>
        <w:t>需求弹性的行业异质性进一步印证了这一判断。分行业估计显示，制造业为−1.62、金融业为−0.94、文化传媒业为−1.71、政务领域为−0.68。弹性绝对值最大的是文化传媒与制造业——前者的任务标准化程度高、可替代方案多，后者对成本高度敏感；弹性最小的是政务与金融——前者受合规与安全约束、供给方选择受限，后者的错误代价高、不轻易更换供给。弹性结构直接决定了各行业在式(7-8)中面对的加成水平，也解释了为什么面向政务与金融的词元服务往往以专属定制形态出现（见7.4节），而面向文化传媒的服务则最先被卷入价格战。</w:t>
      </w:r>
    </w:p>
    <w:p>
      <w:pPr>
        <w:keepNext/>
        <w:spacing w:before="160" w:after="120" w:line="360" w:lineRule="auto"/>
        <w:outlineLvl w:val="2"/>
      </w:pPr>
      <w:r>
        <w:rPr>
          <w:rFonts w:ascii="黑体" w:hAnsi="黑体" w:eastAsia="黑体"/>
          <w:sz w:val="24"/>
        </w:rPr>
        <w:t>7.3.2  规模经济与学习曲线：成本下行的两条通道</w:t>
      </w:r>
    </w:p>
    <w:p>
      <w:pPr>
        <w:spacing w:line="360" w:lineRule="auto" w:after="0"/>
        <w:ind w:firstLineChars="200" w:firstLine="480"/>
        <w:jc w:val="both"/>
      </w:pPr>
      <w:r>
        <w:rPr>
          <w:rFonts w:ascii="宋体" w:hAnsi="宋体" w:eastAsia="宋体"/>
          <w:sz w:val="24"/>
        </w:rPr>
        <w:t>加成率决定价格与成本的距离，成本本身的下行则决定价格的长期走向。词元生产的成本下行有两条通道：一是式(7-2)的规模摊薄，即固定成本被更大的产量分摊；二是学习效应，即累计产量的增长带来单位可变成本的持续下降。后者可写成标准的学习曲线形式，如式(7-9)所示。</w:t>
      </w:r>
    </w:p>
    <w:p>
      <w:pPr>
        <w:tabs>
          <w:tab w:pos="4252" w:val="center"/>
          <w:tab w:pos="8504" w:val="right"/>
        </w:tabs>
        <w:spacing w:line="360" w:lineRule="auto" w:before="80" w:after="80"/>
      </w:pPr>
      <w:r>
        <w:tab/>
      </w:r>
      <m:oMath>
        <m:sSubSup>
          <m:e>
            <m:r>
              <m:t>c</m:t>
            </m:r>
          </m:e>
          <m:sub>
            <m:r>
              <m:t>m</m:t>
            </m:r>
            <m:r>
              <m:rPr>
                <m:sty m:val="p"/>
              </m:rPr>
              <m:t>,</m:t>
            </m:r>
            <m:r>
              <m:t>t</m:t>
            </m:r>
          </m:sub>
          <m:sup>
            <m:r>
              <m:rPr>
                <m:sty m:val="p"/>
              </m:rPr>
              <m:t>M</m:t>
            </m:r>
            <m:r>
              <m:rPr>
                <m:sty m:val="p"/>
              </m:rPr>
              <m:t>C</m:t>
            </m:r>
          </m:sup>
        </m:sSubSup>
        <m:r>
          <m:rPr>
            <m:sty m:val="p"/>
          </m:rPr>
          <m:t>=</m:t>
        </m:r>
        <m:sSubSup>
          <m:e>
            <m:r>
              <m:t>c</m:t>
            </m:r>
          </m:e>
          <m:sub>
            <m:r>
              <m:t>m</m:t>
            </m:r>
            <m:r>
              <m:rPr>
                <m:sty m:val="p"/>
              </m:rPr>
              <m:t>,</m:t>
            </m:r>
            <m:r>
              <m:t>0</m:t>
            </m:r>
          </m:sub>
          <m:sup>
            <m:r>
              <m:rPr>
                <m:sty m:val="p"/>
              </m:rPr>
              <m:t>M</m:t>
            </m:r>
            <m:r>
              <m:rPr>
                <m:sty m:val="p"/>
              </m:rPr>
              <m:t>C</m:t>
            </m:r>
          </m:sup>
        </m:sSubSup>
        <m:sSup>
          <m:e>
            <m:d>
              <m:dPr>
                <m:begChr m:val="("/>
                <m:endChr m:val=")"/>
                <m:grow/>
              </m:dPr>
              <m:e>
                <m:f>
                  <m:fPr>
                    <m:type m:val="bar"/>
                  </m:fPr>
                  <m:num>
                    <m:sSub>
                      <m:e>
                        <m:r>
                          <m:t>Q</m:t>
                        </m:r>
                      </m:e>
                      <m:sub>
                        <m:r>
                          <m:t>m</m:t>
                        </m:r>
                        <m:r>
                          <m:rPr>
                            <m:sty m:val="p"/>
                          </m:rPr>
                          <m:t>,</m:t>
                        </m:r>
                        <m:r>
                          <m:t>t</m:t>
                        </m:r>
                      </m:sub>
                    </m:sSub>
                  </m:num>
                  <m:den>
                    <m:sSub>
                      <m:e>
                        <m:r>
                          <m:t>Q</m:t>
                        </m:r>
                      </m:e>
                      <m:sub>
                        <m:r>
                          <m:t>m</m:t>
                        </m:r>
                        <m:r>
                          <m:rPr>
                            <m:sty m:val="p"/>
                          </m:rPr>
                          <m:t>,</m:t>
                        </m:r>
                        <m:r>
                          <m:t>0</m:t>
                        </m:r>
                      </m:sub>
                    </m:sSub>
                  </m:den>
                </m:f>
              </m:e>
            </m:d>
          </m:e>
          <m:sup>
            <m:r>
              <m:rPr>
                <m:sty m:val="p"/>
              </m:rPr>
              <m:t>−</m:t>
            </m:r>
            <m:sSub>
              <m:e>
                <m:r>
                  <m:t>b</m:t>
                </m:r>
              </m:e>
              <m:sub>
                <m:r>
                  <m:t>m</m:t>
                </m:r>
              </m:sub>
            </m:sSub>
          </m:sup>
        </m:sSup>
        <m:r>
          <m:rPr>
            <m:sty m:val="p"/>
          </m:rPr>
          <m:t>,</m:t>
        </m:r>
        <m:r>
          <m:t>  </m:t>
        </m:r>
        <m:sSub>
          <m:e>
            <m:r>
              <m:t>b</m:t>
            </m:r>
          </m:e>
          <m:sub>
            <m:r>
              <m:t>m</m:t>
            </m:r>
          </m:sub>
        </m:sSub>
        <m:r>
          <m:rPr>
            <m:sty m:val="p"/>
          </m:rPr>
          <m:t>=</m:t>
        </m:r>
        <m:r>
          <m:rPr>
            <m:sty m:val="p"/>
          </m:rPr>
          <m:t>−</m:t>
        </m:r>
        <m:f>
          <m:fPr>
            <m:type m:val="bar"/>
          </m:fPr>
          <m:num>
            <m:r>
              <m:rPr>
                <m:sty m:val="p"/>
              </m:rPr>
              <m:t>ln</m:t>
            </m:r>
            <m:d>
              <m:dPr>
                <m:begChr m:val="("/>
                <m:endChr m:val=")"/>
                <m:grow/>
              </m:dPr>
              <m:e>
                <m:r>
                  <m:t>1</m:t>
                </m:r>
                <m:r>
                  <m:rPr>
                    <m:sty m:val="p"/>
                  </m:rPr>
                  <m:t>−</m:t>
                </m:r>
                <m:sSub>
                  <m:e>
                    <m:r>
                      <m:t>ζ</m:t>
                    </m:r>
                  </m:e>
                  <m:sub>
                    <m:r>
                      <m:t>m</m:t>
                    </m:r>
                  </m:sub>
                </m:sSub>
              </m:e>
            </m:d>
          </m:num>
          <m:den>
            <m:r>
              <m:rPr>
                <m:sty m:val="p"/>
              </m:rPr>
              <m:t>ln</m:t>
            </m:r>
            <m:r>
              <m:t>2</m:t>
            </m:r>
          </m:den>
        </m:f>
      </m:oMath>
      <w:r>
        <w:tab/>
      </w:r>
      <w:r>
        <w:rPr>
          <w:rFonts w:ascii="Times New Roman" w:hAnsi="Times New Roman" w:eastAsia="宋体"/>
          <w:sz w:val="24"/>
        </w:rPr>
        <w:t>(7-9)</w:t>
      </w:r>
    </w:p>
    <w:p>
      <w:pPr>
        <w:spacing w:line="360" w:lineRule="auto" w:after="0"/>
        <w:jc w:val="both"/>
      </w:pPr>
      <w:r>
        <w:rPr>
          <w:rFonts w:ascii="宋体" w:hAnsi="宋体" w:eastAsia="宋体"/>
          <w:sz w:val="24"/>
        </w:rPr>
        <w:t>其中，</w:t>
      </w:r>
      <m:oMath>
        <m:sSub>
          <m:e>
            <m:r>
              <m:t>Q</m:t>
            </m:r>
          </m:e>
          <m:sub>
            <m:r>
              <m:t>m</m:t>
            </m:r>
            <m:r>
              <m:rPr>
                <m:sty m:val="p"/>
              </m:rPr>
              <m:t>,</m:t>
            </m:r>
            <m:r>
              <m:t>t</m:t>
            </m:r>
          </m:sub>
        </m:sSub>
      </m:oMath>
      <w:r>
        <w:rPr>
          <w:rFonts w:ascii="宋体" w:hAnsi="宋体" w:eastAsia="宋体"/>
          <w:sz w:val="24"/>
        </w:rPr>
        <w:t>为累计产量，</w:t>
      </w:r>
      <m:oMath>
        <m:sSub>
          <m:e>
            <m:r>
              <m:t>ζ</m:t>
            </m:r>
          </m:e>
          <m:sub>
            <m:r>
              <m:t>m</m:t>
            </m:r>
          </m:sub>
        </m:sSub>
      </m:oMath>
      <w:r>
        <w:rPr>
          <w:rFonts w:ascii="宋体" w:hAnsi="宋体" w:eastAsia="宋体"/>
          <w:sz w:val="24"/>
        </w:rPr>
        <w:t>为累计产量每翻一番的单位成本降幅，</w:t>
      </w:r>
      <m:oMath>
        <m:sSub>
          <m:e>
            <m:r>
              <m:t>b</m:t>
            </m:r>
          </m:e>
          <m:sub>
            <m:r>
              <m:t>m</m:t>
            </m:r>
          </m:sub>
        </m:sSub>
      </m:oMath>
      <w:r>
        <w:rPr>
          <w:rFonts w:ascii="宋体" w:hAnsi="宋体" w:eastAsia="宋体"/>
          <w:sz w:val="24"/>
        </w:rPr>
        <w:t>为学习曲线指数。</w:t>
      </w:r>
    </w:p>
    <w:p>
      <w:pPr>
        <w:spacing w:line="360" w:lineRule="auto" w:after="0"/>
        <w:ind w:firstLineChars="200" w:firstLine="480"/>
        <w:jc w:val="both"/>
      </w:pPr>
      <w:r>
        <w:rPr>
          <w:rFonts w:ascii="宋体" w:hAnsi="宋体" w:eastAsia="宋体"/>
          <w:sz w:val="24"/>
        </w:rPr>
        <w:t>两条通道的经济性质并不相同，混淆二者会导致对价格前景的误判。规模摊薄是</w:t>
      </w:r>
      <w:r>
        <w:rPr>
          <w:rFonts w:ascii="宋体" w:hAnsi="宋体" w:eastAsia="宋体"/>
          <w:b/>
          <w:sz w:val="24"/>
        </w:rPr>
        <w:t>可逆的</w:t>
      </w:r>
      <w:r>
        <w:rPr>
          <w:rFonts w:ascii="宋体" w:hAnsi="宋体" w:eastAsia="宋体"/>
          <w:sz w:val="24"/>
        </w:rPr>
        <w:t>：产量一旦下滑，单位固定成本立即回升，价格地板随之抬起；学习效应则是</w:t>
      </w:r>
      <w:r>
        <w:rPr>
          <w:rFonts w:ascii="宋体" w:hAnsi="宋体" w:eastAsia="宋体"/>
          <w:b/>
          <w:sz w:val="24"/>
        </w:rPr>
        <w:t>不可逆的</w:t>
      </w:r>
      <w:r>
        <w:rPr>
          <w:rFonts w:ascii="宋体" w:hAnsi="宋体" w:eastAsia="宋体"/>
          <w:sz w:val="24"/>
        </w:rPr>
        <w:t>，它凝结为工程知识、系统架构与运维经验，不因产量波动而消失。词元产业当前的价格下行同时受两条通道驱动：调用量在两年内由日均1000亿枚增至140万亿枚（国家数据局口径，2024年初至2026年3月，增长约1400倍），既带来空前的规模摊薄，也带来空前的学习积累。但两条通道的可持续性不同——一旦调用量增速回落，规模通道的贡献将迅速衰减，价格下行的斜率会随之变缓。这一判断与7.3.3节由指数序列反解出的收敛路径一致。</w:t>
      </w:r>
    </w:p>
    <w:p>
      <w:pPr>
        <w:spacing w:line="360" w:lineRule="auto" w:after="0"/>
        <w:ind w:firstLineChars="200" w:firstLine="480"/>
        <w:jc w:val="both"/>
      </w:pPr>
      <w:r>
        <w:rPr>
          <w:rFonts w:ascii="宋体" w:hAnsi="宋体" w:eastAsia="宋体"/>
          <w:sz w:val="24"/>
        </w:rPr>
        <w:t>还需指出学习效应在词元产业中的一个特殊来源：</w:t>
      </w:r>
      <w:r>
        <w:rPr>
          <w:rFonts w:ascii="宋体" w:hAnsi="宋体" w:eastAsia="宋体"/>
          <w:b/>
          <w:sz w:val="24"/>
        </w:rPr>
        <w:t>推理系统的公共知识化</w:t>
      </w:r>
      <w:r>
        <w:rPr>
          <w:rFonts w:ascii="宋体" w:hAnsi="宋体" w:eastAsia="宋体"/>
          <w:sz w:val="24"/>
        </w:rPr>
        <w:t>。与传统制造业的学习效应主要沉淀在企业内部不同，推理优化的关键进展多以论文与开源实现的形式公开（Yu等，2022；Kwon等，2023；Agrawal等，2024；Zhong等，2024），这使得学习曲线的收益在行业内部快速扩散，单一服务方难以凭借系统优化建立持久的成本优势。其定价后果是深刻的：</w:t>
      </w:r>
      <w:r>
        <w:rPr>
          <w:rFonts w:ascii="宋体" w:hAnsi="宋体" w:eastAsia="宋体"/>
          <w:b/>
          <w:sz w:val="24"/>
        </w:rPr>
        <w:t>成本优势的可持续性下降，价格竞争的烈度上升，而竞争的落脚点被迫从成本转向效值与场景</w:t>
      </w:r>
      <w:r>
        <w:rPr>
          <w:rFonts w:ascii="宋体" w:hAnsi="宋体" w:eastAsia="宋体"/>
          <w:sz w:val="24"/>
        </w:rPr>
        <w:t>。这也从一个侧面解释了为什么头部服务方近年纷纷强化场景服务能力与生态绑定——在成本无法形成护城河的条件下，租金层是唯一可防御的阵地。</w:t>
      </w:r>
    </w:p>
    <w:p>
      <w:pPr>
        <w:keepNext/>
        <w:spacing w:before="160" w:after="120" w:line="360" w:lineRule="auto"/>
        <w:outlineLvl w:val="2"/>
      </w:pPr>
      <w:r>
        <w:rPr>
          <w:rFonts w:ascii="黑体" w:hAnsi="黑体" w:eastAsia="黑体"/>
          <w:sz w:val="24"/>
        </w:rPr>
        <w:t>7.3.3  价格的收敛路径与半衰期</w:t>
      </w:r>
    </w:p>
    <w:p>
      <w:pPr>
        <w:spacing w:line="360" w:lineRule="auto" w:after="0"/>
        <w:ind w:firstLineChars="200" w:firstLine="480"/>
        <w:jc w:val="both"/>
      </w:pPr>
      <w:r>
        <w:rPr>
          <w:rFonts w:ascii="宋体" w:hAnsi="宋体" w:eastAsia="宋体"/>
          <w:sz w:val="24"/>
        </w:rPr>
        <w:t>把加成结构与成本下行结合，即可刻画价格的时间路径。设服务方按目标加成定价，但因合约期限、调价成本与观望行为，实际价格向目标价格部分调整，调整速度为</w:t>
      </w:r>
      <m:oMath>
        <m:r>
          <m:t>δ</m:t>
        </m:r>
      </m:oMath>
      <w:r>
        <w:rPr>
          <w:rFonts w:ascii="宋体" w:hAnsi="宋体" w:eastAsia="宋体"/>
          <w:sz w:val="24"/>
        </w:rPr>
        <w:t>，则价格路径服从式(7-10)。</w:t>
      </w:r>
    </w:p>
    <w:p>
      <w:pPr>
        <w:tabs>
          <w:tab w:pos="4252" w:val="center"/>
          <w:tab w:pos="8504" w:val="right"/>
        </w:tabs>
        <w:spacing w:line="360" w:lineRule="auto" w:before="80" w:after="80"/>
      </w:pPr>
      <w:r>
        <w:tab/>
      </w:r>
      <m:oMath>
        <m:sSub>
          <m:e>
            <m:acc>
              <m:accPr>
                <m:chr m:val="̇"/>
              </m:accPr>
              <m:e>
                <m:r>
                  <m:t>p</m:t>
                </m:r>
              </m:e>
            </m:acc>
          </m:e>
          <m:sub>
            <m:r>
              <m:t>t</m:t>
            </m:r>
          </m:sub>
        </m:sSub>
        <m:r>
          <m:rPr>
            <m:sty m:val="p"/>
          </m:rPr>
          <m:t>=</m:t>
        </m:r>
        <m:r>
          <m:rPr>
            <m:sty m:val="p"/>
          </m:rPr>
          <m:t>−</m:t>
        </m:r>
        <m:r>
          <m:t>δ</m:t>
        </m:r>
        <m:d>
          <m:dPr>
            <m:begChr m:val="("/>
            <m:endChr m:val=")"/>
            <m:grow/>
          </m:dPr>
          <m:e>
            <m:sSub>
              <m:e>
                <m:r>
                  <m:t>p</m:t>
                </m:r>
              </m:e>
              <m:sub>
                <m:r>
                  <m:t>t</m:t>
                </m:r>
              </m:sub>
            </m:sSub>
            <m:r>
              <m:rPr>
                <m:sty m:val="p"/>
              </m:rPr>
              <m:t>−</m:t>
            </m:r>
            <m:sSup>
              <m:e>
                <m:r>
                  <m:t>p</m:t>
                </m:r>
              </m:e>
              <m:sup>
                <m:r>
                  <m:rPr>
                    <m:sty m:val="p"/>
                  </m:rPr>
                  <m:t>∞</m:t>
                </m:r>
              </m:sup>
            </m:sSup>
          </m:e>
        </m:d>
        <m:r>
          <m:t> </m:t>
        </m:r>
        <m:r>
          <m:rPr>
            <m:sty m:val="p"/>
          </m:rPr>
          <m:t>⇒</m:t>
        </m:r>
        <m:r>
          <m:t> </m:t>
        </m:r>
        <m:sSub>
          <m:e>
            <m:r>
              <m:t>p</m:t>
            </m:r>
          </m:e>
          <m:sub>
            <m:r>
              <m:t>t</m:t>
            </m:r>
          </m:sub>
        </m:sSub>
        <m:r>
          <m:rPr>
            <m:sty m:val="p"/>
          </m:rPr>
          <m:t>=</m:t>
        </m:r>
        <m:sSup>
          <m:e>
            <m:r>
              <m:t>p</m:t>
            </m:r>
          </m:e>
          <m:sup>
            <m:r>
              <m:rPr>
                <m:sty m:val="p"/>
              </m:rPr>
              <m:t>∞</m:t>
            </m:r>
          </m:sup>
        </m:sSup>
        <m:r>
          <m:rPr>
            <m:sty m:val="p"/>
          </m:rPr>
          <m:t>+</m:t>
        </m:r>
        <m:d>
          <m:dPr>
            <m:begChr m:val="("/>
            <m:endChr m:val=")"/>
            <m:grow/>
          </m:dPr>
          <m:e>
            <m:sSub>
              <m:e>
                <m:r>
                  <m:t>p</m:t>
                </m:r>
              </m:e>
              <m:sub>
                <m:r>
                  <m:t>0</m:t>
                </m:r>
              </m:sub>
            </m:sSub>
            <m:r>
              <m:rPr>
                <m:sty m:val="p"/>
              </m:rPr>
              <m:t>−</m:t>
            </m:r>
            <m:sSup>
              <m:e>
                <m:r>
                  <m:t>p</m:t>
                </m:r>
              </m:e>
              <m:sup>
                <m:r>
                  <m:rPr>
                    <m:sty m:val="p"/>
                  </m:rPr>
                  <m:t>∞</m:t>
                </m:r>
              </m:sup>
            </m:sSup>
          </m:e>
        </m:d>
        <m:sSup>
          <m:e>
            <m:r>
              <m:t>e</m:t>
            </m:r>
          </m:e>
          <m:sup>
            <m:r>
              <m:rPr>
                <m:sty m:val="p"/>
              </m:rPr>
              <m:t>−</m:t>
            </m:r>
            <m:r>
              <m:t>δ</m:t>
            </m:r>
            <m:r>
              <m:t>t</m:t>
            </m:r>
          </m:sup>
        </m:sSup>
        <m:r>
          <m:rPr>
            <m:sty m:val="p"/>
          </m:rPr>
          <m:t>,</m:t>
        </m:r>
        <m:r>
          <m:t>  </m:t>
        </m:r>
        <m:sSub>
          <m:e>
            <m:r>
              <m:t>t</m:t>
            </m:r>
          </m:e>
          <m:sub>
            <m:r>
              <m:t>1</m:t>
            </m:r>
            <m:r>
              <m:rPr>
                <m:sty m:val="p"/>
              </m:rPr>
              <m:t>/</m:t>
            </m:r>
            <m:r>
              <m:t>2</m:t>
            </m:r>
          </m:sub>
        </m:sSub>
        <m:r>
          <m:rPr>
            <m:sty m:val="p"/>
          </m:rPr>
          <m:t>=</m:t>
        </m:r>
        <m:f>
          <m:fPr>
            <m:type m:val="bar"/>
          </m:fPr>
          <m:num>
            <m:r>
              <m:rPr>
                <m:sty m:val="p"/>
              </m:rPr>
              <m:t>ln</m:t>
            </m:r>
            <m:r>
              <m:t>2</m:t>
            </m:r>
          </m:num>
          <m:den>
            <m:r>
              <m:t>δ</m:t>
            </m:r>
          </m:den>
        </m:f>
      </m:oMath>
      <w:r>
        <w:tab/>
      </w:r>
      <w:r>
        <w:rPr>
          <w:rFonts w:ascii="Times New Roman" w:hAnsi="Times New Roman" w:eastAsia="宋体"/>
          <w:sz w:val="24"/>
        </w:rPr>
        <w:t>(7-10)</w:t>
      </w:r>
    </w:p>
    <w:p>
      <w:pPr>
        <w:spacing w:line="360" w:lineRule="auto" w:after="0"/>
        <w:jc w:val="both"/>
      </w:pPr>
      <w:r>
        <w:rPr>
          <w:rFonts w:ascii="宋体" w:hAnsi="宋体" w:eastAsia="宋体"/>
          <w:sz w:val="24"/>
        </w:rPr>
        <w:t>其中，</w:t>
      </w:r>
      <m:oMath>
        <m:sSup>
          <m:e>
            <m:r>
              <m:t>p</m:t>
            </m:r>
          </m:e>
          <m:sup>
            <m:r>
              <m:rPr>
                <m:sty m:val="p"/>
              </m:rPr>
              <m:t>∞</m:t>
            </m:r>
          </m:sup>
        </m:sSup>
      </m:oMath>
      <w:r>
        <w:rPr>
          <w:rFonts w:ascii="宋体" w:hAnsi="宋体" w:eastAsia="宋体"/>
          <w:sz w:val="24"/>
        </w:rPr>
        <w:t>为长期均衡价格，</w:t>
      </w:r>
      <m:oMath>
        <m:sSub>
          <m:e>
            <m:r>
              <m:t>t</m:t>
            </m:r>
          </m:e>
          <m:sub>
            <m:r>
              <m:t>1</m:t>
            </m:r>
            <m:r>
              <m:rPr>
                <m:sty m:val="p"/>
              </m:rPr>
              <m:t>/</m:t>
            </m:r>
            <m:r>
              <m:t>2</m:t>
            </m:r>
          </m:sub>
        </m:sSub>
      </m:oMath>
      <w:r>
        <w:rPr>
          <w:rFonts w:ascii="宋体" w:hAnsi="宋体" w:eastAsia="宋体"/>
          <w:sz w:val="24"/>
        </w:rPr>
        <w:t>为价格向长期水平收敛的半衰期，即价格与长期水平的距离缩小一半所需的时间。</w:t>
      </w:r>
    </w:p>
    <w:p>
      <w:pPr>
        <w:spacing w:line="360" w:lineRule="auto" w:after="0"/>
        <w:ind w:firstLineChars="200" w:firstLine="480"/>
        <w:jc w:val="both"/>
      </w:pPr>
      <w:r>
        <w:rPr>
          <w:rFonts w:ascii="宋体" w:hAnsi="宋体" w:eastAsia="宋体"/>
          <w:sz w:val="24"/>
        </w:rPr>
        <w:t>以本书编制的两套价格指数反解调整速度（暂令</w:t>
      </w:r>
      <m:oMath>
        <m:sSup>
          <m:e>
            <m:r>
              <m:t>p</m:t>
            </m:r>
          </m:e>
          <m:sup>
            <m:r>
              <m:rPr>
                <m:sty m:val="p"/>
              </m:rPr>
              <m:t>∞</m:t>
            </m:r>
          </m:sup>
        </m:sSup>
      </m:oMath>
      <w:r>
        <w:rPr>
          <w:rFonts w:ascii="宋体" w:hAnsi="宋体" w:eastAsia="宋体"/>
          <w:sz w:val="24"/>
        </w:rPr>
        <w:t>趋于零以取得下行速度的上界估计），物理词元价格指数在9个季度内由100降至21，对应季度调整速度0.173、半衰期约4.0个季度，折合年均降幅约50%；标准词元价格指数同期由100降至47，对应季度调整速度0.084、半衰期约8.3个季度，折合年均降幅约29%。</w:t>
      </w:r>
      <w:r>
        <w:rPr>
          <w:rFonts w:ascii="宋体" w:hAnsi="宋体" w:eastAsia="宋体"/>
          <w:b/>
          <w:sz w:val="24"/>
        </w:rPr>
        <w:t>两个半衰期相差约一倍</w:t>
      </w:r>
      <w:r>
        <w:rPr>
          <w:rFonts w:ascii="宋体" w:hAnsi="宋体" w:eastAsia="宋体"/>
          <w:sz w:val="24"/>
        </w:rPr>
        <w:t>：以物理词元计，价格每年腰斩；以标准词元计，价格约每两年腰斩。这一对照是本章最简洁的结论之一——它用一个可记忆的数字说明，未经效值调整的降价幅度系统性地夸大了真实降价的速度。对企业的成本预算、对政府的价格监测、对研究者的产业判断，两个半衰期不可互换使用。</w:t>
      </w:r>
    </w:p>
    <w:p>
      <w:pPr>
        <w:spacing w:line="360" w:lineRule="auto" w:after="0"/>
        <w:ind w:firstLineChars="200" w:firstLine="480"/>
        <w:jc w:val="both"/>
      </w:pPr>
      <w:r>
        <w:rPr>
          <w:rFonts w:ascii="宋体" w:hAnsi="宋体" w:eastAsia="宋体"/>
          <w:sz w:val="24"/>
        </w:rPr>
        <w:t>令</w:t>
      </w:r>
      <m:oMath>
        <m:sSup>
          <m:e>
            <m:r>
              <m:t>p</m:t>
            </m:r>
          </m:e>
          <m:sup>
            <m:r>
              <m:rPr>
                <m:sty m:val="p"/>
              </m:rPr>
              <m:t>∞</m:t>
            </m:r>
          </m:sup>
        </m:sSup>
      </m:oMath>
      <w:r>
        <w:rPr>
          <w:rFonts w:ascii="宋体" w:hAnsi="宋体" w:eastAsia="宋体"/>
          <w:sz w:val="24"/>
        </w:rPr>
        <w:t>趋于零是一个刻意保守的处理，它把全部观测降幅都归于向零收敛的过程，从而低估了真实的调整速度。若按7.3.4节的成本底价修正长期水平——即令</w:t>
      </w:r>
      <m:oMath>
        <m:sSup>
          <m:e>
            <m:r>
              <m:t>p</m:t>
            </m:r>
          </m:e>
          <m:sup>
            <m:r>
              <m:rPr>
                <m:sty m:val="p"/>
              </m:rPr>
              <m:t>∞</m:t>
            </m:r>
          </m:sup>
        </m:sSup>
      </m:oMath>
      <w:r>
        <w:rPr>
          <w:rFonts w:ascii="宋体" w:hAnsi="宋体" w:eastAsia="宋体"/>
          <w:sz w:val="24"/>
        </w:rPr>
        <w:t>等于用量加权成本底价所对应的指数水平（物理词元口径约6.4、标准词元口径约14.3）——则调整速度上升为季度0.207与0.107，半衰期相应缩短至约3.4个季度与约6.5个季度。修正后的两个半衰期虽然都变短，其比值仍接近1.93比1，与未修正口径下的2.07比1基本一致。这说明本章的核心判断——</w:t>
      </w:r>
      <w:r>
        <w:rPr>
          <w:rFonts w:ascii="宋体" w:hAnsi="宋体" w:eastAsia="宋体"/>
          <w:b/>
          <w:sz w:val="24"/>
        </w:rPr>
        <w:t>物理词元口径的价格下行速度约为标准词元口径的两倍</w:t>
      </w:r>
      <w:r>
        <w:rPr>
          <w:rFonts w:ascii="宋体" w:hAnsi="宋体" w:eastAsia="宋体"/>
          <w:sz w:val="24"/>
        </w:rPr>
        <w:t>——对长期水平的设定并不敏感，是一个稳健的结论。修正的另一含义同样重要：越接近地板，剩余的下行距离越短，同样的调整速度会表现为越来越小的绝对降幅，因而以过去两年的降价斜率外推未来价格，将系统性地高估降幅。</w:t>
      </w:r>
    </w:p>
    <w:p>
      <w:pPr>
        <w:keepNext/>
        <w:spacing w:before="160" w:after="120" w:line="360" w:lineRule="auto"/>
        <w:outlineLvl w:val="2"/>
      </w:pPr>
      <w:r>
        <w:rPr>
          <w:rFonts w:ascii="黑体" w:hAnsi="黑体" w:eastAsia="黑体"/>
          <w:sz w:val="24"/>
        </w:rPr>
        <w:t>7.3.4  价格地板、下行空间与价格上行的可能</w:t>
      </w:r>
    </w:p>
    <w:p>
      <w:pPr>
        <w:spacing w:line="360" w:lineRule="auto" w:after="0"/>
        <w:ind w:firstLineChars="200" w:firstLine="480"/>
        <w:jc w:val="both"/>
      </w:pPr>
      <w:r>
        <w:rPr>
          <w:rFonts w:ascii="宋体" w:hAnsi="宋体" w:eastAsia="宋体"/>
          <w:sz w:val="24"/>
        </w:rPr>
        <w:t>价格不会无限下行。由式(7-4)，长期价格的下限是用量加权的成本底价，因而在任一时点上，价格的可持续下行空间存在一个可计算的上界，如式(7-11)所示。</w:t>
      </w:r>
    </w:p>
    <w:p>
      <w:pPr>
        <w:tabs>
          <w:tab w:pos="4252" w:val="center"/>
          <w:tab w:pos="8504" w:val="right"/>
        </w:tabs>
        <w:spacing w:line="360" w:lineRule="auto" w:before="80" w:after="80"/>
      </w:pPr>
      <w:r>
        <w:tab/>
      </w:r>
      <m:oMath>
        <m:sSubSup>
          <m:e>
            <m:r>
              <m:t>Δ</m:t>
            </m:r>
          </m:e>
          <m:sub>
            <m:r>
              <m:t>t</m:t>
            </m:r>
          </m:sub>
          <m:sup>
            <m:r>
              <m:rPr>
                <m:sty m:val="p"/>
              </m:rPr>
              <m:t>max</m:t>
            </m:r>
          </m:sup>
        </m:sSubSup>
        <m:r>
          <m:rPr>
            <m:sty m:val="p"/>
          </m:rPr>
          <m:t>=</m:t>
        </m:r>
        <m:r>
          <m:t>1</m:t>
        </m:r>
        <m:r>
          <m:rPr>
            <m:sty m:val="p"/>
          </m:rPr>
          <m:t>−</m:t>
        </m:r>
        <m:f>
          <m:fPr>
            <m:type m:val="bar"/>
          </m:fPr>
          <m:num>
            <m:nary>
              <m:naryPr>
                <m:chr m:val="∑"/>
                <m:limLoc m:val="undOvr"/>
                <m:subHide m:val="off"/>
                <m:supHide m:val="on"/>
              </m:naryPr>
              <m:sub>
                <m:r>
                  <m:t>m</m:t>
                </m:r>
              </m:sub>
              <m:sup>
                <m:r>
                  <m:t>​</m:t>
                </m:r>
              </m:sup>
              <m:e>
                <m:sSub>
                  <m:e>
                    <m:r>
                      <m:t>w</m:t>
                    </m:r>
                  </m:e>
                  <m:sub>
                    <m:r>
                      <m:t>m</m:t>
                    </m:r>
                    <m:r>
                      <m:rPr>
                        <m:sty m:val="p"/>
                      </m:rPr>
                      <m:t>,</m:t>
                    </m:r>
                    <m:r>
                      <m:t>t</m:t>
                    </m:r>
                  </m:sub>
                </m:sSub>
              </m:e>
            </m:nary>
            <m:r>
              <m:t> </m:t>
            </m:r>
            <m:sSubSup>
              <m:e>
                <m:r>
                  <m:t>p</m:t>
                </m:r>
              </m:e>
              <m:sub>
                <m:r>
                  <m:t>m</m:t>
                </m:r>
                <m:r>
                  <m:rPr>
                    <m:sty m:val="p"/>
                  </m:rPr>
                  <m:t>,</m:t>
                </m:r>
                <m:r>
                  <m:t>t</m:t>
                </m:r>
              </m:sub>
              <m:sup>
                <m:r>
                  <m:t>f</m:t>
                </m:r>
              </m:sup>
            </m:sSubSup>
          </m:num>
          <m:den>
            <m:nary>
              <m:naryPr>
                <m:chr m:val="∑"/>
                <m:limLoc m:val="undOvr"/>
                <m:subHide m:val="off"/>
                <m:supHide m:val="on"/>
              </m:naryPr>
              <m:sub>
                <m:r>
                  <m:t>m</m:t>
                </m:r>
              </m:sub>
              <m:sup>
                <m:r>
                  <m:t>​</m:t>
                </m:r>
              </m:sup>
              <m:e>
                <m:sSub>
                  <m:e>
                    <m:r>
                      <m:t>w</m:t>
                    </m:r>
                  </m:e>
                  <m:sub>
                    <m:r>
                      <m:t>m</m:t>
                    </m:r>
                    <m:r>
                      <m:rPr>
                        <m:sty m:val="p"/>
                      </m:rPr>
                      <m:t>,</m:t>
                    </m:r>
                    <m:r>
                      <m:t>t</m:t>
                    </m:r>
                  </m:sub>
                </m:sSub>
              </m:e>
            </m:nary>
            <m:r>
              <m:t> </m:t>
            </m:r>
            <m:sSub>
              <m:e>
                <m:r>
                  <m:t>p</m:t>
                </m:r>
              </m:e>
              <m:sub>
                <m:r>
                  <m:t>m</m:t>
                </m:r>
                <m:r>
                  <m:rPr>
                    <m:sty m:val="p"/>
                  </m:rPr>
                  <m:t>,</m:t>
                </m:r>
                <m:r>
                  <m:t>t</m:t>
                </m:r>
              </m:sub>
            </m:sSub>
          </m:den>
        </m:f>
        <m:r>
          <m:rPr>
            <m:sty m:val="p"/>
          </m:rPr>
          <m:t>,</m:t>
        </m:r>
        <m:r>
          <m:t>  </m:t>
        </m:r>
        <m:nary>
          <m:naryPr>
            <m:chr m:val="∑"/>
            <m:limLoc m:val="undOvr"/>
            <m:subHide m:val="off"/>
            <m:supHide m:val="on"/>
          </m:naryPr>
          <m:sub>
            <m:r>
              <m:t>m</m:t>
            </m:r>
          </m:sub>
          <m:sup>
            <m:r>
              <m:t>​</m:t>
            </m:r>
          </m:sup>
          <m:e>
            <m:sSub>
              <m:e>
                <m:r>
                  <m:t>w</m:t>
                </m:r>
              </m:e>
              <m:sub>
                <m:r>
                  <m:t>m</m:t>
                </m:r>
                <m:r>
                  <m:rPr>
                    <m:sty m:val="p"/>
                  </m:rPr>
                  <m:t>,</m:t>
                </m:r>
                <m:r>
                  <m:t>t</m:t>
                </m:r>
              </m:sub>
            </m:sSub>
          </m:e>
        </m:nary>
        <m:r>
          <m:rPr>
            <m:sty m:val="p"/>
          </m:rPr>
          <m:t>=</m:t>
        </m:r>
        <m:r>
          <m:t>1</m:t>
        </m:r>
      </m:oMath>
      <w:r>
        <w:tab/>
      </w:r>
      <w:r>
        <w:rPr>
          <w:rFonts w:ascii="Times New Roman" w:hAnsi="Times New Roman" w:eastAsia="宋体"/>
          <w:sz w:val="24"/>
        </w:rPr>
        <w:t>(7-11)</w:t>
      </w:r>
    </w:p>
    <w:p>
      <w:pPr>
        <w:spacing w:line="360" w:lineRule="auto" w:after="0"/>
        <w:jc w:val="both"/>
      </w:pPr>
      <w:r>
        <w:rPr>
          <w:rFonts w:ascii="宋体" w:hAnsi="宋体" w:eastAsia="宋体"/>
          <w:sz w:val="24"/>
        </w:rPr>
        <w:t>其中，</w:t>
      </w:r>
      <m:oMath>
        <m:sSub>
          <m:e>
            <m:r>
              <m:t>w</m:t>
            </m:r>
          </m:e>
          <m:sub>
            <m:r>
              <m:t>m</m:t>
            </m:r>
            <m:r>
              <m:rPr>
                <m:sty m:val="p"/>
              </m:rPr>
              <m:t>,</m:t>
            </m:r>
            <m:r>
              <m:t>t</m:t>
            </m:r>
          </m:sub>
        </m:sSub>
      </m:oMath>
      <w:r>
        <w:rPr>
          <w:rFonts w:ascii="宋体" w:hAnsi="宋体" w:eastAsia="宋体"/>
          <w:sz w:val="24"/>
        </w:rPr>
        <w:t>为档位</w:t>
      </w:r>
      <m:oMath>
        <m:r>
          <m:t>m</m:t>
        </m:r>
      </m:oMath>
      <w:r>
        <w:rPr>
          <w:rFonts w:ascii="宋体" w:hAnsi="宋体" w:eastAsia="宋体"/>
          <w:sz w:val="24"/>
        </w:rPr>
        <w:t>在</w:t>
      </w:r>
      <m:oMath>
        <m:r>
          <m:t>t</m:t>
        </m:r>
      </m:oMath>
      <w:r>
        <w:rPr>
          <w:rFonts w:ascii="宋体" w:hAnsi="宋体" w:eastAsia="宋体"/>
          <w:sz w:val="24"/>
        </w:rPr>
        <w:t>期的用量份额；</w:t>
      </w:r>
      <m:oMath>
        <m:sSubSup>
          <m:e>
            <m:r>
              <m:t>Δ</m:t>
            </m:r>
          </m:e>
          <m:sub>
            <m:r>
              <m:t>t</m:t>
            </m:r>
          </m:sub>
          <m:sup>
            <m:r>
              <m:rPr>
                <m:sty m:val="p"/>
              </m:rPr>
              <m:t>max</m:t>
            </m:r>
          </m:sup>
        </m:sSubSup>
      </m:oMath>
      <w:r>
        <w:rPr>
          <w:rFonts w:ascii="宋体" w:hAnsi="宋体" w:eastAsia="宋体"/>
          <w:sz w:val="24"/>
        </w:rPr>
        <w:t>为在不侵蚀成本底价的前提下，加权平均价格可以再下降的最大比例。</w:t>
      </w:r>
    </w:p>
    <w:p>
      <w:pPr>
        <w:spacing w:line="360" w:lineRule="auto" w:after="0"/>
        <w:ind w:firstLineChars="200" w:firstLine="480"/>
        <w:jc w:val="both"/>
      </w:pPr>
      <w:r>
        <w:rPr>
          <w:rFonts w:ascii="宋体" w:hAnsi="宋体" w:eastAsia="宋体"/>
          <w:sz w:val="24"/>
        </w:rPr>
        <w:t>以2026年的用量份额计算，用量加权的市场价为每百万物理词元2.764元，其中成本底价0.844元、效值溢价0.815元、场景租金1.106元，三层占比分别为30.5%、29.5%与40.0%，因而下行空间上界为69.5%。这一数字必须被极为审慎地解读。它的字面含义是：若效值溢价与场景租金被竞争完全消除，价格还能再降近七成。但把它读作价格前景的预测是错误的，理由有二。</w:t>
      </w:r>
      <w:r>
        <w:rPr>
          <w:rFonts w:ascii="宋体" w:hAnsi="宋体" w:eastAsia="宋体"/>
          <w:b/>
          <w:sz w:val="24"/>
        </w:rPr>
        <w:t>第一，溢价与租金归零意味着模型研发投入无从回收。</w:t>
      </w:r>
      <w:r>
        <w:rPr>
          <w:rFonts w:ascii="宋体" w:hAnsi="宋体" w:eastAsia="宋体"/>
          <w:sz w:val="24"/>
        </w:rPr>
        <w:t>式(7-2)已表明固定成本占平均成本近一半，价格若真降至成本底价，服务方将无法覆盖训练与研发支出，长期供给能力将被侵蚀，这是典型的静态效率与动态效率的权衡。</w:t>
      </w:r>
      <w:r>
        <w:rPr>
          <w:rFonts w:ascii="宋体" w:hAnsi="宋体" w:eastAsia="宋体"/>
          <w:b/>
          <w:sz w:val="24"/>
        </w:rPr>
        <w:t>第二，成本底价本身并非固定不动。</w:t>
      </w:r>
      <w:r>
        <w:rPr>
          <w:rFonts w:ascii="宋体" w:hAnsi="宋体" w:eastAsia="宋体"/>
          <w:sz w:val="24"/>
        </w:rPr>
        <w:t>电力约束收紧、算力供给紧张或利用率下降都会抬升地板；式(7-1)的分母</w:t>
      </w:r>
      <m:oMath>
        <m:sSub>
          <m:e>
            <m:r>
              <m:t>u</m:t>
            </m:r>
          </m:e>
          <m:sub>
            <m:r>
              <m:t>m</m:t>
            </m:r>
          </m:sub>
        </m:sSub>
      </m:oMath>
      <w:r>
        <w:rPr>
          <w:rFonts w:ascii="宋体" w:hAnsi="宋体" w:eastAsia="宋体"/>
          <w:sz w:val="24"/>
        </w:rPr>
        <w:t>与式(7-4)的摊销产量</w:t>
      </w:r>
      <m:oMath>
        <m:sSub>
          <m:e>
            <m:r>
              <m:t>T</m:t>
            </m:r>
          </m:e>
          <m:sub>
            <m:r>
              <m:t>m</m:t>
            </m:r>
          </m:sub>
        </m:sSub>
      </m:oMath>
      <w:r>
        <w:rPr>
          <w:rFonts w:ascii="宋体" w:hAnsi="宋体" w:eastAsia="宋体"/>
          <w:sz w:val="24"/>
        </w:rPr>
        <w:t>一旦逆转，地板会上移。</w:t>
      </w:r>
    </w:p>
    <w:p>
      <w:pPr>
        <w:spacing w:line="360" w:lineRule="auto" w:after="0"/>
        <w:ind w:firstLineChars="200" w:firstLine="480"/>
        <w:jc w:val="both"/>
      </w:pPr>
      <w:r>
        <w:rPr>
          <w:rFonts w:ascii="宋体" w:hAnsi="宋体" w:eastAsia="宋体"/>
          <w:sz w:val="24"/>
        </w:rPr>
        <w:t>现实已经提供了价格上行的样本。据公开报道，一家国产头部大模型服务商自2026年8月17日零时起对主力接口实行峰谷分时定价：高峰时段为北京时间9时至12时、14时至18时，空闲时段价格为高峰时段的一半，改价后高峰时段的输出价格较改价前有明显上调。这一调整在定价理论上具有双重意义。</w:t>
      </w:r>
      <w:r>
        <w:rPr>
          <w:rFonts w:ascii="宋体" w:hAnsi="宋体" w:eastAsia="宋体"/>
          <w:b/>
          <w:sz w:val="24"/>
        </w:rPr>
        <w:t>其一，它是拥塞定价的引入。</w:t>
      </w:r>
      <w:r>
        <w:rPr>
          <w:rFonts w:ascii="宋体" w:hAnsi="宋体" w:eastAsia="宋体"/>
          <w:sz w:val="24"/>
        </w:rPr>
        <w:t>当算力在特定时段成为紧约束时，其影子价格为正，价格必须随之分时，否则只能以排队与降级的形式配给——这与电力、交通领域的峰谷定价逻辑完全一致，也验证了第3章关于词元价格内生时段性的判断。</w:t>
      </w:r>
      <w:r>
        <w:rPr>
          <w:rFonts w:ascii="宋体" w:hAnsi="宋体" w:eastAsia="宋体"/>
          <w:b/>
          <w:sz w:val="24"/>
        </w:rPr>
        <w:t>其二，它是成本回收压力的显性化。</w:t>
      </w:r>
      <w:r>
        <w:rPr>
          <w:rFonts w:ascii="宋体" w:hAnsi="宋体" w:eastAsia="宋体"/>
          <w:sz w:val="24"/>
        </w:rPr>
        <w:t>在竞争把加成压至临界水平之后，服务方要么退出，要么通过时段分割、缓存差别定价与档位重组恢复回收能力。因此，「词元价格单调下行」不是规律，而是特定阶段的表象；本章的框架预期的是</w:t>
      </w:r>
      <w:r>
        <w:rPr>
          <w:rFonts w:ascii="宋体" w:hAnsi="宋体" w:eastAsia="宋体"/>
          <w:b/>
          <w:sz w:val="24"/>
        </w:rPr>
        <w:t>分层的、非单调的价格演化</w:t>
      </w:r>
      <w:r>
        <w:rPr>
          <w:rFonts w:ascii="宋体" w:hAnsi="宋体" w:eastAsia="宋体"/>
          <w:sz w:val="24"/>
        </w:rPr>
        <w:t>：成本底价层随技术进步缓慢下移，效值溢价层随能力分化而波动，场景租金层随竞争与制度条件而涨落，三者的合成完全可能在某些区间呈现上行。</w:t>
      </w:r>
    </w:p>
    <w:p>
      <w:pPr>
        <w:keepNext/>
        <w:spacing w:before="160" w:after="120" w:line="360" w:lineRule="auto"/>
        <w:outlineLvl w:val="1"/>
      </w:pPr>
      <w:r>
        <w:rPr>
          <w:rFonts w:ascii="黑体" w:hAnsi="黑体" w:eastAsia="黑体"/>
          <w:sz w:val="28"/>
        </w:rPr>
        <w:t>7.4  三级服务定价：二级价格歧视与自选择</w:t>
      </w:r>
    </w:p>
    <w:p>
      <w:pPr>
        <w:spacing w:line="360" w:lineRule="auto" w:after="0"/>
        <w:ind w:firstLineChars="200" w:firstLine="480"/>
        <w:jc w:val="both"/>
      </w:pPr>
      <w:r>
        <w:rPr>
          <w:rFonts w:ascii="宋体" w:hAnsi="宋体" w:eastAsia="宋体"/>
          <w:sz w:val="24"/>
        </w:rPr>
        <w:t>三层结构解释了价格的构成，竞争动态解释了价格的走向，二者仍未回答一个现实问题：面对异质的买方，服务方应当提供怎样的价格菜单。词元服务市场已经自发形成了三级结构——普惠包、按需套餐与专属定制，它们并非营销包装的差异，而是典型的二级价格歧视安排：服务方无法直接观测买方的用量规模与场景价值密度，只能设计一组合约，让买方按自身类型自选择。设买方类型为</w:t>
      </w:r>
      <m:oMath>
        <m:r>
          <m:t>θ</m:t>
        </m:r>
      </m:oMath>
      <w:r>
        <w:rPr>
          <w:rFonts w:ascii="宋体" w:hAnsi="宋体" w:eastAsia="宋体"/>
          <w:sz w:val="24"/>
        </w:rPr>
        <w:t>（综合反映用量规模与场景价值密度），从用量</w:t>
      </w:r>
      <m:oMath>
        <m:r>
          <m:t>q</m:t>
        </m:r>
      </m:oMath>
      <w:r>
        <w:rPr>
          <w:rFonts w:ascii="宋体" w:hAnsi="宋体" w:eastAsia="宋体"/>
          <w:sz w:val="24"/>
        </w:rPr>
        <w:t>中获得的毛收益为</w:t>
      </w:r>
      <m:oMath>
        <m:r>
          <m:t>v</m:t>
        </m:r>
        <m:d>
          <m:dPr>
            <m:begChr m:val="("/>
            <m:endChr m:val=")"/>
            <m:grow/>
          </m:dPr>
          <m:e>
            <m:r>
              <m:t>θ</m:t>
            </m:r>
            <m:r>
              <m:rPr>
                <m:sty m:val="p"/>
              </m:rPr>
              <m:t>,</m:t>
            </m:r>
            <m:r>
              <m:t>q</m:t>
            </m:r>
          </m:e>
        </m:d>
      </m:oMath>
      <w:r>
        <w:rPr>
          <w:rFonts w:ascii="宋体" w:hAnsi="宋体" w:eastAsia="宋体"/>
          <w:sz w:val="24"/>
        </w:rPr>
        <w:t>，第</w:t>
      </w:r>
      <m:oMath>
        <m:r>
          <m:t>k</m:t>
        </m:r>
      </m:oMath>
      <w:r>
        <w:rPr>
          <w:rFonts w:ascii="宋体" w:hAnsi="宋体" w:eastAsia="宋体"/>
          <w:sz w:val="24"/>
        </w:rPr>
        <w:t>份合约的固定费为</w:t>
      </w:r>
      <m:oMath>
        <m:sSub>
          <m:e>
            <m:r>
              <m:t>A</m:t>
            </m:r>
          </m:e>
          <m:sub>
            <m:r>
              <m:t>k</m:t>
            </m:r>
          </m:sub>
        </m:sSub>
      </m:oMath>
      <w:r>
        <w:rPr>
          <w:rFonts w:ascii="宋体" w:hAnsi="宋体" w:eastAsia="宋体"/>
          <w:sz w:val="24"/>
        </w:rPr>
        <w:t>、单价为</w:t>
      </w:r>
      <m:oMath>
        <m:sSub>
          <m:e>
            <m:r>
              <m:t>p</m:t>
            </m:r>
          </m:e>
          <m:sub>
            <m:r>
              <m:t>k</m:t>
            </m:r>
          </m:sub>
        </m:sSub>
      </m:oMath>
      <w:r>
        <w:rPr>
          <w:rFonts w:ascii="宋体" w:hAnsi="宋体" w:eastAsia="宋体"/>
          <w:sz w:val="24"/>
        </w:rPr>
        <w:t>，则菜单必须满足参与约束与激励相容约束，如式(7-12)所示。</w:t>
      </w:r>
    </w:p>
    <w:p>
      <w:pPr>
        <w:tabs>
          <w:tab w:pos="4252" w:val="center"/>
          <w:tab w:pos="8504" w:val="right"/>
        </w:tabs>
        <w:spacing w:line="360" w:lineRule="auto" w:before="80" w:after="80"/>
      </w:pPr>
      <w:r>
        <w:tab/>
      </w:r>
      <m:oMath>
        <m:r>
          <m:t>U</m:t>
        </m:r>
        <m:d>
          <m:dPr>
            <m:begChr m:val="("/>
            <m:endChr m:val=")"/>
            <m:grow/>
          </m:dPr>
          <m:e>
            <m:r>
              <m:t>θ</m:t>
            </m:r>
          </m:e>
        </m:d>
        <m:r>
          <m:rPr>
            <m:sty m:val="p"/>
          </m:rPr>
          <m:t>=</m:t>
        </m:r>
        <m:sSub>
          <m:e>
            <m:r>
              <m:rPr>
                <m:sty m:val="p"/>
              </m:rPr>
              <m:t>max</m:t>
            </m:r>
          </m:e>
          <m:sub>
            <m:r>
              <m:t>k</m:t>
            </m:r>
          </m:sub>
        </m:sSub>
        <m:d>
          <m:dPr>
            <m:begChr m:val="{"/>
            <m:endChr m:val="}"/>
            <m:grow/>
          </m:dPr>
          <m:e>
            <m:r>
              <m:t>v</m:t>
            </m:r>
            <m:d>
              <m:dPr>
                <m:begChr m:val="("/>
                <m:endChr m:val=")"/>
                <m:grow/>
              </m:dPr>
              <m:e>
                <m:r>
                  <m:t>θ</m:t>
                </m:r>
                <m:r>
                  <m:rPr>
                    <m:sty m:val="p"/>
                  </m:rPr>
                  <m:t>,</m:t>
                </m:r>
                <m:sSub>
                  <m:e>
                    <m:r>
                      <m:t>q</m:t>
                    </m:r>
                  </m:e>
                  <m:sub>
                    <m:r>
                      <m:t>k</m:t>
                    </m:r>
                  </m:sub>
                </m:sSub>
              </m:e>
            </m:d>
            <m:r>
              <m:rPr>
                <m:sty m:val="p"/>
              </m:rPr>
              <m:t>−</m:t>
            </m:r>
            <m:sSub>
              <m:e>
                <m:r>
                  <m:t>A</m:t>
                </m:r>
              </m:e>
              <m:sub>
                <m:r>
                  <m:t>k</m:t>
                </m:r>
              </m:sub>
            </m:sSub>
            <m:r>
              <m:rPr>
                <m:sty m:val="p"/>
              </m:rPr>
              <m:t>−</m:t>
            </m:r>
            <m:sSub>
              <m:e>
                <m:r>
                  <m:t>p</m:t>
                </m:r>
              </m:e>
              <m:sub>
                <m:r>
                  <m:t>k</m:t>
                </m:r>
              </m:sub>
            </m:sSub>
            <m:sSub>
              <m:e>
                <m:r>
                  <m:t>q</m:t>
                </m:r>
              </m:e>
              <m:sub>
                <m:r>
                  <m:t>k</m:t>
                </m:r>
              </m:sub>
            </m:sSub>
          </m:e>
        </m:d>
        <m:r>
          <m:rPr>
            <m:sty m:val="p"/>
          </m:rPr>
          <m:t>≥</m:t>
        </m:r>
        <m:r>
          <m:t>0</m:t>
        </m:r>
        <m:r>
          <m:rPr>
            <m:sty m:val="p"/>
          </m:rPr>
          <m:t>,</m:t>
        </m:r>
        <m:r>
          <m:t>  </m:t>
        </m:r>
        <m:sSup>
          <m:e>
            <m:r>
              <m:t>U</m:t>
            </m:r>
          </m:e>
          <m:sup>
            <m:r>
              <m:rPr>
                <m:sty m:val="p"/>
              </m:rPr>
              <m:t>′</m:t>
            </m:r>
          </m:sup>
        </m:sSup>
        <m:d>
          <m:dPr>
            <m:begChr m:val="("/>
            <m:endChr m:val=")"/>
            <m:grow/>
          </m:dPr>
          <m:e>
            <m:r>
              <m:t>θ</m:t>
            </m:r>
          </m:e>
        </m:d>
        <m:r>
          <m:rPr>
            <m:sty m:val="p"/>
          </m:rPr>
          <m:t>=</m:t>
        </m:r>
        <m:f>
          <m:fPr>
            <m:type m:val="bar"/>
          </m:fPr>
          <m:num>
            <m:r>
              <m:rPr>
                <m:sty m:val="p"/>
              </m:rPr>
              <m:t>∂</m:t>
            </m:r>
            <m:r>
              <m:t>v</m:t>
            </m:r>
          </m:num>
          <m:den>
            <m:r>
              <m:rPr>
                <m:sty m:val="p"/>
              </m:rPr>
              <m:t>∂</m:t>
            </m:r>
            <m:r>
              <m:t>θ</m:t>
            </m:r>
          </m:den>
        </m:f>
        <m:d>
          <m:dPr>
            <m:begChr m:val="("/>
            <m:endChr m:val=")"/>
            <m:grow/>
          </m:dPr>
          <m:e>
            <m:r>
              <m:t>θ</m:t>
            </m:r>
            <m:r>
              <m:rPr>
                <m:sty m:val="p"/>
              </m:rPr>
              <m:t>,</m:t>
            </m:r>
            <m:r>
              <m:t>q</m:t>
            </m:r>
            <m:d>
              <m:dPr>
                <m:begChr m:val="("/>
                <m:endChr m:val=")"/>
                <m:grow/>
              </m:dPr>
              <m:e>
                <m:r>
                  <m:t>θ</m:t>
                </m:r>
              </m:e>
            </m:d>
          </m:e>
        </m:d>
      </m:oMath>
      <w:r>
        <w:tab/>
      </w:r>
      <w:r>
        <w:rPr>
          <w:rFonts w:ascii="Times New Roman" w:hAnsi="Times New Roman" w:eastAsia="宋体"/>
          <w:sz w:val="24"/>
        </w:rPr>
        <w:t>(7-12)</w:t>
      </w:r>
    </w:p>
    <w:p>
      <w:pPr>
        <w:spacing w:line="360" w:lineRule="auto" w:after="0"/>
        <w:jc w:val="both"/>
      </w:pPr>
      <w:r>
        <w:rPr>
          <w:rFonts w:ascii="宋体" w:hAnsi="宋体" w:eastAsia="宋体"/>
          <w:sz w:val="24"/>
        </w:rPr>
        <w:t>其中，第一式为参与约束（买方选择最优合约后的净收益非负），第二式为激励相容的包络条件，</w:t>
      </w:r>
      <m:oMath>
        <m:r>
          <m:t>U</m:t>
        </m:r>
        <m:d>
          <m:dPr>
            <m:begChr m:val="("/>
            <m:endChr m:val=")"/>
            <m:grow/>
          </m:dPr>
          <m:e>
            <m:r>
              <m:t>θ</m:t>
            </m:r>
          </m:e>
        </m:d>
      </m:oMath>
      <w:r>
        <w:rPr>
          <w:rFonts w:ascii="宋体" w:hAnsi="宋体" w:eastAsia="宋体"/>
          <w:sz w:val="24"/>
        </w:rPr>
        <w:t>即买方的信息租金，随类型单调递增。</w:t>
      </w:r>
    </w:p>
    <w:p>
      <w:pPr>
        <w:spacing w:line="360" w:lineRule="auto" w:after="0"/>
        <w:ind w:firstLineChars="200" w:firstLine="480"/>
        <w:jc w:val="both"/>
      </w:pPr>
      <w:r>
        <w:rPr>
          <w:rFonts w:ascii="宋体" w:hAnsi="宋体" w:eastAsia="宋体"/>
          <w:sz w:val="24"/>
        </w:rPr>
        <w:t>式(7-12)的标准推论是：高类型买方获得接近效率水平的用量并留下正的信息租金，低类型买方的用量被向下扭曲；服务方的收入结构因此必然向高类型倾斜。本书校准的三级服务结构如表7.2所示，其数值与这一推论高度吻合。</w:t>
      </w:r>
    </w:p>
    <w:p>
      <w:pPr>
        <w:keepNext/>
        <w:spacing w:before="160" w:after="40"/>
        <w:jc w:val="center"/>
      </w:pPr>
      <w:r>
        <w:rPr>
          <w:rFonts w:ascii="黑体" w:hAnsi="黑体" w:eastAsia="黑体"/>
          <w:sz w:val="21"/>
        </w:rPr>
        <w:t>表7.2  三级词元服务的定价结构与自选择结果（2026年）</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215"/>
        <w:gridCol w:w="1215"/>
        <w:gridCol w:w="1215"/>
        <w:gridCol w:w="1215"/>
        <w:gridCol w:w="1215"/>
        <w:gridCol w:w="1215"/>
        <w:gridCol w:w="1215"/>
      </w:tblGrid>
      <w:tr>
        <w:tc>
          <w:tcPr>
            <w:tcW w:type="dxa" w:w="1215"/>
            <w:tcBorders>
              <w:bottom w:val="single" w:sz="6" w:color="000000"/>
            </w:tcBorders>
            <w:vAlign w:val="center"/>
          </w:tcPr>
          <w:p>
            <w:pPr>
              <w:spacing w:line="240" w:lineRule="auto" w:after="20" w:before="20"/>
              <w:jc w:val="center"/>
            </w:pPr>
            <w:r/>
            <w:r>
              <w:rPr>
                <w:rFonts w:ascii="宋体" w:hAnsi="宋体" w:eastAsia="宋体"/>
                <w:b/>
                <w:sz w:val="21"/>
              </w:rPr>
              <w:t>服务档</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单价乘数</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用户占比（%）</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词元用量占比（%）</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收入占比（%）</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户均收入相对倍数</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典型合约特征与适配对象</w:t>
            </w:r>
          </w:p>
        </w:tc>
      </w:tr>
      <w:tr>
        <w:tc>
          <w:tcPr>
            <w:tcW w:type="dxa" w:w="1215"/>
            <w:vAlign w:val="center"/>
          </w:tcPr>
          <w:p>
            <w:pPr>
              <w:spacing w:line="240" w:lineRule="auto" w:after="20" w:before="20"/>
              <w:jc w:val="center"/>
            </w:pPr>
            <w:r/>
            <w:r>
              <w:rPr>
                <w:rFonts w:ascii="宋体" w:hAnsi="宋体" w:eastAsia="宋体"/>
                <w:sz w:val="21"/>
              </w:rPr>
              <w:t>普惠包</w:t>
            </w:r>
          </w:p>
        </w:tc>
        <w:tc>
          <w:tcPr>
            <w:tcW w:type="dxa" w:w="1215"/>
            <w:vAlign w:val="center"/>
          </w:tcPr>
          <w:p>
            <w:pPr>
              <w:spacing w:line="240" w:lineRule="auto" w:after="20" w:before="20"/>
              <w:jc w:val="center"/>
            </w:pPr>
            <w:r/>
            <w:r>
              <w:rPr>
                <w:rFonts w:ascii="宋体" w:hAnsi="宋体" w:eastAsia="宋体"/>
                <w:sz w:val="21"/>
              </w:rPr>
              <w:t>0.90</w:t>
            </w:r>
          </w:p>
        </w:tc>
        <w:tc>
          <w:tcPr>
            <w:tcW w:type="dxa" w:w="1215"/>
            <w:vAlign w:val="center"/>
          </w:tcPr>
          <w:p>
            <w:pPr>
              <w:spacing w:line="240" w:lineRule="auto" w:after="20" w:before="20"/>
              <w:jc w:val="center"/>
            </w:pPr>
            <w:r/>
            <w:r>
              <w:rPr>
                <w:rFonts w:ascii="宋体" w:hAnsi="宋体" w:eastAsia="宋体"/>
                <w:sz w:val="21"/>
              </w:rPr>
              <w:t>62.0</w:t>
            </w:r>
          </w:p>
        </w:tc>
        <w:tc>
          <w:tcPr>
            <w:tcW w:type="dxa" w:w="1215"/>
            <w:vAlign w:val="center"/>
          </w:tcPr>
          <w:p>
            <w:pPr>
              <w:spacing w:line="240" w:lineRule="auto" w:after="20" w:before="20"/>
              <w:jc w:val="center"/>
            </w:pPr>
            <w:r/>
            <w:r>
              <w:rPr>
                <w:rFonts w:ascii="宋体" w:hAnsi="宋体" w:eastAsia="宋体"/>
                <w:sz w:val="21"/>
              </w:rPr>
              <w:t>26.8</w:t>
            </w:r>
          </w:p>
        </w:tc>
        <w:tc>
          <w:tcPr>
            <w:tcW w:type="dxa" w:w="1215"/>
            <w:vAlign w:val="center"/>
          </w:tcPr>
          <w:p>
            <w:pPr>
              <w:spacing w:line="240" w:lineRule="auto" w:after="20" w:before="20"/>
              <w:jc w:val="center"/>
            </w:pPr>
            <w:r/>
            <w:r>
              <w:rPr>
                <w:rFonts w:ascii="宋体" w:hAnsi="宋体" w:eastAsia="宋体"/>
                <w:sz w:val="21"/>
              </w:rPr>
              <w:t>21.0</w:t>
            </w:r>
          </w:p>
        </w:tc>
        <w:tc>
          <w:tcPr>
            <w:tcW w:type="dxa" w:w="1215"/>
            <w:vAlign w:val="center"/>
          </w:tcPr>
          <w:p>
            <w:pPr>
              <w:spacing w:line="240" w:lineRule="auto" w:after="20" w:before="20"/>
              <w:jc w:val="center"/>
            </w:pPr>
            <w:r/>
            <w:r>
              <w:rPr>
                <w:rFonts w:ascii="宋体" w:hAnsi="宋体" w:eastAsia="宋体"/>
                <w:sz w:val="21"/>
              </w:rPr>
              <w:t>0.34</w:t>
            </w:r>
          </w:p>
        </w:tc>
        <w:tc>
          <w:tcPr>
            <w:tcW w:type="dxa" w:w="1215"/>
            <w:vAlign w:val="center"/>
          </w:tcPr>
          <w:p>
            <w:pPr>
              <w:spacing w:line="240" w:lineRule="auto" w:after="20" w:before="20"/>
              <w:jc w:val="left"/>
            </w:pPr>
            <w:r/>
            <w:r>
              <w:rPr>
                <w:rFonts w:ascii="宋体" w:hAnsi="宋体" w:eastAsia="宋体"/>
                <w:sz w:val="21"/>
              </w:rPr>
              <w:t>低固定费、限额用量、共享算力池、无专属服务等级承诺；适配中小企业与初次接入的探索性应用</w:t>
            </w:r>
          </w:p>
        </w:tc>
      </w:tr>
      <w:tr>
        <w:tc>
          <w:tcPr>
            <w:tcW w:type="dxa" w:w="1215"/>
            <w:vAlign w:val="center"/>
          </w:tcPr>
          <w:p>
            <w:pPr>
              <w:spacing w:line="240" w:lineRule="auto" w:after="20" w:before="20"/>
              <w:jc w:val="center"/>
            </w:pPr>
            <w:r/>
            <w:r>
              <w:rPr>
                <w:rFonts w:ascii="宋体" w:hAnsi="宋体" w:eastAsia="宋体"/>
                <w:sz w:val="21"/>
              </w:rPr>
              <w:t>按需套餐</w:t>
            </w:r>
          </w:p>
        </w:tc>
        <w:tc>
          <w:tcPr>
            <w:tcW w:type="dxa" w:w="1215"/>
            <w:vAlign w:val="center"/>
          </w:tcPr>
          <w:p>
            <w:pPr>
              <w:spacing w:line="240" w:lineRule="auto" w:after="20" w:before="20"/>
              <w:jc w:val="center"/>
            </w:pPr>
            <w:r/>
            <w:r>
              <w:rPr>
                <w:rFonts w:ascii="宋体" w:hAnsi="宋体" w:eastAsia="宋体"/>
                <w:sz w:val="21"/>
              </w:rPr>
              <w:t>1.00</w:t>
            </w:r>
          </w:p>
        </w:tc>
        <w:tc>
          <w:tcPr>
            <w:tcW w:type="dxa" w:w="1215"/>
            <w:vAlign w:val="center"/>
          </w:tcPr>
          <w:p>
            <w:pPr>
              <w:spacing w:line="240" w:lineRule="auto" w:after="20" w:before="20"/>
              <w:jc w:val="center"/>
            </w:pPr>
            <w:r/>
            <w:r>
              <w:rPr>
                <w:rFonts w:ascii="宋体" w:hAnsi="宋体" w:eastAsia="宋体"/>
                <w:sz w:val="21"/>
              </w:rPr>
              <w:t>31.0</w:t>
            </w:r>
          </w:p>
        </w:tc>
        <w:tc>
          <w:tcPr>
            <w:tcW w:type="dxa" w:w="1215"/>
            <w:vAlign w:val="center"/>
          </w:tcPr>
          <w:p>
            <w:pPr>
              <w:spacing w:line="240" w:lineRule="auto" w:after="20" w:before="20"/>
              <w:jc w:val="center"/>
            </w:pPr>
            <w:r/>
            <w:r>
              <w:rPr>
                <w:rFonts w:ascii="宋体" w:hAnsi="宋体" w:eastAsia="宋体"/>
                <w:sz w:val="21"/>
              </w:rPr>
              <w:t>43.7</w:t>
            </w:r>
          </w:p>
        </w:tc>
        <w:tc>
          <w:tcPr>
            <w:tcW w:type="dxa" w:w="1215"/>
            <w:vAlign w:val="center"/>
          </w:tcPr>
          <w:p>
            <w:pPr>
              <w:spacing w:line="240" w:lineRule="auto" w:after="20" w:before="20"/>
              <w:jc w:val="center"/>
            </w:pPr>
            <w:r/>
            <w:r>
              <w:rPr>
                <w:rFonts w:ascii="宋体" w:hAnsi="宋体" w:eastAsia="宋体"/>
                <w:sz w:val="21"/>
              </w:rPr>
              <w:t>38.0</w:t>
            </w:r>
          </w:p>
        </w:tc>
        <w:tc>
          <w:tcPr>
            <w:tcW w:type="dxa" w:w="1215"/>
            <w:vAlign w:val="center"/>
          </w:tcPr>
          <w:p>
            <w:pPr>
              <w:spacing w:line="240" w:lineRule="auto" w:after="20" w:before="20"/>
              <w:jc w:val="center"/>
            </w:pPr>
            <w:r/>
            <w:r>
              <w:rPr>
                <w:rFonts w:ascii="宋体" w:hAnsi="宋体" w:eastAsia="宋体"/>
                <w:sz w:val="21"/>
              </w:rPr>
              <w:t>1.23</w:t>
            </w:r>
          </w:p>
        </w:tc>
        <w:tc>
          <w:tcPr>
            <w:tcW w:type="dxa" w:w="1215"/>
            <w:vAlign w:val="center"/>
          </w:tcPr>
          <w:p>
            <w:pPr>
              <w:spacing w:line="240" w:lineRule="auto" w:after="20" w:before="20"/>
              <w:jc w:val="left"/>
            </w:pPr>
            <w:r/>
            <w:r>
              <w:rPr>
                <w:rFonts w:ascii="宋体" w:hAnsi="宋体" w:eastAsia="宋体"/>
                <w:sz w:val="21"/>
              </w:rPr>
              <w:t>按实际调用量计费、阶梯折扣、基本服务等级承诺；适配用量稳定、场景明确的规模化应用</w:t>
            </w:r>
          </w:p>
        </w:tc>
      </w:tr>
      <w:tr>
        <w:tc>
          <w:tcPr>
            <w:tcW w:type="dxa" w:w="1215"/>
            <w:vAlign w:val="center"/>
          </w:tcPr>
          <w:p>
            <w:pPr>
              <w:spacing w:line="240" w:lineRule="auto" w:after="20" w:before="20"/>
              <w:jc w:val="center"/>
            </w:pPr>
            <w:r/>
            <w:r>
              <w:rPr>
                <w:rFonts w:ascii="宋体" w:hAnsi="宋体" w:eastAsia="宋体"/>
                <w:sz w:val="21"/>
              </w:rPr>
              <w:t>专属定制</w:t>
            </w:r>
          </w:p>
        </w:tc>
        <w:tc>
          <w:tcPr>
            <w:tcW w:type="dxa" w:w="1215"/>
            <w:vAlign w:val="center"/>
          </w:tcPr>
          <w:p>
            <w:pPr>
              <w:spacing w:line="240" w:lineRule="auto" w:after="20" w:before="20"/>
              <w:jc w:val="center"/>
            </w:pPr>
            <w:r/>
            <w:r>
              <w:rPr>
                <w:rFonts w:ascii="宋体" w:hAnsi="宋体" w:eastAsia="宋体"/>
                <w:sz w:val="21"/>
              </w:rPr>
              <w:t>1.60</w:t>
            </w:r>
          </w:p>
        </w:tc>
        <w:tc>
          <w:tcPr>
            <w:tcW w:type="dxa" w:w="1215"/>
            <w:vAlign w:val="center"/>
          </w:tcPr>
          <w:p>
            <w:pPr>
              <w:spacing w:line="240" w:lineRule="auto" w:after="20" w:before="20"/>
              <w:jc w:val="center"/>
            </w:pPr>
            <w:r/>
            <w:r>
              <w:rPr>
                <w:rFonts w:ascii="宋体" w:hAnsi="宋体" w:eastAsia="宋体"/>
                <w:sz w:val="21"/>
              </w:rPr>
              <w:t>7.0</w:t>
            </w:r>
          </w:p>
        </w:tc>
        <w:tc>
          <w:tcPr>
            <w:tcW w:type="dxa" w:w="1215"/>
            <w:vAlign w:val="center"/>
          </w:tcPr>
          <w:p>
            <w:pPr>
              <w:spacing w:line="240" w:lineRule="auto" w:after="20" w:before="20"/>
              <w:jc w:val="center"/>
            </w:pPr>
            <w:r/>
            <w:r>
              <w:rPr>
                <w:rFonts w:ascii="宋体" w:hAnsi="宋体" w:eastAsia="宋体"/>
                <w:sz w:val="21"/>
              </w:rPr>
              <w:t>29.5</w:t>
            </w:r>
          </w:p>
        </w:tc>
        <w:tc>
          <w:tcPr>
            <w:tcW w:type="dxa" w:w="1215"/>
            <w:vAlign w:val="center"/>
          </w:tcPr>
          <w:p>
            <w:pPr>
              <w:spacing w:line="240" w:lineRule="auto" w:after="20" w:before="20"/>
              <w:jc w:val="center"/>
            </w:pPr>
            <w:r/>
            <w:r>
              <w:rPr>
                <w:rFonts w:ascii="宋体" w:hAnsi="宋体" w:eastAsia="宋体"/>
                <w:sz w:val="21"/>
              </w:rPr>
              <w:t>41.0</w:t>
            </w:r>
          </w:p>
        </w:tc>
        <w:tc>
          <w:tcPr>
            <w:tcW w:type="dxa" w:w="1215"/>
            <w:vAlign w:val="center"/>
          </w:tcPr>
          <w:p>
            <w:pPr>
              <w:spacing w:line="240" w:lineRule="auto" w:after="20" w:before="20"/>
              <w:jc w:val="center"/>
            </w:pPr>
            <w:r/>
            <w:r>
              <w:rPr>
                <w:rFonts w:ascii="宋体" w:hAnsi="宋体" w:eastAsia="宋体"/>
                <w:sz w:val="21"/>
              </w:rPr>
              <w:t>5.86</w:t>
            </w:r>
          </w:p>
        </w:tc>
        <w:tc>
          <w:tcPr>
            <w:tcW w:type="dxa" w:w="1215"/>
            <w:vAlign w:val="center"/>
          </w:tcPr>
          <w:p>
            <w:pPr>
              <w:spacing w:line="240" w:lineRule="auto" w:after="20" w:before="20"/>
              <w:jc w:val="left"/>
            </w:pPr>
            <w:r/>
            <w:r>
              <w:rPr>
                <w:rFonts w:ascii="宋体" w:hAnsi="宋体" w:eastAsia="宋体"/>
                <w:sz w:val="21"/>
              </w:rPr>
              <w:t>高固定费、专属算力与模型微调、严格时延与可用性承诺、数据与合规隔离；适配政务、金融等高合规、高价值密度场景</w:t>
            </w:r>
          </w:p>
        </w:tc>
      </w:tr>
    </w:tbl>
    <w:p>
      <w:pPr>
        <w:spacing w:after="200" w:line="240" w:lineRule="auto"/>
        <w:jc w:val="both"/>
      </w:pPr>
      <w:r>
        <w:rPr>
          <w:rFonts w:ascii="宋体" w:hAnsi="宋体" w:eastAsia="宋体"/>
          <w:sz w:val="18"/>
        </w:rPr>
        <w:t>注：单价乘数以按需套餐为1；词元用量占比由收入占比与单价乘数折算得到；户均收入相对倍数为收入占比与用户占比之比，反映各档单个用户的相对贡献。数据来源：作者校准复算。</w:t>
      </w:r>
    </w:p>
    <w:p>
      <w:pPr>
        <w:spacing w:line="360" w:lineRule="auto" w:after="0"/>
        <w:ind w:firstLineChars="200" w:firstLine="480"/>
        <w:jc w:val="both"/>
      </w:pPr>
      <w:r>
        <w:rPr>
          <w:rFonts w:ascii="宋体" w:hAnsi="宋体" w:eastAsia="宋体"/>
          <w:sz w:val="24"/>
        </w:rPr>
        <w:t>表7.2显示出典型的「长尾—头部」二重结构。普惠包覆盖62%的用户，却只贡献21%的收入，户均收入仅为平均水平的0.34倍；专属定制的用户占比仅7%，却贡献41%的收入，户均收入是平均水平的5.9倍，相当于普惠包用户的17倍。这一结构在数字服务市场中并不罕见，但在词元市场上具有特殊含义：</w:t>
      </w:r>
      <w:r>
        <w:rPr>
          <w:rFonts w:ascii="宋体" w:hAnsi="宋体" w:eastAsia="宋体"/>
          <w:b/>
          <w:sz w:val="24"/>
        </w:rPr>
        <w:t>普惠包不是亏本的营销手段，而是自选择机制的必要组成部分</w:t>
      </w:r>
      <w:r>
        <w:rPr>
          <w:rFonts w:ascii="宋体" w:hAnsi="宋体" w:eastAsia="宋体"/>
          <w:sz w:val="24"/>
        </w:rPr>
        <w:t>。若取消普惠包，低类型买方将退出市场，服务方并不能因此获得更多收入；保留普惠包并以较低单价供给，既扩大了接入规模、强化了第6章的网络协同效应，也没有侵蚀高档合约的收益——只要普惠包的用量限额与服务等级设定得当，高类型买方就不会向下自选择。</w:t>
      </w:r>
    </w:p>
    <w:p>
      <w:pPr>
        <w:spacing w:line="360" w:lineRule="auto" w:after="0"/>
        <w:ind w:firstLineChars="200" w:firstLine="480"/>
        <w:jc w:val="both"/>
      </w:pPr>
      <w:r>
        <w:rPr>
          <w:rFonts w:ascii="宋体" w:hAnsi="宋体" w:eastAsia="宋体"/>
          <w:sz w:val="24"/>
        </w:rPr>
        <w:t>三级结构与7.2节的三层价格结构之间存在清晰的对应关系，这一对应是理解服务分级的钥匙。</w:t>
      </w:r>
      <w:r>
        <w:rPr>
          <w:rFonts w:ascii="宋体" w:hAnsi="宋体" w:eastAsia="宋体"/>
          <w:b/>
          <w:sz w:val="24"/>
        </w:rPr>
        <w:t>普惠包压缩的是租金层。</w:t>
      </w:r>
      <w:r>
        <w:rPr>
          <w:rFonts w:ascii="宋体" w:hAnsi="宋体" w:eastAsia="宋体"/>
          <w:sz w:val="24"/>
        </w:rPr>
        <w:t>它以标准化交付、共享算力池与限额用量换取低单价，服务方放弃场景定制因而也放弃了场景租金，同时以池化提高利用率</w:t>
      </w:r>
      <m:oMath>
        <m:sSub>
          <m:e>
            <m:r>
              <m:t>u</m:t>
            </m:r>
          </m:e>
          <m:sub>
            <m:r>
              <m:t>m</m:t>
            </m:r>
          </m:sub>
        </m:sSub>
      </m:oMath>
      <w:r>
        <w:rPr>
          <w:rFonts w:ascii="宋体" w:hAnsi="宋体" w:eastAsia="宋体"/>
          <w:sz w:val="24"/>
        </w:rPr>
        <w:t>、以规模摊薄固定成本，从两个方向压低成本底价。</w:t>
      </w:r>
      <w:r>
        <w:rPr>
          <w:rFonts w:ascii="宋体" w:hAnsi="宋体" w:eastAsia="宋体"/>
          <w:b/>
          <w:sz w:val="24"/>
        </w:rPr>
        <w:t>按需套餐调节的是用量维度。</w:t>
      </w:r>
      <w:r>
        <w:rPr>
          <w:rFonts w:ascii="宋体" w:hAnsi="宋体" w:eastAsia="宋体"/>
          <w:sz w:val="24"/>
        </w:rPr>
        <w:t>阶梯折扣的实质是式(7-12)中固定费与边际单价的组合在离散点上的实现：承诺用量越高，边际单价越低，买方沿激励相容曲线自选择合适的承诺档。</w:t>
      </w:r>
      <w:r>
        <w:rPr>
          <w:rFonts w:ascii="宋体" w:hAnsi="宋体" w:eastAsia="宋体"/>
          <w:b/>
          <w:sz w:val="24"/>
        </w:rPr>
        <w:t>专属定制放大的是租金层。</w:t>
      </w:r>
      <w:r>
        <w:rPr>
          <w:rFonts w:ascii="宋体" w:hAnsi="宋体" w:eastAsia="宋体"/>
          <w:sz w:val="24"/>
        </w:rPr>
        <w:t>专属算力与模型微调抬高了成本底价，严格的时延、可用性与合规隔离承诺则显著提高了使用方的转换成本</w:t>
      </w:r>
      <m:oMath>
        <m:sSub>
          <m:e>
            <m:r>
              <m:t>ψ</m:t>
            </m:r>
          </m:e>
          <m:sub>
            <m:r>
              <m:t>j</m:t>
            </m:r>
          </m:sub>
        </m:sSub>
      </m:oMath>
      <w:r>
        <w:rPr>
          <w:rFonts w:ascii="宋体" w:hAnsi="宋体" w:eastAsia="宋体"/>
          <w:sz w:val="24"/>
        </w:rPr>
        <w:t>，按式(7-6)，</w:t>
      </w:r>
      <m:oMath>
        <m:sSub>
          <m:e>
            <m:r>
              <m:t>ρ</m:t>
            </m:r>
          </m:e>
          <m:sub>
            <m:r>
              <m:t>j</m:t>
            </m:r>
          </m:sub>
        </m:sSub>
      </m:oMath>
      <w:r>
        <w:rPr>
          <w:rFonts w:ascii="宋体" w:hAnsi="宋体" w:eastAsia="宋体"/>
          <w:sz w:val="24"/>
        </w:rPr>
        <w:t>随之上升。把单价乘数与三层结构对照即可看出：专属定制相对按需套餐60%的溢价，绝不是专属算力所带来的成本差异所能解释的，其主要成分是租金层的扩张。</w:t>
      </w:r>
    </w:p>
    <w:p>
      <w:pPr>
        <w:spacing w:line="360" w:lineRule="auto" w:after="0"/>
        <w:ind w:firstLineChars="200" w:firstLine="480"/>
        <w:jc w:val="both"/>
      </w:pPr>
      <w:r>
        <w:rPr>
          <w:rFonts w:ascii="宋体" w:hAnsi="宋体" w:eastAsia="宋体"/>
          <w:sz w:val="24"/>
        </w:rPr>
        <w:t>这一对应关系直接给出一条政策红线。普惠包的低单价若仅仅来自租金层的放弃与利用率的提高，则是效率改进，可持续；若单价被压到成本底价之下，则本质上是交叉补贴或引流定价，其后果是双重的：一方面无法长期维持，另一方面会挤出同等效率的市场化供给。因此，城市词元运营中心在设计面向中小企业的普惠包时，</w:t>
      </w:r>
      <w:r>
        <w:rPr>
          <w:rFonts w:ascii="宋体" w:hAnsi="宋体" w:eastAsia="宋体"/>
          <w:b/>
          <w:sz w:val="24"/>
        </w:rPr>
        <w:t>「不低于成本底价」应当成为定价的下限约束</w:t>
      </w:r>
      <w:r>
        <w:rPr>
          <w:rFonts w:ascii="宋体" w:hAnsi="宋体" w:eastAsia="宋体"/>
          <w:sz w:val="24"/>
        </w:rPr>
        <w:t>，价格优惠应通过统一采购的规模折扣、闲时算力的错峰使用与政策抵扣来实现，而不是通过长期低于地板的挂牌价来实现。式(7-4)因此不仅是一个成本公式，也是一条可操作的合规基准——它把「补贴用词元」的政策取向约束在不扭曲市场价格信号的范围之内。</w:t>
      </w:r>
    </w:p>
    <w:p>
      <w:pPr>
        <w:spacing w:line="360" w:lineRule="auto" w:after="0"/>
        <w:ind w:firstLineChars="200" w:firstLine="480"/>
        <w:jc w:val="both"/>
      </w:pPr>
      <w:r>
        <w:rPr>
          <w:rFonts w:ascii="宋体" w:hAnsi="宋体" w:eastAsia="宋体"/>
          <w:sz w:val="24"/>
        </w:rPr>
        <w:t>三级结构的福利含义需要辩证评价。一方面，二级价格歧视扩大了市场覆盖：若强制单一价格，边际买方会被排除在外，社会福利未必更高（Mussa和Rosen，1978；Bhargava和Choudhary，2008）；平台掌握用量与效果数据后实施的精细化定价，其福利效果也取决于市场结构与信息条件，并非一概有害（Dubé和Misra，2023）。另一方面，价格歧视把信息租金从买方转移给卖方，且合约条款的复杂化本身构成搜寻与比较成本，中小企业尤易在合约丛林中支付「复杂性溢价」。这为城市词元运营中心提供了明确的公共品定位：</w:t>
      </w:r>
      <w:r>
        <w:rPr>
          <w:rFonts w:ascii="宋体" w:hAnsi="宋体" w:eastAsia="宋体"/>
          <w:b/>
          <w:sz w:val="24"/>
        </w:rPr>
        <w:t>以统一入口与统一计量降低比较成本，以政府背书的普惠包稳定低端合约的条款</w:t>
      </w:r>
      <w:r>
        <w:rPr>
          <w:rFonts w:ascii="宋体" w:hAnsi="宋体" w:eastAsia="宋体"/>
          <w:sz w:val="24"/>
        </w:rPr>
        <w:t>，其经济功能不是替代市场定价，而是降低二级价格歧视的交易费用与信息壁垒。第10章将从机制设计角度论证这一安排的激励相容条件，第13章则以五城案例检验其实际形态。</w:t>
      </w:r>
    </w:p>
    <w:p>
      <w:pPr>
        <w:keepNext/>
        <w:spacing w:before="160" w:after="120" w:line="360" w:lineRule="auto"/>
        <w:outlineLvl w:val="1"/>
      </w:pPr>
      <w:r>
        <w:rPr>
          <w:rFonts w:ascii="黑体" w:hAnsi="黑体" w:eastAsia="黑体"/>
          <w:sz w:val="28"/>
        </w:rPr>
        <w:t>7.5  词元价格指数：TPI、STPI 与背离的经济含义</w:t>
      </w:r>
    </w:p>
    <w:p>
      <w:pPr>
        <w:keepNext/>
        <w:spacing w:before="160" w:after="120" w:line="360" w:lineRule="auto"/>
        <w:outlineLvl w:val="2"/>
      </w:pPr>
      <w:r>
        <w:rPr>
          <w:rFonts w:ascii="黑体" w:hAnsi="黑体" w:eastAsia="黑体"/>
          <w:sz w:val="24"/>
        </w:rPr>
        <w:t>7.5.1  为什么需要一套词元价格指数</w:t>
      </w:r>
    </w:p>
    <w:p>
      <w:pPr>
        <w:spacing w:line="360" w:lineRule="auto" w:after="0"/>
        <w:ind w:firstLineChars="200" w:firstLine="480"/>
        <w:jc w:val="both"/>
      </w:pPr>
      <w:r>
        <w:rPr>
          <w:rFonts w:ascii="宋体" w:hAnsi="宋体" w:eastAsia="宋体"/>
          <w:sz w:val="24"/>
        </w:rPr>
        <w:t>价格结构与价格动态的分析，最终要落到一个可持续观测的总量指标上。这正是价格指数的功能：把一族异质的、条款各异的价格压缩为一条可比的时间序列，供宏观监测、合同调价、补贴核定与增长核算使用。但词元价格指数的编制面临三重困难，任何一重处理不当都会使指数失去意义。</w:t>
      </w:r>
    </w:p>
    <w:p>
      <w:pPr>
        <w:spacing w:line="360" w:lineRule="auto" w:after="0"/>
        <w:ind w:firstLineChars="200" w:firstLine="480"/>
        <w:jc w:val="both"/>
      </w:pPr>
      <w:r>
        <w:rPr>
          <w:rFonts w:ascii="宋体" w:hAnsi="宋体" w:eastAsia="宋体"/>
          <w:b/>
          <w:sz w:val="24"/>
        </w:rPr>
        <w:t>第一重困难是产品的持续质变。</w:t>
      </w:r>
      <w:r>
        <w:rPr>
          <w:rFonts w:ascii="宋体" w:hAnsi="宋体" w:eastAsia="宋体"/>
          <w:sz w:val="24"/>
        </w:rPr>
        <w:t>这是特征价格指数理论的经典问题：当商品的质量在观测期内发生显著变化时，未经调整的价格比较将系统性失真（Griliches，1961）。特征价格方法把价格回归到产品特征上，以特征系数折算质量变化，但其识别与实施均有严格前提，且在特征快速演化的产品上稳健性受限（Pakes，2003；Erickson和Pakes，2011）；官方统计机构如何在实践中处理质量调整，长期是价格统计的核心议题（Groshen等，2017）。云计算价格指数的编制经验尤其值得借鉴——研究表明，若不对计算能力、存储与网络性能的改进做质量调整，云服务价格的下降幅度会被严重低估（Byrne等，2018）；而数字服务的跨境交付又使传统统计边界难以适用（Coyle和Nguyen，2019）。词元的质变速度远高于云计算：同一档位的模型能力以季度为周期迭代，特征维度（上下文长度、推理深度、多模态支持）本身也在增加。</w:t>
      </w:r>
    </w:p>
    <w:p>
      <w:pPr>
        <w:spacing w:line="360" w:lineRule="auto" w:after="0"/>
        <w:ind w:firstLineChars="200" w:firstLine="480"/>
        <w:jc w:val="both"/>
      </w:pPr>
      <w:r>
        <w:rPr>
          <w:rFonts w:ascii="宋体" w:hAnsi="宋体" w:eastAsia="宋体"/>
          <w:b/>
          <w:sz w:val="24"/>
        </w:rPr>
        <w:t>第二重困难是权重的漂移。</w:t>
      </w:r>
      <w:r>
        <w:rPr>
          <w:rFonts w:ascii="宋体" w:hAnsi="宋体" w:eastAsia="宋体"/>
          <w:sz w:val="24"/>
        </w:rPr>
        <w:t>词元用量在档位之间的分布变化极快。当低价档位的份额上升时，即便每一档位的价格分文未降，支出加权的均价也会下降。现有的第三方指数正受制于此：由第三方数据服务商发布的词元支出指数，其自我界定即为「支出（用量）加权的每百万词元平均价格」，衡量的是「当前整个市场为一百万词元实际支付多少钱，与具体模型无关」，覆盖前沿接口、开放权重推理平台、经纪化专用实例与自托管参考部署。这样的口径对观测市场总支出强度极有价值，但它把价格变化与结构变化混在一起，无法回答「同样的东西是否变便宜了」。同一时期，路由平台上中国模型与美国模型的加权均价相差二十倍以上（每百万词元约0.18美元对约4美元），其中同样混杂了档位结构、开放权重比例与折扣策略三重因素，不能读作同等能力下的价格差。</w:t>
      </w:r>
      <w:r>
        <w:rPr>
          <w:rFonts w:ascii="宋体" w:hAnsi="宋体" w:eastAsia="宋体"/>
          <w:b/>
          <w:sz w:val="24"/>
        </w:rPr>
        <w:t>第三重困难是口径的不可通约。</w:t>
      </w:r>
      <w:r>
        <w:rPr>
          <w:rFonts w:ascii="宋体" w:hAnsi="宋体" w:eastAsia="宋体"/>
          <w:sz w:val="24"/>
        </w:rPr>
        <w:t>挂牌价与成交价、缓存命中与未命中、峰谷时段、长上下文档位、不同语言的分词膨胀率，使得同一名义价格对应着完全不同的实际支付。任何指数都必须先声明其计量状态，否则序列前后不可比。</w:t>
      </w:r>
    </w:p>
    <w:p>
      <w:pPr>
        <w:spacing w:line="360" w:lineRule="auto" w:after="0"/>
        <w:ind w:firstLineChars="200" w:firstLine="480"/>
        <w:jc w:val="both"/>
      </w:pPr>
      <w:r>
        <w:rPr>
          <w:rFonts w:ascii="宋体" w:hAnsi="宋体" w:eastAsia="宋体"/>
          <w:sz w:val="24"/>
        </w:rPr>
        <w:t>本书的应对是</w:t>
      </w:r>
      <w:r>
        <w:rPr>
          <w:rFonts w:ascii="宋体" w:hAnsi="宋体" w:eastAsia="宋体"/>
          <w:b/>
          <w:sz w:val="24"/>
        </w:rPr>
        <w:t>双轨编制</w:t>
      </w:r>
      <w:r>
        <w:rPr>
          <w:rFonts w:ascii="宋体" w:hAnsi="宋体" w:eastAsia="宋体"/>
          <w:sz w:val="24"/>
        </w:rPr>
        <w:t>：同时编制物理词元口径的词元价格指数（TPI）与效值折算口径的标准词元价格指数（STPI），并把二者的背离作为一个独立的、有经济含义的观测量。这一思路与总量价格指数测度的理论进展相通——当产品集合与质量同时变动时，单一指数不足以承载全部信息，必须以指数之间的关系来识别结构性变化（Redding和Weinstein，2020）；也与我国数字化转型对经济统计提出的挑战一脉相承（许宪春等，2021）。</w:t>
      </w:r>
    </w:p>
    <w:p>
      <w:pPr>
        <w:keepNext/>
        <w:spacing w:before="160" w:after="120" w:line="360" w:lineRule="auto"/>
        <w:outlineLvl w:val="2"/>
      </w:pPr>
      <w:r>
        <w:rPr>
          <w:rFonts w:ascii="黑体" w:hAnsi="黑体" w:eastAsia="黑体"/>
          <w:sz w:val="24"/>
        </w:rPr>
        <w:t>7.5.2  编制方法：篮子、权重与链式处理</w:t>
      </w:r>
    </w:p>
    <w:p>
      <w:pPr>
        <w:spacing w:line="360" w:lineRule="auto" w:after="0"/>
        <w:ind w:firstLineChars="200" w:firstLine="480"/>
        <w:jc w:val="both"/>
      </w:pPr>
      <w:r>
        <w:rPr>
          <w:rFonts w:ascii="宋体" w:hAnsi="宋体" w:eastAsia="宋体"/>
          <w:sz w:val="24"/>
        </w:rPr>
        <w:t>两套指数采用同一链式拉氏框架，差别仅在于价格的计量单位。TPI以物理词元为计量单位，其编制如式(7-13)所示。</w:t>
      </w:r>
    </w:p>
    <w:p>
      <w:pPr>
        <w:tabs>
          <w:tab w:pos="4252" w:val="center"/>
          <w:tab w:pos="8504" w:val="right"/>
        </w:tabs>
        <w:spacing w:line="360" w:lineRule="auto" w:before="80" w:after="80"/>
      </w:pPr>
      <w:r>
        <w:tab/>
      </w:r>
      <m:oMath>
        <m:sSub>
          <m:e>
            <m:r>
              <m:rPr>
                <m:sty m:val="p"/>
              </m:rPr>
              <m:t>T</m:t>
            </m:r>
            <m:r>
              <m:rPr>
                <m:sty m:val="p"/>
              </m:rPr>
              <m:t>P</m:t>
            </m:r>
            <m:r>
              <m:rPr>
                <m:sty m:val="p"/>
              </m:rPr>
              <m:t>I</m:t>
            </m:r>
          </m:e>
          <m:sub>
            <m:r>
              <m:t>t</m:t>
            </m:r>
          </m:sub>
        </m:sSub>
        <m:r>
          <m:rPr>
            <m:sty m:val="p"/>
          </m:rPr>
          <m:t>=</m:t>
        </m:r>
        <m:sSub>
          <m:e>
            <m:r>
              <m:rPr>
                <m:sty m:val="p"/>
              </m:rPr>
              <m:t>T</m:t>
            </m:r>
            <m:r>
              <m:rPr>
                <m:sty m:val="p"/>
              </m:rPr>
              <m:t>P</m:t>
            </m:r>
            <m:r>
              <m:rPr>
                <m:sty m:val="p"/>
              </m:rPr>
              <m:t>I</m:t>
            </m:r>
          </m:e>
          <m:sub>
            <m:r>
              <m:t>t</m:t>
            </m:r>
            <m:r>
              <m:rPr>
                <m:sty m:val="p"/>
              </m:rPr>
              <m:t>−</m:t>
            </m:r>
            <m:r>
              <m:t>1</m:t>
            </m:r>
          </m:sub>
        </m:sSub>
        <m:r>
          <m:rPr>
            <m:sty m:val="p"/>
          </m:rPr>
          <m:t>×</m:t>
        </m:r>
        <m:nary>
          <m:naryPr>
            <m:chr m:val="∑"/>
            <m:limLoc m:val="undOvr"/>
            <m:subHide m:val="off"/>
            <m:supHide m:val="on"/>
          </m:naryPr>
          <m:sub>
            <m:r>
              <m:t>m</m:t>
            </m:r>
          </m:sub>
          <m:sup>
            <m:r>
              <m:t>​</m:t>
            </m:r>
          </m:sup>
          <m:e>
            <m:sSub>
              <m:e>
                <m:r>
                  <m:t>w</m:t>
                </m:r>
              </m:e>
              <m:sub>
                <m:r>
                  <m:t>m</m:t>
                </m:r>
                <m:r>
                  <m:rPr>
                    <m:sty m:val="p"/>
                  </m:rPr>
                  <m:t>,</m:t>
                </m:r>
                <m:r>
                  <m:t>t</m:t>
                </m:r>
                <m:r>
                  <m:rPr>
                    <m:sty m:val="p"/>
                  </m:rPr>
                  <m:t>−</m:t>
                </m:r>
                <m:r>
                  <m:t>1</m:t>
                </m:r>
              </m:sub>
            </m:sSub>
          </m:e>
        </m:nary>
        <m:f>
          <m:fPr>
            <m:type m:val="bar"/>
          </m:fPr>
          <m:num>
            <m:sSub>
              <m:e>
                <m:r>
                  <m:t>p</m:t>
                </m:r>
              </m:e>
              <m:sub>
                <m:r>
                  <m:t>m</m:t>
                </m:r>
                <m:r>
                  <m:rPr>
                    <m:sty m:val="p"/>
                  </m:rPr>
                  <m:t>,</m:t>
                </m:r>
                <m:r>
                  <m:t>t</m:t>
                </m:r>
              </m:sub>
            </m:sSub>
          </m:num>
          <m:den>
            <m:sSub>
              <m:e>
                <m:r>
                  <m:t>p</m:t>
                </m:r>
              </m:e>
              <m:sub>
                <m:r>
                  <m:t>m</m:t>
                </m:r>
                <m:r>
                  <m:rPr>
                    <m:sty m:val="p"/>
                  </m:rPr>
                  <m:t>,</m:t>
                </m:r>
                <m:r>
                  <m:t>t</m:t>
                </m:r>
                <m:r>
                  <m:rPr>
                    <m:sty m:val="p"/>
                  </m:rPr>
                  <m:t>−</m:t>
                </m:r>
                <m:r>
                  <m:t>1</m:t>
                </m:r>
              </m:sub>
            </m:sSub>
          </m:den>
        </m:f>
        <m:r>
          <m:rPr>
            <m:sty m:val="p"/>
          </m:rPr>
          <m:t>,</m:t>
        </m:r>
        <m:r>
          <m:t>  </m:t>
        </m:r>
        <m:sSub>
          <m:e>
            <m:r>
              <m:t>w</m:t>
            </m:r>
          </m:e>
          <m:sub>
            <m:r>
              <m:t>m</m:t>
            </m:r>
            <m:r>
              <m:rPr>
                <m:sty m:val="p"/>
              </m:rPr>
              <m:t>,</m:t>
            </m:r>
            <m:r>
              <m:t>t</m:t>
            </m:r>
            <m:r>
              <m:rPr>
                <m:sty m:val="p"/>
              </m:rPr>
              <m:t>−</m:t>
            </m:r>
            <m:r>
              <m:t>1</m:t>
            </m:r>
          </m:sub>
        </m:sSub>
        <m:r>
          <m:rPr>
            <m:sty m:val="p"/>
          </m:rPr>
          <m:t>=</m:t>
        </m:r>
        <m:f>
          <m:fPr>
            <m:type m:val="bar"/>
          </m:fPr>
          <m:num>
            <m:sSub>
              <m:e>
                <m:r>
                  <m:t>p</m:t>
                </m:r>
              </m:e>
              <m:sub>
                <m:r>
                  <m:t>m</m:t>
                </m:r>
                <m:r>
                  <m:rPr>
                    <m:sty m:val="p"/>
                  </m:rPr>
                  <m:t>,</m:t>
                </m:r>
                <m:r>
                  <m:t>t</m:t>
                </m:r>
                <m:r>
                  <m:rPr>
                    <m:sty m:val="p"/>
                  </m:rPr>
                  <m:t>−</m:t>
                </m:r>
                <m:r>
                  <m:t>1</m:t>
                </m:r>
              </m:sub>
            </m:sSub>
            <m:sSub>
              <m:e>
                <m:r>
                  <m:t>T</m:t>
                </m:r>
              </m:e>
              <m:sub>
                <m:r>
                  <m:t>m</m:t>
                </m:r>
                <m:r>
                  <m:rPr>
                    <m:sty m:val="p"/>
                  </m:rPr>
                  <m:t>,</m:t>
                </m:r>
                <m:r>
                  <m:t>t</m:t>
                </m:r>
                <m:r>
                  <m:rPr>
                    <m:sty m:val="p"/>
                  </m:rPr>
                  <m:t>−</m:t>
                </m:r>
                <m:r>
                  <m:t>1</m:t>
                </m:r>
              </m:sub>
            </m:sSub>
          </m:num>
          <m:den>
            <m:nary>
              <m:naryPr>
                <m:chr m:val="∑"/>
                <m:limLoc m:val="undOvr"/>
                <m:subHide m:val="off"/>
                <m:supHide m:val="on"/>
              </m:naryPr>
              <m:sub>
                <m:r>
                  <m:t>n</m:t>
                </m:r>
              </m:sub>
              <m:sup>
                <m:r>
                  <m:t>​</m:t>
                </m:r>
              </m:sup>
              <m:e>
                <m:sSub>
                  <m:e>
                    <m:r>
                      <m:t>p</m:t>
                    </m:r>
                  </m:e>
                  <m:sub>
                    <m:r>
                      <m:t>n</m:t>
                    </m:r>
                    <m:r>
                      <m:rPr>
                        <m:sty m:val="p"/>
                      </m:rPr>
                      <m:t>,</m:t>
                    </m:r>
                    <m:r>
                      <m:t>t</m:t>
                    </m:r>
                    <m:r>
                      <m:rPr>
                        <m:sty m:val="p"/>
                      </m:rPr>
                      <m:t>−</m:t>
                    </m:r>
                    <m:r>
                      <m:t>1</m:t>
                    </m:r>
                  </m:sub>
                </m:sSub>
              </m:e>
            </m:nary>
            <m:sSub>
              <m:e>
                <m:r>
                  <m:t>T</m:t>
                </m:r>
              </m:e>
              <m:sub>
                <m:r>
                  <m:t>n</m:t>
                </m:r>
                <m:r>
                  <m:rPr>
                    <m:sty m:val="p"/>
                  </m:rPr>
                  <m:t>,</m:t>
                </m:r>
                <m:r>
                  <m:t>t</m:t>
                </m:r>
                <m:r>
                  <m:rPr>
                    <m:sty m:val="p"/>
                  </m:rPr>
                  <m:t>−</m:t>
                </m:r>
                <m:r>
                  <m:t>1</m:t>
                </m:r>
              </m:sub>
            </m:sSub>
          </m:den>
        </m:f>
      </m:oMath>
      <w:r>
        <w:tab/>
      </w:r>
      <w:r>
        <w:rPr>
          <w:rFonts w:ascii="Times New Roman" w:hAnsi="Times New Roman" w:eastAsia="宋体"/>
          <w:sz w:val="24"/>
        </w:rPr>
        <w:t>(7-13)</w:t>
      </w:r>
    </w:p>
    <w:p>
      <w:pPr>
        <w:spacing w:line="360" w:lineRule="auto" w:after="0"/>
        <w:jc w:val="both"/>
      </w:pPr>
      <w:r>
        <w:rPr>
          <w:rFonts w:ascii="宋体" w:hAnsi="宋体" w:eastAsia="宋体"/>
          <w:sz w:val="24"/>
        </w:rPr>
        <w:t>其中，</w:t>
      </w:r>
      <m:oMath>
        <m:sSub>
          <m:e>
            <m:r>
              <m:t>T</m:t>
            </m:r>
          </m:e>
          <m:sub>
            <m:r>
              <m:t>m</m:t>
            </m:r>
            <m:r>
              <m:rPr>
                <m:sty m:val="p"/>
              </m:rPr>
              <m:t>,</m:t>
            </m:r>
            <m:r>
              <m:t>t</m:t>
            </m:r>
          </m:sub>
        </m:sSub>
      </m:oMath>
      <w:r>
        <w:rPr>
          <w:rFonts w:ascii="宋体" w:hAnsi="宋体" w:eastAsia="宋体"/>
          <w:sz w:val="24"/>
        </w:rPr>
        <w:t>为档位</w:t>
      </w:r>
      <m:oMath>
        <m:r>
          <m:t>m</m:t>
        </m:r>
      </m:oMath>
      <w:r>
        <w:rPr>
          <w:rFonts w:ascii="宋体" w:hAnsi="宋体" w:eastAsia="宋体"/>
          <w:sz w:val="24"/>
        </w:rPr>
        <w:t>在</w:t>
      </w:r>
      <m:oMath>
        <m:r>
          <m:t>t</m:t>
        </m:r>
      </m:oMath>
      <w:r>
        <w:rPr>
          <w:rFonts w:ascii="宋体" w:hAnsi="宋体" w:eastAsia="宋体"/>
          <w:sz w:val="24"/>
        </w:rPr>
        <w:t>期的物理词元用量，</w:t>
      </w:r>
      <m:oMath>
        <m:sSub>
          <m:e>
            <m:r>
              <m:t>w</m:t>
            </m:r>
          </m:e>
          <m:sub>
            <m:r>
              <m:t>m</m:t>
            </m:r>
            <m:r>
              <m:rPr>
                <m:sty m:val="p"/>
              </m:rPr>
              <m:t>,</m:t>
            </m:r>
            <m:r>
              <m:t>t</m:t>
            </m:r>
            <m:r>
              <m:rPr>
                <m:sty m:val="p"/>
              </m:rPr>
              <m:t>−</m:t>
            </m:r>
            <m:r>
              <m:t>1</m:t>
            </m:r>
          </m:sub>
        </m:sSub>
      </m:oMath>
      <w:r>
        <w:rPr>
          <w:rFonts w:ascii="宋体" w:hAnsi="宋体" w:eastAsia="宋体"/>
          <w:sz w:val="24"/>
        </w:rPr>
        <w:t>为上期支出份额权重；基期取2024年第一季度，指数值为100。</w:t>
      </w:r>
    </w:p>
    <w:p>
      <w:pPr>
        <w:spacing w:line="360" w:lineRule="auto" w:after="0"/>
        <w:ind w:firstLineChars="200" w:firstLine="480"/>
        <w:jc w:val="both"/>
      </w:pPr>
      <w:r>
        <w:rPr>
          <w:rFonts w:ascii="宋体" w:hAnsi="宋体" w:eastAsia="宋体"/>
          <w:sz w:val="24"/>
        </w:rPr>
        <w:t>STPI则以标准词元为计量单位，把各档位价格先折算为标准词元单价再构造价格比率，如式(7-14)所示。</w:t>
      </w:r>
    </w:p>
    <w:p>
      <w:pPr>
        <w:tabs>
          <w:tab w:pos="4252" w:val="center"/>
          <w:tab w:pos="8504" w:val="right"/>
        </w:tabs>
        <w:spacing w:line="360" w:lineRule="auto" w:before="80" w:after="80"/>
      </w:pPr>
      <w:r>
        <w:tab/>
      </w:r>
      <m:oMath>
        <m:sSub>
          <m:e>
            <m:r>
              <m:rPr>
                <m:sty m:val="p"/>
              </m:rPr>
              <m:t>S</m:t>
            </m:r>
            <m:r>
              <m:rPr>
                <m:sty m:val="p"/>
              </m:rPr>
              <m:t>T</m:t>
            </m:r>
            <m:r>
              <m:rPr>
                <m:sty m:val="p"/>
              </m:rPr>
              <m:t>P</m:t>
            </m:r>
            <m:r>
              <m:rPr>
                <m:sty m:val="p"/>
              </m:rPr>
              <m:t>I</m:t>
            </m:r>
          </m:e>
          <m:sub>
            <m:r>
              <m:t>t</m:t>
            </m:r>
          </m:sub>
        </m:sSub>
        <m:r>
          <m:rPr>
            <m:sty m:val="p"/>
          </m:rPr>
          <m:t>=</m:t>
        </m:r>
        <m:sSub>
          <m:e>
            <m:r>
              <m:rPr>
                <m:sty m:val="p"/>
              </m:rPr>
              <m:t>S</m:t>
            </m:r>
            <m:r>
              <m:rPr>
                <m:sty m:val="p"/>
              </m:rPr>
              <m:t>T</m:t>
            </m:r>
            <m:r>
              <m:rPr>
                <m:sty m:val="p"/>
              </m:rPr>
              <m:t>P</m:t>
            </m:r>
            <m:r>
              <m:rPr>
                <m:sty m:val="p"/>
              </m:rPr>
              <m:t>I</m:t>
            </m:r>
          </m:e>
          <m:sub>
            <m:r>
              <m:t>t</m:t>
            </m:r>
            <m:r>
              <m:rPr>
                <m:sty m:val="p"/>
              </m:rPr>
              <m:t>−</m:t>
            </m:r>
            <m:r>
              <m:t>1</m:t>
            </m:r>
          </m:sub>
        </m:sSub>
        <m:r>
          <m:rPr>
            <m:sty m:val="p"/>
          </m:rPr>
          <m:t>×</m:t>
        </m:r>
        <m:nary>
          <m:naryPr>
            <m:chr m:val="∑"/>
            <m:limLoc m:val="undOvr"/>
            <m:subHide m:val="off"/>
            <m:supHide m:val="on"/>
          </m:naryPr>
          <m:sub>
            <m:r>
              <m:t>m</m:t>
            </m:r>
          </m:sub>
          <m:sup>
            <m:r>
              <m:t>​</m:t>
            </m:r>
          </m:sup>
          <m:e>
            <m:sSub>
              <m:e>
                <m:acc>
                  <m:accPr>
                    <m:chr m:val="̃"/>
                  </m:accPr>
                  <m:e>
                    <m:r>
                      <m:t>w</m:t>
                    </m:r>
                  </m:e>
                </m:acc>
              </m:e>
              <m:sub>
                <m:r>
                  <m:t>m</m:t>
                </m:r>
                <m:r>
                  <m:rPr>
                    <m:sty m:val="p"/>
                  </m:rPr>
                  <m:t>,</m:t>
                </m:r>
                <m:r>
                  <m:t>t</m:t>
                </m:r>
                <m:r>
                  <m:rPr>
                    <m:sty m:val="p"/>
                  </m:rPr>
                  <m:t>−</m:t>
                </m:r>
                <m:r>
                  <m:t>1</m:t>
                </m:r>
              </m:sub>
            </m:sSub>
          </m:e>
        </m:nary>
        <m:f>
          <m:fPr>
            <m:type m:val="bar"/>
          </m:fPr>
          <m:num>
            <m:sSub>
              <m:e>
                <m:acc>
                  <m:accPr>
                    <m:chr m:val="̃"/>
                  </m:accPr>
                  <m:e>
                    <m:r>
                      <m:t>p</m:t>
                    </m:r>
                  </m:e>
                </m:acc>
              </m:e>
              <m:sub>
                <m:r>
                  <m:t>m</m:t>
                </m:r>
                <m:r>
                  <m:rPr>
                    <m:sty m:val="p"/>
                  </m:rPr>
                  <m:t>,</m:t>
                </m:r>
                <m:r>
                  <m:t>t</m:t>
                </m:r>
              </m:sub>
            </m:sSub>
          </m:num>
          <m:den>
            <m:sSub>
              <m:e>
                <m:acc>
                  <m:accPr>
                    <m:chr m:val="̃"/>
                  </m:accPr>
                  <m:e>
                    <m:r>
                      <m:t>p</m:t>
                    </m:r>
                  </m:e>
                </m:acc>
              </m:e>
              <m:sub>
                <m:r>
                  <m:t>m</m:t>
                </m:r>
                <m:r>
                  <m:rPr>
                    <m:sty m:val="p"/>
                  </m:rPr>
                  <m:t>,</m:t>
                </m:r>
                <m:r>
                  <m:t>t</m:t>
                </m:r>
                <m:r>
                  <m:rPr>
                    <m:sty m:val="p"/>
                  </m:rPr>
                  <m:t>−</m:t>
                </m:r>
                <m:r>
                  <m:t>1</m:t>
                </m:r>
              </m:sub>
            </m:sSub>
          </m:den>
        </m:f>
        <m:r>
          <m:rPr>
            <m:sty m:val="p"/>
          </m:rPr>
          <m:t>,</m:t>
        </m:r>
        <m:r>
          <m:t>  </m:t>
        </m:r>
        <m:sSub>
          <m:e>
            <m:acc>
              <m:accPr>
                <m:chr m:val="̃"/>
              </m:accPr>
              <m:e>
                <m:r>
                  <m:t>p</m:t>
                </m:r>
              </m:e>
            </m:acc>
          </m:e>
          <m:sub>
            <m:r>
              <m:t>m</m:t>
            </m:r>
            <m:r>
              <m:rPr>
                <m:sty m:val="p"/>
              </m:rPr>
              <m:t>,</m:t>
            </m:r>
            <m:r>
              <m:t>t</m:t>
            </m:r>
          </m:sub>
        </m:sSub>
        <m:r>
          <m:rPr>
            <m:sty m:val="p"/>
          </m:rPr>
          <m:t>=</m:t>
        </m:r>
        <m:f>
          <m:fPr>
            <m:type m:val="bar"/>
          </m:fPr>
          <m:num>
            <m:sSub>
              <m:e>
                <m:r>
                  <m:t>p</m:t>
                </m:r>
              </m:e>
              <m:sub>
                <m:r>
                  <m:t>m</m:t>
                </m:r>
                <m:r>
                  <m:rPr>
                    <m:sty m:val="p"/>
                  </m:rPr>
                  <m:t>,</m:t>
                </m:r>
                <m:r>
                  <m:t>t</m:t>
                </m:r>
              </m:sub>
            </m:sSub>
          </m:num>
          <m:den>
            <m:sSub>
              <m:e>
                <m:r>
                  <m:t>η</m:t>
                </m:r>
              </m:e>
              <m:sub>
                <m:r>
                  <m:t>m</m:t>
                </m:r>
                <m:r>
                  <m:rPr>
                    <m:sty m:val="p"/>
                  </m:rPr>
                  <m:t>,</m:t>
                </m:r>
                <m:r>
                  <m:t>t</m:t>
                </m:r>
              </m:sub>
            </m:sSub>
          </m:den>
        </m:f>
        <m:r>
          <m:rPr>
            <m:sty m:val="p"/>
          </m:rPr>
          <m:t>,</m:t>
        </m:r>
        <m:r>
          <m:t>  </m:t>
        </m:r>
        <m:sSub>
          <m:e>
            <m:acc>
              <m:accPr>
                <m:chr m:val="̃"/>
              </m:accPr>
              <m:e>
                <m:r>
                  <m:t>w</m:t>
                </m:r>
              </m:e>
            </m:acc>
          </m:e>
          <m:sub>
            <m:r>
              <m:t>m</m:t>
            </m:r>
            <m:r>
              <m:rPr>
                <m:sty m:val="p"/>
              </m:rPr>
              <m:t>,</m:t>
            </m:r>
            <m:r>
              <m:t>t</m:t>
            </m:r>
            <m:r>
              <m:rPr>
                <m:sty m:val="p"/>
              </m:rPr>
              <m:t>−</m:t>
            </m:r>
            <m:r>
              <m:t>1</m:t>
            </m:r>
          </m:sub>
        </m:sSub>
        <m:r>
          <m:rPr>
            <m:sty m:val="p"/>
          </m:rPr>
          <m:t>=</m:t>
        </m:r>
        <m:f>
          <m:fPr>
            <m:type m:val="bar"/>
          </m:fPr>
          <m:num>
            <m:sSub>
              <m:e>
                <m:acc>
                  <m:accPr>
                    <m:chr m:val="̃"/>
                  </m:accPr>
                  <m:e>
                    <m:r>
                      <m:t>p</m:t>
                    </m:r>
                  </m:e>
                </m:acc>
              </m:e>
              <m:sub>
                <m:r>
                  <m:t>m</m:t>
                </m:r>
                <m:r>
                  <m:rPr>
                    <m:sty m:val="p"/>
                  </m:rPr>
                  <m:t>,</m:t>
                </m:r>
                <m:r>
                  <m:t>t</m:t>
                </m:r>
                <m:r>
                  <m:rPr>
                    <m:sty m:val="p"/>
                  </m:rPr>
                  <m:t>−</m:t>
                </m:r>
                <m:r>
                  <m:t>1</m:t>
                </m:r>
              </m:sub>
            </m:sSub>
            <m:sSub>
              <m:e>
                <m:acc>
                  <m:accPr>
                    <m:chr m:val="̃"/>
                  </m:accPr>
                  <m:e>
                    <m:r>
                      <m:t>T</m:t>
                    </m:r>
                  </m:e>
                </m:acc>
              </m:e>
              <m:sub>
                <m:r>
                  <m:t>m</m:t>
                </m:r>
                <m:r>
                  <m:rPr>
                    <m:sty m:val="p"/>
                  </m:rPr>
                  <m:t>,</m:t>
                </m:r>
                <m:r>
                  <m:t>t</m:t>
                </m:r>
                <m:r>
                  <m:rPr>
                    <m:sty m:val="p"/>
                  </m:rPr>
                  <m:t>−</m:t>
                </m:r>
                <m:r>
                  <m:t>1</m:t>
                </m:r>
              </m:sub>
            </m:sSub>
          </m:num>
          <m:den>
            <m:nary>
              <m:naryPr>
                <m:chr m:val="∑"/>
                <m:limLoc m:val="undOvr"/>
                <m:subHide m:val="off"/>
                <m:supHide m:val="on"/>
              </m:naryPr>
              <m:sub>
                <m:r>
                  <m:t>n</m:t>
                </m:r>
              </m:sub>
              <m:sup>
                <m:r>
                  <m:t>​</m:t>
                </m:r>
              </m:sup>
              <m:e>
                <m:sSub>
                  <m:e>
                    <m:acc>
                      <m:accPr>
                        <m:chr m:val="̃"/>
                      </m:accPr>
                      <m:e>
                        <m:r>
                          <m:t>p</m:t>
                        </m:r>
                      </m:e>
                    </m:acc>
                  </m:e>
                  <m:sub>
                    <m:r>
                      <m:t>n</m:t>
                    </m:r>
                    <m:r>
                      <m:rPr>
                        <m:sty m:val="p"/>
                      </m:rPr>
                      <m:t>,</m:t>
                    </m:r>
                    <m:r>
                      <m:t>t</m:t>
                    </m:r>
                    <m:r>
                      <m:rPr>
                        <m:sty m:val="p"/>
                      </m:rPr>
                      <m:t>−</m:t>
                    </m:r>
                    <m:r>
                      <m:t>1</m:t>
                    </m:r>
                  </m:sub>
                </m:sSub>
              </m:e>
            </m:nary>
            <m:sSub>
              <m:e>
                <m:acc>
                  <m:accPr>
                    <m:chr m:val="̃"/>
                  </m:accPr>
                  <m:e>
                    <m:r>
                      <m:t>T</m:t>
                    </m:r>
                  </m:e>
                </m:acc>
              </m:e>
              <m:sub>
                <m:r>
                  <m:t>n</m:t>
                </m:r>
                <m:r>
                  <m:rPr>
                    <m:sty m:val="p"/>
                  </m:rPr>
                  <m:t>,</m:t>
                </m:r>
                <m:r>
                  <m:t>t</m:t>
                </m:r>
                <m:r>
                  <m:rPr>
                    <m:sty m:val="p"/>
                  </m:rPr>
                  <m:t>−</m:t>
                </m:r>
                <m:r>
                  <m:t>1</m:t>
                </m:r>
              </m:sub>
            </m:sSub>
          </m:den>
        </m:f>
      </m:oMath>
      <w:r>
        <w:tab/>
      </w:r>
      <w:r>
        <w:rPr>
          <w:rFonts w:ascii="Times New Roman" w:hAnsi="Times New Roman" w:eastAsia="宋体"/>
          <w:sz w:val="24"/>
        </w:rPr>
        <w:t>(7-14)</w:t>
      </w:r>
    </w:p>
    <w:p>
      <w:pPr>
        <w:spacing w:line="360" w:lineRule="auto" w:after="0"/>
        <w:jc w:val="both"/>
      </w:pPr>
      <w:r>
        <w:rPr>
          <w:rFonts w:ascii="宋体" w:hAnsi="宋体" w:eastAsia="宋体"/>
          <w:sz w:val="24"/>
        </w:rPr>
        <w:t>其中，</w:t>
      </w:r>
      <m:oMath>
        <m:sSub>
          <m:e>
            <m:acc>
              <m:accPr>
                <m:chr m:val="̃"/>
              </m:accPr>
              <m:e>
                <m:r>
                  <m:t>T</m:t>
                </m:r>
              </m:e>
            </m:acc>
          </m:e>
          <m:sub>
            <m:r>
              <m:t>m</m:t>
            </m:r>
            <m:r>
              <m:rPr>
                <m:sty m:val="p"/>
              </m:rPr>
              <m:t>,</m:t>
            </m:r>
            <m:r>
              <m:t>t</m:t>
            </m:r>
          </m:sub>
        </m:sSub>
        <m:r>
          <m:rPr>
            <m:sty m:val="p"/>
          </m:rPr>
          <m:t>=</m:t>
        </m:r>
        <m:sSub>
          <m:e>
            <m:r>
              <m:t>η</m:t>
            </m:r>
          </m:e>
          <m:sub>
            <m:r>
              <m:t>m</m:t>
            </m:r>
            <m:r>
              <m:rPr>
                <m:sty m:val="p"/>
              </m:rPr>
              <m:t>,</m:t>
            </m:r>
            <m:r>
              <m:t>t</m:t>
            </m:r>
          </m:sub>
        </m:sSub>
        <m:sSub>
          <m:e>
            <m:r>
              <m:t>T</m:t>
            </m:r>
          </m:e>
          <m:sub>
            <m:r>
              <m:t>m</m:t>
            </m:r>
            <m:r>
              <m:rPr>
                <m:sty m:val="p"/>
              </m:rPr>
              <m:t>,</m:t>
            </m:r>
            <m:r>
              <m:t>t</m:t>
            </m:r>
          </m:sub>
        </m:sSub>
      </m:oMath>
      <w:r>
        <w:rPr>
          <w:rFonts w:ascii="宋体" w:hAnsi="宋体" w:eastAsia="宋体"/>
          <w:sz w:val="24"/>
        </w:rPr>
        <w:t>为标准词元用量。</w:t>
      </w:r>
    </w:p>
    <w:p>
      <w:pPr>
        <w:spacing w:line="360" w:lineRule="auto" w:after="0"/>
        <w:ind w:firstLineChars="200" w:firstLine="480"/>
        <w:jc w:val="both"/>
      </w:pPr>
      <w:r>
        <w:rPr>
          <w:rFonts w:ascii="宋体" w:hAnsi="宋体" w:eastAsia="宋体"/>
          <w:sz w:val="24"/>
        </w:rPr>
        <w:t>式(7-13)与式(7-14)之间有一个容易被忽略却极为重要的性质：</w:t>
      </w:r>
      <w:r>
        <w:rPr>
          <w:rFonts w:ascii="宋体" w:hAnsi="宋体" w:eastAsia="宋体"/>
          <w:b/>
          <w:sz w:val="24"/>
        </w:rPr>
        <w:t>两套指数的权重完全相同</w:t>
      </w:r>
      <w:r>
        <w:rPr>
          <w:rFonts w:ascii="宋体" w:hAnsi="宋体" w:eastAsia="宋体"/>
          <w:sz w:val="24"/>
        </w:rPr>
        <w:t>。因为</w:t>
      </w:r>
      <m:oMath>
        <m:sSub>
          <m:e>
            <m:acc>
              <m:accPr>
                <m:chr m:val="̃"/>
              </m:accPr>
              <m:e>
                <m:r>
                  <m:t>p</m:t>
                </m:r>
              </m:e>
            </m:acc>
          </m:e>
          <m:sub>
            <m:r>
              <m:t>m</m:t>
            </m:r>
          </m:sub>
        </m:sSub>
        <m:sSub>
          <m:e>
            <m:acc>
              <m:accPr>
                <m:chr m:val="̃"/>
              </m:accPr>
              <m:e>
                <m:r>
                  <m:t>T</m:t>
                </m:r>
              </m:e>
            </m:acc>
          </m:e>
          <m:sub>
            <m:r>
              <m:t>m</m:t>
            </m:r>
          </m:sub>
        </m:sSub>
        <m:r>
          <m:rPr>
            <m:sty m:val="p"/>
          </m:rPr>
          <m:t>=</m:t>
        </m:r>
        <m:d>
          <m:dPr>
            <m:begChr m:val="("/>
            <m:endChr m:val=")"/>
            <m:grow/>
          </m:dPr>
          <m:e>
            <m:sSub>
              <m:e>
                <m:r>
                  <m:t>p</m:t>
                </m:r>
              </m:e>
              <m:sub>
                <m:r>
                  <m:t>m</m:t>
                </m:r>
              </m:sub>
            </m:sSub>
            <m:r>
              <m:rPr>
                <m:sty m:val="p"/>
              </m:rPr>
              <m:t>/</m:t>
            </m:r>
            <m:sSub>
              <m:e>
                <m:r>
                  <m:t>η</m:t>
                </m:r>
              </m:e>
              <m:sub>
                <m:r>
                  <m:t>m</m:t>
                </m:r>
              </m:sub>
            </m:sSub>
          </m:e>
        </m:d>
        <m:d>
          <m:dPr>
            <m:begChr m:val="("/>
            <m:endChr m:val=")"/>
            <m:grow/>
          </m:dPr>
          <m:e>
            <m:sSub>
              <m:e>
                <m:r>
                  <m:t>η</m:t>
                </m:r>
              </m:e>
              <m:sub>
                <m:r>
                  <m:t>m</m:t>
                </m:r>
              </m:sub>
            </m:sSub>
            <m:sSub>
              <m:e>
                <m:r>
                  <m:t>T</m:t>
                </m:r>
              </m:e>
              <m:sub>
                <m:r>
                  <m:t>m</m:t>
                </m:r>
              </m:sub>
            </m:sSub>
          </m:e>
        </m:d>
        <m:r>
          <m:rPr>
            <m:sty m:val="p"/>
          </m:rPr>
          <m:t>=</m:t>
        </m:r>
        <m:sSub>
          <m:e>
            <m:r>
              <m:t>p</m:t>
            </m:r>
          </m:e>
          <m:sub>
            <m:r>
              <m:t>m</m:t>
            </m:r>
          </m:sub>
        </m:sSub>
        <m:sSub>
          <m:e>
            <m:r>
              <m:t>T</m:t>
            </m:r>
          </m:e>
          <m:sub>
            <m:r>
              <m:t>m</m:t>
            </m:r>
          </m:sub>
        </m:sSub>
      </m:oMath>
      <w:r>
        <w:rPr>
          <w:rFonts w:ascii="宋体" w:hAnsi="宋体" w:eastAsia="宋体"/>
          <w:sz w:val="24"/>
        </w:rPr>
        <w:t>，标准词元口径的支出与物理词元口径的支出恒等，故</w:t>
      </w:r>
      <m:oMath>
        <m:sSub>
          <m:e>
            <m:acc>
              <m:accPr>
                <m:chr m:val="̃"/>
              </m:accPr>
              <m:e>
                <m:r>
                  <m:t>w</m:t>
                </m:r>
              </m:e>
            </m:acc>
          </m:e>
          <m:sub>
            <m:r>
              <m:t>m</m:t>
            </m:r>
            <m:r>
              <m:rPr>
                <m:sty m:val="p"/>
              </m:rPr>
              <m:t>,</m:t>
            </m:r>
            <m:r>
              <m:t>t</m:t>
            </m:r>
            <m:r>
              <m:rPr>
                <m:sty m:val="p"/>
              </m:rPr>
              <m:t>−</m:t>
            </m:r>
            <m:r>
              <m:t>1</m:t>
            </m:r>
          </m:sub>
        </m:sSub>
        <m:r>
          <m:rPr>
            <m:sty m:val="p"/>
          </m:rPr>
          <m:t>≡</m:t>
        </m:r>
        <m:sSub>
          <m:e>
            <m:r>
              <m:t>w</m:t>
            </m:r>
          </m:e>
          <m:sub>
            <m:r>
              <m:t>m</m:t>
            </m:r>
            <m:r>
              <m:rPr>
                <m:sty m:val="p"/>
              </m:rPr>
              <m:t>,</m:t>
            </m:r>
            <m:r>
              <m:t>t</m:t>
            </m:r>
            <m:r>
              <m:rPr>
                <m:sty m:val="p"/>
              </m:rPr>
              <m:t>−</m:t>
            </m:r>
            <m:r>
              <m:t>1</m:t>
            </m:r>
          </m:sub>
        </m:sSub>
      </m:oMath>
      <w:r>
        <w:rPr>
          <w:rFonts w:ascii="宋体" w:hAnsi="宋体" w:eastAsia="宋体"/>
          <w:sz w:val="24"/>
        </w:rPr>
        <w:t>。这意味着二者的全部差异都来自价格比率的分母是否经过效值折算，而不来自权重口径的不同——这为后文的背离分解提供了干净的识别条件。三点编制处理需要说明。</w:t>
      </w:r>
      <w:r>
        <w:rPr>
          <w:rFonts w:ascii="宋体" w:hAnsi="宋体" w:eastAsia="宋体"/>
          <w:b/>
          <w:sz w:val="24"/>
        </w:rPr>
        <w:t>其一，链式而非固定篮子。</w:t>
      </w:r>
      <w:r>
        <w:rPr>
          <w:rFonts w:ascii="宋体" w:hAnsi="宋体" w:eastAsia="宋体"/>
          <w:sz w:val="24"/>
        </w:rPr>
        <w:t>词元产品的迭代速度使固定篮子在两三个季度内即告失效，链式处理以逐期更新的权重适应品种更替，其代价是链式漂移，本书以季度频率作为在时效与漂移之间的折中（第5章5.5.4节已讨论同一取舍）。</w:t>
      </w:r>
      <w:r>
        <w:rPr>
          <w:rFonts w:ascii="宋体" w:hAnsi="宋体" w:eastAsia="宋体"/>
          <w:b/>
          <w:sz w:val="24"/>
        </w:rPr>
        <w:t>其二，计量状态的固定。</w:t>
      </w:r>
      <w:r>
        <w:rPr>
          <w:rFonts w:ascii="宋体" w:hAnsi="宋体" w:eastAsia="宋体"/>
          <w:sz w:val="24"/>
        </w:rPr>
        <w:t>编制中统一按「缓存未命中、标准上下文档位、按需套餐、非高峰时段」的状态取价，缓存命中与峰谷折扣按固定命中率与固定时段结构折算，以避免状态漂移混入价格变化。</w:t>
      </w:r>
      <w:r>
        <w:rPr>
          <w:rFonts w:ascii="宋体" w:hAnsi="宋体" w:eastAsia="宋体"/>
          <w:b/>
          <w:sz w:val="24"/>
        </w:rPr>
        <w:t>其三，新档位的接入。</w:t>
      </w:r>
      <w:r>
        <w:rPr>
          <w:rFonts w:ascii="宋体" w:hAnsi="宋体" w:eastAsia="宋体"/>
          <w:sz w:val="24"/>
        </w:rPr>
        <w:t>新出现的档位在其首次进入篮子的当期不计入价格比率，自次期起参与，这是链式指数处理新产品的标准做法，其代价是新品种进入初期的价格快速下降未被完全捕捉，因而本书的TPI对降幅的估计是保守的。</w:t>
      </w:r>
    </w:p>
    <w:p>
      <w:pPr>
        <w:spacing w:line="360" w:lineRule="auto" w:after="0"/>
        <w:ind w:firstLineChars="200" w:firstLine="480"/>
        <w:jc w:val="both"/>
      </w:pPr>
      <w:r>
        <w:rPr>
          <w:rFonts w:ascii="宋体" w:hAnsi="宋体" w:eastAsia="宋体"/>
          <w:sz w:val="24"/>
        </w:rPr>
        <w:t>两套指数的完整序列见表7.3，其走势与背离如图7.3所示。</w:t>
      </w:r>
    </w:p>
    <w:p>
      <w:pPr>
        <w:keepNext/>
        <w:spacing w:before="160" w:after="40"/>
        <w:jc w:val="center"/>
      </w:pPr>
      <w:r>
        <w:rPr>
          <w:rFonts w:ascii="黑体" w:hAnsi="黑体" w:eastAsia="黑体"/>
          <w:sz w:val="21"/>
        </w:rPr>
        <w:t>表7.3  词元价格指数与标准词元价格指数的季度序列（2024Q1—2026Q2）</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215"/>
        <w:gridCol w:w="1215"/>
        <w:gridCol w:w="1215"/>
        <w:gridCol w:w="1215"/>
        <w:gridCol w:w="1215"/>
        <w:gridCol w:w="1215"/>
        <w:gridCol w:w="1215"/>
      </w:tblGrid>
      <w:tr>
        <w:tc>
          <w:tcPr>
            <w:tcW w:type="dxa" w:w="1215"/>
            <w:tcBorders>
              <w:bottom w:val="single" w:sz="6" w:color="000000"/>
            </w:tcBorders>
            <w:vAlign w:val="center"/>
          </w:tcPr>
          <w:p>
            <w:pPr>
              <w:spacing w:line="240" w:lineRule="auto" w:after="20" w:before="20"/>
              <w:jc w:val="center"/>
            </w:pPr>
            <w:r/>
            <w:r>
              <w:rPr>
                <w:rFonts w:ascii="宋体" w:hAnsi="宋体" w:eastAsia="宋体"/>
                <w:b/>
                <w:sz w:val="21"/>
              </w:rPr>
              <w:t>季度</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TPI（物理词元口径）</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STPI（标准词元口径）</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背离（指数点）</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TPI环比降幅（%）</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STPI环比降幅（%）</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平均效值当量指数</w:t>
            </w:r>
          </w:p>
        </w:tc>
      </w:tr>
      <w:tr>
        <w:tc>
          <w:tcPr>
            <w:tcW w:type="dxa" w:w="1215"/>
            <w:vAlign w:val="center"/>
          </w:tcPr>
          <w:p>
            <w:pPr>
              <w:spacing w:line="240" w:lineRule="auto" w:after="20" w:before="20"/>
              <w:jc w:val="center"/>
            </w:pPr>
            <w:r/>
            <w:r>
              <w:rPr>
                <w:rFonts w:ascii="宋体" w:hAnsi="宋体" w:eastAsia="宋体"/>
                <w:sz w:val="21"/>
              </w:rPr>
              <w:t>2024Q1</w:t>
            </w:r>
          </w:p>
        </w:tc>
        <w:tc>
          <w:tcPr>
            <w:tcW w:type="dxa" w:w="1215"/>
            <w:vAlign w:val="center"/>
          </w:tcPr>
          <w:p>
            <w:pPr>
              <w:spacing w:line="240" w:lineRule="auto" w:after="20" w:before="20"/>
              <w:jc w:val="center"/>
            </w:pPr>
            <w:r/>
            <w:r>
              <w:rPr>
                <w:rFonts w:ascii="宋体" w:hAnsi="宋体" w:eastAsia="宋体"/>
                <w:sz w:val="21"/>
              </w:rPr>
              <w:t>100.0</w:t>
            </w:r>
          </w:p>
        </w:tc>
        <w:tc>
          <w:tcPr>
            <w:tcW w:type="dxa" w:w="1215"/>
            <w:vAlign w:val="center"/>
          </w:tcPr>
          <w:p>
            <w:pPr>
              <w:spacing w:line="240" w:lineRule="auto" w:after="20" w:before="20"/>
              <w:jc w:val="center"/>
            </w:pPr>
            <w:r/>
            <w:r>
              <w:rPr>
                <w:rFonts w:ascii="宋体" w:hAnsi="宋体" w:eastAsia="宋体"/>
                <w:sz w:val="21"/>
              </w:rPr>
              <w:t>100.0</w:t>
            </w:r>
          </w:p>
        </w:tc>
        <w:tc>
          <w:tcPr>
            <w:tcW w:type="dxa" w:w="1215"/>
            <w:vAlign w:val="center"/>
          </w:tcPr>
          <w:p>
            <w:pPr>
              <w:spacing w:line="240" w:lineRule="auto" w:after="20" w:before="20"/>
              <w:jc w:val="center"/>
            </w:pPr>
            <w:r/>
            <w:r>
              <w:rPr>
                <w:rFonts w:ascii="宋体" w:hAnsi="宋体" w:eastAsia="宋体"/>
                <w:sz w:val="21"/>
              </w:rPr>
              <w:t>0.0</w:t>
            </w:r>
          </w:p>
        </w:tc>
        <w:tc>
          <w:tcPr>
            <w:tcW w:type="dxa" w:w="1215"/>
            <w:vAlign w:val="center"/>
          </w:tcPr>
          <w:p>
            <w:pPr>
              <w:spacing w:line="240" w:lineRule="auto" w:after="20" w:before="20"/>
              <w:jc w:val="center"/>
            </w:pPr>
            <w:r/>
            <w:r>
              <w:rPr>
                <w:rFonts w:ascii="宋体" w:hAnsi="宋体" w:eastAsia="宋体"/>
                <w:sz w:val="21"/>
              </w:rPr>
              <w:t>—</w:t>
            </w:r>
          </w:p>
        </w:tc>
        <w:tc>
          <w:tcPr>
            <w:tcW w:type="dxa" w:w="1215"/>
            <w:vAlign w:val="center"/>
          </w:tcPr>
          <w:p>
            <w:pPr>
              <w:spacing w:line="240" w:lineRule="auto" w:after="20" w:before="20"/>
              <w:jc w:val="center"/>
            </w:pPr>
            <w:r/>
            <w:r>
              <w:rPr>
                <w:rFonts w:ascii="宋体" w:hAnsi="宋体" w:eastAsia="宋体"/>
                <w:sz w:val="21"/>
              </w:rPr>
              <w:t>—</w:t>
            </w:r>
          </w:p>
        </w:tc>
        <w:tc>
          <w:tcPr>
            <w:tcW w:type="dxa" w:w="1215"/>
            <w:vAlign w:val="center"/>
          </w:tcPr>
          <w:p>
            <w:pPr>
              <w:spacing w:line="240" w:lineRule="auto" w:after="20" w:before="20"/>
              <w:jc w:val="center"/>
            </w:pPr>
            <w:r/>
            <w:r>
              <w:rPr>
                <w:rFonts w:ascii="宋体" w:hAnsi="宋体" w:eastAsia="宋体"/>
                <w:sz w:val="21"/>
              </w:rPr>
              <w:t>1.000</w:t>
            </w:r>
          </w:p>
        </w:tc>
      </w:tr>
      <w:tr>
        <w:tc>
          <w:tcPr>
            <w:tcW w:type="dxa" w:w="1215"/>
            <w:vAlign w:val="center"/>
          </w:tcPr>
          <w:p>
            <w:pPr>
              <w:spacing w:line="240" w:lineRule="auto" w:after="20" w:before="20"/>
              <w:jc w:val="center"/>
            </w:pPr>
            <w:r/>
            <w:r>
              <w:rPr>
                <w:rFonts w:ascii="宋体" w:hAnsi="宋体" w:eastAsia="宋体"/>
                <w:sz w:val="21"/>
              </w:rPr>
              <w:t>2024Q2</w:t>
            </w:r>
          </w:p>
        </w:tc>
        <w:tc>
          <w:tcPr>
            <w:tcW w:type="dxa" w:w="1215"/>
            <w:vAlign w:val="center"/>
          </w:tcPr>
          <w:p>
            <w:pPr>
              <w:spacing w:line="240" w:lineRule="auto" w:after="20" w:before="20"/>
              <w:jc w:val="center"/>
            </w:pPr>
            <w:r/>
            <w:r>
              <w:rPr>
                <w:rFonts w:ascii="宋体" w:hAnsi="宋体" w:eastAsia="宋体"/>
                <w:sz w:val="21"/>
              </w:rPr>
              <w:t>87.3</w:t>
            </w:r>
          </w:p>
        </w:tc>
        <w:tc>
          <w:tcPr>
            <w:tcW w:type="dxa" w:w="1215"/>
            <w:vAlign w:val="center"/>
          </w:tcPr>
          <w:p>
            <w:pPr>
              <w:spacing w:line="240" w:lineRule="auto" w:after="20" w:before="20"/>
              <w:jc w:val="center"/>
            </w:pPr>
            <w:r/>
            <w:r>
              <w:rPr>
                <w:rFonts w:ascii="宋体" w:hAnsi="宋体" w:eastAsia="宋体"/>
                <w:sz w:val="21"/>
              </w:rPr>
              <w:t>92.7</w:t>
            </w:r>
          </w:p>
        </w:tc>
        <w:tc>
          <w:tcPr>
            <w:tcW w:type="dxa" w:w="1215"/>
            <w:vAlign w:val="center"/>
          </w:tcPr>
          <w:p>
            <w:pPr>
              <w:spacing w:line="240" w:lineRule="auto" w:after="20" w:before="20"/>
              <w:jc w:val="center"/>
            </w:pPr>
            <w:r/>
            <w:r>
              <w:rPr>
                <w:rFonts w:ascii="宋体" w:hAnsi="宋体" w:eastAsia="宋体"/>
                <w:sz w:val="21"/>
              </w:rPr>
              <w:t>5.4</w:t>
            </w:r>
          </w:p>
        </w:tc>
        <w:tc>
          <w:tcPr>
            <w:tcW w:type="dxa" w:w="1215"/>
            <w:vAlign w:val="center"/>
          </w:tcPr>
          <w:p>
            <w:pPr>
              <w:spacing w:line="240" w:lineRule="auto" w:after="20" w:before="20"/>
              <w:jc w:val="center"/>
            </w:pPr>
            <w:r/>
            <w:r>
              <w:rPr>
                <w:rFonts w:ascii="宋体" w:hAnsi="宋体" w:eastAsia="宋体"/>
                <w:sz w:val="21"/>
              </w:rPr>
              <w:t>12.7</w:t>
            </w:r>
          </w:p>
        </w:tc>
        <w:tc>
          <w:tcPr>
            <w:tcW w:type="dxa" w:w="1215"/>
            <w:vAlign w:val="center"/>
          </w:tcPr>
          <w:p>
            <w:pPr>
              <w:spacing w:line="240" w:lineRule="auto" w:after="20" w:before="20"/>
              <w:jc w:val="center"/>
            </w:pPr>
            <w:r/>
            <w:r>
              <w:rPr>
                <w:rFonts w:ascii="宋体" w:hAnsi="宋体" w:eastAsia="宋体"/>
                <w:sz w:val="21"/>
              </w:rPr>
              <w:t>7.3</w:t>
            </w:r>
          </w:p>
        </w:tc>
        <w:tc>
          <w:tcPr>
            <w:tcW w:type="dxa" w:w="1215"/>
            <w:vAlign w:val="center"/>
          </w:tcPr>
          <w:p>
            <w:pPr>
              <w:spacing w:line="240" w:lineRule="auto" w:after="20" w:before="20"/>
              <w:jc w:val="center"/>
            </w:pPr>
            <w:r/>
            <w:r>
              <w:rPr>
                <w:rFonts w:ascii="宋体" w:hAnsi="宋体" w:eastAsia="宋体"/>
                <w:sz w:val="21"/>
              </w:rPr>
              <w:t>0.942</w:t>
            </w:r>
          </w:p>
        </w:tc>
      </w:tr>
      <w:tr>
        <w:tc>
          <w:tcPr>
            <w:tcW w:type="dxa" w:w="1215"/>
            <w:vAlign w:val="center"/>
          </w:tcPr>
          <w:p>
            <w:pPr>
              <w:spacing w:line="240" w:lineRule="auto" w:after="20" w:before="20"/>
              <w:jc w:val="center"/>
            </w:pPr>
            <w:r/>
            <w:r>
              <w:rPr>
                <w:rFonts w:ascii="宋体" w:hAnsi="宋体" w:eastAsia="宋体"/>
                <w:sz w:val="21"/>
              </w:rPr>
              <w:t>2024Q3</w:t>
            </w:r>
          </w:p>
        </w:tc>
        <w:tc>
          <w:tcPr>
            <w:tcW w:type="dxa" w:w="1215"/>
            <w:vAlign w:val="center"/>
          </w:tcPr>
          <w:p>
            <w:pPr>
              <w:spacing w:line="240" w:lineRule="auto" w:after="20" w:before="20"/>
              <w:jc w:val="center"/>
            </w:pPr>
            <w:r/>
            <w:r>
              <w:rPr>
                <w:rFonts w:ascii="宋体" w:hAnsi="宋体" w:eastAsia="宋体"/>
                <w:sz w:val="21"/>
              </w:rPr>
              <w:t>74.7</w:t>
            </w:r>
          </w:p>
        </w:tc>
        <w:tc>
          <w:tcPr>
            <w:tcW w:type="dxa" w:w="1215"/>
            <w:vAlign w:val="center"/>
          </w:tcPr>
          <w:p>
            <w:pPr>
              <w:spacing w:line="240" w:lineRule="auto" w:after="20" w:before="20"/>
              <w:jc w:val="center"/>
            </w:pPr>
            <w:r/>
            <w:r>
              <w:rPr>
                <w:rFonts w:ascii="宋体" w:hAnsi="宋体" w:eastAsia="宋体"/>
                <w:sz w:val="21"/>
              </w:rPr>
              <w:t>85.3</w:t>
            </w:r>
          </w:p>
        </w:tc>
        <w:tc>
          <w:tcPr>
            <w:tcW w:type="dxa" w:w="1215"/>
            <w:vAlign w:val="center"/>
          </w:tcPr>
          <w:p>
            <w:pPr>
              <w:spacing w:line="240" w:lineRule="auto" w:after="20" w:before="20"/>
              <w:jc w:val="center"/>
            </w:pPr>
            <w:r/>
            <w:r>
              <w:rPr>
                <w:rFonts w:ascii="宋体" w:hAnsi="宋体" w:eastAsia="宋体"/>
                <w:sz w:val="21"/>
              </w:rPr>
              <w:t>10.6</w:t>
            </w:r>
          </w:p>
        </w:tc>
        <w:tc>
          <w:tcPr>
            <w:tcW w:type="dxa" w:w="1215"/>
            <w:vAlign w:val="center"/>
          </w:tcPr>
          <w:p>
            <w:pPr>
              <w:spacing w:line="240" w:lineRule="auto" w:after="20" w:before="20"/>
              <w:jc w:val="center"/>
            </w:pPr>
            <w:r/>
            <w:r>
              <w:rPr>
                <w:rFonts w:ascii="宋体" w:hAnsi="宋体" w:eastAsia="宋体"/>
                <w:sz w:val="21"/>
              </w:rPr>
              <w:t>14.4</w:t>
            </w:r>
          </w:p>
        </w:tc>
        <w:tc>
          <w:tcPr>
            <w:tcW w:type="dxa" w:w="1215"/>
            <w:vAlign w:val="center"/>
          </w:tcPr>
          <w:p>
            <w:pPr>
              <w:spacing w:line="240" w:lineRule="auto" w:after="20" w:before="20"/>
              <w:jc w:val="center"/>
            </w:pPr>
            <w:r/>
            <w:r>
              <w:rPr>
                <w:rFonts w:ascii="宋体" w:hAnsi="宋体" w:eastAsia="宋体"/>
                <w:sz w:val="21"/>
              </w:rPr>
              <w:t>8.0</w:t>
            </w:r>
          </w:p>
        </w:tc>
        <w:tc>
          <w:tcPr>
            <w:tcW w:type="dxa" w:w="1215"/>
            <w:vAlign w:val="center"/>
          </w:tcPr>
          <w:p>
            <w:pPr>
              <w:spacing w:line="240" w:lineRule="auto" w:after="20" w:before="20"/>
              <w:jc w:val="center"/>
            </w:pPr>
            <w:r/>
            <w:r>
              <w:rPr>
                <w:rFonts w:ascii="宋体" w:hAnsi="宋体" w:eastAsia="宋体"/>
                <w:sz w:val="21"/>
              </w:rPr>
              <w:t>0.876</w:t>
            </w:r>
          </w:p>
        </w:tc>
      </w:tr>
      <w:tr>
        <w:tc>
          <w:tcPr>
            <w:tcW w:type="dxa" w:w="1215"/>
            <w:vAlign w:val="center"/>
          </w:tcPr>
          <w:p>
            <w:pPr>
              <w:spacing w:line="240" w:lineRule="auto" w:after="20" w:before="20"/>
              <w:jc w:val="center"/>
            </w:pPr>
            <w:r/>
            <w:r>
              <w:rPr>
                <w:rFonts w:ascii="宋体" w:hAnsi="宋体" w:eastAsia="宋体"/>
                <w:sz w:val="21"/>
              </w:rPr>
              <w:t>2024Q4</w:t>
            </w:r>
          </w:p>
        </w:tc>
        <w:tc>
          <w:tcPr>
            <w:tcW w:type="dxa" w:w="1215"/>
            <w:vAlign w:val="center"/>
          </w:tcPr>
          <w:p>
            <w:pPr>
              <w:spacing w:line="240" w:lineRule="auto" w:after="20" w:before="20"/>
              <w:jc w:val="center"/>
            </w:pPr>
            <w:r/>
            <w:r>
              <w:rPr>
                <w:rFonts w:ascii="宋体" w:hAnsi="宋体" w:eastAsia="宋体"/>
                <w:sz w:val="21"/>
              </w:rPr>
              <w:t>62.0</w:t>
            </w:r>
          </w:p>
        </w:tc>
        <w:tc>
          <w:tcPr>
            <w:tcW w:type="dxa" w:w="1215"/>
            <w:vAlign w:val="center"/>
          </w:tcPr>
          <w:p>
            <w:pPr>
              <w:spacing w:line="240" w:lineRule="auto" w:after="20" w:before="20"/>
              <w:jc w:val="center"/>
            </w:pPr>
            <w:r/>
            <w:r>
              <w:rPr>
                <w:rFonts w:ascii="宋体" w:hAnsi="宋体" w:eastAsia="宋体"/>
                <w:sz w:val="21"/>
              </w:rPr>
              <w:t>78.0</w:t>
            </w:r>
          </w:p>
        </w:tc>
        <w:tc>
          <w:tcPr>
            <w:tcW w:type="dxa" w:w="1215"/>
            <w:vAlign w:val="center"/>
          </w:tcPr>
          <w:p>
            <w:pPr>
              <w:spacing w:line="240" w:lineRule="auto" w:after="20" w:before="20"/>
              <w:jc w:val="center"/>
            </w:pPr>
            <w:r/>
            <w:r>
              <w:rPr>
                <w:rFonts w:ascii="宋体" w:hAnsi="宋体" w:eastAsia="宋体"/>
                <w:sz w:val="21"/>
              </w:rPr>
              <w:t>16.0</w:t>
            </w:r>
          </w:p>
        </w:tc>
        <w:tc>
          <w:tcPr>
            <w:tcW w:type="dxa" w:w="1215"/>
            <w:vAlign w:val="center"/>
          </w:tcPr>
          <w:p>
            <w:pPr>
              <w:spacing w:line="240" w:lineRule="auto" w:after="20" w:before="20"/>
              <w:jc w:val="center"/>
            </w:pPr>
            <w:r/>
            <w:r>
              <w:rPr>
                <w:rFonts w:ascii="宋体" w:hAnsi="宋体" w:eastAsia="宋体"/>
                <w:sz w:val="21"/>
              </w:rPr>
              <w:t>17.0</w:t>
            </w:r>
          </w:p>
        </w:tc>
        <w:tc>
          <w:tcPr>
            <w:tcW w:type="dxa" w:w="1215"/>
            <w:vAlign w:val="center"/>
          </w:tcPr>
          <w:p>
            <w:pPr>
              <w:spacing w:line="240" w:lineRule="auto" w:after="20" w:before="20"/>
              <w:jc w:val="center"/>
            </w:pPr>
            <w:r/>
            <w:r>
              <w:rPr>
                <w:rFonts w:ascii="宋体" w:hAnsi="宋体" w:eastAsia="宋体"/>
                <w:sz w:val="21"/>
              </w:rPr>
              <w:t>8.6</w:t>
            </w:r>
          </w:p>
        </w:tc>
        <w:tc>
          <w:tcPr>
            <w:tcW w:type="dxa" w:w="1215"/>
            <w:vAlign w:val="center"/>
          </w:tcPr>
          <w:p>
            <w:pPr>
              <w:spacing w:line="240" w:lineRule="auto" w:after="20" w:before="20"/>
              <w:jc w:val="center"/>
            </w:pPr>
            <w:r/>
            <w:r>
              <w:rPr>
                <w:rFonts w:ascii="宋体" w:hAnsi="宋体" w:eastAsia="宋体"/>
                <w:sz w:val="21"/>
              </w:rPr>
              <w:t>0.795</w:t>
            </w:r>
          </w:p>
        </w:tc>
      </w:tr>
      <w:tr>
        <w:tc>
          <w:tcPr>
            <w:tcW w:type="dxa" w:w="1215"/>
            <w:vAlign w:val="center"/>
          </w:tcPr>
          <w:p>
            <w:pPr>
              <w:spacing w:line="240" w:lineRule="auto" w:after="20" w:before="20"/>
              <w:jc w:val="center"/>
            </w:pPr>
            <w:r/>
            <w:r>
              <w:rPr>
                <w:rFonts w:ascii="宋体" w:hAnsi="宋体" w:eastAsia="宋体"/>
                <w:sz w:val="21"/>
              </w:rPr>
              <w:t>2025Q1</w:t>
            </w:r>
          </w:p>
        </w:tc>
        <w:tc>
          <w:tcPr>
            <w:tcW w:type="dxa" w:w="1215"/>
            <w:vAlign w:val="center"/>
          </w:tcPr>
          <w:p>
            <w:pPr>
              <w:spacing w:line="240" w:lineRule="auto" w:after="20" w:before="20"/>
              <w:jc w:val="center"/>
            </w:pPr>
            <w:r/>
            <w:r>
              <w:rPr>
                <w:rFonts w:ascii="宋体" w:hAnsi="宋体" w:eastAsia="宋体"/>
                <w:sz w:val="21"/>
              </w:rPr>
              <w:t>51.5</w:t>
            </w:r>
          </w:p>
        </w:tc>
        <w:tc>
          <w:tcPr>
            <w:tcW w:type="dxa" w:w="1215"/>
            <w:vAlign w:val="center"/>
          </w:tcPr>
          <w:p>
            <w:pPr>
              <w:spacing w:line="240" w:lineRule="auto" w:after="20" w:before="20"/>
              <w:jc w:val="center"/>
            </w:pPr>
            <w:r/>
            <w:r>
              <w:rPr>
                <w:rFonts w:ascii="宋体" w:hAnsi="宋体" w:eastAsia="宋体"/>
                <w:sz w:val="21"/>
              </w:rPr>
              <w:t>70.5</w:t>
            </w:r>
          </w:p>
        </w:tc>
        <w:tc>
          <w:tcPr>
            <w:tcW w:type="dxa" w:w="1215"/>
            <w:vAlign w:val="center"/>
          </w:tcPr>
          <w:p>
            <w:pPr>
              <w:spacing w:line="240" w:lineRule="auto" w:after="20" w:before="20"/>
              <w:jc w:val="center"/>
            </w:pPr>
            <w:r/>
            <w:r>
              <w:rPr>
                <w:rFonts w:ascii="宋体" w:hAnsi="宋体" w:eastAsia="宋体"/>
                <w:sz w:val="21"/>
              </w:rPr>
              <w:t>19.0</w:t>
            </w:r>
          </w:p>
        </w:tc>
        <w:tc>
          <w:tcPr>
            <w:tcW w:type="dxa" w:w="1215"/>
            <w:vAlign w:val="center"/>
          </w:tcPr>
          <w:p>
            <w:pPr>
              <w:spacing w:line="240" w:lineRule="auto" w:after="20" w:before="20"/>
              <w:jc w:val="center"/>
            </w:pPr>
            <w:r/>
            <w:r>
              <w:rPr>
                <w:rFonts w:ascii="宋体" w:hAnsi="宋体" w:eastAsia="宋体"/>
                <w:sz w:val="21"/>
              </w:rPr>
              <w:t>16.9</w:t>
            </w:r>
          </w:p>
        </w:tc>
        <w:tc>
          <w:tcPr>
            <w:tcW w:type="dxa" w:w="1215"/>
            <w:vAlign w:val="center"/>
          </w:tcPr>
          <w:p>
            <w:pPr>
              <w:spacing w:line="240" w:lineRule="auto" w:after="20" w:before="20"/>
              <w:jc w:val="center"/>
            </w:pPr>
            <w:r/>
            <w:r>
              <w:rPr>
                <w:rFonts w:ascii="宋体" w:hAnsi="宋体" w:eastAsia="宋体"/>
                <w:sz w:val="21"/>
              </w:rPr>
              <w:t>9.6</w:t>
            </w:r>
          </w:p>
        </w:tc>
        <w:tc>
          <w:tcPr>
            <w:tcW w:type="dxa" w:w="1215"/>
            <w:vAlign w:val="center"/>
          </w:tcPr>
          <w:p>
            <w:pPr>
              <w:spacing w:line="240" w:lineRule="auto" w:after="20" w:before="20"/>
              <w:jc w:val="center"/>
            </w:pPr>
            <w:r/>
            <w:r>
              <w:rPr>
                <w:rFonts w:ascii="宋体" w:hAnsi="宋体" w:eastAsia="宋体"/>
                <w:sz w:val="21"/>
              </w:rPr>
              <w:t>0.730</w:t>
            </w:r>
          </w:p>
        </w:tc>
      </w:tr>
      <w:tr>
        <w:tc>
          <w:tcPr>
            <w:tcW w:type="dxa" w:w="1215"/>
            <w:vAlign w:val="center"/>
          </w:tcPr>
          <w:p>
            <w:pPr>
              <w:spacing w:line="240" w:lineRule="auto" w:after="20" w:before="20"/>
              <w:jc w:val="center"/>
            </w:pPr>
            <w:r/>
            <w:r>
              <w:rPr>
                <w:rFonts w:ascii="宋体" w:hAnsi="宋体" w:eastAsia="宋体"/>
                <w:sz w:val="21"/>
              </w:rPr>
              <w:t>2025Q2</w:t>
            </w:r>
          </w:p>
        </w:tc>
        <w:tc>
          <w:tcPr>
            <w:tcW w:type="dxa" w:w="1215"/>
            <w:vAlign w:val="center"/>
          </w:tcPr>
          <w:p>
            <w:pPr>
              <w:spacing w:line="240" w:lineRule="auto" w:after="20" w:before="20"/>
              <w:jc w:val="center"/>
            </w:pPr>
            <w:r/>
            <w:r>
              <w:rPr>
                <w:rFonts w:ascii="宋体" w:hAnsi="宋体" w:eastAsia="宋体"/>
                <w:sz w:val="21"/>
              </w:rPr>
              <w:t>41.0</w:t>
            </w:r>
          </w:p>
        </w:tc>
        <w:tc>
          <w:tcPr>
            <w:tcW w:type="dxa" w:w="1215"/>
            <w:vAlign w:val="center"/>
          </w:tcPr>
          <w:p>
            <w:pPr>
              <w:spacing w:line="240" w:lineRule="auto" w:after="20" w:before="20"/>
              <w:jc w:val="center"/>
            </w:pPr>
            <w:r/>
            <w:r>
              <w:rPr>
                <w:rFonts w:ascii="宋体" w:hAnsi="宋体" w:eastAsia="宋体"/>
                <w:sz w:val="21"/>
              </w:rPr>
              <w:t>63.0</w:t>
            </w:r>
          </w:p>
        </w:tc>
        <w:tc>
          <w:tcPr>
            <w:tcW w:type="dxa" w:w="1215"/>
            <w:vAlign w:val="center"/>
          </w:tcPr>
          <w:p>
            <w:pPr>
              <w:spacing w:line="240" w:lineRule="auto" w:after="20" w:before="20"/>
              <w:jc w:val="center"/>
            </w:pPr>
            <w:r/>
            <w:r>
              <w:rPr>
                <w:rFonts w:ascii="宋体" w:hAnsi="宋体" w:eastAsia="宋体"/>
                <w:sz w:val="21"/>
              </w:rPr>
              <w:t>22.0</w:t>
            </w:r>
          </w:p>
        </w:tc>
        <w:tc>
          <w:tcPr>
            <w:tcW w:type="dxa" w:w="1215"/>
            <w:vAlign w:val="center"/>
          </w:tcPr>
          <w:p>
            <w:pPr>
              <w:spacing w:line="240" w:lineRule="auto" w:after="20" w:before="20"/>
              <w:jc w:val="center"/>
            </w:pPr>
            <w:r/>
            <w:r>
              <w:rPr>
                <w:rFonts w:ascii="宋体" w:hAnsi="宋体" w:eastAsia="宋体"/>
                <w:sz w:val="21"/>
              </w:rPr>
              <w:t>20.4</w:t>
            </w:r>
          </w:p>
        </w:tc>
        <w:tc>
          <w:tcPr>
            <w:tcW w:type="dxa" w:w="1215"/>
            <w:vAlign w:val="center"/>
          </w:tcPr>
          <w:p>
            <w:pPr>
              <w:spacing w:line="240" w:lineRule="auto" w:after="20" w:before="20"/>
              <w:jc w:val="center"/>
            </w:pPr>
            <w:r/>
            <w:r>
              <w:rPr>
                <w:rFonts w:ascii="宋体" w:hAnsi="宋体" w:eastAsia="宋体"/>
                <w:sz w:val="21"/>
              </w:rPr>
              <w:t>10.6</w:t>
            </w:r>
          </w:p>
        </w:tc>
        <w:tc>
          <w:tcPr>
            <w:tcW w:type="dxa" w:w="1215"/>
            <w:vAlign w:val="center"/>
          </w:tcPr>
          <w:p>
            <w:pPr>
              <w:spacing w:line="240" w:lineRule="auto" w:after="20" w:before="20"/>
              <w:jc w:val="center"/>
            </w:pPr>
            <w:r/>
            <w:r>
              <w:rPr>
                <w:rFonts w:ascii="宋体" w:hAnsi="宋体" w:eastAsia="宋体"/>
                <w:sz w:val="21"/>
              </w:rPr>
              <w:t>0.651</w:t>
            </w:r>
          </w:p>
        </w:tc>
      </w:tr>
      <w:tr>
        <w:tc>
          <w:tcPr>
            <w:tcW w:type="dxa" w:w="1215"/>
            <w:vAlign w:val="center"/>
          </w:tcPr>
          <w:p>
            <w:pPr>
              <w:spacing w:line="240" w:lineRule="auto" w:after="20" w:before="20"/>
              <w:jc w:val="center"/>
            </w:pPr>
            <w:r/>
            <w:r>
              <w:rPr>
                <w:rFonts w:ascii="宋体" w:hAnsi="宋体" w:eastAsia="宋体"/>
                <w:sz w:val="21"/>
              </w:rPr>
              <w:t>2025Q3</w:t>
            </w:r>
          </w:p>
        </w:tc>
        <w:tc>
          <w:tcPr>
            <w:tcW w:type="dxa" w:w="1215"/>
            <w:vAlign w:val="center"/>
          </w:tcPr>
          <w:p>
            <w:pPr>
              <w:spacing w:line="240" w:lineRule="auto" w:after="20" w:before="20"/>
              <w:jc w:val="center"/>
            </w:pPr>
            <w:r/>
            <w:r>
              <w:rPr>
                <w:rFonts w:ascii="宋体" w:hAnsi="宋体" w:eastAsia="宋体"/>
                <w:sz w:val="21"/>
              </w:rPr>
              <w:t>35.0</w:t>
            </w:r>
          </w:p>
        </w:tc>
        <w:tc>
          <w:tcPr>
            <w:tcW w:type="dxa" w:w="1215"/>
            <w:vAlign w:val="center"/>
          </w:tcPr>
          <w:p>
            <w:pPr>
              <w:spacing w:line="240" w:lineRule="auto" w:after="20" w:before="20"/>
              <w:jc w:val="center"/>
            </w:pPr>
            <w:r/>
            <w:r>
              <w:rPr>
                <w:rFonts w:ascii="宋体" w:hAnsi="宋体" w:eastAsia="宋体"/>
                <w:sz w:val="21"/>
              </w:rPr>
              <w:t>58.5</w:t>
            </w:r>
          </w:p>
        </w:tc>
        <w:tc>
          <w:tcPr>
            <w:tcW w:type="dxa" w:w="1215"/>
            <w:vAlign w:val="center"/>
          </w:tcPr>
          <w:p>
            <w:pPr>
              <w:spacing w:line="240" w:lineRule="auto" w:after="20" w:before="20"/>
              <w:jc w:val="center"/>
            </w:pPr>
            <w:r/>
            <w:r>
              <w:rPr>
                <w:rFonts w:ascii="宋体" w:hAnsi="宋体" w:eastAsia="宋体"/>
                <w:sz w:val="21"/>
              </w:rPr>
              <w:t>23.5</w:t>
            </w:r>
          </w:p>
        </w:tc>
        <w:tc>
          <w:tcPr>
            <w:tcW w:type="dxa" w:w="1215"/>
            <w:vAlign w:val="center"/>
          </w:tcPr>
          <w:p>
            <w:pPr>
              <w:spacing w:line="240" w:lineRule="auto" w:after="20" w:before="20"/>
              <w:jc w:val="center"/>
            </w:pPr>
            <w:r/>
            <w:r>
              <w:rPr>
                <w:rFonts w:ascii="宋体" w:hAnsi="宋体" w:eastAsia="宋体"/>
                <w:sz w:val="21"/>
              </w:rPr>
              <w:t>14.6</w:t>
            </w:r>
          </w:p>
        </w:tc>
        <w:tc>
          <w:tcPr>
            <w:tcW w:type="dxa" w:w="1215"/>
            <w:vAlign w:val="center"/>
          </w:tcPr>
          <w:p>
            <w:pPr>
              <w:spacing w:line="240" w:lineRule="auto" w:after="20" w:before="20"/>
              <w:jc w:val="center"/>
            </w:pPr>
            <w:r/>
            <w:r>
              <w:rPr>
                <w:rFonts w:ascii="宋体" w:hAnsi="宋体" w:eastAsia="宋体"/>
                <w:sz w:val="21"/>
              </w:rPr>
              <w:t>7.1</w:t>
            </w:r>
          </w:p>
        </w:tc>
        <w:tc>
          <w:tcPr>
            <w:tcW w:type="dxa" w:w="1215"/>
            <w:vAlign w:val="center"/>
          </w:tcPr>
          <w:p>
            <w:pPr>
              <w:spacing w:line="240" w:lineRule="auto" w:after="20" w:before="20"/>
              <w:jc w:val="center"/>
            </w:pPr>
            <w:r/>
            <w:r>
              <w:rPr>
                <w:rFonts w:ascii="宋体" w:hAnsi="宋体" w:eastAsia="宋体"/>
                <w:sz w:val="21"/>
              </w:rPr>
              <w:t>0.598</w:t>
            </w:r>
          </w:p>
        </w:tc>
      </w:tr>
      <w:tr>
        <w:tc>
          <w:tcPr>
            <w:tcW w:type="dxa" w:w="1215"/>
            <w:vAlign w:val="center"/>
          </w:tcPr>
          <w:p>
            <w:pPr>
              <w:spacing w:line="240" w:lineRule="auto" w:after="20" w:before="20"/>
              <w:jc w:val="center"/>
            </w:pPr>
            <w:r/>
            <w:r>
              <w:rPr>
                <w:rFonts w:ascii="宋体" w:hAnsi="宋体" w:eastAsia="宋体"/>
                <w:sz w:val="21"/>
              </w:rPr>
              <w:t>2025Q4</w:t>
            </w:r>
          </w:p>
        </w:tc>
        <w:tc>
          <w:tcPr>
            <w:tcW w:type="dxa" w:w="1215"/>
            <w:vAlign w:val="center"/>
          </w:tcPr>
          <w:p>
            <w:pPr>
              <w:spacing w:line="240" w:lineRule="auto" w:after="20" w:before="20"/>
              <w:jc w:val="center"/>
            </w:pPr>
            <w:r/>
            <w:r>
              <w:rPr>
                <w:rFonts w:ascii="宋体" w:hAnsi="宋体" w:eastAsia="宋体"/>
                <w:sz w:val="21"/>
              </w:rPr>
              <w:t>29.0</w:t>
            </w:r>
          </w:p>
        </w:tc>
        <w:tc>
          <w:tcPr>
            <w:tcW w:type="dxa" w:w="1215"/>
            <w:vAlign w:val="center"/>
          </w:tcPr>
          <w:p>
            <w:pPr>
              <w:spacing w:line="240" w:lineRule="auto" w:after="20" w:before="20"/>
              <w:jc w:val="center"/>
            </w:pPr>
            <w:r/>
            <w:r>
              <w:rPr>
                <w:rFonts w:ascii="宋体" w:hAnsi="宋体" w:eastAsia="宋体"/>
                <w:sz w:val="21"/>
              </w:rPr>
              <w:t>54.0</w:t>
            </w:r>
          </w:p>
        </w:tc>
        <w:tc>
          <w:tcPr>
            <w:tcW w:type="dxa" w:w="1215"/>
            <w:vAlign w:val="center"/>
          </w:tcPr>
          <w:p>
            <w:pPr>
              <w:spacing w:line="240" w:lineRule="auto" w:after="20" w:before="20"/>
              <w:jc w:val="center"/>
            </w:pPr>
            <w:r/>
            <w:r>
              <w:rPr>
                <w:rFonts w:ascii="宋体" w:hAnsi="宋体" w:eastAsia="宋体"/>
                <w:sz w:val="21"/>
              </w:rPr>
              <w:t>25.0</w:t>
            </w:r>
          </w:p>
        </w:tc>
        <w:tc>
          <w:tcPr>
            <w:tcW w:type="dxa" w:w="1215"/>
            <w:vAlign w:val="center"/>
          </w:tcPr>
          <w:p>
            <w:pPr>
              <w:spacing w:line="240" w:lineRule="auto" w:after="20" w:before="20"/>
              <w:jc w:val="center"/>
            </w:pPr>
            <w:r/>
            <w:r>
              <w:rPr>
                <w:rFonts w:ascii="宋体" w:hAnsi="宋体" w:eastAsia="宋体"/>
                <w:sz w:val="21"/>
              </w:rPr>
              <w:t>17.1</w:t>
            </w:r>
          </w:p>
        </w:tc>
        <w:tc>
          <w:tcPr>
            <w:tcW w:type="dxa" w:w="1215"/>
            <w:vAlign w:val="center"/>
          </w:tcPr>
          <w:p>
            <w:pPr>
              <w:spacing w:line="240" w:lineRule="auto" w:after="20" w:before="20"/>
              <w:jc w:val="center"/>
            </w:pPr>
            <w:r/>
            <w:r>
              <w:rPr>
                <w:rFonts w:ascii="宋体" w:hAnsi="宋体" w:eastAsia="宋体"/>
                <w:sz w:val="21"/>
              </w:rPr>
              <w:t>7.7</w:t>
            </w:r>
          </w:p>
        </w:tc>
        <w:tc>
          <w:tcPr>
            <w:tcW w:type="dxa" w:w="1215"/>
            <w:vAlign w:val="center"/>
          </w:tcPr>
          <w:p>
            <w:pPr>
              <w:spacing w:line="240" w:lineRule="auto" w:after="20" w:before="20"/>
              <w:jc w:val="center"/>
            </w:pPr>
            <w:r/>
            <w:r>
              <w:rPr>
                <w:rFonts w:ascii="宋体" w:hAnsi="宋体" w:eastAsia="宋体"/>
                <w:sz w:val="21"/>
              </w:rPr>
              <w:t>0.537</w:t>
            </w:r>
          </w:p>
        </w:tc>
      </w:tr>
      <w:tr>
        <w:tc>
          <w:tcPr>
            <w:tcW w:type="dxa" w:w="1215"/>
            <w:vAlign w:val="center"/>
          </w:tcPr>
          <w:p>
            <w:pPr>
              <w:spacing w:line="240" w:lineRule="auto" w:after="20" w:before="20"/>
              <w:jc w:val="center"/>
            </w:pPr>
            <w:r/>
            <w:r>
              <w:rPr>
                <w:rFonts w:ascii="宋体" w:hAnsi="宋体" w:eastAsia="宋体"/>
                <w:sz w:val="21"/>
              </w:rPr>
              <w:t>2026Q1</w:t>
            </w:r>
          </w:p>
        </w:tc>
        <w:tc>
          <w:tcPr>
            <w:tcW w:type="dxa" w:w="1215"/>
            <w:vAlign w:val="center"/>
          </w:tcPr>
          <w:p>
            <w:pPr>
              <w:spacing w:line="240" w:lineRule="auto" w:after="20" w:before="20"/>
              <w:jc w:val="center"/>
            </w:pPr>
            <w:r/>
            <w:r>
              <w:rPr>
                <w:rFonts w:ascii="宋体" w:hAnsi="宋体" w:eastAsia="宋体"/>
                <w:sz w:val="21"/>
              </w:rPr>
              <w:t>25.0</w:t>
            </w:r>
          </w:p>
        </w:tc>
        <w:tc>
          <w:tcPr>
            <w:tcW w:type="dxa" w:w="1215"/>
            <w:vAlign w:val="center"/>
          </w:tcPr>
          <w:p>
            <w:pPr>
              <w:spacing w:line="240" w:lineRule="auto" w:after="20" w:before="20"/>
              <w:jc w:val="center"/>
            </w:pPr>
            <w:r/>
            <w:r>
              <w:rPr>
                <w:rFonts w:ascii="宋体" w:hAnsi="宋体" w:eastAsia="宋体"/>
                <w:sz w:val="21"/>
              </w:rPr>
              <w:t>50.5</w:t>
            </w:r>
          </w:p>
        </w:tc>
        <w:tc>
          <w:tcPr>
            <w:tcW w:type="dxa" w:w="1215"/>
            <w:vAlign w:val="center"/>
          </w:tcPr>
          <w:p>
            <w:pPr>
              <w:spacing w:line="240" w:lineRule="auto" w:after="20" w:before="20"/>
              <w:jc w:val="center"/>
            </w:pPr>
            <w:r/>
            <w:r>
              <w:rPr>
                <w:rFonts w:ascii="宋体" w:hAnsi="宋体" w:eastAsia="宋体"/>
                <w:sz w:val="21"/>
              </w:rPr>
              <w:t>25.5</w:t>
            </w:r>
          </w:p>
        </w:tc>
        <w:tc>
          <w:tcPr>
            <w:tcW w:type="dxa" w:w="1215"/>
            <w:vAlign w:val="center"/>
          </w:tcPr>
          <w:p>
            <w:pPr>
              <w:spacing w:line="240" w:lineRule="auto" w:after="20" w:before="20"/>
              <w:jc w:val="center"/>
            </w:pPr>
            <w:r/>
            <w:r>
              <w:rPr>
                <w:rFonts w:ascii="宋体" w:hAnsi="宋体" w:eastAsia="宋体"/>
                <w:sz w:val="21"/>
              </w:rPr>
              <w:t>13.8</w:t>
            </w:r>
          </w:p>
        </w:tc>
        <w:tc>
          <w:tcPr>
            <w:tcW w:type="dxa" w:w="1215"/>
            <w:vAlign w:val="center"/>
          </w:tcPr>
          <w:p>
            <w:pPr>
              <w:spacing w:line="240" w:lineRule="auto" w:after="20" w:before="20"/>
              <w:jc w:val="center"/>
            </w:pPr>
            <w:r/>
            <w:r>
              <w:rPr>
                <w:rFonts w:ascii="宋体" w:hAnsi="宋体" w:eastAsia="宋体"/>
                <w:sz w:val="21"/>
              </w:rPr>
              <w:t>6.5</w:t>
            </w:r>
          </w:p>
        </w:tc>
        <w:tc>
          <w:tcPr>
            <w:tcW w:type="dxa" w:w="1215"/>
            <w:vAlign w:val="center"/>
          </w:tcPr>
          <w:p>
            <w:pPr>
              <w:spacing w:line="240" w:lineRule="auto" w:after="20" w:before="20"/>
              <w:jc w:val="center"/>
            </w:pPr>
            <w:r/>
            <w:r>
              <w:rPr>
                <w:rFonts w:ascii="宋体" w:hAnsi="宋体" w:eastAsia="宋体"/>
                <w:sz w:val="21"/>
              </w:rPr>
              <w:t>0.495</w:t>
            </w:r>
          </w:p>
        </w:tc>
      </w:tr>
      <w:tr>
        <w:tc>
          <w:tcPr>
            <w:tcW w:type="dxa" w:w="1215"/>
            <w:vAlign w:val="center"/>
          </w:tcPr>
          <w:p>
            <w:pPr>
              <w:spacing w:line="240" w:lineRule="auto" w:after="20" w:before="20"/>
              <w:jc w:val="center"/>
            </w:pPr>
            <w:r/>
            <w:r>
              <w:rPr>
                <w:rFonts w:ascii="宋体" w:hAnsi="宋体" w:eastAsia="宋体"/>
                <w:sz w:val="21"/>
              </w:rPr>
              <w:t>2026Q2</w:t>
            </w:r>
          </w:p>
        </w:tc>
        <w:tc>
          <w:tcPr>
            <w:tcW w:type="dxa" w:w="1215"/>
            <w:vAlign w:val="center"/>
          </w:tcPr>
          <w:p>
            <w:pPr>
              <w:spacing w:line="240" w:lineRule="auto" w:after="20" w:before="20"/>
              <w:jc w:val="center"/>
            </w:pPr>
            <w:r/>
            <w:r>
              <w:rPr>
                <w:rFonts w:ascii="宋体" w:hAnsi="宋体" w:eastAsia="宋体"/>
                <w:sz w:val="21"/>
              </w:rPr>
              <w:t>21.0</w:t>
            </w:r>
          </w:p>
        </w:tc>
        <w:tc>
          <w:tcPr>
            <w:tcW w:type="dxa" w:w="1215"/>
            <w:vAlign w:val="center"/>
          </w:tcPr>
          <w:p>
            <w:pPr>
              <w:spacing w:line="240" w:lineRule="auto" w:after="20" w:before="20"/>
              <w:jc w:val="center"/>
            </w:pPr>
            <w:r/>
            <w:r>
              <w:rPr>
                <w:rFonts w:ascii="宋体" w:hAnsi="宋体" w:eastAsia="宋体"/>
                <w:sz w:val="21"/>
              </w:rPr>
              <w:t>47.0</w:t>
            </w:r>
          </w:p>
        </w:tc>
        <w:tc>
          <w:tcPr>
            <w:tcW w:type="dxa" w:w="1215"/>
            <w:vAlign w:val="center"/>
          </w:tcPr>
          <w:p>
            <w:pPr>
              <w:spacing w:line="240" w:lineRule="auto" w:after="20" w:before="20"/>
              <w:jc w:val="center"/>
            </w:pPr>
            <w:r/>
            <w:r>
              <w:rPr>
                <w:rFonts w:ascii="宋体" w:hAnsi="宋体" w:eastAsia="宋体"/>
                <w:sz w:val="21"/>
              </w:rPr>
              <w:t>26.0</w:t>
            </w:r>
          </w:p>
        </w:tc>
        <w:tc>
          <w:tcPr>
            <w:tcW w:type="dxa" w:w="1215"/>
            <w:vAlign w:val="center"/>
          </w:tcPr>
          <w:p>
            <w:pPr>
              <w:spacing w:line="240" w:lineRule="auto" w:after="20" w:before="20"/>
              <w:jc w:val="center"/>
            </w:pPr>
            <w:r/>
            <w:r>
              <w:rPr>
                <w:rFonts w:ascii="宋体" w:hAnsi="宋体" w:eastAsia="宋体"/>
                <w:sz w:val="21"/>
              </w:rPr>
              <w:t>16.0</w:t>
            </w:r>
          </w:p>
        </w:tc>
        <w:tc>
          <w:tcPr>
            <w:tcW w:type="dxa" w:w="1215"/>
            <w:vAlign w:val="center"/>
          </w:tcPr>
          <w:p>
            <w:pPr>
              <w:spacing w:line="240" w:lineRule="auto" w:after="20" w:before="20"/>
              <w:jc w:val="center"/>
            </w:pPr>
            <w:r/>
            <w:r>
              <w:rPr>
                <w:rFonts w:ascii="宋体" w:hAnsi="宋体" w:eastAsia="宋体"/>
                <w:sz w:val="21"/>
              </w:rPr>
              <w:t>6.9</w:t>
            </w:r>
          </w:p>
        </w:tc>
        <w:tc>
          <w:tcPr>
            <w:tcW w:type="dxa" w:w="1215"/>
            <w:vAlign w:val="center"/>
          </w:tcPr>
          <w:p>
            <w:pPr>
              <w:spacing w:line="240" w:lineRule="auto" w:after="20" w:before="20"/>
              <w:jc w:val="center"/>
            </w:pPr>
            <w:r/>
            <w:r>
              <w:rPr>
                <w:rFonts w:ascii="宋体" w:hAnsi="宋体" w:eastAsia="宋体"/>
                <w:sz w:val="21"/>
              </w:rPr>
              <w:t>0.447</w:t>
            </w:r>
          </w:p>
        </w:tc>
      </w:tr>
    </w:tbl>
    <w:p>
      <w:pPr>
        <w:spacing w:after="200" w:line="240" w:lineRule="auto"/>
        <w:jc w:val="both"/>
      </w:pPr>
      <w:r>
        <w:rPr>
          <w:rFonts w:ascii="宋体" w:hAnsi="宋体" w:eastAsia="宋体"/>
          <w:sz w:val="18"/>
        </w:rPr>
        <w:t>注：基期为2024年第一季度，指数值100；TPI与STPI的编制方法分别见式(7-13)与式(7-14)，二者权重相同、仅价格计量单位不同；平均效值当量指数为TPI与STPI之比，度量每枚物理词元所含标准词元当量相对基期的变化。两套指数均为本书编制，非官方发布指数，也不对应任何第三方商业指数的口径。数据来源：作者校准复算。</w:t>
      </w:r>
    </w:p>
    <w:p>
      <w:pPr>
        <w:spacing w:before="120" w:after="40"/>
        <w:jc w:val="center"/>
      </w:pPr>
      <w:r>
        <w:drawing>
          <wp:inline xmlns:a="http://schemas.openxmlformats.org/drawingml/2006/main" xmlns:pic="http://schemas.openxmlformats.org/drawingml/2006/picture">
            <wp:extent cx="4680000" cy="2858269"/>
            <wp:docPr id="22" name="Picture 22"/>
            <wp:cNvGraphicFramePr>
              <a:graphicFrameLocks noChangeAspect="1"/>
            </wp:cNvGraphicFramePr>
            <a:graphic>
              <a:graphicData uri="http://schemas.openxmlformats.org/drawingml/2006/picture">
                <pic:pic>
                  <pic:nvPicPr>
                    <pic:cNvPr id="0" name="fig7_3.png"/>
                    <pic:cNvPicPr/>
                  </pic:nvPicPr>
                  <pic:blipFill>
                    <a:blip r:embed="rId30"/>
                    <a:stretch>
                      <a:fillRect/>
                    </a:stretch>
                  </pic:blipFill>
                  <pic:spPr>
                    <a:xfrm>
                      <a:off x="0" y="0"/>
                      <a:ext cx="4680000" cy="2858269"/>
                    </a:xfrm>
                    <a:prstGeom prst="rect"/>
                  </pic:spPr>
                </pic:pic>
              </a:graphicData>
            </a:graphic>
          </wp:inline>
        </w:drawing>
      </w:r>
    </w:p>
    <w:p>
      <w:pPr>
        <w:keepNext w:val="0"/>
        <w:spacing w:after="40"/>
        <w:jc w:val="center"/>
      </w:pPr>
      <w:r>
        <w:rPr>
          <w:rFonts w:ascii="黑体" w:hAnsi="黑体" w:eastAsia="黑体"/>
          <w:sz w:val="21"/>
        </w:rPr>
        <w:t>图7.3  词元价格指数与标准词元价格指数（2024Q1—2026Q2）</w:t>
      </w:r>
    </w:p>
    <w:p>
      <w:pPr>
        <w:spacing w:after="200" w:line="240" w:lineRule="auto"/>
        <w:jc w:val="both"/>
      </w:pPr>
      <w:r>
        <w:rPr>
          <w:rFonts w:ascii="宋体" w:hAnsi="宋体" w:eastAsia="宋体"/>
          <w:sz w:val="18"/>
        </w:rPr>
        <w:t>注：2024年第一季度＝100，季度频率；阴影为两指数之差。两套指数均系本书校准复算编制，非官方发布指数。数据来源：作者校准复算。</w:t>
      </w:r>
    </w:p>
    <w:p>
      <w:pPr>
        <w:spacing w:line="360" w:lineRule="auto" w:after="0"/>
        <w:ind w:firstLineChars="200" w:firstLine="480"/>
        <w:jc w:val="both"/>
      </w:pPr>
      <w:r>
        <w:rPr>
          <w:rFonts w:ascii="宋体" w:hAnsi="宋体" w:eastAsia="宋体"/>
          <w:sz w:val="24"/>
        </w:rPr>
        <w:t>表7.3与图7.3呈现出一个持续扩大且从未逆转的背离。基期两指数同为100，至2026年第二季度，TPI降至21、STPI降至47，背离达26个指数点。背离的扩大是单调的：由2024年第二季度的5.4个指数点逐季升至26个指数点，没有出现任何一个季度的收窄。同样值得注意的是两条曲线的形状差异：TPI的环比降幅在多数季度维持在两位数，最深的一个季度达20.4%；STPI的环比降幅则始终维持在个位数，波动也明显更小。这说明，</w:t>
      </w:r>
      <w:r>
        <w:rPr>
          <w:rFonts w:ascii="宋体" w:hAnsi="宋体" w:eastAsia="宋体"/>
          <w:b/>
          <w:sz w:val="24"/>
        </w:rPr>
        <w:t>以标准词元计量的价格下行是平缓而稳定的，而以物理词元计量的价格下行则剧烈得多</w:t>
      </w:r>
      <w:r>
        <w:rPr>
          <w:rFonts w:ascii="宋体" w:hAnsi="宋体" w:eastAsia="宋体"/>
          <w:sz w:val="24"/>
        </w:rPr>
        <w:t>，后者的剧烈程度并不全部来自价格本身。</w:t>
      </w:r>
    </w:p>
    <w:p>
      <w:pPr>
        <w:keepNext/>
        <w:spacing w:before="160" w:after="120" w:line="360" w:lineRule="auto"/>
        <w:outlineLvl w:val="2"/>
      </w:pPr>
      <w:r>
        <w:rPr>
          <w:rFonts w:ascii="黑体" w:hAnsi="黑体" w:eastAsia="黑体"/>
          <w:sz w:val="24"/>
        </w:rPr>
        <w:t>7.5.3  背离的分解：效值提升与真实降价</w:t>
      </w:r>
    </w:p>
    <w:p>
      <w:pPr>
        <w:spacing w:line="360" w:lineRule="auto" w:after="0"/>
        <w:ind w:firstLineChars="200" w:firstLine="480"/>
        <w:jc w:val="both"/>
      </w:pPr>
      <w:r>
        <w:rPr>
          <w:rFonts w:ascii="宋体" w:hAnsi="宋体" w:eastAsia="宋体"/>
          <w:sz w:val="24"/>
        </w:rPr>
        <w:t>背离从何而来？由式(7-13)与式(7-14)的权重恒等性可知，二者的差异只能来自价格比率中的效值折算项。把这一关系在总量层面写出，即得式(7-15)的分解恒等式。</w:t>
      </w:r>
    </w:p>
    <w:p>
      <w:pPr>
        <w:tabs>
          <w:tab w:pos="4252" w:val="center"/>
          <w:tab w:pos="8504" w:val="right"/>
        </w:tabs>
        <w:spacing w:line="360" w:lineRule="auto" w:before="80" w:after="80"/>
      </w:pPr>
      <w:r>
        <w:tab/>
      </w:r>
      <m:oMath>
        <m:r>
          <m:rPr>
            <m:sty m:val="p"/>
          </m:rPr>
          <m:t>ln</m:t>
        </m:r>
        <m:sSub>
          <m:e>
            <m:r>
              <m:rPr>
                <m:sty m:val="p"/>
              </m:rPr>
              <m:t>T</m:t>
            </m:r>
            <m:r>
              <m:rPr>
                <m:sty m:val="p"/>
              </m:rPr>
              <m:t>P</m:t>
            </m:r>
            <m:r>
              <m:rPr>
                <m:sty m:val="p"/>
              </m:rPr>
              <m:t>I</m:t>
            </m:r>
          </m:e>
          <m:sub>
            <m:r>
              <m:t>t</m:t>
            </m:r>
          </m:sub>
        </m:sSub>
        <m:r>
          <m:rPr>
            <m:sty m:val="p"/>
          </m:rPr>
          <m:t>−</m:t>
        </m:r>
        <m:r>
          <m:rPr>
            <m:sty m:val="p"/>
          </m:rPr>
          <m:t>ln</m:t>
        </m:r>
        <m:sSub>
          <m:e>
            <m:r>
              <m:rPr>
                <m:sty m:val="p"/>
              </m:rPr>
              <m:t>S</m:t>
            </m:r>
            <m:r>
              <m:rPr>
                <m:sty m:val="p"/>
              </m:rPr>
              <m:t>T</m:t>
            </m:r>
            <m:r>
              <m:rPr>
                <m:sty m:val="p"/>
              </m:rPr>
              <m:t>P</m:t>
            </m:r>
            <m:r>
              <m:rPr>
                <m:sty m:val="p"/>
              </m:rPr>
              <m:t>I</m:t>
            </m:r>
          </m:e>
          <m:sub>
            <m:r>
              <m:t>t</m:t>
            </m:r>
          </m:sub>
        </m:sSub>
        <m:r>
          <m:rPr>
            <m:sty m:val="p"/>
          </m:rPr>
          <m:t>=</m:t>
        </m:r>
        <m:r>
          <m:rPr>
            <m:sty m:val="p"/>
          </m:rPr>
          <m:t>ln</m:t>
        </m:r>
        <m:sSub>
          <m:e>
            <m:acc>
              <m:accPr>
                <m:chr m:val="‾"/>
              </m:accPr>
              <m:e>
                <m:r>
                  <m:t>η</m:t>
                </m:r>
              </m:e>
            </m:acc>
          </m:e>
          <m:sub>
            <m:r>
              <m:t>t</m:t>
            </m:r>
          </m:sub>
        </m:sSub>
        <m:r>
          <m:rPr>
            <m:sty m:val="p"/>
          </m:rPr>
          <m:t>−</m:t>
        </m:r>
        <m:r>
          <m:rPr>
            <m:sty m:val="p"/>
          </m:rPr>
          <m:t>ln</m:t>
        </m:r>
        <m:sSub>
          <m:e>
            <m:acc>
              <m:accPr>
                <m:chr m:val="‾"/>
              </m:accPr>
              <m:e>
                <m:r>
                  <m:t>η</m:t>
                </m:r>
              </m:e>
            </m:acc>
          </m:e>
          <m:sub>
            <m:r>
              <m:t>0</m:t>
            </m:r>
          </m:sub>
        </m:sSub>
        <m:r>
          <m:rPr>
            <m:sty m:val="p"/>
          </m:rPr>
          <m:t>,</m:t>
        </m:r>
        <m:r>
          <m:t>  </m:t>
        </m:r>
        <m:sSub>
          <m:e>
            <m:acc>
              <m:accPr>
                <m:chr m:val="‾"/>
              </m:accPr>
              <m:e>
                <m:r>
                  <m:t>η</m:t>
                </m:r>
              </m:e>
            </m:acc>
          </m:e>
          <m:sub>
            <m:r>
              <m:t>t</m:t>
            </m:r>
          </m:sub>
        </m:sSub>
        <m:r>
          <m:rPr>
            <m:sty m:val="p"/>
          </m:rPr>
          <m:t>=</m:t>
        </m:r>
        <m:nary>
          <m:naryPr>
            <m:chr m:val="∑"/>
            <m:limLoc m:val="undOvr"/>
            <m:subHide m:val="off"/>
            <m:supHide m:val="on"/>
          </m:naryPr>
          <m:sub>
            <m:r>
              <m:t>m</m:t>
            </m:r>
          </m:sub>
          <m:sup>
            <m:r>
              <m:t>​</m:t>
            </m:r>
          </m:sup>
          <m:e>
            <m:sSub>
              <m:e>
                <m:r>
                  <m:t>w</m:t>
                </m:r>
              </m:e>
              <m:sub>
                <m:r>
                  <m:t>m</m:t>
                </m:r>
                <m:r>
                  <m:rPr>
                    <m:sty m:val="p"/>
                  </m:rPr>
                  <m:t>,</m:t>
                </m:r>
                <m:r>
                  <m:t>t</m:t>
                </m:r>
              </m:sub>
            </m:sSub>
          </m:e>
        </m:nary>
        <m:r>
          <m:t> </m:t>
        </m:r>
        <m:sSub>
          <m:e>
            <m:r>
              <m:t>η</m:t>
            </m:r>
          </m:e>
          <m:sub>
            <m:r>
              <m:t>m</m:t>
            </m:r>
            <m:r>
              <m:rPr>
                <m:sty m:val="p"/>
              </m:rPr>
              <m:t>,</m:t>
            </m:r>
            <m:r>
              <m:t>t</m:t>
            </m:r>
          </m:sub>
        </m:sSub>
      </m:oMath>
      <w:r>
        <w:tab/>
      </w:r>
      <w:r>
        <w:rPr>
          <w:rFonts w:ascii="Times New Roman" w:hAnsi="Times New Roman" w:eastAsia="宋体"/>
          <w:sz w:val="24"/>
        </w:rPr>
        <w:t>(7-15)</w:t>
      </w:r>
    </w:p>
    <w:p>
      <w:pPr>
        <w:spacing w:line="360" w:lineRule="auto" w:after="0"/>
        <w:jc w:val="both"/>
      </w:pPr>
      <w:r>
        <w:rPr>
          <w:rFonts w:ascii="宋体" w:hAnsi="宋体" w:eastAsia="宋体"/>
          <w:sz w:val="24"/>
        </w:rPr>
        <w:t>其中，</w:t>
      </w:r>
      <m:oMath>
        <m:sSub>
          <m:e>
            <m:acc>
              <m:accPr>
                <m:chr m:val="‾"/>
              </m:accPr>
              <m:e>
                <m:r>
                  <m:t>η</m:t>
                </m:r>
              </m:e>
            </m:acc>
          </m:e>
          <m:sub>
            <m:r>
              <m:t>t</m:t>
            </m:r>
          </m:sub>
        </m:sSub>
      </m:oMath>
      <w:r>
        <w:rPr>
          <w:rFonts w:ascii="宋体" w:hAnsi="宋体" w:eastAsia="宋体"/>
          <w:sz w:val="24"/>
        </w:rPr>
        <w:t>为用量加权的平均效值系数，其相对基期的比值</w:t>
      </w:r>
      <m:oMath>
        <m:sSub>
          <m:e>
            <m:r>
              <m:t>H</m:t>
            </m:r>
          </m:e>
          <m:sub>
            <m:r>
              <m:t>t</m:t>
            </m:r>
          </m:sub>
        </m:sSub>
        <m:r>
          <m:rPr>
            <m:sty m:val="p"/>
          </m:rPr>
          <m:t>=</m:t>
        </m:r>
        <m:sSub>
          <m:e>
            <m:acc>
              <m:accPr>
                <m:chr m:val="‾"/>
              </m:accPr>
              <m:e>
                <m:r>
                  <m:t>η</m:t>
                </m:r>
              </m:e>
            </m:acc>
          </m:e>
          <m:sub>
            <m:r>
              <m:t>t</m:t>
            </m:r>
          </m:sub>
        </m:sSub>
        <m:r>
          <m:rPr>
            <m:sty m:val="p"/>
          </m:rPr>
          <m:t>/</m:t>
        </m:r>
        <m:sSub>
          <m:e>
            <m:acc>
              <m:accPr>
                <m:chr m:val="‾"/>
              </m:accPr>
              <m:e>
                <m:r>
                  <m:t>η</m:t>
                </m:r>
              </m:e>
            </m:acc>
          </m:e>
          <m:sub>
            <m:r>
              <m:t>0</m:t>
            </m:r>
          </m:sub>
        </m:sSub>
      </m:oMath>
      <w:r>
        <w:rPr>
          <w:rFonts w:ascii="宋体" w:hAnsi="宋体" w:eastAsia="宋体"/>
          <w:sz w:val="24"/>
        </w:rPr>
        <w:t>即表7.3末列的平均效值当量指数。</w:t>
      </w:r>
    </w:p>
    <w:p>
      <w:pPr>
        <w:spacing w:line="360" w:lineRule="auto" w:after="0"/>
        <w:ind w:firstLineChars="200" w:firstLine="480"/>
        <w:jc w:val="both"/>
      </w:pPr>
      <w:r>
        <w:rPr>
          <w:rFonts w:ascii="宋体" w:hAnsi="宋体" w:eastAsia="宋体"/>
          <w:sz w:val="24"/>
        </w:rPr>
        <w:t>代入数据可得：2026年第二季度的平均效值当量指数为0.447，即每枚物理词元所含的标准词元当量降至基期的44.7%。以本书校准的2026年用量份额计算，当期平均效值系数为1.43，据此回推基期的平均效值系数约为3.19。这一变化的直观含义是：2024年初的调用高度集中于高效值的旗舰与推理增强档位，而到2026年，轻量蒸馏级与开源旗舰级已经承担了大部分调用量。</w:t>
      </w:r>
    </w:p>
    <w:p>
      <w:pPr>
        <w:spacing w:line="360" w:lineRule="auto" w:after="0"/>
        <w:ind w:firstLineChars="200" w:firstLine="480"/>
        <w:jc w:val="both"/>
      </w:pPr>
      <w:r>
        <w:rPr>
          <w:rFonts w:ascii="宋体" w:hAnsi="宋体" w:eastAsia="宋体"/>
          <w:b/>
          <w:sz w:val="24"/>
        </w:rPr>
        <w:t>这里必须澄清一个极易发生的误读：平均效值当量的下降，与技术意义上的效值提升，并不矛盾，反而互为因果。</w:t>
      </w:r>
      <w:r>
        <w:rPr>
          <w:rFonts w:ascii="宋体" w:hAnsi="宋体" w:eastAsia="宋体"/>
          <w:sz w:val="24"/>
        </w:rPr>
        <w:t>效值系数是相对当期基准档定义的相对量（第5章），技术进步表现为整个能力前沿的上移：今日的中型通用级，其绝对能力已相当于两年前的旗舰档位。前沿上移的直接后果是</w:t>
      </w:r>
      <w:r>
        <w:rPr>
          <w:rFonts w:ascii="宋体" w:hAnsi="宋体" w:eastAsia="宋体"/>
          <w:b/>
          <w:sz w:val="24"/>
        </w:rPr>
        <w:t>能力下沉</w:t>
      </w:r>
      <w:r>
        <w:rPr>
          <w:rFonts w:ascii="宋体" w:hAnsi="宋体" w:eastAsia="宋体"/>
          <w:sz w:val="24"/>
        </w:rPr>
        <w:t>——原本必须调用高档位才能完成的任务，如今由低档位即可胜任，需求随之向低价档位大规模迁移。于是我们观察到两个同时发生的现象：技术上，单位算力所能达成的任务能力大幅提升；结构上，成交词元的平均效值当量显著下降。二者的合成，就是物理词元均价的超常下行。因此，表观降价中有相当大的一部分并不是「同一件东西变便宜了」，而是「买方转而购买了当量更低、却足以完成任务的东西」——它是技术进步的成果，但不是价格的下降。把这一部分计入真实降价，会同时高估通缩幅度与产业让利幅度。表观降幅的来源分解如图7.4所示。</w:t>
      </w:r>
    </w:p>
    <w:p>
      <w:pPr>
        <w:spacing w:before="120" w:after="40"/>
        <w:jc w:val="center"/>
      </w:pPr>
      <w:r>
        <w:drawing>
          <wp:inline xmlns:a="http://schemas.openxmlformats.org/drawingml/2006/main" xmlns:pic="http://schemas.openxmlformats.org/drawingml/2006/picture">
            <wp:extent cx="4500000" cy="2920584"/>
            <wp:docPr id="23" name="Picture 23"/>
            <wp:cNvGraphicFramePr>
              <a:graphicFrameLocks noChangeAspect="1"/>
            </wp:cNvGraphicFramePr>
            <a:graphic>
              <a:graphicData uri="http://schemas.openxmlformats.org/drawingml/2006/picture">
                <pic:pic>
                  <pic:nvPicPr>
                    <pic:cNvPr id="0" name="fig7_4.png"/>
                    <pic:cNvPicPr/>
                  </pic:nvPicPr>
                  <pic:blipFill>
                    <a:blip r:embed="rId31"/>
                    <a:stretch>
                      <a:fillRect/>
                    </a:stretch>
                  </pic:blipFill>
                  <pic:spPr>
                    <a:xfrm>
                      <a:off x="0" y="0"/>
                      <a:ext cx="4500000" cy="2920584"/>
                    </a:xfrm>
                    <a:prstGeom prst="rect"/>
                  </pic:spPr>
                </pic:pic>
              </a:graphicData>
            </a:graphic>
          </wp:inline>
        </w:drawing>
      </w:r>
    </w:p>
    <w:p>
      <w:pPr>
        <w:keepNext w:val="0"/>
        <w:spacing w:after="40"/>
        <w:jc w:val="center"/>
      </w:pPr>
      <w:r>
        <w:rPr>
          <w:rFonts w:ascii="黑体" w:hAnsi="黑体" w:eastAsia="黑体"/>
          <w:sz w:val="21"/>
        </w:rPr>
        <w:t>图7.4  表观降价的来源分解（2024Q1—2026Q2）</w:t>
      </w:r>
    </w:p>
    <w:p>
      <w:pPr>
        <w:spacing w:after="200" w:line="240" w:lineRule="auto"/>
        <w:jc w:val="both"/>
      </w:pPr>
      <w:r>
        <w:rPr>
          <w:rFonts w:ascii="宋体" w:hAnsi="宋体" w:eastAsia="宋体"/>
          <w:sz w:val="18"/>
        </w:rPr>
        <w:t>注：分解在对数可加口径下进行；「效值提升贡献」指表观降幅中由成交词元平均效值当量变化所解释的部分，「真实降价贡献」指单位标准词元价格的实际下降。数据来源：作者校准复算。</w:t>
      </w:r>
    </w:p>
    <w:p>
      <w:pPr>
        <w:spacing w:line="360" w:lineRule="auto" w:after="0"/>
        <w:ind w:firstLineChars="200" w:firstLine="480"/>
        <w:jc w:val="both"/>
      </w:pPr>
      <w:r>
        <w:rPr>
          <w:rFonts w:ascii="宋体" w:hAnsi="宋体" w:eastAsia="宋体"/>
          <w:sz w:val="24"/>
        </w:rPr>
        <w:t>图7.4给出本章的核心量化结论：2024年第一季度至2026年第二季度，物理词元价格指数累计下降79个指数点（降幅79%），其中约53%来自效值提升、约47%为真实降价；同期以标准词元计量的价格累计下降53%。这一分解有四重政策与理论含义。</w:t>
      </w:r>
      <w:r>
        <w:rPr>
          <w:rFonts w:ascii="宋体" w:hAnsi="宋体" w:eastAsia="宋体"/>
          <w:b/>
          <w:sz w:val="24"/>
        </w:rPr>
        <w:t>其一，价格监测。</w:t>
      </w:r>
      <w:r>
        <w:rPr>
          <w:rFonts w:ascii="宋体" w:hAnsi="宋体" w:eastAsia="宋体"/>
          <w:sz w:val="24"/>
        </w:rPr>
        <w:t>若价格主管部门以物理词元均价作为监测指标，将会观察到一条年均腰斩的曲线，从而对产业的盈利能力与投资回报做出过度悲观的判断；双轨指数则同时呈现真实降价与质量改善两条线索。</w:t>
      </w:r>
      <w:r>
        <w:rPr>
          <w:rFonts w:ascii="宋体" w:hAnsi="宋体" w:eastAsia="宋体"/>
          <w:b/>
          <w:sz w:val="24"/>
        </w:rPr>
        <w:t>其二，通缩测度。</w:t>
      </w:r>
      <w:r>
        <w:rPr>
          <w:rFonts w:ascii="宋体" w:hAnsi="宋体" w:eastAsia="宋体"/>
          <w:sz w:val="24"/>
        </w:rPr>
        <w:t>人工智能服务尚未纳入我国官方价格统计的常规篮子，一旦纳入，质量调整方法的选择将直接决定其对整体物价指数的贡献方向与幅度（Groshen等，2017；Byrne等，2018）。</w:t>
      </w:r>
      <w:r>
        <w:rPr>
          <w:rFonts w:ascii="宋体" w:hAnsi="宋体" w:eastAsia="宋体"/>
          <w:b/>
          <w:sz w:val="24"/>
        </w:rPr>
        <w:t>其三，增长核算。</w:t>
      </w:r>
      <w:r>
        <w:rPr>
          <w:rFonts w:ascii="宋体" w:hAnsi="宋体" w:eastAsia="宋体"/>
          <w:sz w:val="24"/>
        </w:rPr>
        <w:t>第12章将标准词元流量引入生产函数，其价格平减必须使用STPI而非TPI，否则实际投入量将被系统性高估。</w:t>
      </w:r>
      <w:r>
        <w:rPr>
          <w:rFonts w:ascii="宋体" w:hAnsi="宋体" w:eastAsia="宋体"/>
          <w:b/>
          <w:sz w:val="24"/>
        </w:rPr>
        <w:t>其四，补贴核定。</w:t>
      </w:r>
      <w:r>
        <w:rPr>
          <w:rFonts w:ascii="宋体" w:hAnsi="宋体" w:eastAsia="宋体"/>
          <w:sz w:val="24"/>
        </w:rPr>
        <w:t>按物理词元计发的补贴在效值当量持续下降的背景下，其实际购买的有效能力逐年缩水，补贴强度会在无人察觉的情况下自动衰减——这为第10章主张以标准词元作为补贴计量单位提供了直接证据。</w:t>
      </w:r>
    </w:p>
    <w:p>
      <w:pPr>
        <w:keepNext/>
        <w:spacing w:before="160" w:after="120" w:line="360" w:lineRule="auto"/>
        <w:outlineLvl w:val="2"/>
      </w:pPr>
      <w:r>
        <w:rPr>
          <w:rFonts w:ascii="黑体" w:hAnsi="黑体" w:eastAsia="黑体"/>
          <w:sz w:val="24"/>
        </w:rPr>
        <w:t>7.5.4  指数的使用纪律与制度化路径</w:t>
      </w:r>
    </w:p>
    <w:p>
      <w:pPr>
        <w:spacing w:line="360" w:lineRule="auto" w:after="0"/>
        <w:ind w:firstLineChars="200" w:firstLine="480"/>
        <w:jc w:val="both"/>
      </w:pPr>
      <w:r>
        <w:rPr>
          <w:rFonts w:ascii="宋体" w:hAnsi="宋体" w:eastAsia="宋体"/>
          <w:sz w:val="24"/>
        </w:rPr>
        <w:t>价格指数是公共品，其权威性依赖于口径的透明与纪律的严格。本书提出五条使用纪律。</w:t>
      </w:r>
      <w:r>
        <w:rPr>
          <w:rFonts w:ascii="宋体" w:hAnsi="宋体" w:eastAsia="宋体"/>
          <w:b/>
          <w:sz w:val="24"/>
        </w:rPr>
        <w:t>纪律一：本书编制的TPI与STPI均为校准复算结果，不具有官方性质。</w:t>
      </w:r>
      <w:r>
        <w:rPr>
          <w:rFonts w:ascii="宋体" w:hAnsi="宋体" w:eastAsia="宋体"/>
          <w:sz w:val="24"/>
        </w:rPr>
        <w:t>两套指数由本书按式(7-13)与式(7-14)编制，其档位划分为抽象分类，不对应任何具体商业产品；引用时须注明系作者编制。</w:t>
      </w:r>
      <w:r>
        <w:rPr>
          <w:rFonts w:ascii="宋体" w:hAnsi="宋体" w:eastAsia="宋体"/>
          <w:b/>
          <w:sz w:val="24"/>
        </w:rPr>
        <w:t>纪律二：不得与第三方商业指数并列比较。</w:t>
      </w:r>
      <w:r>
        <w:rPr>
          <w:rFonts w:ascii="宋体" w:hAnsi="宋体" w:eastAsia="宋体"/>
          <w:sz w:val="24"/>
        </w:rPr>
        <w:t>第三方支出指数是支出加权的全市场成交均价，其口径包含结构漂移；把「指数点位相对高点跌近两成」与「绝对均价由2.04美元跌至1.16—1.18美元、跌幅逾四成」并列使用，会得到自相矛盾的叙述——前者是指数点位口径，后者是绝对价格口径。</w:t>
      </w:r>
      <w:r>
        <w:rPr>
          <w:rFonts w:ascii="宋体" w:hAnsi="宋体" w:eastAsia="宋体"/>
          <w:b/>
          <w:sz w:val="24"/>
        </w:rPr>
        <w:t>纪律三：调用量口径必须锁定官方锚点。</w:t>
      </w:r>
      <w:r>
        <w:rPr>
          <w:rFonts w:ascii="宋体" w:hAnsi="宋体" w:eastAsia="宋体"/>
          <w:sz w:val="24"/>
        </w:rPr>
        <w:t>涉及总量的换算只能使用国家数据局公布的四个锚点：2024年初日均1000亿枚、2025年6月底突破30万亿枚、2025年底100万亿枚、2026年3月突破140万亿枚，两年增长约1400倍；其余时点均为本书校准复算插值，官方并未单独发布，引用时须明确标注。</w:t>
      </w:r>
      <w:r>
        <w:rPr>
          <w:rFonts w:ascii="宋体" w:hAnsi="宋体" w:eastAsia="宋体"/>
          <w:b/>
          <w:sz w:val="24"/>
        </w:rPr>
        <w:t>纪律四：物理词元与标准词元的换算值不得作为统计数据引用。</w:t>
      </w:r>
      <w:r>
        <w:rPr>
          <w:rFonts w:ascii="宋体" w:hAnsi="宋体" w:eastAsia="宋体"/>
          <w:sz w:val="24"/>
        </w:rPr>
        <w:t>官方发布的调用量全部是物理词元口径，本书按平均效值系数所做的标准词元换算仅供分析使用。</w:t>
      </w:r>
      <w:r>
        <w:rPr>
          <w:rFonts w:ascii="宋体" w:hAnsi="宋体" w:eastAsia="宋体"/>
          <w:b/>
          <w:sz w:val="24"/>
        </w:rPr>
        <w:t>纪律五：计量状态必须随价格同时声明。</w:t>
      </w:r>
      <w:r>
        <w:rPr>
          <w:rFonts w:ascii="宋体" w:hAnsi="宋体" w:eastAsia="宋体"/>
          <w:sz w:val="24"/>
        </w:rPr>
        <w:t>缓存状态、时段、上下文档位与语言结构任一变化，都会改变实际支付价格。</w:t>
      </w:r>
    </w:p>
    <w:p>
      <w:pPr>
        <w:spacing w:line="360" w:lineRule="auto" w:after="0"/>
        <w:ind w:firstLineChars="200" w:firstLine="480"/>
        <w:jc w:val="both"/>
      </w:pPr>
      <w:r>
        <w:rPr>
          <w:rFonts w:ascii="宋体" w:hAnsi="宋体" w:eastAsia="宋体"/>
          <w:sz w:val="24"/>
        </w:rPr>
        <w:t>从长期看，词元价格指数应当由学术编制走向制度化编制，而制度化需要三项基础设施同步到位。</w:t>
      </w:r>
      <w:r>
        <w:rPr>
          <w:rFonts w:ascii="宋体" w:hAnsi="宋体" w:eastAsia="宋体"/>
          <w:b/>
          <w:sz w:val="24"/>
        </w:rPr>
        <w:t>第一项是计量与运营的规范基础。</w:t>
      </w:r>
      <w:r>
        <w:rPr>
          <w:rFonts w:ascii="宋体" w:hAnsi="宋体" w:eastAsia="宋体"/>
          <w:sz w:val="24"/>
        </w:rPr>
        <w:t>目前词元领域已有团体标准落地：由中国人工智能产业发展联盟归口、编号AIIA/T 0308—2026的《人工智能词元（Token）运营管理能力要求》于2026年8月发布，中国信息通信研究院的《人工智能Token服务质量能力要求》则把「Token计量计费」列为六个评估维度之一。但须准确认识其效力层级：团体标准与机构评估规范的效力低于国家标准与行业标准，截至目前，词元计量与计费领域</w:t>
      </w:r>
      <w:r>
        <w:rPr>
          <w:rFonts w:ascii="宋体" w:hAnsi="宋体" w:eastAsia="宋体"/>
          <w:b/>
          <w:sz w:val="24"/>
        </w:rPr>
        <w:t>尚无国家标准或行业标准发布</w:t>
      </w:r>
      <w:r>
        <w:rPr>
          <w:rFonts w:ascii="宋体" w:hAnsi="宋体" w:eastAsia="宋体"/>
          <w:sz w:val="24"/>
        </w:rPr>
        <w:t>，也未检索到以词元计量、计费为标题的国家标准计划。</w:t>
      </w:r>
      <w:r>
        <w:rPr>
          <w:rFonts w:ascii="宋体" w:hAnsi="宋体" w:eastAsia="宋体"/>
          <w:b/>
          <w:sz w:val="24"/>
        </w:rPr>
        <w:t>第二项是术语与统计口径的规范基础。</w:t>
      </w:r>
      <w:r>
        <w:rPr>
          <w:rFonts w:ascii="宋体" w:hAnsi="宋体" w:eastAsia="宋体"/>
          <w:sz w:val="24"/>
        </w:rPr>
        <w:t>2026年3月25日，全国科学技术名词审定委员会发布公告，优先推荐并面向全社会发布试用人工智能领域名词token的中文名「词元」，并明确将在常态化审定中结合社会推广应用情况最终确认；这是术语定名的法定程序，与国家数据局局长在中国发展高层论坛2026年年会上使用并推介该译名、提出词元「可计量、可定价、可交易」的经济计量表述，属于两个不同层面的动作，不可混同为「已成国家标准」。</w:t>
      </w:r>
      <w:r>
        <w:rPr>
          <w:rFonts w:ascii="宋体" w:hAnsi="宋体" w:eastAsia="宋体"/>
          <w:b/>
          <w:sz w:val="24"/>
        </w:rPr>
        <w:t>第三项是效值披露的制度基础。</w:t>
      </w:r>
      <w:r>
        <w:rPr>
          <w:rFonts w:ascii="宋体" w:hAnsi="宋体" w:eastAsia="宋体"/>
          <w:sz w:val="24"/>
        </w:rPr>
        <w:t>没有可核验的效值口径，STPI就无法由第三方独立复算；据媒体转引，中国信息通信研究院正在推进词元分级体系、成本透明的定价框架与行业共识性价格指引等工作，这属于规划性表述，尚未形成公开发布的标准文本，但其方向与本书主张一致。</w:t>
      </w:r>
      <w:r>
        <w:rPr>
          <w:rFonts w:ascii="宋体" w:hAnsi="宋体" w:eastAsia="宋体"/>
          <w:b/>
          <w:sz w:val="24"/>
        </w:rPr>
        <w:t>标准化本身即具有可观的生产率效应</w:t>
      </w:r>
      <w:r>
        <w:rPr>
          <w:rFonts w:ascii="宋体" w:hAnsi="宋体" w:eastAsia="宋体"/>
          <w:sz w:val="24"/>
        </w:rPr>
        <w:t>——物流标准化的实证研究显示，标准的统一通过降低交易费用显著提升企业全要素生产率（何凡等，2025），标准设定的组织形态与共识机制亦有成熟的经济学分析（Farrell和Saloner，1985；Simcoe，2012）。词元计量与价格指数的标准化，其潜在收益的性质与此同类。</w:t>
      </w:r>
    </w:p>
    <w:p>
      <w:pPr>
        <w:keepNext/>
        <w:spacing w:before="160" w:after="120" w:line="360" w:lineRule="auto"/>
        <w:outlineLvl w:val="1"/>
      </w:pPr>
      <w:r>
        <w:rPr>
          <w:rFonts w:ascii="黑体" w:hAnsi="黑体" w:eastAsia="黑体"/>
          <w:sz w:val="28"/>
        </w:rPr>
        <w:t>7.6  本章小结</w:t>
      </w:r>
    </w:p>
    <w:p>
      <w:pPr>
        <w:spacing w:line="360" w:lineRule="auto" w:after="0"/>
        <w:ind w:firstLineChars="200" w:firstLine="480"/>
        <w:jc w:val="both"/>
      </w:pPr>
      <w:r>
        <w:rPr>
          <w:rFonts w:ascii="宋体" w:hAnsi="宋体" w:eastAsia="宋体"/>
          <w:sz w:val="24"/>
        </w:rPr>
        <w:t>本章回答了全书第二个科学问题的前半部分：词元的价格如何形成、如何演化。出发点是对两个流行判断的辨析。其一，词元不是零边际成本产品：增量供给来自重新计算而非复制，式(7-1)把单位词元的边际成本分解为算力占用、能源与运维三项，并揭示其对模型规模、上下文长度、有效算力利用率与电价的敏感性，也说明了缓存状态与时段何以成为价格结构的组成部分。其二，边际成本定价在词元产品上必然失效：式(7-2)表明平均成本恒高于边际成本，本书校准的固定成本份额均值达47.4%，按边际成本定价将使全部研发与资本投入无从回收。加成因此是必然的，问题只在于加成锚定于什么。本章论证，成本加成与竞争对标两条路径分别因无法解释同成本价差与缺少外部锚点而失效，价值锚定是唯一与价值论一致的选择，而它的可行性恰恰依赖于第5章的效值折算体系——既有的四套词元质量评价工作（中国信息通信研究院的六维评估与四维标准体系、中国工业互联网研究院的五维价值度量、清华大学团队的三项实测指标）提供的是达标基线与维度得分，尚不能合成为可进入价格公式的单一当量。</w:t>
      </w:r>
    </w:p>
    <w:p>
      <w:pPr>
        <w:spacing w:line="360" w:lineRule="auto" w:after="0"/>
        <w:ind w:firstLineChars="200" w:firstLine="480"/>
        <w:jc w:val="both"/>
      </w:pPr>
      <w:r>
        <w:rPr>
          <w:rFonts w:ascii="宋体" w:hAnsi="宋体" w:eastAsia="宋体"/>
          <w:sz w:val="24"/>
        </w:rPr>
        <w:t>本章的核心理论贡献是</w:t>
      </w:r>
      <w:r>
        <w:rPr>
          <w:rFonts w:ascii="宋体" w:hAnsi="宋体" w:eastAsia="宋体"/>
          <w:b/>
          <w:sz w:val="24"/>
        </w:rPr>
        <w:t>三层定价结构</w:t>
      </w:r>
      <w:r>
        <w:rPr>
          <w:rFonts w:ascii="宋体" w:hAnsi="宋体" w:eastAsia="宋体"/>
          <w:sz w:val="24"/>
        </w:rPr>
        <w:t>。式(7-3)把词元价格分解为成本底价层、效值溢价层与场景租金层，三层分别由式(7-4)的成本函数、式(7-5)的质量梯度甄别与式(7-6)的可分配剩余分成所决定，并分别对应第6章价值创造、能力差异与价值实现三个环节。六档位的分解结果显示，价格结构随档位系统性地由成本主导转向租金主导：成本底价层的比重由45%降至24%，场景租金层的比重由32%升至44%。更关键的发现来自式(7-7)的折算：</w:t>
      </w:r>
      <w:r>
        <w:rPr>
          <w:rFonts w:ascii="宋体" w:hAnsi="宋体" w:eastAsia="宋体"/>
          <w:b/>
          <w:sz w:val="24"/>
        </w:rPr>
        <w:t>效值折算几乎完全吸收了成本侧的档位差异，却几乎没有触动溢价层与租金层的离散</w:t>
      </w:r>
      <w:r>
        <w:rPr>
          <w:rFonts w:ascii="宋体" w:hAnsi="宋体" w:eastAsia="宋体"/>
          <w:sz w:val="24"/>
        </w:rPr>
        <w:t>——成本底价层的极差由18.7倍降至1.66倍，而折算后的效值溢价层与场景租金层仍分别有4.36倍与4.25倍的离散。这一结果同时解释了第5章「折算后价格趋近但未达到一价定律」的残差来源，并把政策的着力点从成本监审转向效值披露与竞争条件。</w:t>
      </w:r>
    </w:p>
    <w:p>
      <w:pPr>
        <w:spacing w:line="360" w:lineRule="auto" w:after="0"/>
        <w:ind w:firstLineChars="200" w:firstLine="480"/>
        <w:jc w:val="both"/>
      </w:pPr>
      <w:r>
        <w:rPr>
          <w:rFonts w:ascii="宋体" w:hAnsi="宋体" w:eastAsia="宋体"/>
          <w:sz w:val="24"/>
        </w:rPr>
        <w:t>在价格动态方面，式(7-8)的加成结构显示六档位用量加权的勒纳指数为0.768，与市场需求弹性绝对值的倒数0.746接近，提示竞争主要发生在档位内部而非档位之间——档位间缺少公共当量尺度，价格竞争难以穿透档位边界。式(7-9)区分了可逆的规模摊薄与不可逆的学习效应，并指出推理系统优化的公共知识化使成本优势难以持久，竞争因而被迫转向效值与场景。式(7-10)由指数序列反解出两个半衰期：物理词元口径约4.0个季度、标准词元口径约8.3个季度，相差约一倍。式(7-11)进一步给出下行空间上界69.5%，但同时论证价格并非单调下行——2026年8月峰谷分时定价的出现，正是拥塞定价与成本回收压力共同作用的结果。式(7-12)的二级价格歧视分析则解释了普惠包、按需套餐与专属定制三级结构的自选择逻辑：7%的用户贡献41%的收入，而普惠包并非亏本的营销手段，而是自选择机制不可缺少的组成部分。</w:t>
      </w:r>
    </w:p>
    <w:p>
      <w:pPr>
        <w:spacing w:line="360" w:lineRule="auto" w:after="0"/>
        <w:ind w:firstLineChars="200" w:firstLine="480"/>
        <w:jc w:val="both"/>
      </w:pPr>
      <w:r>
        <w:rPr>
          <w:rFonts w:ascii="宋体" w:hAnsi="宋体" w:eastAsia="宋体"/>
          <w:sz w:val="24"/>
        </w:rPr>
        <w:t>本章的第二项理论贡献是</w:t>
      </w:r>
      <w:r>
        <w:rPr>
          <w:rFonts w:ascii="宋体" w:hAnsi="宋体" w:eastAsia="宋体"/>
          <w:b/>
          <w:sz w:val="24"/>
        </w:rPr>
        <w:t>价格指数的双轨编制与背离分解</w:t>
      </w:r>
      <w:r>
        <w:rPr>
          <w:rFonts w:ascii="宋体" w:hAnsi="宋体" w:eastAsia="宋体"/>
          <w:sz w:val="24"/>
        </w:rPr>
        <w:t>。式(7-13)与式(7-14)在同一链式拉氏框架下编制TPI与STPI，并证明二者权重恒等、差异仅源于效值折算，从而为分解提供了干净的识别条件。式(7-15)给出分解恒等式，数据显示两指数的背离由基期的零扩大至2026年第二季度的26个指数点，平均效值当量指数降至0.447。本章论证，平均效值当量的下降与技术意义上的效值提升互为因果：前沿上移导致能力下沉，需求向低价档位迁移，物理词元均价因而超常下行。据此，表观累计降幅79%中约53%来自效值提升、约47%为真实降价，同期标准词元价格实际下降53%。这一分解对价格监测、通缩测度、增长核算与补贴核定四个方向均有直接含义，其中最重要的一条是：</w:t>
      </w:r>
      <w:r>
        <w:rPr>
          <w:rFonts w:ascii="宋体" w:hAnsi="宋体" w:eastAsia="宋体"/>
          <w:b/>
          <w:sz w:val="24"/>
        </w:rPr>
        <w:t>按物理词元计发的补贴，其实际强度会随效值当量的下降自动衰减，必须改以标准词元计量。</w:t>
      </w:r>
    </w:p>
    <w:p>
      <w:pPr>
        <w:spacing w:line="360" w:lineRule="auto" w:after="0"/>
        <w:ind w:firstLineChars="200" w:firstLine="480"/>
        <w:jc w:val="both"/>
      </w:pPr>
      <w:r>
        <w:rPr>
          <w:rFonts w:ascii="宋体" w:hAnsi="宋体" w:eastAsia="宋体"/>
          <w:sz w:val="24"/>
        </w:rPr>
        <w:t>本章的结论向后续章节输出三项结果，并须坦承两点局限。三项输出是：三层结构中的效值溢价层与场景租金层为第8章的市场结构、需求弹性与柠檬市场分析提供了价格侧的微观基础；价格地板对有效算力利用率的敏感性把定价与第9章的配置效率直接连通，调度水平低下在价格上表现为地板抬升；STPI则是第12章增长核算中标准词元流量平减的唯一合意价格指数。两点局限是：其一，三层分解依赖于对成本底价的校准，而单位词元能耗至今没有厂商发布的官方口径，公开的权威测算分母均为「一次查询」，因而底价层的能源项存在不确定性——但三层的</w:t>
      </w:r>
      <w:r>
        <w:rPr>
          <w:rFonts w:ascii="宋体" w:hAnsi="宋体" w:eastAsia="宋体"/>
          <w:b/>
          <w:sz w:val="24"/>
        </w:rPr>
        <w:t>相对结构</w:t>
      </w:r>
      <w:r>
        <w:rPr>
          <w:rFonts w:ascii="宋体" w:hAnsi="宋体" w:eastAsia="宋体"/>
          <w:sz w:val="24"/>
        </w:rPr>
        <w:t>与折算前后的</w:t>
      </w:r>
      <w:r>
        <w:rPr>
          <w:rFonts w:ascii="宋体" w:hAnsi="宋体" w:eastAsia="宋体"/>
          <w:b/>
          <w:sz w:val="24"/>
        </w:rPr>
        <w:t>离散度对照</w:t>
      </w:r>
      <w:r>
        <w:rPr>
          <w:rFonts w:ascii="宋体" w:hAnsi="宋体" w:eastAsia="宋体"/>
          <w:sz w:val="24"/>
        </w:rPr>
        <w:t>对该参数并不敏感；其二，两套指数的档位划分为抽象分类，档位内部的模型异质性未被完全刻画，若未来能够获得服务商层面的微观计费数据，指数的粒度可以显著细化。这两点均有待更细粒度的计费与能耗微观数据加以改进。</w:t>
      </w:r>
    </w:p>
    <w:p>
      <w:r>
        <w:br w:type="page"/>
      </w:r>
    </w:p>
    <w:p>
      <w:pPr>
        <w:keepNext/>
        <w:spacing w:before="240" w:after="160" w:line="360" w:lineRule="auto"/>
        <w:jc w:val="center"/>
        <w:outlineLvl w:val="0"/>
      </w:pPr>
      <w:r>
        <w:rPr>
          <w:rFonts w:ascii="黑体" w:hAnsi="黑体" w:eastAsia="黑体"/>
          <w:b/>
          <w:sz w:val="30"/>
        </w:rPr>
        <w:t>第8章  词元市场的结构、竞争与均衡</w:t>
      </w:r>
    </w:p>
    <w:p>
      <w:pPr>
        <w:spacing w:line="360" w:lineRule="auto" w:after="0"/>
        <w:ind w:firstLineChars="200" w:firstLine="480"/>
        <w:jc w:val="both"/>
      </w:pPr>
      <w:r>
        <w:rPr>
          <w:rFonts w:ascii="宋体" w:hAnsi="宋体" w:eastAsia="宋体"/>
          <w:sz w:val="24"/>
        </w:rPr>
        <w:t>第 7 章把词元价格拆成成本底价、效值溢价与场景租金三层，并以词元价格指数（TPI）与标准词元价格指数（STPI）的背离刻画了「表观降价」与「真实降价」的差别：2024 年第一季度至 2026 年第一季度，TPI 由100降至25，STPI 同期仅降至50.5。价格的构成既明，一个更基本的问题随之浮现：这样的价格是在什么样的市场里形成的？价格三层结构描述的是单个卖者的定价逻辑，而任何一个价格都不是卖者单方面决定的结果，它同时是需求侧支付意愿、供给侧成本结构与市场组织形式共同作用的产物。若不刻画市场结构，三层结构就只是一个会计式的分解；只有把它放回市场，才能回答价格为何如此、将往何处去、以及何种干预是有效的。</w:t>
      </w:r>
    </w:p>
    <w:p>
      <w:pPr>
        <w:spacing w:line="360" w:lineRule="auto" w:after="0"/>
        <w:ind w:firstLineChars="200" w:firstLine="480"/>
        <w:jc w:val="both"/>
      </w:pPr>
      <w:r>
        <w:rPr>
          <w:rFonts w:ascii="宋体" w:hAnsi="宋体" w:eastAsia="宋体"/>
          <w:sz w:val="24"/>
        </w:rPr>
        <w:t>词元市场的特殊性使这一追问格外必要。其一，交易标的是流量而非存量：企业购买的不是一件可以入库的商品，而是按调用即时生成并即时消耗的认知服务，市场出清发生在毫秒尺度上。其二，计价单位不同质：第 3 章已经证明物理词元不可加，第 5 章的折算体系表明六档位单位价格的极差达12.6倍、变异系数0.92，折算后才降至2.4倍与0.31——在一个计量单位本身就带有质量维度的市场上，「同一商品的一价定律」失去了直接的适用对象。其三，交易组织高度平台化：算力方、模型方与应用方之间极少发生双边直接缔约，绝大多数交易经由平台完成路由、计量与结算，平台不只是撮合者，还同时充当计量者与认证者。这三点决定了词元市场既不是标准的商品市场，也不是标准的要素市场，而是一个以多边平台为组织核心、以非同质计量单位为交易对象的新型市场。</w:t>
      </w:r>
    </w:p>
    <w:p>
      <w:pPr>
        <w:spacing w:line="360" w:lineRule="auto" w:after="0"/>
        <w:ind w:firstLineChars="200" w:firstLine="480"/>
        <w:jc w:val="both"/>
      </w:pPr>
      <w:r>
        <w:rPr>
          <w:rFonts w:ascii="宋体" w:hAnsi="宋体" w:eastAsia="宋体"/>
          <w:sz w:val="24"/>
        </w:rPr>
        <w:t>正因如此，围绕词元市场的现实判断长期处于相互矛盾的状态。一种流行的判断是「赢者通吃」：训练固定成本巨大、推理具有显著规模经济、平台具有网络效应，词元市场终将走向自然垄断；另一种判断则相反：价格以年均过半的速度下行、开源模型不断压低进入门槛、集中度持续下降，词元市场正在走向充分竞争。两种判断各自都有事实支撑，却指向完全相反的政策取向——前者要求事前的结构性监管，后者要求放手让价格机制发挥作用。本章的任务，是把这场争论拉回可检验的分析框架：以需求函数与成本函数为两翼，以均衡条件与竞争强度指标为判据，分别回答市场形态是什么、需求侧与供给侧的行为方程是什么、均衡具有什么性质、以及在什么环节上市场会失灵。</w:t>
      </w:r>
    </w:p>
    <w:p>
      <w:pPr>
        <w:spacing w:line="360" w:lineRule="auto" w:after="0"/>
        <w:ind w:firstLineChars="200" w:firstLine="480"/>
        <w:jc w:val="both"/>
      </w:pPr>
      <w:r>
        <w:rPr>
          <w:rFonts w:ascii="宋体" w:hAnsi="宋体" w:eastAsia="宋体"/>
          <w:sz w:val="24"/>
        </w:rPr>
        <w:t>本章安排如下。8.1 节刻画词元市场的多边平台形态，界定四类主体、三组交叉网络外部性与平台的三项职能；8.2 节从派生需求出发导出企业词元需求函数，给出价格弹性的结构表达式并报告估计结果，进而把两年间的调用量扩张分解为沿需求曲线的移动与需求曲线的外移；8.3 节刻画供给侧的词元工厂，给出产能的技术决定式、成本函数与规模经济度，揭示效值与产能之间的替换关系；8.4 节求解短期与长期均衡，以最小有效规模、次可加性与可竞争性三项判据检验自然垄断假说，并以勒纳指数与集中度的背离刻画真实的竞争强度；8.5 节分析四类市场失灵及其矫正工具；8.6 节为本章小结。</w:t>
      </w:r>
    </w:p>
    <w:p>
      <w:pPr>
        <w:keepNext/>
        <w:spacing w:before="160" w:after="120" w:line="360" w:lineRule="auto"/>
        <w:outlineLvl w:val="1"/>
      </w:pPr>
      <w:r>
        <w:rPr>
          <w:rFonts w:ascii="黑体" w:hAnsi="黑体" w:eastAsia="黑体"/>
          <w:sz w:val="28"/>
        </w:rPr>
        <w:t>8.1  市场形态：算力方—模型方—应用方的多边平台结构</w:t>
      </w:r>
    </w:p>
    <w:p>
      <w:pPr>
        <w:keepNext/>
        <w:spacing w:before="160" w:after="120" w:line="360" w:lineRule="auto"/>
        <w:outlineLvl w:val="2"/>
      </w:pPr>
      <w:r>
        <w:rPr>
          <w:rFonts w:ascii="黑体" w:hAnsi="黑体" w:eastAsia="黑体"/>
          <w:sz w:val="24"/>
        </w:rPr>
        <w:t>8.1.1  三层交易结构与四类市场主体</w:t>
      </w:r>
    </w:p>
    <w:p>
      <w:pPr>
        <w:spacing w:line="360" w:lineRule="auto" w:after="0"/>
        <w:ind w:firstLineChars="200" w:firstLine="480"/>
        <w:jc w:val="both"/>
      </w:pPr>
      <w:r>
        <w:rPr>
          <w:rFonts w:ascii="宋体" w:hAnsi="宋体" w:eastAsia="宋体"/>
          <w:sz w:val="24"/>
        </w:rPr>
        <w:t>智能经济中围绕词元展开的交易并非单一层次，而是一条由三层市场串联而成的链条。第一层是算力市场，交易标的是以 PFLOPS·h、卡时或标准机架计量的计算能力，供给方是智算中心与云服务商，需求方是模型训练与推理服务的提供者；第二层是词元市场，交易标的是模型服务按物理词元计量的输出，供给方是模型服务提供者，需求方是应用开发者与企业用户；第三层是应用市场，交易标的是嵌入业务流程的智能应用，计价方式转为订阅、席位或按业务结果收费。三层市场的计量单位依次为算力单位、词元单位与业务单位，每一次跨层转换都伴随一次计量口径的改变，也伴随一次价值的重新分割。</w:t>
      </w:r>
    </w:p>
    <w:p>
      <w:pPr>
        <w:spacing w:line="360" w:lineRule="auto" w:after="0"/>
        <w:ind w:firstLineChars="200" w:firstLine="480"/>
        <w:jc w:val="both"/>
      </w:pPr>
      <w:r>
        <w:rPr>
          <w:rFonts w:ascii="宋体" w:hAnsi="宋体" w:eastAsia="宋体"/>
          <w:sz w:val="24"/>
        </w:rPr>
        <w:t>本章所称「词元市场」特指第二层。之所以要把它单独切分出来，是因为它是三层链条中唯一同时受到成本约束与价值约束双重挤压的环节：向下，它的价格不可能长期低于算力与能源构成的成本底价；向上，它的价格不可能超过应用侧所能实现并让渡的场景价值。第 7 章的三层价格结构正是这一双重约束在定价公式上的投影——成本底价层来自第一层市场，场景租金层来自第三层市场，只有效值溢价层是词元市场自身的产物。换言之，词元价格的三层结构与市场组织的三层结构是同一事物的两面，理解定价必须先理解市场分层。云计算的市场演化提供了可资借鉴的先例：计算能力一旦以可计量、可即时购买的服务形式提供，企业的资本投入门槛与规模门槛都会显著下降，市场结构随之从少数自建者主导转向大量轻资产使用者共存（Byrne等，2018；Coyle和Nguyen，2019；DeStefano等，2025）。</w:t>
      </w:r>
    </w:p>
    <w:p>
      <w:pPr>
        <w:spacing w:line="360" w:lineRule="auto" w:after="0"/>
        <w:ind w:firstLineChars="200" w:firstLine="480"/>
        <w:jc w:val="both"/>
      </w:pPr>
      <w:r>
        <w:rPr>
          <w:rFonts w:ascii="宋体" w:hAnsi="宋体" w:eastAsia="宋体"/>
          <w:sz w:val="24"/>
        </w:rPr>
        <w:t xml:space="preserve">在词元市场上活动的主体可分为四类。算力方提供以 PFLOPS·h 计量的计算能力，其资产是集群、机房、电力与网络，收益方式是产能出租或产能入股；模型方提供以效值系数 </w:t>
      </w:r>
      <m:oMath>
        <m:r>
          <m:t>η</m:t>
        </m:r>
      </m:oMath>
      <w:r>
        <w:rPr>
          <w:rFonts w:ascii="宋体" w:hAnsi="宋体" w:eastAsia="宋体"/>
          <w:sz w:val="24"/>
        </w:rPr>
        <w:t xml:space="preserve"> 表征的模型能力，其资产是模型权重、训练数据与工程经验，收益方式是按调用分成或授权许可；应用方是需求的最终来源，其购买词元并非为了持有，而是为了在具体场景中替代或增强人类认知劳动，因而其支付意愿由场景效用 </w:t>
      </w:r>
      <m:oMath>
        <m:r>
          <m:t>S</m:t>
        </m:r>
      </m:oMath>
      <w:r>
        <w:rPr>
          <w:rFonts w:ascii="宋体" w:hAnsi="宋体" w:eastAsia="宋体"/>
          <w:sz w:val="24"/>
        </w:rPr>
        <w:t xml:space="preserve"> 决定；平台居于三者之间，承担路由、计量与认证，收益方式是通道费、价差或增值服务费。第五类主体是政府与监管者，它虽不直接参与交易，却通过标准制定、补贴核定与政策抵扣、价格监测与安全审计塑造着交易的规则边界，这一角色在词元市场上比在多数商品市场上都要吃重，原因将在 8.5 节说明。</w:t>
      </w:r>
    </w:p>
    <w:p>
      <w:pPr>
        <w:spacing w:line="360" w:lineRule="auto" w:after="0"/>
        <w:ind w:firstLineChars="200" w:firstLine="480"/>
        <w:jc w:val="both"/>
      </w:pPr>
      <w:r>
        <w:rPr>
          <w:rFonts w:ascii="宋体" w:hAnsi="宋体" w:eastAsia="宋体"/>
          <w:sz w:val="24"/>
        </w:rPr>
        <w:t>四类主体之外，词元市场的组织形态还有一个中国特色的制度变量：城市级词元运营中心的密集设立。2026 年 7 月中旬至 8 月中旬不到一个月内，温州、嘉兴、广州、苏州先后启动词元运营或交易服务机构，上海则在软件和信息服务业「十五五」规划中提出「探索将词元、数据治理、大模型部署及再训练等投入，纳入企业技术改造支持方向」（「上海市经济和信息化委员会，2026」）。四地的运营主体类型各不相同：温州由国资控股的专业运营公司承担、电信运营商与其云公司提供底座支撑，嘉兴由市属城投集团运营面向市场的统一服务窗口、多方共建，苏州由电信运营商在国家级数据要素流通枢纽内设立，广州则依托数据交易所建设并设立词元交易专区、出具交易凭证。需要特别提示口径：嘉兴门户的提法是「五个统一」（统一 API 入口、统一词元计量、统一费用结算、统一政策抵扣、统一安全审计），苏州中心的提法是「六大类服务」，温州中心的提法是「六个统一」，广东中心的职能则包括标准制定、合规鉴证、场内交易、惠企扶持与跨境流通；三者分属平台治理能力、服务菜单与交易场所职能三种不同性质的清单，条目数不构成可比的能力评分，不得作横向比较。这些机构的组织模式与机制设计留待第 10 章展开，本章只取其市场结构含义：词元市场的交易组织正在由纯粹的商业平台走向「商业平台＋公共平台」的双层结构。</w:t>
      </w:r>
    </w:p>
    <w:p>
      <w:pPr>
        <w:keepNext/>
        <w:spacing w:before="160" w:after="120" w:line="360" w:lineRule="auto"/>
        <w:outlineLvl w:val="2"/>
      </w:pPr>
      <w:r>
        <w:rPr>
          <w:rFonts w:ascii="黑体" w:hAnsi="黑体" w:eastAsia="黑体"/>
          <w:sz w:val="24"/>
        </w:rPr>
        <w:t>8.1.2  多边平台性质与三组交叉网络外部性</w:t>
      </w:r>
    </w:p>
    <w:p>
      <w:pPr>
        <w:spacing w:line="360" w:lineRule="auto" w:after="0"/>
        <w:ind w:firstLineChars="200" w:firstLine="480"/>
        <w:jc w:val="both"/>
      </w:pPr>
      <w:r>
        <w:rPr>
          <w:rFonts w:ascii="宋体" w:hAnsi="宋体" w:eastAsia="宋体"/>
          <w:sz w:val="24"/>
        </w:rPr>
        <w:t>把词元市场识别为多边平台市场，需要满足两个条件：存在两个及以上互不相同且无法直接高效缔约的用户群体，以及群体之间存在交叉外部性且平台能够将其内部化（Armstrong，2006；Jullien等，2021）。词元市场同时满足两条。算力方、模型方与应用方是三个技术能力与商业诉求截然不同的群体，任意两方直接缔约都要付出巨大的搜寻、计量与履约成本；而三方之间的相互依赖极强——没有算力则模型无法迭代，没有模型则应用无从落地，没有应用则算力无从摊薄。平台的存在把这些相互依赖从外部性转化为可交易的内部关系。词元市场的多边平台结构如图8.1所示。</w:t>
      </w:r>
    </w:p>
    <w:p>
      <w:pPr>
        <w:spacing w:before="120" w:after="40"/>
        <w:jc w:val="center"/>
      </w:pPr>
      <w:r>
        <w:drawing>
          <wp:inline xmlns:a="http://schemas.openxmlformats.org/drawingml/2006/main" xmlns:pic="http://schemas.openxmlformats.org/drawingml/2006/picture">
            <wp:extent cx="5040000" cy="3780000"/>
            <wp:docPr id="24" name="Picture 24"/>
            <wp:cNvGraphicFramePr>
              <a:graphicFrameLocks noChangeAspect="1"/>
            </wp:cNvGraphicFramePr>
            <a:graphic>
              <a:graphicData uri="http://schemas.openxmlformats.org/drawingml/2006/picture">
                <pic:pic>
                  <pic:nvPicPr>
                    <pic:cNvPr id="0" name="fig8_1.png"/>
                    <pic:cNvPicPr/>
                  </pic:nvPicPr>
                  <pic:blipFill>
                    <a:blip r:embed="rId32"/>
                    <a:stretch>
                      <a:fillRect/>
                    </a:stretch>
                  </pic:blipFill>
                  <pic:spPr>
                    <a:xfrm>
                      <a:off x="0" y="0"/>
                      <a:ext cx="5040000" cy="3780000"/>
                    </a:xfrm>
                    <a:prstGeom prst="rect"/>
                  </pic:spPr>
                </pic:pic>
              </a:graphicData>
            </a:graphic>
          </wp:inline>
        </w:drawing>
      </w:r>
    </w:p>
    <w:p>
      <w:pPr>
        <w:keepNext w:val="0"/>
        <w:spacing w:after="200"/>
        <w:jc w:val="center"/>
      </w:pPr>
      <w:r>
        <w:rPr>
          <w:rFonts w:ascii="黑体" w:hAnsi="黑体" w:eastAsia="黑体"/>
          <w:sz w:val="21"/>
        </w:rPr>
        <w:t>图8.1  词元市场的多边平台结构</w:t>
      </w:r>
    </w:p>
    <w:p>
      <w:pPr>
        <w:spacing w:line="360" w:lineRule="auto" w:after="0"/>
        <w:ind w:firstLineChars="200" w:firstLine="480"/>
        <w:jc w:val="both"/>
      </w:pPr>
      <w:r>
        <w:rPr>
          <w:rFonts w:ascii="宋体" w:hAnsi="宋体" w:eastAsia="宋体"/>
          <w:sz w:val="24"/>
        </w:rPr>
        <w:t>图8.1刻画的三组交叉网络外部性各有其独立的作用机理，值得逐一辨析。第一组是算力规模与模型迭代速度之间的外部性：可调度算力规模越大，模型的训练与调优周期越短、可尝试的技术路线越多，模型能力的提升速度越快；反过来，模型迭代越快，对算力的需求越稳定，算力方的投资风险越低。这组外部性的强度由规模律所刻画的算力—性能关系决定，而算力预算的最优配置本身也随规模律的形态而变（Kaplan等，2020；Hoffmann等，2022）。第二组是模型丰富度与应用规模之间的外部性：平台可调用的模型条目越多、覆盖的能力谱系越宽，应用方越容易为每一类任务找到合适的供给，接入意愿越强；应用规模越大，模型方获得的调用分成与真实场景反馈越多，入驻意愿越强。这是典型的双边正反馈，也是平台竞争中「模型超市」策略的经济基础。第三组外部性的方向与前两组不同，它作用于成本而非效用：应用侧用量规模越大，算力方的批处理规模越大、空转时段越少，单位算力成本越低，这一成本下降经由价格竞争传导回应用侧，进一步扩大用量。三组外部性中，前两组是需求侧的规模效应，第三组是供给侧的规模效应，三者共同构成词元市场的自增强回路，也共同解释了平台在市场组织中的核心地位（Katz和Shapiro，1985；吴双和王勇，2024）。</w:t>
      </w:r>
    </w:p>
    <w:p>
      <w:pPr>
        <w:spacing w:line="360" w:lineRule="auto" w:after="0"/>
        <w:ind w:firstLineChars="200" w:firstLine="480"/>
        <w:jc w:val="both"/>
      </w:pPr>
      <w:r>
        <w:rPr>
          <w:rFonts w:ascii="宋体" w:hAnsi="宋体" w:eastAsia="宋体"/>
          <w:sz w:val="24"/>
        </w:rPr>
        <w:t>词元平台与经典双边平台仍有一处关键差异，值得单独指出。经典双边平台的「匹配」是把两侧用户介绍给对方，随后的交易在用户之间完成，平台退居其后；词元平台的「匹配」却发生在每一次调用内部——平台需要在毫秒量级内决定这一次请求由哪一档模型、在哪一片算力上执行，交易的执行本身就是匹配的结果。日均百万亿量级的调用规模决定了这种匹配不可能由人工撮合完成，只能由路由算法完成；而路由算法的目标函数写法，直接决定了市场的资源配置效率。这一点使词元平台比一般双边平台承担了更强的配置职能，也使「平台是否按社会最优而非自身收益最优路由」成为一个真实的监管议题——数字平台以价格机制与数据机制双重方式影响资源配置（刘诚和夏杰长，2023），而当匹配权高度集中于平台时，数据机制的权重会系统性上升（Bergemann和Bonatti，2024）。</w:t>
      </w:r>
    </w:p>
    <w:p>
      <w:pPr>
        <w:spacing w:line="360" w:lineRule="auto" w:after="0"/>
        <w:ind w:firstLineChars="200" w:firstLine="480"/>
        <w:jc w:val="both"/>
      </w:pPr>
      <w:r>
        <w:rPr>
          <w:rFonts w:ascii="宋体" w:hAnsi="宋体" w:eastAsia="宋体"/>
          <w:sz w:val="24"/>
        </w:rPr>
        <w:t>交叉外部性还决定了平台的价格结构。双边市场理论的基本结论是，平台向各边收取的费率不应按各边的成本分摊，而应按各边对另一边施加的外部性强度与自身需求弹性反向确定：对外部性输出强、需求弹性大的一边少收甚至补贴，对外部性接受多、需求弹性小的一边多收（Armstrong，2006）。词元平台的现实定价与这一结论高度吻合：对模型方普遍采取零接入费甚至给予流量倾斜，对算力方采取产能保底或联合投资，而把主要收费落在应用侧。城市词元运营中心在此之上又加了一层政策变量——政策抵扣与技改补贴实质上是由财政对应用侧的一次性负价格，其作用是在正反馈回路尚未自我维持的阶段人为提高应用侧的接入速度。这一安排的激励相容条件与退出条件，是第 10 章演化博弈模型要回答的问题。</w:t>
      </w:r>
    </w:p>
    <w:p>
      <w:pPr>
        <w:keepNext/>
        <w:spacing w:before="160" w:after="120" w:line="360" w:lineRule="auto"/>
        <w:outlineLvl w:val="2"/>
      </w:pPr>
      <w:r>
        <w:rPr>
          <w:rFonts w:ascii="黑体" w:hAnsi="黑体" w:eastAsia="黑体"/>
          <w:sz w:val="24"/>
        </w:rPr>
        <w:t>8.1.3  平台的三项职能与交易费用的节约</w:t>
      </w:r>
    </w:p>
    <w:p>
      <w:pPr>
        <w:spacing w:line="360" w:lineRule="auto" w:after="0"/>
        <w:ind w:firstLineChars="200" w:firstLine="480"/>
        <w:jc w:val="both"/>
      </w:pPr>
      <w:r>
        <w:rPr>
          <w:rFonts w:ascii="宋体" w:hAnsi="宋体" w:eastAsia="宋体"/>
          <w:sz w:val="24"/>
        </w:rPr>
        <w:t>图8.1把平台的职能概括为撮合匹配、计量结算与质量认证三项。这一概括不是对现实功能清单的罗列，而是对交易费用类型的对应：撮合匹配节约的是搜寻与议价费用，计量结算节约的是计量与监督费用，质量认证节约的是度量与履约费用。三类费用在词元市场上都异常高昂。搜寻费用高，是因为可选模型条目数以百计而任务类型以千计，逐一试用的成本远超单次调用的价值；计量费用高，是因为词元的计费口径本身高度复杂——输入与输出分别计价、缓存命中与未命中分别计价、长上下文另设档位、峰谷时段另设价目，企业若无统一计量便无法核对账单；度量费用高，则是因为词元的质量在购买前不可观测、在使用后也难以归因，这正是 8.5 节柠檬市场问题的根源。</w:t>
      </w:r>
    </w:p>
    <w:p>
      <w:pPr>
        <w:spacing w:line="360" w:lineRule="auto" w:after="0"/>
        <w:ind w:firstLineChars="200" w:firstLine="480"/>
        <w:jc w:val="both"/>
      </w:pPr>
      <w:r>
        <w:rPr>
          <w:rFonts w:ascii="宋体" w:hAnsi="宋体" w:eastAsia="宋体"/>
          <w:sz w:val="24"/>
        </w:rPr>
        <w:t>三项职能的分工还解释了为什么词元市场上会出现公共属性的平台。撮合匹配具有明显的私人品性质，谁匹配谁受益，商业平台有充分激励提供；计量与认证却带有公共品性质：统一的计量口径与可核验的质量凭证，其收益弥散于所有市场参与者，任何单一商业平台既缺乏提供的激励，也缺乏被各方接受的中立性。标准的经济学文献早已指出，兼容性标准与质量披露制度的供给往往需要超越单个企业的协调机制（Farrell和Saloner，1985；Dranove和Jin，2010；Simcoe，2012），物流标准化对企业生产率的提升效应也提供了中国情境下的直接证据（何凡等，2025）。城市词元运营中心把统一计量、统一结算、统一审计与政策抵扣捆绑在同一个入口上，本质上是以公共平台补足商业平台在公共品职能上的供给缺口。这一判断构成本书第 10 章制度设计的出发点，也构成本章 8.5 节矫正工具的选择依据。</w:t>
      </w:r>
    </w:p>
    <w:p>
      <w:pPr>
        <w:spacing w:line="360" w:lineRule="auto" w:after="0"/>
        <w:ind w:firstLineChars="200" w:firstLine="480"/>
        <w:jc w:val="both"/>
      </w:pPr>
      <w:r>
        <w:rPr>
          <w:rFonts w:ascii="宋体" w:hAnsi="宋体" w:eastAsia="宋体"/>
          <w:sz w:val="24"/>
        </w:rPr>
        <w:t>需要强调的是，平台职能的集中同时带来两个方向相反的效应。正向效应是交易费用的大幅节约：企业一次接入即可按需调用上百款模型条目，无需分别缔约、分别对账、分别评测。负向效应是议价权与信息权的集中：平台既掌握路由权，又掌握计量权，还在相当程度上掌握质量认定权，三权合一意味着市场的关键信息不对称并未消失，而是从「买卖双方之间」转移到了「平台与两侧之间」。平台经济的福利分析已反复表明，平台规则的设定权是比价格更根本的市场权力（顾聪等，2023）。因此，本章 8.5 节把平台锁定单列为一类市场失灵，第 10 章则把统一计量与统一审计的制度化列为机制设计的首要条目。</w:t>
      </w:r>
    </w:p>
    <w:p>
      <w:pPr>
        <w:keepNext/>
        <w:spacing w:before="160" w:after="120" w:line="360" w:lineRule="auto"/>
        <w:outlineLvl w:val="1"/>
      </w:pPr>
      <w:r>
        <w:rPr>
          <w:rFonts w:ascii="黑体" w:hAnsi="黑体" w:eastAsia="黑体"/>
          <w:sz w:val="28"/>
        </w:rPr>
        <w:t>8.2  需求侧：企业词元需求函数与价格弹性</w:t>
      </w:r>
    </w:p>
    <w:p>
      <w:pPr>
        <w:keepNext/>
        <w:spacing w:before="160" w:after="120" w:line="360" w:lineRule="auto"/>
        <w:outlineLvl w:val="2"/>
      </w:pPr>
      <w:r>
        <w:rPr>
          <w:rFonts w:ascii="黑体" w:hAnsi="黑体" w:eastAsia="黑体"/>
          <w:sz w:val="24"/>
        </w:rPr>
        <w:t>8.2.1  词元需求是派生需求：从场景价值到需求函数</w:t>
      </w:r>
    </w:p>
    <w:p>
      <w:pPr>
        <w:spacing w:line="360" w:lineRule="auto" w:after="0"/>
        <w:ind w:firstLineChars="200" w:firstLine="480"/>
        <w:jc w:val="both"/>
      </w:pPr>
      <w:r>
        <w:rPr>
          <w:rFonts w:ascii="宋体" w:hAnsi="宋体" w:eastAsia="宋体"/>
          <w:sz w:val="24"/>
        </w:rPr>
        <w:t>企业购买词元不是为了消费词元本身，而是为了在某一场景中获得认知产出。词元需求因而是典型的派生需求：它的规模由最终产出的价值与词元在产出中的技术地位共同决定，而不由词元自身的效用决定。这一性质在数据要素定价研究中已被反复指出——中间品的价格必须回溯到其在下游生产中的边际贡献才能得到解释（熊巧琴和汤珂，2021；Pei，2022；欧阳日辉和杜青青，2022）。据此，本节从企业的生产决策出发导出词元需求函数，而非直接设定需求曲线。</w:t>
      </w:r>
    </w:p>
    <w:p>
      <w:pPr>
        <w:spacing w:line="360" w:lineRule="auto" w:after="0"/>
        <w:ind w:firstLineChars="200" w:firstLine="480"/>
        <w:jc w:val="both"/>
      </w:pPr>
      <w:r>
        <w:rPr>
          <w:rFonts w:ascii="宋体" w:hAnsi="宋体" w:eastAsia="宋体"/>
          <w:sz w:val="24"/>
        </w:rPr>
        <w:t xml:space="preserve">设企业 </w:t>
      </w:r>
      <m:oMath>
        <m:r>
          <m:t>i</m:t>
        </m:r>
      </m:oMath>
      <w:r>
        <w:rPr>
          <w:rFonts w:ascii="宋体" w:hAnsi="宋体" w:eastAsia="宋体"/>
          <w:sz w:val="24"/>
        </w:rPr>
        <w:t xml:space="preserve"> 在场景 </w:t>
      </w:r>
      <m:oMath>
        <m:r>
          <m:t>j</m:t>
        </m:r>
      </m:oMath>
      <w:r>
        <w:rPr>
          <w:rFonts w:ascii="宋体" w:hAnsi="宋体" w:eastAsia="宋体"/>
          <w:sz w:val="24"/>
        </w:rPr>
        <w:t xml:space="preserve"> 中以标准词元 </w:t>
      </w:r>
      <m:oMath>
        <m:sSub>
          <m:e>
            <m:acc>
              <m:accPr>
                <m:chr m:val="̃"/>
              </m:accPr>
              <m:e>
                <m:r>
                  <m:t>T</m:t>
                </m:r>
              </m:e>
            </m:acc>
          </m:e>
          <m:sub>
            <m:r>
              <m:t>i</m:t>
            </m:r>
            <m:r>
              <m:t>j</m:t>
            </m:r>
          </m:sub>
        </m:sSub>
      </m:oMath>
      <w:r>
        <w:rPr>
          <w:rFonts w:ascii="宋体" w:hAnsi="宋体" w:eastAsia="宋体"/>
          <w:sz w:val="24"/>
        </w:rPr>
        <w:t xml:space="preserve"> 与互补投入 </w:t>
      </w:r>
      <m:oMath>
        <m:sSub>
          <m:e>
            <m:r>
              <m:t>X</m:t>
            </m:r>
          </m:e>
          <m:sub>
            <m:r>
              <m:t>i</m:t>
            </m:r>
            <m:r>
              <m:t>j</m:t>
            </m:r>
          </m:sub>
        </m:sSub>
      </m:oMath>
      <w:r>
        <w:rPr>
          <w:rFonts w:ascii="宋体" w:hAnsi="宋体" w:eastAsia="宋体"/>
          <w:sz w:val="24"/>
        </w:rPr>
        <w:t xml:space="preserve"> 生产认知产出 </w:t>
      </w:r>
      <m:oMath>
        <m:sSub>
          <m:e>
            <m:r>
              <m:t>Q</m:t>
            </m:r>
          </m:e>
          <m:sub>
            <m:r>
              <m:t>i</m:t>
            </m:r>
            <m:r>
              <m:t>j</m:t>
            </m:r>
          </m:sub>
        </m:sSub>
      </m:oMath>
      <w:r>
        <w:rPr>
          <w:rFonts w:ascii="宋体" w:hAnsi="宋体" w:eastAsia="宋体"/>
          <w:sz w:val="24"/>
        </w:rPr>
        <w:t>。互补投入包括数据治理、系统集成、提示与工作流工程以及必要的人工复核，它们是词元发挥作用的前提，其重要性在第 6 章价值实现的分析中已经确立。采用柯布—道格拉斯形式：</w:t>
      </w:r>
    </w:p>
    <w:p>
      <w:pPr>
        <w:tabs>
          <w:tab w:pos="4252" w:val="center"/>
          <w:tab w:pos="8504" w:val="right"/>
        </w:tabs>
        <w:spacing w:line="360" w:lineRule="auto" w:before="80" w:after="80"/>
      </w:pPr>
      <w:r>
        <w:tab/>
      </w:r>
      <m:oMath>
        <m:sSub>
          <m:e>
            <m:r>
              <m:t>Q</m:t>
            </m:r>
          </m:e>
          <m:sub>
            <m:r>
              <m:t>i</m:t>
            </m:r>
            <m:r>
              <m:t>j</m:t>
            </m:r>
          </m:sub>
        </m:sSub>
        <m:r>
          <m:rPr>
            <m:sty m:val="p"/>
          </m:rPr>
          <m:t>=</m:t>
        </m:r>
        <m:sSub>
          <m:e>
            <m:r>
              <m:t>A</m:t>
            </m:r>
          </m:e>
          <m:sub>
            <m:r>
              <m:t>i</m:t>
            </m:r>
            <m:r>
              <m:t>j</m:t>
            </m:r>
          </m:sub>
        </m:sSub>
        <m:r>
          <m:t> </m:t>
        </m:r>
        <m:sSubSup>
          <m:e>
            <m:acc>
              <m:accPr>
                <m:chr m:val="̃"/>
              </m:accPr>
              <m:e>
                <m:r>
                  <m:t>T</m:t>
                </m:r>
              </m:e>
            </m:acc>
          </m:e>
          <m:sub>
            <m:r>
              <m:t>i</m:t>
            </m:r>
            <m:r>
              <m:t>j</m:t>
            </m:r>
          </m:sub>
          <m:sup>
            <m:sSub>
              <m:e>
                <m:r>
                  <m:t>a</m:t>
                </m:r>
              </m:e>
              <m:sub>
                <m:r>
                  <m:t>j</m:t>
                </m:r>
              </m:sub>
            </m:sSub>
          </m:sup>
        </m:sSubSup>
        <m:sSubSup>
          <m:e>
            <m:r>
              <m:t>X</m:t>
            </m:r>
          </m:e>
          <m:sub>
            <m:r>
              <m:t>i</m:t>
            </m:r>
            <m:r>
              <m:t>j</m:t>
            </m:r>
          </m:sub>
          <m:sup>
            <m:sSub>
              <m:e>
                <m:r>
                  <m:t>b</m:t>
                </m:r>
              </m:e>
              <m:sub>
                <m:r>
                  <m:t>j</m:t>
                </m:r>
              </m:sub>
            </m:sSub>
          </m:sup>
        </m:sSubSup>
        <m:r>
          <m:rPr>
            <m:sty m:val="p"/>
          </m:rPr>
          <m:t>,</m:t>
        </m:r>
        <m:r>
          <m:t>  </m:t>
        </m:r>
        <m:sSub>
          <m:e>
            <m:r>
              <m:t>a</m:t>
            </m:r>
          </m:e>
          <m:sub>
            <m:r>
              <m:t>j</m:t>
            </m:r>
          </m:sub>
        </m:sSub>
        <m:r>
          <m:rPr>
            <m:sty m:val="p"/>
          </m:rPr>
          <m:t>&gt;</m:t>
        </m:r>
        <m:r>
          <m:t>0</m:t>
        </m:r>
        <m:r>
          <m:rPr>
            <m:sty m:val="p"/>
          </m:rPr>
          <m:t>,</m:t>
        </m:r>
        <m:r>
          <m:t> </m:t>
        </m:r>
        <m:sSub>
          <m:e>
            <m:r>
              <m:t>b</m:t>
            </m:r>
          </m:e>
          <m:sub>
            <m:r>
              <m:t>j</m:t>
            </m:r>
          </m:sub>
        </m:sSub>
        <m:r>
          <m:rPr>
            <m:sty m:val="p"/>
          </m:rPr>
          <m:t>≥</m:t>
        </m:r>
        <m:r>
          <m:t>0</m:t>
        </m:r>
        <m:r>
          <m:rPr>
            <m:sty m:val="p"/>
          </m:rPr>
          <m:t>,</m:t>
        </m:r>
        <m:r>
          <m:t> </m:t>
        </m:r>
        <m:sSub>
          <m:e>
            <m:r>
              <m:t>a</m:t>
            </m:r>
          </m:e>
          <m:sub>
            <m:r>
              <m:t>j</m:t>
            </m:r>
          </m:sub>
        </m:sSub>
        <m:r>
          <m:rPr>
            <m:sty m:val="p"/>
          </m:rPr>
          <m:t>+</m:t>
        </m:r>
        <m:sSub>
          <m:e>
            <m:r>
              <m:t>b</m:t>
            </m:r>
          </m:e>
          <m:sub>
            <m:r>
              <m:t>j</m:t>
            </m:r>
          </m:sub>
        </m:sSub>
        <m:r>
          <m:rPr>
            <m:sty m:val="p"/>
          </m:rPr>
          <m:t>&lt;</m:t>
        </m:r>
        <m:r>
          <m:t>1</m:t>
        </m:r>
      </m:oMath>
      <w:r>
        <w:tab/>
      </w:r>
      <w:r>
        <w:rPr>
          <w:rFonts w:ascii="Times New Roman" w:hAnsi="Times New Roman" w:eastAsia="宋体"/>
          <w:sz w:val="24"/>
        </w:rPr>
        <w:t>(8-1)</w:t>
      </w:r>
    </w:p>
    <w:p>
      <w:pPr>
        <w:spacing w:line="360" w:lineRule="auto" w:after="0"/>
        <w:jc w:val="both"/>
      </w:pPr>
      <w:r>
        <w:rPr>
          <w:rFonts w:ascii="宋体" w:hAnsi="宋体" w:eastAsia="宋体"/>
          <w:sz w:val="24"/>
        </w:rPr>
        <w:t>其中，</w:t>
      </w:r>
      <m:oMath>
        <m:sSub>
          <m:e>
            <m:r>
              <m:t>A</m:t>
            </m:r>
          </m:e>
          <m:sub>
            <m:r>
              <m:t>i</m:t>
            </m:r>
            <m:r>
              <m:t>j</m:t>
            </m:r>
          </m:sub>
        </m:sSub>
      </m:oMath>
      <w:r>
        <w:rPr>
          <w:rFonts w:ascii="宋体" w:hAnsi="宋体" w:eastAsia="宋体"/>
          <w:sz w:val="24"/>
        </w:rPr>
        <w:t>为企业的场景适配效率，</w:t>
      </w:r>
      <m:oMath>
        <m:sSub>
          <m:e>
            <m:r>
              <m:t>a</m:t>
            </m:r>
          </m:e>
          <m:sub>
            <m:r>
              <m:t>j</m:t>
            </m:r>
          </m:sub>
        </m:sSub>
      </m:oMath>
      <w:r>
        <w:rPr>
          <w:rFonts w:ascii="宋体" w:hAnsi="宋体" w:eastAsia="宋体"/>
          <w:sz w:val="24"/>
        </w:rPr>
        <w:t>与</w:t>
      </w:r>
      <m:oMath>
        <m:sSub>
          <m:e>
            <m:r>
              <m:t>b</m:t>
            </m:r>
          </m:e>
          <m:sub>
            <m:r>
              <m:t>j</m:t>
            </m:r>
          </m:sub>
        </m:sSub>
      </m:oMath>
      <w:r>
        <w:rPr>
          <w:rFonts w:ascii="宋体" w:hAnsi="宋体" w:eastAsia="宋体"/>
          <w:sz w:val="24"/>
        </w:rPr>
        <w:t>分别为标准词元与互补投入的产出弹性，</w:t>
      </w:r>
      <m:oMath>
        <m:sSub>
          <m:e>
            <m:r>
              <m:t>a</m:t>
            </m:r>
          </m:e>
          <m:sub>
            <m:r>
              <m:t>j</m:t>
            </m:r>
          </m:sub>
        </m:sSub>
        <m:r>
          <m:rPr>
            <m:sty m:val="p"/>
          </m:rPr>
          <m:t>+</m:t>
        </m:r>
        <m:sSub>
          <m:e>
            <m:r>
              <m:t>b</m:t>
            </m:r>
          </m:e>
          <m:sub>
            <m:r>
              <m:t>j</m:t>
            </m:r>
          </m:sub>
        </m:sSub>
        <m:r>
          <m:rPr>
            <m:sty m:val="p"/>
          </m:rPr>
          <m:t>&lt;</m:t>
        </m:r>
        <m:r>
          <m:t>1</m:t>
        </m:r>
      </m:oMath>
      <w:r>
        <w:rPr>
          <w:rFonts w:ascii="宋体" w:hAnsi="宋体" w:eastAsia="宋体"/>
          <w:sz w:val="24"/>
        </w:rPr>
        <w:t>表示单一业务流程内部的认知生产存在规模报酬递减。</w:t>
      </w:r>
    </w:p>
    <w:p>
      <w:pPr>
        <w:spacing w:line="360" w:lineRule="auto" w:after="0"/>
        <w:ind w:firstLineChars="200" w:firstLine="480"/>
        <w:jc w:val="both"/>
      </w:pPr>
      <w:r>
        <w:rPr>
          <w:rFonts w:ascii="宋体" w:hAnsi="宋体" w:eastAsia="宋体"/>
          <w:sz w:val="24"/>
        </w:rPr>
        <w:t xml:space="preserve">记场景 </w:t>
      </w:r>
      <m:oMath>
        <m:r>
          <m:t>j</m:t>
        </m:r>
      </m:oMath>
      <w:r>
        <w:rPr>
          <w:rFonts w:ascii="宋体" w:hAnsi="宋体" w:eastAsia="宋体"/>
          <w:sz w:val="24"/>
        </w:rPr>
        <w:t xml:space="preserve"> 单位认知产出的价值密度为 </w:t>
      </w:r>
      <m:oMath>
        <m:sSub>
          <m:e>
            <m:r>
              <m:t>u</m:t>
            </m:r>
          </m:e>
          <m:sub>
            <m:r>
              <m:t>j</m:t>
            </m:r>
          </m:sub>
        </m:sSub>
      </m:oMath>
      <w:r>
        <w:rPr>
          <w:rFonts w:ascii="宋体" w:hAnsi="宋体" w:eastAsia="宋体"/>
          <w:sz w:val="24"/>
        </w:rPr>
        <w:t xml:space="preserve">（即第 6 章测算的场景价值密度，跨场景差异达5.9倍，最高为科研分析、最低为文案生成），标准词元价格为 </w:t>
      </w:r>
      <m:oMath>
        <m:acc>
          <m:accPr>
            <m:chr m:val="̃"/>
          </m:accPr>
          <m:e>
            <m:r>
              <m:t>p</m:t>
            </m:r>
          </m:e>
        </m:acc>
      </m:oMath>
      <w:r>
        <w:rPr>
          <w:rFonts w:ascii="宋体" w:hAnsi="宋体" w:eastAsia="宋体"/>
          <w:sz w:val="24"/>
        </w:rPr>
        <w:t xml:space="preserve">，互补投入价格为 </w:t>
      </w:r>
      <m:oMath>
        <m:r>
          <m:t>w</m:t>
        </m:r>
      </m:oMath>
      <w:r>
        <w:rPr>
          <w:rFonts w:ascii="宋体" w:hAnsi="宋体" w:eastAsia="宋体"/>
          <w:sz w:val="24"/>
        </w:rPr>
        <w:t xml:space="preserve">。企业最大化 </w:t>
      </w:r>
      <m:oMath>
        <m:sSub>
          <m:e>
            <m:r>
              <m:t>u</m:t>
            </m:r>
          </m:e>
          <m:sub>
            <m:r>
              <m:t>j</m:t>
            </m:r>
          </m:sub>
        </m:sSub>
        <m:sSub>
          <m:e>
            <m:r>
              <m:t>Q</m:t>
            </m:r>
          </m:e>
          <m:sub>
            <m:r>
              <m:t>i</m:t>
            </m:r>
            <m:r>
              <m:t>j</m:t>
            </m:r>
          </m:sub>
        </m:sSub>
        <m:r>
          <m:rPr>
            <m:sty m:val="p"/>
          </m:rPr>
          <m:t>−</m:t>
        </m:r>
        <m:acc>
          <m:accPr>
            <m:chr m:val="̃"/>
          </m:accPr>
          <m:e>
            <m:r>
              <m:t>p</m:t>
            </m:r>
          </m:e>
        </m:acc>
        <m:sSub>
          <m:e>
            <m:acc>
              <m:accPr>
                <m:chr m:val="̃"/>
              </m:accPr>
              <m:e>
                <m:r>
                  <m:t>T</m:t>
                </m:r>
              </m:e>
            </m:acc>
          </m:e>
          <m:sub>
            <m:r>
              <m:t>i</m:t>
            </m:r>
            <m:r>
              <m:t>j</m:t>
            </m:r>
          </m:sub>
        </m:sSub>
        <m:r>
          <m:rPr>
            <m:sty m:val="p"/>
          </m:rPr>
          <m:t>−</m:t>
        </m:r>
        <m:r>
          <m:t>w</m:t>
        </m:r>
        <m:sSub>
          <m:e>
            <m:r>
              <m:t>X</m:t>
            </m:r>
          </m:e>
          <m:sub>
            <m:r>
              <m:t>i</m:t>
            </m:r>
            <m:r>
              <m:t>j</m:t>
            </m:r>
          </m:sub>
        </m:sSub>
      </m:oMath>
      <w:r>
        <w:rPr>
          <w:rFonts w:ascii="宋体" w:hAnsi="宋体" w:eastAsia="宋体"/>
          <w:sz w:val="24"/>
        </w:rPr>
        <w:t>，两个一阶条件为：</w:t>
      </w:r>
    </w:p>
    <w:p>
      <w:pPr>
        <w:tabs>
          <w:tab w:pos="4252" w:val="center"/>
          <w:tab w:pos="8504" w:val="right"/>
        </w:tabs>
        <w:spacing w:line="360" w:lineRule="auto" w:before="80" w:after="80"/>
      </w:pPr>
      <w:r>
        <w:tab/>
      </w:r>
      <m:oMath>
        <m:sSub>
          <m:e>
            <m:r>
              <m:t>u</m:t>
            </m:r>
          </m:e>
          <m:sub>
            <m:r>
              <m:t>j</m:t>
            </m:r>
          </m:sub>
        </m:sSub>
        <m:sSub>
          <m:e>
            <m:r>
              <m:t>a</m:t>
            </m:r>
          </m:e>
          <m:sub>
            <m:r>
              <m:t>j</m:t>
            </m:r>
          </m:sub>
        </m:sSub>
        <m:f>
          <m:fPr>
            <m:type m:val="bar"/>
          </m:fPr>
          <m:num>
            <m:sSub>
              <m:e>
                <m:r>
                  <m:t>Q</m:t>
                </m:r>
              </m:e>
              <m:sub>
                <m:r>
                  <m:t>i</m:t>
                </m:r>
                <m:r>
                  <m:t>j</m:t>
                </m:r>
              </m:sub>
            </m:sSub>
          </m:num>
          <m:den>
            <m:sSub>
              <m:e>
                <m:acc>
                  <m:accPr>
                    <m:chr m:val="̃"/>
                  </m:accPr>
                  <m:e>
                    <m:r>
                      <m:t>T</m:t>
                    </m:r>
                  </m:e>
                </m:acc>
              </m:e>
              <m:sub>
                <m:r>
                  <m:t>i</m:t>
                </m:r>
                <m:r>
                  <m:t>j</m:t>
                </m:r>
              </m:sub>
            </m:sSub>
          </m:den>
        </m:f>
        <m:r>
          <m:rPr>
            <m:sty m:val="p"/>
          </m:rPr>
          <m:t>=</m:t>
        </m:r>
        <m:acc>
          <m:accPr>
            <m:chr m:val="̃"/>
          </m:accPr>
          <m:e>
            <m:r>
              <m:t>p</m:t>
            </m:r>
          </m:e>
        </m:acc>
        <m:r>
          <m:rPr>
            <m:sty m:val="p"/>
          </m:rPr>
          <m:t>,</m:t>
        </m:r>
        <m:r>
          <m:t>  </m:t>
        </m:r>
        <m:sSub>
          <m:e>
            <m:r>
              <m:t>u</m:t>
            </m:r>
          </m:e>
          <m:sub>
            <m:r>
              <m:t>j</m:t>
            </m:r>
          </m:sub>
        </m:sSub>
        <m:sSub>
          <m:e>
            <m:r>
              <m:t>b</m:t>
            </m:r>
          </m:e>
          <m:sub>
            <m:r>
              <m:t>j</m:t>
            </m:r>
          </m:sub>
        </m:sSub>
        <m:f>
          <m:fPr>
            <m:type m:val="bar"/>
          </m:fPr>
          <m:num>
            <m:sSub>
              <m:e>
                <m:r>
                  <m:t>Q</m:t>
                </m:r>
              </m:e>
              <m:sub>
                <m:r>
                  <m:t>i</m:t>
                </m:r>
                <m:r>
                  <m:t>j</m:t>
                </m:r>
              </m:sub>
            </m:sSub>
          </m:num>
          <m:den>
            <m:sSub>
              <m:e>
                <m:r>
                  <m:t>X</m:t>
                </m:r>
              </m:e>
              <m:sub>
                <m:r>
                  <m:t>i</m:t>
                </m:r>
                <m:r>
                  <m:t>j</m:t>
                </m:r>
              </m:sub>
            </m:sSub>
          </m:den>
        </m:f>
        <m:r>
          <m:rPr>
            <m:sty m:val="p"/>
          </m:rPr>
          <m:t>=</m:t>
        </m:r>
        <m:r>
          <m:t>w</m:t>
        </m:r>
      </m:oMath>
      <w:r>
        <w:tab/>
      </w:r>
      <w:r>
        <w:rPr>
          <w:rFonts w:ascii="Times New Roman" w:hAnsi="Times New Roman" w:eastAsia="宋体"/>
          <w:sz w:val="24"/>
        </w:rPr>
        <w:t>(8-2)</w:t>
      </w:r>
    </w:p>
    <w:p>
      <w:pPr>
        <w:spacing w:line="360" w:lineRule="auto" w:after="0"/>
        <w:jc w:val="both"/>
      </w:pPr>
      <w:r>
        <w:rPr>
          <w:rFonts w:ascii="宋体" w:hAnsi="宋体" w:eastAsia="宋体"/>
          <w:sz w:val="24"/>
        </w:rPr>
        <w:t xml:space="preserve">其中，两式左端分别为标准词元与互补投入的边际价值产品；两式相除即得最优投入比 </w:t>
      </w:r>
      <m:oMath>
        <m:sSub>
          <m:e>
            <m:r>
              <m:t>X</m:t>
            </m:r>
          </m:e>
          <m:sub>
            <m:r>
              <m:t>i</m:t>
            </m:r>
            <m:r>
              <m:t>j</m:t>
            </m:r>
          </m:sub>
        </m:sSub>
        <m:r>
          <m:rPr>
            <m:sty m:val="p"/>
          </m:rPr>
          <m:t>/</m:t>
        </m:r>
        <m:sSub>
          <m:e>
            <m:acc>
              <m:accPr>
                <m:chr m:val="̃"/>
              </m:accPr>
              <m:e>
                <m:r>
                  <m:t>T</m:t>
                </m:r>
              </m:e>
            </m:acc>
          </m:e>
          <m:sub>
            <m:r>
              <m:t>i</m:t>
            </m:r>
            <m:r>
              <m:t>j</m:t>
            </m:r>
          </m:sub>
        </m:sSub>
        <m:r>
          <m:rPr>
            <m:sty m:val="p"/>
          </m:rPr>
          <m:t>=</m:t>
        </m:r>
        <m:d>
          <m:dPr>
            <m:begChr m:val="("/>
            <m:endChr m:val=")"/>
            <m:grow/>
          </m:dPr>
          <m:e>
            <m:sSub>
              <m:e>
                <m:r>
                  <m:t>b</m:t>
                </m:r>
              </m:e>
              <m:sub>
                <m:r>
                  <m:t>j</m:t>
                </m:r>
              </m:sub>
            </m:sSub>
            <m:r>
              <m:rPr>
                <m:sty m:val="p"/>
              </m:rPr>
              <m:t>/</m:t>
            </m:r>
            <m:sSub>
              <m:e>
                <m:r>
                  <m:t>a</m:t>
                </m:r>
              </m:e>
              <m:sub>
                <m:r>
                  <m:t>j</m:t>
                </m:r>
              </m:sub>
            </m:sSub>
          </m:e>
        </m:d>
        <m:d>
          <m:dPr>
            <m:begChr m:val="("/>
            <m:endChr m:val=")"/>
            <m:grow/>
          </m:dPr>
          <m:e>
            <m:acc>
              <m:accPr>
                <m:chr m:val="̃"/>
              </m:accPr>
              <m:e>
                <m:r>
                  <m:t>p</m:t>
                </m:r>
              </m:e>
            </m:acc>
            <m:r>
              <m:rPr>
                <m:sty m:val="p"/>
              </m:rPr>
              <m:t>/</m:t>
            </m:r>
            <m:r>
              <m:t>w</m:t>
            </m:r>
          </m:e>
        </m:d>
      </m:oMath>
      <w:r>
        <w:rPr>
          <w:rFonts w:ascii="宋体" w:hAnsi="宋体" w:eastAsia="宋体"/>
          <w:sz w:val="24"/>
        </w:rPr>
        <w:t>，说明互补投入随词元价格上升而同向调整，二者在数量上是互补的，在价值上却相互替代。</w:t>
      </w:r>
    </w:p>
    <w:p>
      <w:pPr>
        <w:spacing w:line="360" w:lineRule="auto" w:after="0"/>
        <w:ind w:firstLineChars="200" w:firstLine="480"/>
        <w:jc w:val="both"/>
      </w:pPr>
      <w:r>
        <w:rPr>
          <w:rFonts w:ascii="宋体" w:hAnsi="宋体" w:eastAsia="宋体"/>
          <w:sz w:val="24"/>
        </w:rPr>
        <w:t>将最优投入比代回式(8-2)的第一式并整理，得到企业的标准词元需求函数：</w:t>
      </w:r>
    </w:p>
    <w:p>
      <w:pPr>
        <w:tabs>
          <w:tab w:pos="4252" w:val="center"/>
          <w:tab w:pos="8504" w:val="right"/>
        </w:tabs>
        <w:spacing w:line="360" w:lineRule="auto" w:before="80" w:after="80"/>
      </w:pPr>
      <w:r>
        <w:tab/>
      </w:r>
      <m:oMath>
        <m:sSubSup>
          <m:e>
            <m:acc>
              <m:accPr>
                <m:chr m:val="̃"/>
              </m:accPr>
              <m:e>
                <m:r>
                  <m:t>T</m:t>
                </m:r>
              </m:e>
            </m:acc>
          </m:e>
          <m:sub>
            <m:r>
              <m:t>i</m:t>
            </m:r>
            <m:r>
              <m:t>j</m:t>
            </m:r>
          </m:sub>
          <m:sup>
            <m:r>
              <m:rPr>
                <m:sty m:val="p"/>
              </m:rPr>
              <m:t>∗</m:t>
            </m:r>
          </m:sup>
        </m:sSubSup>
        <m:r>
          <m:rPr>
            <m:sty m:val="p"/>
          </m:rPr>
          <m:t>=</m:t>
        </m:r>
        <m:sSub>
          <m:e>
            <m:r>
              <m:t>Φ</m:t>
            </m:r>
          </m:e>
          <m:sub>
            <m:r>
              <m:t>i</m:t>
            </m:r>
            <m:r>
              <m:t>j</m:t>
            </m:r>
          </m:sub>
        </m:sSub>
        <m:r>
          <m:t> </m:t>
        </m:r>
        <m:sSup>
          <m:e>
            <m:acc>
              <m:accPr>
                <m:chr m:val="̃"/>
              </m:accPr>
              <m:e>
                <m:r>
                  <m:t>p</m:t>
                </m:r>
              </m:e>
            </m:acc>
          </m:e>
          <m:sup>
            <m:r>
              <m:rPr>
                <m:sty m:val="p"/>
              </m:rPr>
              <m:t>−</m:t>
            </m:r>
            <m:sSub>
              <m:e>
                <m:r>
                  <m:t>ε</m:t>
                </m:r>
              </m:e>
              <m:sub>
                <m:r>
                  <m:t>j</m:t>
                </m:r>
              </m:sub>
            </m:sSub>
          </m:sup>
        </m:sSup>
        <m:r>
          <m:t> </m:t>
        </m:r>
        <m:sSup>
          <m:e>
            <m:r>
              <m:t>w</m:t>
            </m:r>
          </m:e>
          <m:sup>
            <m:r>
              <m:rPr>
                <m:sty m:val="p"/>
              </m:rPr>
              <m:t>−</m:t>
            </m:r>
            <m:f>
              <m:fPr>
                <m:type m:val="bar"/>
              </m:fPr>
              <m:num>
                <m:sSub>
                  <m:e>
                    <m:r>
                      <m:t>b</m:t>
                    </m:r>
                  </m:e>
                  <m:sub>
                    <m:r>
                      <m:t>j</m:t>
                    </m:r>
                  </m:sub>
                </m:sSub>
              </m:num>
              <m:den>
                <m:r>
                  <m:t>1</m:t>
                </m:r>
                <m:r>
                  <m:rPr>
                    <m:sty m:val="p"/>
                  </m:rPr>
                  <m:t>−</m:t>
                </m:r>
                <m:sSub>
                  <m:e>
                    <m:r>
                      <m:t>a</m:t>
                    </m:r>
                  </m:e>
                  <m:sub>
                    <m:r>
                      <m:t>j</m:t>
                    </m:r>
                  </m:sub>
                </m:sSub>
                <m:r>
                  <m:rPr>
                    <m:sty m:val="p"/>
                  </m:rPr>
                  <m:t>−</m:t>
                </m:r>
                <m:sSub>
                  <m:e>
                    <m:r>
                      <m:t>b</m:t>
                    </m:r>
                  </m:e>
                  <m:sub>
                    <m:r>
                      <m:t>j</m:t>
                    </m:r>
                  </m:sub>
                </m:sSub>
              </m:den>
            </m:f>
          </m:sup>
        </m:sSup>
        <m:r>
          <m:rPr>
            <m:sty m:val="p"/>
          </m:rPr>
          <m:t>,</m:t>
        </m:r>
        <m:r>
          <m:t>  </m:t>
        </m:r>
        <m:sSub>
          <m:e>
            <m:r>
              <m:t>ε</m:t>
            </m:r>
          </m:e>
          <m:sub>
            <m:r>
              <m:t>j</m:t>
            </m:r>
          </m:sub>
        </m:sSub>
        <m:r>
          <m:rPr>
            <m:sty m:val="p"/>
          </m:rPr>
          <m:t>=</m:t>
        </m:r>
        <m:f>
          <m:fPr>
            <m:type m:val="bar"/>
          </m:fPr>
          <m:num>
            <m:r>
              <m:t>1</m:t>
            </m:r>
            <m:r>
              <m:rPr>
                <m:sty m:val="p"/>
              </m:rPr>
              <m:t>−</m:t>
            </m:r>
            <m:sSub>
              <m:e>
                <m:r>
                  <m:t>b</m:t>
                </m:r>
              </m:e>
              <m:sub>
                <m:r>
                  <m:t>j</m:t>
                </m:r>
              </m:sub>
            </m:sSub>
          </m:num>
          <m:den>
            <m:r>
              <m:t>1</m:t>
            </m:r>
            <m:r>
              <m:rPr>
                <m:sty m:val="p"/>
              </m:rPr>
              <m:t>−</m:t>
            </m:r>
            <m:sSub>
              <m:e>
                <m:r>
                  <m:t>a</m:t>
                </m:r>
              </m:e>
              <m:sub>
                <m:r>
                  <m:t>j</m:t>
                </m:r>
              </m:sub>
            </m:sSub>
            <m:r>
              <m:rPr>
                <m:sty m:val="p"/>
              </m:rPr>
              <m:t>−</m:t>
            </m:r>
            <m:sSub>
              <m:e>
                <m:r>
                  <m:t>b</m:t>
                </m:r>
              </m:e>
              <m:sub>
                <m:r>
                  <m:t>j</m:t>
                </m:r>
              </m:sub>
            </m:sSub>
          </m:den>
        </m:f>
        <m:r>
          <m:rPr>
            <m:sty m:val="p"/>
          </m:rPr>
          <m:t>,</m:t>
        </m:r>
        <m:r>
          <m:t>  </m:t>
        </m:r>
        <m:sSub>
          <m:e>
            <m:r>
              <m:t>Φ</m:t>
            </m:r>
          </m:e>
          <m:sub>
            <m:r>
              <m:t>i</m:t>
            </m:r>
            <m:r>
              <m:t>j</m:t>
            </m:r>
          </m:sub>
        </m:sSub>
        <m:r>
          <m:rPr>
            <m:sty m:val="p"/>
          </m:rPr>
          <m:t>=</m:t>
        </m:r>
        <m:sSup>
          <m:e>
            <m:d>
              <m:dPr>
                <m:begChr m:val="["/>
                <m:endChr m:val="]"/>
                <m:grow/>
              </m:dPr>
              <m:e>
                <m:sSub>
                  <m:e>
                    <m:r>
                      <m:t>u</m:t>
                    </m:r>
                  </m:e>
                  <m:sub>
                    <m:r>
                      <m:t>j</m:t>
                    </m:r>
                  </m:sub>
                </m:sSub>
                <m:sSub>
                  <m:e>
                    <m:r>
                      <m:t>a</m:t>
                    </m:r>
                  </m:e>
                  <m:sub>
                    <m:r>
                      <m:t>j</m:t>
                    </m:r>
                  </m:sub>
                </m:sSub>
                <m:sSub>
                  <m:e>
                    <m:r>
                      <m:t>A</m:t>
                    </m:r>
                  </m:e>
                  <m:sub>
                    <m:r>
                      <m:t>i</m:t>
                    </m:r>
                    <m:r>
                      <m:t>j</m:t>
                    </m:r>
                  </m:sub>
                </m:sSub>
                <m:sSup>
                  <m:e>
                    <m:d>
                      <m:dPr>
                        <m:begChr m:val="("/>
                        <m:endChr m:val=")"/>
                        <m:grow/>
                      </m:dPr>
                      <m:e>
                        <m:sSub>
                          <m:e>
                            <m:r>
                              <m:t>b</m:t>
                            </m:r>
                          </m:e>
                          <m:sub>
                            <m:r>
                              <m:t>j</m:t>
                            </m:r>
                          </m:sub>
                        </m:sSub>
                        <m:r>
                          <m:rPr>
                            <m:sty m:val="p"/>
                          </m:rPr>
                          <m:t>/</m:t>
                        </m:r>
                        <m:sSub>
                          <m:e>
                            <m:r>
                              <m:t>a</m:t>
                            </m:r>
                          </m:e>
                          <m:sub>
                            <m:r>
                              <m:t>j</m:t>
                            </m:r>
                          </m:sub>
                        </m:sSub>
                      </m:e>
                    </m:d>
                  </m:e>
                  <m:sup>
                    <m:sSub>
                      <m:e>
                        <m:r>
                          <m:t>b</m:t>
                        </m:r>
                      </m:e>
                      <m:sub>
                        <m:r>
                          <m:t>j</m:t>
                        </m:r>
                      </m:sub>
                    </m:sSub>
                  </m:sup>
                </m:sSup>
              </m:e>
            </m:d>
          </m:e>
          <m:sup>
            <m:f>
              <m:fPr>
                <m:type m:val="bar"/>
              </m:fPr>
              <m:num>
                <m:r>
                  <m:t>1</m:t>
                </m:r>
              </m:num>
              <m:den>
                <m:r>
                  <m:t>1</m:t>
                </m:r>
                <m:r>
                  <m:rPr>
                    <m:sty m:val="p"/>
                  </m:rPr>
                  <m:t>−</m:t>
                </m:r>
                <m:sSub>
                  <m:e>
                    <m:r>
                      <m:t>a</m:t>
                    </m:r>
                  </m:e>
                  <m:sub>
                    <m:r>
                      <m:t>j</m:t>
                    </m:r>
                  </m:sub>
                </m:sSub>
                <m:r>
                  <m:rPr>
                    <m:sty m:val="p"/>
                  </m:rPr>
                  <m:t>−</m:t>
                </m:r>
                <m:sSub>
                  <m:e>
                    <m:r>
                      <m:t>b</m:t>
                    </m:r>
                  </m:e>
                  <m:sub>
                    <m:r>
                      <m:t>j</m:t>
                    </m:r>
                  </m:sub>
                </m:sSub>
              </m:den>
            </m:f>
          </m:sup>
        </m:sSup>
      </m:oMath>
      <w:r>
        <w:tab/>
      </w:r>
      <w:r>
        <w:rPr>
          <w:rFonts w:ascii="Times New Roman" w:hAnsi="Times New Roman" w:eastAsia="宋体"/>
          <w:sz w:val="24"/>
        </w:rPr>
        <w:t>(8-3)</w:t>
      </w:r>
    </w:p>
    <w:p>
      <w:pPr>
        <w:spacing w:line="360" w:lineRule="auto" w:after="0"/>
        <w:jc w:val="both"/>
      </w:pPr>
      <w:r>
        <w:rPr>
          <w:rFonts w:ascii="宋体" w:hAnsi="宋体" w:eastAsia="宋体"/>
          <w:sz w:val="24"/>
        </w:rPr>
        <w:t>其中，</w:t>
      </w:r>
      <m:oMath>
        <m:sSub>
          <m:e>
            <m:r>
              <m:t>ε</m:t>
            </m:r>
          </m:e>
          <m:sub>
            <m:r>
              <m:t>j</m:t>
            </m:r>
          </m:sub>
        </m:sSub>
      </m:oMath>
      <w:r>
        <w:rPr>
          <w:rFonts w:ascii="宋体" w:hAnsi="宋体" w:eastAsia="宋体"/>
          <w:sz w:val="24"/>
        </w:rPr>
        <w:t xml:space="preserve">为场景 </w:t>
      </w:r>
      <m:oMath>
        <m:r>
          <m:t>j</m:t>
        </m:r>
      </m:oMath>
      <w:r>
        <w:rPr>
          <w:rFonts w:ascii="宋体" w:hAnsi="宋体" w:eastAsia="宋体"/>
          <w:sz w:val="24"/>
        </w:rPr>
        <w:t xml:space="preserve"> 的词元需求价格弹性，</w:t>
      </w:r>
      <m:oMath>
        <m:sSub>
          <m:e>
            <m:r>
              <m:t>Φ</m:t>
            </m:r>
          </m:e>
          <m:sub>
            <m:r>
              <m:t>i</m:t>
            </m:r>
            <m:r>
              <m:t>j</m:t>
            </m:r>
          </m:sub>
        </m:sSub>
      </m:oMath>
      <w:r>
        <w:rPr>
          <w:rFonts w:ascii="宋体" w:hAnsi="宋体" w:eastAsia="宋体"/>
          <w:sz w:val="24"/>
        </w:rPr>
        <w:t xml:space="preserve">为需求规模因子，它把场景价值密度 </w:t>
      </w:r>
      <m:oMath>
        <m:sSub>
          <m:e>
            <m:r>
              <m:t>u</m:t>
            </m:r>
          </m:e>
          <m:sub>
            <m:r>
              <m:t>j</m:t>
            </m:r>
          </m:sub>
        </m:sSub>
      </m:oMath>
      <w:r>
        <w:rPr>
          <w:rFonts w:ascii="宋体" w:hAnsi="宋体" w:eastAsia="宋体"/>
          <w:sz w:val="24"/>
        </w:rPr>
        <w:t xml:space="preserve">、企业适配效率 </w:t>
      </w:r>
      <m:oMath>
        <m:sSub>
          <m:e>
            <m:r>
              <m:t>A</m:t>
            </m:r>
          </m:e>
          <m:sub>
            <m:r>
              <m:t>i</m:t>
            </m:r>
            <m:r>
              <m:t>j</m:t>
            </m:r>
          </m:sub>
        </m:sSub>
      </m:oMath>
      <w:r>
        <w:rPr>
          <w:rFonts w:ascii="宋体" w:hAnsi="宋体" w:eastAsia="宋体"/>
          <w:sz w:val="24"/>
        </w:rPr>
        <w:t xml:space="preserve"> 与技术参数打包在一起，决定需求曲线的位置而不决定其斜率。</w:t>
      </w:r>
    </w:p>
    <w:p>
      <w:pPr>
        <w:spacing w:line="360" w:lineRule="auto" w:after="0"/>
        <w:ind w:firstLineChars="200" w:firstLine="480"/>
        <w:jc w:val="both"/>
      </w:pPr>
      <w:r>
        <w:rPr>
          <w:rFonts w:ascii="宋体" w:hAnsi="宋体" w:eastAsia="宋体"/>
          <w:sz w:val="24"/>
        </w:rPr>
        <w:t xml:space="preserve">式(8-3)有三项性质值得展开。第一，弹性必然大于 1。由 </w:t>
      </w:r>
      <m:oMath>
        <m:sSub>
          <m:e>
            <m:r>
              <m:t>a</m:t>
            </m:r>
          </m:e>
          <m:sub>
            <m:r>
              <m:t>j</m:t>
            </m:r>
          </m:sub>
        </m:sSub>
        <m:r>
          <m:rPr>
            <m:sty m:val="p"/>
          </m:rPr>
          <m:t>&gt;</m:t>
        </m:r>
        <m:r>
          <m:t>0</m:t>
        </m:r>
      </m:oMath>
      <w:r>
        <w:rPr>
          <w:rFonts w:ascii="宋体" w:hAnsi="宋体" w:eastAsia="宋体"/>
          <w:sz w:val="24"/>
        </w:rPr>
        <w:t xml:space="preserve"> 可得 </w:t>
      </w:r>
      <m:oMath>
        <m:sSub>
          <m:e>
            <m:r>
              <m:t>ε</m:t>
            </m:r>
          </m:e>
          <m:sub>
            <m:r>
              <m:t>j</m:t>
            </m:r>
          </m:sub>
        </m:sSub>
        <m:r>
          <m:rPr>
            <m:sty m:val="p"/>
          </m:rPr>
          <m:t>=</m:t>
        </m:r>
        <m:d>
          <m:dPr>
            <m:begChr m:val="("/>
            <m:endChr m:val=")"/>
            <m:grow/>
          </m:dPr>
          <m:e>
            <m:r>
              <m:t>1</m:t>
            </m:r>
            <m:r>
              <m:rPr>
                <m:sty m:val="p"/>
              </m:rPr>
              <m:t>−</m:t>
            </m:r>
            <m:sSub>
              <m:e>
                <m:r>
                  <m:t>b</m:t>
                </m:r>
              </m:e>
              <m:sub>
                <m:r>
                  <m:t>j</m:t>
                </m:r>
              </m:sub>
            </m:sSub>
          </m:e>
        </m:d>
        <m:r>
          <m:rPr>
            <m:sty m:val="p"/>
          </m:rPr>
          <m:t>/</m:t>
        </m:r>
        <m:d>
          <m:dPr>
            <m:begChr m:val="("/>
            <m:endChr m:val=")"/>
            <m:grow/>
          </m:dPr>
          <m:e>
            <m:r>
              <m:t>1</m:t>
            </m:r>
            <m:r>
              <m:rPr>
                <m:sty m:val="p"/>
              </m:rPr>
              <m:t>−</m:t>
            </m:r>
            <m:sSub>
              <m:e>
                <m:r>
                  <m:t>a</m:t>
                </m:r>
              </m:e>
              <m:sub>
                <m:r>
                  <m:t>j</m:t>
                </m:r>
              </m:sub>
            </m:sSub>
            <m:r>
              <m:rPr>
                <m:sty m:val="p"/>
              </m:rPr>
              <m:t>−</m:t>
            </m:r>
            <m:sSub>
              <m:e>
                <m:r>
                  <m:t>b</m:t>
                </m:r>
              </m:e>
              <m:sub>
                <m:r>
                  <m:t>j</m:t>
                </m:r>
              </m:sub>
            </m:sSub>
          </m:e>
        </m:d>
        <m:r>
          <m:rPr>
            <m:sty m:val="p"/>
          </m:rPr>
          <m:t>&gt;</m:t>
        </m:r>
        <m:r>
          <m:t>1</m:t>
        </m:r>
      </m:oMath>
      <w:r>
        <w:rPr>
          <w:rFonts w:ascii="宋体" w:hAnsi="宋体" w:eastAsia="宋体"/>
          <w:sz w:val="24"/>
        </w:rPr>
        <w:t xml:space="preserve">，即在无约束的最优化框架下，词元需求必定富有弹性。其经济机理是双重的：价格下降既通过边际条件直接增加词元用量，又通过互补投入的同向扩张间接增加词元用量，两个渠道叠加使弹性超过 1。第二，弹性随规模报酬程度上升而放大：当 </w:t>
      </w:r>
      <m:oMath>
        <m:sSub>
          <m:e>
            <m:r>
              <m:t>a</m:t>
            </m:r>
          </m:e>
          <m:sub>
            <m:r>
              <m:t>j</m:t>
            </m:r>
          </m:sub>
        </m:sSub>
        <m:r>
          <m:rPr>
            <m:sty m:val="p"/>
          </m:rPr>
          <m:t>+</m:t>
        </m:r>
        <m:sSub>
          <m:e>
            <m:r>
              <m:t>b</m:t>
            </m:r>
          </m:e>
          <m:sub>
            <m:r>
              <m:t>j</m:t>
            </m:r>
          </m:sub>
        </m:sSub>
        <m:r>
          <m:rPr>
            <m:sty m:val="p"/>
          </m:rPr>
          <m:t>→</m:t>
        </m:r>
        <m:r>
          <m:t>1</m:t>
        </m:r>
      </m:oMath>
      <w:r>
        <w:rPr>
          <w:rFonts w:ascii="宋体" w:hAnsi="宋体" w:eastAsia="宋体"/>
          <w:sz w:val="24"/>
        </w:rPr>
        <w:t xml:space="preserve"> 时 </w:t>
      </w:r>
      <m:oMath>
        <m:sSub>
          <m:e>
            <m:r>
              <m:t>ε</m:t>
            </m:r>
          </m:e>
          <m:sub>
            <m:r>
              <m:t>j</m:t>
            </m:r>
          </m:sub>
        </m:sSub>
        <m:r>
          <m:rPr>
            <m:sty m:val="p"/>
          </m:rPr>
          <m:t>→</m:t>
        </m:r>
        <m:r>
          <m:rPr>
            <m:sty m:val="p"/>
          </m:rPr>
          <m:t>∞</m:t>
        </m:r>
      </m:oMath>
      <w:r>
        <w:rPr>
          <w:rFonts w:ascii="宋体" w:hAnsi="宋体" w:eastAsia="宋体"/>
          <w:sz w:val="24"/>
        </w:rPr>
        <w:t>，说明在认知生产接近规模报酬不变的场景（如可完全自动化的批量任务），需求对价格极端敏感。第三，弹性与需求规模因子相互独立，这意味着「场景价值高」与「需求对价格敏感」是两件事：科研分析类场景的价值密度最高，但若其认知生产的规模报酬递减程度也最强，其需求弹性反而可能偏低。这一区分对定价策略与补贴设计都有直接含义——对高价值低弹性场景降价，扩量效果有限而收入损失确定。</w:t>
      </w:r>
    </w:p>
    <w:p>
      <w:pPr>
        <w:keepNext/>
        <w:spacing w:before="160" w:after="120" w:line="360" w:lineRule="auto"/>
        <w:outlineLvl w:val="2"/>
      </w:pPr>
      <w:r>
        <w:rPr>
          <w:rFonts w:ascii="黑体" w:hAnsi="黑体" w:eastAsia="黑体"/>
          <w:sz w:val="24"/>
        </w:rPr>
        <w:t>8.2.2  预算刚性与吸收能力约束：为什么部分行业的弹性小于 1</w:t>
      </w:r>
    </w:p>
    <w:p>
      <w:pPr>
        <w:spacing w:line="360" w:lineRule="auto" w:after="0"/>
        <w:ind w:firstLineChars="200" w:firstLine="480"/>
        <w:jc w:val="both"/>
      </w:pPr>
      <w:r>
        <w:rPr>
          <w:rFonts w:ascii="宋体" w:hAnsi="宋体" w:eastAsia="宋体"/>
          <w:sz w:val="24"/>
        </w:rPr>
        <w:t>式(8-3)预言所有场景的需求弹性都大于 1，但这一预言在数据上并不总能成立。原因在于，无约束最优化隐含了两个现实中经常不满足的假定：企业能够自由调整词元支出，且能够无限扩张互补投入。对于预算按年度核定、采购须经审批的主体（如政务与部分金融机构），词元支出更接近一个外生给定的额度；对于互补投入受制于数据治理进度与人员能力的企业，词元用量还存在一个短期不可突破的吸收上限。把这两项约束引入，需求函数变为：</w:t>
      </w:r>
    </w:p>
    <w:p>
      <w:pPr>
        <w:tabs>
          <w:tab w:pos="4252" w:val="center"/>
          <w:tab w:pos="8504" w:val="right"/>
        </w:tabs>
        <w:spacing w:line="360" w:lineRule="auto" w:before="80" w:after="80"/>
      </w:pPr>
      <w:r>
        <w:tab/>
      </w:r>
      <m:oMath>
        <m:sSub>
          <m:e>
            <m:acc>
              <m:accPr>
                <m:chr m:val="̃"/>
              </m:accPr>
              <m:e>
                <m:r>
                  <m:t>T</m:t>
                </m:r>
              </m:e>
            </m:acc>
          </m:e>
          <m:sub>
            <m:r>
              <m:t>i</m:t>
            </m:r>
            <m:r>
              <m:t>j</m:t>
            </m:r>
          </m:sub>
        </m:sSub>
        <m:r>
          <m:rPr>
            <m:sty m:val="p"/>
          </m:rPr>
          <m:t>=</m:t>
        </m:r>
        <m:r>
          <m:rPr>
            <m:sty m:val="p"/>
          </m:rPr>
          <m:t>min</m:t>
        </m:r>
        <m:d>
          <m:dPr>
            <m:begChr m:val="{"/>
            <m:endChr m:val="}"/>
            <m:grow/>
          </m:dPr>
          <m:e>
            <m:sSub>
              <m:e>
                <m:r>
                  <m:t>Φ</m:t>
                </m:r>
              </m:e>
              <m:sub>
                <m:r>
                  <m:t>i</m:t>
                </m:r>
                <m:r>
                  <m:t>j</m:t>
                </m:r>
              </m:sub>
            </m:sSub>
            <m:r>
              <m:t> </m:t>
            </m:r>
            <m:sSup>
              <m:e>
                <m:acc>
                  <m:accPr>
                    <m:chr m:val="̃"/>
                  </m:accPr>
                  <m:e>
                    <m:r>
                      <m:t>p</m:t>
                    </m:r>
                  </m:e>
                </m:acc>
              </m:e>
              <m:sup>
                <m:r>
                  <m:rPr>
                    <m:sty m:val="p"/>
                  </m:rPr>
                  <m:t>−</m:t>
                </m:r>
                <m:sSub>
                  <m:e>
                    <m:r>
                      <m:t>ε</m:t>
                    </m:r>
                  </m:e>
                  <m:sub>
                    <m:r>
                      <m:t>j</m:t>
                    </m:r>
                  </m:sub>
                </m:sSub>
              </m:sup>
            </m:sSup>
            <m:r>
              <m:rPr>
                <m:sty m:val="p"/>
              </m:rPr>
              <m:t>,</m:t>
            </m:r>
            <m:r>
              <m:t> </m:t>
            </m:r>
            <m:f>
              <m:fPr>
                <m:type m:val="bar"/>
              </m:fPr>
              <m:num>
                <m:sSub>
                  <m:e>
                    <m:r>
                      <m:t>B</m:t>
                    </m:r>
                  </m:e>
                  <m:sub>
                    <m:r>
                      <m:t>i</m:t>
                    </m:r>
                    <m:r>
                      <m:t>j</m:t>
                    </m:r>
                  </m:sub>
                </m:sSub>
              </m:num>
              <m:den>
                <m:acc>
                  <m:accPr>
                    <m:chr m:val="̃"/>
                  </m:accPr>
                  <m:e>
                    <m:r>
                      <m:t>p</m:t>
                    </m:r>
                  </m:e>
                </m:acc>
              </m:den>
            </m:f>
            <m:r>
              <m:rPr>
                <m:sty m:val="p"/>
              </m:rPr>
              <m:t>,</m:t>
            </m:r>
            <m:r>
              <m:t> </m:t>
            </m:r>
            <m:sSub>
              <m:e>
                <m:acc>
                  <m:accPr>
                    <m:chr m:val="‾"/>
                  </m:accPr>
                  <m:e>
                    <m:r>
                      <m:t>T</m:t>
                    </m:r>
                  </m:e>
                </m:acc>
              </m:e>
              <m:sub>
                <m:r>
                  <m:t>i</m:t>
                </m:r>
                <m:r>
                  <m:t>j</m:t>
                </m:r>
              </m:sub>
            </m:sSub>
          </m:e>
        </m:d>
      </m:oMath>
      <w:r>
        <w:tab/>
      </w:r>
      <w:r>
        <w:rPr>
          <w:rFonts w:ascii="Times New Roman" w:hAnsi="Times New Roman" w:eastAsia="宋体"/>
          <w:sz w:val="24"/>
        </w:rPr>
        <w:t>(8-4)</w:t>
      </w:r>
    </w:p>
    <w:p>
      <w:pPr>
        <w:spacing w:line="360" w:lineRule="auto" w:after="0"/>
        <w:jc w:val="both"/>
      </w:pPr>
      <w:r>
        <w:rPr>
          <w:rFonts w:ascii="宋体" w:hAnsi="宋体" w:eastAsia="宋体"/>
          <w:sz w:val="24"/>
        </w:rPr>
        <w:t>其中，</w:t>
      </w:r>
      <m:oMath>
        <m:sSub>
          <m:e>
            <m:r>
              <m:t>B</m:t>
            </m:r>
          </m:e>
          <m:sub>
            <m:r>
              <m:t>i</m:t>
            </m:r>
            <m:r>
              <m:t>j</m:t>
            </m:r>
          </m:sub>
        </m:sSub>
      </m:oMath>
      <w:r>
        <w:rPr>
          <w:rFonts w:ascii="宋体" w:hAnsi="宋体" w:eastAsia="宋体"/>
          <w:sz w:val="24"/>
        </w:rPr>
        <w:t>为核定的词元支出预算，</w:t>
      </w:r>
      <m:oMath>
        <m:sSub>
          <m:e>
            <m:acc>
              <m:accPr>
                <m:chr m:val="‾"/>
              </m:accPr>
              <m:e>
                <m:r>
                  <m:t>T</m:t>
                </m:r>
              </m:e>
            </m:acc>
          </m:e>
          <m:sub>
            <m:r>
              <m:t>i</m:t>
            </m:r>
            <m:r>
              <m:t>j</m:t>
            </m:r>
          </m:sub>
        </m:sSub>
      </m:oMath>
      <w:r>
        <w:rPr>
          <w:rFonts w:ascii="宋体" w:hAnsi="宋体" w:eastAsia="宋体"/>
          <w:sz w:val="24"/>
        </w:rPr>
        <w:t>为受互补投入与吸收能力约束的用量上限；三项分别对应最优化需求、预算约束需求与能力约束需求。</w:t>
      </w:r>
    </w:p>
    <w:p>
      <w:pPr>
        <w:spacing w:line="360" w:lineRule="auto" w:after="0"/>
        <w:ind w:firstLineChars="200" w:firstLine="480"/>
        <w:jc w:val="both"/>
      </w:pPr>
      <w:r>
        <w:rPr>
          <w:rFonts w:ascii="宋体" w:hAnsi="宋体" w:eastAsia="宋体"/>
          <w:sz w:val="24"/>
        </w:rPr>
        <w:t xml:space="preserve">式(8-4)给出了一个分段的弹性结构：当最优化需求为最小值时，弹性为 </w:t>
      </w:r>
      <m:oMath>
        <m:sSub>
          <m:e>
            <m:r>
              <m:t>ε</m:t>
            </m:r>
          </m:e>
          <m:sub>
            <m:r>
              <m:t>j</m:t>
            </m:r>
          </m:sub>
        </m:sSub>
        <m:r>
          <m:rPr>
            <m:sty m:val="p"/>
          </m:rPr>
          <m:t>&gt;</m:t>
        </m:r>
        <m:r>
          <m:t>1</m:t>
        </m:r>
      </m:oMath>
      <w:r>
        <w:rPr>
          <w:rFonts w:ascii="宋体" w:hAnsi="宋体" w:eastAsia="宋体"/>
          <w:sz w:val="24"/>
        </w:rPr>
        <w:t>；当预算约束绑定时，</w:t>
      </w:r>
      <m:oMath>
        <m:acc>
          <m:accPr>
            <m:chr m:val="̃"/>
          </m:accPr>
          <m:e>
            <m:r>
              <m:t>T</m:t>
            </m:r>
          </m:e>
        </m:acc>
        <m:r>
          <m:rPr>
            <m:sty m:val="p"/>
          </m:rPr>
          <m:t>=</m:t>
        </m:r>
        <m:r>
          <m:t>B</m:t>
        </m:r>
        <m:r>
          <m:rPr>
            <m:sty m:val="p"/>
          </m:rPr>
          <m:t>/</m:t>
        </m:r>
        <m:acc>
          <m:accPr>
            <m:chr m:val="̃"/>
          </m:accPr>
          <m:e>
            <m:r>
              <m:t>p</m:t>
            </m:r>
          </m:e>
        </m:acc>
      </m:oMath>
      <w:r>
        <w:rPr>
          <w:rFonts w:ascii="宋体" w:hAnsi="宋体" w:eastAsia="宋体"/>
          <w:sz w:val="24"/>
        </w:rPr>
        <w:t xml:space="preserve">，弹性恰为 1；当能力约束绑定时，需求对价格完全无反应，弹性为 0。因此，任何一个行业的观测弹性都是三种状态的加权平均，取值落在 </w:t>
      </w:r>
      <m:oMath>
        <m:d>
          <m:dPr>
            <m:begChr m:val="["/>
            <m:endChr m:val="]"/>
            <m:grow/>
          </m:dPr>
          <m:e>
            <m:r>
              <m:t>0</m:t>
            </m:r>
            <m:r>
              <m:rPr>
                <m:sty m:val="p"/>
              </m:rPr>
              <m:t>,</m:t>
            </m:r>
            <m:sSub>
              <m:e>
                <m:r>
                  <m:t>ε</m:t>
                </m:r>
              </m:e>
              <m:sub>
                <m:r>
                  <m:t>j</m:t>
                </m:r>
              </m:sub>
            </m:sSub>
          </m:e>
        </m:d>
      </m:oMath>
      <w:r>
        <w:rPr>
          <w:rFonts w:ascii="宋体" w:hAnsi="宋体" w:eastAsia="宋体"/>
          <w:sz w:val="24"/>
        </w:rPr>
        <w:t xml:space="preserve"> 区间内，而观测到小于 1 的弹性，恰恰是预算刚性与吸收能力约束绑定的信号，而非需求函数设定有误的证据。这一识别具有明确的政策含义：对弹性小于 1 的行业，降价并不能有效扩大用量，真正的约束在预算制度与吸收能力上；相应的政策工具应当是预算科目的调整、政策抵扣的直达，以及互补投入（数据治理与工作流改造）的能力建设，而不是继续压低价格。企业采纳生成式人工智能的国际证据同样显示，采纳的分布高度不均，且差异主要由组织与技能条件而非价格条件解释（Czarnitzki等，2023；Bick等，2024；Humlum和Vestergaard，2025）。</w:t>
      </w:r>
    </w:p>
    <w:p>
      <w:pPr>
        <w:keepNext/>
        <w:spacing w:before="160" w:after="120" w:line="360" w:lineRule="auto"/>
        <w:outlineLvl w:val="2"/>
      </w:pPr>
      <w:r>
        <w:rPr>
          <w:rFonts w:ascii="黑体" w:hAnsi="黑体" w:eastAsia="黑体"/>
          <w:sz w:val="24"/>
        </w:rPr>
        <w:t>8.2.3  计量设定与估计结果</w:t>
      </w:r>
    </w:p>
    <w:p>
      <w:pPr>
        <w:spacing w:line="360" w:lineRule="auto" w:after="0"/>
        <w:ind w:firstLineChars="200" w:firstLine="480"/>
        <w:jc w:val="both"/>
      </w:pPr>
      <w:r>
        <w:rPr>
          <w:rFonts w:ascii="宋体" w:hAnsi="宋体" w:eastAsia="宋体"/>
          <w:sz w:val="24"/>
        </w:rPr>
        <w:t xml:space="preserve">将式(8-3)与式(8-4)对数化并加入固定效应，得到可估计的需求方程。考虑到企业实际面对的报价与账单以物理词元计，估计以物理词元价格 </w:t>
      </w:r>
      <m:oMath>
        <m:sSub>
          <m:e>
            <m:r>
              <m:t>p</m:t>
            </m:r>
          </m:e>
          <m:sub>
            <m:r>
              <m:t>i</m:t>
            </m:r>
            <m:r>
              <m:t>t</m:t>
            </m:r>
          </m:sub>
        </m:sSub>
      </m:oMath>
      <w:r>
        <w:rPr>
          <w:rFonts w:ascii="宋体" w:hAnsi="宋体" w:eastAsia="宋体"/>
          <w:sz w:val="24"/>
        </w:rPr>
        <w:t xml:space="preserve"> 与物理词元用量 </w:t>
      </w:r>
      <m:oMath>
        <m:sSub>
          <m:e>
            <m:r>
              <m:t>T</m:t>
            </m:r>
          </m:e>
          <m:sub>
            <m:r>
              <m:t>i</m:t>
            </m:r>
            <m:r>
              <m:t>t</m:t>
            </m:r>
          </m:sub>
        </m:sSub>
      </m:oMath>
      <w:r>
        <w:rPr>
          <w:rFonts w:ascii="宋体" w:hAnsi="宋体" w:eastAsia="宋体"/>
          <w:sz w:val="24"/>
        </w:rPr>
        <w:t xml:space="preserve"> 为变量，效值差异由模型档位构成的控制向量吸收：</w:t>
      </w:r>
    </w:p>
    <w:p>
      <w:pPr>
        <w:tabs>
          <w:tab w:pos="4252" w:val="center"/>
          <w:tab w:pos="8504" w:val="right"/>
        </w:tabs>
        <w:spacing w:line="360" w:lineRule="auto" w:before="80" w:after="80"/>
      </w:pPr>
      <w:r>
        <w:tab/>
      </w:r>
      <m:oMath>
        <m:r>
          <m:rPr>
            <m:sty m:val="p"/>
          </m:rPr>
          <m:t>ln</m:t>
        </m:r>
        <m:sSub>
          <m:e>
            <m:r>
              <m:t>T</m:t>
            </m:r>
          </m:e>
          <m:sub>
            <m:r>
              <m:t>i</m:t>
            </m:r>
            <m:r>
              <m:t>t</m:t>
            </m:r>
          </m:sub>
        </m:sSub>
        <m:r>
          <m:rPr>
            <m:sty m:val="p"/>
          </m:rPr>
          <m:t>=</m:t>
        </m:r>
        <m:sSub>
          <m:e>
            <m:r>
              <m:t>ϕ</m:t>
            </m:r>
          </m:e>
          <m:sub>
            <m:r>
              <m:t>i</m:t>
            </m:r>
          </m:sub>
        </m:sSub>
        <m:r>
          <m:rPr>
            <m:sty m:val="p"/>
          </m:rPr>
          <m:t>+</m:t>
        </m:r>
        <m:sSub>
          <m:e>
            <m:r>
              <m:t>λ</m:t>
            </m:r>
          </m:e>
          <m:sub>
            <m:r>
              <m:t>t</m:t>
            </m:r>
          </m:sub>
        </m:sSub>
        <m:r>
          <m:rPr>
            <m:sty m:val="p"/>
          </m:rPr>
          <m:t>+</m:t>
        </m:r>
        <m:r>
          <m:t>ε</m:t>
        </m:r>
        <m:r>
          <m:rPr>
            <m:sty m:val="p"/>
          </m:rPr>
          <m:t>ln</m:t>
        </m:r>
        <m:sSub>
          <m:e>
            <m:r>
              <m:t>p</m:t>
            </m:r>
          </m:e>
          <m:sub>
            <m:r>
              <m:t>i</m:t>
            </m:r>
            <m:r>
              <m:t>t</m:t>
            </m:r>
          </m:sub>
        </m:sSub>
        <m:r>
          <m:rPr>
            <m:sty m:val="p"/>
          </m:rPr>
          <m:t>+</m:t>
        </m:r>
        <m:sSubSup>
          <m:e>
            <m:r>
              <m:rPr>
                <m:sty m:val="b"/>
              </m:rPr>
              <m:t>z</m:t>
            </m:r>
          </m:e>
          <m:sub>
            <m:r>
              <m:t>i</m:t>
            </m:r>
            <m:r>
              <m:t>t</m:t>
            </m:r>
          </m:sub>
          <m:sup>
            <m:r>
              <m:rPr>
                <m:sty m:val="p"/>
              </m:rPr>
              <m:t>′</m:t>
            </m:r>
          </m:sup>
        </m:sSubSup>
        <m:r>
          <m:rPr>
            <m:sty m:val="b"/>
          </m:rPr>
          <m:t>γ</m:t>
        </m:r>
        <m:r>
          <m:rPr>
            <m:sty m:val="p"/>
          </m:rPr>
          <m:t>+</m:t>
        </m:r>
        <m:sSub>
          <m:e>
            <m:r>
              <m:t>ξ</m:t>
            </m:r>
          </m:e>
          <m:sub>
            <m:r>
              <m:t>i</m:t>
            </m:r>
            <m:r>
              <m:t>t</m:t>
            </m:r>
          </m:sub>
        </m:sSub>
      </m:oMath>
      <w:r>
        <w:tab/>
      </w:r>
      <w:r>
        <w:rPr>
          <w:rFonts w:ascii="Times New Roman" w:hAnsi="Times New Roman" w:eastAsia="宋体"/>
          <w:sz w:val="24"/>
        </w:rPr>
        <w:t>(8-5)</w:t>
      </w:r>
    </w:p>
    <w:p>
      <w:pPr>
        <w:spacing w:line="360" w:lineRule="auto" w:after="0"/>
        <w:jc w:val="both"/>
      </w:pPr>
      <w:r>
        <w:rPr>
          <w:rFonts w:ascii="宋体" w:hAnsi="宋体" w:eastAsia="宋体"/>
          <w:sz w:val="24"/>
        </w:rPr>
        <w:t>其中，</w:t>
      </w:r>
      <m:oMath>
        <m:sSub>
          <m:e>
            <m:r>
              <m:t>ϕ</m:t>
            </m:r>
          </m:e>
          <m:sub>
            <m:r>
              <m:t>i</m:t>
            </m:r>
          </m:sub>
        </m:sSub>
      </m:oMath>
      <w:r>
        <w:rPr>
          <w:rFonts w:ascii="宋体" w:hAnsi="宋体" w:eastAsia="宋体"/>
          <w:sz w:val="24"/>
        </w:rPr>
        <w:t>为企业固定效应，吸收企业规模、行业属性与适配效率等不随时间变化的异质性；</w:t>
      </w:r>
      <m:oMath>
        <m:sSub>
          <m:e>
            <m:r>
              <m:t>λ</m:t>
            </m:r>
          </m:e>
          <m:sub>
            <m:r>
              <m:t>t</m:t>
            </m:r>
          </m:sub>
        </m:sSub>
      </m:oMath>
      <w:r>
        <w:rPr>
          <w:rFonts w:ascii="宋体" w:hAnsi="宋体" w:eastAsia="宋体"/>
          <w:sz w:val="24"/>
        </w:rPr>
        <w:t>为季度固定效应，吸收技术进步、政策冲击与共同的市场景气；</w:t>
      </w:r>
      <m:oMath>
        <m:sSub>
          <m:e>
            <m:r>
              <m:rPr>
                <m:sty m:val="b"/>
              </m:rPr>
              <m:t>z</m:t>
            </m:r>
          </m:e>
          <m:sub>
            <m:r>
              <m:t>i</m:t>
            </m:r>
            <m:r>
              <m:t>t</m:t>
            </m:r>
          </m:sub>
        </m:sSub>
      </m:oMath>
      <w:r>
        <w:rPr>
          <w:rFonts w:ascii="宋体" w:hAnsi="宋体" w:eastAsia="宋体"/>
          <w:sz w:val="24"/>
        </w:rPr>
        <w:t>为控制向量，包含模型档位构成、任务结构与互补投入强度；</w:t>
      </w:r>
      <m:oMath>
        <m:r>
          <m:t>ε</m:t>
        </m:r>
      </m:oMath>
      <w:r>
        <w:rPr>
          <w:rFonts w:ascii="宋体" w:hAnsi="宋体" w:eastAsia="宋体"/>
          <w:sz w:val="24"/>
        </w:rPr>
        <w:t>即需求价格弹性。</w:t>
      </w:r>
    </w:p>
    <w:p>
      <w:pPr>
        <w:spacing w:line="360" w:lineRule="auto" w:after="0"/>
        <w:ind w:firstLineChars="200" w:firstLine="480"/>
        <w:jc w:val="both"/>
      </w:pPr>
      <w:r>
        <w:rPr>
          <w:rFonts w:ascii="宋体" w:hAnsi="宋体" w:eastAsia="宋体"/>
          <w:sz w:val="24"/>
        </w:rPr>
        <w:t>识别的主要威胁是价格与用量的联立性：观测到的价量组合既可能来自需求曲线的移动，也可能来自供给曲线的移动。本章的处理有三。其一，季度固定效应吸收了全国性的降价冲击，这类冲击对所有企业同时发生，是供给侧的共同移动；其二，控制向量中纳入模型档位构成，避免把「企业转用更便宜的低档位」误读为「价格下降引致用量上升」；其三，以企业所在地算力供给的扩张作为价格的外生变动来源做稳健性检验——算力扩建主要由能源与土地条件驱动，与单个企业的需求冲击相互独立。经上述处理，估计所得弹性可在谨慎意义上解释为需求弹性。企业词元需求曲线的拟合与分行业弹性如图8.2所示。</w:t>
      </w:r>
    </w:p>
    <w:p>
      <w:pPr>
        <w:spacing w:before="120" w:after="40"/>
        <w:jc w:val="center"/>
      </w:pPr>
      <w:r>
        <w:drawing>
          <wp:inline xmlns:a="http://schemas.openxmlformats.org/drawingml/2006/main" xmlns:pic="http://schemas.openxmlformats.org/drawingml/2006/picture">
            <wp:extent cx="4860000" cy="3296117"/>
            <wp:docPr id="25" name="Picture 25"/>
            <wp:cNvGraphicFramePr>
              <a:graphicFrameLocks noChangeAspect="1"/>
            </wp:cNvGraphicFramePr>
            <a:graphic>
              <a:graphicData uri="http://schemas.openxmlformats.org/drawingml/2006/picture">
                <pic:pic>
                  <pic:nvPicPr>
                    <pic:cNvPr id="0" name="fig8_2.png"/>
                    <pic:cNvPicPr/>
                  </pic:nvPicPr>
                  <pic:blipFill>
                    <a:blip r:embed="rId33"/>
                    <a:stretch>
                      <a:fillRect/>
                    </a:stretch>
                  </pic:blipFill>
                  <pic:spPr>
                    <a:xfrm>
                      <a:off x="0" y="0"/>
                      <a:ext cx="4860000" cy="3296117"/>
                    </a:xfrm>
                    <a:prstGeom prst="rect"/>
                  </pic:spPr>
                </pic:pic>
              </a:graphicData>
            </a:graphic>
          </wp:inline>
        </w:drawing>
      </w:r>
    </w:p>
    <w:p>
      <w:pPr>
        <w:keepNext w:val="0"/>
        <w:spacing w:after="40"/>
        <w:jc w:val="center"/>
      </w:pPr>
      <w:r>
        <w:rPr>
          <w:rFonts w:ascii="黑体" w:hAnsi="黑体" w:eastAsia="黑体"/>
          <w:sz w:val="21"/>
        </w:rPr>
        <w:t>图8.2  企业词元需求曲线与价格弹性</w:t>
      </w:r>
    </w:p>
    <w:p>
      <w:pPr>
        <w:spacing w:after="200" w:line="240" w:lineRule="auto"/>
        <w:jc w:val="both"/>
      </w:pPr>
      <w:r>
        <w:rPr>
          <w:rFonts w:ascii="宋体" w:hAnsi="宋体" w:eastAsia="宋体"/>
          <w:sz w:val="18"/>
        </w:rPr>
        <w:t>注：横轴为物理词元价格的对数（元／百万物理词元），纵轴为企业季度词元用量的对数；散点为按回归样本分布随机抽取展示的企业—季度观测，弹性估计基于全部回归样本；阴影为弹性95%置信区间对应的拟合带；内嵌小图报告分样本估计的分行业弹性绝对值，虚线为全样本弹性。数据来源：作者基于企业—季度面板校准复算。</w:t>
      </w:r>
    </w:p>
    <w:p>
      <w:pPr>
        <w:spacing w:line="360" w:lineRule="auto" w:after="0"/>
        <w:ind w:firstLineChars="200" w:firstLine="480"/>
        <w:jc w:val="both"/>
      </w:pPr>
      <w:r>
        <w:rPr>
          <w:rFonts w:ascii="宋体" w:hAnsi="宋体" w:eastAsia="宋体"/>
          <w:sz w:val="24"/>
        </w:rPr>
        <w:t>图8.2显示，企业词元需求在对数尺度上呈现良好的线性关系，全样本需求价格弹性为-1.34（标准误0.19，</w:t>
      </w:r>
      <m:oMath>
        <m:r>
          <m:t>t</m:t>
        </m:r>
      </m:oMath>
      <w:r>
        <w:rPr>
          <w:rFonts w:ascii="宋体" w:hAnsi="宋体" w:eastAsia="宋体"/>
          <w:sz w:val="24"/>
        </w:rPr>
        <w:t xml:space="preserve"> 值-7.05），95% 置信区间为[-1.52, -1.16]，</w:t>
      </w:r>
      <m:oMath>
        <m:sSup>
          <m:e>
            <m:r>
              <m:t>R</m:t>
            </m:r>
          </m:e>
          <m:sup>
            <m:r>
              <m:t>2</m:t>
            </m:r>
          </m:sup>
        </m:sSup>
      </m:oMath>
      <w:r>
        <w:rPr>
          <w:rFonts w:ascii="宋体" w:hAnsi="宋体" w:eastAsia="宋体"/>
          <w:sz w:val="24"/>
        </w:rPr>
        <w:t xml:space="preserve"> 为0.83，回归样本量为864。弹性绝对值显著大于 1，与式(8-3)的理论预言一致；将其代回弹性表达式可以反解需求函数的结构参数：若互补投入的产出弹性为零，则词元投入的产出弹性 </w:t>
      </w:r>
      <m:oMath>
        <m:r>
          <m:t>a</m:t>
        </m:r>
      </m:oMath>
      <w:r>
        <w:rPr>
          <w:rFonts w:ascii="宋体" w:hAnsi="宋体" w:eastAsia="宋体"/>
          <w:sz w:val="24"/>
        </w:rPr>
        <w:t xml:space="preserve"> 为0.254；若互补投入的产出弹性取 0.3，则 </w:t>
      </w:r>
      <m:oMath>
        <m:r>
          <m:t>a</m:t>
        </m:r>
      </m:oMath>
      <w:r>
        <w:rPr>
          <w:rFonts w:ascii="宋体" w:hAnsi="宋体" w:eastAsia="宋体"/>
          <w:sz w:val="24"/>
        </w:rPr>
        <w:t xml:space="preserve"> 降至0.178。这一量级与第 12 章宏观生产函数中标准词元流量的产出弹性并不冲突：微观场景内部的词元投入弹性刻画的是单一业务流程的技术关系，宏观弹性则是全经济范围内的加权结果，后者必然小于前者。分行业弹性与全样本估计的对照见表8.1。</w:t>
      </w:r>
    </w:p>
    <w:p>
      <w:pPr>
        <w:keepNext/>
        <w:spacing w:before="160" w:after="40"/>
        <w:jc w:val="center"/>
      </w:pPr>
      <w:r>
        <w:rPr>
          <w:rFonts w:ascii="黑体" w:hAnsi="黑体" w:eastAsia="黑体"/>
          <w:sz w:val="21"/>
        </w:rPr>
        <w:t>表8.1  企业词元需求函数的估计结果与分行业弹性</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项目</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全样本</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制造</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金融</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文化传媒</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政务</w:t>
            </w:r>
          </w:p>
        </w:tc>
      </w:tr>
      <w:tr>
        <w:tc>
          <w:tcPr>
            <w:tcW w:type="dxa" w:w="1417"/>
            <w:vAlign w:val="center"/>
          </w:tcPr>
          <w:p>
            <w:pPr>
              <w:spacing w:line="240" w:lineRule="auto" w:after="20" w:before="20"/>
              <w:jc w:val="left"/>
            </w:pPr>
            <w:r/>
            <w:r>
              <w:rPr>
                <w:rFonts w:ascii="宋体" w:hAnsi="宋体" w:eastAsia="宋体"/>
                <w:sz w:val="21"/>
              </w:rPr>
              <w:t>需求价格弹性 ε</w:t>
            </w:r>
          </w:p>
        </w:tc>
        <w:tc>
          <w:tcPr>
            <w:tcW w:type="dxa" w:w="1417"/>
            <w:vAlign w:val="center"/>
          </w:tcPr>
          <w:p>
            <w:pPr>
              <w:spacing w:line="240" w:lineRule="auto" w:after="20" w:before="20"/>
              <w:jc w:val="center"/>
            </w:pPr>
            <w:r/>
            <w:r>
              <w:rPr>
                <w:rFonts w:ascii="宋体" w:hAnsi="宋体" w:eastAsia="宋体"/>
                <w:sz w:val="21"/>
              </w:rPr>
              <w:t>-1.34***</w:t>
              <w:br/>
              <w:t>(0.19)</w:t>
            </w:r>
          </w:p>
        </w:tc>
        <w:tc>
          <w:tcPr>
            <w:tcW w:type="dxa" w:w="1417"/>
            <w:vAlign w:val="center"/>
          </w:tcPr>
          <w:p>
            <w:pPr>
              <w:spacing w:line="240" w:lineRule="auto" w:after="20" w:before="20"/>
              <w:jc w:val="center"/>
            </w:pPr>
            <w:r/>
            <w:r>
              <w:rPr>
                <w:rFonts w:ascii="宋体" w:hAnsi="宋体" w:eastAsia="宋体"/>
                <w:sz w:val="21"/>
              </w:rPr>
              <w:t>-1.62</w:t>
            </w:r>
          </w:p>
        </w:tc>
        <w:tc>
          <w:tcPr>
            <w:tcW w:type="dxa" w:w="1417"/>
            <w:vAlign w:val="center"/>
          </w:tcPr>
          <w:p>
            <w:pPr>
              <w:spacing w:line="240" w:lineRule="auto" w:after="20" w:before="20"/>
              <w:jc w:val="center"/>
            </w:pPr>
            <w:r/>
            <w:r>
              <w:rPr>
                <w:rFonts w:ascii="宋体" w:hAnsi="宋体" w:eastAsia="宋体"/>
                <w:sz w:val="21"/>
              </w:rPr>
              <w:t>-0.94</w:t>
            </w:r>
          </w:p>
        </w:tc>
        <w:tc>
          <w:tcPr>
            <w:tcW w:type="dxa" w:w="1417"/>
            <w:vAlign w:val="center"/>
          </w:tcPr>
          <w:p>
            <w:pPr>
              <w:spacing w:line="240" w:lineRule="auto" w:after="20" w:before="20"/>
              <w:jc w:val="center"/>
            </w:pPr>
            <w:r/>
            <w:r>
              <w:rPr>
                <w:rFonts w:ascii="宋体" w:hAnsi="宋体" w:eastAsia="宋体"/>
                <w:sz w:val="21"/>
              </w:rPr>
              <w:t>-1.71</w:t>
            </w:r>
          </w:p>
        </w:tc>
        <w:tc>
          <w:tcPr>
            <w:tcW w:type="dxa" w:w="1417"/>
            <w:vAlign w:val="center"/>
          </w:tcPr>
          <w:p>
            <w:pPr>
              <w:spacing w:line="240" w:lineRule="auto" w:after="20" w:before="20"/>
              <w:jc w:val="center"/>
            </w:pPr>
            <w:r/>
            <w:r>
              <w:rPr>
                <w:rFonts w:ascii="宋体" w:hAnsi="宋体" w:eastAsia="宋体"/>
                <w:sz w:val="21"/>
              </w:rPr>
              <w:t>-0.68</w:t>
            </w:r>
          </w:p>
        </w:tc>
      </w:tr>
      <w:tr>
        <w:tc>
          <w:tcPr>
            <w:tcW w:type="dxa" w:w="1417"/>
            <w:vAlign w:val="center"/>
          </w:tcPr>
          <w:p>
            <w:pPr>
              <w:spacing w:line="240" w:lineRule="auto" w:after="20" w:before="20"/>
              <w:jc w:val="left"/>
            </w:pPr>
            <w:r/>
            <w:r>
              <w:rPr>
                <w:rFonts w:ascii="宋体" w:hAnsi="宋体" w:eastAsia="宋体"/>
                <w:sz w:val="21"/>
              </w:rPr>
              <w:t>95%置信区间</w:t>
            </w:r>
          </w:p>
        </w:tc>
        <w:tc>
          <w:tcPr>
            <w:tcW w:type="dxa" w:w="1417"/>
            <w:vAlign w:val="center"/>
          </w:tcPr>
          <w:p>
            <w:pPr>
              <w:spacing w:line="240" w:lineRule="auto" w:after="20" w:before="20"/>
              <w:jc w:val="center"/>
            </w:pPr>
            <w:r/>
            <w:r>
              <w:rPr>
                <w:rFonts w:ascii="宋体" w:hAnsi="宋体" w:eastAsia="宋体"/>
                <w:sz w:val="21"/>
              </w:rPr>
              <w:t>[-1.52, -1.16]</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r>
      <w:tr>
        <w:tc>
          <w:tcPr>
            <w:tcW w:type="dxa" w:w="1417"/>
            <w:vAlign w:val="center"/>
          </w:tcPr>
          <w:p>
            <w:pPr>
              <w:spacing w:line="240" w:lineRule="auto" w:after="20" w:before="20"/>
              <w:jc w:val="left"/>
            </w:pPr>
            <w:r/>
            <w:r>
              <w:rPr>
                <w:rFonts w:ascii="宋体" w:hAnsi="宋体" w:eastAsia="宋体"/>
                <w:sz w:val="21"/>
              </w:rPr>
              <w:t>t 值</w:t>
            </w:r>
          </w:p>
        </w:tc>
        <w:tc>
          <w:tcPr>
            <w:tcW w:type="dxa" w:w="1417"/>
            <w:vAlign w:val="center"/>
          </w:tcPr>
          <w:p>
            <w:pPr>
              <w:spacing w:line="240" w:lineRule="auto" w:after="20" w:before="20"/>
              <w:jc w:val="center"/>
            </w:pPr>
            <w:r/>
            <w:r>
              <w:rPr>
                <w:rFonts w:ascii="宋体" w:hAnsi="宋体" w:eastAsia="宋体"/>
                <w:sz w:val="21"/>
              </w:rPr>
              <w:t>-7.05</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r>
      <w:tr>
        <w:tc>
          <w:tcPr>
            <w:tcW w:type="dxa" w:w="1417"/>
            <w:vAlign w:val="center"/>
          </w:tcPr>
          <w:p>
            <w:pPr>
              <w:spacing w:line="240" w:lineRule="auto" w:after="20" w:before="20"/>
              <w:jc w:val="left"/>
            </w:pPr>
            <w:r/>
            <w:r>
              <w:rPr>
                <w:rFonts w:ascii="宋体" w:hAnsi="宋体" w:eastAsia="宋体"/>
                <w:sz w:val="21"/>
              </w:rPr>
              <w:t>R²</w:t>
            </w:r>
          </w:p>
        </w:tc>
        <w:tc>
          <w:tcPr>
            <w:tcW w:type="dxa" w:w="1417"/>
            <w:vAlign w:val="center"/>
          </w:tcPr>
          <w:p>
            <w:pPr>
              <w:spacing w:line="240" w:lineRule="auto" w:after="20" w:before="20"/>
              <w:jc w:val="center"/>
            </w:pPr>
            <w:r/>
            <w:r>
              <w:rPr>
                <w:rFonts w:ascii="宋体" w:hAnsi="宋体" w:eastAsia="宋体"/>
                <w:sz w:val="21"/>
              </w:rPr>
              <w:t>0.83</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r>
      <w:tr>
        <w:tc>
          <w:tcPr>
            <w:tcW w:type="dxa" w:w="1417"/>
            <w:vAlign w:val="center"/>
          </w:tcPr>
          <w:p>
            <w:pPr>
              <w:spacing w:line="240" w:lineRule="auto" w:after="20" w:before="20"/>
              <w:jc w:val="left"/>
            </w:pPr>
            <w:r/>
            <w:r>
              <w:rPr>
                <w:rFonts w:ascii="宋体" w:hAnsi="宋体" w:eastAsia="宋体"/>
                <w:sz w:val="21"/>
              </w:rPr>
              <w:t>观测数 N</w:t>
            </w:r>
          </w:p>
        </w:tc>
        <w:tc>
          <w:tcPr>
            <w:tcW w:type="dxa" w:w="1417"/>
            <w:vAlign w:val="center"/>
          </w:tcPr>
          <w:p>
            <w:pPr>
              <w:spacing w:line="240" w:lineRule="auto" w:after="20" w:before="20"/>
              <w:jc w:val="center"/>
            </w:pPr>
            <w:r/>
            <w:r>
              <w:rPr>
                <w:rFonts w:ascii="宋体" w:hAnsi="宋体" w:eastAsia="宋体"/>
                <w:sz w:val="21"/>
              </w:rPr>
              <w:t>864</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r>
      <w:tr>
        <w:tc>
          <w:tcPr>
            <w:tcW w:type="dxa" w:w="1417"/>
            <w:vAlign w:val="center"/>
          </w:tcPr>
          <w:p>
            <w:pPr>
              <w:spacing w:line="240" w:lineRule="auto" w:after="20" w:before="20"/>
              <w:jc w:val="left"/>
            </w:pPr>
            <w:r/>
            <w:r>
              <w:rPr>
                <w:rFonts w:ascii="宋体" w:hAnsi="宋体" w:eastAsia="宋体"/>
                <w:sz w:val="21"/>
              </w:rPr>
              <w:t>支出对价格的弹性 1+ε</w:t>
            </w:r>
          </w:p>
        </w:tc>
        <w:tc>
          <w:tcPr>
            <w:tcW w:type="dxa" w:w="1417"/>
            <w:vAlign w:val="center"/>
          </w:tcPr>
          <w:p>
            <w:pPr>
              <w:spacing w:line="240" w:lineRule="auto" w:after="20" w:before="20"/>
              <w:jc w:val="center"/>
            </w:pPr>
            <w:r/>
            <w:r>
              <w:rPr>
                <w:rFonts w:ascii="宋体" w:hAnsi="宋体" w:eastAsia="宋体"/>
                <w:sz w:val="21"/>
              </w:rPr>
              <w:t>-0.34</w:t>
            </w:r>
          </w:p>
        </w:tc>
        <w:tc>
          <w:tcPr>
            <w:tcW w:type="dxa" w:w="1417"/>
            <w:vAlign w:val="center"/>
          </w:tcPr>
          <w:p>
            <w:pPr>
              <w:spacing w:line="240" w:lineRule="auto" w:after="20" w:before="20"/>
              <w:jc w:val="center"/>
            </w:pPr>
            <w:r/>
            <w:r>
              <w:rPr>
                <w:rFonts w:ascii="宋体" w:hAnsi="宋体" w:eastAsia="宋体"/>
                <w:sz w:val="21"/>
              </w:rPr>
              <w:t>-0.62</w:t>
            </w:r>
          </w:p>
        </w:tc>
        <w:tc>
          <w:tcPr>
            <w:tcW w:type="dxa" w:w="1417"/>
            <w:vAlign w:val="center"/>
          </w:tcPr>
          <w:p>
            <w:pPr>
              <w:spacing w:line="240" w:lineRule="auto" w:after="20" w:before="20"/>
              <w:jc w:val="center"/>
            </w:pPr>
            <w:r/>
            <w:r>
              <w:rPr>
                <w:rFonts w:ascii="宋体" w:hAnsi="宋体" w:eastAsia="宋体"/>
                <w:sz w:val="21"/>
              </w:rPr>
              <w:t>0.06</w:t>
            </w:r>
          </w:p>
        </w:tc>
        <w:tc>
          <w:tcPr>
            <w:tcW w:type="dxa" w:w="1417"/>
            <w:vAlign w:val="center"/>
          </w:tcPr>
          <w:p>
            <w:pPr>
              <w:spacing w:line="240" w:lineRule="auto" w:after="20" w:before="20"/>
              <w:jc w:val="center"/>
            </w:pPr>
            <w:r/>
            <w:r>
              <w:rPr>
                <w:rFonts w:ascii="宋体" w:hAnsi="宋体" w:eastAsia="宋体"/>
                <w:sz w:val="21"/>
              </w:rPr>
              <w:t>-0.71</w:t>
            </w:r>
          </w:p>
        </w:tc>
        <w:tc>
          <w:tcPr>
            <w:tcW w:type="dxa" w:w="1417"/>
            <w:vAlign w:val="center"/>
          </w:tcPr>
          <w:p>
            <w:pPr>
              <w:spacing w:line="240" w:lineRule="auto" w:after="20" w:before="20"/>
              <w:jc w:val="center"/>
            </w:pPr>
            <w:r/>
            <w:r>
              <w:rPr>
                <w:rFonts w:ascii="宋体" w:hAnsi="宋体" w:eastAsia="宋体"/>
                <w:sz w:val="21"/>
              </w:rPr>
              <w:t>0.32</w:t>
            </w:r>
          </w:p>
        </w:tc>
      </w:tr>
      <w:tr>
        <w:tc>
          <w:tcPr>
            <w:tcW w:type="dxa" w:w="1417"/>
            <w:vAlign w:val="center"/>
          </w:tcPr>
          <w:p>
            <w:pPr>
              <w:spacing w:line="240" w:lineRule="auto" w:after="20" w:before="20"/>
              <w:jc w:val="left"/>
            </w:pPr>
            <w:r/>
            <w:r>
              <w:rPr>
                <w:rFonts w:ascii="宋体" w:hAnsi="宋体" w:eastAsia="宋体"/>
                <w:sz w:val="21"/>
              </w:rPr>
              <w:t>需求类型</w:t>
            </w:r>
          </w:p>
        </w:tc>
        <w:tc>
          <w:tcPr>
            <w:tcW w:type="dxa" w:w="1417"/>
            <w:vAlign w:val="center"/>
          </w:tcPr>
          <w:p>
            <w:pPr>
              <w:spacing w:line="240" w:lineRule="auto" w:after="20" w:before="20"/>
              <w:jc w:val="center"/>
            </w:pPr>
            <w:r/>
            <w:r>
              <w:rPr>
                <w:rFonts w:ascii="宋体" w:hAnsi="宋体" w:eastAsia="宋体"/>
                <w:sz w:val="21"/>
              </w:rPr>
              <w:t>富有弹性</w:t>
            </w:r>
          </w:p>
        </w:tc>
        <w:tc>
          <w:tcPr>
            <w:tcW w:type="dxa" w:w="1417"/>
            <w:vAlign w:val="center"/>
          </w:tcPr>
          <w:p>
            <w:pPr>
              <w:spacing w:line="240" w:lineRule="auto" w:after="20" w:before="20"/>
              <w:jc w:val="center"/>
            </w:pPr>
            <w:r/>
            <w:r>
              <w:rPr>
                <w:rFonts w:ascii="宋体" w:hAnsi="宋体" w:eastAsia="宋体"/>
                <w:sz w:val="21"/>
              </w:rPr>
              <w:t>富有弹性</w:t>
            </w:r>
          </w:p>
        </w:tc>
        <w:tc>
          <w:tcPr>
            <w:tcW w:type="dxa" w:w="1417"/>
            <w:vAlign w:val="center"/>
          </w:tcPr>
          <w:p>
            <w:pPr>
              <w:spacing w:line="240" w:lineRule="auto" w:after="20" w:before="20"/>
              <w:jc w:val="center"/>
            </w:pPr>
            <w:r/>
            <w:r>
              <w:rPr>
                <w:rFonts w:ascii="宋体" w:hAnsi="宋体" w:eastAsia="宋体"/>
                <w:sz w:val="21"/>
              </w:rPr>
              <w:t>缺乏弹性</w:t>
            </w:r>
          </w:p>
        </w:tc>
        <w:tc>
          <w:tcPr>
            <w:tcW w:type="dxa" w:w="1417"/>
            <w:vAlign w:val="center"/>
          </w:tcPr>
          <w:p>
            <w:pPr>
              <w:spacing w:line="240" w:lineRule="auto" w:after="20" w:before="20"/>
              <w:jc w:val="center"/>
            </w:pPr>
            <w:r/>
            <w:r>
              <w:rPr>
                <w:rFonts w:ascii="宋体" w:hAnsi="宋体" w:eastAsia="宋体"/>
                <w:sz w:val="21"/>
              </w:rPr>
              <w:t>富有弹性</w:t>
            </w:r>
          </w:p>
        </w:tc>
        <w:tc>
          <w:tcPr>
            <w:tcW w:type="dxa" w:w="1417"/>
            <w:vAlign w:val="center"/>
          </w:tcPr>
          <w:p>
            <w:pPr>
              <w:spacing w:line="240" w:lineRule="auto" w:after="20" w:before="20"/>
              <w:jc w:val="center"/>
            </w:pPr>
            <w:r/>
            <w:r>
              <w:rPr>
                <w:rFonts w:ascii="宋体" w:hAnsi="宋体" w:eastAsia="宋体"/>
                <w:sz w:val="21"/>
              </w:rPr>
              <w:t>缺乏弹性</w:t>
            </w:r>
          </w:p>
        </w:tc>
      </w:tr>
      <w:tr>
        <w:tc>
          <w:tcPr>
            <w:tcW w:type="dxa" w:w="1417"/>
            <w:vAlign w:val="center"/>
          </w:tcPr>
          <w:p>
            <w:pPr>
              <w:spacing w:line="240" w:lineRule="auto" w:after="20" w:before="20"/>
              <w:jc w:val="left"/>
            </w:pPr>
            <w:r/>
            <w:r>
              <w:rPr>
                <w:rFonts w:ascii="宋体" w:hAnsi="宋体" w:eastAsia="宋体"/>
                <w:sz w:val="21"/>
              </w:rPr>
              <w:t>绑定的主要约束</w:t>
            </w:r>
          </w:p>
        </w:tc>
        <w:tc>
          <w:tcPr>
            <w:tcW w:type="dxa" w:w="1417"/>
            <w:vAlign w:val="center"/>
          </w:tcPr>
          <w:p>
            <w:pPr>
              <w:spacing w:line="240" w:lineRule="auto" w:after="20" w:before="20"/>
              <w:jc w:val="center"/>
            </w:pPr>
            <w:r/>
            <w:r>
              <w:rPr>
                <w:rFonts w:ascii="宋体" w:hAnsi="宋体" w:eastAsia="宋体"/>
                <w:sz w:val="21"/>
              </w:rPr>
              <w:t>最优化需求</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预算与吸收能力</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预算与吸收能力</w:t>
            </w:r>
          </w:p>
        </w:tc>
      </w:tr>
    </w:tbl>
    <w:p>
      <w:pPr>
        <w:spacing w:after="200" w:line="240" w:lineRule="auto"/>
        <w:jc w:val="both"/>
      </w:pPr>
      <w:r>
        <w:rPr>
          <w:rFonts w:ascii="宋体" w:hAnsi="宋体" w:eastAsia="宋体"/>
          <w:sz w:val="18"/>
        </w:rPr>
        <w:t>注：括号内为标准误，***表示在1%水平显著；全样本列为式(8-5)的双向固定效应估计，价格与用量均取对数，价格口径为元／百万物理词元；分行业列为分样本估计的弹性点估计，受分样本规模限制不报告标准误与拟合优度；支出对价格的弹性按式(8-3)的支出恒等式计算为1+ε，负值表示降价使总支出扩大。数据来源：作者基于企业—季度面板校准复算。</w:t>
      </w:r>
    </w:p>
    <w:p>
      <w:pPr>
        <w:spacing w:line="360" w:lineRule="auto" w:after="0"/>
        <w:ind w:firstLineChars="200" w:firstLine="480"/>
        <w:jc w:val="both"/>
      </w:pPr>
      <w:r>
        <w:rPr>
          <w:rFonts w:ascii="宋体" w:hAnsi="宋体" w:eastAsia="宋体"/>
          <w:sz w:val="24"/>
        </w:rPr>
        <w:t>表8.1揭示出一条清晰的分界线。文化传媒（-1.71）与制造（-1.62）的弹性绝对值显著大于 1，属富有弹性；金融（-0.94）与政务（-0.68）的弹性绝对值小于 1，属缺乏弹性。按式(8-4)的分段结构，前者对应最优化需求主导的状态，后者对应预算约束或能力约束绑定的状态。这一分界与两组行业的制度特征高度吻合：文化传媒的内容生成任务标准化程度高、可自动化比例大，词元价格下降可以立即转化为产量扩张；制造业的设计、质检与工艺优化任务同样具有明确的可替代人工基准，降价的扩量效应显著。金融与政务则受制于合规审查、采购审批与数据出域限制，用量在短期内难以随价格调整，其需求更接近于按年度额度执行。</w:t>
      </w:r>
    </w:p>
    <w:p>
      <w:pPr>
        <w:spacing w:line="360" w:lineRule="auto" w:after="0"/>
        <w:ind w:firstLineChars="200" w:firstLine="480"/>
        <w:jc w:val="both"/>
      </w:pPr>
      <w:r>
        <w:rPr>
          <w:rFonts w:ascii="宋体" w:hAnsi="宋体" w:eastAsia="宋体"/>
          <w:sz w:val="24"/>
        </w:rPr>
        <w:t>支出弹性一行提供了另一个层面的信息。全样本的支出对价格弹性为-0.34，为负值，意味着降价将扩大而非缩小词元总支出——市场处于「以价换量且量的增幅足以覆盖价的降幅」的区间，这正是供给方持续降价而收入仍在增长的微观基础。但分行业看，金融（0.06）与政务（0.32）的支出弹性为正，降价会直接缩减这两个行业的词元支出规模。这意味着面向不同行业的降价具有完全不同的收入含义：在弹性行业降价是投资，在刚性行业降价是让利。三级服务定价体系恰恰是对这一差异的市场化回应——普惠包覆盖了62%的用户却只贡献21%的收入，专属定制仅覆盖7%的用户却贡献41%的收入，用户结构与收入结构的错位说明市场已在自发地按弹性分层（其二级价格歧视机理已在第 7 章分析）。</w:t>
      </w:r>
    </w:p>
    <w:p>
      <w:pPr>
        <w:keepNext/>
        <w:spacing w:before="160" w:after="120" w:line="360" w:lineRule="auto"/>
        <w:outlineLvl w:val="2"/>
      </w:pPr>
      <w:r>
        <w:rPr>
          <w:rFonts w:ascii="黑体" w:hAnsi="黑体" w:eastAsia="黑体"/>
          <w:sz w:val="24"/>
        </w:rPr>
        <w:t>8.2.4  需求扩张的分解：沿曲线移动与曲线外移</w:t>
      </w:r>
    </w:p>
    <w:p>
      <w:pPr>
        <w:spacing w:line="360" w:lineRule="auto" w:after="0"/>
        <w:ind w:firstLineChars="200" w:firstLine="480"/>
        <w:jc w:val="both"/>
      </w:pPr>
      <w:r>
        <w:rPr>
          <w:rFonts w:ascii="宋体" w:hAnsi="宋体" w:eastAsia="宋体"/>
          <w:sz w:val="24"/>
        </w:rPr>
        <w:t>有了弹性估计，就可以回答词元经济最引人注目的一个事实：我国日均词元调用量由 2024 年初的 1000 亿枚增至 2025 年 6 月底的 30 万亿枚、2025 年底的 100 万亿枚，2026 年 3 月突破 140 万亿枚，两年增长约1400倍（国家数据局口径；上述四个时点为官方发布的锚点，其间各季度的点位系校准复算插值，官方未单独发布）。这一扩张究竟有多少来自降价、多少来自需求本身的增长？在恒弹性需求下，两者可以严格分解。</w:t>
      </w:r>
    </w:p>
    <w:p>
      <w:pPr>
        <w:spacing w:line="360" w:lineRule="auto" w:after="0"/>
        <w:ind w:firstLineChars="200" w:firstLine="480"/>
        <w:jc w:val="both"/>
      </w:pPr>
      <w:r>
        <w:rPr>
          <w:rFonts w:ascii="宋体" w:hAnsi="宋体" w:eastAsia="宋体"/>
          <w:sz w:val="24"/>
        </w:rPr>
        <w:t>以 2024 年第一季度至 2026 年第一季度为窗口（两端均为官方锚点所在季度），物理词元价格指数由100降至25，价格降至原来的0.25。在弹性为-1.34的条件下，纯价格效应引致的用量扩张为6.4倍，占对数总增幅的25.6%；其余部分即需求曲线的外移，幅度达218倍，占对数总增幅的74.4%。换言之，两年间约四分之一的调用量扩张是沿着既有需求曲线的移动，约四分之三来自需求曲线本身的整体外移。把「词元用量暴增」简单归因于「模型降价」，在数量级上是站不住脚的。</w:t>
      </w:r>
    </w:p>
    <w:p>
      <w:pPr>
        <w:spacing w:line="360" w:lineRule="auto" w:after="0"/>
        <w:ind w:firstLineChars="200" w:firstLine="480"/>
        <w:jc w:val="both"/>
      </w:pPr>
      <w:r>
        <w:rPr>
          <w:rFonts w:ascii="宋体" w:hAnsi="宋体" w:eastAsia="宋体"/>
          <w:sz w:val="24"/>
        </w:rPr>
        <w:t xml:space="preserve">需求曲线外移的来源可以按式(8-3)的需求规模因子 </w:t>
      </w:r>
      <m:oMath>
        <m:sSub>
          <m:e>
            <m:r>
              <m:t>Φ</m:t>
            </m:r>
          </m:e>
          <m:sub>
            <m:r>
              <m:t>i</m:t>
            </m:r>
            <m:r>
              <m:t>j</m:t>
            </m:r>
          </m:sub>
        </m:sSub>
      </m:oMath>
      <w:r>
        <w:rPr>
          <w:rFonts w:ascii="宋体" w:hAnsi="宋体" w:eastAsia="宋体"/>
          <w:sz w:val="24"/>
        </w:rPr>
        <w:t xml:space="preserve"> 拆成三项。第一项是场景扩张，即新的高价值场景 </w:t>
      </w:r>
      <m:oMath>
        <m:sSub>
          <m:e>
            <m:r>
              <m:t>u</m:t>
            </m:r>
          </m:e>
          <m:sub>
            <m:r>
              <m:t>j</m:t>
            </m:r>
          </m:sub>
        </m:sSub>
      </m:oMath>
      <w:r>
        <w:rPr>
          <w:rFonts w:ascii="宋体" w:hAnsi="宋体" w:eastAsia="宋体"/>
          <w:sz w:val="24"/>
        </w:rPr>
        <w:t xml:space="preserve"> 被打开。可溯源的证据来自基于百万亿量级词元数据的平台侧观察：在 2024 年 11 月至 2025 年 11 月的样本区间内，编程类请求的词元占比从区间初的 11% 升至区间末的 50% 以上，成为最大的单一使用品类，而由智能体驱动的多步骤自动化工作流所产生的输出词元已超过平台总输出的一半（该口径为第三方模型路由平台的内部统计，仅覆盖经该平台路由的调用，不能外推为全行业结构）。第二项是企业适配效率 </w:t>
      </w:r>
      <m:oMath>
        <m:sSub>
          <m:e>
            <m:r>
              <m:t>A</m:t>
            </m:r>
          </m:e>
          <m:sub>
            <m:r>
              <m:t>i</m:t>
            </m:r>
            <m:r>
              <m:t>j</m:t>
            </m:r>
          </m:sub>
        </m:sSub>
      </m:oMath>
      <w:r>
        <w:rPr>
          <w:rFonts w:ascii="宋体" w:hAnsi="宋体" w:eastAsia="宋体"/>
          <w:sz w:val="24"/>
        </w:rPr>
        <w:t xml:space="preserve"> 的提升，即同样的场景中企业学会了用更少的返工、更短的提示与更成熟的工作流获得可用产出，这一项正是第 6 章「持续学习」增值机制在需求侧的映像。第三项是效值提升带来的实际质量上升：同期标准词元价格指数仅由100降至50.5，降幅明显小于物理词元价格指数，其差额意味着企业以同样的支出买到了能力更强的词元，需求曲线因而在质量维度上外移。三项来源在政策含义上完全不同：第一项依赖场景开发，第二项依赖能力建设，第三项依赖模型进步，没有一项能由价格补贴直接作用；而价格补贴唯一能够触及的渠道——沿需求曲线的移动——恰恰只解释了扩张的四分之一。</w:t>
      </w:r>
    </w:p>
    <w:p>
      <w:pPr>
        <w:spacing w:line="360" w:lineRule="auto" w:after="0"/>
        <w:ind w:firstLineChars="200" w:firstLine="480"/>
        <w:jc w:val="both"/>
      </w:pPr>
      <w:r>
        <w:rPr>
          <w:rFonts w:ascii="宋体" w:hAnsi="宋体" w:eastAsia="宋体"/>
          <w:sz w:val="24"/>
        </w:rPr>
        <w:t>把价格与用量合并，还可以得到市场规模的直接推算：物理词元价格降至0.25、用量增至1400倍，两者相乘意味着词元市场的支出总额在两年间扩大了约350倍。这一数量级说明，尽管单价以年均过半的速度下行，词元市场仍处在典型的「价降量升、总额膨胀」的扩张期。市场规模的快速膨胀是理解后续两节的必要背景：它既是供给侧持续扩产的收益基础，也是判断自然垄断假说时不可忽略的分母。</w:t>
      </w:r>
    </w:p>
    <w:p>
      <w:pPr>
        <w:keepNext/>
        <w:spacing w:before="160" w:after="120" w:line="360" w:lineRule="auto"/>
        <w:outlineLvl w:val="1"/>
      </w:pPr>
      <w:r>
        <w:rPr>
          <w:rFonts w:ascii="黑体" w:hAnsi="黑体" w:eastAsia="黑体"/>
          <w:sz w:val="28"/>
        </w:rPr>
        <w:t>8.3  供给侧：词元工厂的产能、效率与成本曲线</w:t>
      </w:r>
    </w:p>
    <w:p>
      <w:pPr>
        <w:keepNext/>
        <w:spacing w:before="160" w:after="120" w:line="360" w:lineRule="auto"/>
        <w:outlineLvl w:val="2"/>
      </w:pPr>
      <w:r>
        <w:rPr>
          <w:rFonts w:ascii="黑体" w:hAnsi="黑体" w:eastAsia="黑体"/>
          <w:sz w:val="24"/>
        </w:rPr>
        <w:t>8.3.1  词元工厂：产能的技术决定式与效值—产能替换</w:t>
      </w:r>
    </w:p>
    <w:p>
      <w:pPr>
        <w:spacing w:line="360" w:lineRule="auto" w:after="0"/>
        <w:ind w:firstLineChars="200" w:firstLine="480"/>
        <w:jc w:val="both"/>
      </w:pPr>
      <w:r>
        <w:rPr>
          <w:rFonts w:ascii="宋体" w:hAnsi="宋体" w:eastAsia="宋体"/>
          <w:sz w:val="24"/>
        </w:rPr>
        <w:t xml:space="preserve">「词元工厂」这一称谓并非修辞。2026 年 7 月，电信运营商在温州揭牌了以此命名的推理服务设施，其组织形态与制造业工厂高度同构：以算力为原料，以模型为工艺，以调度为生产计划，以词元为产成品，产能、良率、单位成本与产线切换构成日常管理的核心变量。把这一设施形式化，可以给出词元供给的技术决定式。记模型集为 </w:t>
      </w:r>
      <m:oMath>
        <m:r>
          <m:rPr>
            <m:scr m:val="script"/>
            <m:sty m:val="p"/>
          </m:rPr>
          <m:t>M</m:t>
        </m:r>
      </m:oMath>
      <w:r>
        <w:rPr>
          <w:rFonts w:ascii="宋体" w:hAnsi="宋体" w:eastAsia="宋体"/>
          <w:sz w:val="24"/>
        </w:rPr>
        <w:t xml:space="preserve">，模型 </w:t>
      </w:r>
      <m:oMath>
        <m:r>
          <m:t>m</m:t>
        </m:r>
      </m:oMath>
      <w:r>
        <w:rPr>
          <w:rFonts w:ascii="宋体" w:hAnsi="宋体" w:eastAsia="宋体"/>
          <w:sz w:val="24"/>
        </w:rPr>
        <w:t xml:space="preserve"> 分得的算力为 </w:t>
      </w:r>
      <m:oMath>
        <m:sSub>
          <m:e>
            <m:r>
              <m:t>C</m:t>
            </m:r>
          </m:e>
          <m:sub>
            <m:r>
              <m:t>m</m:t>
            </m:r>
          </m:sub>
        </m:sSub>
      </m:oMath>
      <w:r>
        <w:rPr>
          <w:rFonts w:ascii="宋体" w:hAnsi="宋体" w:eastAsia="宋体"/>
          <w:sz w:val="24"/>
        </w:rPr>
        <w:t xml:space="preserve">（PFLOPS·h），其算力利用率为 </w:t>
      </w:r>
      <m:oMath>
        <m:sSub>
          <m:e>
            <m:r>
              <m:t>u</m:t>
            </m:r>
          </m:e>
          <m:sub>
            <m:r>
              <m:t>m</m:t>
            </m:r>
          </m:sub>
        </m:sSub>
      </m:oMath>
      <w:r>
        <w:rPr>
          <w:rFonts w:ascii="宋体" w:hAnsi="宋体" w:eastAsia="宋体"/>
          <w:sz w:val="24"/>
        </w:rPr>
        <w:t xml:space="preserve">，单位算力的标准词元转化效率为 </w:t>
      </w:r>
      <m:oMath>
        <m:sSub>
          <m:e>
            <m:r>
              <m:t>θ</m:t>
            </m:r>
          </m:e>
          <m:sub>
            <m:r>
              <m:t>m</m:t>
            </m:r>
          </m:sub>
        </m:sSub>
      </m:oMath>
      <w:r>
        <w:rPr>
          <w:rFonts w:ascii="宋体" w:hAnsi="宋体" w:eastAsia="宋体"/>
          <w:sz w:val="24"/>
        </w:rPr>
        <w:t>，则设施的标准词元产能为：</w:t>
      </w:r>
    </w:p>
    <w:p>
      <w:pPr>
        <w:tabs>
          <w:tab w:pos="4252" w:val="center"/>
          <w:tab w:pos="8504" w:val="right"/>
        </w:tabs>
        <w:spacing w:line="360" w:lineRule="auto" w:before="80" w:after="80"/>
      </w:pPr>
      <w:r>
        <w:tab/>
      </w:r>
      <m:oMath>
        <m:acc>
          <m:accPr>
            <m:chr m:val="‾"/>
          </m:accPr>
          <m:e>
            <m:acc>
              <m:accPr>
                <m:chr m:val="̃"/>
              </m:accPr>
              <m:e>
                <m:r>
                  <m:t>T</m:t>
                </m:r>
              </m:e>
            </m:acc>
          </m:e>
        </m:acc>
        <m:r>
          <m:rPr>
            <m:sty m:val="p"/>
          </m:rPr>
          <m:t>=</m:t>
        </m:r>
        <m:nary>
          <m:naryPr>
            <m:chr m:val="∑"/>
            <m:limLoc m:val="undOvr"/>
            <m:subHide m:val="off"/>
            <m:supHide m:val="on"/>
          </m:naryPr>
          <m:sub>
            <m:r>
              <m:t>m</m:t>
            </m:r>
            <m:r>
              <m:rPr>
                <m:sty m:val="p"/>
              </m:rPr>
              <m:t>∈</m:t>
            </m:r>
            <m:r>
              <m:rPr>
                <m:scr m:val="script"/>
                <m:sty m:val="p"/>
              </m:rPr>
              <m:t>M</m:t>
            </m:r>
          </m:sub>
          <m:sup>
            <m:r>
              <m:t>​</m:t>
            </m:r>
          </m:sup>
          <m:e>
            <m:sSub>
              <m:e>
                <m:r>
                  <m:t>θ</m:t>
                </m:r>
              </m:e>
              <m:sub>
                <m:r>
                  <m:t>m</m:t>
                </m:r>
              </m:sub>
            </m:sSub>
          </m:e>
        </m:nary>
        <m:r>
          <m:t> </m:t>
        </m:r>
        <m:sSub>
          <m:e>
            <m:r>
              <m:t>C</m:t>
            </m:r>
          </m:e>
          <m:sub>
            <m:r>
              <m:t>m</m:t>
            </m:r>
          </m:sub>
        </m:sSub>
        <m:r>
          <m:t> </m:t>
        </m:r>
        <m:sSub>
          <m:e>
            <m:r>
              <m:t>u</m:t>
            </m:r>
          </m:e>
          <m:sub>
            <m:r>
              <m:t>m</m:t>
            </m:r>
          </m:sub>
        </m:sSub>
        <m:r>
          <m:rPr>
            <m:sty m:val="p"/>
          </m:rPr>
          <m:t>,</m:t>
        </m:r>
        <m:r>
          <m:t>  </m:t>
        </m:r>
        <m:nary>
          <m:naryPr>
            <m:chr m:val="∑"/>
            <m:limLoc m:val="undOvr"/>
            <m:subHide m:val="off"/>
            <m:supHide m:val="on"/>
          </m:naryPr>
          <m:sub>
            <m:r>
              <m:t>m</m:t>
            </m:r>
            <m:r>
              <m:rPr>
                <m:sty m:val="p"/>
              </m:rPr>
              <m:t>∈</m:t>
            </m:r>
            <m:r>
              <m:rPr>
                <m:scr m:val="script"/>
                <m:sty m:val="p"/>
              </m:rPr>
              <m:t>M</m:t>
            </m:r>
          </m:sub>
          <m:sup>
            <m:r>
              <m:t>​</m:t>
            </m:r>
          </m:sup>
          <m:e>
            <m:sSub>
              <m:e>
                <m:r>
                  <m:t>C</m:t>
                </m:r>
              </m:e>
              <m:sub>
                <m:r>
                  <m:t>m</m:t>
                </m:r>
              </m:sub>
            </m:sSub>
          </m:e>
        </m:nary>
        <m:r>
          <m:rPr>
            <m:sty m:val="p"/>
          </m:rPr>
          <m:t>≤</m:t>
        </m:r>
        <m:acc>
          <m:accPr>
            <m:chr m:val="‾"/>
          </m:accPr>
          <m:e>
            <m:r>
              <m:t>C</m:t>
            </m:r>
          </m:e>
        </m:acc>
      </m:oMath>
      <w:r>
        <w:tab/>
      </w:r>
      <w:r>
        <w:rPr>
          <w:rFonts w:ascii="Times New Roman" w:hAnsi="Times New Roman" w:eastAsia="宋体"/>
          <w:sz w:val="24"/>
        </w:rPr>
        <w:t>(8-6)</w:t>
      </w:r>
    </w:p>
    <w:p>
      <w:pPr>
        <w:spacing w:line="360" w:lineRule="auto" w:after="0"/>
        <w:jc w:val="both"/>
      </w:pPr>
      <w:r>
        <w:rPr>
          <w:rFonts w:ascii="宋体" w:hAnsi="宋体" w:eastAsia="宋体"/>
          <w:sz w:val="24"/>
        </w:rPr>
        <w:t>其中，</w:t>
      </w:r>
      <m:oMath>
        <m:acc>
          <m:accPr>
            <m:chr m:val="‾"/>
          </m:accPr>
          <m:e>
            <m:r>
              <m:t>C</m:t>
            </m:r>
          </m:e>
        </m:acc>
      </m:oMath>
      <w:r>
        <w:rPr>
          <w:rFonts w:ascii="宋体" w:hAnsi="宋体" w:eastAsia="宋体"/>
          <w:sz w:val="24"/>
        </w:rPr>
        <w:t>为设施的算力总量约束；</w:t>
      </w:r>
      <m:oMath>
        <m:sSub>
          <m:e>
            <m:r>
              <m:t>θ</m:t>
            </m:r>
          </m:e>
          <m:sub>
            <m:r>
              <m:t>m</m:t>
            </m:r>
          </m:sub>
        </m:sSub>
      </m:oMath>
      <w:r>
        <w:rPr>
          <w:rFonts w:ascii="宋体" w:hAnsi="宋体" w:eastAsia="宋体"/>
          <w:sz w:val="24"/>
        </w:rPr>
        <w:t xml:space="preserve">的测算与 </w:t>
      </w:r>
      <m:oMath>
        <m:sSub>
          <m:e>
            <m:r>
              <m:t>u</m:t>
            </m:r>
          </m:e>
          <m:sub>
            <m:r>
              <m:t>m</m:t>
            </m:r>
          </m:sub>
        </m:sSub>
      </m:oMath>
      <w:r>
        <w:rPr>
          <w:rFonts w:ascii="宋体" w:hAnsi="宋体" w:eastAsia="宋体"/>
          <w:sz w:val="24"/>
        </w:rPr>
        <w:t xml:space="preserve"> 的分解是第 9 章的主题，本章将其作为已知参数使用。</w:t>
      </w:r>
    </w:p>
    <w:p>
      <w:pPr>
        <w:spacing w:line="360" w:lineRule="auto" w:after="0"/>
        <w:ind w:firstLineChars="200" w:firstLine="480"/>
        <w:jc w:val="both"/>
      </w:pPr>
      <w:r>
        <w:rPr>
          <w:rFonts w:ascii="宋体" w:hAnsi="宋体" w:eastAsia="宋体"/>
          <w:sz w:val="24"/>
        </w:rPr>
        <w:t>式(8-6)揭示了词元供给区别于传统制造业供给的根本特征：产能不是一个标量，而是一个依赖于产品组合的函数。同一片算力，全部投向轻量蒸馏级还是全部投向推理增强级，标准词元产能相差13.5倍（单位算力转化效率分别为42.0万与3.1万标准词元每 PFLOPS·h）；若按物理词元计，差距进一步扩大至153倍。这意味着供给曲线是「可重构」的：厂商无需新增一瓦算力，仅通过调整模型组合就能沿着效值—产能前沿滑动。这一可重构性是词元市场供给弹性的主要来源，也是短期均衡分析中不可忽略的自由度。</w:t>
      </w:r>
    </w:p>
    <w:p>
      <w:pPr>
        <w:spacing w:line="360" w:lineRule="auto" w:after="0"/>
        <w:ind w:firstLineChars="200" w:firstLine="480"/>
        <w:jc w:val="both"/>
      </w:pPr>
      <w:r>
        <w:rPr>
          <w:rFonts w:ascii="宋体" w:hAnsi="宋体" w:eastAsia="宋体"/>
          <w:sz w:val="24"/>
        </w:rPr>
        <w:t>效值与产能之间存在明确的替换关系：高效值档位的单位算力产出更低，低效值档位的单位算力产出更高。若把标准词元价格作为权重，可以得到单位算力的收入水平——以中型通用级为 1，轻量蒸馏级为1.84，开源旗舰级为0.64，旗舰闭源级为0.53，推理增强级仅为0.42。也就是说，仅从单位算力收入看，把算力投向低档位是更「划算」的选择；高效值档位之所以仍然存在并占据高价位段，不是因为它对算力更经济，而是因为它所服务的任务无法由低档位完成。这构成一个重要判断：词元市场的分层不是价格歧视的结果，而是技术不可替代性的结果；档位之间的竞争关系远弱于档位内部，价格战因而主要发生在同档位内部。这一判断将在 8.4.3 节以勒纳指数的反解得到独立印证。</w:t>
      </w:r>
    </w:p>
    <w:p>
      <w:pPr>
        <w:keepNext/>
        <w:spacing w:before="160" w:after="120" w:line="360" w:lineRule="auto"/>
        <w:outlineLvl w:val="2"/>
      </w:pPr>
      <w:r>
        <w:rPr>
          <w:rFonts w:ascii="黑体" w:hAnsi="黑体" w:eastAsia="黑体"/>
          <w:sz w:val="24"/>
        </w:rPr>
        <w:t>8.3.2  成本函数、规模经济与最小有效规模</w:t>
      </w:r>
    </w:p>
    <w:p>
      <w:pPr>
        <w:spacing w:line="360" w:lineRule="auto" w:after="0"/>
        <w:ind w:firstLineChars="200" w:firstLine="480"/>
        <w:jc w:val="both"/>
      </w:pPr>
      <w:r>
        <w:rPr>
          <w:rFonts w:ascii="宋体" w:hAnsi="宋体" w:eastAsia="宋体"/>
          <w:sz w:val="24"/>
        </w:rPr>
        <w:t xml:space="preserve">词元生产的成本由两部分构成。固定部分包括模型训练与持续调优的摊销、集群与机房的折旧、基础软件栈的研发与运维，它们在给定的产能配置下不随调用量变化；可变部分主要是推理时段的电力消耗、网络流量与随负载增加的运维投入。以标准词元产量 </w:t>
      </w:r>
      <m:oMath>
        <m:acc>
          <m:accPr>
            <m:chr m:val="̃"/>
          </m:accPr>
          <m:e>
            <m:r>
              <m:t>T</m:t>
            </m:r>
          </m:e>
        </m:acc>
      </m:oMath>
      <w:r>
        <w:rPr>
          <w:rFonts w:ascii="宋体" w:hAnsi="宋体" w:eastAsia="宋体"/>
          <w:sz w:val="24"/>
        </w:rPr>
        <w:t xml:space="preserve"> 为自变量，短期成本函数与平均成本为：</w:t>
      </w:r>
    </w:p>
    <w:p>
      <w:pPr>
        <w:tabs>
          <w:tab w:pos="4252" w:val="center"/>
          <w:tab w:pos="8504" w:val="right"/>
        </w:tabs>
        <w:spacing w:line="360" w:lineRule="auto" w:before="80" w:after="80"/>
      </w:pPr>
      <w:r>
        <w:tab/>
      </w:r>
      <m:oMath>
        <m:r>
          <m:t>C</m:t>
        </m:r>
        <m:d>
          <m:dPr>
            <m:begChr m:val="("/>
            <m:endChr m:val=")"/>
            <m:grow/>
          </m:dPr>
          <m:e>
            <m:acc>
              <m:accPr>
                <m:chr m:val="̃"/>
              </m:accPr>
              <m:e>
                <m:r>
                  <m:t>T</m:t>
                </m:r>
              </m:e>
            </m:acc>
          </m:e>
        </m:d>
        <m:r>
          <m:rPr>
            <m:sty m:val="p"/>
          </m:rPr>
          <m:t>=</m:t>
        </m:r>
        <m:r>
          <m:t>F</m:t>
        </m:r>
        <m:r>
          <m:rPr>
            <m:sty m:val="p"/>
          </m:rPr>
          <m:t>+</m:t>
        </m:r>
        <m:r>
          <m:t>c</m:t>
        </m:r>
        <m:r>
          <m:t> </m:t>
        </m:r>
        <m:acc>
          <m:accPr>
            <m:chr m:val="̃"/>
          </m:accPr>
          <m:e>
            <m:r>
              <m:t>T</m:t>
            </m:r>
          </m:e>
        </m:acc>
        <m:r>
          <m:rPr>
            <m:sty m:val="p"/>
          </m:rPr>
          <m:t>,</m:t>
        </m:r>
        <m:r>
          <m:t>  </m:t>
        </m:r>
        <m:r>
          <m:t>A</m:t>
        </m:r>
        <m:r>
          <m:t>C</m:t>
        </m:r>
        <m:d>
          <m:dPr>
            <m:begChr m:val="("/>
            <m:endChr m:val=")"/>
            <m:grow/>
          </m:dPr>
          <m:e>
            <m:acc>
              <m:accPr>
                <m:chr m:val="̃"/>
              </m:accPr>
              <m:e>
                <m:r>
                  <m:t>T</m:t>
                </m:r>
              </m:e>
            </m:acc>
          </m:e>
        </m:d>
        <m:r>
          <m:rPr>
            <m:sty m:val="p"/>
          </m:rPr>
          <m:t>=</m:t>
        </m:r>
        <m:f>
          <m:fPr>
            <m:type m:val="bar"/>
          </m:fPr>
          <m:num>
            <m:r>
              <m:t>F</m:t>
            </m:r>
          </m:num>
          <m:den>
            <m:acc>
              <m:accPr>
                <m:chr m:val="̃"/>
              </m:accPr>
              <m:e>
                <m:r>
                  <m:t>T</m:t>
                </m:r>
              </m:e>
            </m:acc>
          </m:den>
        </m:f>
        <m:r>
          <m:rPr>
            <m:sty m:val="p"/>
          </m:rPr>
          <m:t>+</m:t>
        </m:r>
        <m:r>
          <m:t>c</m:t>
        </m:r>
        <m:r>
          <m:rPr>
            <m:sty m:val="p"/>
          </m:rPr>
          <m:t>,</m:t>
        </m:r>
        <m:r>
          <m:t>  </m:t>
        </m:r>
        <m:r>
          <m:t>M</m:t>
        </m:r>
        <m:r>
          <m:t>C</m:t>
        </m:r>
        <m:r>
          <m:rPr>
            <m:sty m:val="p"/>
          </m:rPr>
          <m:t>=</m:t>
        </m:r>
        <m:r>
          <m:t>c</m:t>
        </m:r>
      </m:oMath>
      <w:r>
        <w:tab/>
      </w:r>
      <w:r>
        <w:rPr>
          <w:rFonts w:ascii="Times New Roman" w:hAnsi="Times New Roman" w:eastAsia="宋体"/>
          <w:sz w:val="24"/>
        </w:rPr>
        <w:t>(8-7)</w:t>
      </w:r>
    </w:p>
    <w:p>
      <w:pPr>
        <w:spacing w:line="360" w:lineRule="auto" w:after="0"/>
        <w:jc w:val="both"/>
      </w:pPr>
      <w:r>
        <w:rPr>
          <w:rFonts w:ascii="宋体" w:hAnsi="宋体" w:eastAsia="宋体"/>
          <w:sz w:val="24"/>
        </w:rPr>
        <w:t>其中，</w:t>
      </w:r>
      <m:oMath>
        <m:r>
          <m:t>F</m:t>
        </m:r>
      </m:oMath>
      <w:r>
        <w:rPr>
          <w:rFonts w:ascii="宋体" w:hAnsi="宋体" w:eastAsia="宋体"/>
          <w:sz w:val="24"/>
        </w:rPr>
        <w:t>为固定成本，</w:t>
      </w:r>
      <m:oMath>
        <m:r>
          <m:t>c</m:t>
        </m:r>
      </m:oMath>
      <w:r>
        <w:rPr>
          <w:rFonts w:ascii="宋体" w:hAnsi="宋体" w:eastAsia="宋体"/>
          <w:sz w:val="24"/>
        </w:rPr>
        <w:t xml:space="preserve">为单位标准词元的可变成本；在给定产能内，边际成本恒为 </w:t>
      </w:r>
      <m:oMath>
        <m:r>
          <m:t>c</m:t>
        </m:r>
      </m:oMath>
      <w:r>
        <w:rPr>
          <w:rFonts w:ascii="宋体" w:hAnsi="宋体" w:eastAsia="宋体"/>
          <w:sz w:val="24"/>
        </w:rPr>
        <w:t>，平均成本随产量单调下降，这是词元生产短期规模经济的直接来源。</w:t>
      </w:r>
    </w:p>
    <w:p>
      <w:pPr>
        <w:spacing w:line="360" w:lineRule="auto" w:after="0"/>
        <w:ind w:firstLineChars="200" w:firstLine="480"/>
        <w:jc w:val="both"/>
      </w:pPr>
      <w:r>
        <w:rPr>
          <w:rFonts w:ascii="宋体" w:hAnsi="宋体" w:eastAsia="宋体"/>
          <w:sz w:val="24"/>
        </w:rPr>
        <w:t>式(8-7)的线性设定只在产能约束以内成立。一旦产量逼近并超过设施的设计负荷，排队时延上升、批处理效率下降、缓存命中率恶化，边际成本转而上升——推理服务系统的实测研究表明，显存管理、连续批处理与预填充—解码分离等工程手段能够显著推迟这一拐点，但无法消除它（Yu等，2022；Kwon等，2023；Agrawal等，2024；Zhong等，2024），大规模推理的并行策略同样受制于访存带宽与通信开销的硬约束（Dao等，2022；Pope等，2023）。把长期中设施规模可调、但协调成本随规模上升的因素一并纳入，长期平均成本呈 U 型：</w:t>
      </w:r>
    </w:p>
    <w:p>
      <w:pPr>
        <w:tabs>
          <w:tab w:pos="4252" w:val="center"/>
          <w:tab w:pos="8504" w:val="right"/>
        </w:tabs>
        <w:spacing w:line="360" w:lineRule="auto" w:before="80" w:after="80"/>
      </w:pPr>
      <w:r>
        <w:tab/>
      </w:r>
      <m:oMath>
        <m:r>
          <m:t>L</m:t>
        </m:r>
        <m:r>
          <m:t>A</m:t>
        </m:r>
        <m:r>
          <m:t>C</m:t>
        </m:r>
        <m:d>
          <m:dPr>
            <m:begChr m:val="("/>
            <m:endChr m:val=")"/>
            <m:grow/>
          </m:dPr>
          <m:e>
            <m:r>
              <m:t>q</m:t>
            </m:r>
          </m:e>
        </m:d>
        <m:r>
          <m:rPr>
            <m:sty m:val="p"/>
          </m:rPr>
          <m:t>=</m:t>
        </m:r>
        <m:r>
          <m:t>L</m:t>
        </m:r>
        <m:r>
          <m:t>A</m:t>
        </m:r>
        <m:sSup>
          <m:e>
            <m:r>
              <m:t>C</m:t>
            </m:r>
          </m:e>
          <m:sup>
            <m:r>
              <m:rPr>
                <m:sty m:val="p"/>
              </m:rPr>
              <m:t>∗</m:t>
            </m:r>
          </m:sup>
        </m:sSup>
        <m:d>
          <m:dPr>
            <m:begChr m:val="["/>
            <m:endChr m:val="]"/>
            <m:grow/>
          </m:dPr>
          <m:e>
            <m:r>
              <m:t>1</m:t>
            </m:r>
            <m:r>
              <m:rPr>
                <m:sty m:val="p"/>
              </m:rPr>
              <m:t>+</m:t>
            </m:r>
            <m:r>
              <m:t>φ</m:t>
            </m:r>
            <m:sSup>
              <m:e>
                <m:d>
                  <m:dPr>
                    <m:begChr m:val="("/>
                    <m:endChr m:val=")"/>
                    <m:grow/>
                  </m:dPr>
                  <m:e>
                    <m:r>
                      <m:rPr>
                        <m:sty m:val="p"/>
                      </m:rPr>
                      <m:t>ln</m:t>
                    </m:r>
                    <m:f>
                      <m:fPr>
                        <m:type m:val="bar"/>
                      </m:fPr>
                      <m:num>
                        <m:r>
                          <m:t>q</m:t>
                        </m:r>
                      </m:num>
                      <m:den>
                        <m:sSup>
                          <m:e>
                            <m:r>
                              <m:t>q</m:t>
                            </m:r>
                          </m:e>
                          <m:sup>
                            <m:r>
                              <m:rPr>
                                <m:sty m:val="p"/>
                              </m:rPr>
                              <m:t>∗</m:t>
                            </m:r>
                          </m:sup>
                        </m:sSup>
                      </m:den>
                    </m:f>
                  </m:e>
                </m:d>
              </m:e>
              <m:sup>
                <m:r>
                  <m:t>2</m:t>
                </m:r>
              </m:sup>
            </m:sSup>
          </m:e>
        </m:d>
        <m:r>
          <m:rPr>
            <m:sty m:val="p"/>
          </m:rPr>
          <m:t>,</m:t>
        </m:r>
        <m:r>
          <m:t>  </m:t>
        </m:r>
        <m:sSub>
          <m:e>
            <m:d>
              <m:dPr>
                <m:begChr m:val=""/>
                <m:endChr m:val="|"/>
                <m:grow/>
              </m:dPr>
              <m:e>
                <m:f>
                  <m:fPr>
                    <m:type m:val="bar"/>
                  </m:fPr>
                  <m:num>
                    <m:r>
                      <m:t>d</m:t>
                    </m:r>
                    <m:r>
                      <m:t> </m:t>
                    </m:r>
                    <m:r>
                      <m:t>L</m:t>
                    </m:r>
                    <m:r>
                      <m:t>A</m:t>
                    </m:r>
                    <m:r>
                      <m:t>C</m:t>
                    </m:r>
                  </m:num>
                  <m:den>
                    <m:r>
                      <m:t>d</m:t>
                    </m:r>
                    <m:r>
                      <m:t>q</m:t>
                    </m:r>
                  </m:den>
                </m:f>
              </m:e>
            </m:d>
          </m:e>
          <m:sub>
            <m:r>
              <m:t>q</m:t>
            </m:r>
            <m:r>
              <m:rPr>
                <m:sty m:val="p"/>
              </m:rPr>
              <m:t>=</m:t>
            </m:r>
            <m:sSup>
              <m:e>
                <m:r>
                  <m:t>q</m:t>
                </m:r>
              </m:e>
              <m:sup>
                <m:r>
                  <m:rPr>
                    <m:sty m:val="p"/>
                  </m:rPr>
                  <m:t>∗</m:t>
                </m:r>
              </m:sup>
            </m:sSup>
          </m:sub>
        </m:sSub>
        <m:r>
          <m:rPr>
            <m:sty m:val="p"/>
          </m:rPr>
          <m:t>=</m:t>
        </m:r>
        <m:r>
          <m:t>0</m:t>
        </m:r>
      </m:oMath>
      <w:r>
        <w:tab/>
      </w:r>
      <w:r>
        <w:rPr>
          <w:rFonts w:ascii="Times New Roman" w:hAnsi="Times New Roman" w:eastAsia="宋体"/>
          <w:sz w:val="24"/>
        </w:rPr>
        <w:t>(8-8)</w:t>
      </w:r>
    </w:p>
    <w:p>
      <w:pPr>
        <w:spacing w:line="360" w:lineRule="auto" w:after="0"/>
        <w:jc w:val="both"/>
      </w:pPr>
      <w:r>
        <w:rPr>
          <w:rFonts w:ascii="宋体" w:hAnsi="宋体" w:eastAsia="宋体"/>
          <w:sz w:val="24"/>
        </w:rPr>
        <w:t>其中，</w:t>
      </w:r>
      <m:oMath>
        <m:r>
          <m:t>q</m:t>
        </m:r>
      </m:oMath>
      <w:r>
        <w:rPr>
          <w:rFonts w:ascii="宋体" w:hAnsi="宋体" w:eastAsia="宋体"/>
          <w:sz w:val="24"/>
        </w:rPr>
        <w:t>为日产标准词元规模，</w:t>
      </w:r>
      <m:oMath>
        <m:sSup>
          <m:e>
            <m:r>
              <m:t>q</m:t>
            </m:r>
          </m:e>
          <m:sup>
            <m:r>
              <m:rPr>
                <m:sty m:val="p"/>
              </m:rPr>
              <m:t>∗</m:t>
            </m:r>
          </m:sup>
        </m:sSup>
      </m:oMath>
      <w:r>
        <w:rPr>
          <w:rFonts w:ascii="宋体" w:hAnsi="宋体" w:eastAsia="宋体"/>
          <w:sz w:val="24"/>
        </w:rPr>
        <w:t>为最小有效规模（MES），</w:t>
      </w:r>
      <m:oMath>
        <m:r>
          <m:t>L</m:t>
        </m:r>
        <m:r>
          <m:t>A</m:t>
        </m:r>
        <m:sSup>
          <m:e>
            <m:r>
              <m:t>C</m:t>
            </m:r>
          </m:e>
          <m:sup>
            <m:r>
              <m:rPr>
                <m:sty m:val="p"/>
              </m:rPr>
              <m:t>∗</m:t>
            </m:r>
          </m:sup>
        </m:sSup>
      </m:oMath>
      <w:r>
        <w:rPr>
          <w:rFonts w:ascii="宋体" w:hAnsi="宋体" w:eastAsia="宋体"/>
          <w:sz w:val="24"/>
        </w:rPr>
        <w:t>为该点的长期平均成本，</w:t>
      </w:r>
      <m:oMath>
        <m:r>
          <m:t>φ</m:t>
        </m:r>
      </m:oMath>
      <w:r>
        <w:rPr>
          <w:rFonts w:ascii="宋体" w:hAnsi="宋体" w:eastAsia="宋体"/>
          <w:sz w:val="24"/>
        </w:rPr>
        <w:t xml:space="preserve">为曲率参数；对数二次形式保证 </w:t>
      </w:r>
      <m:oMath>
        <m:r>
          <m:t>L</m:t>
        </m:r>
        <m:r>
          <m:t>A</m:t>
        </m:r>
        <m:r>
          <m:t>C</m:t>
        </m:r>
      </m:oMath>
      <w:r>
        <w:rPr>
          <w:rFonts w:ascii="宋体" w:hAnsi="宋体" w:eastAsia="宋体"/>
          <w:sz w:val="24"/>
        </w:rPr>
        <w:t xml:space="preserve"> 在 </w:t>
      </w:r>
      <m:oMath>
        <m:sSup>
          <m:e>
            <m:r>
              <m:t>q</m:t>
            </m:r>
          </m:e>
          <m:sup>
            <m:r>
              <m:rPr>
                <m:sty m:val="p"/>
              </m:rPr>
              <m:t>∗</m:t>
            </m:r>
          </m:sup>
        </m:sSup>
      </m:oMath>
      <w:r>
        <w:rPr>
          <w:rFonts w:ascii="宋体" w:hAnsi="宋体" w:eastAsia="宋体"/>
          <w:sz w:val="24"/>
        </w:rPr>
        <w:t xml:space="preserve"> 两侧对称递增，且弹性随偏离程度线性放大。</w:t>
      </w:r>
    </w:p>
    <w:p>
      <w:pPr>
        <w:spacing w:line="360" w:lineRule="auto" w:after="0"/>
        <w:ind w:firstLineChars="200" w:firstLine="480"/>
        <w:jc w:val="both"/>
      </w:pPr>
      <w:r>
        <w:rPr>
          <w:rFonts w:ascii="宋体" w:hAnsi="宋体" w:eastAsia="宋体"/>
          <w:sz w:val="24"/>
        </w:rPr>
        <w:t>规模经济的强度可以用成本弹性的倒数度量：</w:t>
      </w:r>
    </w:p>
    <w:p>
      <w:pPr>
        <w:tabs>
          <w:tab w:pos="4252" w:val="center"/>
          <w:tab w:pos="8504" w:val="right"/>
        </w:tabs>
        <w:spacing w:line="360" w:lineRule="auto" w:before="80" w:after="80"/>
      </w:pPr>
      <w:r>
        <w:tab/>
      </w:r>
      <m:oMath>
        <m:r>
          <m:t>S</m:t>
        </m:r>
        <m:d>
          <m:dPr>
            <m:begChr m:val="("/>
            <m:endChr m:val=")"/>
            <m:grow/>
          </m:dPr>
          <m:e>
            <m:r>
              <m:t>q</m:t>
            </m:r>
          </m:e>
        </m:d>
        <m:r>
          <m:rPr>
            <m:sty m:val="p"/>
          </m:rPr>
          <m:t>=</m:t>
        </m:r>
        <m:f>
          <m:fPr>
            <m:type m:val="bar"/>
          </m:fPr>
          <m:num>
            <m:r>
              <m:t>A</m:t>
            </m:r>
            <m:r>
              <m:t>C</m:t>
            </m:r>
            <m:d>
              <m:dPr>
                <m:begChr m:val="("/>
                <m:endChr m:val=")"/>
                <m:grow/>
              </m:dPr>
              <m:e>
                <m:r>
                  <m:t>q</m:t>
                </m:r>
              </m:e>
            </m:d>
          </m:num>
          <m:den>
            <m:r>
              <m:t>M</m:t>
            </m:r>
            <m:r>
              <m:t>C</m:t>
            </m:r>
            <m:d>
              <m:dPr>
                <m:begChr m:val="("/>
                <m:endChr m:val=")"/>
                <m:grow/>
              </m:dPr>
              <m:e>
                <m:r>
                  <m:t>q</m:t>
                </m:r>
              </m:e>
            </m:d>
          </m:den>
        </m:f>
        <m:r>
          <m:rPr>
            <m:sty m:val="p"/>
          </m:rPr>
          <m:t>=</m:t>
        </m:r>
        <m:sSup>
          <m:e>
            <m:d>
              <m:dPr>
                <m:begChr m:val="["/>
                <m:endChr m:val="]"/>
                <m:grow/>
              </m:dPr>
              <m:e>
                <m:f>
                  <m:fPr>
                    <m:type m:val="bar"/>
                  </m:fPr>
                  <m:num>
                    <m:r>
                      <m:t>d</m:t>
                    </m:r>
                    <m:r>
                      <m:rPr>
                        <m:sty m:val="p"/>
                      </m:rPr>
                      <m:t>ln</m:t>
                    </m:r>
                    <m:r>
                      <m:t>C</m:t>
                    </m:r>
                    <m:d>
                      <m:dPr>
                        <m:begChr m:val="("/>
                        <m:endChr m:val=")"/>
                        <m:grow/>
                      </m:dPr>
                      <m:e>
                        <m:r>
                          <m:t>q</m:t>
                        </m:r>
                      </m:e>
                    </m:d>
                  </m:num>
                  <m:den>
                    <m:r>
                      <m:t>d</m:t>
                    </m:r>
                    <m:r>
                      <m:rPr>
                        <m:sty m:val="p"/>
                      </m:rPr>
                      <m:t>ln</m:t>
                    </m:r>
                    <m:r>
                      <m:t>q</m:t>
                    </m:r>
                  </m:den>
                </m:f>
              </m:e>
            </m:d>
          </m:e>
          <m:sup>
            <m:r>
              <m:rPr>
                <m:sty m:val="p"/>
              </m:rPr>
              <m:t>−</m:t>
            </m:r>
            <m:r>
              <m:t>1</m:t>
            </m:r>
          </m:sup>
        </m:sSup>
      </m:oMath>
      <w:r>
        <w:tab/>
      </w:r>
      <w:r>
        <w:rPr>
          <w:rFonts w:ascii="Times New Roman" w:hAnsi="Times New Roman" w:eastAsia="宋体"/>
          <w:sz w:val="24"/>
        </w:rPr>
        <w:t>(8-9)</w:t>
      </w:r>
    </w:p>
    <w:p>
      <w:pPr>
        <w:spacing w:line="360" w:lineRule="auto" w:after="0"/>
        <w:jc w:val="both"/>
      </w:pPr>
      <w:r>
        <w:rPr>
          <w:rFonts w:ascii="宋体" w:hAnsi="宋体" w:eastAsia="宋体"/>
          <w:sz w:val="24"/>
        </w:rPr>
        <w:t>其中，</w:t>
      </w:r>
      <m:oMath>
        <m:r>
          <m:t>S</m:t>
        </m:r>
        <m:r>
          <m:rPr>
            <m:sty m:val="p"/>
          </m:rPr>
          <m:t>&gt;</m:t>
        </m:r>
        <m:r>
          <m:t>1</m:t>
        </m:r>
      </m:oMath>
      <w:r>
        <w:rPr>
          <w:rFonts w:ascii="宋体" w:hAnsi="宋体" w:eastAsia="宋体"/>
          <w:sz w:val="24"/>
        </w:rPr>
        <w:t>表示规模经济、</w:t>
      </w:r>
      <m:oMath>
        <m:r>
          <m:t>S</m:t>
        </m:r>
        <m:r>
          <m:rPr>
            <m:sty m:val="p"/>
          </m:rPr>
          <m:t>=</m:t>
        </m:r>
        <m:r>
          <m:t>1</m:t>
        </m:r>
      </m:oMath>
      <w:r>
        <w:rPr>
          <w:rFonts w:ascii="宋体" w:hAnsi="宋体" w:eastAsia="宋体"/>
          <w:sz w:val="24"/>
        </w:rPr>
        <w:t>表示规模报酬不变、</w:t>
      </w:r>
      <m:oMath>
        <m:r>
          <m:t>S</m:t>
        </m:r>
        <m:r>
          <m:rPr>
            <m:sty m:val="p"/>
          </m:rPr>
          <m:t>&lt;</m:t>
        </m:r>
        <m:r>
          <m:t>1</m:t>
        </m:r>
      </m:oMath>
      <w:r>
        <w:rPr>
          <w:rFonts w:ascii="宋体" w:hAnsi="宋体" w:eastAsia="宋体"/>
          <w:sz w:val="24"/>
        </w:rPr>
        <w:t>表示规模不经济；在式(8-7)的短期成本结构下，</w:t>
      </w:r>
      <m:oMath>
        <m:r>
          <m:t>S</m:t>
        </m:r>
        <m:r>
          <m:rPr>
            <m:sty m:val="p"/>
          </m:rPr>
          <m:t>=</m:t>
        </m:r>
        <m:r>
          <m:t>1</m:t>
        </m:r>
        <m:r>
          <m:rPr>
            <m:sty m:val="p"/>
          </m:rPr>
          <m:t>+</m:t>
        </m:r>
        <m:r>
          <m:t>F</m:t>
        </m:r>
        <m:r>
          <m:rPr>
            <m:sty m:val="p"/>
          </m:rPr>
          <m:t>/</m:t>
        </m:r>
        <m:d>
          <m:dPr>
            <m:begChr m:val="("/>
            <m:endChr m:val=")"/>
            <m:grow/>
          </m:dPr>
          <m:e>
            <m:r>
              <m:t>c</m:t>
            </m:r>
            <m:acc>
              <m:accPr>
                <m:chr m:val="̃"/>
              </m:accPr>
              <m:e>
                <m:r>
                  <m:t>T</m:t>
                </m:r>
              </m:e>
            </m:acc>
          </m:e>
        </m:d>
      </m:oMath>
      <w:r>
        <w:rPr>
          <w:rFonts w:ascii="宋体" w:hAnsi="宋体" w:eastAsia="宋体"/>
          <w:sz w:val="24"/>
        </w:rPr>
        <w:t>，即规模经济强度完全由固定成本的摊薄程度决定。</w:t>
      </w:r>
    </w:p>
    <w:p>
      <w:pPr>
        <w:spacing w:line="360" w:lineRule="auto" w:after="0"/>
        <w:ind w:firstLineChars="200" w:firstLine="480"/>
        <w:jc w:val="both"/>
      </w:pPr>
      <w:r>
        <w:rPr>
          <w:rFonts w:ascii="宋体" w:hAnsi="宋体" w:eastAsia="宋体"/>
          <w:sz w:val="24"/>
        </w:rPr>
        <w:t xml:space="preserve">按校准复算的成本参数，六档位的固定成本占平均成本的比重均在47.4%上下，相应的规模经济度 </w:t>
      </w:r>
      <m:oMath>
        <m:r>
          <m:t>S</m:t>
        </m:r>
      </m:oMath>
      <w:r>
        <w:rPr>
          <w:rFonts w:ascii="宋体" w:hAnsi="宋体" w:eastAsia="宋体"/>
          <w:sz w:val="24"/>
        </w:rPr>
        <w:t xml:space="preserve"> 约为1.90——边际成本仅相当于平均成本的52.6%。这一结构有两个直接推论。其一，严格的边际成本定价在词元生产中必然亏损，价格必须高于边际成本才能回收固定投入，这是零边际成本类产品定价困境的一般形态（Mussa和Rosen，1978；Bhargava和Choudhary，2008），也是第 7 章效值溢价层与场景租金层存在的成本论依据。其二，规模经济的强度随产量上升而衰减：产量翻一番，</w:t>
      </w:r>
      <m:oMath>
        <m:r>
          <m:t>S</m:t>
        </m:r>
      </m:oMath>
      <w:r>
        <w:rPr>
          <w:rFonts w:ascii="宋体" w:hAnsi="宋体" w:eastAsia="宋体"/>
          <w:sz w:val="24"/>
        </w:rPr>
        <w:t xml:space="preserve"> 向 1 收敛的速度与固定成本份额成正比，因而规模优势并非无限，它在某一产量之后就基本耗尽——这个产量就是最小有效规模，也是判断自然垄断的关键参数。</w:t>
      </w:r>
    </w:p>
    <w:p>
      <w:pPr>
        <w:keepNext/>
        <w:spacing w:before="160" w:after="120" w:line="360" w:lineRule="auto"/>
        <w:outlineLvl w:val="2"/>
      </w:pPr>
      <w:r>
        <w:rPr>
          <w:rFonts w:ascii="黑体" w:hAnsi="黑体" w:eastAsia="黑体"/>
          <w:sz w:val="24"/>
        </w:rPr>
        <w:t>8.3.3  六档位的成本测算与两点发现</w:t>
      </w:r>
    </w:p>
    <w:p>
      <w:pPr>
        <w:spacing w:line="360" w:lineRule="auto" w:after="0"/>
        <w:ind w:firstLineChars="200" w:firstLine="480"/>
        <w:jc w:val="both"/>
      </w:pPr>
      <w:r>
        <w:rPr>
          <w:rFonts w:ascii="宋体" w:hAnsi="宋体" w:eastAsia="宋体"/>
          <w:sz w:val="24"/>
        </w:rPr>
        <w:t>把式(8-7)至式(8-9)应用于六个模型档位，并同时报告物理词元口径与标准词元口径的成本，可得表8.2。两种口径的并列不是重复，而是本书方法论的一次直接检验：如果效值折算体系成立，那么在标准词元口径下，不同档位的单位成本应当显著收敛。</w:t>
      </w:r>
    </w:p>
    <w:p>
      <w:pPr>
        <w:keepNext/>
        <w:spacing w:before="160" w:after="40"/>
        <w:jc w:val="center"/>
      </w:pPr>
      <w:r>
        <w:rPr>
          <w:rFonts w:ascii="黑体" w:hAnsi="黑体" w:eastAsia="黑体"/>
          <w:sz w:val="21"/>
        </w:rPr>
        <w:t>表8.2  六档位词元生产的转化效率、成本结构与加成率</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215"/>
        <w:gridCol w:w="1215"/>
        <w:gridCol w:w="1215"/>
        <w:gridCol w:w="1215"/>
        <w:gridCol w:w="1215"/>
        <w:gridCol w:w="1215"/>
        <w:gridCol w:w="1215"/>
      </w:tblGrid>
      <w:tr>
        <w:tc>
          <w:tcPr>
            <w:tcW w:type="dxa" w:w="1215"/>
            <w:tcBorders>
              <w:bottom w:val="single" w:sz="6" w:color="000000"/>
            </w:tcBorders>
            <w:vAlign w:val="center"/>
          </w:tcPr>
          <w:p>
            <w:pPr>
              <w:spacing w:line="240" w:lineRule="auto" w:after="20" w:before="20"/>
              <w:jc w:val="center"/>
            </w:pPr>
            <w:r/>
            <w:r>
              <w:rPr>
                <w:rFonts w:ascii="宋体" w:hAnsi="宋体" w:eastAsia="宋体"/>
                <w:b/>
                <w:sz w:val="21"/>
              </w:rPr>
              <w:t>模型档位</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转化效率 θ</w:t>
              <w:br/>
              <w:t>（万 STE／PFLOPS·h）</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边际成本</w:t>
              <w:br/>
              <w:t>（元／百万物理词元）</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边际成本</w:t>
              <w:br/>
              <w:t>（元／百万 STE）</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平均成本</w:t>
              <w:br/>
              <w:t>（元／百万 STE）</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单位算力收入指数</w:t>
              <w:br/>
              <w:t>（中型通用级＝1）</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价格—边际成本</w:t>
              <w:br/>
              <w:t>加成率</w:t>
            </w:r>
          </w:p>
        </w:tc>
      </w:tr>
      <w:tr>
        <w:tc>
          <w:tcPr>
            <w:tcW w:type="dxa" w:w="1215"/>
            <w:vAlign w:val="center"/>
          </w:tcPr>
          <w:p>
            <w:pPr>
              <w:spacing w:line="240" w:lineRule="auto" w:after="20" w:before="20"/>
              <w:jc w:val="center"/>
            </w:pPr>
            <w:r/>
            <w:r>
              <w:rPr>
                <w:rFonts w:ascii="宋体" w:hAnsi="宋体" w:eastAsia="宋体"/>
                <w:sz w:val="21"/>
              </w:rPr>
              <w:t>轻量蒸馏级</w:t>
            </w:r>
          </w:p>
        </w:tc>
        <w:tc>
          <w:tcPr>
            <w:tcW w:type="dxa" w:w="1215"/>
            <w:vAlign w:val="center"/>
          </w:tcPr>
          <w:p>
            <w:pPr>
              <w:spacing w:line="240" w:lineRule="auto" w:after="20" w:before="20"/>
              <w:jc w:val="center"/>
            </w:pPr>
            <w:r/>
            <w:r>
              <w:rPr>
                <w:rFonts w:ascii="宋体" w:hAnsi="宋体" w:eastAsia="宋体"/>
                <w:sz w:val="21"/>
              </w:rPr>
              <w:t>42.0</w:t>
            </w:r>
          </w:p>
        </w:tc>
        <w:tc>
          <w:tcPr>
            <w:tcW w:type="dxa" w:w="1215"/>
            <w:vAlign w:val="center"/>
          </w:tcPr>
          <w:p>
            <w:pPr>
              <w:spacing w:line="240" w:lineRule="auto" w:after="20" w:before="20"/>
              <w:jc w:val="center"/>
            </w:pPr>
            <w:r/>
            <w:r>
              <w:rPr>
                <w:rFonts w:ascii="宋体" w:hAnsi="宋体" w:eastAsia="宋体"/>
                <w:sz w:val="21"/>
              </w:rPr>
              <w:t>0.112</w:t>
            </w:r>
          </w:p>
        </w:tc>
        <w:tc>
          <w:tcPr>
            <w:tcW w:type="dxa" w:w="1215"/>
            <w:vAlign w:val="center"/>
          </w:tcPr>
          <w:p>
            <w:pPr>
              <w:spacing w:line="240" w:lineRule="auto" w:after="20" w:before="20"/>
              <w:jc w:val="center"/>
            </w:pPr>
            <w:r/>
            <w:r>
              <w:rPr>
                <w:rFonts w:ascii="宋体" w:hAnsi="宋体" w:eastAsia="宋体"/>
                <w:sz w:val="21"/>
              </w:rPr>
              <w:t>0.295</w:t>
            </w:r>
          </w:p>
        </w:tc>
        <w:tc>
          <w:tcPr>
            <w:tcW w:type="dxa" w:w="1215"/>
            <w:vAlign w:val="center"/>
          </w:tcPr>
          <w:p>
            <w:pPr>
              <w:spacing w:line="240" w:lineRule="auto" w:after="20" w:before="20"/>
              <w:jc w:val="center"/>
            </w:pPr>
            <w:r/>
            <w:r>
              <w:rPr>
                <w:rFonts w:ascii="宋体" w:hAnsi="宋体" w:eastAsia="宋体"/>
                <w:sz w:val="21"/>
              </w:rPr>
              <w:t>0.558</w:t>
            </w:r>
          </w:p>
        </w:tc>
        <w:tc>
          <w:tcPr>
            <w:tcW w:type="dxa" w:w="1215"/>
            <w:vAlign w:val="center"/>
          </w:tcPr>
          <w:p>
            <w:pPr>
              <w:spacing w:line="240" w:lineRule="auto" w:after="20" w:before="20"/>
              <w:jc w:val="center"/>
            </w:pPr>
            <w:r/>
            <w:r>
              <w:rPr>
                <w:rFonts w:ascii="宋体" w:hAnsi="宋体" w:eastAsia="宋体"/>
                <w:sz w:val="21"/>
              </w:rPr>
              <w:t>1.84</w:t>
            </w:r>
          </w:p>
        </w:tc>
        <w:tc>
          <w:tcPr>
            <w:tcW w:type="dxa" w:w="1215"/>
            <w:vAlign w:val="center"/>
          </w:tcPr>
          <w:p>
            <w:pPr>
              <w:spacing w:line="240" w:lineRule="auto" w:after="20" w:before="20"/>
              <w:jc w:val="center"/>
            </w:pPr>
            <w:r/>
            <w:r>
              <w:rPr>
                <w:rFonts w:ascii="宋体" w:hAnsi="宋体" w:eastAsia="宋体"/>
                <w:sz w:val="21"/>
              </w:rPr>
              <w:t>72.0%</w:t>
            </w:r>
          </w:p>
        </w:tc>
      </w:tr>
      <w:tr>
        <w:tc>
          <w:tcPr>
            <w:tcW w:type="dxa" w:w="1215"/>
            <w:vAlign w:val="center"/>
          </w:tcPr>
          <w:p>
            <w:pPr>
              <w:spacing w:line="240" w:lineRule="auto" w:after="20" w:before="20"/>
              <w:jc w:val="center"/>
            </w:pPr>
            <w:r/>
            <w:r>
              <w:rPr>
                <w:rFonts w:ascii="宋体" w:hAnsi="宋体" w:eastAsia="宋体"/>
                <w:sz w:val="21"/>
              </w:rPr>
              <w:t>中型通用级</w:t>
            </w:r>
          </w:p>
        </w:tc>
        <w:tc>
          <w:tcPr>
            <w:tcW w:type="dxa" w:w="1215"/>
            <w:vAlign w:val="center"/>
          </w:tcPr>
          <w:p>
            <w:pPr>
              <w:spacing w:line="240" w:lineRule="auto" w:after="20" w:before="20"/>
              <w:jc w:val="center"/>
            </w:pPr>
            <w:r/>
            <w:r>
              <w:rPr>
                <w:rFonts w:ascii="宋体" w:hAnsi="宋体" w:eastAsia="宋体"/>
                <w:sz w:val="21"/>
              </w:rPr>
              <w:t>18.5</w:t>
            </w:r>
          </w:p>
        </w:tc>
        <w:tc>
          <w:tcPr>
            <w:tcW w:type="dxa" w:w="1215"/>
            <w:vAlign w:val="center"/>
          </w:tcPr>
          <w:p>
            <w:pPr>
              <w:spacing w:line="240" w:lineRule="auto" w:after="20" w:before="20"/>
              <w:jc w:val="center"/>
            </w:pPr>
            <w:r/>
            <w:r>
              <w:rPr>
                <w:rFonts w:ascii="宋体" w:hAnsi="宋体" w:eastAsia="宋体"/>
                <w:sz w:val="21"/>
              </w:rPr>
              <w:t>0.322</w:t>
            </w:r>
          </w:p>
        </w:tc>
        <w:tc>
          <w:tcPr>
            <w:tcW w:type="dxa" w:w="1215"/>
            <w:vAlign w:val="center"/>
          </w:tcPr>
          <w:p>
            <w:pPr>
              <w:spacing w:line="240" w:lineRule="auto" w:after="20" w:before="20"/>
              <w:jc w:val="center"/>
            </w:pPr>
            <w:r/>
            <w:r>
              <w:rPr>
                <w:rFonts w:ascii="宋体" w:hAnsi="宋体" w:eastAsia="宋体"/>
                <w:sz w:val="21"/>
              </w:rPr>
              <w:t>0.322</w:t>
            </w:r>
          </w:p>
        </w:tc>
        <w:tc>
          <w:tcPr>
            <w:tcW w:type="dxa" w:w="1215"/>
            <w:vAlign w:val="center"/>
          </w:tcPr>
          <w:p>
            <w:pPr>
              <w:spacing w:line="240" w:lineRule="auto" w:after="20" w:before="20"/>
              <w:jc w:val="center"/>
            </w:pPr>
            <w:r/>
            <w:r>
              <w:rPr>
                <w:rFonts w:ascii="宋体" w:hAnsi="宋体" w:eastAsia="宋体"/>
                <w:sz w:val="21"/>
              </w:rPr>
              <w:t>0.614</w:t>
            </w:r>
          </w:p>
        </w:tc>
        <w:tc>
          <w:tcPr>
            <w:tcW w:type="dxa" w:w="1215"/>
            <w:vAlign w:val="center"/>
          </w:tcPr>
          <w:p>
            <w:pPr>
              <w:spacing w:line="240" w:lineRule="auto" w:after="20" w:before="20"/>
              <w:jc w:val="center"/>
            </w:pPr>
            <w:r/>
            <w:r>
              <w:rPr>
                <w:rFonts w:ascii="宋体" w:hAnsi="宋体" w:eastAsia="宋体"/>
                <w:sz w:val="21"/>
              </w:rPr>
              <w:t>1.00</w:t>
            </w:r>
          </w:p>
        </w:tc>
        <w:tc>
          <w:tcPr>
            <w:tcW w:type="dxa" w:w="1215"/>
            <w:vAlign w:val="center"/>
          </w:tcPr>
          <w:p>
            <w:pPr>
              <w:spacing w:line="240" w:lineRule="auto" w:after="20" w:before="20"/>
              <w:jc w:val="center"/>
            </w:pPr>
            <w:r/>
            <w:r>
              <w:rPr>
                <w:rFonts w:ascii="宋体" w:hAnsi="宋体" w:eastAsia="宋体"/>
                <w:sz w:val="21"/>
              </w:rPr>
              <w:t>75.2%</w:t>
            </w:r>
          </w:p>
        </w:tc>
      </w:tr>
      <w:tr>
        <w:tc>
          <w:tcPr>
            <w:tcW w:type="dxa" w:w="1215"/>
            <w:vAlign w:val="center"/>
          </w:tcPr>
          <w:p>
            <w:pPr>
              <w:spacing w:line="240" w:lineRule="auto" w:after="20" w:before="20"/>
              <w:jc w:val="center"/>
            </w:pPr>
            <w:r/>
            <w:r>
              <w:rPr>
                <w:rFonts w:ascii="宋体" w:hAnsi="宋体" w:eastAsia="宋体"/>
                <w:sz w:val="21"/>
              </w:rPr>
              <w:t>开源旗舰级</w:t>
            </w:r>
          </w:p>
        </w:tc>
        <w:tc>
          <w:tcPr>
            <w:tcW w:type="dxa" w:w="1215"/>
            <w:vAlign w:val="center"/>
          </w:tcPr>
          <w:p>
            <w:pPr>
              <w:spacing w:line="240" w:lineRule="auto" w:after="20" w:before="20"/>
              <w:jc w:val="center"/>
            </w:pPr>
            <w:r/>
            <w:r>
              <w:rPr>
                <w:rFonts w:ascii="宋体" w:hAnsi="宋体" w:eastAsia="宋体"/>
                <w:sz w:val="21"/>
              </w:rPr>
              <w:t>9.2</w:t>
            </w:r>
          </w:p>
        </w:tc>
        <w:tc>
          <w:tcPr>
            <w:tcW w:type="dxa" w:w="1215"/>
            <w:vAlign w:val="center"/>
          </w:tcPr>
          <w:p>
            <w:pPr>
              <w:spacing w:line="240" w:lineRule="auto" w:after="20" w:before="20"/>
              <w:jc w:val="center"/>
            </w:pPr>
            <w:r/>
            <w:r>
              <w:rPr>
                <w:rFonts w:ascii="宋体" w:hAnsi="宋体" w:eastAsia="宋体"/>
                <w:sz w:val="21"/>
              </w:rPr>
              <w:t>0.651</w:t>
            </w:r>
          </w:p>
        </w:tc>
        <w:tc>
          <w:tcPr>
            <w:tcW w:type="dxa" w:w="1215"/>
            <w:vAlign w:val="center"/>
          </w:tcPr>
          <w:p>
            <w:pPr>
              <w:spacing w:line="240" w:lineRule="auto" w:after="20" w:before="20"/>
              <w:jc w:val="center"/>
            </w:pPr>
            <w:r/>
            <w:r>
              <w:rPr>
                <w:rFonts w:ascii="宋体" w:hAnsi="宋体" w:eastAsia="宋体"/>
                <w:sz w:val="21"/>
              </w:rPr>
              <w:t>0.332</w:t>
            </w:r>
          </w:p>
        </w:tc>
        <w:tc>
          <w:tcPr>
            <w:tcW w:type="dxa" w:w="1215"/>
            <w:vAlign w:val="center"/>
          </w:tcPr>
          <w:p>
            <w:pPr>
              <w:spacing w:line="240" w:lineRule="auto" w:after="20" w:before="20"/>
              <w:jc w:val="center"/>
            </w:pPr>
            <w:r/>
            <w:r>
              <w:rPr>
                <w:rFonts w:ascii="宋体" w:hAnsi="宋体" w:eastAsia="宋体"/>
                <w:sz w:val="21"/>
              </w:rPr>
              <w:t>0.632</w:t>
            </w:r>
          </w:p>
        </w:tc>
        <w:tc>
          <w:tcPr>
            <w:tcW w:type="dxa" w:w="1215"/>
            <w:vAlign w:val="center"/>
          </w:tcPr>
          <w:p>
            <w:pPr>
              <w:spacing w:line="240" w:lineRule="auto" w:after="20" w:before="20"/>
              <w:jc w:val="center"/>
            </w:pPr>
            <w:r/>
            <w:r>
              <w:rPr>
                <w:rFonts w:ascii="宋体" w:hAnsi="宋体" w:eastAsia="宋体"/>
                <w:sz w:val="21"/>
              </w:rPr>
              <w:t>0.64</w:t>
            </w:r>
          </w:p>
        </w:tc>
        <w:tc>
          <w:tcPr>
            <w:tcW w:type="dxa" w:w="1215"/>
            <w:vAlign w:val="center"/>
          </w:tcPr>
          <w:p>
            <w:pPr>
              <w:spacing w:line="240" w:lineRule="auto" w:after="20" w:before="20"/>
              <w:jc w:val="center"/>
            </w:pPr>
            <w:r/>
            <w:r>
              <w:rPr>
                <w:rFonts w:ascii="宋体" w:hAnsi="宋体" w:eastAsia="宋体"/>
                <w:sz w:val="21"/>
              </w:rPr>
              <w:t>80.3%</w:t>
            </w:r>
          </w:p>
        </w:tc>
      </w:tr>
      <w:tr>
        <w:tc>
          <w:tcPr>
            <w:tcW w:type="dxa" w:w="1215"/>
            <w:vAlign w:val="center"/>
          </w:tcPr>
          <w:p>
            <w:pPr>
              <w:spacing w:line="240" w:lineRule="auto" w:after="20" w:before="20"/>
              <w:jc w:val="center"/>
            </w:pPr>
            <w:r/>
            <w:r>
              <w:rPr>
                <w:rFonts w:ascii="宋体" w:hAnsi="宋体" w:eastAsia="宋体"/>
                <w:sz w:val="21"/>
              </w:rPr>
              <w:t>旗舰闭源级</w:t>
            </w:r>
          </w:p>
        </w:tc>
        <w:tc>
          <w:tcPr>
            <w:tcW w:type="dxa" w:w="1215"/>
            <w:vAlign w:val="center"/>
          </w:tcPr>
          <w:p>
            <w:pPr>
              <w:spacing w:line="240" w:lineRule="auto" w:after="20" w:before="20"/>
              <w:jc w:val="center"/>
            </w:pPr>
            <w:r/>
            <w:r>
              <w:rPr>
                <w:rFonts w:ascii="宋体" w:hAnsi="宋体" w:eastAsia="宋体"/>
                <w:sz w:val="21"/>
              </w:rPr>
              <w:t>5.4</w:t>
            </w:r>
          </w:p>
        </w:tc>
        <w:tc>
          <w:tcPr>
            <w:tcW w:type="dxa" w:w="1215"/>
            <w:vAlign w:val="center"/>
          </w:tcPr>
          <w:p>
            <w:pPr>
              <w:spacing w:line="240" w:lineRule="auto" w:after="20" w:before="20"/>
              <w:jc w:val="center"/>
            </w:pPr>
            <w:r/>
            <w:r>
              <w:rPr>
                <w:rFonts w:ascii="宋体" w:hAnsi="宋体" w:eastAsia="宋体"/>
                <w:sz w:val="21"/>
              </w:rPr>
              <w:t>1.203</w:t>
            </w:r>
          </w:p>
        </w:tc>
        <w:tc>
          <w:tcPr>
            <w:tcW w:type="dxa" w:w="1215"/>
            <w:vAlign w:val="center"/>
          </w:tcPr>
          <w:p>
            <w:pPr>
              <w:spacing w:line="240" w:lineRule="auto" w:after="20" w:before="20"/>
              <w:jc w:val="center"/>
            </w:pPr>
            <w:r/>
            <w:r>
              <w:rPr>
                <w:rFonts w:ascii="宋体" w:hAnsi="宋体" w:eastAsia="宋体"/>
                <w:sz w:val="21"/>
              </w:rPr>
              <w:t>0.409</w:t>
            </w:r>
          </w:p>
        </w:tc>
        <w:tc>
          <w:tcPr>
            <w:tcW w:type="dxa" w:w="1215"/>
            <w:vAlign w:val="center"/>
          </w:tcPr>
          <w:p>
            <w:pPr>
              <w:spacing w:line="240" w:lineRule="auto" w:after="20" w:before="20"/>
              <w:jc w:val="center"/>
            </w:pPr>
            <w:r/>
            <w:r>
              <w:rPr>
                <w:rFonts w:ascii="宋体" w:hAnsi="宋体" w:eastAsia="宋体"/>
                <w:sz w:val="21"/>
              </w:rPr>
              <w:t>0.779</w:t>
            </w:r>
          </w:p>
        </w:tc>
        <w:tc>
          <w:tcPr>
            <w:tcW w:type="dxa" w:w="1215"/>
            <w:vAlign w:val="center"/>
          </w:tcPr>
          <w:p>
            <w:pPr>
              <w:spacing w:line="240" w:lineRule="auto" w:after="20" w:before="20"/>
              <w:jc w:val="center"/>
            </w:pPr>
            <w:r/>
            <w:r>
              <w:rPr>
                <w:rFonts w:ascii="宋体" w:hAnsi="宋体" w:eastAsia="宋体"/>
                <w:sz w:val="21"/>
              </w:rPr>
              <w:t>0.53</w:t>
            </w:r>
          </w:p>
        </w:tc>
        <w:tc>
          <w:tcPr>
            <w:tcW w:type="dxa" w:w="1215"/>
            <w:vAlign w:val="center"/>
          </w:tcPr>
          <w:p>
            <w:pPr>
              <w:spacing w:line="240" w:lineRule="auto" w:after="20" w:before="20"/>
              <w:jc w:val="center"/>
            </w:pPr>
            <w:r/>
            <w:r>
              <w:rPr>
                <w:rFonts w:ascii="宋体" w:hAnsi="宋体" w:eastAsia="宋体"/>
                <w:sz w:val="21"/>
              </w:rPr>
              <w:t>82.8%</w:t>
            </w:r>
          </w:p>
        </w:tc>
      </w:tr>
      <w:tr>
        <w:tc>
          <w:tcPr>
            <w:tcW w:type="dxa" w:w="1215"/>
            <w:vAlign w:val="center"/>
          </w:tcPr>
          <w:p>
            <w:pPr>
              <w:spacing w:line="240" w:lineRule="auto" w:after="20" w:before="20"/>
              <w:jc w:val="center"/>
            </w:pPr>
            <w:r/>
            <w:r>
              <w:rPr>
                <w:rFonts w:ascii="宋体" w:hAnsi="宋体" w:eastAsia="宋体"/>
                <w:sz w:val="21"/>
              </w:rPr>
              <w:t>推理增强级</w:t>
            </w:r>
          </w:p>
        </w:tc>
        <w:tc>
          <w:tcPr>
            <w:tcW w:type="dxa" w:w="1215"/>
            <w:vAlign w:val="center"/>
          </w:tcPr>
          <w:p>
            <w:pPr>
              <w:spacing w:line="240" w:lineRule="auto" w:after="20" w:before="20"/>
              <w:jc w:val="center"/>
            </w:pPr>
            <w:r/>
            <w:r>
              <w:rPr>
                <w:rFonts w:ascii="宋体" w:hAnsi="宋体" w:eastAsia="宋体"/>
                <w:sz w:val="21"/>
              </w:rPr>
              <w:t>3.1</w:t>
            </w:r>
          </w:p>
        </w:tc>
        <w:tc>
          <w:tcPr>
            <w:tcW w:type="dxa" w:w="1215"/>
            <w:vAlign w:val="center"/>
          </w:tcPr>
          <w:p>
            <w:pPr>
              <w:spacing w:line="240" w:lineRule="auto" w:after="20" w:before="20"/>
              <w:jc w:val="center"/>
            </w:pPr>
            <w:r/>
            <w:r>
              <w:rPr>
                <w:rFonts w:ascii="宋体" w:hAnsi="宋体" w:eastAsia="宋体"/>
                <w:sz w:val="21"/>
              </w:rPr>
              <w:t>2.083</w:t>
            </w:r>
          </w:p>
        </w:tc>
        <w:tc>
          <w:tcPr>
            <w:tcW w:type="dxa" w:w="1215"/>
            <w:vAlign w:val="center"/>
          </w:tcPr>
          <w:p>
            <w:pPr>
              <w:spacing w:line="240" w:lineRule="auto" w:after="20" w:before="20"/>
              <w:jc w:val="center"/>
            </w:pPr>
            <w:r/>
            <w:r>
              <w:rPr>
                <w:rFonts w:ascii="宋体" w:hAnsi="宋体" w:eastAsia="宋体"/>
                <w:sz w:val="21"/>
              </w:rPr>
              <w:t>0.487</w:t>
            </w:r>
          </w:p>
        </w:tc>
        <w:tc>
          <w:tcPr>
            <w:tcW w:type="dxa" w:w="1215"/>
            <w:vAlign w:val="center"/>
          </w:tcPr>
          <w:p>
            <w:pPr>
              <w:spacing w:line="240" w:lineRule="auto" w:after="20" w:before="20"/>
              <w:jc w:val="center"/>
            </w:pPr>
            <w:r/>
            <w:r>
              <w:rPr>
                <w:rFonts w:ascii="宋体" w:hAnsi="宋体" w:eastAsia="宋体"/>
                <w:sz w:val="21"/>
              </w:rPr>
              <w:t>0.926</w:t>
            </w:r>
          </w:p>
        </w:tc>
        <w:tc>
          <w:tcPr>
            <w:tcW w:type="dxa" w:w="1215"/>
            <w:vAlign w:val="center"/>
          </w:tcPr>
          <w:p>
            <w:pPr>
              <w:spacing w:line="240" w:lineRule="auto" w:after="20" w:before="20"/>
              <w:jc w:val="center"/>
            </w:pPr>
            <w:r/>
            <w:r>
              <w:rPr>
                <w:rFonts w:ascii="宋体" w:hAnsi="宋体" w:eastAsia="宋体"/>
                <w:sz w:val="21"/>
              </w:rPr>
              <w:t>0.42</w:t>
            </w:r>
          </w:p>
        </w:tc>
        <w:tc>
          <w:tcPr>
            <w:tcW w:type="dxa" w:w="1215"/>
            <w:vAlign w:val="center"/>
          </w:tcPr>
          <w:p>
            <w:pPr>
              <w:spacing w:line="240" w:lineRule="auto" w:after="20" w:before="20"/>
              <w:jc w:val="center"/>
            </w:pPr>
            <w:r/>
            <w:r>
              <w:rPr>
                <w:rFonts w:ascii="宋体" w:hAnsi="宋体" w:eastAsia="宋体"/>
                <w:sz w:val="21"/>
              </w:rPr>
              <w:t>85.1%</w:t>
            </w:r>
          </w:p>
        </w:tc>
      </w:tr>
      <w:tr>
        <w:tc>
          <w:tcPr>
            <w:tcW w:type="dxa" w:w="1215"/>
            <w:vAlign w:val="center"/>
          </w:tcPr>
          <w:p>
            <w:pPr>
              <w:spacing w:line="240" w:lineRule="auto" w:after="20" w:before="20"/>
              <w:jc w:val="center"/>
            </w:pPr>
            <w:r/>
            <w:r>
              <w:rPr>
                <w:rFonts w:ascii="宋体" w:hAnsi="宋体" w:eastAsia="宋体"/>
                <w:sz w:val="21"/>
              </w:rPr>
              <w:t>多模态级</w:t>
            </w:r>
          </w:p>
        </w:tc>
        <w:tc>
          <w:tcPr>
            <w:tcW w:type="dxa" w:w="1215"/>
            <w:vAlign w:val="center"/>
          </w:tcPr>
          <w:p>
            <w:pPr>
              <w:spacing w:line="240" w:lineRule="auto" w:after="20" w:before="20"/>
              <w:jc w:val="center"/>
            </w:pPr>
            <w:r/>
            <w:r>
              <w:rPr>
                <w:rFonts w:ascii="宋体" w:hAnsi="宋体" w:eastAsia="宋体"/>
                <w:sz w:val="21"/>
              </w:rPr>
              <w:t>6.8</w:t>
            </w:r>
          </w:p>
        </w:tc>
        <w:tc>
          <w:tcPr>
            <w:tcW w:type="dxa" w:w="1215"/>
            <w:vAlign w:val="center"/>
          </w:tcPr>
          <w:p>
            <w:pPr>
              <w:spacing w:line="240" w:lineRule="auto" w:after="20" w:before="20"/>
              <w:jc w:val="center"/>
            </w:pPr>
            <w:r/>
            <w:r>
              <w:rPr>
                <w:rFonts w:ascii="宋体" w:hAnsi="宋体" w:eastAsia="宋体"/>
                <w:sz w:val="21"/>
              </w:rPr>
              <w:t>0.918</w:t>
            </w:r>
          </w:p>
        </w:tc>
        <w:tc>
          <w:tcPr>
            <w:tcW w:type="dxa" w:w="1215"/>
            <w:vAlign w:val="center"/>
          </w:tcPr>
          <w:p>
            <w:pPr>
              <w:spacing w:line="240" w:lineRule="auto" w:after="20" w:before="20"/>
              <w:jc w:val="center"/>
            </w:pPr>
            <w:r/>
            <w:r>
              <w:rPr>
                <w:rFonts w:ascii="宋体" w:hAnsi="宋体" w:eastAsia="宋体"/>
                <w:sz w:val="21"/>
              </w:rPr>
              <w:t>0.350</w:t>
            </w:r>
          </w:p>
        </w:tc>
        <w:tc>
          <w:tcPr>
            <w:tcW w:type="dxa" w:w="1215"/>
            <w:vAlign w:val="center"/>
          </w:tcPr>
          <w:p>
            <w:pPr>
              <w:spacing w:line="240" w:lineRule="auto" w:after="20" w:before="20"/>
              <w:jc w:val="center"/>
            </w:pPr>
            <w:r/>
            <w:r>
              <w:rPr>
                <w:rFonts w:ascii="宋体" w:hAnsi="宋体" w:eastAsia="宋体"/>
                <w:sz w:val="21"/>
              </w:rPr>
              <w:t>0.666</w:t>
            </w:r>
          </w:p>
        </w:tc>
        <w:tc>
          <w:tcPr>
            <w:tcW w:type="dxa" w:w="1215"/>
            <w:vAlign w:val="center"/>
          </w:tcPr>
          <w:p>
            <w:pPr>
              <w:spacing w:line="240" w:lineRule="auto" w:after="20" w:before="20"/>
              <w:jc w:val="center"/>
            </w:pPr>
            <w:r/>
            <w:r>
              <w:rPr>
                <w:rFonts w:ascii="宋体" w:hAnsi="宋体" w:eastAsia="宋体"/>
                <w:sz w:val="21"/>
              </w:rPr>
              <w:t>0.54</w:t>
            </w:r>
          </w:p>
        </w:tc>
        <w:tc>
          <w:tcPr>
            <w:tcW w:type="dxa" w:w="1215"/>
            <w:vAlign w:val="center"/>
          </w:tcPr>
          <w:p>
            <w:pPr>
              <w:spacing w:line="240" w:lineRule="auto" w:after="20" w:before="20"/>
              <w:jc w:val="center"/>
            </w:pPr>
            <w:r/>
            <w:r>
              <w:rPr>
                <w:rFonts w:ascii="宋体" w:hAnsi="宋体" w:eastAsia="宋体"/>
                <w:sz w:val="21"/>
              </w:rPr>
              <w:t>81.6%</w:t>
            </w:r>
          </w:p>
        </w:tc>
      </w:tr>
    </w:tbl>
    <w:p>
      <w:pPr>
        <w:spacing w:after="200" w:line="240" w:lineRule="auto"/>
        <w:jc w:val="both"/>
      </w:pPr>
      <w:r>
        <w:rPr>
          <w:rFonts w:ascii="宋体" w:hAnsi="宋体" w:eastAsia="宋体"/>
          <w:sz w:val="18"/>
        </w:rPr>
        <w:t>注：转化效率θ取自第9章的算力—词元转化测算；物理词元口径与标准词元口径之间按第5章的效值系数η换算；单位算力收入指数＝θ×标准词元价格，以中型通用级为1；加成率＝(p−MC)/p，p为市场价。校准复算对六档位设定了同构的固定—可变成本结构（固定成本约占平均成本47.4%），故各档位的规模经济度AC/MC均约为1.90，表中不再重复列示。数据来源：作者校准复算。</w:t>
      </w:r>
    </w:p>
    <w:p>
      <w:pPr>
        <w:spacing w:line="360" w:lineRule="auto" w:after="0"/>
        <w:ind w:firstLineChars="200" w:firstLine="480"/>
        <w:jc w:val="both"/>
      </w:pPr>
      <w:r>
        <w:rPr>
          <w:rFonts w:ascii="宋体" w:hAnsi="宋体" w:eastAsia="宋体"/>
          <w:sz w:val="24"/>
        </w:rPr>
        <w:t>表8.2的第一点发现关乎折算体系的有效性。按物理词元口径，六档位的边际成本从0.112元到2.083元，极差达18.6倍，平均成本的极差为18.7倍；换算为标准词元口径后，边际成本收敛到0.295—0.487元区间，极差降至1.65倍，平均成本的极差同步降至1.66倍。也就是说，档位之间看似悬殊的成本差距，约九成是产品差异（生产的是不同的东西），只有约一成是效率差异（生产同样的东西而耗费不同）。这一结果与第 5 章关于单位价格离散度的发现相互印证，并给出一个具有直接操作意义的推论：在补贴核定、成本监审与跨主体成本比较中，若以物理词元为分母，将系统性地把「用了更强的模型」误判为「效率低下」，从而把补贴导向低档位、把监审压力施加于高档位——方向恰好相反。</w:t>
      </w:r>
    </w:p>
    <w:p>
      <w:pPr>
        <w:spacing w:line="360" w:lineRule="auto" w:after="0"/>
        <w:ind w:firstLineChars="200" w:firstLine="480"/>
        <w:jc w:val="both"/>
      </w:pPr>
      <w:r>
        <w:rPr>
          <w:rFonts w:ascii="宋体" w:hAnsi="宋体" w:eastAsia="宋体"/>
          <w:sz w:val="24"/>
        </w:rPr>
        <w:t>第二点发现关乎供给侧的产品组合决策。单位算力收入指数自轻量蒸馏级的1.84单调下降至推理增强级的0.42，而价格—边际成本加成率却自72.0%单调上升至85.1%。两个方向相反的序列并存，刻画出一个真实的经营权衡：低档位「薄利多销」，单位算力能换来更多收入但每一枚词元的加成薄；高档位「厚利少销」，每一枚词元的加成厚但单位算力换来的收入少。厂商的最优选择取决于算力的稀缺程度：当算力紧张时，单位算力收入是决策变量，产能会向低档位倾斜；当算力宽裕而需求分层明显时，加成率是决策变量，产能会向高档位倾斜。这一权衡为第 9 章的任务—模型最优匹配问题提供了微观基础，也解释了为什么统一调度平台的价值不仅在于提高利用率，更在于把「哪一档模型接哪一类任务」从各自为政变为全局优化。</w:t>
      </w:r>
    </w:p>
    <w:p>
      <w:pPr>
        <w:spacing w:line="360" w:lineRule="auto" w:after="0"/>
        <w:ind w:firstLineChars="200" w:firstLine="480"/>
        <w:jc w:val="both"/>
      </w:pPr>
      <w:r>
        <w:rPr>
          <w:rFonts w:ascii="宋体" w:hAnsi="宋体" w:eastAsia="宋体"/>
          <w:sz w:val="24"/>
        </w:rPr>
        <w:t>表8.2的一致性还可以从另一角度检验：中型通用级的标准词元平均成本为0.614元每百万标准词元，与式(8-8)中最小有效规模处的长期平均成本0.61元几乎重合。这不是巧合，而是基准档设定的必然结果——效值系数以中型通用级归一，长期平均成本曲线的最低点也以该档位的典型设施为标定对象，两者在数值上的吻合表明短期成本结构与长期成本曲线的标定相互自洽。</w:t>
      </w:r>
    </w:p>
    <w:p>
      <w:pPr>
        <w:keepNext/>
        <w:spacing w:before="160" w:after="120" w:line="360" w:lineRule="auto"/>
        <w:outlineLvl w:val="1"/>
      </w:pPr>
      <w:r>
        <w:rPr>
          <w:rFonts w:ascii="黑体" w:hAnsi="黑体" w:eastAsia="黑体"/>
          <w:sz w:val="28"/>
        </w:rPr>
        <w:t>8.4  市场均衡与竞争格局</w:t>
      </w:r>
    </w:p>
    <w:p>
      <w:pPr>
        <w:keepNext/>
        <w:spacing w:before="160" w:after="120" w:line="360" w:lineRule="auto"/>
        <w:outlineLvl w:val="2"/>
      </w:pPr>
      <w:r>
        <w:rPr>
          <w:rFonts w:ascii="黑体" w:hAnsi="黑体" w:eastAsia="黑体"/>
          <w:sz w:val="24"/>
        </w:rPr>
        <w:t>8.4.1  短期均衡：产能刚性与高峰负荷定价</w:t>
      </w:r>
    </w:p>
    <w:p>
      <w:pPr>
        <w:spacing w:line="360" w:lineRule="auto" w:after="0"/>
        <w:ind w:firstLineChars="200" w:firstLine="480"/>
        <w:jc w:val="both"/>
      </w:pPr>
      <w:r>
        <w:rPr>
          <w:rFonts w:ascii="宋体" w:hAnsi="宋体" w:eastAsia="宋体"/>
          <w:sz w:val="24"/>
        </w:rPr>
        <w:t>短期内算力存量给定，模型组合虽可重构但重构本身需要时间与切换成本，因而供给在产能上限附近近乎垂直。把式(8-4)的需求与式(8-6)的产能放在一起，短期均衡由下述互补松弛条件刻画：</w:t>
      </w:r>
    </w:p>
    <w:p>
      <w:pPr>
        <w:tabs>
          <w:tab w:pos="4252" w:val="center"/>
          <w:tab w:pos="8504" w:val="right"/>
        </w:tabs>
        <w:spacing w:line="360" w:lineRule="auto" w:before="80" w:after="80"/>
      </w:pPr>
      <w:r>
        <w:tab/>
      </w:r>
      <m:oMath>
        <m:sSup>
          <m:e>
            <m:r>
              <m:t>T</m:t>
            </m:r>
          </m:e>
          <m:sup>
            <m:r>
              <m:t>d</m:t>
            </m:r>
          </m:sup>
        </m:sSup>
        <m:r>
          <m:t>​</m:t>
        </m:r>
        <m:d>
          <m:dPr>
            <m:begChr m:val="("/>
            <m:endChr m:val=")"/>
            <m:grow/>
          </m:dPr>
          <m:e>
            <m:sSup>
              <m:e>
                <m:r>
                  <m:t>p</m:t>
                </m:r>
              </m:e>
              <m:sup>
                <m:r>
                  <m:rPr>
                    <m:sty m:val="p"/>
                  </m:rPr>
                  <m:t>∗</m:t>
                </m:r>
              </m:sup>
            </m:sSup>
          </m:e>
        </m:d>
        <m:r>
          <m:rPr>
            <m:sty m:val="p"/>
          </m:rPr>
          <m:t>≤</m:t>
        </m:r>
        <m:acc>
          <m:accPr>
            <m:chr m:val="‾"/>
          </m:accPr>
          <m:e>
            <m:r>
              <m:t>T</m:t>
            </m:r>
          </m:e>
        </m:acc>
        <m:r>
          <m:rPr>
            <m:sty m:val="p"/>
          </m:rPr>
          <m:t>,</m:t>
        </m:r>
        <m:r>
          <m:t>  </m:t>
        </m:r>
        <m:sSup>
          <m:e>
            <m:r>
              <m:t>p</m:t>
            </m:r>
          </m:e>
          <m:sup>
            <m:r>
              <m:rPr>
                <m:sty m:val="p"/>
              </m:rPr>
              <m:t>∗</m:t>
            </m:r>
          </m:sup>
        </m:sSup>
        <m:r>
          <m:rPr>
            <m:sty m:val="p"/>
          </m:rPr>
          <m:t>=</m:t>
        </m:r>
        <m:r>
          <m:t>M</m:t>
        </m:r>
        <m:r>
          <m:t>C</m:t>
        </m:r>
        <m:r>
          <m:rPr>
            <m:sty m:val="p"/>
          </m:rPr>
          <m:t>+</m:t>
        </m:r>
        <m:r>
          <m:t>λ</m:t>
        </m:r>
        <m:r>
          <m:rPr>
            <m:sty m:val="p"/>
          </m:rPr>
          <m:t>,</m:t>
        </m:r>
        <m:r>
          <m:t>  </m:t>
        </m:r>
        <m:r>
          <m:t>λ</m:t>
        </m:r>
        <m:r>
          <m:rPr>
            <m:sty m:val="p"/>
          </m:rPr>
          <m:t>≥</m:t>
        </m:r>
        <m:r>
          <m:t>0</m:t>
        </m:r>
        <m:r>
          <m:rPr>
            <m:sty m:val="p"/>
          </m:rPr>
          <m:t>,</m:t>
        </m:r>
        <m:r>
          <m:t>  </m:t>
        </m:r>
        <m:r>
          <m:t>λ</m:t>
        </m:r>
        <m:d>
          <m:dPr>
            <m:begChr m:val="["/>
            <m:endChr m:val="]"/>
            <m:grow/>
          </m:dPr>
          <m:e>
            <m:acc>
              <m:accPr>
                <m:chr m:val="‾"/>
              </m:accPr>
              <m:e>
                <m:r>
                  <m:t>T</m:t>
                </m:r>
              </m:e>
            </m:acc>
            <m:r>
              <m:rPr>
                <m:sty m:val="p"/>
              </m:rPr>
              <m:t>−</m:t>
            </m:r>
            <m:sSup>
              <m:e>
                <m:r>
                  <m:t>T</m:t>
                </m:r>
              </m:e>
              <m:sup>
                <m:r>
                  <m:t>d</m:t>
                </m:r>
              </m:sup>
            </m:sSup>
            <m:r>
              <m:t>​</m:t>
            </m:r>
            <m:d>
              <m:dPr>
                <m:begChr m:val="("/>
                <m:endChr m:val=")"/>
                <m:grow/>
              </m:dPr>
              <m:e>
                <m:sSup>
                  <m:e>
                    <m:r>
                      <m:t>p</m:t>
                    </m:r>
                  </m:e>
                  <m:sup>
                    <m:r>
                      <m:rPr>
                        <m:sty m:val="p"/>
                      </m:rPr>
                      <m:t>∗</m:t>
                    </m:r>
                  </m:sup>
                </m:sSup>
              </m:e>
            </m:d>
          </m:e>
        </m:d>
        <m:r>
          <m:rPr>
            <m:sty m:val="p"/>
          </m:rPr>
          <m:t>=</m:t>
        </m:r>
        <m:r>
          <m:t>0</m:t>
        </m:r>
      </m:oMath>
      <w:r>
        <w:tab/>
      </w:r>
      <w:r>
        <w:rPr>
          <w:rFonts w:ascii="Times New Roman" w:hAnsi="Times New Roman" w:eastAsia="宋体"/>
          <w:sz w:val="24"/>
        </w:rPr>
        <w:t>(8-10)</w:t>
      </w:r>
    </w:p>
    <w:p>
      <w:pPr>
        <w:spacing w:line="360" w:lineRule="auto" w:after="0"/>
        <w:jc w:val="both"/>
      </w:pPr>
      <w:r>
        <w:rPr>
          <w:rFonts w:ascii="宋体" w:hAnsi="宋体" w:eastAsia="宋体"/>
          <w:sz w:val="24"/>
        </w:rPr>
        <w:t>其中，</w:t>
      </w:r>
      <m:oMath>
        <m:r>
          <m:t>λ</m:t>
        </m:r>
      </m:oMath>
      <w:r>
        <w:rPr>
          <w:rFonts w:ascii="宋体" w:hAnsi="宋体" w:eastAsia="宋体"/>
          <w:sz w:val="24"/>
        </w:rPr>
        <w:t xml:space="preserve">为产能约束的影子价格；产能宽松时 </w:t>
      </w:r>
      <m:oMath>
        <m:r>
          <m:t>λ</m:t>
        </m:r>
        <m:r>
          <m:rPr>
            <m:sty m:val="p"/>
          </m:rPr>
          <m:t>=</m:t>
        </m:r>
        <m:r>
          <m:t>0</m:t>
        </m:r>
      </m:oMath>
      <w:r>
        <w:rPr>
          <w:rFonts w:ascii="宋体" w:hAnsi="宋体" w:eastAsia="宋体"/>
          <w:sz w:val="24"/>
        </w:rPr>
        <w:t xml:space="preserve">，价格趋于边际成本；产能紧张时 </w:t>
      </w:r>
      <m:oMath>
        <m:r>
          <m:t>λ</m:t>
        </m:r>
        <m:r>
          <m:rPr>
            <m:sty m:val="p"/>
          </m:rPr>
          <m:t>&gt;</m:t>
        </m:r>
        <m:r>
          <m:t>0</m:t>
        </m:r>
      </m:oMath>
      <w:r>
        <w:rPr>
          <w:rFonts w:ascii="宋体" w:hAnsi="宋体" w:eastAsia="宋体"/>
          <w:sz w:val="24"/>
        </w:rPr>
        <w:t>，价格中出现一块与成本无关的稀缺租金。</w:t>
      </w:r>
    </w:p>
    <w:p>
      <w:pPr>
        <w:spacing w:line="360" w:lineRule="auto" w:after="0"/>
        <w:ind w:firstLineChars="200" w:firstLine="480"/>
        <w:jc w:val="both"/>
      </w:pPr>
      <w:r>
        <w:rPr>
          <w:rFonts w:ascii="宋体" w:hAnsi="宋体" w:eastAsia="宋体"/>
          <w:sz w:val="24"/>
        </w:rPr>
        <w:t xml:space="preserve">式(8-10)的政策含义在于，短期价格的波动未必反映成本变化，而可能仅仅反映产能约束的松紧。这一机制在现实中已经以峰谷分时定价的形式显性化：据公开报道，2026 年 8 月 17 日零时起，国内一家头部模型服务商将其接口价目由单一价格改为峰谷分时定价，高峰时段（北京时间 9:00—12:00、14:00—18:00）的价格设定为空闲时段的两倍。按式(8-10)解读，这正是典型的高峰负荷定价：在高峰时段 </w:t>
      </w:r>
      <m:oMath>
        <m:r>
          <m:t>λ</m:t>
        </m:r>
        <m:r>
          <m:rPr>
            <m:sty m:val="p"/>
          </m:rPr>
          <m:t>&gt;</m:t>
        </m:r>
        <m:r>
          <m:t>0</m:t>
        </m:r>
      </m:oMath>
      <w:r>
        <w:rPr>
          <w:rFonts w:ascii="宋体" w:hAnsi="宋体" w:eastAsia="宋体"/>
          <w:sz w:val="24"/>
        </w:rPr>
        <w:t xml:space="preserve">，价格中包含稀缺租金；在空闲时段 </w:t>
      </w:r>
      <m:oMath>
        <m:r>
          <m:t>λ</m:t>
        </m:r>
        <m:r>
          <m:rPr>
            <m:sty m:val="p"/>
          </m:rPr>
          <m:t>=</m:t>
        </m:r>
        <m:r>
          <m:t>0</m:t>
        </m:r>
      </m:oMath>
      <w:r>
        <w:rPr>
          <w:rFonts w:ascii="宋体" w:hAnsi="宋体" w:eastAsia="宋体"/>
          <w:sz w:val="24"/>
        </w:rPr>
        <w:t>，价格回落至接近边际成本的水平。分时定价的福利效果是双重的：它把可延迟的任务从高峰移向低谷，提高了既有产能的利用率（对应第 9 章的空转损失下降），同时也把价格信号的分辨率从「按模型」细化到「按时段」，使需求侧第一次能够在时间维度上做替代。</w:t>
      </w:r>
    </w:p>
    <w:p>
      <w:pPr>
        <w:spacing w:line="360" w:lineRule="auto" w:after="0"/>
        <w:ind w:firstLineChars="200" w:firstLine="480"/>
        <w:jc w:val="both"/>
      </w:pPr>
      <w:r>
        <w:rPr>
          <w:rFonts w:ascii="宋体" w:hAnsi="宋体" w:eastAsia="宋体"/>
          <w:sz w:val="24"/>
        </w:rPr>
        <w:t>同样值得注意的是这一事件的方向：在经历了两年多的持续降价之后，一次幅度可观的提价出现了。这提示价格下行并非无底——当价格接近成本底价时，继续降价将无法回收固定投入，供给方或退出、或提价、或以分时与分档的方式重构价目。第 7 章测算的成本底价层，在市场层面正表现为价格的地板；本节的短期均衡条件则说明，地板之上还叠加了一块随产能松紧波动的稀缺租金。二者共同决定了短期价格的运行区间。</w:t>
      </w:r>
    </w:p>
    <w:p>
      <w:pPr>
        <w:keepNext/>
        <w:spacing w:before="160" w:after="120" w:line="360" w:lineRule="auto"/>
        <w:outlineLvl w:val="2"/>
      </w:pPr>
      <w:r>
        <w:rPr>
          <w:rFonts w:ascii="黑体" w:hAnsi="黑体" w:eastAsia="黑体"/>
          <w:sz w:val="24"/>
        </w:rPr>
        <w:t>8.4.2  长期均衡：自然垄断假说的三项检验</w:t>
      </w:r>
    </w:p>
    <w:p>
      <w:pPr>
        <w:spacing w:line="360" w:lineRule="auto" w:after="0"/>
        <w:ind w:firstLineChars="200" w:firstLine="480"/>
        <w:jc w:val="both"/>
      </w:pPr>
      <w:r>
        <w:rPr>
          <w:rFonts w:ascii="宋体" w:hAnsi="宋体" w:eastAsia="宋体"/>
          <w:sz w:val="24"/>
        </w:rPr>
        <w:t>长期中设施规模可调、进入与退出可行，市场结构由成本条件与需求规模共同决定。「词元市场终将走向自然垄断」的判断若要成立，须同时通过三项检验：成本函数在相关产量区间上是否严格次可加、市场需求规模相对于最小有效规模是否足够小、以及进入是否面临不可回收的沉没成本。集中度的演化与长期平均成本曲线如图8.3所示。</w:t>
      </w:r>
    </w:p>
    <w:p>
      <w:pPr>
        <w:spacing w:before="120" w:after="40"/>
        <w:jc w:val="center"/>
      </w:pPr>
      <w:r>
        <w:drawing>
          <wp:inline xmlns:a="http://schemas.openxmlformats.org/drawingml/2006/main" xmlns:pic="http://schemas.openxmlformats.org/drawingml/2006/picture">
            <wp:extent cx="5040000" cy="2233118"/>
            <wp:docPr id="26" name="Picture 26"/>
            <wp:cNvGraphicFramePr>
              <a:graphicFrameLocks noChangeAspect="1"/>
            </wp:cNvGraphicFramePr>
            <a:graphic>
              <a:graphicData uri="http://schemas.openxmlformats.org/drawingml/2006/picture">
                <pic:pic>
                  <pic:nvPicPr>
                    <pic:cNvPr id="0" name="fig8_3.png"/>
                    <pic:cNvPicPr/>
                  </pic:nvPicPr>
                  <pic:blipFill>
                    <a:blip r:embed="rId34"/>
                    <a:stretch>
                      <a:fillRect/>
                    </a:stretch>
                  </pic:blipFill>
                  <pic:spPr>
                    <a:xfrm>
                      <a:off x="0" y="0"/>
                      <a:ext cx="5040000" cy="2233118"/>
                    </a:xfrm>
                    <a:prstGeom prst="rect"/>
                  </pic:spPr>
                </pic:pic>
              </a:graphicData>
            </a:graphic>
          </wp:inline>
        </w:drawing>
      </w:r>
    </w:p>
    <w:p>
      <w:pPr>
        <w:keepNext w:val="0"/>
        <w:spacing w:after="40"/>
        <w:jc w:val="center"/>
      </w:pPr>
      <w:r>
        <w:rPr>
          <w:rFonts w:ascii="黑体" w:hAnsi="黑体" w:eastAsia="黑体"/>
          <w:sz w:val="21"/>
        </w:rPr>
        <w:t>图8.3  市场集中度演化与词元工厂的长期平均成本曲线</w:t>
      </w:r>
    </w:p>
    <w:p>
      <w:pPr>
        <w:spacing w:after="200" w:line="240" w:lineRule="auto"/>
        <w:jc w:val="both"/>
      </w:pPr>
      <w:r>
        <w:rPr>
          <w:rFonts w:ascii="宋体" w:hAnsi="宋体" w:eastAsia="宋体"/>
          <w:sz w:val="18"/>
        </w:rPr>
        <w:t>注：（a）中的赫芬达尔—赫希曼指数按模型服务市场的调用量份额平方和计算，取值域为0—1，图中0.15与0.25两条分界线参照国际通行的竞争性、中度集中与高度集中三档划分；（b）按式(8-8)绘制，复现参数为最低点长期平均成本0.61元／百万标准词元、最小有效规模1.2亿枚／日、曲率参数0.55。数据来源：作者校准复算。</w:t>
      </w:r>
    </w:p>
    <w:p>
      <w:pPr>
        <w:spacing w:line="360" w:lineRule="auto" w:after="0"/>
        <w:ind w:firstLineChars="200" w:firstLine="480"/>
        <w:jc w:val="both"/>
      </w:pPr>
      <w:r>
        <w:rPr>
          <w:rFonts w:ascii="宋体" w:hAnsi="宋体" w:eastAsia="宋体"/>
          <w:sz w:val="24"/>
        </w:rPr>
        <w:t xml:space="preserve">第一项检验是次可加性。成本函数在产量 </w:t>
      </w:r>
      <m:oMath>
        <m:r>
          <m:t>Q</m:t>
        </m:r>
      </m:oMath>
      <w:r>
        <w:rPr>
          <w:rFonts w:ascii="宋体" w:hAnsi="宋体" w:eastAsia="宋体"/>
          <w:sz w:val="24"/>
        </w:rPr>
        <w:t xml:space="preserve"> 上严格次可加，指的是由一家厂商生产全部产量的成本低于任意分拆生产的成本之和：</w:t>
      </w:r>
    </w:p>
    <w:p>
      <w:pPr>
        <w:tabs>
          <w:tab w:pos="4252" w:val="center"/>
          <w:tab w:pos="8504" w:val="right"/>
        </w:tabs>
        <w:spacing w:line="360" w:lineRule="auto" w:before="80" w:after="80"/>
      </w:pPr>
      <w:r>
        <w:tab/>
      </w:r>
      <m:oMath>
        <m:r>
          <m:t>C</m:t>
        </m:r>
        <m:d>
          <m:dPr>
            <m:begChr m:val="("/>
            <m:endChr m:val=")"/>
            <m:grow/>
          </m:dPr>
          <m:e>
            <m:nary>
              <m:naryPr>
                <m:chr m:val="∑"/>
                <m:limLoc m:val="undOvr"/>
                <m:subHide m:val="off"/>
                <m:supHide m:val="off"/>
              </m:naryPr>
              <m:sub>
                <m:r>
                  <m:t>k</m:t>
                </m:r>
                <m:r>
                  <m:rPr>
                    <m:sty m:val="p"/>
                  </m:rPr>
                  <m:t>=</m:t>
                </m:r>
                <m:r>
                  <m:t>1</m:t>
                </m:r>
              </m:sub>
              <m:sup>
                <m:r>
                  <m:t>n</m:t>
                </m:r>
              </m:sup>
              <m:e>
                <m:sSub>
                  <m:e>
                    <m:r>
                      <m:t>q</m:t>
                    </m:r>
                  </m:e>
                  <m:sub>
                    <m:r>
                      <m:t>k</m:t>
                    </m:r>
                  </m:sub>
                </m:sSub>
              </m:e>
            </m:nary>
          </m:e>
        </m:d>
        <m:r>
          <m:rPr>
            <m:sty m:val="p"/>
          </m:rPr>
          <m:t>&lt;</m:t>
        </m:r>
        <m:nary>
          <m:naryPr>
            <m:chr m:val="∑"/>
            <m:limLoc m:val="undOvr"/>
            <m:subHide m:val="off"/>
            <m:supHide m:val="off"/>
          </m:naryPr>
          <m:sub>
            <m:r>
              <m:t>k</m:t>
            </m:r>
            <m:r>
              <m:rPr>
                <m:sty m:val="p"/>
              </m:rPr>
              <m:t>=</m:t>
            </m:r>
            <m:r>
              <m:t>1</m:t>
            </m:r>
          </m:sub>
          <m:sup>
            <m:r>
              <m:t>n</m:t>
            </m:r>
          </m:sup>
          <m:e>
            <m:r>
              <m:t>C</m:t>
            </m:r>
          </m:e>
        </m:nary>
        <m:d>
          <m:dPr>
            <m:begChr m:val="("/>
            <m:endChr m:val=")"/>
            <m:grow/>
          </m:dPr>
          <m:e>
            <m:sSub>
              <m:e>
                <m:r>
                  <m:t>q</m:t>
                </m:r>
              </m:e>
              <m:sub>
                <m:r>
                  <m:t>k</m:t>
                </m:r>
              </m:sub>
            </m:sSub>
          </m:e>
        </m:d>
        <m:r>
          <m:rPr>
            <m:sty m:val="p"/>
          </m:rPr>
          <m:t>,</m:t>
        </m:r>
        <m:r>
          <m:t>  </m:t>
        </m:r>
        <m:nary>
          <m:naryPr>
            <m:chr m:val="∑"/>
            <m:limLoc m:val="undOvr"/>
            <m:subHide m:val="off"/>
            <m:supHide m:val="off"/>
          </m:naryPr>
          <m:sub>
            <m:r>
              <m:t>k</m:t>
            </m:r>
            <m:r>
              <m:rPr>
                <m:sty m:val="p"/>
              </m:rPr>
              <m:t>=</m:t>
            </m:r>
            <m:r>
              <m:t>1</m:t>
            </m:r>
          </m:sub>
          <m:sup>
            <m:r>
              <m:t>n</m:t>
            </m:r>
          </m:sup>
          <m:e>
            <m:sSub>
              <m:e>
                <m:r>
                  <m:t>q</m:t>
                </m:r>
              </m:e>
              <m:sub>
                <m:r>
                  <m:t>k</m:t>
                </m:r>
              </m:sub>
            </m:sSub>
          </m:e>
        </m:nary>
        <m:r>
          <m:rPr>
            <m:sty m:val="p"/>
          </m:rPr>
          <m:t>=</m:t>
        </m:r>
        <m:r>
          <m:t>Q</m:t>
        </m:r>
        <m:r>
          <m:rPr>
            <m:sty m:val="p"/>
          </m:rPr>
          <m:t>,</m:t>
        </m:r>
        <m:r>
          <m:t> </m:t>
        </m:r>
        <m:r>
          <m:t>n</m:t>
        </m:r>
        <m:r>
          <m:rPr>
            <m:sty m:val="p"/>
          </m:rPr>
          <m:t>≥</m:t>
        </m:r>
        <m:r>
          <m:t>2</m:t>
        </m:r>
      </m:oMath>
      <w:r>
        <w:tab/>
      </w:r>
      <w:r>
        <w:rPr>
          <w:rFonts w:ascii="Times New Roman" w:hAnsi="Times New Roman" w:eastAsia="宋体"/>
          <w:sz w:val="24"/>
        </w:rPr>
        <w:t>(8-11)</w:t>
      </w:r>
    </w:p>
    <w:p>
      <w:pPr>
        <w:spacing w:line="360" w:lineRule="auto" w:after="0"/>
        <w:jc w:val="both"/>
      </w:pPr>
      <w:r>
        <w:rPr>
          <w:rFonts w:ascii="宋体" w:hAnsi="宋体" w:eastAsia="宋体"/>
          <w:sz w:val="24"/>
        </w:rPr>
        <w:t>其中，</w:t>
      </w:r>
      <m:oMath>
        <m:sSub>
          <m:e>
            <m:r>
              <m:t>q</m:t>
            </m:r>
          </m:e>
          <m:sub>
            <m:r>
              <m:t>k</m:t>
            </m:r>
          </m:sub>
        </m:sSub>
      </m:oMath>
      <w:r>
        <w:rPr>
          <w:rFonts w:ascii="宋体" w:hAnsi="宋体" w:eastAsia="宋体"/>
          <w:sz w:val="24"/>
        </w:rPr>
        <w:t xml:space="preserve">为第 </w:t>
      </w:r>
      <m:oMath>
        <m:r>
          <m:t>k</m:t>
        </m:r>
      </m:oMath>
      <w:r>
        <w:rPr>
          <w:rFonts w:ascii="宋体" w:hAnsi="宋体" w:eastAsia="宋体"/>
          <w:sz w:val="24"/>
        </w:rPr>
        <w:t xml:space="preserve"> 家厂商的产量；在 U 型 </w:t>
      </w:r>
      <m:oMath>
        <m:r>
          <m:t>L</m:t>
        </m:r>
        <m:r>
          <m:t>A</m:t>
        </m:r>
        <m:r>
          <m:t>C</m:t>
        </m:r>
      </m:oMath>
      <w:r>
        <w:rPr>
          <w:rFonts w:ascii="宋体" w:hAnsi="宋体" w:eastAsia="宋体"/>
          <w:sz w:val="24"/>
        </w:rPr>
        <w:t xml:space="preserve"> 下，次可加性通常只在 </w:t>
      </w:r>
      <m:oMath>
        <m:r>
          <m:t>Q</m:t>
        </m:r>
      </m:oMath>
      <w:r>
        <w:rPr>
          <w:rFonts w:ascii="宋体" w:hAnsi="宋体" w:eastAsia="宋体"/>
          <w:sz w:val="24"/>
        </w:rPr>
        <w:t xml:space="preserve"> 不超过最小有效规模若干倍的区间内成立，一旦 </w:t>
      </w:r>
      <m:oMath>
        <m:r>
          <m:t>Q</m:t>
        </m:r>
      </m:oMath>
      <w:r>
        <w:rPr>
          <w:rFonts w:ascii="宋体" w:hAnsi="宋体" w:eastAsia="宋体"/>
          <w:sz w:val="24"/>
        </w:rPr>
        <w:t xml:space="preserve"> 远大于 </w:t>
      </w:r>
      <m:oMath>
        <m:sSup>
          <m:e>
            <m:r>
              <m:t>q</m:t>
            </m:r>
          </m:e>
          <m:sup>
            <m:r>
              <m:rPr>
                <m:sty m:val="p"/>
              </m:rPr>
              <m:t>∗</m:t>
            </m:r>
          </m:sup>
        </m:sSup>
      </m:oMath>
      <w:r>
        <w:rPr>
          <w:rFonts w:ascii="宋体" w:hAnsi="宋体" w:eastAsia="宋体"/>
          <w:sz w:val="24"/>
        </w:rPr>
        <w:t>，分拆生产反而更便宜。</w:t>
      </w:r>
    </w:p>
    <w:p>
      <w:pPr>
        <w:spacing w:line="360" w:lineRule="auto" w:after="0"/>
        <w:ind w:firstLineChars="200" w:firstLine="480"/>
        <w:jc w:val="both"/>
      </w:pPr>
      <w:r>
        <w:rPr>
          <w:rFonts w:ascii="宋体" w:hAnsi="宋体" w:eastAsia="宋体"/>
          <w:sz w:val="24"/>
        </w:rPr>
        <w:t>第二项检验因而归结为市场规模与最小有效规模的比较。按 2026 年 3 月的官方口径，我国日均词元调用量为 140 万亿枚物理词元；以用量加权效值系数1.43折算，约合日均200万亿枚标准词元。而图8.3（b）显示，词元工厂的最小有效规模仅为1.2亿枚标准词元每日，此处长期平均成本为0.61元每百万标准词元。两者相除，全国市场规模约为最小有效规模的166万倍，即高出约6.2个数量级。这一比例意味着，在词元生产环节，规模经济远在市场规模之前就被耗尽，式(8-11)的次可加性在相关产量区间上并不成立。其技术根源在于推理服务的高度可分性：与发电、输配电、管网等具有物理不可分性的传统自然垄断行业不同，推理是可并行、可切分、可跨设施复制的，把总产量拆到许多设施上执行，除了少量调度开销外并不损失效率。</w:t>
      </w:r>
    </w:p>
    <w:p>
      <w:pPr>
        <w:spacing w:line="360" w:lineRule="auto" w:after="0"/>
        <w:ind w:firstLineChars="200" w:firstLine="480"/>
        <w:jc w:val="both"/>
      </w:pPr>
      <w:r>
        <w:rPr>
          <w:rFonts w:ascii="宋体" w:hAnsi="宋体" w:eastAsia="宋体"/>
          <w:sz w:val="24"/>
        </w:rPr>
        <w:t xml:space="preserve">第三项检验涉及沉没成本与可竞争性。可竞争市场理论指出，即使在位者只有一家，只要进入与退出不需要付出不可回收的成本，潜在进入的威胁也足以把价格压至平均成本水平。设进入者需投入资本 </w:t>
      </w:r>
      <m:oMath>
        <m:r>
          <m:t>K</m:t>
        </m:r>
      </m:oMath>
      <w:r>
        <w:rPr>
          <w:rFonts w:ascii="宋体" w:hAnsi="宋体" w:eastAsia="宋体"/>
          <w:sz w:val="24"/>
        </w:rPr>
        <w:t xml:space="preserve">，其中比重 </w:t>
      </w:r>
      <m:oMath>
        <m:r>
          <m:t>σ</m:t>
        </m:r>
      </m:oMath>
      <w:r>
        <w:rPr>
          <w:rFonts w:ascii="宋体" w:hAnsi="宋体" w:eastAsia="宋体"/>
          <w:sz w:val="24"/>
        </w:rPr>
        <w:t xml:space="preserve"> 为沉没部分，则以最小有效规模进入并获得非负利润的条件为：</w:t>
      </w:r>
    </w:p>
    <w:p>
      <w:pPr>
        <w:tabs>
          <w:tab w:pos="4252" w:val="center"/>
          <w:tab w:pos="8504" w:val="right"/>
        </w:tabs>
        <w:spacing w:line="360" w:lineRule="auto" w:before="80" w:after="80"/>
      </w:pPr>
      <w:r>
        <w:tab/>
      </w:r>
      <m:oMath>
        <m:r>
          <m:t>p</m:t>
        </m:r>
        <m:r>
          <m:rPr>
            <m:sty m:val="p"/>
          </m:rPr>
          <m:t>&gt;</m:t>
        </m:r>
        <m:r>
          <m:t>L</m:t>
        </m:r>
        <m:r>
          <m:t>A</m:t>
        </m:r>
        <m:r>
          <m:t>C</m:t>
        </m:r>
        <m:d>
          <m:dPr>
            <m:begChr m:val="("/>
            <m:endChr m:val=")"/>
            <m:grow/>
          </m:dPr>
          <m:e>
            <m:sSup>
              <m:e>
                <m:r>
                  <m:t>q</m:t>
                </m:r>
              </m:e>
              <m:sup>
                <m:r>
                  <m:rPr>
                    <m:sty m:val="p"/>
                  </m:rPr>
                  <m:t>∗</m:t>
                </m:r>
              </m:sup>
            </m:sSup>
          </m:e>
        </m:d>
        <m:r>
          <m:rPr>
            <m:sty m:val="p"/>
          </m:rPr>
          <m:t>+</m:t>
        </m:r>
        <m:f>
          <m:fPr>
            <m:type m:val="bar"/>
          </m:fPr>
          <m:num>
            <m:r>
              <m:t>σ</m:t>
            </m:r>
            <m:r>
              <m:t>K</m:t>
            </m:r>
          </m:num>
          <m:den>
            <m:sSup>
              <m:e>
                <m:r>
                  <m:t>q</m:t>
                </m:r>
              </m:e>
              <m:sup>
                <m:r>
                  <m:rPr>
                    <m:sty m:val="p"/>
                  </m:rPr>
                  <m:t>∗</m:t>
                </m:r>
              </m:sup>
            </m:sSup>
          </m:den>
        </m:f>
        <m:r>
          <m:rPr>
            <m:sty m:val="p"/>
          </m:rPr>
          <m:t>,</m:t>
        </m:r>
        <m:r>
          <m:t>  </m:t>
        </m:r>
        <m:r>
          <m:t>σ</m:t>
        </m:r>
        <m:r>
          <m:rPr>
            <m:sty m:val="p"/>
          </m:rPr>
          <m:t>∈</m:t>
        </m:r>
        <m:d>
          <m:dPr>
            <m:begChr m:val="["/>
            <m:endChr m:val="]"/>
            <m:grow/>
          </m:dPr>
          <m:e>
            <m:r>
              <m:t>0</m:t>
            </m:r>
            <m:r>
              <m:rPr>
                <m:sty m:val="p"/>
              </m:rPr>
              <m:t>,</m:t>
            </m:r>
            <m:r>
              <m:t>1</m:t>
            </m:r>
          </m:e>
        </m:d>
      </m:oMath>
      <w:r>
        <w:tab/>
      </w:r>
      <w:r>
        <w:rPr>
          <w:rFonts w:ascii="Times New Roman" w:hAnsi="Times New Roman" w:eastAsia="宋体"/>
          <w:sz w:val="24"/>
        </w:rPr>
        <w:t>(8-12)</w:t>
      </w:r>
    </w:p>
    <w:p>
      <w:pPr>
        <w:spacing w:line="360" w:lineRule="auto" w:after="0"/>
        <w:jc w:val="both"/>
      </w:pPr>
      <w:r>
        <w:rPr>
          <w:rFonts w:ascii="宋体" w:hAnsi="宋体" w:eastAsia="宋体"/>
          <w:sz w:val="24"/>
        </w:rPr>
        <w:t>其中，右端第二项即沉没成本折算到单位产量上的进入壁垒；</w:t>
      </w:r>
      <m:oMath>
        <m:r>
          <m:t>σ</m:t>
        </m:r>
        <m:r>
          <m:rPr>
            <m:sty m:val="p"/>
          </m:rPr>
          <m:t>→</m:t>
        </m:r>
        <m:r>
          <m:t>0</m:t>
        </m:r>
      </m:oMath>
      <w:r>
        <w:rPr>
          <w:rFonts w:ascii="宋体" w:hAnsi="宋体" w:eastAsia="宋体"/>
          <w:sz w:val="24"/>
        </w:rPr>
        <w:t xml:space="preserve"> 时市场完全可竞争，均衡价格趋于 </w:t>
      </w:r>
      <m:oMath>
        <m:r>
          <m:t>L</m:t>
        </m:r>
        <m:r>
          <m:t>A</m:t>
        </m:r>
        <m:r>
          <m:t>C</m:t>
        </m:r>
        <m:d>
          <m:dPr>
            <m:begChr m:val="("/>
            <m:endChr m:val=")"/>
            <m:grow/>
          </m:dPr>
          <m:e>
            <m:sSup>
              <m:e>
                <m:r>
                  <m:t>q</m:t>
                </m:r>
              </m:e>
              <m:sup>
                <m:r>
                  <m:rPr>
                    <m:sty m:val="p"/>
                  </m:rPr>
                  <m:t>∗</m:t>
                </m:r>
              </m:sup>
            </m:sSup>
          </m:e>
        </m:d>
      </m:oMath>
      <w:r>
        <w:rPr>
          <w:rFonts w:ascii="宋体" w:hAnsi="宋体" w:eastAsia="宋体"/>
          <w:sz w:val="24"/>
        </w:rPr>
        <w:t>。</w:t>
      </w:r>
    </w:p>
    <w:p>
      <w:pPr>
        <w:spacing w:line="360" w:lineRule="auto" w:after="0"/>
        <w:ind w:firstLineChars="200" w:firstLine="480"/>
        <w:jc w:val="both"/>
      </w:pPr>
      <w:r>
        <w:rPr>
          <w:rFonts w:ascii="宋体" w:hAnsi="宋体" w:eastAsia="宋体"/>
          <w:sz w:val="24"/>
        </w:rPr>
        <w:t>式(8-12)把词元市场的两个环节区分开来。在推理供给环节，算力可以租用而非自建、设施可以转售或改作他用、模型可以调用开源权重，</w:t>
      </w:r>
      <m:oMath>
        <m:r>
          <m:t>σ</m:t>
        </m:r>
      </m:oMath>
      <w:r>
        <w:rPr>
          <w:rFonts w:ascii="宋体" w:hAnsi="宋体" w:eastAsia="宋体"/>
          <w:sz w:val="24"/>
        </w:rPr>
        <w:t xml:space="preserve"> 接近于零，市场高度可竞争；在模型研发环节，训练投入几乎完全沉没，</w:t>
      </w:r>
      <m:oMath>
        <m:r>
          <m:t>σ</m:t>
        </m:r>
      </m:oMath>
      <w:r>
        <w:rPr>
          <w:rFonts w:ascii="宋体" w:hAnsi="宋体" w:eastAsia="宋体"/>
          <w:sz w:val="24"/>
        </w:rPr>
        <w:t xml:space="preserve"> 接近于一，进入壁垒极高。二者的叠加解释了一个看似矛盾的现象：词元服务的价格竞争异常激烈，而底层模型的研发主体却高度集中。开源权重的扩散在此扮演了关键角色——它把模型研发的沉没成本从每一个进入者的资产负债表上移走，转化为一次性投入的公共知识，从而把高壁垒环节的成本结构「外部化」给了低壁垒环节。这与非竞争性知识品的经济逻辑完全一致：非竞争性使同一份知识可被无限复用，其社会最优配置要求尽可能广泛的共享（Jones和Tonetti，2020）。</w:t>
      </w:r>
    </w:p>
    <w:p>
      <w:pPr>
        <w:spacing w:line="360" w:lineRule="auto" w:after="0"/>
        <w:ind w:firstLineChars="200" w:firstLine="480"/>
        <w:jc w:val="both"/>
      </w:pPr>
      <w:r>
        <w:rPr>
          <w:rFonts w:ascii="宋体" w:hAnsi="宋体" w:eastAsia="宋体"/>
          <w:sz w:val="24"/>
        </w:rPr>
        <w:t>三项检验的合并结论是：自然垄断假说在词元生产环节不成立。图8.3（a）的经验证据与这一结论方向一致——模型服务市场的赫芬达尔—赫希曼指数由 2024 年的0.34降至 2025 年的0.27与 2026 年的0.21，降幅达38%，已由高度集中区间落入中度集中区间的下沿。经第三方模型路由平台整理的周度数据同样显示市场的高度分散：8 月 3—9 日当周，中国模型合计周调用量34.25万亿枚，占该平台全球总量69万亿枚的约50%；至8 月 10—16 日当周，中国模型周调用量升至36.84万亿枚，连续 16 周超过美国模型（该榜单仅统计经该平台路由的调用，厂商官方接口直连量、国内各云平台用量与自建推理均不计入；模型国别按开发商总部人工归类；同一模型的不同版本分行计数）。需要强调的是，集中度下降并不等同于竞争充分，下一节将说明二者在词元市场上出现了显著背离。</w:t>
      </w:r>
    </w:p>
    <w:p>
      <w:pPr>
        <w:keepNext/>
        <w:spacing w:before="160" w:after="120" w:line="360" w:lineRule="auto"/>
        <w:outlineLvl w:val="2"/>
      </w:pPr>
      <w:r>
        <w:rPr>
          <w:rFonts w:ascii="黑体" w:hAnsi="黑体" w:eastAsia="黑体"/>
          <w:sz w:val="24"/>
        </w:rPr>
        <w:t>8.4.3  竞争强度：集中度与加成率的背离</w:t>
      </w:r>
    </w:p>
    <w:p>
      <w:pPr>
        <w:spacing w:line="360" w:lineRule="auto" w:after="0"/>
        <w:ind w:firstLineChars="200" w:firstLine="480"/>
        <w:jc w:val="both"/>
      </w:pPr>
      <w:r>
        <w:rPr>
          <w:rFonts w:ascii="宋体" w:hAnsi="宋体" w:eastAsia="宋体"/>
          <w:sz w:val="24"/>
        </w:rPr>
        <w:t xml:space="preserve">衡量竞争强度的标准工具是勒纳指数。在同质品古诺竞争下，厂商 </w:t>
      </w:r>
      <m:oMath>
        <m:r>
          <m:t>m</m:t>
        </m:r>
      </m:oMath>
      <w:r>
        <w:rPr>
          <w:rFonts w:ascii="宋体" w:hAnsi="宋体" w:eastAsia="宋体"/>
          <w:sz w:val="24"/>
        </w:rPr>
        <w:t xml:space="preserve"> 的勒纳指数等于其份额除以市场需求弹性绝对值，按份额加权即得行业平均；而在纵向差异化市场上，厂商面对的是自身的残余需求，勒纳指数等于残余需求弹性的倒数。两式并列，可以构造一个刻画差异化程度的指标：</w:t>
      </w:r>
    </w:p>
    <w:p>
      <w:pPr>
        <w:tabs>
          <w:tab w:pos="4252" w:val="center"/>
          <w:tab w:pos="8504" w:val="right"/>
        </w:tabs>
        <w:spacing w:line="360" w:lineRule="auto" w:before="80" w:after="80"/>
      </w:pPr>
      <w:r>
        <w:tab/>
      </w:r>
      <m:oMath>
        <m:acc>
          <m:accPr>
            <m:chr m:val="‾"/>
          </m:accPr>
          <m:e>
            <m:r>
              <m:t>L</m:t>
            </m:r>
          </m:e>
        </m:acc>
        <m:r>
          <m:rPr>
            <m:sty m:val="p"/>
          </m:rPr>
          <m:t>=</m:t>
        </m:r>
        <m:nary>
          <m:naryPr>
            <m:chr m:val="∑"/>
            <m:limLoc m:val="undOvr"/>
            <m:subHide m:val="off"/>
            <m:supHide m:val="on"/>
          </m:naryPr>
          <m:sub>
            <m:r>
              <m:t>m</m:t>
            </m:r>
          </m:sub>
          <m:sup>
            <m:r>
              <m:t>​</m:t>
            </m:r>
          </m:sup>
          <m:e>
            <m:sSub>
              <m:e>
                <m:r>
                  <m:t>s</m:t>
                </m:r>
              </m:e>
              <m:sub>
                <m:r>
                  <m:t>m</m:t>
                </m:r>
              </m:sub>
            </m:sSub>
          </m:e>
        </m:nary>
        <m:sSub>
          <m:e>
            <m:r>
              <m:t>L</m:t>
            </m:r>
          </m:e>
          <m:sub>
            <m:r>
              <m:t>m</m:t>
            </m:r>
          </m:sub>
        </m:sSub>
        <m:r>
          <m:rPr>
            <m:sty m:val="p"/>
          </m:rPr>
          <m:t>=</m:t>
        </m:r>
        <m:f>
          <m:fPr>
            <m:type m:val="bar"/>
          </m:fPr>
          <m:num>
            <m:r>
              <m:t>H</m:t>
            </m:r>
            <m:r>
              <m:t>H</m:t>
            </m:r>
            <m:r>
              <m:t>I</m:t>
            </m:r>
          </m:num>
          <m:den>
            <m:d>
              <m:dPr>
                <m:begChr m:val="|"/>
                <m:endChr m:val="|"/>
                <m:grow/>
              </m:dPr>
              <m:e>
                <m:r>
                  <m:t>ε</m:t>
                </m:r>
              </m:e>
            </m:d>
          </m:den>
        </m:f>
        <m:r>
          <m:rPr>
            <m:sty m:val="p"/>
          </m:rPr>
          <m:t>,</m:t>
        </m:r>
        <m:r>
          <m:t>  </m:t>
        </m:r>
        <m:sSub>
          <m:e>
            <m:r>
              <m:t>L</m:t>
            </m:r>
          </m:e>
          <m:sub>
            <m:r>
              <m:t>m</m:t>
            </m:r>
          </m:sub>
        </m:sSub>
        <m:r>
          <m:rPr>
            <m:sty m:val="p"/>
          </m:rPr>
          <m:t>=</m:t>
        </m:r>
        <m:f>
          <m:fPr>
            <m:type m:val="bar"/>
          </m:fPr>
          <m:num>
            <m:r>
              <m:t>1</m:t>
            </m:r>
          </m:num>
          <m:den>
            <m:d>
              <m:dPr>
                <m:begChr m:val="|"/>
                <m:endChr m:val="|"/>
                <m:grow/>
              </m:dPr>
              <m:e>
                <m:sSubSup>
                  <m:e>
                    <m:r>
                      <m:t>ε</m:t>
                    </m:r>
                  </m:e>
                  <m:sub>
                    <m:r>
                      <m:t>m</m:t>
                    </m:r>
                  </m:sub>
                  <m:sup>
                    <m:r>
                      <m:t>r</m:t>
                    </m:r>
                  </m:sup>
                </m:sSubSup>
              </m:e>
            </m:d>
          </m:den>
        </m:f>
        <m:r>
          <m:rPr>
            <m:sty m:val="p"/>
          </m:rPr>
          <m:t>,</m:t>
        </m:r>
        <m:r>
          <m:t>  </m:t>
        </m:r>
        <m:sSub>
          <m:e>
            <m:r>
              <m:t>δ</m:t>
            </m:r>
          </m:e>
          <m:sub>
            <m:r>
              <m:t>m</m:t>
            </m:r>
          </m:sub>
        </m:sSub>
        <m:r>
          <m:rPr>
            <m:sty m:val="p"/>
          </m:rPr>
          <m:t>=</m:t>
        </m:r>
        <m:d>
          <m:dPr>
            <m:begChr m:val="|"/>
            <m:endChr m:val="|"/>
            <m:grow/>
          </m:dPr>
          <m:e>
            <m:r>
              <m:t>ε</m:t>
            </m:r>
          </m:e>
        </m:d>
        <m:sSub>
          <m:e>
            <m:r>
              <m:t>L</m:t>
            </m:r>
          </m:e>
          <m:sub>
            <m:r>
              <m:t>m</m:t>
            </m:r>
          </m:sub>
        </m:sSub>
        <m:r>
          <m:rPr>
            <m:sty m:val="p"/>
          </m:rPr>
          <m:t>=</m:t>
        </m:r>
        <m:f>
          <m:fPr>
            <m:type m:val="bar"/>
          </m:fPr>
          <m:num>
            <m:d>
              <m:dPr>
                <m:begChr m:val="|"/>
                <m:endChr m:val="|"/>
                <m:grow/>
              </m:dPr>
              <m:e>
                <m:r>
                  <m:t>ε</m:t>
                </m:r>
              </m:e>
            </m:d>
          </m:num>
          <m:den>
            <m:d>
              <m:dPr>
                <m:begChr m:val="|"/>
                <m:endChr m:val="|"/>
                <m:grow/>
              </m:dPr>
              <m:e>
                <m:sSubSup>
                  <m:e>
                    <m:r>
                      <m:t>ε</m:t>
                    </m:r>
                  </m:e>
                  <m:sub>
                    <m:r>
                      <m:t>m</m:t>
                    </m:r>
                  </m:sub>
                  <m:sup>
                    <m:r>
                      <m:t>r</m:t>
                    </m:r>
                  </m:sup>
                </m:sSubSup>
              </m:e>
            </m:d>
          </m:den>
        </m:f>
      </m:oMath>
      <w:r>
        <w:tab/>
      </w:r>
      <w:r>
        <w:rPr>
          <w:rFonts w:ascii="Times New Roman" w:hAnsi="Times New Roman" w:eastAsia="宋体"/>
          <w:sz w:val="24"/>
        </w:rPr>
        <w:t>(8-13)</w:t>
      </w:r>
    </w:p>
    <w:p>
      <w:pPr>
        <w:spacing w:line="360" w:lineRule="auto" w:after="0"/>
        <w:jc w:val="both"/>
      </w:pPr>
      <w:r>
        <w:rPr>
          <w:rFonts w:ascii="宋体" w:hAnsi="宋体" w:eastAsia="宋体"/>
          <w:sz w:val="24"/>
        </w:rPr>
        <w:t>其中，</w:t>
      </w:r>
      <m:oMath>
        <m:sSub>
          <m:e>
            <m:r>
              <m:t>s</m:t>
            </m:r>
          </m:e>
          <m:sub>
            <m:r>
              <m:t>m</m:t>
            </m:r>
          </m:sub>
        </m:sSub>
      </m:oMath>
      <w:r>
        <w:rPr>
          <w:rFonts w:ascii="宋体" w:hAnsi="宋体" w:eastAsia="宋体"/>
          <w:sz w:val="24"/>
        </w:rPr>
        <w:t>为份额，</w:t>
      </w:r>
      <m:oMath>
        <m:sSubSup>
          <m:e>
            <m:r>
              <m:t>ε</m:t>
            </m:r>
          </m:e>
          <m:sub>
            <m:r>
              <m:t>m</m:t>
            </m:r>
          </m:sub>
          <m:sup>
            <m:r>
              <m:t>r</m:t>
            </m:r>
          </m:sup>
        </m:sSubSup>
      </m:oMath>
      <w:r>
        <w:rPr>
          <w:rFonts w:ascii="宋体" w:hAnsi="宋体" w:eastAsia="宋体"/>
          <w:sz w:val="24"/>
        </w:rPr>
        <w:t>为厂商面对的残余需求弹性，</w:t>
      </w:r>
      <m:oMath>
        <m:sSub>
          <m:e>
            <m:r>
              <m:t>δ</m:t>
            </m:r>
          </m:e>
          <m:sub>
            <m:r>
              <m:t>m</m:t>
            </m:r>
          </m:sub>
        </m:sSub>
      </m:oMath>
      <w:r>
        <w:rPr>
          <w:rFonts w:ascii="宋体" w:hAnsi="宋体" w:eastAsia="宋体"/>
          <w:sz w:val="24"/>
        </w:rPr>
        <w:t>为差异化指标：</w:t>
      </w:r>
      <m:oMath>
        <m:sSub>
          <m:e>
            <m:r>
              <m:t>δ</m:t>
            </m:r>
          </m:e>
          <m:sub>
            <m:r>
              <m:t>m</m:t>
            </m:r>
          </m:sub>
        </m:sSub>
        <m:r>
          <m:rPr>
            <m:sty m:val="p"/>
          </m:rPr>
          <m:t>→</m:t>
        </m:r>
        <m:r>
          <m:t>0</m:t>
        </m:r>
      </m:oMath>
      <w:r>
        <w:rPr>
          <w:rFonts w:ascii="宋体" w:hAnsi="宋体" w:eastAsia="宋体"/>
          <w:sz w:val="24"/>
        </w:rPr>
        <w:t>表示厂商面对近乎无限弹性的残余需求（完全竞争），</w:t>
      </w:r>
      <m:oMath>
        <m:sSub>
          <m:e>
            <m:r>
              <m:t>δ</m:t>
            </m:r>
          </m:e>
          <m:sub>
            <m:r>
              <m:t>m</m:t>
            </m:r>
          </m:sub>
        </m:sSub>
        <m:r>
          <m:rPr>
            <m:sty m:val="p"/>
          </m:rPr>
          <m:t>→</m:t>
        </m:r>
        <m:r>
          <m:t>1</m:t>
        </m:r>
      </m:oMath>
      <w:r>
        <w:rPr>
          <w:rFonts w:ascii="宋体" w:hAnsi="宋体" w:eastAsia="宋体"/>
          <w:sz w:val="24"/>
        </w:rPr>
        <w:t>表示残余需求弹性等于市场需求弹性（该厂商在其细分市场上近乎独占），</w:t>
      </w:r>
      <m:oMath>
        <m:sSub>
          <m:e>
            <m:r>
              <m:t>δ</m:t>
            </m:r>
          </m:e>
          <m:sub>
            <m:r>
              <m:t>m</m:t>
            </m:r>
          </m:sub>
        </m:sSub>
        <m:r>
          <m:rPr>
            <m:sty m:val="p"/>
          </m:rPr>
          <m:t>&gt;</m:t>
        </m:r>
        <m:r>
          <m:t>1</m:t>
        </m:r>
      </m:oMath>
      <w:r>
        <w:rPr>
          <w:rFonts w:ascii="宋体" w:hAnsi="宋体" w:eastAsia="宋体"/>
          <w:sz w:val="24"/>
        </w:rPr>
        <w:t>则表示残余需求比市场需求更缺乏弹性，通常来自转换成本或互补性锁定。</w:t>
      </w:r>
    </w:p>
    <w:p>
      <w:pPr>
        <w:spacing w:line="360" w:lineRule="auto" w:after="0"/>
        <w:ind w:firstLineChars="200" w:firstLine="480"/>
        <w:jc w:val="both"/>
      </w:pPr>
      <w:r>
        <w:rPr>
          <w:rFonts w:ascii="宋体" w:hAnsi="宋体" w:eastAsia="宋体"/>
          <w:sz w:val="24"/>
        </w:rPr>
        <w:t>以古诺基准计算，2024 年的行业平均勒纳指数应为0.254，2026 年应降至0.157——集中度下降三成多，加成率理应同步下降。但表8.2报告的实际加成率介于72.0%与85.1%之间，按用量份额加权为76.8%，是古诺基准预测值的4.9倍。集中度与加成率的这一巨大背离，说明模型服务市场根本不是同质品古诺市场：厂商之间不是在同一条需求曲线上争夺份额，而是各自面对一条向下倾斜的、被差异化保护起来的残余需求曲线。</w:t>
      </w:r>
    </w:p>
    <w:p>
      <w:pPr>
        <w:spacing w:line="360" w:lineRule="auto" w:after="0"/>
        <w:ind w:firstLineChars="200" w:firstLine="480"/>
        <w:jc w:val="both"/>
      </w:pPr>
      <w:r>
        <w:rPr>
          <w:rFonts w:ascii="宋体" w:hAnsi="宋体" w:eastAsia="宋体"/>
          <w:sz w:val="24"/>
        </w:rPr>
        <w:t xml:space="preserve">按式(8-13)反解残余需求弹性，六档位的取值介于1.17与1.39之间，与全样本市场需求弹性1.34处于同一量级；相应地，差异化指标 </w:t>
      </w:r>
      <m:oMath>
        <m:r>
          <m:t>δ</m:t>
        </m:r>
      </m:oMath>
      <w:r>
        <w:rPr>
          <w:rFonts w:ascii="宋体" w:hAnsi="宋体" w:eastAsia="宋体"/>
          <w:sz w:val="24"/>
        </w:rPr>
        <w:t xml:space="preserve"> 从轻量蒸馏级的0.96单调上升至推理增强级的1.14。这一结果的含义相当直白：各档位厂商的定价行为近似于在自身档位内的垄断定价，档位之间的交叉替代极其有限。轻量蒸馏级的 </w:t>
      </w:r>
      <m:oMath>
        <m:r>
          <m:t>δ</m:t>
        </m:r>
      </m:oMath>
      <w:r>
        <w:rPr>
          <w:rFonts w:ascii="宋体" w:hAnsi="宋体" w:eastAsia="宋体"/>
          <w:sz w:val="24"/>
        </w:rPr>
        <w:t xml:space="preserve"> 略小于 1，表明该档位内部尚存在有效的价格竞争（同档位的可替代供给最多，开源权重的可得性最高）；而中高档位的 </w:t>
      </w:r>
      <m:oMath>
        <m:r>
          <m:t>δ</m:t>
        </m:r>
      </m:oMath>
      <w:r>
        <w:rPr>
          <w:rFonts w:ascii="宋体" w:hAnsi="宋体" w:eastAsia="宋体"/>
          <w:sz w:val="24"/>
        </w:rPr>
        <w:t xml:space="preserve"> 持续大于 1，说明其残余需求甚至比市场需求更缺乏弹性——高效值词元的买方一旦把某一档位的能力嵌入关键业务流程，其需求就变成了近乎刚性的派生需求。</w:t>
      </w:r>
    </w:p>
    <w:p>
      <w:pPr>
        <w:spacing w:line="360" w:lineRule="auto" w:after="0"/>
        <w:ind w:firstLineChars="200" w:firstLine="480"/>
        <w:jc w:val="both"/>
      </w:pPr>
      <w:r>
        <w:rPr>
          <w:rFonts w:ascii="宋体" w:hAnsi="宋体" w:eastAsia="宋体"/>
          <w:sz w:val="24"/>
        </w:rPr>
        <w:t>这一发现修正了对词元市场竞争格局的通常判断。集中度指标看到的是「谁占了多大份额」，加成率指标看到的是「谁能把价格抬离成本多远」；在纵向差异化的市场上，前者下降与后者维持高位可以长期并存。政策含义随之改变：以份额为基准的结构性监管在这里几乎无从着力——没有任何一家的份额高到足以触发门槛，而竞争的实际不足却真实存在。有效的干预因而必须转向差异化的来源本身：一方面降低档位之间的信息壁垒，使买方能够判断某一任务是否真的需要更高的档位（这正是效值折算与效值公示的功能）；另一方面降低档位之间的转换成本，使买方在判断之后能够真的转换（这正是统一接口与可移植性的功能）。二者恰好对应 8.5 节要分析的前两类市场失灵。</w:t>
      </w:r>
    </w:p>
    <w:p>
      <w:pPr>
        <w:keepNext/>
        <w:spacing w:before="160" w:after="120" w:line="360" w:lineRule="auto"/>
        <w:outlineLvl w:val="2"/>
      </w:pPr>
      <w:r>
        <w:rPr>
          <w:rFonts w:ascii="黑体" w:hAnsi="黑体" w:eastAsia="黑体"/>
          <w:sz w:val="24"/>
        </w:rPr>
        <w:t>8.4.4  价格路径：下行的收敛与止跌</w:t>
      </w:r>
    </w:p>
    <w:p>
      <w:pPr>
        <w:spacing w:line="360" w:lineRule="auto" w:after="0"/>
        <w:ind w:firstLineChars="200" w:firstLine="480"/>
        <w:jc w:val="both"/>
      </w:pPr>
      <w:r>
        <w:rPr>
          <w:rFonts w:ascii="宋体" w:hAnsi="宋体" w:eastAsia="宋体"/>
          <w:sz w:val="24"/>
        </w:rPr>
        <w:t>把短期与长期均衡合起来看，词元价格的运行呈现出一条可以刻画的路径。第 7 章已经报告，物理词元价格指数在两年间由100降至21，而标准词元价格指数同期仅降至47。独立的第三方观察给出了同向的证据：第三方数据服务商发布的支出加权全市场成交均价指数（以每百万词元的实际成交均价计）自 2026 年 5 月 31 日的 2.04 美元回落至 8 月 6—8 日的 1.16—1.18 美元，约两个月跌逾四成，为年内最低（该指数为全市场支出加权的成交均价，不是任何单一模型的挂牌价）。同一指数还存在分段子指数：2026 年 4 月 22 日，前沿模型段为每百万词元 4.20 美元、开放权重段为 0.85 美元，二者相差约五倍。分段价差的持续存在，正是 8.4.3 节所刻画的纵向差异化在总量指标上的投影。</w:t>
      </w:r>
    </w:p>
    <w:p>
      <w:pPr>
        <w:spacing w:line="360" w:lineRule="auto" w:after="0"/>
        <w:ind w:firstLineChars="200" w:firstLine="480"/>
        <w:jc w:val="both"/>
      </w:pPr>
      <w:r>
        <w:rPr>
          <w:rFonts w:ascii="宋体" w:hAnsi="宋体" w:eastAsia="宋体"/>
          <w:sz w:val="24"/>
        </w:rPr>
        <w:t>价格下行的收敛机制有三重。其一是成本机制：单位算力的推理效率随工程优化持续提升，成本底价随之下移，为降价提供了空间；其二是竞争机制：同档位内部的可替代供给增加，尤其是开放权重模型的扩散，压缩了同档位的加成空间；其三是需求机制：由于需求富有弹性，降价能带来足以覆盖降幅的用量扩张，厂商有单方面降价的激励。三重机制共同作用，使价格在两年间下行了近八成。但三重机制都有边界：成本底价不可能低于电力与折旧构成的物理下限，同档位竞争无法跨越档位之间的技术鸿沟，需求弹性在预算刚性行业则退化到 1 以下。当三重机制同时接近边界时，价格路径由下行转为分化——这正是 2026 年下半年所观察到的图景：总指数触及年内低位的同时，出现了结构性提价与峰谷分时定价，前沿段与开放权重段的价差稳定在数倍量级。</w:t>
      </w:r>
    </w:p>
    <w:p>
      <w:pPr>
        <w:spacing w:line="360" w:lineRule="auto" w:after="0"/>
        <w:ind w:firstLineChars="200" w:firstLine="480"/>
        <w:jc w:val="both"/>
      </w:pPr>
      <w:r>
        <w:rPr>
          <w:rFonts w:ascii="宋体" w:hAnsi="宋体" w:eastAsia="宋体"/>
          <w:sz w:val="24"/>
        </w:rPr>
        <w:t>由此可以给出本章对价格前景的判断：词元价格的进一步下行将主要发生在标准词元口径而非物理词元口径上。物理词元价格的下行空间已被成本底价压缩，而标准词元价格仍有下降余地，其来源是效值的持续提升——同样一枚词元承载更多有效信息、完成更高比例的任务。这一判断与第 7 章 TPI 与 STPI 的背离分析一脉相承，也为价格监测的口径选择提供了依据：若监测只盯物理词元价格，将在价格触底后失去指示意义；只有标准词元价格指数才能持续反映智能服务的真实成本变化。</w:t>
      </w:r>
    </w:p>
    <w:p>
      <w:pPr>
        <w:keepNext/>
        <w:spacing w:before="160" w:after="120" w:line="360" w:lineRule="auto"/>
        <w:outlineLvl w:val="1"/>
      </w:pPr>
      <w:r>
        <w:rPr>
          <w:rFonts w:ascii="黑体" w:hAnsi="黑体" w:eastAsia="黑体"/>
          <w:sz w:val="28"/>
        </w:rPr>
        <w:t>8.5  市场失灵：信息、分割、锁定与计量</w:t>
      </w:r>
    </w:p>
    <w:p>
      <w:pPr>
        <w:keepNext/>
        <w:spacing w:before="160" w:after="120" w:line="360" w:lineRule="auto"/>
        <w:outlineLvl w:val="2"/>
      </w:pPr>
      <w:r>
        <w:rPr>
          <w:rFonts w:ascii="黑体" w:hAnsi="黑体" w:eastAsia="黑体"/>
          <w:sz w:val="24"/>
        </w:rPr>
        <w:t>8.5.1  效值信息不对称与柠檬市场风险</w:t>
      </w:r>
    </w:p>
    <w:p>
      <w:pPr>
        <w:spacing w:line="360" w:lineRule="auto" w:after="0"/>
        <w:ind w:firstLineChars="200" w:firstLine="480"/>
        <w:jc w:val="both"/>
      </w:pPr>
      <w:r>
        <w:rPr>
          <w:rFonts w:ascii="宋体" w:hAnsi="宋体" w:eastAsia="宋体"/>
          <w:sz w:val="24"/>
        </w:rPr>
        <w:t xml:space="preserve">词元市场最根本的信息问题在于：效值在购买之前不可观测，在使用之后也难以准确归因。买方能够看到的只有价格、标称的词元数量与厂商的宣称指标；至于这一百万枚词元究竟解决了多少任务、准确率如何、是否包含大量无效重复，通常要在业务流程跑完之后才可能部分察觉，而彼时费用已经发生。这正是质量不可观测市场的经典结构（Akerlof，1970）。形式化地，设效值 </w:t>
      </w:r>
      <m:oMath>
        <m:r>
          <m:t>η</m:t>
        </m:r>
      </m:oMath>
      <w:r>
        <w:rPr>
          <w:rFonts w:ascii="宋体" w:hAnsi="宋体" w:eastAsia="宋体"/>
          <w:sz w:val="24"/>
        </w:rPr>
        <w:t xml:space="preserve"> 为卖方私人信息，生产成本 </w:t>
      </w:r>
      <m:oMath>
        <m:r>
          <m:t>c</m:t>
        </m:r>
        <m:d>
          <m:dPr>
            <m:begChr m:val="("/>
            <m:endChr m:val=")"/>
            <m:grow/>
          </m:dPr>
          <m:e>
            <m:r>
              <m:t>η</m:t>
            </m:r>
          </m:e>
        </m:d>
      </m:oMath>
      <w:r>
        <w:rPr>
          <w:rFonts w:ascii="宋体" w:hAnsi="宋体" w:eastAsia="宋体"/>
          <w:sz w:val="24"/>
        </w:rPr>
        <w:t xml:space="preserve"> 随效值递增，买方只能按市场上供给的期望效值出价，则均衡价格满足：</w:t>
      </w:r>
    </w:p>
    <w:p>
      <w:pPr>
        <w:tabs>
          <w:tab w:pos="4252" w:val="center"/>
          <w:tab w:pos="8504" w:val="right"/>
        </w:tabs>
        <w:spacing w:line="360" w:lineRule="auto" w:before="80" w:after="80"/>
      </w:pPr>
      <w:r>
        <w:tab/>
      </w:r>
      <m:oMath>
        <m:r>
          <m:t>p</m:t>
        </m:r>
        <m:r>
          <m:rPr>
            <m:sty m:val="p"/>
          </m:rPr>
          <m:t>=</m:t>
        </m:r>
        <m:sSub>
          <m:e>
            <m:acc>
              <m:accPr>
                <m:chr m:val="̃"/>
              </m:accPr>
              <m:e>
                <m:r>
                  <m:t>p</m:t>
                </m:r>
              </m:e>
            </m:acc>
          </m:e>
          <m:sub>
            <m:r>
              <m:t>0</m:t>
            </m:r>
          </m:sub>
        </m:sSub>
        <m:r>
          <m:rPr>
            <m:sty m:val="p"/>
          </m:rPr>
          <m:t>⋅</m:t>
        </m:r>
        <m:r>
          <m:t>E</m:t>
        </m:r>
        <m:d>
          <m:dPr>
            <m:begChr m:val="["/>
            <m:endChr m:val="]"/>
            <m:grow/>
          </m:dPr>
          <m:e>
            <m:r>
              <m:t>η</m:t>
            </m:r>
            <m:r>
              <m:rPr>
                <m:sty m:val="p"/>
              </m:rPr>
              <m:t>∣</m:t>
            </m:r>
            <m:r>
              <m:t>c</m:t>
            </m:r>
            <m:d>
              <m:dPr>
                <m:begChr m:val="("/>
                <m:endChr m:val=")"/>
                <m:grow/>
              </m:dPr>
              <m:e>
                <m:r>
                  <m:t>η</m:t>
                </m:r>
              </m:e>
            </m:d>
            <m:r>
              <m:rPr>
                <m:sty m:val="p"/>
              </m:rPr>
              <m:t>≤</m:t>
            </m:r>
            <m:r>
              <m:t>p</m:t>
            </m:r>
          </m:e>
        </m:d>
        <m:r>
          <m:rPr>
            <m:sty m:val="p"/>
          </m:rPr>
          <m:t>,</m:t>
        </m:r>
        <m:r>
          <m:t>  </m:t>
        </m:r>
        <m:f>
          <m:fPr>
            <m:type m:val="bar"/>
          </m:fPr>
          <m:num>
            <m:r>
              <m:rPr>
                <m:sty m:val="p"/>
              </m:rPr>
              <m:t>∂</m:t>
            </m:r>
          </m:num>
          <m:den>
            <m:r>
              <m:rPr>
                <m:sty m:val="p"/>
              </m:rPr>
              <m:t>∂</m:t>
            </m:r>
            <m:r>
              <m:t>p</m:t>
            </m:r>
          </m:den>
        </m:f>
        <m:r>
          <m:t>E</m:t>
        </m:r>
        <m:d>
          <m:dPr>
            <m:begChr m:val="["/>
            <m:endChr m:val="]"/>
            <m:grow/>
          </m:dPr>
          <m:e>
            <m:r>
              <m:t>η</m:t>
            </m:r>
            <m:r>
              <m:rPr>
                <m:sty m:val="p"/>
              </m:rPr>
              <m:t>∣</m:t>
            </m:r>
            <m:r>
              <m:t>c</m:t>
            </m:r>
            <m:d>
              <m:dPr>
                <m:begChr m:val="("/>
                <m:endChr m:val=")"/>
                <m:grow/>
              </m:dPr>
              <m:e>
                <m:r>
                  <m:t>η</m:t>
                </m:r>
              </m:e>
            </m:d>
            <m:r>
              <m:rPr>
                <m:sty m:val="p"/>
              </m:rPr>
              <m:t>≤</m:t>
            </m:r>
            <m:r>
              <m:t>p</m:t>
            </m:r>
          </m:e>
        </m:d>
        <m:r>
          <m:rPr>
            <m:sty m:val="p"/>
          </m:rPr>
          <m:t>≥</m:t>
        </m:r>
        <m:r>
          <m:t>0</m:t>
        </m:r>
      </m:oMath>
      <w:r>
        <w:tab/>
      </w:r>
      <w:r>
        <w:rPr>
          <w:rFonts w:ascii="Times New Roman" w:hAnsi="Times New Roman" w:eastAsia="宋体"/>
          <w:sz w:val="24"/>
        </w:rPr>
        <w:t>(8-14)</w:t>
      </w:r>
    </w:p>
    <w:p>
      <w:pPr>
        <w:spacing w:line="360" w:lineRule="auto" w:after="0"/>
        <w:jc w:val="both"/>
      </w:pPr>
      <w:r>
        <w:rPr>
          <w:rFonts w:ascii="宋体" w:hAnsi="宋体" w:eastAsia="宋体"/>
          <w:sz w:val="24"/>
        </w:rPr>
        <w:t>其中，</w:t>
      </w:r>
      <m:oMath>
        <m:sSub>
          <m:e>
            <m:acc>
              <m:accPr>
                <m:chr m:val="̃"/>
              </m:accPr>
              <m:e>
                <m:r>
                  <m:t>p</m:t>
                </m:r>
              </m:e>
            </m:acc>
          </m:e>
          <m:sub>
            <m:r>
              <m:t>0</m:t>
            </m:r>
          </m:sub>
        </m:sSub>
      </m:oMath>
      <w:r>
        <w:rPr>
          <w:rFonts w:ascii="宋体" w:hAnsi="宋体" w:eastAsia="宋体"/>
          <w:sz w:val="24"/>
        </w:rPr>
        <w:t>为买方对单位标准词元的支付意愿；条件期望中的截断说明只有成本不超过市价的供给者愿意进入，效值越高的供给者越早退出，期望效值随之下移，价格进一步下调，形成向下的自我实现循环。</w:t>
      </w:r>
    </w:p>
    <w:p>
      <w:pPr>
        <w:spacing w:line="360" w:lineRule="auto" w:after="0"/>
        <w:ind w:firstLineChars="200" w:firstLine="480"/>
        <w:jc w:val="both"/>
      </w:pPr>
      <w:r>
        <w:rPr>
          <w:rFonts w:ascii="宋体" w:hAnsi="宋体" w:eastAsia="宋体"/>
          <w:sz w:val="24"/>
        </w:rPr>
        <w:t>校准复算给出了这一机制的量化征候：企业对所购词元效值的认知偏差均值为0.44，且偏差方向系统性地表现为低估高效值档位；受此影响，低效值档位的采购份额比效率最优配置高出27%。这两个数字合起来描述的正是逆向选择的中间状态：市场尚未坍缩，但资源配置已经系统性地偏向低效值一侧。其福利后果是双重的——买方以为省了钱，实际上因返工与任务失败付出了更高的总成本；卖方投资高效值能力的回报被削弱，创新激励下降。</w:t>
      </w:r>
    </w:p>
    <w:p>
      <w:pPr>
        <w:spacing w:line="360" w:lineRule="auto" w:after="0"/>
        <w:ind w:firstLineChars="200" w:firstLine="480"/>
        <w:jc w:val="both"/>
      </w:pPr>
      <w:r>
        <w:rPr>
          <w:rFonts w:ascii="宋体" w:hAnsi="宋体" w:eastAsia="宋体"/>
          <w:sz w:val="24"/>
        </w:rPr>
        <w:t>矫正逆向选择的标准工具是第三方认证与强制披露（Dranove和Jin，2010）。现实中已经出现四套彼此独立的评价工作，其发布主体、维度数与用途各不相同，以下逐一标明主体，其维度名称分属四套体系，不可合并、平均或交叉引用。其一，中国信息通信研究院的《人工智能 Token 服务质量能力要求》及其「可信 AI-Token 服务质量评估」，设模型服务能力、Token 服务性能、Token 服务可信、Token 服务运维、Token 服务用户体验、Token 计量计费六个维度；其二，同为中国信息通信研究院于 2026 年 6 月 16 日发布的「高质量 Token 服务标准体系」，设服务质量、运营能力、生产能力、安全能力四个维度，其云计算与大数据研究所负责人明确提出「不能只看单价，行业亟须一套衡量高质量 Token 的标尺」；其三，中国工业互联网研究院《Token 驱动智能经济研究报告（2026 年）》构建的价值度量体系，设生产成本、生产效率、准确性、生态价值、安全五个维度；其四，清华大学翟季冬团队联合企业于 2026 年 5 月发布的开源模型 Token 服务性能榜，采用首词元时延（P90 分位）、输出吞吐与缓存命中率三项实测指标。此外，中国信息通信研究院于 2026 年 6 月启动的词元服务能力攀登计划，首批联合十家企业达成的企业级通用场景性能基线为吞吐不低于 55 Token/s、首词元时延不超过 0.9 秒、调用成功率 99.9%；须注意这是首批企业达成的基线值，既非行业平均，亦非强制门槛，且与清华榜单的时延指标分位口径不同，两者不可直接比较。</w:t>
      </w:r>
    </w:p>
    <w:p>
      <w:pPr>
        <w:spacing w:line="360" w:lineRule="auto" w:after="0"/>
        <w:ind w:firstLineChars="200" w:firstLine="480"/>
        <w:jc w:val="both"/>
      </w:pPr>
      <w:r>
        <w:rPr>
          <w:rFonts w:ascii="宋体" w:hAnsi="宋体" w:eastAsia="宋体"/>
          <w:sz w:val="24"/>
        </w:rPr>
        <w:t>把这四套工作与本书的标准词元折算体系放在一起，可以看清各自的位置与本书的增量。四套工作的共同形态是多维评价：产出的是并列的维度得分或达标基线，它们能够回答「这家服务是否达标」「在哪个维度更强」，却无法把不同模型、不同任务的词元合成为一个可加总、可计价、可入账的当量。而市场失灵的矫正恰恰需要后者：补贴要按量核定，统计要跨主体加总，出海要提供可互认的凭证，三者都要求一个单一的、可比的计量单位。本书的贡献正在于从「多维评价」推进到「当量折算」——第 5 章以四条公理约束出折算函数的形式，使异质词元获得共同尺度，从而具备进入价格指数、补贴核定与增长核算的资格。需要坦承的是，折算并不消灭信息不对称，它只是把不对称的对象从「不可名状的质量」变成「可核验的效值系数」，使认证与披露有了明确的落点。</w:t>
      </w:r>
    </w:p>
    <w:p>
      <w:pPr>
        <w:keepNext/>
        <w:spacing w:before="160" w:after="120" w:line="360" w:lineRule="auto"/>
        <w:outlineLvl w:val="2"/>
      </w:pPr>
      <w:r>
        <w:rPr>
          <w:rFonts w:ascii="黑体" w:hAnsi="黑体" w:eastAsia="黑体"/>
          <w:sz w:val="24"/>
        </w:rPr>
        <w:t>8.5.2  算力孤岛与市场分割</w:t>
      </w:r>
    </w:p>
    <w:p>
      <w:pPr>
        <w:spacing w:line="360" w:lineRule="auto" w:after="0"/>
        <w:ind w:firstLineChars="200" w:firstLine="480"/>
        <w:jc w:val="both"/>
      </w:pPr>
      <w:r>
        <w:rPr>
          <w:rFonts w:ascii="宋体" w:hAnsi="宋体" w:eastAsia="宋体"/>
          <w:sz w:val="24"/>
        </w:rPr>
        <w:t>第二类失灵发生在供给侧的可及性上。词元的生产依赖算力，而算力在物理上分散于不同主体、不同区域、不同技术栈之中。当这些资源无法互联互通、无法统一调度时，名义上的总供给与实际可用的供给之间就会出现巨大缺口，表现为「一边闲置、一边紧缺」的并存。可核实的证据来自国际数据公司与中国信息通信研究院联合开展的企业调研：近半数企业的智算资源利用率处于 51%—70% 的中等区间，6.7%的企业利用率仅为 31%—50%，利用率达到 70% 以上的企业不足 35%，制造与政务行业低于平均水平；多数自建智算项目「重硬件轻软件」，缺乏统一调度平台与资源池化管理，是利用率偏低的主因（该口径为企业自建自用智算资源的自报值，与机架上架率、GPU 卡时实测利用率的统计对象和方法完全不同，不可互证）。</w:t>
      </w:r>
    </w:p>
    <w:p>
      <w:pPr>
        <w:spacing w:line="360" w:lineRule="auto" w:after="0"/>
        <w:ind w:firstLineChars="200" w:firstLine="480"/>
        <w:jc w:val="both"/>
      </w:pPr>
      <w:r>
        <w:rPr>
          <w:rFonts w:ascii="宋体" w:hAnsi="宋体" w:eastAsia="宋体"/>
          <w:sz w:val="24"/>
        </w:rPr>
        <w:t>算力孤岛的经济性质是市场分割：它使式(8-12)中的可竞争性条件在空间上失效——某地的低价供给无法服务于他地的高价需求，价格差异不能通过套利消除。国家层面的制度回应是明确的：从全国一体化大数据中心协同创新体系的算力枢纽布局，到「东数西算」工程与全国一体化算力网的实施意见（「国家发展改革委等，2021」；国家发展改革委等，2023），再到「数据要素×」与「人工智能＋」行动对应用侧的牵引（「国家数据局等，2023」；国务院，2025），其共同指向是把分散的算力资源纳入可调度、可交易、可结算的统一网络。算力共享与算力市场培育的研究亦指出，需求侧的组织方式是决定算力资源配置效率的关键变量（王勇等，2025），而智算中心建设对企业全要素生产率的提升效应，同样取决于算力能否跨域流动并被真实使用（许诺等，2025）。本章在此只作结构定位：算力孤岛是一个供给可及性问题，它的矫正工具是调度与结算的基础设施，而非价格政策；其效率改进的上界测算是第 9 章的任务。</w:t>
      </w:r>
    </w:p>
    <w:p>
      <w:pPr>
        <w:keepNext/>
        <w:spacing w:before="160" w:after="120" w:line="360" w:lineRule="auto"/>
        <w:outlineLvl w:val="2"/>
      </w:pPr>
      <w:r>
        <w:rPr>
          <w:rFonts w:ascii="黑体" w:hAnsi="黑体" w:eastAsia="黑体"/>
          <w:sz w:val="24"/>
        </w:rPr>
        <w:t>8.5.3  平台锁定与转换成本</w:t>
      </w:r>
    </w:p>
    <w:p>
      <w:pPr>
        <w:spacing w:line="360" w:lineRule="auto" w:after="0"/>
        <w:ind w:firstLineChars="200" w:firstLine="480"/>
        <w:jc w:val="both"/>
      </w:pPr>
      <w:r>
        <w:rPr>
          <w:rFonts w:ascii="宋体" w:hAnsi="宋体" w:eastAsia="宋体"/>
          <w:sz w:val="24"/>
        </w:rPr>
        <w:t xml:space="preserve">第三类失灵来自需求侧的可转换性。企业接入某一平台或某一模型档位之后，会逐步积累一批平台专用资产：针对特定模型调优的提示与工作流、依赖特定接口的集成代码、沉淀在特定服务中的上下文与缓存、以及围绕特定输出格式构建的下游校验规则。这些资产在转换时大部分不可携带，构成转换成本。设企业当前平台的标准词元价格为 </w:t>
      </w:r>
      <m:oMath>
        <m:sSub>
          <m:e>
            <m:acc>
              <m:accPr>
                <m:chr m:val="̃"/>
              </m:accPr>
              <m:e>
                <m:r>
                  <m:t>p</m:t>
                </m:r>
              </m:e>
            </m:acc>
          </m:e>
          <m:sub>
            <m:r>
              <m:t>A</m:t>
            </m:r>
          </m:sub>
        </m:sSub>
      </m:oMath>
      <w:r>
        <w:rPr>
          <w:rFonts w:ascii="宋体" w:hAnsi="宋体" w:eastAsia="宋体"/>
          <w:sz w:val="24"/>
        </w:rPr>
        <w:t xml:space="preserve">、备选平台为 </w:t>
      </w:r>
      <m:oMath>
        <m:sSub>
          <m:e>
            <m:acc>
              <m:accPr>
                <m:chr m:val="̃"/>
              </m:accPr>
              <m:e>
                <m:r>
                  <m:t>p</m:t>
                </m:r>
              </m:e>
            </m:acc>
          </m:e>
          <m:sub>
            <m:r>
              <m:t>B</m:t>
            </m:r>
          </m:sub>
        </m:sSub>
        <m:r>
          <m:rPr>
            <m:sty m:val="p"/>
          </m:rPr>
          <m:t>&lt;</m:t>
        </m:r>
        <m:sSub>
          <m:e>
            <m:acc>
              <m:accPr>
                <m:chr m:val="̃"/>
              </m:accPr>
              <m:e>
                <m:r>
                  <m:t>p</m:t>
                </m:r>
              </m:e>
            </m:acc>
          </m:e>
          <m:sub>
            <m:r>
              <m:t>A</m:t>
            </m:r>
          </m:sub>
        </m:sSub>
      </m:oMath>
      <w:r>
        <w:rPr>
          <w:rFonts w:ascii="宋体" w:hAnsi="宋体" w:eastAsia="宋体"/>
          <w:sz w:val="24"/>
        </w:rPr>
        <w:t xml:space="preserve">，年用量为 </w:t>
      </w:r>
      <m:oMath>
        <m:acc>
          <m:accPr>
            <m:chr m:val="̃"/>
          </m:accPr>
          <m:e>
            <m:r>
              <m:t>T</m:t>
            </m:r>
          </m:e>
        </m:acc>
      </m:oMath>
      <w:r>
        <w:rPr>
          <w:rFonts w:ascii="宋体" w:hAnsi="宋体" w:eastAsia="宋体"/>
          <w:sz w:val="24"/>
        </w:rPr>
        <w:t xml:space="preserve">，转换成本为 </w:t>
      </w:r>
      <m:oMath>
        <m:r>
          <m:t>κ</m:t>
        </m:r>
      </m:oMath>
      <w:r>
        <w:rPr>
          <w:rFonts w:ascii="宋体" w:hAnsi="宋体" w:eastAsia="宋体"/>
          <w:sz w:val="24"/>
        </w:rPr>
        <w:t xml:space="preserve">，规划期 </w:t>
      </w:r>
      <m:oMath>
        <m:r>
          <m:t>n</m:t>
        </m:r>
      </m:oMath>
      <w:r>
        <w:rPr>
          <w:rFonts w:ascii="宋体" w:hAnsi="宋体" w:eastAsia="宋体"/>
          <w:sz w:val="24"/>
        </w:rPr>
        <w:t xml:space="preserve"> 年、贴现率 </w:t>
      </w:r>
      <m:oMath>
        <m:r>
          <m:t>r</m:t>
        </m:r>
      </m:oMath>
      <w:r>
        <w:rPr>
          <w:rFonts w:ascii="宋体" w:hAnsi="宋体" w:eastAsia="宋体"/>
          <w:sz w:val="24"/>
        </w:rPr>
        <w:t>，则转换有利可图的条件为：</w:t>
      </w:r>
    </w:p>
    <w:p>
      <w:pPr>
        <w:tabs>
          <w:tab w:pos="4252" w:val="center"/>
          <w:tab w:pos="8504" w:val="right"/>
        </w:tabs>
        <w:spacing w:line="360" w:lineRule="auto" w:before="80" w:after="80"/>
      </w:pPr>
      <w:r>
        <w:tab/>
      </w:r>
      <m:oMath>
        <m:d>
          <m:dPr>
            <m:begChr m:val="("/>
            <m:endChr m:val=")"/>
            <m:grow/>
          </m:dPr>
          <m:e>
            <m:sSub>
              <m:e>
                <m:acc>
                  <m:accPr>
                    <m:chr m:val="̃"/>
                  </m:accPr>
                  <m:e>
                    <m:r>
                      <m:t>p</m:t>
                    </m:r>
                  </m:e>
                </m:acc>
              </m:e>
              <m:sub>
                <m:r>
                  <m:t>A</m:t>
                </m:r>
              </m:sub>
            </m:sSub>
            <m:r>
              <m:rPr>
                <m:sty m:val="p"/>
              </m:rPr>
              <m:t>−</m:t>
            </m:r>
            <m:sSub>
              <m:e>
                <m:acc>
                  <m:accPr>
                    <m:chr m:val="̃"/>
                  </m:accPr>
                  <m:e>
                    <m:r>
                      <m:t>p</m:t>
                    </m:r>
                  </m:e>
                </m:acc>
              </m:e>
              <m:sub>
                <m:r>
                  <m:t>B</m:t>
                </m:r>
              </m:sub>
            </m:sSub>
          </m:e>
        </m:d>
        <m:acc>
          <m:accPr>
            <m:chr m:val="̃"/>
          </m:accPr>
          <m:e>
            <m:r>
              <m:t>T</m:t>
            </m:r>
          </m:e>
        </m:acc>
        <m:r>
          <m:rPr>
            <m:sty m:val="p"/>
          </m:rPr>
          <m:t>⋅</m:t>
        </m:r>
        <m:f>
          <m:fPr>
            <m:type m:val="bar"/>
          </m:fPr>
          <m:num>
            <m:r>
              <m:t>1</m:t>
            </m:r>
            <m:r>
              <m:rPr>
                <m:sty m:val="p"/>
              </m:rPr>
              <m:t>−</m:t>
            </m:r>
            <m:sSup>
              <m:e>
                <m:d>
                  <m:dPr>
                    <m:begChr m:val="("/>
                    <m:endChr m:val=")"/>
                    <m:grow/>
                  </m:dPr>
                  <m:e>
                    <m:r>
                      <m:t>1</m:t>
                    </m:r>
                    <m:r>
                      <m:rPr>
                        <m:sty m:val="p"/>
                      </m:rPr>
                      <m:t>+</m:t>
                    </m:r>
                    <m:r>
                      <m:t>r</m:t>
                    </m:r>
                  </m:e>
                </m:d>
              </m:e>
              <m:sup>
                <m:r>
                  <m:rPr>
                    <m:sty m:val="p"/>
                  </m:rPr>
                  <m:t>−</m:t>
                </m:r>
                <m:r>
                  <m:t>n</m:t>
                </m:r>
              </m:sup>
            </m:sSup>
          </m:num>
          <m:den>
            <m:r>
              <m:t>r</m:t>
            </m:r>
          </m:den>
        </m:f>
        <m:r>
          <m:rPr>
            <m:sty m:val="p"/>
          </m:rPr>
          <m:t>&gt;</m:t>
        </m:r>
        <m:r>
          <m:t>κ</m:t>
        </m:r>
        <m:r>
          <m:t> </m:t>
        </m:r>
        <m:r>
          <m:rPr>
            <m:sty m:val="p"/>
          </m:rPr>
          <m:t>⇔</m:t>
        </m:r>
        <m:r>
          <m:t> </m:t>
        </m:r>
        <m:acc>
          <m:accPr>
            <m:chr m:val="̃"/>
          </m:accPr>
          <m:e>
            <m:r>
              <m:t>T</m:t>
            </m:r>
          </m:e>
        </m:acc>
        <m:r>
          <m:rPr>
            <m:sty m:val="p"/>
          </m:rPr>
          <m:t>&gt;</m:t>
        </m:r>
        <m:sSup>
          <m:e>
            <m:acc>
              <m:accPr>
                <m:chr m:val="̃"/>
              </m:accPr>
              <m:e>
                <m:r>
                  <m:t>T</m:t>
                </m:r>
              </m:e>
            </m:acc>
          </m:e>
          <m:sup>
            <m:r>
              <m:t>c</m:t>
            </m:r>
          </m:sup>
        </m:sSup>
        <m:r>
          <m:rPr>
            <m:sty m:val="p"/>
          </m:rPr>
          <m:t>=</m:t>
        </m:r>
        <m:f>
          <m:fPr>
            <m:type m:val="bar"/>
          </m:fPr>
          <m:num>
            <m:r>
              <m:t>κ</m:t>
            </m:r>
            <m:r>
              <m:t> </m:t>
            </m:r>
            <m:r>
              <m:t>r</m:t>
            </m:r>
          </m:num>
          <m:den>
            <m:d>
              <m:dPr>
                <m:begChr m:val="("/>
                <m:endChr m:val=")"/>
                <m:grow/>
              </m:dPr>
              <m:e>
                <m:sSub>
                  <m:e>
                    <m:acc>
                      <m:accPr>
                        <m:chr m:val="̃"/>
                      </m:accPr>
                      <m:e>
                        <m:r>
                          <m:t>p</m:t>
                        </m:r>
                      </m:e>
                    </m:acc>
                  </m:e>
                  <m:sub>
                    <m:r>
                      <m:t>A</m:t>
                    </m:r>
                  </m:sub>
                </m:sSub>
                <m:r>
                  <m:rPr>
                    <m:sty m:val="p"/>
                  </m:rPr>
                  <m:t>−</m:t>
                </m:r>
                <m:sSub>
                  <m:e>
                    <m:acc>
                      <m:accPr>
                        <m:chr m:val="̃"/>
                      </m:accPr>
                      <m:e>
                        <m:r>
                          <m:t>p</m:t>
                        </m:r>
                      </m:e>
                    </m:acc>
                  </m:e>
                  <m:sub>
                    <m:r>
                      <m:t>B</m:t>
                    </m:r>
                  </m:sub>
                </m:sSub>
              </m:e>
            </m:d>
            <m:d>
              <m:dPr>
                <m:begChr m:val="["/>
                <m:endChr m:val="]"/>
                <m:grow/>
              </m:dPr>
              <m:e>
                <m:r>
                  <m:t>1</m:t>
                </m:r>
                <m:r>
                  <m:rPr>
                    <m:sty m:val="p"/>
                  </m:rPr>
                  <m:t>−</m:t>
                </m:r>
                <m:sSup>
                  <m:e>
                    <m:d>
                      <m:dPr>
                        <m:begChr m:val="("/>
                        <m:endChr m:val=")"/>
                        <m:grow/>
                      </m:dPr>
                      <m:e>
                        <m:r>
                          <m:t>1</m:t>
                        </m:r>
                        <m:r>
                          <m:rPr>
                            <m:sty m:val="p"/>
                          </m:rPr>
                          <m:t>+</m:t>
                        </m:r>
                        <m:r>
                          <m:t>r</m:t>
                        </m:r>
                      </m:e>
                    </m:d>
                  </m:e>
                  <m:sup>
                    <m:r>
                      <m:rPr>
                        <m:sty m:val="p"/>
                      </m:rPr>
                      <m:t>−</m:t>
                    </m:r>
                    <m:r>
                      <m:t>n</m:t>
                    </m:r>
                  </m:sup>
                </m:sSup>
              </m:e>
            </m:d>
          </m:den>
        </m:f>
      </m:oMath>
      <w:r>
        <w:tab/>
      </w:r>
      <w:r>
        <w:rPr>
          <w:rFonts w:ascii="Times New Roman" w:hAnsi="Times New Roman" w:eastAsia="宋体"/>
          <w:sz w:val="24"/>
        </w:rPr>
        <w:t>(8-15)</w:t>
      </w:r>
    </w:p>
    <w:p>
      <w:pPr>
        <w:spacing w:line="360" w:lineRule="auto" w:after="0"/>
        <w:jc w:val="both"/>
      </w:pPr>
      <w:r>
        <w:rPr>
          <w:rFonts w:ascii="宋体" w:hAnsi="宋体" w:eastAsia="宋体"/>
          <w:sz w:val="24"/>
        </w:rPr>
        <w:t>其中，</w:t>
      </w:r>
      <m:oMath>
        <m:sSup>
          <m:e>
            <m:acc>
              <m:accPr>
                <m:chr m:val="̃"/>
              </m:accPr>
              <m:e>
                <m:r>
                  <m:t>T</m:t>
                </m:r>
              </m:e>
            </m:acc>
          </m:e>
          <m:sup>
            <m:r>
              <m:t>c</m:t>
            </m:r>
          </m:sup>
        </m:sSup>
      </m:oMath>
      <w:r>
        <w:rPr>
          <w:rFonts w:ascii="宋体" w:hAnsi="宋体" w:eastAsia="宋体"/>
          <w:sz w:val="24"/>
        </w:rPr>
        <w:t>为转换的临界用量；用量低于临界值的企业即使面对更低的报价也不会转换，从而被事实上锁定。</w:t>
      </w:r>
    </w:p>
    <w:p>
      <w:pPr>
        <w:spacing w:line="360" w:lineRule="auto" w:after="0"/>
        <w:ind w:firstLineChars="200" w:firstLine="480"/>
        <w:jc w:val="both"/>
      </w:pPr>
      <w:r>
        <w:rPr>
          <w:rFonts w:ascii="宋体" w:hAnsi="宋体" w:eastAsia="宋体"/>
          <w:sz w:val="24"/>
        </w:rPr>
        <w:t xml:space="preserve">式(8-15)有三点值得强调。第一，锁定是规模依赖的：临界用量与转换成本成正比、与价差成反比，因而小用量企业最容易被锁定，而它们恰恰是普惠服务的主要对象——三级服务体系中普惠包覆盖了62%的用户，其单个用户的用量却远低于按需套餐与专属定制。第二，锁定放大了 8.4.3 节识别的差异化：转换成本使残余需求进一步刚性化，这正是中高档位差异化指标 </w:t>
      </w:r>
      <m:oMath>
        <m:r>
          <m:t>δ</m:t>
        </m:r>
      </m:oMath>
      <w:r>
        <w:rPr>
          <w:rFonts w:ascii="宋体" w:hAnsi="宋体" w:eastAsia="宋体"/>
          <w:sz w:val="24"/>
        </w:rPr>
        <w:t xml:space="preserve"> 超过 1（最高达1.14）的一个直接来源。第三，锁定的矫正工具是结构性的而非价格性的：统一接口标准降低集成代码的专用性，模型可移植与开放权重降低模型层的专用性，配置与上下文资产的可携带降低数据层的专用性。兼容性标准的经典分析已经指出，标准的采纳本身具有网络外部性，可能陷入协调失灵而需要外部推动（Farrell和Saloner，1985；Katz和Shapiro，1985；Simcoe，2012）。城市词元运营中心「一次接入、全网通享」的统一 API 入口，正是以公共平台方式压低 </w:t>
      </w:r>
      <m:oMath>
        <m:r>
          <m:t>κ</m:t>
        </m:r>
      </m:oMath>
      <w:r>
        <w:rPr>
          <w:rFonts w:ascii="宋体" w:hAnsi="宋体" w:eastAsia="宋体"/>
          <w:sz w:val="24"/>
        </w:rPr>
        <w:t xml:space="preserve"> 的制度尝试。</w:t>
      </w:r>
    </w:p>
    <w:p>
      <w:pPr>
        <w:keepNext/>
        <w:spacing w:before="160" w:after="120" w:line="360" w:lineRule="auto"/>
        <w:outlineLvl w:val="2"/>
      </w:pPr>
      <w:r>
        <w:rPr>
          <w:rFonts w:ascii="黑体" w:hAnsi="黑体" w:eastAsia="黑体"/>
          <w:sz w:val="24"/>
        </w:rPr>
        <w:t>8.5.4  计量口径不统一与可加总失灵</w:t>
      </w:r>
    </w:p>
    <w:p>
      <w:pPr>
        <w:spacing w:line="360" w:lineRule="auto" w:after="0"/>
        <w:ind w:firstLineChars="200" w:firstLine="480"/>
        <w:jc w:val="both"/>
      </w:pPr>
      <w:r>
        <w:rPr>
          <w:rFonts w:ascii="宋体" w:hAnsi="宋体" w:eastAsia="宋体"/>
          <w:sz w:val="24"/>
        </w:rPr>
        <w:t>第四类失灵是本书特有的关切，也是全书立论的起点：物理词元不可加。同一个「词元」名称之下，六档位的单位价格极差达12.6倍、变异系数0.92，单位成本的极差同样在十倍量级。在这样的计量基础上，任何跨模型、跨主体、跨区域的加总都不具备经济含义：补贴按物理词元核定，等于补贴低效值；统计按物理词元汇总，等于把不同的东西相加；出海按物理词元开具凭证，等于交付一个对方无法解释的单位。这类失灵不表现为价格扭曲，而表现为「无法记账」——它损害的不是某一次交易的效率，而是整个市场的可核算性。</w:t>
      </w:r>
    </w:p>
    <w:p>
      <w:pPr>
        <w:spacing w:line="360" w:lineRule="auto" w:after="0"/>
        <w:ind w:firstLineChars="200" w:firstLine="480"/>
        <w:jc w:val="both"/>
      </w:pPr>
      <w:r>
        <w:rPr>
          <w:rFonts w:ascii="宋体" w:hAnsi="宋体" w:eastAsia="宋体"/>
          <w:sz w:val="24"/>
        </w:rPr>
        <w:t>制度侧的进展正在发生，但需要准确表述其效力层级。术语层面，全国科学技术名词审定委员会于 2026 年 3 月 25 日发布公告，优先推荐并面向全社会发布试用 token 的中文名「词元」，并明确将在常态化审定中结合社会推广应用情况最终确认；同月，国家发展改革委党组成员、国家数据局局长在中国发展高层论坛 2026 年年会的演讲中使用并推介这一译名，提出词元具有「可计量、可定价、可交易」的特征。两个口径分属术语学与经济计量学，不可混用。标准层面，截至 2026 年 8 月，词元领域已发布的成果主要是团体标准与机构评估规范——中国人工智能产业发展联盟归口的《人工智能词元（Token）运营管理能力要求》（技术规范编号 AIIA/T 0308—2026）于 2026 年 8 月发布，其效力层级低于国家标准与行业标准；尚未见以词元计量或词元计费为标题的国家标准或行业标准发布，也尚未见面向词元的专项碳足迹核算标准立项公开。这一现状恰好说明可加总失灵仍是一个开放问题：评估活动不等于标准，团体标准不等于国家标准，而计量口径的统一最终需要国家标准层级的支撑。能源领域的经验提供了可资对照的路径——综合能耗计算通则以国家标准的形式确立了折标准煤系数与计算规则（国家市场监督管理总局和国家标准化管理委员会，2020），此后能耗的跨行业加总、目标考核与国际比较才成为可能。</w:t>
      </w:r>
    </w:p>
    <w:p>
      <w:pPr>
        <w:keepNext/>
        <w:spacing w:before="160" w:after="120" w:line="360" w:lineRule="auto"/>
        <w:outlineLvl w:val="2"/>
      </w:pPr>
      <w:r>
        <w:rPr>
          <w:rFonts w:ascii="黑体" w:hAnsi="黑体" w:eastAsia="黑体"/>
          <w:sz w:val="24"/>
        </w:rPr>
        <w:t>8.5.5  四类失灵的比较与矫正工具的优先序</w:t>
      </w:r>
    </w:p>
    <w:p>
      <w:pPr>
        <w:spacing w:line="360" w:lineRule="auto" w:after="0"/>
        <w:ind w:firstLineChars="200" w:firstLine="480"/>
        <w:jc w:val="both"/>
      </w:pPr>
      <w:r>
        <w:rPr>
          <w:rFonts w:ascii="宋体" w:hAnsi="宋体" w:eastAsia="宋体"/>
          <w:sz w:val="24"/>
        </w:rPr>
        <w:t>把四类失灵放在同一张表上比较，可以看清它们在机制、征候与工具上的差别，见表8.3。</w:t>
      </w:r>
    </w:p>
    <w:p>
      <w:pPr>
        <w:keepNext/>
        <w:spacing w:before="160" w:after="40"/>
        <w:jc w:val="center"/>
      </w:pPr>
      <w:r>
        <w:rPr>
          <w:rFonts w:ascii="黑体" w:hAnsi="黑体" w:eastAsia="黑体"/>
          <w:sz w:val="21"/>
        </w:rPr>
        <w:t>表8.3  词元市场的四类失灵：机制、征候与矫正工具</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失灵类型</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微观机制</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可观测征候</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福利后果</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矫正工具</w:t>
            </w:r>
          </w:p>
        </w:tc>
      </w:tr>
      <w:tr>
        <w:tc>
          <w:tcPr>
            <w:tcW w:type="dxa" w:w="1701"/>
            <w:vAlign w:val="center"/>
          </w:tcPr>
          <w:p>
            <w:pPr>
              <w:spacing w:line="240" w:lineRule="auto" w:after="20" w:before="20"/>
              <w:jc w:val="center"/>
            </w:pPr>
            <w:r/>
            <w:r>
              <w:rPr>
                <w:rFonts w:ascii="宋体" w:hAnsi="宋体" w:eastAsia="宋体"/>
                <w:sz w:val="21"/>
              </w:rPr>
              <w:t>效值信息不对称</w:t>
            </w:r>
          </w:p>
        </w:tc>
        <w:tc>
          <w:tcPr>
            <w:tcW w:type="dxa" w:w="1701"/>
            <w:vAlign w:val="center"/>
          </w:tcPr>
          <w:p>
            <w:pPr>
              <w:spacing w:line="240" w:lineRule="auto" w:after="20" w:before="20"/>
              <w:jc w:val="left"/>
            </w:pPr>
            <w:r/>
            <w:r>
              <w:rPr>
                <w:rFonts w:ascii="宋体" w:hAnsi="宋体" w:eastAsia="宋体"/>
                <w:sz w:val="21"/>
              </w:rPr>
              <w:t>效值为卖方私人信息，买方按期望效值出价，高效值供给逐步退出</w:t>
            </w:r>
          </w:p>
        </w:tc>
        <w:tc>
          <w:tcPr>
            <w:tcW w:type="dxa" w:w="1701"/>
            <w:vAlign w:val="center"/>
          </w:tcPr>
          <w:p>
            <w:pPr>
              <w:spacing w:line="240" w:lineRule="auto" w:after="20" w:before="20"/>
              <w:jc w:val="left"/>
            </w:pPr>
            <w:r/>
            <w:r>
              <w:rPr>
                <w:rFonts w:ascii="宋体" w:hAnsi="宋体" w:eastAsia="宋体"/>
                <w:sz w:val="21"/>
              </w:rPr>
              <w:t>效值认知偏差均值0.44；低效值档位过度采购份额27%</w:t>
            </w:r>
          </w:p>
        </w:tc>
        <w:tc>
          <w:tcPr>
            <w:tcW w:type="dxa" w:w="1701"/>
            <w:vAlign w:val="center"/>
          </w:tcPr>
          <w:p>
            <w:pPr>
              <w:spacing w:line="240" w:lineRule="auto" w:after="20" w:before="20"/>
              <w:jc w:val="left"/>
            </w:pPr>
            <w:r/>
            <w:r>
              <w:rPr>
                <w:rFonts w:ascii="宋体" w:hAnsi="宋体" w:eastAsia="宋体"/>
                <w:sz w:val="21"/>
              </w:rPr>
              <w:t>资源配置偏向低效值，返工与失败成本上升，创新激励削弱</w:t>
            </w:r>
          </w:p>
        </w:tc>
        <w:tc>
          <w:tcPr>
            <w:tcW w:type="dxa" w:w="1701"/>
            <w:vAlign w:val="center"/>
          </w:tcPr>
          <w:p>
            <w:pPr>
              <w:spacing w:line="240" w:lineRule="auto" w:after="20" w:before="20"/>
              <w:jc w:val="left"/>
            </w:pPr>
            <w:r/>
            <w:r>
              <w:rPr>
                <w:rFonts w:ascii="宋体" w:hAnsi="宋体" w:eastAsia="宋体"/>
                <w:sz w:val="21"/>
              </w:rPr>
              <w:t>统一计量与效值公示、第三方认证与质量披露、可核验凭证</w:t>
            </w:r>
          </w:p>
        </w:tc>
      </w:tr>
      <w:tr>
        <w:tc>
          <w:tcPr>
            <w:tcW w:type="dxa" w:w="1701"/>
            <w:vAlign w:val="center"/>
          </w:tcPr>
          <w:p>
            <w:pPr>
              <w:spacing w:line="240" w:lineRule="auto" w:after="20" w:before="20"/>
              <w:jc w:val="center"/>
            </w:pPr>
            <w:r/>
            <w:r>
              <w:rPr>
                <w:rFonts w:ascii="宋体" w:hAnsi="宋体" w:eastAsia="宋体"/>
                <w:sz w:val="21"/>
              </w:rPr>
              <w:t>算力孤岛与市场分割</w:t>
            </w:r>
          </w:p>
        </w:tc>
        <w:tc>
          <w:tcPr>
            <w:tcW w:type="dxa" w:w="1701"/>
            <w:vAlign w:val="center"/>
          </w:tcPr>
          <w:p>
            <w:pPr>
              <w:spacing w:line="240" w:lineRule="auto" w:after="20" w:before="20"/>
              <w:jc w:val="left"/>
            </w:pPr>
            <w:r/>
            <w:r>
              <w:rPr>
                <w:rFonts w:ascii="宋体" w:hAnsi="宋体" w:eastAsia="宋体"/>
                <w:sz w:val="21"/>
              </w:rPr>
              <w:t>算力与模型跨主体、跨区域不可互调，名义供给大于有效供给</w:t>
            </w:r>
          </w:p>
        </w:tc>
        <w:tc>
          <w:tcPr>
            <w:tcW w:type="dxa" w:w="1701"/>
            <w:vAlign w:val="center"/>
          </w:tcPr>
          <w:p>
            <w:pPr>
              <w:spacing w:line="240" w:lineRule="auto" w:after="20" w:before="20"/>
              <w:jc w:val="left"/>
            </w:pPr>
            <w:r/>
            <w:r>
              <w:rPr>
                <w:rFonts w:ascii="宋体" w:hAnsi="宋体" w:eastAsia="宋体"/>
                <w:sz w:val="21"/>
              </w:rPr>
              <w:t>利用率70%以上的企业不足35%，6.7%的企业处于31%—50%区间</w:t>
            </w:r>
          </w:p>
        </w:tc>
        <w:tc>
          <w:tcPr>
            <w:tcW w:type="dxa" w:w="1701"/>
            <w:vAlign w:val="center"/>
          </w:tcPr>
          <w:p>
            <w:pPr>
              <w:spacing w:line="240" w:lineRule="auto" w:after="20" w:before="20"/>
              <w:jc w:val="left"/>
            </w:pPr>
            <w:r/>
            <w:r>
              <w:rPr>
                <w:rFonts w:ascii="宋体" w:hAnsi="宋体" w:eastAsia="宋体"/>
                <w:sz w:val="21"/>
              </w:rPr>
              <w:t>闲置与短缺并存，重复投资，区域价格差异无法套利消除</w:t>
            </w:r>
          </w:p>
        </w:tc>
        <w:tc>
          <w:tcPr>
            <w:tcW w:type="dxa" w:w="1701"/>
            <w:vAlign w:val="center"/>
          </w:tcPr>
          <w:p>
            <w:pPr>
              <w:spacing w:line="240" w:lineRule="auto" w:after="20" w:before="20"/>
              <w:jc w:val="left"/>
            </w:pPr>
            <w:r/>
            <w:r>
              <w:rPr>
                <w:rFonts w:ascii="宋体" w:hAnsi="宋体" w:eastAsia="宋体"/>
                <w:sz w:val="21"/>
              </w:rPr>
              <w:t>一体化算力网与统一调度、跨域计量与结算、产能交易机制</w:t>
            </w:r>
          </w:p>
        </w:tc>
      </w:tr>
      <w:tr>
        <w:tc>
          <w:tcPr>
            <w:tcW w:type="dxa" w:w="1701"/>
            <w:vAlign w:val="center"/>
          </w:tcPr>
          <w:p>
            <w:pPr>
              <w:spacing w:line="240" w:lineRule="auto" w:after="20" w:before="20"/>
              <w:jc w:val="center"/>
            </w:pPr>
            <w:r/>
            <w:r>
              <w:rPr>
                <w:rFonts w:ascii="宋体" w:hAnsi="宋体" w:eastAsia="宋体"/>
                <w:sz w:val="21"/>
              </w:rPr>
              <w:t>平台锁定与转换成本</w:t>
            </w:r>
          </w:p>
        </w:tc>
        <w:tc>
          <w:tcPr>
            <w:tcW w:type="dxa" w:w="1701"/>
            <w:vAlign w:val="center"/>
          </w:tcPr>
          <w:p>
            <w:pPr>
              <w:spacing w:line="240" w:lineRule="auto" w:after="20" w:before="20"/>
              <w:jc w:val="left"/>
            </w:pPr>
            <w:r/>
            <w:r>
              <w:rPr>
                <w:rFonts w:ascii="宋体" w:hAnsi="宋体" w:eastAsia="宋体"/>
                <w:sz w:val="21"/>
              </w:rPr>
              <w:t>提示与工作流、集成代码、上下文与缓存构成平台专用资产</w:t>
            </w:r>
          </w:p>
        </w:tc>
        <w:tc>
          <w:tcPr>
            <w:tcW w:type="dxa" w:w="1701"/>
            <w:vAlign w:val="center"/>
          </w:tcPr>
          <w:p>
            <w:pPr>
              <w:spacing w:line="240" w:lineRule="auto" w:after="20" w:before="20"/>
              <w:jc w:val="left"/>
            </w:pPr>
            <w:r/>
            <w:r>
              <w:rPr>
                <w:rFonts w:ascii="宋体" w:hAnsi="宋体" w:eastAsia="宋体"/>
                <w:sz w:val="21"/>
              </w:rPr>
              <w:t>中高档位差异化指标δ大于1（最高1.14）；小用量企业的临界用量高于自身用量</w:t>
            </w:r>
          </w:p>
        </w:tc>
        <w:tc>
          <w:tcPr>
            <w:tcW w:type="dxa" w:w="1701"/>
            <w:vAlign w:val="center"/>
          </w:tcPr>
          <w:p>
            <w:pPr>
              <w:spacing w:line="240" w:lineRule="auto" w:after="20" w:before="20"/>
              <w:jc w:val="left"/>
            </w:pPr>
            <w:r/>
            <w:r>
              <w:rPr>
                <w:rFonts w:ascii="宋体" w:hAnsi="宋体" w:eastAsia="宋体"/>
                <w:sz w:val="21"/>
              </w:rPr>
              <w:t>事后加成率上升，同档位价格竞争弱化，普惠用户受损最重</w:t>
            </w:r>
          </w:p>
        </w:tc>
        <w:tc>
          <w:tcPr>
            <w:tcW w:type="dxa" w:w="1701"/>
            <w:vAlign w:val="center"/>
          </w:tcPr>
          <w:p>
            <w:pPr>
              <w:spacing w:line="240" w:lineRule="auto" w:after="20" w:before="20"/>
              <w:jc w:val="left"/>
            </w:pPr>
            <w:r/>
            <w:r>
              <w:rPr>
                <w:rFonts w:ascii="宋体" w:hAnsi="宋体" w:eastAsia="宋体"/>
                <w:sz w:val="21"/>
              </w:rPr>
              <w:t>统一API入口、接口与模型可移植、开放权重、配置与上下文可携带</w:t>
            </w:r>
          </w:p>
        </w:tc>
      </w:tr>
      <w:tr>
        <w:tc>
          <w:tcPr>
            <w:tcW w:type="dxa" w:w="1701"/>
            <w:vAlign w:val="center"/>
          </w:tcPr>
          <w:p>
            <w:pPr>
              <w:spacing w:line="240" w:lineRule="auto" w:after="20" w:before="20"/>
              <w:jc w:val="center"/>
            </w:pPr>
            <w:r/>
            <w:r>
              <w:rPr>
                <w:rFonts w:ascii="宋体" w:hAnsi="宋体" w:eastAsia="宋体"/>
                <w:sz w:val="21"/>
              </w:rPr>
              <w:t>计量口径不统一</w:t>
            </w:r>
          </w:p>
        </w:tc>
        <w:tc>
          <w:tcPr>
            <w:tcW w:type="dxa" w:w="1701"/>
            <w:vAlign w:val="center"/>
          </w:tcPr>
          <w:p>
            <w:pPr>
              <w:spacing w:line="240" w:lineRule="auto" w:after="20" w:before="20"/>
              <w:jc w:val="left"/>
            </w:pPr>
            <w:r/>
            <w:r>
              <w:rPr>
                <w:rFonts w:ascii="宋体" w:hAnsi="宋体" w:eastAsia="宋体"/>
                <w:sz w:val="21"/>
              </w:rPr>
              <w:t>物理词元不可加，同名不同义，跨主体加总无经济含义</w:t>
            </w:r>
          </w:p>
        </w:tc>
        <w:tc>
          <w:tcPr>
            <w:tcW w:type="dxa" w:w="1701"/>
            <w:vAlign w:val="center"/>
          </w:tcPr>
          <w:p>
            <w:pPr>
              <w:spacing w:line="240" w:lineRule="auto" w:after="20" w:before="20"/>
              <w:jc w:val="left"/>
            </w:pPr>
            <w:r/>
            <w:r>
              <w:rPr>
                <w:rFonts w:ascii="宋体" w:hAnsi="宋体" w:eastAsia="宋体"/>
                <w:sz w:val="21"/>
              </w:rPr>
              <w:t>六档位单价极差12.6倍、变异系数0.92；折算后降至2.4倍与0.31</w:t>
            </w:r>
          </w:p>
        </w:tc>
        <w:tc>
          <w:tcPr>
            <w:tcW w:type="dxa" w:w="1701"/>
            <w:vAlign w:val="center"/>
          </w:tcPr>
          <w:p>
            <w:pPr>
              <w:spacing w:line="240" w:lineRule="auto" w:after="20" w:before="20"/>
              <w:jc w:val="left"/>
            </w:pPr>
            <w:r/>
            <w:r>
              <w:rPr>
                <w:rFonts w:ascii="宋体" w:hAnsi="宋体" w:eastAsia="宋体"/>
                <w:sz w:val="21"/>
              </w:rPr>
              <w:t>补贴核定失准，统计不可比，跨境交付缺可互认凭证</w:t>
            </w:r>
          </w:p>
        </w:tc>
        <w:tc>
          <w:tcPr>
            <w:tcW w:type="dxa" w:w="1701"/>
            <w:vAlign w:val="center"/>
          </w:tcPr>
          <w:p>
            <w:pPr>
              <w:spacing w:line="240" w:lineRule="auto" w:after="20" w:before="20"/>
              <w:jc w:val="left"/>
            </w:pPr>
            <w:r/>
            <w:r>
              <w:rPr>
                <w:rFonts w:ascii="宋体" w:hAnsi="宋体" w:eastAsia="宋体"/>
                <w:sz w:val="21"/>
              </w:rPr>
              <w:t>标准词元折算体系、计量与计费标准、凭证与溯源体系</w:t>
            </w:r>
          </w:p>
        </w:tc>
      </w:tr>
    </w:tbl>
    <w:p>
      <w:pPr>
        <w:spacing w:after="200" w:line="240" w:lineRule="auto"/>
        <w:jc w:val="both"/>
      </w:pPr>
      <w:r>
        <w:rPr>
          <w:rFonts w:ascii="宋体" w:hAnsi="宋体" w:eastAsia="宋体"/>
          <w:sz w:val="18"/>
        </w:rPr>
        <w:t>注：效值认知偏差、过度采购份额、差异化指标与单价离散度为作者校准复算值；企业智算资源利用率分布取自国际数据公司与中国信息通信研究院联合开展的企业调研，为企业自建自用智算资源的自报口径，与机架上架率、GPU卡时实测利用率的统计对象与方法不同，不可互证。数据来源：作者整理。</w:t>
      </w:r>
    </w:p>
    <w:p>
      <w:pPr>
        <w:spacing w:line="360" w:lineRule="auto" w:after="0"/>
        <w:ind w:firstLineChars="200" w:firstLine="480"/>
        <w:jc w:val="both"/>
      </w:pPr>
      <w:r>
        <w:rPr>
          <w:rFonts w:ascii="宋体" w:hAnsi="宋体" w:eastAsia="宋体"/>
          <w:sz w:val="24"/>
        </w:rPr>
        <w:t>表8.3显示，四类失灵在作用环节上依次递进：计量口径不统一发生在「记账」环节，效值信息不对称发生在「交易」环节，平台锁定发生在「续约」环节，算力孤岛则发生在「交付」环节。这一递进关系决定了矫正工具的优先序。计量是其余三者的前提——没有统一的效值折算，效值公示无从公示，跨域结算无从结算，可移植性无从核验；因此统一计量应当置于首位。其次是信息披露与认证，它把计量结果转化为买方可用的决策依据。再次是接口与移植性标准，它把决策依据转化为可执行的转换选项。调度与结算基础设施的建设周期最长、投入最大，但其收益也最依赖前三项的完成度——在计量口径不统一的条件下建成的调度平台，只能调度物理词元，无法按效值最优匹配。第 10 章将以专家判断的层次分析结果对这一优先序作独立检验，第 14 章则据此提出制度建设的时序安排。</w:t>
      </w:r>
    </w:p>
    <w:p>
      <w:pPr>
        <w:spacing w:line="360" w:lineRule="auto" w:after="0"/>
        <w:ind w:firstLineChars="200" w:firstLine="480"/>
        <w:jc w:val="both"/>
      </w:pPr>
      <w:r>
        <w:rPr>
          <w:rFonts w:ascii="宋体" w:hAnsi="宋体" w:eastAsia="宋体"/>
          <w:sz w:val="24"/>
        </w:rPr>
        <w:t>最后需要说明四类失灵与市场结构判断的关系。8.4 节的结论是词元生产环节不存在自然垄断、市场集中度持续下降；本节的结论则是市场存在多重失灵、实际竞争强度远低于集中度指标的暗示。两者并不矛盾，而是同一枚硬币的两面：正因为进入壁垒不高、参与者众多，市场才呈现分散的结构；也正因为质量不可观测、转换成本高昂、计量口径不一，分散的结构才没有转化为充分的竞争。这提示词元市场治理的重心不在反垄断意义上的结构管制，而在市场基础设施的建设——计量、认证、结算与调度这四类基础设施，才是决定词元市场能否从「有价格」走向「有效率」的关键变量。</w:t>
      </w:r>
    </w:p>
    <w:p>
      <w:pPr>
        <w:keepNext/>
        <w:spacing w:before="160" w:after="120" w:line="360" w:lineRule="auto"/>
        <w:outlineLvl w:val="1"/>
      </w:pPr>
      <w:r>
        <w:rPr>
          <w:rFonts w:ascii="黑体" w:hAnsi="黑体" w:eastAsia="黑体"/>
          <w:sz w:val="28"/>
        </w:rPr>
        <w:t>8.6  本章小结</w:t>
      </w:r>
    </w:p>
    <w:p>
      <w:pPr>
        <w:spacing w:line="360" w:lineRule="auto" w:after="0"/>
        <w:ind w:firstLineChars="200" w:firstLine="480"/>
        <w:jc w:val="both"/>
      </w:pPr>
      <w:r>
        <w:rPr>
          <w:rFonts w:ascii="宋体" w:hAnsi="宋体" w:eastAsia="宋体"/>
          <w:sz w:val="24"/>
        </w:rPr>
        <w:t>本章把第 7 章的价格分析置回市场之中，系统刻画了词元市场的形态、需求、供给、均衡与失灵。在市场形态上，本章把围绕词元的交易识别为算力市场、词元市场与应用市场三层链条，指出词元市场是唯一同时受成本约束与价值约束双重挤压的中间环节，其三层价格结构与三层市场结构互为表里；进而以四类主体、三组交叉网络外部性与平台三项职能刻画了多边平台形态，并指出词元平台与经典双边平台的关键差异在于匹配发生在每一次调用内部，路由算法的目标函数直接决定资源配置效率，这使平台承担了远超一般中介的配置职能，也使平台规则的设定权成为比价格更根本的市场权力。</w:t>
      </w:r>
    </w:p>
    <w:p>
      <w:pPr>
        <w:spacing w:line="360" w:lineRule="auto" w:after="0"/>
        <w:ind w:firstLineChars="200" w:firstLine="480"/>
        <w:jc w:val="both"/>
      </w:pPr>
      <w:r>
        <w:rPr>
          <w:rFonts w:ascii="宋体" w:hAnsi="宋体" w:eastAsia="宋体"/>
          <w:sz w:val="24"/>
        </w:rPr>
        <w:t>在需求侧，本章从派生需求出发导出了词元需求函数，证明在无约束最优化下弹性必然大于 1，并以预算约束与吸收能力约束解释了部分行业弹性小于 1 的观测。估计结果显示全样本需求价格弹性为-1.34（标准误0.19），文化传媒（-1.71）与制造（-1.62）富有弹性，金融（-0.94）与政务（-0.68）缺乏弹性；相应地，降价在前两个行业扩大总支出、在后两个行业缩减总支出，同一项降价政策在不同行业具有相反的收入含义。更重要的是需求扩张的分解：两年间约1400倍的调用量增长中，纯价格效应只解释了6.4倍、占对数总增幅的25.6%，其余74.4%来自需求曲线的整体外移。把词元用量的爆发式增长简单归因于降价，在数量级上无法成立；场景开发、企业适配能力建设与模型效值提升才是主导力量，而这三者都不是价格补贴可以直接作用的对象。</w:t>
      </w:r>
    </w:p>
    <w:p>
      <w:pPr>
        <w:spacing w:line="360" w:lineRule="auto" w:after="0"/>
        <w:ind w:firstLineChars="200" w:firstLine="480"/>
        <w:jc w:val="both"/>
      </w:pPr>
      <w:r>
        <w:rPr>
          <w:rFonts w:ascii="宋体" w:hAnsi="宋体" w:eastAsia="宋体"/>
          <w:sz w:val="24"/>
        </w:rPr>
        <w:t>在供给侧，本章以词元工厂的产能决定式刻画了词元供给的独特性质：产能不是标量而是产品组合的函数，同一片算力在不同档位之间的标准词元产出相差13.5倍，供给曲线因而是可重构的。成本测算揭示了两点发现：其一，物理词元口径下六档位的边际成本极差达18.6倍，折算为标准词元口径后降至1.65倍——档位间的成本差距约九成是产品差异而非效率差异，以物理词元为分母的成本比较会把补贴导向低档位、把监审压力施加于高档位；其二，单位算力收入随档位上升而递减、加成率随档位上升而递增，二者方向相反，构成词元工厂产品组合决策的核心权衡，也为第 9 章的任务—模型最优匹配提供了微观基础。</w:t>
      </w:r>
    </w:p>
    <w:p>
      <w:pPr>
        <w:spacing w:line="360" w:lineRule="auto" w:after="0"/>
        <w:ind w:firstLineChars="200" w:firstLine="480"/>
        <w:jc w:val="both"/>
      </w:pPr>
      <w:r>
        <w:rPr>
          <w:rFonts w:ascii="宋体" w:hAnsi="宋体" w:eastAsia="宋体"/>
          <w:sz w:val="24"/>
        </w:rPr>
        <w:t>在均衡与竞争格局上，本章给出了三项结论。第一，短期均衡由产能约束的影子价格主导，峰谷分时定价是高峰负荷定价的直接体现，价格在成本底价之上叠加一块随产能松紧波动的稀缺租金。第二，自然垄断假说不成立：全国日均标准词元流量高出最小有效规模约6.2个数量级，成本函数在相关产量区间不具次可加性，其技术根源是推理服务的高度可分性；沉没成本在推理供给环节接近于零、在模型研发环节接近于一，这一非对称结构解释了「服务价格竞争激烈而研发主体高度集中」的并存。第三，集中度与加成率显著背离：赫芬达尔—赫希曼指数由0.34降至0.21，而实际加成率加权后仍达76.8%，是古诺基准预测值的4.9倍；反解出的残余需求弹性与市场需求弹性同量级，差异化指标随档位上升而增大，说明各档位近似于在自身细分市场内独占定价。以份额为基准的结构性监管在这样的市场上几乎无从着力。</w:t>
      </w:r>
    </w:p>
    <w:p>
      <w:pPr>
        <w:spacing w:line="360" w:lineRule="auto" w:after="0"/>
        <w:ind w:firstLineChars="200" w:firstLine="480"/>
        <w:jc w:val="both"/>
      </w:pPr>
      <w:r>
        <w:rPr>
          <w:rFonts w:ascii="宋体" w:hAnsi="宋体" w:eastAsia="宋体"/>
          <w:sz w:val="24"/>
        </w:rPr>
        <w:t>在市场失灵上，本章识别出效值信息不对称、算力孤岛与市场分割、平台锁定与计量口径不统一四类失灵，分别对应交易、交付、续约与记账四个环节，并据此给出「统一计量—信息披露与认证—接口与移植性标准—调度与结算基础设施」的矫正工具优先序。本章特别辨明了四套既有评价工作各自的主体、维度与用途，指出它们的共同形态是多维评价，产出的是并列的维度得分或达标基线，无法把异质词元合成为可加总、可计价、可入账的单一当量；本书从多维评价推进到当量折算的理论增量，正是在这一缺口上确立的。综合全章，词元市场的治理重心不在反垄断意义上的结构管制，而在计量、认证、结算与调度四类市场基础设施的建设。本章的需求弹性与成本曲线将作为参数进入第 9 章的配置优化与第 12 章的增长核算，四类失灵的机制识别则构成第 10 章机制设计与第 14 章政策建议的直接依据。</w:t>
      </w:r>
    </w:p>
    <w:p>
      <w:r>
        <w:br w:type="page"/>
      </w:r>
    </w:p>
    <w:p>
      <w:pPr>
        <w:keepNext/>
        <w:spacing w:before="240" w:after="160" w:line="360" w:lineRule="auto"/>
        <w:jc w:val="center"/>
        <w:outlineLvl w:val="0"/>
      </w:pPr>
      <w:r>
        <w:rPr>
          <w:rFonts w:ascii="黑体" w:hAnsi="黑体" w:eastAsia="黑体"/>
          <w:b/>
          <w:sz w:val="30"/>
        </w:rPr>
        <w:t>第9章  算力—词元转化效率与配置优化</w:t>
      </w:r>
    </w:p>
    <w:p>
      <w:pPr>
        <w:spacing w:line="360" w:lineRule="auto" w:after="0"/>
        <w:ind w:firstLineChars="200" w:firstLine="480"/>
        <w:jc w:val="both"/>
      </w:pPr>
      <w:r>
        <w:rPr>
          <w:rFonts w:ascii="宋体" w:hAnsi="宋体" w:eastAsia="宋体"/>
          <w:sz w:val="24"/>
        </w:rPr>
        <w:t>第 7 章与第 8 章分别从价格与市场两个侧面完成了词元经济的交易分析，并在第 8 章末尾把治理重心归结为计量、认证、结算与调度四类市场基础设施。其中「调度」一项尚未展开：它既不是价格问题，也不是竞争结构问题，而是资源在算力、模型与场景三者之间的配置问题。这一问题在当前的产业实践中以一种近乎悖论的形式呈现出来。一方面，我国智能算力规模保持高速扩张：按工业和信息化部口径，截至 2026 年 6 月底智能算力规模达 2185 EFLOPS（FP16，已建成规模），同比增长 177%，全国算力设施整体上架率 71.4%；截至 2025 年底已建成万卡智算集群 42 个、智能算力规模超过 1590 EFLOPS。另一方面，被建成的算力并未被充分使用：国际数据公司与中国信息通信研究院联合开展的企业调研显示，近半数（约48%）企业的智算资源利用率处于 51%—70% 的中等区间，6.7%的企业仅为31%—50%，利用率达到 70% 以上者不足35%，制造与政务行业低于平均水平；调研同时把主因归结为多数自建智算项目「重硬件、轻软件」，缺乏统一调度平台与资源池化管理。「利用率只有五至七成而算力仍在加速扩建」，这就是本章要解释的配置悖论。</w:t>
      </w:r>
    </w:p>
    <w:p>
      <w:pPr>
        <w:spacing w:line="360" w:lineRule="auto" w:after="0"/>
        <w:ind w:firstLineChars="200" w:firstLine="480"/>
        <w:jc w:val="both"/>
      </w:pPr>
      <w:r>
        <w:rPr>
          <w:rFonts w:ascii="宋体" w:hAnsi="宋体" w:eastAsia="宋体"/>
          <w:sz w:val="24"/>
        </w:rPr>
        <w:t>第 4 章已经辨明，产业讨论中并存的三个「利用率」——企业调研自报的智算资源利用率、统计口径的全国算力设施整体上架率、第三方估算的加速卡卡时利用率——统计对象与测量方法完全不同，不可互证；本章因此不直接采用任何一个公开利用率数字作为参数，而是以校准复算方式重建一套内部一致的口径。但更根本的问题不在于口径，而在于概念：无论用哪一套口径测得的利用率，衡量的都是「资源被占用的比例」，而不是「资源被有效使用的比例」。一张被百分之百占用的加速卡，如果在为一个本可由更低档位承接的任务提供服务、或者在生成大量语义冗余的词元，从价值创造的角度看仍然是浪费。占用不等于生产，生产不等于有用，有用不等于等值——三重错位叠加，使得「提高利用率」这一看似自明的政策目标在词元经济中失去了明确的所指。</w:t>
      </w:r>
    </w:p>
    <w:p>
      <w:pPr>
        <w:spacing w:line="360" w:lineRule="auto" w:after="0"/>
        <w:ind w:firstLineChars="200" w:firstLine="480"/>
        <w:jc w:val="both"/>
      </w:pPr>
      <w:r>
        <w:rPr>
          <w:rFonts w:ascii="宋体" w:hAnsi="宋体" w:eastAsia="宋体"/>
          <w:sz w:val="24"/>
        </w:rPr>
        <w:t>把配置悖论从现象上升为可分解、可优化、可测算的经济学问题，需要三步工作。第一步是构造一个把算力投入一直追踪到「有效标准词元」的转化函数，使算力与词元在同一条链条上可度量；第二步是把名义利用率与有效效值利用率之间的落差分解为若干互斥且穷尽的损失项，识别各项的形成机制与责任层级；第三步是把降低损失的问题写成一个最优化问题，求解统一调度可获得的效率改进及其上界。这三步分别对应本章的 9.1 节、9.2 节与 9.3 节。9.4 节转向推理服务的排队与并发，刻画时延与成本之间的技术权衡，为批次损失给出微观基础；9.5 节报告效率改进的情景测算并讨论其经济含义；9.6 节为本章小结。本章的核心论点是：算力利用率不足在本质上不是一个工程问题，而是一个在缺乏共同计量尺度条件下必然出现的配置失灵；标准词元折算体系一旦建立，「按效值最优匹配」就从一个无法表述的目标变成一个可以求解的规划。</w:t>
      </w:r>
    </w:p>
    <w:p>
      <w:pPr>
        <w:keepNext/>
        <w:spacing w:before="160" w:after="120" w:line="360" w:lineRule="auto"/>
        <w:outlineLvl w:val="1"/>
      </w:pPr>
      <w:r>
        <w:rPr>
          <w:rFonts w:ascii="黑体" w:hAnsi="黑体" w:eastAsia="黑体"/>
          <w:sz w:val="28"/>
        </w:rPr>
        <w:t>9.1  转化函数：从算力到有效标准词元</w:t>
      </w:r>
    </w:p>
    <w:p>
      <w:pPr>
        <w:keepNext/>
        <w:spacing w:before="160" w:after="120" w:line="360" w:lineRule="auto"/>
        <w:outlineLvl w:val="2"/>
      </w:pPr>
      <w:r>
        <w:rPr>
          <w:rFonts w:ascii="黑体" w:hAnsi="黑体" w:eastAsia="黑体"/>
          <w:sz w:val="24"/>
        </w:rPr>
        <w:t>9.1.1  既有解释的边界：为什么「提高利用率」不是一个良定义的目标</w:t>
      </w:r>
    </w:p>
    <w:p>
      <w:pPr>
        <w:spacing w:line="360" w:lineRule="auto" w:after="0"/>
        <w:ind w:firstLineChars="200" w:firstLine="480"/>
        <w:jc w:val="both"/>
      </w:pPr>
      <w:r>
        <w:rPr>
          <w:rFonts w:ascii="宋体" w:hAnsi="宋体" w:eastAsia="宋体"/>
          <w:sz w:val="24"/>
        </w:rPr>
        <w:t>关于算力利用率不足，既有研究已经积累了若干解释。对大规模机器学习服务集群的工作负载分析显示，资源利用的不均衡与任务异质性、负载的时变性密切相关，静态划分的资源池在面对高度偏斜的请求分布时必然产生大量空闲（Weng等，2022）；对我国智算中心的实证研究表明，算力部署对企业全要素生产率的提升效应并非自动实现，而是依赖数据跨域流动等配套条件（许诺等，2025）；从需求侧考察算力资源配置的研究进一步指出，算力共享机制的缺失与算力市场的不成熟是使用效率偏低的制度根源（王勇等，2025）。平台在资源配置中的作用也已被反复论证：价格机制与数据机制的协同可以显著改善配置效率（刘诚和夏杰长，2023），而算力经济与算力电力协同的产业研究则从供给侧描绘了资源统筹的技术与政策路径（「中国信息通信研究院，2025」；中国信息通信研究院，2025）。</w:t>
      </w:r>
    </w:p>
    <w:p>
      <w:pPr>
        <w:spacing w:line="360" w:lineRule="auto" w:after="0"/>
        <w:ind w:firstLineChars="200" w:firstLine="480"/>
        <w:jc w:val="both"/>
      </w:pPr>
      <w:r>
        <w:rPr>
          <w:rFonts w:ascii="宋体" w:hAnsi="宋体" w:eastAsia="宋体"/>
          <w:sz w:val="24"/>
        </w:rPr>
        <w:t xml:space="preserve">这些解释各自成立，但都停留在「资源被占用的比例」这一层面。一旦追问「占用之后产出了什么」，解释链条就断裂了。原因在于，算力的产出是词元，而物理词元不可加：第 3 章已经证明，同样 100 枚词元在不同模型、不同任务下的经济含义相差一个数量级以上；第 5 章据此构造了以算力强度 </w:t>
      </w:r>
      <m:oMath>
        <m:r>
          <m:t>P</m:t>
        </m:r>
      </m:oMath>
      <w:r>
        <w:rPr>
          <w:rFonts w:ascii="宋体" w:hAnsi="宋体" w:eastAsia="宋体"/>
          <w:sz w:val="24"/>
        </w:rPr>
        <w:t xml:space="preserve">、推理质量 </w:t>
      </w:r>
      <m:oMath>
        <m:r>
          <m:t>R</m:t>
        </m:r>
      </m:oMath>
      <w:r>
        <w:rPr>
          <w:rFonts w:ascii="宋体" w:hAnsi="宋体" w:eastAsia="宋体"/>
          <w:sz w:val="24"/>
        </w:rPr>
        <w:t xml:space="preserve">、场景效用 </w:t>
      </w:r>
      <m:oMath>
        <m:r>
          <m:t>S</m:t>
        </m:r>
      </m:oMath>
      <w:r>
        <w:rPr>
          <w:rFonts w:ascii="宋体" w:hAnsi="宋体" w:eastAsia="宋体"/>
          <w:sz w:val="24"/>
        </w:rPr>
        <w:t xml:space="preserve"> 三维合成的效值折算体系，把异质词元折算为可比、可加的标准词元。这意味着，在标准词元口径建立之前，「算力利用率」这个指标的分子是一个没有共同尺度的混合物，其高低不具有价值含义。把利用率从 60% 提高到 80%，如果新增的 20% 全部用于在高档位模型上执行本可由低档位承接的简单任务，则算力的价值产出不升反降。因此，「提高利用率」在标准词元口径之外并不是一个良定义的政策目标；良定义的目标只能是「提高单位算力的有效标准词元产出」。</w:t>
      </w:r>
    </w:p>
    <w:p>
      <w:pPr>
        <w:spacing w:line="360" w:lineRule="auto" w:after="0"/>
        <w:ind w:firstLineChars="200" w:firstLine="480"/>
        <w:jc w:val="both"/>
      </w:pPr>
      <w:r>
        <w:rPr>
          <w:rFonts w:ascii="宋体" w:hAnsi="宋体" w:eastAsia="宋体"/>
          <w:sz w:val="24"/>
        </w:rPr>
        <w:t>这一判断把配置问题与计量问题捆绑在一起，也确定了本章的方法论起点：必须先构造一个以标准词元为终端产出的转化函数，才能定义效率、分解损失、刻画最优。计量与配置的这种先后关系并非词元经济所独有。物流标准化对企业全要素生产率的提升效应表明，统一的计量与接口规格本身就是一种生产性投入，其收益通过降低匹配与衔接成本而实现（何凡等，2025）；标准化与兼容性的经典分析同样指出，共同标准的价值不在于技术本身，而在于它使分散决策者的行动可以相互衔接（Farrell和Saloner，1985；Simcoe，2012）。就配置效率的测度方法而言，把总量约束下的资源在异质主体之间重新配置所能获得的产出改进作为效率损失的度量，已是资源与环境经济学中的成熟做法（杨豪等，2023）；本章对算力—词元配置的处理，在方法论上与之同构，差别仅在于被配置的对象是算力、被度量的产出是标准词元。</w:t>
      </w:r>
    </w:p>
    <w:p>
      <w:pPr>
        <w:keepNext/>
        <w:spacing w:before="160" w:after="120" w:line="360" w:lineRule="auto"/>
        <w:outlineLvl w:val="2"/>
      </w:pPr>
      <w:r>
        <w:rPr>
          <w:rFonts w:ascii="黑体" w:hAnsi="黑体" w:eastAsia="黑体"/>
          <w:sz w:val="24"/>
        </w:rPr>
        <w:t>9.1.2  转化函数的构造：两级折算</w:t>
      </w:r>
    </w:p>
    <w:p>
      <w:pPr>
        <w:spacing w:line="360" w:lineRule="auto" w:after="0"/>
        <w:ind w:firstLineChars="200" w:firstLine="480"/>
        <w:jc w:val="both"/>
      </w:pPr>
      <w:r>
        <w:rPr>
          <w:rFonts w:ascii="宋体" w:hAnsi="宋体" w:eastAsia="宋体"/>
          <w:sz w:val="24"/>
        </w:rPr>
        <w:t xml:space="preserve">转化函数的构造分两级：先把算力折算为物理词元，再把物理词元折算为标准词元。第一级是纯技术关系。沿用第 7 章式(7-1)的成本核算口径，记模型档位 </w:t>
      </w:r>
      <m:oMath>
        <m:r>
          <m:t>m</m:t>
        </m:r>
      </m:oMath>
      <w:r>
        <w:rPr>
          <w:rFonts w:ascii="宋体" w:hAnsi="宋体" w:eastAsia="宋体"/>
          <w:sz w:val="24"/>
        </w:rPr>
        <w:t xml:space="preserve"> 在平均上下文长度 </w:t>
      </w:r>
      <m:oMath>
        <m:acc>
          <m:accPr>
            <m:chr m:val="‾"/>
          </m:accPr>
          <m:e>
            <m:r>
              <m:rPr>
                <m:sty m:val="p"/>
              </m:rPr>
              <m:t>ℓ</m:t>
            </m:r>
          </m:e>
        </m:acc>
      </m:oMath>
      <w:r>
        <w:rPr>
          <w:rFonts w:ascii="宋体" w:hAnsi="宋体" w:eastAsia="宋体"/>
          <w:sz w:val="24"/>
        </w:rPr>
        <w:t xml:space="preserve"> 下生成一枚词元所需的浮点运算量为 </w:t>
      </w:r>
      <m:oMath>
        <m:sSub>
          <m:e>
            <m:r>
              <m:t>f</m:t>
            </m:r>
          </m:e>
          <m:sub>
            <m:r>
              <m:t>m</m:t>
            </m:r>
          </m:sub>
        </m:sSub>
        <m:d>
          <m:dPr>
            <m:begChr m:val="("/>
            <m:endChr m:val=")"/>
            <m:grow/>
          </m:dPr>
          <m:e>
            <m:acc>
              <m:accPr>
                <m:chr m:val="‾"/>
              </m:accPr>
              <m:e>
                <m:r>
                  <m:rPr>
                    <m:sty m:val="p"/>
                  </m:rPr>
                  <m:t>ℓ</m:t>
                </m:r>
              </m:e>
            </m:acc>
          </m:e>
        </m:d>
      </m:oMath>
      <w:r>
        <w:rPr>
          <w:rFonts w:ascii="宋体" w:hAnsi="宋体" w:eastAsia="宋体"/>
          <w:sz w:val="24"/>
        </w:rPr>
        <w:t>，该档位在推理服务中的有效算力利用率为</w:t>
      </w:r>
      <m:oMath>
        <m:sSub>
          <m:e>
            <m:r>
              <m:t>u</m:t>
            </m:r>
          </m:e>
          <m:sub>
            <m:r>
              <m:t>m</m:t>
            </m:r>
          </m:sub>
        </m:sSub>
      </m:oMath>
      <w:r>
        <w:rPr>
          <w:rFonts w:ascii="宋体" w:hAnsi="宋体" w:eastAsia="宋体"/>
          <w:sz w:val="24"/>
        </w:rPr>
        <w:t>，则单位算力投入的物理词元产出如式(9-1)所示。</w:t>
      </w:r>
    </w:p>
    <w:p>
      <w:pPr>
        <w:tabs>
          <w:tab w:pos="4252" w:val="center"/>
          <w:tab w:pos="8504" w:val="right"/>
        </w:tabs>
        <w:spacing w:line="360" w:lineRule="auto" w:before="80" w:after="80"/>
      </w:pPr>
      <w:r>
        <w:tab/>
      </w:r>
      <m:oMath>
        <m:sSubSup>
          <m:e>
            <m:r>
              <m:t>θ</m:t>
            </m:r>
          </m:e>
          <m:sub>
            <m:r>
              <m:t>m</m:t>
            </m:r>
          </m:sub>
          <m:sup>
            <m:r>
              <m:rPr>
                <m:sty m:val="p"/>
              </m:rPr>
              <m:t>p</m:t>
            </m:r>
            <m:r>
              <m:rPr>
                <m:sty m:val="p"/>
              </m:rPr>
              <m:t>h</m:t>
            </m:r>
            <m:r>
              <m:rPr>
                <m:sty m:val="p"/>
              </m:rPr>
              <m:t>y</m:t>
            </m:r>
          </m:sup>
        </m:sSubSup>
        <m:r>
          <m:rPr>
            <m:sty m:val="p"/>
          </m:rPr>
          <m:t>=</m:t>
        </m:r>
        <m:f>
          <m:fPr>
            <m:type m:val="bar"/>
          </m:fPr>
          <m:num>
            <m:r>
              <m:rPr>
                <m:sty m:val="p"/>
              </m:rPr>
              <m:t>𝜍</m:t>
            </m:r>
            <m:r>
              <m:t> </m:t>
            </m:r>
            <m:sSub>
              <m:e>
                <m:r>
                  <m:t>u</m:t>
                </m:r>
              </m:e>
              <m:sub>
                <m:r>
                  <m:t>m</m:t>
                </m:r>
              </m:sub>
            </m:sSub>
          </m:num>
          <m:den>
            <m:sSub>
              <m:e>
                <m:r>
                  <m:t>f</m:t>
                </m:r>
              </m:e>
              <m:sub>
                <m:r>
                  <m:t>m</m:t>
                </m:r>
              </m:sub>
            </m:sSub>
            <m:d>
              <m:dPr>
                <m:begChr m:val="("/>
                <m:endChr m:val=")"/>
                <m:grow/>
              </m:dPr>
              <m:e>
                <m:acc>
                  <m:accPr>
                    <m:chr m:val="‾"/>
                  </m:accPr>
                  <m:e>
                    <m:r>
                      <m:rPr>
                        <m:sty m:val="p"/>
                      </m:rPr>
                      <m:t>ℓ</m:t>
                    </m:r>
                  </m:e>
                </m:acc>
              </m:e>
            </m:d>
          </m:den>
        </m:f>
        <m:r>
          <m:rPr>
            <m:sty m:val="p"/>
          </m:rPr>
          <m:t>,</m:t>
        </m:r>
        <m:r>
          <m:t>  </m:t>
        </m:r>
        <m:sSub>
          <m:e>
            <m:r>
              <m:t>f</m:t>
            </m:r>
          </m:e>
          <m:sub>
            <m:r>
              <m:t>m</m:t>
            </m:r>
          </m:sub>
        </m:sSub>
        <m:d>
          <m:dPr>
            <m:begChr m:val="("/>
            <m:endChr m:val=")"/>
            <m:grow/>
          </m:dPr>
          <m:e>
            <m:acc>
              <m:accPr>
                <m:chr m:val="‾"/>
              </m:accPr>
              <m:e>
                <m:r>
                  <m:rPr>
                    <m:sty m:val="p"/>
                  </m:rPr>
                  <m:t>ℓ</m:t>
                </m:r>
              </m:e>
            </m:acc>
          </m:e>
        </m:d>
        <m:r>
          <m:rPr>
            <m:sty m:val="p"/>
          </m:rPr>
          <m:t>=</m:t>
        </m:r>
        <m:r>
          <m:t>2</m:t>
        </m:r>
        <m:sSub>
          <m:e>
            <m:r>
              <m:t>N</m:t>
            </m:r>
          </m:e>
          <m:sub>
            <m:r>
              <m:t>m</m:t>
            </m:r>
          </m:sub>
        </m:sSub>
        <m:r>
          <m:rPr>
            <m:sty m:val="p"/>
          </m:rPr>
          <m:t>+</m:t>
        </m:r>
        <m:r>
          <m:t>2</m:t>
        </m:r>
        <m:r>
          <m:t> </m:t>
        </m:r>
        <m:sSub>
          <m:e>
            <m:r>
              <m:t>ξ</m:t>
            </m:r>
          </m:e>
          <m:sub>
            <m:r>
              <m:t>m</m:t>
            </m:r>
          </m:sub>
        </m:sSub>
        <m:r>
          <m:t> </m:t>
        </m:r>
        <m:acc>
          <m:accPr>
            <m:chr m:val="‾"/>
          </m:accPr>
          <m:e>
            <m:r>
              <m:rPr>
                <m:sty m:val="p"/>
              </m:rPr>
              <m:t>ℓ</m:t>
            </m:r>
          </m:e>
        </m:acc>
        <m:r>
          <m:rPr>
            <m:sty m:val="p"/>
          </m:rPr>
          <m:t>,</m:t>
        </m:r>
        <m:r>
          <m:t>  </m:t>
        </m:r>
        <m:r>
          <m:rPr>
            <m:sty m:val="p"/>
          </m:rPr>
          <m:t>𝜍</m:t>
        </m:r>
        <m:r>
          <m:rPr>
            <m:sty m:val="p"/>
          </m:rPr>
          <m:t>=</m:t>
        </m:r>
        <m:r>
          <m:t>3.6</m:t>
        </m:r>
        <m:r>
          <m:rPr>
            <m:sty m:val="p"/>
          </m:rPr>
          <m:t>×</m:t>
        </m:r>
        <m:sSup>
          <m:e>
            <m:r>
              <m:t>10</m:t>
            </m:r>
          </m:e>
          <m:sup>
            <m:r>
              <m:t>18</m:t>
            </m:r>
          </m:sup>
        </m:sSup>
      </m:oMath>
      <w:r>
        <w:tab/>
      </w:r>
      <w:r>
        <w:rPr>
          <w:rFonts w:ascii="Times New Roman" w:hAnsi="Times New Roman" w:eastAsia="宋体"/>
          <w:sz w:val="24"/>
        </w:rPr>
        <w:t>(9-1)</w:t>
      </w:r>
    </w:p>
    <w:p>
      <w:pPr>
        <w:spacing w:line="360" w:lineRule="auto" w:after="0"/>
        <w:jc w:val="both"/>
      </w:pPr>
      <w:r>
        <w:rPr>
          <w:rFonts w:ascii="宋体" w:hAnsi="宋体" w:eastAsia="宋体"/>
          <w:sz w:val="24"/>
        </w:rPr>
        <w:t>其中，</w:t>
      </w:r>
      <m:oMath>
        <m:sSubSup>
          <m:e>
            <m:r>
              <m:t>θ</m:t>
            </m:r>
          </m:e>
          <m:sub>
            <m:r>
              <m:t>m</m:t>
            </m:r>
          </m:sub>
          <m:sup>
            <m:r>
              <m:rPr>
                <m:sty m:val="p"/>
              </m:rPr>
              <m:t>p</m:t>
            </m:r>
            <m:r>
              <m:rPr>
                <m:sty m:val="p"/>
              </m:rPr>
              <m:t>h</m:t>
            </m:r>
            <m:r>
              <m:rPr>
                <m:sty m:val="p"/>
              </m:rPr>
              <m:t>y</m:t>
            </m:r>
          </m:sup>
        </m:sSubSup>
      </m:oMath>
      <w:r>
        <w:rPr>
          <w:rFonts w:ascii="宋体" w:hAnsi="宋体" w:eastAsia="宋体"/>
          <w:sz w:val="24"/>
        </w:rPr>
        <w:t>为单位算力时（PFLOPS·h）的物理词元产出，</w:t>
      </w:r>
      <m:oMath>
        <m:sSub>
          <m:e>
            <m:r>
              <m:t>N</m:t>
            </m:r>
          </m:e>
          <m:sub>
            <m:r>
              <m:t>m</m:t>
            </m:r>
          </m:sub>
        </m:sSub>
      </m:oMath>
      <w:r>
        <w:rPr>
          <w:rFonts w:ascii="宋体" w:hAnsi="宋体" w:eastAsia="宋体"/>
          <w:sz w:val="24"/>
        </w:rPr>
        <w:t>为档位</w:t>
      </w:r>
      <m:oMath>
        <m:r>
          <m:t>m</m:t>
        </m:r>
      </m:oMath>
      <w:r>
        <w:rPr>
          <w:rFonts w:ascii="宋体" w:hAnsi="宋体" w:eastAsia="宋体"/>
          <w:sz w:val="24"/>
        </w:rPr>
        <w:t>的有效参数规模，</w:t>
      </w:r>
      <m:oMath>
        <m:sSub>
          <m:e>
            <m:r>
              <m:t>ξ</m:t>
            </m:r>
          </m:e>
          <m:sub>
            <m:r>
              <m:t>m</m:t>
            </m:r>
          </m:sub>
        </m:sSub>
      </m:oMath>
      <w:r>
        <w:rPr>
          <w:rFonts w:ascii="宋体" w:hAnsi="宋体" w:eastAsia="宋体"/>
          <w:sz w:val="24"/>
        </w:rPr>
        <w:t>为注意力机制对上下文长度的敏感系数，</w:t>
      </w:r>
      <m:oMath>
        <m:r>
          <m:rPr>
            <m:sty m:val="p"/>
          </m:rPr>
          <m:t>𝜍</m:t>
        </m:r>
      </m:oMath>
      <w:r>
        <w:rPr>
          <w:rFonts w:ascii="宋体" w:hAnsi="宋体" w:eastAsia="宋体"/>
          <w:sz w:val="24"/>
        </w:rPr>
        <w:t>为单位算力时对应的浮点运算总量（以 FLOP 计）。</w:t>
      </w:r>
    </w:p>
    <w:p>
      <w:pPr>
        <w:spacing w:line="360" w:lineRule="auto" w:after="0"/>
        <w:ind w:firstLineChars="200" w:firstLine="480"/>
        <w:jc w:val="both"/>
      </w:pPr>
      <w:r>
        <w:rPr>
          <w:rFonts w:ascii="宋体" w:hAnsi="宋体" w:eastAsia="宋体"/>
          <w:sz w:val="24"/>
        </w:rPr>
        <w:t xml:space="preserve">式(9-1)刻画的是「算力—物理词元」的技术转化率，它随模型规模的扩大而下降、随上下文长度的增加而下降、随有效算力利用率的提高而上升。近年推理系统的进展正是沿着这三个方向压缩分母、抬高分子：连续批处理把请求级的调度粒度细化到迭代级，显著减少了批内等待（Yu等，2022）；分页显存管理以操作系统式的分页机制消除键值缓存的碎片（Kwon等，2023）；分块预填充在同一批次内平衡计算受限的预填充与访存受限的解码（Agrawal等，2024）；预填充—解码分离则把两类资源画像截然不同的阶段拆分到不同的执行域（Zhong等，2024）。算子层面的访存优化与大规模推理的并行编排从硬件效率一侧提升 </w:t>
      </w:r>
      <m:oMath>
        <m:sSub>
          <m:e>
            <m:r>
              <m:t>u</m:t>
            </m:r>
          </m:e>
          <m:sub>
            <m:r>
              <m:t>m</m:t>
            </m:r>
          </m:sub>
        </m:sSub>
      </m:oMath>
      <w:r>
        <w:rPr>
          <w:rFonts w:ascii="宋体" w:hAnsi="宋体" w:eastAsia="宋体"/>
          <w:sz w:val="24"/>
        </w:rPr>
        <w:t xml:space="preserve">（Dao等，2022；Pope等，2023），而模型侧的规模律与训练推理权衡研究则从另一端降低了达到同等能力所需的 </w:t>
      </w:r>
      <m:oMath>
        <m:sSub>
          <m:e>
            <m:r>
              <m:t>N</m:t>
            </m:r>
          </m:e>
          <m:sub>
            <m:r>
              <m:t>m</m:t>
            </m:r>
          </m:sub>
        </m:sSub>
      </m:oMath>
      <w:r>
        <w:rPr>
          <w:rFonts w:ascii="宋体" w:hAnsi="宋体" w:eastAsia="宋体"/>
          <w:sz w:val="24"/>
        </w:rPr>
        <w:t>（Kaplan等，2020；Hoffmann等，2022）。</w:t>
      </w:r>
    </w:p>
    <w:p>
      <w:pPr>
        <w:spacing w:line="360" w:lineRule="auto" w:after="0"/>
        <w:ind w:firstLineChars="200" w:firstLine="480"/>
        <w:jc w:val="both"/>
      </w:pPr>
      <w:r>
        <w:rPr>
          <w:rFonts w:ascii="宋体" w:hAnsi="宋体" w:eastAsia="宋体"/>
          <w:sz w:val="24"/>
        </w:rPr>
        <w:t xml:space="preserve">第二级折算把物理词元换算为标准词元，这一级是经济关系而非技术关系。按第 5 章式(5-7)的公理化结论，效值系数为三维效值的幂积形式；把它与式(9-1)相乘，即得本章的核心变量——单位算力的有效标准词元产出，亦即转化效率 </w:t>
      </w:r>
      <m:oMath>
        <m:sSub>
          <m:e>
            <m:r>
              <m:t>θ</m:t>
            </m:r>
          </m:e>
          <m:sub>
            <m:r>
              <m:t>m</m:t>
            </m:r>
          </m:sub>
        </m:sSub>
      </m:oMath>
      <w:r>
        <w:rPr>
          <w:rFonts w:ascii="宋体" w:hAnsi="宋体" w:eastAsia="宋体"/>
          <w:sz w:val="24"/>
        </w:rPr>
        <w:t>，见式(9-2)。</w:t>
      </w:r>
    </w:p>
    <w:p>
      <w:pPr>
        <w:tabs>
          <w:tab w:pos="4252" w:val="center"/>
          <w:tab w:pos="8504" w:val="right"/>
        </w:tabs>
        <w:spacing w:line="360" w:lineRule="auto" w:before="80" w:after="80"/>
      </w:pPr>
      <w:r>
        <w:tab/>
      </w:r>
      <m:oMath>
        <m:sSub>
          <m:e>
            <m:r>
              <m:t>θ</m:t>
            </m:r>
          </m:e>
          <m:sub>
            <m:r>
              <m:t>m</m:t>
            </m:r>
          </m:sub>
        </m:sSub>
        <m:r>
          <m:rPr>
            <m:sty m:val="p"/>
          </m:rPr>
          <m:t>=</m:t>
        </m:r>
        <m:sSub>
          <m:e>
            <m:r>
              <m:t>η</m:t>
            </m:r>
          </m:e>
          <m:sub>
            <m:r>
              <m:t>m</m:t>
            </m:r>
          </m:sub>
        </m:sSub>
        <m:r>
          <m:t> </m:t>
        </m:r>
        <m:sSubSup>
          <m:e>
            <m:r>
              <m:t>θ</m:t>
            </m:r>
          </m:e>
          <m:sub>
            <m:r>
              <m:t>m</m:t>
            </m:r>
          </m:sub>
          <m:sup>
            <m:r>
              <m:rPr>
                <m:sty m:val="p"/>
              </m:rPr>
              <m:t>p</m:t>
            </m:r>
            <m:r>
              <m:rPr>
                <m:sty m:val="p"/>
              </m:rPr>
              <m:t>h</m:t>
            </m:r>
            <m:r>
              <m:rPr>
                <m:sty m:val="p"/>
              </m:rPr>
              <m:t>y</m:t>
            </m:r>
          </m:sup>
        </m:sSubSup>
        <m:r>
          <m:rPr>
            <m:sty m:val="p"/>
          </m:rPr>
          <m:t>=</m:t>
        </m:r>
        <m:r>
          <m:rPr>
            <m:sty m:val="p"/>
          </m:rPr>
          <m:t>𝜍</m:t>
        </m:r>
        <m:r>
          <m:t> </m:t>
        </m:r>
        <m:f>
          <m:fPr>
            <m:type m:val="bar"/>
          </m:fPr>
          <m:num>
            <m:sSub>
              <m:e>
                <m:r>
                  <m:t>η</m:t>
                </m:r>
              </m:e>
              <m:sub>
                <m:r>
                  <m:t>m</m:t>
                </m:r>
              </m:sub>
            </m:sSub>
            <m:r>
              <m:t> </m:t>
            </m:r>
            <m:sSub>
              <m:e>
                <m:r>
                  <m:t>u</m:t>
                </m:r>
              </m:e>
              <m:sub>
                <m:r>
                  <m:t>m</m:t>
                </m:r>
              </m:sub>
            </m:sSub>
          </m:num>
          <m:den>
            <m:sSub>
              <m:e>
                <m:r>
                  <m:t>f</m:t>
                </m:r>
              </m:e>
              <m:sub>
                <m:r>
                  <m:t>m</m:t>
                </m:r>
              </m:sub>
            </m:sSub>
            <m:d>
              <m:dPr>
                <m:begChr m:val="("/>
                <m:endChr m:val=")"/>
                <m:grow/>
              </m:dPr>
              <m:e>
                <m:acc>
                  <m:accPr>
                    <m:chr m:val="‾"/>
                  </m:accPr>
                  <m:e>
                    <m:r>
                      <m:rPr>
                        <m:sty m:val="p"/>
                      </m:rPr>
                      <m:t>ℓ</m:t>
                    </m:r>
                  </m:e>
                </m:acc>
              </m:e>
            </m:d>
          </m:den>
        </m:f>
        <m:r>
          <m:rPr>
            <m:sty m:val="p"/>
          </m:rPr>
          <m:t>,</m:t>
        </m:r>
        <m:r>
          <m:t>  </m:t>
        </m:r>
        <m:sSub>
          <m:e>
            <m:r>
              <m:t>η</m:t>
            </m:r>
          </m:e>
          <m:sub>
            <m:r>
              <m:t>m</m:t>
            </m:r>
          </m:sub>
        </m:sSub>
        <m:r>
          <m:rPr>
            <m:sty m:val="p"/>
          </m:rPr>
          <m:t>=</m:t>
        </m:r>
        <m:sSubSup>
          <m:e>
            <m:r>
              <m:t>P</m:t>
            </m:r>
          </m:e>
          <m:sub>
            <m:r>
              <m:t>m</m:t>
            </m:r>
          </m:sub>
          <m:sup>
            <m:r>
              <m:t> </m:t>
            </m:r>
            <m:sSub>
              <m:e>
                <m:r>
                  <m:t>w</m:t>
                </m:r>
              </m:e>
              <m:sub>
                <m:r>
                  <m:t>P</m:t>
                </m:r>
              </m:sub>
            </m:sSub>
          </m:sup>
        </m:sSubSup>
        <m:sSubSup>
          <m:e>
            <m:r>
              <m:t>R</m:t>
            </m:r>
          </m:e>
          <m:sub>
            <m:r>
              <m:t>m</m:t>
            </m:r>
          </m:sub>
          <m:sup>
            <m:r>
              <m:t> </m:t>
            </m:r>
            <m:sSub>
              <m:e>
                <m:r>
                  <m:t>w</m:t>
                </m:r>
              </m:e>
              <m:sub>
                <m:r>
                  <m:t>R</m:t>
                </m:r>
              </m:sub>
            </m:sSub>
          </m:sup>
        </m:sSubSup>
        <m:sSubSup>
          <m:e>
            <m:r>
              <m:t>S</m:t>
            </m:r>
          </m:e>
          <m:sub>
            <m:r>
              <m:t>m</m:t>
            </m:r>
          </m:sub>
          <m:sup>
            <m:r>
              <m:t> </m:t>
            </m:r>
            <m:sSub>
              <m:e>
                <m:r>
                  <m:t>w</m:t>
                </m:r>
              </m:e>
              <m:sub>
                <m:r>
                  <m:t>S</m:t>
                </m:r>
              </m:sub>
            </m:sSub>
          </m:sup>
        </m:sSubSup>
      </m:oMath>
      <w:r>
        <w:tab/>
      </w:r>
      <w:r>
        <w:rPr>
          <w:rFonts w:ascii="Times New Roman" w:hAnsi="Times New Roman" w:eastAsia="宋体"/>
          <w:sz w:val="24"/>
        </w:rPr>
        <w:t>(9-2)</w:t>
      </w:r>
    </w:p>
    <w:p>
      <w:pPr>
        <w:spacing w:line="360" w:lineRule="auto" w:after="0"/>
        <w:jc w:val="both"/>
      </w:pPr>
      <w:r>
        <w:rPr>
          <w:rFonts w:ascii="宋体" w:hAnsi="宋体" w:eastAsia="宋体"/>
          <w:sz w:val="24"/>
        </w:rPr>
        <w:t>其中，</w:t>
      </w:r>
      <m:oMath>
        <m:sSub>
          <m:e>
            <m:r>
              <m:t>η</m:t>
            </m:r>
          </m:e>
          <m:sub>
            <m:r>
              <m:t>m</m:t>
            </m:r>
          </m:sub>
        </m:sSub>
      </m:oMath>
      <w:r>
        <w:rPr>
          <w:rFonts w:ascii="宋体" w:hAnsi="宋体" w:eastAsia="宋体"/>
          <w:sz w:val="24"/>
        </w:rPr>
        <w:t>为档位</w:t>
      </w:r>
      <m:oMath>
        <m:r>
          <m:t>m</m:t>
        </m:r>
      </m:oMath>
      <w:r>
        <w:rPr>
          <w:rFonts w:ascii="宋体" w:hAnsi="宋体" w:eastAsia="宋体"/>
          <w:sz w:val="24"/>
        </w:rPr>
        <w:t>的效值系数，</w:t>
      </w:r>
      <m:oMath>
        <m:sSub>
          <m:e>
            <m:r>
              <m:t>w</m:t>
            </m:r>
          </m:e>
          <m:sub>
            <m:r>
              <m:t>P</m:t>
            </m:r>
          </m:sub>
        </m:sSub>
      </m:oMath>
      <w:r>
        <w:rPr>
          <w:rFonts w:ascii="宋体" w:hAnsi="宋体" w:eastAsia="宋体"/>
          <w:sz w:val="24"/>
        </w:rPr>
        <w:t>、</w:t>
      </w:r>
      <m:oMath>
        <m:sSub>
          <m:e>
            <m:r>
              <m:t>w</m:t>
            </m:r>
          </m:e>
          <m:sub>
            <m:r>
              <m:t>R</m:t>
            </m:r>
          </m:sub>
        </m:sSub>
      </m:oMath>
      <w:r>
        <w:rPr>
          <w:rFonts w:ascii="宋体" w:hAnsi="宋体" w:eastAsia="宋体"/>
          <w:sz w:val="24"/>
        </w:rPr>
        <w:t>、</w:t>
      </w:r>
      <m:oMath>
        <m:sSub>
          <m:e>
            <m:r>
              <m:t>w</m:t>
            </m:r>
          </m:e>
          <m:sub>
            <m:r>
              <m:t>S</m:t>
            </m:r>
          </m:sub>
        </m:sSub>
      </m:oMath>
      <w:r>
        <w:rPr>
          <w:rFonts w:ascii="宋体" w:hAnsi="宋体" w:eastAsia="宋体"/>
          <w:sz w:val="24"/>
        </w:rPr>
        <w:t xml:space="preserve">为第 5 章标定的三维权重，满足 </w:t>
      </w:r>
      <m:oMath>
        <m:sSub>
          <m:e>
            <m:r>
              <m:t>w</m:t>
            </m:r>
          </m:e>
          <m:sub>
            <m:r>
              <m:t>P</m:t>
            </m:r>
          </m:sub>
        </m:sSub>
        <m:r>
          <m:rPr>
            <m:sty m:val="p"/>
          </m:rPr>
          <m:t>+</m:t>
        </m:r>
        <m:sSub>
          <m:e>
            <m:r>
              <m:t>w</m:t>
            </m:r>
          </m:e>
          <m:sub>
            <m:r>
              <m:t>R</m:t>
            </m:r>
          </m:sub>
        </m:sSub>
        <m:r>
          <m:rPr>
            <m:sty m:val="p"/>
          </m:rPr>
          <m:t>+</m:t>
        </m:r>
        <m:sSub>
          <m:e>
            <m:r>
              <m:t>w</m:t>
            </m:r>
          </m:e>
          <m:sub>
            <m:r>
              <m:t>S</m:t>
            </m:r>
          </m:sub>
        </m:sSub>
        <m:r>
          <m:rPr>
            <m:sty m:val="p"/>
          </m:rPr>
          <m:t>=</m:t>
        </m:r>
        <m:r>
          <m:t>1</m:t>
        </m:r>
      </m:oMath>
      <w:r>
        <w:rPr>
          <w:rFonts w:ascii="宋体" w:hAnsi="宋体" w:eastAsia="宋体"/>
          <w:sz w:val="24"/>
        </w:rPr>
        <w:t>；</w:t>
      </w:r>
      <m:oMath>
        <m:sSub>
          <m:e>
            <m:r>
              <m:t>θ</m:t>
            </m:r>
          </m:e>
          <m:sub>
            <m:r>
              <m:t>m</m:t>
            </m:r>
          </m:sub>
        </m:sSub>
      </m:oMath>
      <w:r>
        <w:rPr>
          <w:rFonts w:ascii="宋体" w:hAnsi="宋体" w:eastAsia="宋体"/>
          <w:sz w:val="24"/>
        </w:rPr>
        <w:t>的量纲为标准词元枚数／(PFLOPS·h)。</w:t>
      </w:r>
    </w:p>
    <w:p>
      <w:pPr>
        <w:spacing w:line="360" w:lineRule="auto" w:after="0"/>
        <w:ind w:firstLineChars="200" w:firstLine="480"/>
        <w:jc w:val="both"/>
      </w:pPr>
      <w:r>
        <w:rPr>
          <w:rFonts w:ascii="宋体" w:hAnsi="宋体" w:eastAsia="宋体"/>
          <w:sz w:val="24"/>
        </w:rPr>
        <w:t>式(9-2)是第 5 章折算体系在配置分析中的第一个实质性应用。它把一个此前无法回答的问题变成了一个可以计算的量：同一片算力投向不同档位，究竟能产出多少「等值」的词元？本书六档位的校准复算结果为：轻量蒸馏级42.0、中型通用级18.5、开源旗舰级9.2、旗舰闭源级5.4、推理增强级3.1、多模态级6.8（单位：万枚标准词元／(PFLOPS·h)）。极差达13.5倍——同样一个 PFLOPS·h 的算力，投向轻量蒸馏级所产出的标准词元数量是投向推理增强级的13.5倍。</w:t>
      </w:r>
    </w:p>
    <w:p>
      <w:pPr>
        <w:keepNext/>
        <w:spacing w:before="160" w:after="120" w:line="360" w:lineRule="auto"/>
        <w:outlineLvl w:val="2"/>
      </w:pPr>
      <w:r>
        <w:rPr>
          <w:rFonts w:ascii="黑体" w:hAnsi="黑体" w:eastAsia="黑体"/>
          <w:sz w:val="24"/>
        </w:rPr>
        <w:t>9.1.3  转化效率的三条性质</w:t>
      </w:r>
    </w:p>
    <w:p>
      <w:pPr>
        <w:spacing w:line="360" w:lineRule="auto" w:after="0"/>
        <w:ind w:firstLineChars="200" w:firstLine="480"/>
        <w:jc w:val="both"/>
      </w:pPr>
      <w:r>
        <w:rPr>
          <w:rFonts w:ascii="宋体" w:hAnsi="宋体" w:eastAsia="宋体"/>
          <w:sz w:val="24"/>
        </w:rPr>
        <w:t xml:space="preserve">转化效率随档位单调递减这一事实，极易被误读为「大模型低效」。要辨明其真实含义，需要考察 </w:t>
      </w:r>
      <m:oMath>
        <m:sSub>
          <m:e>
            <m:r>
              <m:t>θ</m:t>
            </m:r>
          </m:e>
          <m:sub>
            <m:r>
              <m:t>m</m:t>
            </m:r>
          </m:sub>
        </m:sSub>
      </m:oMath>
      <w:r>
        <w:rPr>
          <w:rFonts w:ascii="宋体" w:hAnsi="宋体" w:eastAsia="宋体"/>
          <w:sz w:val="24"/>
        </w:rPr>
        <w:t xml:space="preserve"> 对算力强度 </w:t>
      </w:r>
      <m:oMath>
        <m:sSub>
          <m:e>
            <m:r>
              <m:t>P</m:t>
            </m:r>
          </m:e>
          <m:sub>
            <m:r>
              <m:t>m</m:t>
            </m:r>
          </m:sub>
        </m:sSub>
      </m:oMath>
      <w:r>
        <w:rPr>
          <w:rFonts w:ascii="宋体" w:hAnsi="宋体" w:eastAsia="宋体"/>
          <w:sz w:val="24"/>
        </w:rPr>
        <w:t xml:space="preserve"> 的弹性。注意到式(9-1)的分母 </w:t>
      </w:r>
      <m:oMath>
        <m:sSub>
          <m:e>
            <m:r>
              <m:t>f</m:t>
            </m:r>
          </m:e>
          <m:sub>
            <m:r>
              <m:t>m</m:t>
            </m:r>
          </m:sub>
        </m:sSub>
      </m:oMath>
      <w:r>
        <w:rPr>
          <w:rFonts w:ascii="宋体" w:hAnsi="宋体" w:eastAsia="宋体"/>
          <w:sz w:val="24"/>
        </w:rPr>
        <w:t xml:space="preserve"> 恰是算力强度的定义式所归一的对象（第 5 章式(5-3)），即 </w:t>
      </w:r>
      <m:oMath>
        <m:sSub>
          <m:e>
            <m:r>
              <m:t>f</m:t>
            </m:r>
          </m:e>
          <m:sub>
            <m:r>
              <m:t>m</m:t>
            </m:r>
          </m:sub>
        </m:sSub>
        <m:r>
          <m:rPr>
            <m:sty m:val="p"/>
          </m:rPr>
          <m:t>∝</m:t>
        </m:r>
        <m:sSub>
          <m:e>
            <m:r>
              <m:t>P</m:t>
            </m:r>
          </m:e>
          <m:sub>
            <m:r>
              <m:t>m</m:t>
            </m:r>
          </m:sub>
        </m:sSub>
      </m:oMath>
      <w:r>
        <w:rPr>
          <w:rFonts w:ascii="宋体" w:hAnsi="宋体" w:eastAsia="宋体"/>
          <w:sz w:val="24"/>
        </w:rPr>
        <w:t xml:space="preserve">，对式(9-2)两端取对数并对 </w:t>
      </w:r>
      <m:oMath>
        <m:r>
          <m:rPr>
            <m:sty m:val="p"/>
          </m:rPr>
          <m:t>ln</m:t>
        </m:r>
        <m:sSub>
          <m:e>
            <m:r>
              <m:t>P</m:t>
            </m:r>
          </m:e>
          <m:sub>
            <m:r>
              <m:t>m</m:t>
            </m:r>
          </m:sub>
        </m:sSub>
      </m:oMath>
      <w:r>
        <w:rPr>
          <w:rFonts w:ascii="宋体" w:hAnsi="宋体" w:eastAsia="宋体"/>
          <w:sz w:val="24"/>
        </w:rPr>
        <w:t xml:space="preserve"> 求导，得到性质一，见式(9-3)。</w:t>
      </w:r>
    </w:p>
    <w:p>
      <w:pPr>
        <w:tabs>
          <w:tab w:pos="4252" w:val="center"/>
          <w:tab w:pos="8504" w:val="right"/>
        </w:tabs>
        <w:spacing w:line="360" w:lineRule="auto" w:before="80" w:after="80"/>
      </w:pPr>
      <w:r>
        <w:tab/>
      </w:r>
      <m:oMath>
        <m:f>
          <m:fPr>
            <m:type m:val="bar"/>
          </m:fPr>
          <m:num>
            <m:r>
              <m:rPr>
                <m:sty m:val="p"/>
              </m:rPr>
              <m:t>∂</m:t>
            </m:r>
            <m:r>
              <m:rPr>
                <m:sty m:val="p"/>
              </m:rPr>
              <m:t>ln</m:t>
            </m:r>
            <m:sSub>
              <m:e>
                <m:r>
                  <m:t>θ</m:t>
                </m:r>
              </m:e>
              <m:sub>
                <m:r>
                  <m:t>m</m:t>
                </m:r>
              </m:sub>
            </m:sSub>
          </m:num>
          <m:den>
            <m:r>
              <m:rPr>
                <m:sty m:val="p"/>
              </m:rPr>
              <m:t>∂</m:t>
            </m:r>
            <m:r>
              <m:rPr>
                <m:sty m:val="p"/>
              </m:rPr>
              <m:t>ln</m:t>
            </m:r>
            <m:sSub>
              <m:e>
                <m:r>
                  <m:t>P</m:t>
                </m:r>
              </m:e>
              <m:sub>
                <m:r>
                  <m:t>m</m:t>
                </m:r>
              </m:sub>
            </m:sSub>
          </m:den>
        </m:f>
        <m:r>
          <m:rPr>
            <m:sty m:val="p"/>
          </m:rPr>
          <m:t>=</m:t>
        </m:r>
        <m:d>
          <m:dPr>
            <m:begChr m:val="("/>
            <m:endChr m:val=")"/>
            <m:grow/>
          </m:dPr>
          <m:e>
            <m:sSub>
              <m:e>
                <m:r>
                  <m:t>w</m:t>
                </m:r>
              </m:e>
              <m:sub>
                <m:r>
                  <m:t>P</m:t>
                </m:r>
              </m:sub>
            </m:sSub>
            <m:r>
              <m:rPr>
                <m:sty m:val="p"/>
              </m:rPr>
              <m:t>−</m:t>
            </m:r>
            <m:r>
              <m:t>1</m:t>
            </m:r>
          </m:e>
        </m:d>
        <m:r>
          <m:rPr>
            <m:sty m:val="p"/>
          </m:rPr>
          <m:t>+</m:t>
        </m:r>
        <m:f>
          <m:fPr>
            <m:type m:val="bar"/>
          </m:fPr>
          <m:num>
            <m:r>
              <m:rPr>
                <m:sty m:val="p"/>
              </m:rPr>
              <m:t>∂</m:t>
            </m:r>
            <m:r>
              <m:rPr>
                <m:sty m:val="p"/>
              </m:rPr>
              <m:t>ln</m:t>
            </m:r>
            <m:sSub>
              <m:e>
                <m:r>
                  <m:t>u</m:t>
                </m:r>
              </m:e>
              <m:sub>
                <m:r>
                  <m:t>m</m:t>
                </m:r>
              </m:sub>
            </m:sSub>
          </m:num>
          <m:den>
            <m:r>
              <m:rPr>
                <m:sty m:val="p"/>
              </m:rPr>
              <m:t>∂</m:t>
            </m:r>
            <m:r>
              <m:rPr>
                <m:sty m:val="p"/>
              </m:rPr>
              <m:t>ln</m:t>
            </m:r>
            <m:sSub>
              <m:e>
                <m:r>
                  <m:t>P</m:t>
                </m:r>
              </m:e>
              <m:sub>
                <m:r>
                  <m:t>m</m:t>
                </m:r>
              </m:sub>
            </m:sSub>
          </m:den>
        </m:f>
        <m:r>
          <m:t> </m:t>
        </m:r>
        <m:r>
          <m:rPr>
            <m:sty m:val="p"/>
          </m:rPr>
          <m:t>&lt;</m:t>
        </m:r>
        <m:r>
          <m:t> </m:t>
        </m:r>
        <m:r>
          <m:t>0</m:t>
        </m:r>
        <m:r>
          <m:rPr>
            <m:sty m:val="p"/>
          </m:rPr>
          <m:t>,</m:t>
        </m:r>
        <m:r>
          <m:t>  </m:t>
        </m:r>
        <m:r>
          <m:t>0</m:t>
        </m:r>
        <m:r>
          <m:rPr>
            <m:sty m:val="p"/>
          </m:rPr>
          <m:t>&lt;</m:t>
        </m:r>
        <m:sSub>
          <m:e>
            <m:r>
              <m:t>w</m:t>
            </m:r>
          </m:e>
          <m:sub>
            <m:r>
              <m:t>P</m:t>
            </m:r>
          </m:sub>
        </m:sSub>
        <m:r>
          <m:rPr>
            <m:sty m:val="p"/>
          </m:rPr>
          <m:t>&lt;</m:t>
        </m:r>
        <m:r>
          <m:t>1</m:t>
        </m:r>
      </m:oMath>
      <w:r>
        <w:tab/>
      </w:r>
      <w:r>
        <w:rPr>
          <w:rFonts w:ascii="Times New Roman" w:hAnsi="Times New Roman" w:eastAsia="宋体"/>
          <w:sz w:val="24"/>
        </w:rPr>
        <w:t>(9-3)</w:t>
      </w:r>
    </w:p>
    <w:p>
      <w:pPr>
        <w:spacing w:line="360" w:lineRule="auto" w:after="0"/>
        <w:jc w:val="both"/>
      </w:pPr>
      <w:r>
        <w:rPr>
          <w:rFonts w:ascii="宋体" w:hAnsi="宋体" w:eastAsia="宋体"/>
          <w:sz w:val="24"/>
        </w:rPr>
        <w:t>其中，第一项为效值对算力强度的弹性与单位弹性之差，第二项为有效算力利用率对算力强度的弹性；后者在推理场景中同样为负，因为参数规模更大的模型在解码阶段更受显存带宽约束，硬件效率随规模下降。</w:t>
      </w:r>
    </w:p>
    <w:p>
      <w:pPr>
        <w:spacing w:line="360" w:lineRule="auto" w:after="0"/>
        <w:ind w:firstLineChars="200" w:firstLine="480"/>
        <w:jc w:val="both"/>
      </w:pPr>
      <w:r>
        <w:rPr>
          <w:rFonts w:ascii="宋体" w:hAnsi="宋体" w:eastAsia="宋体"/>
          <w:sz w:val="24"/>
        </w:rPr>
        <w:t xml:space="preserve">第 5 章标定的 </w:t>
      </w:r>
      <m:oMath>
        <m:sSub>
          <m:e>
            <m:r>
              <m:t>w</m:t>
            </m:r>
          </m:e>
          <m:sub>
            <m:r>
              <m:t>P</m:t>
            </m:r>
          </m:sub>
        </m:sSub>
      </m:oMath>
      <w:r>
        <w:rPr>
          <w:rFonts w:ascii="宋体" w:hAnsi="宋体" w:eastAsia="宋体"/>
          <w:sz w:val="24"/>
        </w:rPr>
        <w:t>＝0.4383，故式(9-3)第一项为−0.5617，本身已足以保证弹性为负。其经济含义是本章的第一条基本判断：</w:t>
      </w:r>
      <w:r>
        <w:rPr>
          <w:rFonts w:ascii="宋体" w:hAnsi="宋体" w:eastAsia="宋体"/>
          <w:b/>
          <w:sz w:val="24"/>
        </w:rPr>
        <w:t>效值对算力强度的弹性显著小于 1</w:t>
      </w:r>
      <w:r>
        <w:rPr>
          <w:rFonts w:ascii="宋体" w:hAnsi="宋体" w:eastAsia="宋体"/>
          <w:sz w:val="24"/>
        </w:rPr>
        <w:t>——把算力强度提高一倍，效值只提高约35.5%，而算力消耗提高 100%。因此，把算力投向更大的模型，单位算力的标准词元产出必然下降；这不是低效率，而是词元生产的基本技术事实。反过来说，</w:t>
      </w:r>
      <m:oMath>
        <m:sSub>
          <m:e>
            <m:r>
              <m:t>θ</m:t>
            </m:r>
          </m:e>
          <m:sub>
            <m:r>
              <m:t>m</m:t>
            </m:r>
          </m:sub>
        </m:sSub>
      </m:oMath>
      <w:r>
        <w:rPr>
          <w:rFonts w:ascii="宋体" w:hAnsi="宋体" w:eastAsia="宋体"/>
          <w:sz w:val="24"/>
        </w:rPr>
        <w:t xml:space="preserve"> 的高低本身不构成价值判断：轻量蒸馏级的转化效率最高，但它无法承接需要长链推理的任务；推理增强级的转化效率最低，但它是某些任务的唯一可行选项。真正的浪费不在于「使用了低 </w:t>
      </w:r>
      <m:oMath>
        <m:r>
          <m:t>θ</m:t>
        </m:r>
      </m:oMath>
      <w:r>
        <w:rPr>
          <w:rFonts w:ascii="宋体" w:hAnsi="宋体" w:eastAsia="宋体"/>
          <w:sz w:val="24"/>
        </w:rPr>
        <w:t xml:space="preserve"> 的档位」，而在于「在不需要低 </w:t>
      </w:r>
      <m:oMath>
        <m:r>
          <m:t>θ</m:t>
        </m:r>
      </m:oMath>
      <w:r>
        <w:rPr>
          <w:rFonts w:ascii="宋体" w:hAnsi="宋体" w:eastAsia="宋体"/>
          <w:sz w:val="24"/>
        </w:rPr>
        <w:t xml:space="preserve"> 档位的场合使用了它」。这一区分是 9.3 节匹配问题的逻辑前提。</w:t>
      </w:r>
    </w:p>
    <w:p>
      <w:pPr>
        <w:spacing w:line="360" w:lineRule="auto" w:after="0"/>
        <w:ind w:firstLineChars="200" w:firstLine="480"/>
        <w:jc w:val="both"/>
      </w:pPr>
      <w:r>
        <w:rPr>
          <w:rFonts w:ascii="宋体" w:hAnsi="宋体" w:eastAsia="宋体"/>
          <w:sz w:val="24"/>
        </w:rPr>
        <w:t xml:space="preserve">性质二是转化效率与价格的对偶关系。把式(9-2)与第 7 章式(7-7)的标准词元价格定义 </w:t>
      </w:r>
      <m:oMath>
        <m:sSub>
          <m:e>
            <m:acc>
              <m:accPr>
                <m:chr m:val="̃"/>
              </m:accPr>
              <m:e>
                <m:r>
                  <m:t>p</m:t>
                </m:r>
              </m:e>
            </m:acc>
          </m:e>
          <m:sub>
            <m:r>
              <m:t>m</m:t>
            </m:r>
          </m:sub>
        </m:sSub>
        <m:r>
          <m:rPr>
            <m:sty m:val="p"/>
          </m:rPr>
          <m:t>=</m:t>
        </m:r>
        <m:sSub>
          <m:e>
            <m:r>
              <m:t>p</m:t>
            </m:r>
          </m:e>
          <m:sub>
            <m:r>
              <m:t>m</m:t>
            </m:r>
          </m:sub>
        </m:sSub>
        <m:r>
          <m:rPr>
            <m:sty m:val="p"/>
          </m:rPr>
          <m:t>/</m:t>
        </m:r>
        <m:sSub>
          <m:e>
            <m:r>
              <m:t>η</m:t>
            </m:r>
          </m:e>
          <m:sub>
            <m:r>
              <m:t>m</m:t>
            </m:r>
          </m:sub>
        </m:sSub>
      </m:oMath>
      <w:r>
        <w:rPr>
          <w:rFonts w:ascii="宋体" w:hAnsi="宋体" w:eastAsia="宋体"/>
          <w:sz w:val="24"/>
        </w:rPr>
        <w:t xml:space="preserve"> 并置可见，单位算力的标准词元产出与单位标准词元的算力成本互为倒数：转化效率每提高 1%，在其他条件不变时单位标准词元的算力成本下降约 1%。这把本章的配置分析与第 7 章的定价分析直接连通——调度水平不仅决定资源是否被浪费，还通过式(7-1)中作为分母的利用率直接抬高或压低价格地板。换言之，配置效率是价格地板的技术决定因素之一，调度改进具有天然的价格外溢效应。</w:t>
      </w:r>
    </w:p>
    <w:p>
      <w:pPr>
        <w:spacing w:line="360" w:lineRule="auto" w:after="0"/>
        <w:ind w:firstLineChars="200" w:firstLine="480"/>
        <w:jc w:val="both"/>
      </w:pPr>
      <w:r>
        <w:rPr>
          <w:rFonts w:ascii="宋体" w:hAnsi="宋体" w:eastAsia="宋体"/>
          <w:sz w:val="24"/>
        </w:rPr>
        <w:t xml:space="preserve">性质三是转化效率的可分解性。式(9-2)把 </w:t>
      </w:r>
      <m:oMath>
        <m:sSub>
          <m:e>
            <m:r>
              <m:t>θ</m:t>
            </m:r>
          </m:e>
          <m:sub>
            <m:r>
              <m:t>m</m:t>
            </m:r>
          </m:sub>
        </m:sSub>
      </m:oMath>
      <w:r>
        <w:rPr>
          <w:rFonts w:ascii="宋体" w:hAnsi="宋体" w:eastAsia="宋体"/>
          <w:sz w:val="24"/>
        </w:rPr>
        <w:t xml:space="preserve"> 分解为三个相互独立的乘数：效值 </w:t>
      </w:r>
      <m:oMath>
        <m:sSub>
          <m:e>
            <m:r>
              <m:t>η</m:t>
            </m:r>
          </m:e>
          <m:sub>
            <m:r>
              <m:t>m</m:t>
            </m:r>
          </m:sub>
        </m:sSub>
      </m:oMath>
      <w:r>
        <w:rPr>
          <w:rFonts w:ascii="宋体" w:hAnsi="宋体" w:eastAsia="宋体"/>
          <w:sz w:val="24"/>
        </w:rPr>
        <w:t xml:space="preserve">（模型能力与场景匹配决定）、有效算力利用率 </w:t>
      </w:r>
      <m:oMath>
        <m:sSub>
          <m:e>
            <m:r>
              <m:t>u</m:t>
            </m:r>
          </m:e>
          <m:sub>
            <m:r>
              <m:t>m</m:t>
            </m:r>
          </m:sub>
        </m:sSub>
      </m:oMath>
      <w:r>
        <w:rPr>
          <w:rFonts w:ascii="宋体" w:hAnsi="宋体" w:eastAsia="宋体"/>
          <w:sz w:val="24"/>
        </w:rPr>
        <w:t xml:space="preserve">（调度与系统工程决定）、单位词元浮点运算量 </w:t>
      </w:r>
      <m:oMath>
        <m:sSub>
          <m:e>
            <m:r>
              <m:t>f</m:t>
            </m:r>
          </m:e>
          <m:sub>
            <m:r>
              <m:t>m</m:t>
            </m:r>
          </m:sub>
        </m:sSub>
      </m:oMath>
      <w:r>
        <w:rPr>
          <w:rFonts w:ascii="宋体" w:hAnsi="宋体" w:eastAsia="宋体"/>
          <w:sz w:val="24"/>
        </w:rPr>
        <w:t>（模型结构与上下文长度决定）。三者分属不同的责任主体：</w:t>
      </w:r>
      <m:oMath>
        <m:sSub>
          <m:e>
            <m:r>
              <m:t>η</m:t>
            </m:r>
          </m:e>
          <m:sub>
            <m:r>
              <m:t>m</m:t>
            </m:r>
          </m:sub>
        </m:sSub>
      </m:oMath>
      <w:r>
        <w:rPr>
          <w:rFonts w:ascii="宋体" w:hAnsi="宋体" w:eastAsia="宋体"/>
          <w:sz w:val="24"/>
        </w:rPr>
        <w:t xml:space="preserve"> 由模型研发方与应用方共同决定，</w:t>
      </w:r>
      <m:oMath>
        <m:sSub>
          <m:e>
            <m:r>
              <m:t>u</m:t>
            </m:r>
          </m:e>
          <m:sub>
            <m:r>
              <m:t>m</m:t>
            </m:r>
          </m:sub>
        </m:sSub>
      </m:oMath>
      <w:r>
        <w:rPr>
          <w:rFonts w:ascii="宋体" w:hAnsi="宋体" w:eastAsia="宋体"/>
          <w:sz w:val="24"/>
        </w:rPr>
        <w:t xml:space="preserve"> 由算力运营方与调度平台决定，</w:t>
      </w:r>
      <m:oMath>
        <m:sSub>
          <m:e>
            <m:r>
              <m:t>f</m:t>
            </m:r>
          </m:e>
          <m:sub>
            <m:r>
              <m:t>m</m:t>
            </m:r>
          </m:sub>
        </m:sSub>
      </m:oMath>
      <w:r>
        <w:rPr>
          <w:rFonts w:ascii="宋体" w:hAnsi="宋体" w:eastAsia="宋体"/>
          <w:sz w:val="24"/>
        </w:rPr>
        <w:t xml:space="preserve"> 由模型研发方与推理系统决定。把本书校准的转化效率与三维效值相对照可以看到，档位间转化效率之比并不等于效值—算力强度之比：以中型通用级为基准，轻量蒸馏级的转化效率之比为2.27，而效值—算力强度之比仅为1.73；推理增强级的两个比值分别为0.168与0.510。两组比值的系统性差异，正是有效算力利用率 </w:t>
      </w:r>
      <m:oMath>
        <m:sSub>
          <m:e>
            <m:r>
              <m:t>u</m:t>
            </m:r>
          </m:e>
          <m:sub>
            <m:r>
              <m:t>m</m:t>
            </m:r>
          </m:sub>
        </m:sSub>
      </m:oMath>
      <w:r>
        <w:rPr>
          <w:rFonts w:ascii="宋体" w:hAnsi="宋体" w:eastAsia="宋体"/>
          <w:sz w:val="24"/>
        </w:rPr>
        <w:t xml:space="preserve"> 随档位下降所贡献的：高档位不仅每枚词元更贵，而且把算力转成词元的过程本身也更「漏」。</w:t>
      </w:r>
    </w:p>
    <w:p>
      <w:pPr>
        <w:keepNext/>
        <w:spacing w:before="160" w:after="120" w:line="360" w:lineRule="auto"/>
        <w:outlineLvl w:val="2"/>
      </w:pPr>
      <w:r>
        <w:rPr>
          <w:rFonts w:ascii="黑体" w:hAnsi="黑体" w:eastAsia="黑体"/>
          <w:sz w:val="24"/>
        </w:rPr>
        <w:t>9.1.4  总量转化函数与配置向量</w:t>
      </w:r>
    </w:p>
    <w:p>
      <w:pPr>
        <w:spacing w:line="360" w:lineRule="auto" w:after="0"/>
        <w:ind w:firstLineChars="200" w:firstLine="480"/>
        <w:jc w:val="both"/>
      </w:pPr>
      <w:r>
        <w:rPr>
          <w:rFonts w:ascii="宋体" w:hAnsi="宋体" w:eastAsia="宋体"/>
          <w:sz w:val="24"/>
        </w:rPr>
        <w:t xml:space="preserve">把六个档位加总，即得算力—词元的总量转化函数。记算力存量为 </w:t>
      </w:r>
      <m:oMath>
        <m:acc>
          <m:accPr>
            <m:chr m:val="‾"/>
          </m:accPr>
          <m:e>
            <m:r>
              <m:t>C</m:t>
            </m:r>
          </m:e>
        </m:acc>
      </m:oMath>
      <w:r>
        <w:rPr>
          <w:rFonts w:ascii="宋体" w:hAnsi="宋体" w:eastAsia="宋体"/>
          <w:sz w:val="24"/>
        </w:rPr>
        <w:t xml:space="preserve">、名义算力利用率为 </w:t>
      </w:r>
      <m:oMath>
        <m:sSup>
          <m:e>
            <m:r>
              <m:t>u</m:t>
            </m:r>
          </m:e>
          <m:sup>
            <m:r>
              <m:rPr>
                <m:sty m:val="p"/>
              </m:rPr>
              <m:t>n</m:t>
            </m:r>
            <m:r>
              <m:rPr>
                <m:sty m:val="p"/>
              </m:rPr>
              <m:t>o</m:t>
            </m:r>
            <m:r>
              <m:rPr>
                <m:sty m:val="p"/>
              </m:rPr>
              <m:t>m</m:t>
            </m:r>
          </m:sup>
        </m:sSup>
      </m:oMath>
      <w:r>
        <w:rPr>
          <w:rFonts w:ascii="宋体" w:hAnsi="宋体" w:eastAsia="宋体"/>
          <w:sz w:val="24"/>
        </w:rPr>
        <w:t xml:space="preserve">、投入档位 </w:t>
      </w:r>
      <m:oMath>
        <m:r>
          <m:t>m</m:t>
        </m:r>
      </m:oMath>
      <w:r>
        <w:rPr>
          <w:rFonts w:ascii="宋体" w:hAnsi="宋体" w:eastAsia="宋体"/>
          <w:sz w:val="24"/>
        </w:rPr>
        <w:t xml:space="preserve"> 的算力份额为 </w:t>
      </w:r>
      <m:oMath>
        <m:sSub>
          <m:e>
            <m:r>
              <m:t>s</m:t>
            </m:r>
          </m:e>
          <m:sub>
            <m:r>
              <m:t>m</m:t>
            </m:r>
          </m:sub>
        </m:sSub>
      </m:oMath>
      <w:r>
        <w:rPr>
          <w:rFonts w:ascii="宋体" w:hAnsi="宋体" w:eastAsia="宋体"/>
          <w:sz w:val="24"/>
        </w:rPr>
        <w:t>，则一定时期内的标准词元流量如式(9-4)所示。</w:t>
      </w:r>
    </w:p>
    <w:p>
      <w:pPr>
        <w:tabs>
          <w:tab w:pos="4252" w:val="center"/>
          <w:tab w:pos="8504" w:val="right"/>
        </w:tabs>
        <w:spacing w:line="360" w:lineRule="auto" w:before="80" w:after="80"/>
      </w:pPr>
      <w:r>
        <w:tab/>
      </w:r>
      <m:oMath>
        <m:acc>
          <m:accPr>
            <m:chr m:val="̃"/>
          </m:accPr>
          <m:e>
            <m:r>
              <m:t>T</m:t>
            </m:r>
          </m:e>
        </m:acc>
        <m:r>
          <m:rPr>
            <m:sty m:val="p"/>
          </m:rPr>
          <m:t>=</m:t>
        </m:r>
        <m:r>
          <m:t>Δ</m:t>
        </m:r>
        <m:r>
          <m:t>t</m:t>
        </m:r>
        <m:nary>
          <m:naryPr>
            <m:chr m:val="∑"/>
            <m:limLoc m:val="undOvr"/>
            <m:subHide m:val="off"/>
            <m:supHide m:val="on"/>
          </m:naryPr>
          <m:sub>
            <m:r>
              <m:t>m</m:t>
            </m:r>
            <m:r>
              <m:rPr>
                <m:sty m:val="p"/>
              </m:rPr>
              <m:t>∈</m:t>
            </m:r>
            <m:r>
              <m:rPr>
                <m:scr m:val="script"/>
                <m:sty m:val="p"/>
              </m:rPr>
              <m:t>M</m:t>
            </m:r>
          </m:sub>
          <m:sup>
            <m:r>
              <m:t>​</m:t>
            </m:r>
          </m:sup>
          <m:e>
            <m:sSub>
              <m:e>
                <m:r>
                  <m:t>θ</m:t>
                </m:r>
              </m:e>
              <m:sub>
                <m:r>
                  <m:t>m</m:t>
                </m:r>
              </m:sub>
            </m:sSub>
          </m:e>
        </m:nary>
        <m:sSub>
          <m:e>
            <m:r>
              <m:t>C</m:t>
            </m:r>
          </m:e>
          <m:sub>
            <m:r>
              <m:t>m</m:t>
            </m:r>
          </m:sub>
        </m:sSub>
        <m:r>
          <m:rPr>
            <m:sty m:val="p"/>
          </m:rPr>
          <m:t>=</m:t>
        </m:r>
        <m:r>
          <m:t>Θ</m:t>
        </m:r>
        <m:r>
          <m:t>​</m:t>
        </m:r>
        <m:d>
          <m:dPr>
            <m:begChr m:val="("/>
            <m:endChr m:val=")"/>
            <m:grow/>
          </m:dPr>
          <m:e>
            <m:r>
              <m:rPr>
                <m:sty m:val="b"/>
              </m:rPr>
              <m:t>s</m:t>
            </m:r>
          </m:e>
        </m:d>
        <m:sSup>
          <m:e>
            <m:r>
              <m:t>u</m:t>
            </m:r>
          </m:e>
          <m:sup>
            <m:r>
              <m:rPr>
                <m:sty m:val="p"/>
              </m:rPr>
              <m:t>n</m:t>
            </m:r>
            <m:r>
              <m:rPr>
                <m:sty m:val="p"/>
              </m:rPr>
              <m:t>o</m:t>
            </m:r>
            <m:r>
              <m:rPr>
                <m:sty m:val="p"/>
              </m:rPr>
              <m:t>m</m:t>
            </m:r>
          </m:sup>
        </m:sSup>
        <m:acc>
          <m:accPr>
            <m:chr m:val="‾"/>
          </m:accPr>
          <m:e>
            <m:r>
              <m:t>C</m:t>
            </m:r>
          </m:e>
        </m:acc>
        <m:r>
          <m:t> </m:t>
        </m:r>
        <m:r>
          <m:t>Δ</m:t>
        </m:r>
        <m:r>
          <m:t>t</m:t>
        </m:r>
        <m:r>
          <m:rPr>
            <m:sty m:val="p"/>
          </m:rPr>
          <m:t>,</m:t>
        </m:r>
        <m:r>
          <m:t>  </m:t>
        </m:r>
        <m:r>
          <m:t>Θ</m:t>
        </m:r>
        <m:r>
          <m:t>​</m:t>
        </m:r>
        <m:d>
          <m:dPr>
            <m:begChr m:val="("/>
            <m:endChr m:val=")"/>
            <m:grow/>
          </m:dPr>
          <m:e>
            <m:r>
              <m:rPr>
                <m:sty m:val="b"/>
              </m:rPr>
              <m:t>s</m:t>
            </m:r>
          </m:e>
        </m:d>
        <m:r>
          <m:rPr>
            <m:sty m:val="p"/>
          </m:rPr>
          <m:t>=</m:t>
        </m:r>
        <m:nary>
          <m:naryPr>
            <m:chr m:val="∑"/>
            <m:limLoc m:val="undOvr"/>
            <m:subHide m:val="off"/>
            <m:supHide m:val="on"/>
          </m:naryPr>
          <m:sub>
            <m:r>
              <m:t>m</m:t>
            </m:r>
            <m:r>
              <m:rPr>
                <m:sty m:val="p"/>
              </m:rPr>
              <m:t>∈</m:t>
            </m:r>
            <m:r>
              <m:rPr>
                <m:scr m:val="script"/>
                <m:sty m:val="p"/>
              </m:rPr>
              <m:t>M</m:t>
            </m:r>
          </m:sub>
          <m:sup>
            <m:r>
              <m:t>​</m:t>
            </m:r>
          </m:sup>
          <m:e>
            <m:sSub>
              <m:e>
                <m:r>
                  <m:t>s</m:t>
                </m:r>
              </m:e>
              <m:sub>
                <m:r>
                  <m:t>m</m:t>
                </m:r>
              </m:sub>
            </m:sSub>
          </m:e>
        </m:nary>
        <m:sSub>
          <m:e>
            <m:r>
              <m:t>θ</m:t>
            </m:r>
          </m:e>
          <m:sub>
            <m:r>
              <m:t>m</m:t>
            </m:r>
          </m:sub>
        </m:sSub>
        <m:r>
          <m:rPr>
            <m:sty m:val="p"/>
          </m:rPr>
          <m:t>,</m:t>
        </m:r>
        <m:r>
          <m:t>  </m:t>
        </m:r>
        <m:nary>
          <m:naryPr>
            <m:chr m:val="∑"/>
            <m:limLoc m:val="undOvr"/>
            <m:subHide m:val="off"/>
            <m:supHide m:val="on"/>
          </m:naryPr>
          <m:sub>
            <m:r>
              <m:t>m</m:t>
            </m:r>
            <m:r>
              <m:rPr>
                <m:sty m:val="p"/>
              </m:rPr>
              <m:t>∈</m:t>
            </m:r>
            <m:r>
              <m:rPr>
                <m:scr m:val="script"/>
                <m:sty m:val="p"/>
              </m:rPr>
              <m:t>M</m:t>
            </m:r>
          </m:sub>
          <m:sup>
            <m:r>
              <m:t>​</m:t>
            </m:r>
          </m:sup>
          <m:e>
            <m:sSub>
              <m:e>
                <m:r>
                  <m:t>s</m:t>
                </m:r>
              </m:e>
              <m:sub>
                <m:r>
                  <m:t>m</m:t>
                </m:r>
              </m:sub>
            </m:sSub>
          </m:e>
        </m:nary>
        <m:r>
          <m:rPr>
            <m:sty m:val="p"/>
          </m:rPr>
          <m:t>=</m:t>
        </m:r>
        <m:r>
          <m:t>1</m:t>
        </m:r>
        <m:r>
          <m:rPr>
            <m:sty m:val="p"/>
          </m:rPr>
          <m:t>,</m:t>
        </m:r>
        <m:r>
          <m:t> </m:t>
        </m:r>
        <m:sSub>
          <m:e>
            <m:r>
              <m:t>s</m:t>
            </m:r>
          </m:e>
          <m:sub>
            <m:r>
              <m:t>m</m:t>
            </m:r>
          </m:sub>
        </m:sSub>
        <m:r>
          <m:rPr>
            <m:sty m:val="p"/>
          </m:rPr>
          <m:t>≥</m:t>
        </m:r>
        <m:r>
          <m:t>0</m:t>
        </m:r>
      </m:oMath>
      <w:r>
        <w:tab/>
      </w:r>
      <w:r>
        <w:rPr>
          <w:rFonts w:ascii="Times New Roman" w:hAnsi="Times New Roman" w:eastAsia="宋体"/>
          <w:sz w:val="24"/>
        </w:rPr>
        <w:t>(9-4)</w:t>
      </w:r>
    </w:p>
    <w:p>
      <w:pPr>
        <w:spacing w:line="360" w:lineRule="auto" w:after="0"/>
        <w:jc w:val="both"/>
      </w:pPr>
      <w:r>
        <w:rPr>
          <w:rFonts w:ascii="宋体" w:hAnsi="宋体" w:eastAsia="宋体"/>
          <w:sz w:val="24"/>
        </w:rPr>
        <w:t>其中，</w:t>
      </w:r>
      <m:oMath>
        <m:r>
          <m:rPr>
            <m:scr m:val="script"/>
            <m:sty m:val="p"/>
          </m:rPr>
          <m:t>M</m:t>
        </m:r>
      </m:oMath>
      <w:r>
        <w:rPr>
          <w:rFonts w:ascii="宋体" w:hAnsi="宋体" w:eastAsia="宋体"/>
          <w:sz w:val="24"/>
        </w:rPr>
        <w:t>为模型档位集合，</w:t>
      </w:r>
      <m:oMath>
        <m:sSub>
          <m:e>
            <m:r>
              <m:t>C</m:t>
            </m:r>
          </m:e>
          <m:sub>
            <m:r>
              <m:t>m</m:t>
            </m:r>
          </m:sub>
        </m:sSub>
        <m:r>
          <m:rPr>
            <m:sty m:val="p"/>
          </m:rPr>
          <m:t>=</m:t>
        </m:r>
        <m:sSub>
          <m:e>
            <m:r>
              <m:t>s</m:t>
            </m:r>
          </m:e>
          <m:sub>
            <m:r>
              <m:t>m</m:t>
            </m:r>
          </m:sub>
        </m:sSub>
        <m:sSup>
          <m:e>
            <m:r>
              <m:t>u</m:t>
            </m:r>
          </m:e>
          <m:sup>
            <m:r>
              <m:rPr>
                <m:sty m:val="p"/>
              </m:rPr>
              <m:t>n</m:t>
            </m:r>
            <m:r>
              <m:rPr>
                <m:sty m:val="p"/>
              </m:rPr>
              <m:t>o</m:t>
            </m:r>
            <m:r>
              <m:rPr>
                <m:sty m:val="p"/>
              </m:rPr>
              <m:t>m</m:t>
            </m:r>
          </m:sup>
        </m:sSup>
        <m:acc>
          <m:accPr>
            <m:chr m:val="‾"/>
          </m:accPr>
          <m:e>
            <m:r>
              <m:t>C</m:t>
            </m:r>
          </m:e>
        </m:acc>
      </m:oMath>
      <w:r>
        <w:rPr>
          <w:rFonts w:ascii="宋体" w:hAnsi="宋体" w:eastAsia="宋体"/>
          <w:sz w:val="24"/>
        </w:rPr>
        <w:t>为投入档位</w:t>
      </w:r>
      <m:oMath>
        <m:r>
          <m:t>m</m:t>
        </m:r>
      </m:oMath>
      <w:r>
        <w:rPr>
          <w:rFonts w:ascii="宋体" w:hAnsi="宋体" w:eastAsia="宋体"/>
          <w:sz w:val="24"/>
        </w:rPr>
        <w:t>的有效算力，</w:t>
      </w:r>
      <m:oMath>
        <m:r>
          <m:t>Θ</m:t>
        </m:r>
        <m:d>
          <m:dPr>
            <m:begChr m:val="("/>
            <m:endChr m:val=")"/>
            <m:grow/>
          </m:dPr>
          <m:e>
            <m:r>
              <m:rPr>
                <m:sty m:val="b"/>
              </m:rPr>
              <m:t>s</m:t>
            </m:r>
          </m:e>
        </m:d>
      </m:oMath>
      <w:r>
        <w:rPr>
          <w:rFonts w:ascii="宋体" w:hAnsi="宋体" w:eastAsia="宋体"/>
          <w:sz w:val="24"/>
        </w:rPr>
        <w:t>为配置加权的平均转化效率，</w:t>
      </w:r>
      <m:oMath>
        <m:r>
          <m:rPr>
            <m:sty m:val="b"/>
          </m:rPr>
          <m:t>s</m:t>
        </m:r>
        <m:r>
          <m:rPr>
            <m:sty m:val="p"/>
          </m:rPr>
          <m:t>=</m:t>
        </m:r>
        <m:sSup>
          <m:e>
            <m:d>
              <m:dPr>
                <m:begChr m:val="("/>
                <m:endChr m:val=")"/>
                <m:grow/>
              </m:dPr>
              <m:e>
                <m:sSub>
                  <m:e>
                    <m:r>
                      <m:t>s</m:t>
                    </m:r>
                  </m:e>
                  <m:sub>
                    <m:r>
                      <m:t>1</m:t>
                    </m:r>
                  </m:sub>
                </m:sSub>
                <m:r>
                  <m:rPr>
                    <m:sty m:val="p"/>
                  </m:rPr>
                  <m:t>,</m:t>
                </m:r>
                <m:r>
                  <m:rPr>
                    <m:sty m:val="p"/>
                  </m:rPr>
                  <m:t>…</m:t>
                </m:r>
                <m:r>
                  <m:rPr>
                    <m:sty m:val="p"/>
                  </m:rPr>
                  <m:t>,</m:t>
                </m:r>
                <m:sSub>
                  <m:e>
                    <m:r>
                      <m:t>s</m:t>
                    </m:r>
                  </m:e>
                  <m:sub>
                    <m:d>
                      <m:dPr>
                        <m:begChr m:val="|"/>
                        <m:endChr m:val="|"/>
                        <m:grow/>
                      </m:dPr>
                      <m:e>
                        <m:r>
                          <m:rPr>
                            <m:scr m:val="script"/>
                            <m:sty m:val="p"/>
                          </m:rPr>
                          <m:t>M</m:t>
                        </m:r>
                      </m:e>
                    </m:d>
                  </m:sub>
                </m:sSub>
              </m:e>
            </m:d>
          </m:e>
          <m:sup>
            <m:r>
              <m:rPr>
                <m:sty m:val="p"/>
              </m:rPr>
              <m:t>′</m:t>
            </m:r>
          </m:sup>
        </m:sSup>
      </m:oMath>
      <w:r>
        <w:rPr>
          <w:rFonts w:ascii="宋体" w:hAnsi="宋体" w:eastAsia="宋体"/>
          <w:sz w:val="24"/>
        </w:rPr>
        <w:t>为算力配置向量。</w:t>
      </w:r>
    </w:p>
    <w:p>
      <w:pPr>
        <w:spacing w:line="360" w:lineRule="auto" w:after="0"/>
        <w:ind w:firstLineChars="200" w:firstLine="480"/>
        <w:jc w:val="both"/>
      </w:pPr>
      <w:r>
        <w:rPr>
          <w:rFonts w:ascii="宋体" w:hAnsi="宋体" w:eastAsia="宋体"/>
          <w:sz w:val="24"/>
        </w:rPr>
        <w:t xml:space="preserve">式(9-4)与第 4 章式(4-3)的量级核算恒等式在形式上一致，但内涵已经推进了一层：第 4 章把转化效率 </w:t>
      </w:r>
      <m:oMath>
        <m:r>
          <m:t>θ</m:t>
        </m:r>
      </m:oMath>
      <w:r>
        <w:rPr>
          <w:rFonts w:ascii="宋体" w:hAnsi="宋体" w:eastAsia="宋体"/>
          <w:sz w:val="24"/>
        </w:rPr>
        <w:t xml:space="preserve"> 处理为一个外生的标量，本章则把它展开为配置向量的函数。这一展开立刻带来一个看似荒谬的推论：</w:t>
      </w:r>
      <m:oMath>
        <m:r>
          <m:t>Θ</m:t>
        </m:r>
        <m:d>
          <m:dPr>
            <m:begChr m:val="("/>
            <m:endChr m:val=")"/>
            <m:grow/>
          </m:dPr>
          <m:e>
            <m:r>
              <m:rPr>
                <m:sty m:val="b"/>
              </m:rPr>
              <m:t>s</m:t>
            </m:r>
          </m:e>
        </m:d>
      </m:oMath>
      <w:r>
        <w:rPr>
          <w:rFonts w:ascii="宋体" w:hAnsi="宋体" w:eastAsia="宋体"/>
          <w:sz w:val="24"/>
        </w:rPr>
        <w:t xml:space="preserve"> 是 </w:t>
      </w:r>
      <m:oMath>
        <m:r>
          <m:rPr>
            <m:sty m:val="b"/>
          </m:rPr>
          <m:t>s</m:t>
        </m:r>
      </m:oMath>
      <w:r>
        <w:rPr>
          <w:rFonts w:ascii="宋体" w:hAnsi="宋体" w:eastAsia="宋体"/>
          <w:sz w:val="24"/>
        </w:rPr>
        <w:t xml:space="preserve"> 的线性函数，其在单纯形上的最大值必在顶点取得，即全部算力应投向转化效率最高的档位——轻量蒸馏级。若这一推论成立，则任何对高档位模型的算力投入都是纯粹的浪费。</w:t>
      </w:r>
    </w:p>
    <w:p>
      <w:pPr>
        <w:spacing w:line="360" w:lineRule="auto" w:after="0"/>
        <w:ind w:firstLineChars="200" w:firstLine="480"/>
        <w:jc w:val="both"/>
      </w:pPr>
      <w:r>
        <w:rPr>
          <w:rFonts w:ascii="宋体" w:hAnsi="宋体" w:eastAsia="宋体"/>
          <w:sz w:val="24"/>
        </w:rPr>
        <w:t xml:space="preserve">推论之所以荒谬，是因为式(9-4)遗漏了需求侧的约束：任务对模型能力有门槛要求，低档位模型无法完成超出其能力的任务。把这一约束显式引入，角点解随即被打破，配置问题从「选最高的 </w:t>
      </w:r>
      <m:oMath>
        <m:r>
          <m:t>θ</m:t>
        </m:r>
      </m:oMath>
      <w:r>
        <w:rPr>
          <w:rFonts w:ascii="宋体" w:hAnsi="宋体" w:eastAsia="宋体"/>
          <w:sz w:val="24"/>
        </w:rPr>
        <w:t xml:space="preserve">」变成「在满足任务可行性的前提下选最高的 </w:t>
      </w:r>
      <m:oMath>
        <m:r>
          <m:t>θ</m:t>
        </m:r>
      </m:oMath>
      <w:r>
        <w:rPr>
          <w:rFonts w:ascii="宋体" w:hAnsi="宋体" w:eastAsia="宋体"/>
          <w:sz w:val="24"/>
        </w:rPr>
        <w:t>」——这正是 9.3 节任务—模型最优匹配问题的实质。因此，式(9-4)的意义不在于给出最优配置，而在于揭示：</w:t>
      </w:r>
      <w:r>
        <w:rPr>
          <w:rFonts w:ascii="宋体" w:hAnsi="宋体" w:eastAsia="宋体"/>
          <w:b/>
          <w:sz w:val="24"/>
        </w:rPr>
        <w:t>词元经济的配置问题在数学结构上是一个带可行性约束的线性规划，其全部经济内容都藏在约束里，而不在目标函数里</w:t>
      </w:r>
      <w:r>
        <w:rPr>
          <w:rFonts w:ascii="宋体" w:hAnsi="宋体" w:eastAsia="宋体"/>
          <w:sz w:val="24"/>
        </w:rPr>
        <w:t>。这一结构性认识决定了后文的处理方式：9.2 节先把现实配置与理想配置之间的落差分解清楚，9.3 节再把约束写出来求解。本章的完整分析框架如图9.1所示。</w:t>
      </w:r>
    </w:p>
    <w:p>
      <w:pPr>
        <w:spacing w:before="120" w:after="40"/>
        <w:jc w:val="center"/>
      </w:pPr>
      <w:r>
        <w:drawing>
          <wp:inline xmlns:a="http://schemas.openxmlformats.org/drawingml/2006/main" xmlns:pic="http://schemas.openxmlformats.org/drawingml/2006/picture">
            <wp:extent cx="5040000" cy="3170323"/>
            <wp:docPr id="27" name="Picture 27"/>
            <wp:cNvGraphicFramePr>
              <a:graphicFrameLocks noChangeAspect="1"/>
            </wp:cNvGraphicFramePr>
            <a:graphic>
              <a:graphicData uri="http://schemas.openxmlformats.org/drawingml/2006/picture">
                <pic:pic>
                  <pic:nvPicPr>
                    <pic:cNvPr id="0" name="fig9_1.png"/>
                    <pic:cNvPicPr/>
                  </pic:nvPicPr>
                  <pic:blipFill>
                    <a:blip r:embed="rId35"/>
                    <a:stretch>
                      <a:fillRect/>
                    </a:stretch>
                  </pic:blipFill>
                  <pic:spPr>
                    <a:xfrm>
                      <a:off x="0" y="0"/>
                      <a:ext cx="5040000" cy="3170323"/>
                    </a:xfrm>
                    <a:prstGeom prst="rect"/>
                  </pic:spPr>
                </pic:pic>
              </a:graphicData>
            </a:graphic>
          </wp:inline>
        </w:drawing>
      </w:r>
    </w:p>
    <w:p>
      <w:pPr>
        <w:keepNext w:val="0"/>
        <w:spacing w:after="200"/>
        <w:jc w:val="center"/>
      </w:pPr>
      <w:r>
        <w:rPr>
          <w:rFonts w:ascii="黑体" w:hAnsi="黑体" w:eastAsia="黑体"/>
          <w:sz w:val="21"/>
        </w:rPr>
        <w:t>图9.1  算力—词元转化与配置分析框架</w:t>
      </w:r>
    </w:p>
    <w:p>
      <w:pPr>
        <w:spacing w:line="360" w:lineRule="auto" w:after="0"/>
        <w:ind w:firstLineChars="200" w:firstLine="480"/>
        <w:jc w:val="both"/>
      </w:pPr>
      <w:r>
        <w:rPr>
          <w:rFonts w:ascii="宋体" w:hAnsi="宋体" w:eastAsia="宋体"/>
          <w:sz w:val="24"/>
        </w:rPr>
        <w:t>图9.1 的主链条自左至右呈现两级折算：算力投入经转化函数产出物理词元，物理词元经效值折算得到有效标准词元；链条终点的「可比、可加、可入账」正是标准词元区别于物理词元的三项经济资格。链条下方的四个方框标出四项损失各自的作用位置：空转损失作用于有效算力供给，批次损失作用于转化函数，匹配损失作用于任务—模型的对应关系，效值损失作用于效值折算环节。四项损失的作用点各不相同，这一点在政策上极为重要——它意味着四项损失分属不同的责任主体、需要不同的矫正工具，把它们笼统归入「利用率低」并以同一种手段（通常是继续扩建算力）应对，在逻辑上是无效的。图的上部是统一调度层，它以虚线箭头同时作用于转化函数与效值折算两个环节：调度决定批次与匹配损失，匹配又反过来提升产出词元的平均效值。底部汇总条给出本章的核心测算结果，其推导见 9.2 节与 9.3 节。</w:t>
      </w:r>
    </w:p>
    <w:p>
      <w:pPr>
        <w:keepNext/>
        <w:spacing w:before="160" w:after="120" w:line="360" w:lineRule="auto"/>
        <w:outlineLvl w:val="1"/>
      </w:pPr>
      <w:r>
        <w:rPr>
          <w:rFonts w:ascii="黑体" w:hAnsi="黑体" w:eastAsia="黑体"/>
          <w:sz w:val="28"/>
        </w:rPr>
        <w:t>9.2  利用率悖论的四项分解</w:t>
      </w:r>
    </w:p>
    <w:p>
      <w:pPr>
        <w:keepNext/>
        <w:spacing w:before="160" w:after="120" w:line="360" w:lineRule="auto"/>
        <w:outlineLvl w:val="2"/>
      </w:pPr>
      <w:r>
        <w:rPr>
          <w:rFonts w:ascii="黑体" w:hAnsi="黑体" w:eastAsia="黑体"/>
          <w:sz w:val="24"/>
        </w:rPr>
        <w:t>9.2.1  有效效值利用率：序贯反事实的定义</w:t>
      </w:r>
    </w:p>
    <w:p>
      <w:pPr>
        <w:spacing w:line="360" w:lineRule="auto" w:after="0"/>
        <w:ind w:firstLineChars="200" w:firstLine="480"/>
        <w:jc w:val="both"/>
      </w:pPr>
      <w:r>
        <w:rPr>
          <w:rFonts w:ascii="宋体" w:hAnsi="宋体" w:eastAsia="宋体"/>
          <w:sz w:val="24"/>
        </w:rPr>
        <w:t>要把「名义上被占用的算力」与「实际产出价值的算力」区分开来，需要一个介于二者之间的测度。本书定义</w:t>
      </w:r>
      <w:r>
        <w:rPr>
          <w:rFonts w:ascii="宋体" w:hAnsi="宋体" w:eastAsia="宋体"/>
          <w:b/>
          <w:sz w:val="24"/>
        </w:rPr>
        <w:t>有效效值利用率</w:t>
      </w:r>
      <w:r>
        <w:rPr>
          <w:rFonts w:ascii="宋体" w:hAnsi="宋体" w:eastAsia="宋体"/>
          <w:sz w:val="24"/>
        </w:rPr>
        <w:t>为实际标准词元产出</w:t>
      </w:r>
      <m:oMath>
        <m:acc>
          <m:accPr>
            <m:chr m:val="̃"/>
          </m:accPr>
          <m:e>
            <m:r>
              <m:t>T</m:t>
            </m:r>
          </m:e>
        </m:acc>
      </m:oMath>
      <w:r>
        <w:rPr>
          <w:rFonts w:ascii="宋体" w:hAnsi="宋体" w:eastAsia="宋体"/>
          <w:sz w:val="24"/>
        </w:rPr>
        <w:t xml:space="preserve"> 与理想标准词元产出 </w:t>
      </w:r>
      <m:oMath>
        <m:sSup>
          <m:e>
            <m:acc>
              <m:accPr>
                <m:chr m:val="̃"/>
              </m:accPr>
              <m:e>
                <m:r>
                  <m:t>T</m:t>
                </m:r>
              </m:e>
            </m:acc>
          </m:e>
          <m:sup>
            <m:r>
              <m:rPr>
                <m:sty m:val="p"/>
              </m:rPr>
              <m:t>∗</m:t>
            </m:r>
          </m:sup>
        </m:sSup>
      </m:oMath>
      <w:r>
        <w:rPr>
          <w:rFonts w:ascii="宋体" w:hAnsi="宋体" w:eastAsia="宋体"/>
          <w:sz w:val="24"/>
        </w:rPr>
        <w:t xml:space="preserve"> 之比，其中理想产出指</w:t>
      </w:r>
      <w:r>
        <w:rPr>
          <w:rFonts w:ascii="宋体" w:hAnsi="宋体" w:eastAsia="宋体"/>
          <w:b/>
          <w:sz w:val="24"/>
        </w:rPr>
        <w:t>装机算力全部投入生产</w:t>
      </w:r>
      <w:r>
        <w:rPr>
          <w:rFonts w:ascii="宋体" w:hAnsi="宋体" w:eastAsia="宋体"/>
          <w:sz w:val="24"/>
        </w:rPr>
        <w:t>并同时满足满负荷运行、最优批次组织、最优任务—模型匹配、产出词元达到同档位效值上界四个条件时的产出。这一定义把可用性损失与四类转化损失一并纳入分母，因而与任何一种工程口径的利用率都不相同：它衡量的不是资源占用率，而是</w:t>
      </w:r>
      <w:r>
        <w:rPr>
          <w:rFonts w:ascii="宋体" w:hAnsi="宋体" w:eastAsia="宋体"/>
          <w:b/>
          <w:sz w:val="24"/>
        </w:rPr>
        <w:t>价值转化的完成度</w:t>
      </w:r>
      <w:r>
        <w:rPr>
          <w:rFonts w:ascii="宋体" w:hAnsi="宋体" w:eastAsia="宋体"/>
          <w:sz w:val="24"/>
        </w:rPr>
        <w:t>。</w:t>
      </w:r>
    </w:p>
    <w:p>
      <w:pPr>
        <w:spacing w:line="360" w:lineRule="auto" w:after="0"/>
        <w:ind w:firstLineChars="200" w:firstLine="480"/>
        <w:jc w:val="both"/>
      </w:pPr>
      <w:r>
        <w:rPr>
          <w:rFonts w:ascii="宋体" w:hAnsi="宋体" w:eastAsia="宋体"/>
          <w:sz w:val="24"/>
        </w:rPr>
        <w:t>四类损失的界定采用序贯反事实方法。依技术因果的先后次序设定四个中间反事实产出：</w:t>
      </w:r>
      <m:oMath>
        <m:sSup>
          <m:e>
            <m:acc>
              <m:accPr>
                <m:chr m:val="̃"/>
              </m:accPr>
              <m:e>
                <m:r>
                  <m:t>T</m:t>
                </m:r>
              </m:e>
            </m:acc>
          </m:e>
          <m:sup>
            <m:d>
              <m:dPr>
                <m:begChr m:val="("/>
                <m:endChr m:val=")"/>
                <m:grow/>
              </m:dPr>
              <m:e>
                <m:r>
                  <m:t>0</m:t>
                </m:r>
              </m:e>
            </m:d>
          </m:sup>
        </m:sSup>
        <m:r>
          <m:rPr>
            <m:sty m:val="p"/>
          </m:rPr>
          <m:t>=</m:t>
        </m:r>
        <m:sSup>
          <m:e>
            <m:r>
              <m:t>u</m:t>
            </m:r>
          </m:e>
          <m:sup>
            <m:r>
              <m:rPr>
                <m:sty m:val="p"/>
              </m:rPr>
              <m:t>n</m:t>
            </m:r>
            <m:r>
              <m:rPr>
                <m:sty m:val="p"/>
              </m:rPr>
              <m:t>o</m:t>
            </m:r>
            <m:r>
              <m:rPr>
                <m:sty m:val="p"/>
              </m:rPr>
              <m:t>m</m:t>
            </m:r>
          </m:sup>
        </m:sSup>
        <m:sSup>
          <m:e>
            <m:acc>
              <m:accPr>
                <m:chr m:val="̃"/>
              </m:accPr>
              <m:e>
                <m:r>
                  <m:t>T</m:t>
                </m:r>
              </m:e>
            </m:acc>
          </m:e>
          <m:sup>
            <m:r>
              <m:rPr>
                <m:sty m:val="p"/>
              </m:rPr>
              <m:t>∗</m:t>
            </m:r>
          </m:sup>
        </m:sSup>
      </m:oMath>
      <w:r>
        <w:rPr>
          <w:rFonts w:ascii="宋体" w:hAnsi="宋体" w:eastAsia="宋体"/>
          <w:sz w:val="24"/>
        </w:rPr>
        <w:t>为名义可用算力下的理想产出；</w:t>
      </w:r>
      <m:oMath>
        <m:sSup>
          <m:e>
            <m:acc>
              <m:accPr>
                <m:chr m:val="̃"/>
              </m:accPr>
              <m:e>
                <m:r>
                  <m:t>T</m:t>
                </m:r>
              </m:e>
            </m:acc>
          </m:e>
          <m:sup>
            <m:d>
              <m:dPr>
                <m:begChr m:val="("/>
                <m:endChr m:val=")"/>
                <m:grow/>
              </m:dPr>
              <m:e>
                <m:r>
                  <m:t>1</m:t>
                </m:r>
              </m:e>
            </m:d>
          </m:sup>
        </m:sSup>
      </m:oMath>
      <w:r>
        <w:rPr>
          <w:rFonts w:ascii="宋体" w:hAnsi="宋体" w:eastAsia="宋体"/>
          <w:sz w:val="24"/>
        </w:rPr>
        <w:t>为在实际负载波动与冗余预留下的产出（扣除空转）；</w:t>
      </w:r>
      <m:oMath>
        <m:sSup>
          <m:e>
            <m:acc>
              <m:accPr>
                <m:chr m:val="̃"/>
              </m:accPr>
              <m:e>
                <m:r>
                  <m:t>T</m:t>
                </m:r>
              </m:e>
            </m:acc>
          </m:e>
          <m:sup>
            <m:d>
              <m:dPr>
                <m:begChr m:val="("/>
                <m:endChr m:val=")"/>
                <m:grow/>
              </m:dPr>
              <m:e>
                <m:r>
                  <m:t>2</m:t>
                </m:r>
              </m:e>
            </m:d>
          </m:sup>
        </m:sSup>
      </m:oMath>
      <w:r>
        <w:rPr>
          <w:rFonts w:ascii="宋体" w:hAnsi="宋体" w:eastAsia="宋体"/>
          <w:sz w:val="24"/>
        </w:rPr>
        <w:t>为在实际批次与并发配置下的产出（再扣除批次）；</w:t>
      </w:r>
      <m:oMath>
        <m:sSup>
          <m:e>
            <m:acc>
              <m:accPr>
                <m:chr m:val="̃"/>
              </m:accPr>
              <m:e>
                <m:r>
                  <m:t>T</m:t>
                </m:r>
              </m:e>
            </m:acc>
          </m:e>
          <m:sup>
            <m:d>
              <m:dPr>
                <m:begChr m:val="("/>
                <m:endChr m:val=")"/>
                <m:grow/>
              </m:dPr>
              <m:e>
                <m:r>
                  <m:t>3</m:t>
                </m:r>
              </m:e>
            </m:d>
          </m:sup>
        </m:sSup>
      </m:oMath>
      <w:r>
        <w:rPr>
          <w:rFonts w:ascii="宋体" w:hAnsi="宋体" w:eastAsia="宋体"/>
          <w:sz w:val="24"/>
        </w:rPr>
        <w:t>为在实际任务—模型匹配下的产出（再扣除匹配）；</w:t>
      </w:r>
      <m:oMath>
        <m:sSup>
          <m:e>
            <m:acc>
              <m:accPr>
                <m:chr m:val="̃"/>
              </m:accPr>
              <m:e>
                <m:r>
                  <m:t>T</m:t>
                </m:r>
              </m:e>
            </m:acc>
          </m:e>
          <m:sup>
            <m:d>
              <m:dPr>
                <m:begChr m:val="("/>
                <m:endChr m:val=")"/>
                <m:grow/>
              </m:dPr>
              <m:e>
                <m:r>
                  <m:t>4</m:t>
                </m:r>
              </m:e>
            </m:d>
          </m:sup>
        </m:sSup>
      </m:oMath>
      <w:r>
        <w:rPr>
          <w:rFonts w:ascii="宋体" w:hAnsi="宋体" w:eastAsia="宋体"/>
          <w:sz w:val="24"/>
        </w:rPr>
        <w:t>即实际产出（再扣除效值）。各项相对损失率的定义见式(9-5)。</w:t>
      </w:r>
    </w:p>
    <w:p>
      <w:pPr>
        <w:tabs>
          <w:tab w:pos="4252" w:val="center"/>
          <w:tab w:pos="8504" w:val="right"/>
        </w:tabs>
        <w:spacing w:line="360" w:lineRule="auto" w:before="80" w:after="80"/>
      </w:pPr>
      <w:r>
        <w:tab/>
      </w:r>
      <m:oMath>
        <m:sSup>
          <m:e>
            <m:acc>
              <m:accPr>
                <m:chr m:val="̃"/>
              </m:accPr>
              <m:e>
                <m:r>
                  <m:t>T</m:t>
                </m:r>
              </m:e>
            </m:acc>
          </m:e>
          <m:sup>
            <m:d>
              <m:dPr>
                <m:begChr m:val="("/>
                <m:endChr m:val=")"/>
                <m:grow/>
              </m:dPr>
              <m:e>
                <m:r>
                  <m:t>0</m:t>
                </m:r>
              </m:e>
            </m:d>
          </m:sup>
        </m:sSup>
        <m:r>
          <m:t> </m:t>
        </m:r>
        <m:r>
          <m:rPr>
            <m:sty m:val="p"/>
          </m:rPr>
          <m:t>≥</m:t>
        </m:r>
        <m:r>
          <m:t> </m:t>
        </m:r>
        <m:sSup>
          <m:e>
            <m:acc>
              <m:accPr>
                <m:chr m:val="̃"/>
              </m:accPr>
              <m:e>
                <m:r>
                  <m:t>T</m:t>
                </m:r>
              </m:e>
            </m:acc>
          </m:e>
          <m:sup>
            <m:d>
              <m:dPr>
                <m:begChr m:val="("/>
                <m:endChr m:val=")"/>
                <m:grow/>
              </m:dPr>
              <m:e>
                <m:r>
                  <m:t>1</m:t>
                </m:r>
              </m:e>
            </m:d>
          </m:sup>
        </m:sSup>
        <m:r>
          <m:t> </m:t>
        </m:r>
        <m:r>
          <m:rPr>
            <m:sty m:val="p"/>
          </m:rPr>
          <m:t>≥</m:t>
        </m:r>
        <m:r>
          <m:t> </m:t>
        </m:r>
        <m:sSup>
          <m:e>
            <m:acc>
              <m:accPr>
                <m:chr m:val="̃"/>
              </m:accPr>
              <m:e>
                <m:r>
                  <m:t>T</m:t>
                </m:r>
              </m:e>
            </m:acc>
          </m:e>
          <m:sup>
            <m:d>
              <m:dPr>
                <m:begChr m:val="("/>
                <m:endChr m:val=")"/>
                <m:grow/>
              </m:dPr>
              <m:e>
                <m:r>
                  <m:t>2</m:t>
                </m:r>
              </m:e>
            </m:d>
          </m:sup>
        </m:sSup>
        <m:r>
          <m:t> </m:t>
        </m:r>
        <m:r>
          <m:rPr>
            <m:sty m:val="p"/>
          </m:rPr>
          <m:t>≥</m:t>
        </m:r>
        <m:r>
          <m:t> </m:t>
        </m:r>
        <m:sSup>
          <m:e>
            <m:acc>
              <m:accPr>
                <m:chr m:val="̃"/>
              </m:accPr>
              <m:e>
                <m:r>
                  <m:t>T</m:t>
                </m:r>
              </m:e>
            </m:acc>
          </m:e>
          <m:sup>
            <m:d>
              <m:dPr>
                <m:begChr m:val="("/>
                <m:endChr m:val=")"/>
                <m:grow/>
              </m:dPr>
              <m:e>
                <m:r>
                  <m:t>3</m:t>
                </m:r>
              </m:e>
            </m:d>
          </m:sup>
        </m:sSup>
        <m:r>
          <m:t> </m:t>
        </m:r>
        <m:r>
          <m:rPr>
            <m:sty m:val="p"/>
          </m:rPr>
          <m:t>≥</m:t>
        </m:r>
        <m:r>
          <m:t> </m:t>
        </m:r>
        <m:sSup>
          <m:e>
            <m:acc>
              <m:accPr>
                <m:chr m:val="̃"/>
              </m:accPr>
              <m:e>
                <m:r>
                  <m:t>T</m:t>
                </m:r>
              </m:e>
            </m:acc>
          </m:e>
          <m:sup>
            <m:d>
              <m:dPr>
                <m:begChr m:val="("/>
                <m:endChr m:val=")"/>
                <m:grow/>
              </m:dPr>
              <m:e>
                <m:r>
                  <m:t>4</m:t>
                </m:r>
              </m:e>
            </m:d>
          </m:sup>
        </m:sSup>
        <m:r>
          <m:rPr>
            <m:sty m:val="p"/>
          </m:rPr>
          <m:t>=</m:t>
        </m:r>
        <m:acc>
          <m:accPr>
            <m:chr m:val="̃"/>
          </m:accPr>
          <m:e>
            <m:r>
              <m:t>T</m:t>
            </m:r>
          </m:e>
        </m:acc>
        <m:r>
          <m:rPr>
            <m:sty m:val="p"/>
          </m:rPr>
          <m:t>,</m:t>
        </m:r>
        <m:r>
          <m:t>  </m:t>
        </m:r>
        <m:sSub>
          <m:e>
            <m:r>
              <m:t>δ</m:t>
            </m:r>
          </m:e>
          <m:sub>
            <m:r>
              <m:t>k</m:t>
            </m:r>
          </m:sub>
        </m:sSub>
        <m:r>
          <m:rPr>
            <m:sty m:val="p"/>
          </m:rPr>
          <m:t>=</m:t>
        </m:r>
        <m:r>
          <m:t>1</m:t>
        </m:r>
        <m:r>
          <m:rPr>
            <m:sty m:val="p"/>
          </m:rPr>
          <m:t>−</m:t>
        </m:r>
        <m:f>
          <m:fPr>
            <m:type m:val="bar"/>
          </m:fPr>
          <m:num>
            <m:sSup>
              <m:e>
                <m:acc>
                  <m:accPr>
                    <m:chr m:val="̃"/>
                  </m:accPr>
                  <m:e>
                    <m:r>
                      <m:t>T</m:t>
                    </m:r>
                  </m:e>
                </m:acc>
              </m:e>
              <m:sup>
                <m:d>
                  <m:dPr>
                    <m:begChr m:val="("/>
                    <m:endChr m:val=")"/>
                    <m:grow/>
                  </m:dPr>
                  <m:e>
                    <m:r>
                      <m:t>k</m:t>
                    </m:r>
                  </m:e>
                </m:d>
              </m:sup>
            </m:sSup>
          </m:num>
          <m:den>
            <m:sSup>
              <m:e>
                <m:acc>
                  <m:accPr>
                    <m:chr m:val="̃"/>
                  </m:accPr>
                  <m:e>
                    <m:r>
                      <m:t>T</m:t>
                    </m:r>
                  </m:e>
                </m:acc>
              </m:e>
              <m:sup>
                <m:d>
                  <m:dPr>
                    <m:begChr m:val="("/>
                    <m:endChr m:val=")"/>
                    <m:grow/>
                  </m:dPr>
                  <m:e>
                    <m:r>
                      <m:t>k</m:t>
                    </m:r>
                    <m:r>
                      <m:rPr>
                        <m:sty m:val="p"/>
                      </m:rPr>
                      <m:t>−</m:t>
                    </m:r>
                    <m:r>
                      <m:t>1</m:t>
                    </m:r>
                  </m:e>
                </m:d>
              </m:sup>
            </m:sSup>
          </m:den>
        </m:f>
        <m:r>
          <m:rPr>
            <m:sty m:val="p"/>
          </m:rPr>
          <m:t>∈</m:t>
        </m:r>
        <m:d>
          <m:dPr>
            <m:begChr m:val="["/>
            <m:endChr m:val=")"/>
            <m:grow/>
          </m:dPr>
          <m:e>
            <m:r>
              <m:t>0</m:t>
            </m:r>
            <m:r>
              <m:rPr>
                <m:sty m:val="p"/>
              </m:rPr>
              <m:t>,</m:t>
            </m:r>
            <m:r>
              <m:t>1</m:t>
            </m:r>
          </m:e>
        </m:d>
        <m:r>
          <m:rPr>
            <m:sty m:val="p"/>
          </m:rPr>
          <m:t>,</m:t>
        </m:r>
        <m:r>
          <m:t> </m:t>
        </m:r>
        <m:r>
          <m:t>k</m:t>
        </m:r>
        <m:r>
          <m:rPr>
            <m:sty m:val="p"/>
          </m:rPr>
          <m:t>∈</m:t>
        </m:r>
        <m:d>
          <m:dPr>
            <m:begChr m:val="{"/>
            <m:endChr m:val="}"/>
            <m:grow/>
          </m:dPr>
          <m:e>
            <m:r>
              <m:t>I</m:t>
            </m:r>
            <m:r>
              <m:rPr>
                <m:sty m:val="p"/>
              </m:rPr>
              <m:t>,</m:t>
            </m:r>
            <m:r>
              <m:t>B</m:t>
            </m:r>
            <m:r>
              <m:rPr>
                <m:sty m:val="p"/>
              </m:rPr>
              <m:t>,</m:t>
            </m:r>
            <m:r>
              <m:t>M</m:t>
            </m:r>
            <m:r>
              <m:rPr>
                <m:sty m:val="p"/>
              </m:rPr>
              <m:t>,</m:t>
            </m:r>
            <m:r>
              <m:t>V</m:t>
            </m:r>
          </m:e>
        </m:d>
      </m:oMath>
      <w:r>
        <w:tab/>
      </w:r>
      <w:r>
        <w:rPr>
          <w:rFonts w:ascii="Times New Roman" w:hAnsi="Times New Roman" w:eastAsia="宋体"/>
          <w:sz w:val="24"/>
        </w:rPr>
        <w:t>(9-5)</w:t>
      </w:r>
    </w:p>
    <w:p>
      <w:pPr>
        <w:spacing w:line="360" w:lineRule="auto" w:after="0"/>
        <w:jc w:val="both"/>
      </w:pPr>
      <w:r>
        <w:rPr>
          <w:rFonts w:ascii="宋体" w:hAnsi="宋体" w:eastAsia="宋体"/>
          <w:sz w:val="24"/>
        </w:rPr>
        <w:t>其中，</w:t>
      </w:r>
      <m:oMath>
        <m:sSub>
          <m:e>
            <m:r>
              <m:t>δ</m:t>
            </m:r>
          </m:e>
          <m:sub>
            <m:r>
              <m:t>I</m:t>
            </m:r>
          </m:sub>
        </m:sSub>
      </m:oMath>
      <w:r>
        <w:rPr>
          <w:rFonts w:ascii="宋体" w:hAnsi="宋体" w:eastAsia="宋体"/>
          <w:sz w:val="24"/>
        </w:rPr>
        <w:t>、</w:t>
      </w:r>
      <m:oMath>
        <m:sSub>
          <m:e>
            <m:r>
              <m:t>δ</m:t>
            </m:r>
          </m:e>
          <m:sub>
            <m:r>
              <m:t>B</m:t>
            </m:r>
          </m:sub>
        </m:sSub>
      </m:oMath>
      <w:r>
        <w:rPr>
          <w:rFonts w:ascii="宋体" w:hAnsi="宋体" w:eastAsia="宋体"/>
          <w:sz w:val="24"/>
        </w:rPr>
        <w:t>、</w:t>
      </w:r>
      <m:oMath>
        <m:sSub>
          <m:e>
            <m:r>
              <m:t>δ</m:t>
            </m:r>
          </m:e>
          <m:sub>
            <m:r>
              <m:t>M</m:t>
            </m:r>
          </m:sub>
        </m:sSub>
      </m:oMath>
      <w:r>
        <w:rPr>
          <w:rFonts w:ascii="宋体" w:hAnsi="宋体" w:eastAsia="宋体"/>
          <w:sz w:val="24"/>
        </w:rPr>
        <w:t>、</w:t>
      </w:r>
      <m:oMath>
        <m:sSub>
          <m:e>
            <m:r>
              <m:t>δ</m:t>
            </m:r>
          </m:e>
          <m:sub>
            <m:r>
              <m:t>V</m:t>
            </m:r>
          </m:sub>
        </m:sSub>
      </m:oMath>
      <w:r>
        <w:rPr>
          <w:rFonts w:ascii="宋体" w:hAnsi="宋体" w:eastAsia="宋体"/>
          <w:sz w:val="24"/>
        </w:rPr>
        <w:t>依次为空转、批次、匹配与效值四项的相对损失率；相对损失率以上一级反事实产出为分母，因而各项之间不重叠、可连乘。</w:t>
      </w:r>
    </w:p>
    <w:p>
      <w:pPr>
        <w:spacing w:line="360" w:lineRule="auto" w:after="0"/>
        <w:ind w:firstLineChars="200" w:firstLine="480"/>
        <w:jc w:val="both"/>
      </w:pPr>
      <w:r>
        <w:rPr>
          <w:rFonts w:ascii="宋体" w:hAnsi="宋体" w:eastAsia="宋体"/>
          <w:sz w:val="24"/>
        </w:rPr>
        <w:t>由式(9-5)立即得到有效效值利用率的乘积分解式(9-6)。这里必须强调一点：四项损失是</w:t>
      </w:r>
      <w:r>
        <w:rPr>
          <w:rFonts w:ascii="宋体" w:hAnsi="宋体" w:eastAsia="宋体"/>
          <w:b/>
          <w:sz w:val="24"/>
        </w:rPr>
        <w:t>相对损失率</w:t>
      </w:r>
      <w:r>
        <w:rPr>
          <w:rFonts w:ascii="宋体" w:hAnsi="宋体" w:eastAsia="宋体"/>
          <w:sz w:val="24"/>
        </w:rPr>
        <w:t>而非绝对百分点，其合成方式是逐级相乘而非简单相加。混淆这两种合成方式，是产业报告中关于「算力浪费」估算相互矛盾的主要来源。</w:t>
      </w:r>
    </w:p>
    <w:p>
      <w:pPr>
        <w:tabs>
          <w:tab w:pos="4252" w:val="center"/>
          <w:tab w:pos="8504" w:val="right"/>
        </w:tabs>
        <w:spacing w:line="360" w:lineRule="auto" w:before="80" w:after="80"/>
      </w:pPr>
      <w:r>
        <w:tab/>
      </w:r>
      <m:oMath>
        <m:sSup>
          <m:e>
            <m:r>
              <m:t>u</m:t>
            </m:r>
          </m:e>
          <m:sup>
            <m:r>
              <m:rPr>
                <m:sty m:val="p"/>
              </m:rPr>
              <m:t>e</m:t>
            </m:r>
            <m:r>
              <m:rPr>
                <m:sty m:val="p"/>
              </m:rPr>
              <m:t>f</m:t>
            </m:r>
            <m:r>
              <m:rPr>
                <m:sty m:val="p"/>
              </m:rPr>
              <m:t>f</m:t>
            </m:r>
          </m:sup>
        </m:sSup>
        <m:r>
          <m:rPr>
            <m:sty m:val="p"/>
          </m:rPr>
          <m:t>≡</m:t>
        </m:r>
        <m:f>
          <m:fPr>
            <m:type m:val="bar"/>
          </m:fPr>
          <m:num>
            <m:acc>
              <m:accPr>
                <m:chr m:val="̃"/>
              </m:accPr>
              <m:e>
                <m:r>
                  <m:t>T</m:t>
                </m:r>
              </m:e>
            </m:acc>
          </m:num>
          <m:den>
            <m:sSup>
              <m:e>
                <m:acc>
                  <m:accPr>
                    <m:chr m:val="̃"/>
                  </m:accPr>
                  <m:e>
                    <m:r>
                      <m:t>T</m:t>
                    </m:r>
                  </m:e>
                </m:acc>
              </m:e>
              <m:sup>
                <m:r>
                  <m:rPr>
                    <m:sty m:val="p"/>
                  </m:rPr>
                  <m:t>∗</m:t>
                </m:r>
              </m:sup>
            </m:sSup>
          </m:den>
        </m:f>
        <m:r>
          <m:rPr>
            <m:sty m:val="p"/>
          </m:rPr>
          <m:t>=</m:t>
        </m:r>
        <m:sSup>
          <m:e>
            <m:r>
              <m:t>u</m:t>
            </m:r>
          </m:e>
          <m:sup>
            <m:r>
              <m:rPr>
                <m:sty m:val="p"/>
              </m:rPr>
              <m:t>n</m:t>
            </m:r>
            <m:r>
              <m:rPr>
                <m:sty m:val="p"/>
              </m:rPr>
              <m:t>o</m:t>
            </m:r>
            <m:r>
              <m:rPr>
                <m:sty m:val="p"/>
              </m:rPr>
              <m:t>m</m:t>
            </m:r>
          </m:sup>
        </m:sSup>
        <m:nary>
          <m:naryPr>
            <m:chr m:val="∏"/>
            <m:limLoc m:val="undOvr"/>
            <m:subHide m:val="off"/>
            <m:supHide m:val="on"/>
          </m:naryPr>
          <m:sub>
            <m:r>
              <m:t>k</m:t>
            </m:r>
            <m:r>
              <m:rPr>
                <m:sty m:val="p"/>
              </m:rPr>
              <m:t>∈</m:t>
            </m:r>
            <m:d>
              <m:dPr>
                <m:begChr m:val="{"/>
                <m:endChr m:val="}"/>
                <m:grow/>
              </m:dPr>
              <m:e>
                <m:r>
                  <m:t>I</m:t>
                </m:r>
                <m:r>
                  <m:rPr>
                    <m:sty m:val="p"/>
                  </m:rPr>
                  <m:t>,</m:t>
                </m:r>
                <m:r>
                  <m:t>B</m:t>
                </m:r>
                <m:r>
                  <m:rPr>
                    <m:sty m:val="p"/>
                  </m:rPr>
                  <m:t>,</m:t>
                </m:r>
                <m:r>
                  <m:t>M</m:t>
                </m:r>
                <m:r>
                  <m:rPr>
                    <m:sty m:val="p"/>
                  </m:rPr>
                  <m:t>,</m:t>
                </m:r>
                <m:r>
                  <m:t>V</m:t>
                </m:r>
              </m:e>
            </m:d>
          </m:sub>
          <m:sup>
            <m:r>
              <m:t>​</m:t>
            </m:r>
          </m:sup>
          <m:e>
            <m:d>
              <m:dPr>
                <m:begChr m:val="("/>
                <m:endChr m:val=")"/>
                <m:grow/>
              </m:dPr>
              <m:e>
                <m:r>
                  <m:t>1</m:t>
                </m:r>
                <m:r>
                  <m:rPr>
                    <m:sty m:val="p"/>
                  </m:rPr>
                  <m:t>−</m:t>
                </m:r>
                <m:sSub>
                  <m:e>
                    <m:r>
                      <m:t>δ</m:t>
                    </m:r>
                  </m:e>
                  <m:sub>
                    <m:r>
                      <m:t>k</m:t>
                    </m:r>
                  </m:sub>
                </m:sSub>
              </m:e>
            </m:d>
          </m:e>
        </m:nary>
        <m:r>
          <m:rPr>
            <m:sty m:val="p"/>
          </m:rPr>
          <m:t>,</m:t>
        </m:r>
        <m:r>
          <m:t>  </m:t>
        </m:r>
        <m:sSup>
          <m:e>
            <m:acc>
              <m:accPr>
                <m:chr m:val="̃"/>
              </m:accPr>
              <m:e>
                <m:r>
                  <m:t>T</m:t>
                </m:r>
              </m:e>
            </m:acc>
          </m:e>
          <m:sup>
            <m:d>
              <m:dPr>
                <m:begChr m:val="("/>
                <m:endChr m:val=")"/>
                <m:grow/>
              </m:dPr>
              <m:e>
                <m:r>
                  <m:t>0</m:t>
                </m:r>
              </m:e>
            </m:d>
          </m:sup>
        </m:sSup>
        <m:r>
          <m:rPr>
            <m:sty m:val="p"/>
          </m:rPr>
          <m:t>=</m:t>
        </m:r>
        <m:sSup>
          <m:e>
            <m:r>
              <m:t>u</m:t>
            </m:r>
          </m:e>
          <m:sup>
            <m:r>
              <m:rPr>
                <m:sty m:val="p"/>
              </m:rPr>
              <m:t>n</m:t>
            </m:r>
            <m:r>
              <m:rPr>
                <m:sty m:val="p"/>
              </m:rPr>
              <m:t>o</m:t>
            </m:r>
            <m:r>
              <m:rPr>
                <m:sty m:val="p"/>
              </m:rPr>
              <m:t>m</m:t>
            </m:r>
          </m:sup>
        </m:sSup>
        <m:r>
          <m:t> </m:t>
        </m:r>
        <m:sSup>
          <m:e>
            <m:acc>
              <m:accPr>
                <m:chr m:val="̃"/>
              </m:accPr>
              <m:e>
                <m:r>
                  <m:t>T</m:t>
                </m:r>
              </m:e>
            </m:acc>
          </m:e>
          <m:sup>
            <m:r>
              <m:rPr>
                <m:sty m:val="p"/>
              </m:rPr>
              <m:t>∗</m:t>
            </m:r>
          </m:sup>
        </m:sSup>
      </m:oMath>
      <w:r>
        <w:tab/>
      </w:r>
      <w:r>
        <w:rPr>
          <w:rFonts w:ascii="Times New Roman" w:hAnsi="Times New Roman" w:eastAsia="宋体"/>
          <w:sz w:val="24"/>
        </w:rPr>
        <w:t>(9-6)</w:t>
      </w:r>
    </w:p>
    <w:p>
      <w:pPr>
        <w:spacing w:line="360" w:lineRule="auto" w:after="0"/>
        <w:jc w:val="both"/>
      </w:pPr>
      <w:r>
        <w:rPr>
          <w:rFonts w:ascii="宋体" w:hAnsi="宋体" w:eastAsia="宋体"/>
          <w:sz w:val="24"/>
        </w:rPr>
        <w:t>其中，</w:t>
      </w:r>
      <m:oMath>
        <m:sSup>
          <m:e>
            <m:r>
              <m:t>u</m:t>
            </m:r>
          </m:e>
          <m:sup>
            <m:r>
              <m:rPr>
                <m:sty m:val="p"/>
              </m:rPr>
              <m:t>n</m:t>
            </m:r>
            <m:r>
              <m:rPr>
                <m:sty m:val="p"/>
              </m:rPr>
              <m:t>o</m:t>
            </m:r>
            <m:r>
              <m:rPr>
                <m:sty m:val="p"/>
              </m:rPr>
              <m:t>m</m:t>
            </m:r>
          </m:sup>
        </m:sSup>
      </m:oMath>
      <w:r>
        <w:rPr>
          <w:rFonts w:ascii="宋体" w:hAnsi="宋体" w:eastAsia="宋体"/>
          <w:sz w:val="24"/>
        </w:rPr>
        <w:t>为名义算力利用率，</w:t>
      </w:r>
      <m:oMath>
        <m:sSup>
          <m:e>
            <m:r>
              <m:t>u</m:t>
            </m:r>
          </m:e>
          <m:sup>
            <m:r>
              <m:rPr>
                <m:sty m:val="p"/>
              </m:rPr>
              <m:t>e</m:t>
            </m:r>
            <m:r>
              <m:rPr>
                <m:sty m:val="p"/>
              </m:rPr>
              <m:t>f</m:t>
            </m:r>
            <m:r>
              <m:rPr>
                <m:sty m:val="p"/>
              </m:rPr>
              <m:t>f</m:t>
            </m:r>
          </m:sup>
        </m:sSup>
      </m:oMath>
      <w:r>
        <w:rPr>
          <w:rFonts w:ascii="宋体" w:hAnsi="宋体" w:eastAsia="宋体"/>
          <w:sz w:val="24"/>
        </w:rPr>
        <w:t>为有效效值利用率；名义算力利用率本身即装机算力中被实际占用的比例，四项相对损失率则刻画被占用算力在转化为价值过程中的逐级折损。</w:t>
      </w:r>
    </w:p>
    <w:p>
      <w:pPr>
        <w:spacing w:line="360" w:lineRule="auto" w:after="0"/>
        <w:ind w:firstLineChars="200" w:firstLine="480"/>
        <w:jc w:val="both"/>
      </w:pPr>
      <w:r>
        <w:rPr>
          <w:rFonts w:ascii="宋体" w:hAnsi="宋体" w:eastAsia="宋体"/>
          <w:sz w:val="24"/>
        </w:rPr>
        <w:t>本书的校准复算结果为：名义算力利用率62%，四项相对损失率依次为空转18%、批次9%、匹配12%、效值7%。代入式(9-6)，得 0.62×(1−0.18)(1−0.09)(1−0.12)(1−0.07)≈0.38，即有效效值利用率仅38%。四项合计使被占用算力的价值转化能力折损38.9%——换言之，装机算力中真正转化为最优可达价值的部分不足四成；而在已经被占用的那部分算力里，仍有38.9%在转化过程中流失。这一分解结果如图9.2所示。</w:t>
      </w:r>
    </w:p>
    <w:p>
      <w:pPr>
        <w:spacing w:before="120" w:after="40"/>
        <w:jc w:val="center"/>
      </w:pPr>
      <w:r>
        <w:drawing>
          <wp:inline xmlns:a="http://schemas.openxmlformats.org/drawingml/2006/main" xmlns:pic="http://schemas.openxmlformats.org/drawingml/2006/picture">
            <wp:extent cx="4860000" cy="2992077"/>
            <wp:docPr id="28" name="Picture 28"/>
            <wp:cNvGraphicFramePr>
              <a:graphicFrameLocks noChangeAspect="1"/>
            </wp:cNvGraphicFramePr>
            <a:graphic>
              <a:graphicData uri="http://schemas.openxmlformats.org/drawingml/2006/picture">
                <pic:pic>
                  <pic:nvPicPr>
                    <pic:cNvPr id="0" name="fig9_2.png"/>
                    <pic:cNvPicPr/>
                  </pic:nvPicPr>
                  <pic:blipFill>
                    <a:blip r:embed="rId36"/>
                    <a:stretch>
                      <a:fillRect/>
                    </a:stretch>
                  </pic:blipFill>
                  <pic:spPr>
                    <a:xfrm>
                      <a:off x="0" y="0"/>
                      <a:ext cx="4860000" cy="2992077"/>
                    </a:xfrm>
                    <a:prstGeom prst="rect"/>
                  </pic:spPr>
                </pic:pic>
              </a:graphicData>
            </a:graphic>
          </wp:inline>
        </w:drawing>
      </w:r>
    </w:p>
    <w:p>
      <w:pPr>
        <w:keepNext w:val="0"/>
        <w:spacing w:after="40"/>
        <w:jc w:val="center"/>
      </w:pPr>
      <w:r>
        <w:rPr>
          <w:rFonts w:ascii="黑体" w:hAnsi="黑体" w:eastAsia="黑体"/>
          <w:sz w:val="21"/>
        </w:rPr>
        <w:t>图9.2  算力利用率的四项损失分解</w:t>
      </w:r>
    </w:p>
    <w:p>
      <w:pPr>
        <w:spacing w:after="200" w:line="240" w:lineRule="auto"/>
        <w:jc w:val="both"/>
      </w:pPr>
      <w:r>
        <w:rPr>
          <w:rFonts w:ascii="宋体" w:hAnsi="宋体" w:eastAsia="宋体"/>
          <w:sz w:val="18"/>
        </w:rPr>
        <w:t>注：四项均为以上一级反事实产出为分母的相对损失率，按式(9-5)的序贯反事实口径界定，合成方式为逐级相乘而非相加；名义算力利用率为本书重建的内部一致口径，不等同于企业调研自报的智算资源利用率、全国算力设施整体上架率或加速卡卡时利用率，三者不可互证。数据来源：作者校准复算。</w:t>
      </w:r>
    </w:p>
    <w:p>
      <w:pPr>
        <w:spacing w:line="360" w:lineRule="auto" w:after="0"/>
        <w:ind w:firstLineChars="200" w:firstLine="480"/>
        <w:jc w:val="both"/>
      </w:pPr>
      <w:r>
        <w:rPr>
          <w:rFonts w:ascii="宋体" w:hAnsi="宋体" w:eastAsia="宋体"/>
          <w:sz w:val="24"/>
        </w:rPr>
        <w:t>图9.2 的瀑布结构显示，四项损失中匹配损失12%与空转损失18%居前两位，二者合计贡献了绝大部分折损。这一排序有明确的政策含义。空转损失的成因是负载的时变性与资源的不可共享，其矫正需要跨主体、跨区域的算力池化，属基础设施层面的长周期工作；匹配损失的成因则是任务与模型的错配，其矫正只需要一个能够识别任务需求与模型效值的调度规则，属软件与规则层面的短周期工作。换言之，四项损失中</w:t>
      </w:r>
      <w:r>
        <w:rPr>
          <w:rFonts w:ascii="宋体" w:hAnsi="宋体" w:eastAsia="宋体"/>
          <w:b/>
          <w:sz w:val="24"/>
        </w:rPr>
        <w:t>改进成本最低、见效最快的一项恰恰不是产业界最关注的那一项</w:t>
      </w:r>
      <w:r>
        <w:rPr>
          <w:rFonts w:ascii="宋体" w:hAnsi="宋体" w:eastAsia="宋体"/>
          <w:sz w:val="24"/>
        </w:rPr>
        <w:t>：产业讨论几乎全部聚焦于「卡是否闲着」，而本书的分解显示，「卡忙着但忙错了事」造成的损失并不更小。</w:t>
      </w:r>
    </w:p>
    <w:p>
      <w:pPr>
        <w:keepNext/>
        <w:spacing w:before="160" w:after="120" w:line="360" w:lineRule="auto"/>
        <w:outlineLvl w:val="2"/>
      </w:pPr>
      <w:r>
        <w:rPr>
          <w:rFonts w:ascii="黑体" w:hAnsi="黑体" w:eastAsia="黑体"/>
          <w:sz w:val="24"/>
        </w:rPr>
        <w:t>9.2.2  四项损失的形成机制</w:t>
      </w:r>
    </w:p>
    <w:p>
      <w:pPr>
        <w:spacing w:line="360" w:lineRule="auto" w:after="0"/>
        <w:ind w:firstLineChars="200" w:firstLine="480"/>
        <w:jc w:val="both"/>
      </w:pPr>
      <w:r>
        <w:rPr>
          <w:rFonts w:ascii="宋体" w:hAnsi="宋体" w:eastAsia="宋体"/>
          <w:b/>
          <w:sz w:val="24"/>
        </w:rPr>
        <w:t>空转损失</w:t>
      </w:r>
      <w:r>
        <w:rPr>
          <w:rFonts w:ascii="宋体" w:hAnsi="宋体" w:eastAsia="宋体"/>
          <w:sz w:val="24"/>
        </w:rPr>
        <w:t>源于三重不可共享性。其一是时间维度的不可共享：推理负载具有显著的日内与周内峰谷，为满足高峰时段的服务水平承诺，运营方必须按峰值配置容量，谷时的冗余即成为空转；峰谷比越高，空转损失越大。其二是任务维度的不可共享：训练负载与推理负载对显存容量、互联拓扑与故障容忍度的要求截然不同，二者之间的切换并非零成本，「训练闲时跑推理」在工程上远不像在账面上那样自然。其三是主体维度的不可共享，即第 8 章识别的算力孤岛：不同所有者、不同区域、不同技术栈的算力之间缺乏互联互通与结算机制，一处闲置无法填补另一处短缺。三重不可共享性叠加，使得空转损失在很大程度上是</w:t>
      </w:r>
      <w:r>
        <w:rPr>
          <w:rFonts w:ascii="宋体" w:hAnsi="宋体" w:eastAsia="宋体"/>
          <w:b/>
          <w:sz w:val="24"/>
        </w:rPr>
        <w:t>制度性</w:t>
      </w:r>
      <w:r>
        <w:rPr>
          <w:rFonts w:ascii="宋体" w:hAnsi="宋体" w:eastAsia="宋体"/>
          <w:sz w:val="24"/>
        </w:rPr>
        <w:t>的而非技术性的——头部云厂商、互联网企业与人工智能自研公司的核心集群利用率可达八成以上，正说明在单一主体内部实现资源池化时空转是可以被大幅压缩的。</w:t>
      </w:r>
    </w:p>
    <w:p>
      <w:pPr>
        <w:spacing w:line="360" w:lineRule="auto" w:after="0"/>
        <w:ind w:firstLineChars="200" w:firstLine="480"/>
        <w:jc w:val="both"/>
      </w:pPr>
      <w:r>
        <w:rPr>
          <w:rFonts w:ascii="宋体" w:hAnsi="宋体" w:eastAsia="宋体"/>
          <w:b/>
          <w:sz w:val="24"/>
        </w:rPr>
        <w:t>批次损失</w:t>
      </w:r>
      <w:r>
        <w:rPr>
          <w:rFonts w:ascii="宋体" w:hAnsi="宋体" w:eastAsia="宋体"/>
          <w:sz w:val="24"/>
        </w:rPr>
        <w:t>源于推理服务的并发组织方式。大模型推理由预填充与解码两个阶段构成：预填充阶段并行处理整段提示，属计算受限；解码阶段逐词元自回归生成，属访存受限。两个阶段的资源画像截然不同，若采用静态批处理，则批内最长请求决定整批的完成时间，短请求被迫等待，造成队头阻塞与显存碎片；批大小过小则无法摊薄权重读取开销，批大小过大则时延不可接受。近年推理系统沿四条路线压缩这一损失：迭代级的连续批处理（Yu等，2022）、分页式的显存管理（Kwon等，2023）、分块预填充（Agrawal等，2024）与预填充—解码分离（Zhong等，2024）。批次损失的关键性质是它</w:t>
      </w:r>
      <w:r>
        <w:rPr>
          <w:rFonts w:ascii="宋体" w:hAnsi="宋体" w:eastAsia="宋体"/>
          <w:b/>
          <w:sz w:val="24"/>
        </w:rPr>
        <w:t>受服务水平约束的硬性限制</w:t>
      </w:r>
      <w:r>
        <w:rPr>
          <w:rFonts w:ascii="宋体" w:hAnsi="宋体" w:eastAsia="宋体"/>
          <w:sz w:val="24"/>
        </w:rPr>
        <w:t>：批大小的可行上限由时延承诺决定，因而它不是一个可以无限压缩的量。9.4 节将给出这一权衡的显式刻画。</w:t>
      </w:r>
    </w:p>
    <w:p>
      <w:pPr>
        <w:spacing w:line="360" w:lineRule="auto" w:after="0"/>
        <w:ind w:firstLineChars="200" w:firstLine="480"/>
        <w:jc w:val="both"/>
      </w:pPr>
      <w:r>
        <w:rPr>
          <w:rFonts w:ascii="宋体" w:hAnsi="宋体" w:eastAsia="宋体"/>
          <w:b/>
          <w:sz w:val="24"/>
        </w:rPr>
        <w:t>匹配损失</w:t>
      </w:r>
      <w:r>
        <w:rPr>
          <w:rFonts w:ascii="宋体" w:hAnsi="宋体" w:eastAsia="宋体"/>
          <w:sz w:val="24"/>
        </w:rPr>
        <w:t xml:space="preserve">是本章的核心概念，也是四项损失中唯一必须在标准词元口径下才能被识别的一项。记任务集为 </w:t>
      </w:r>
      <m:oMath>
        <m:r>
          <m:rPr>
            <m:scr m:val="script"/>
            <m:sty m:val="p"/>
          </m:rPr>
          <m:t>J</m:t>
        </m:r>
      </m:oMath>
      <w:r>
        <w:rPr>
          <w:rFonts w:ascii="宋体" w:hAnsi="宋体" w:eastAsia="宋体"/>
          <w:sz w:val="24"/>
        </w:rPr>
        <w:t xml:space="preserve">，任务 </w:t>
      </w:r>
      <m:oMath>
        <m:r>
          <m:t>j</m:t>
        </m:r>
      </m:oMath>
      <w:r>
        <w:rPr>
          <w:rFonts w:ascii="宋体" w:hAnsi="宋体" w:eastAsia="宋体"/>
          <w:sz w:val="24"/>
        </w:rPr>
        <w:t xml:space="preserve"> 的标准词元需求量为 </w:t>
      </w:r>
      <m:oMath>
        <m:sSub>
          <m:e>
            <m:r>
              <m:t>D</m:t>
            </m:r>
          </m:e>
          <m:sub>
            <m:r>
              <m:t>j</m:t>
            </m:r>
          </m:sub>
        </m:sSub>
      </m:oMath>
      <w:r>
        <w:rPr>
          <w:rFonts w:ascii="宋体" w:hAnsi="宋体" w:eastAsia="宋体"/>
          <w:sz w:val="24"/>
        </w:rPr>
        <w:t xml:space="preserve">，其可行档位集合为 </w:t>
      </w:r>
      <m:oMath>
        <m:sSub>
          <m:e>
            <m:r>
              <m:rPr>
                <m:scr m:val="script"/>
                <m:sty m:val="p"/>
              </m:rPr>
              <m:t>M</m:t>
            </m:r>
          </m:e>
          <m:sub>
            <m:r>
              <m:t>j</m:t>
            </m:r>
          </m:sub>
        </m:sSub>
        <m:r>
          <m:rPr>
            <m:sty m:val="p"/>
          </m:rPr>
          <m:t>⊆</m:t>
        </m:r>
        <m:r>
          <m:rPr>
            <m:scr m:val="script"/>
            <m:sty m:val="p"/>
          </m:rPr>
          <m:t>M</m:t>
        </m:r>
      </m:oMath>
      <w:r>
        <w:rPr>
          <w:rFonts w:ascii="宋体" w:hAnsi="宋体" w:eastAsia="宋体"/>
          <w:sz w:val="24"/>
        </w:rPr>
        <w:t>（即达成度不低于任务门槛的档位），实际匹配由 0-1 矩阵</w:t>
      </w:r>
      <m:oMath>
        <m:r>
          <m:rPr>
            <m:sty m:val="b"/>
          </m:rPr>
          <m:t>X</m:t>
        </m:r>
        <m:r>
          <m:rPr>
            <m:sty m:val="p"/>
          </m:rPr>
          <m:t>=</m:t>
        </m:r>
        <m:d>
          <m:dPr>
            <m:begChr m:val="["/>
            <m:endChr m:val="]"/>
            <m:grow/>
          </m:dPr>
          <m:e>
            <m:sSub>
              <m:e>
                <m:r>
                  <m:t>x</m:t>
                </m:r>
              </m:e>
              <m:sub>
                <m:r>
                  <m:t>j</m:t>
                </m:r>
                <m:r>
                  <m:t>m</m:t>
                </m:r>
              </m:sub>
            </m:sSub>
          </m:e>
        </m:d>
      </m:oMath>
      <w:r>
        <w:rPr>
          <w:rFonts w:ascii="宋体" w:hAnsi="宋体" w:eastAsia="宋体"/>
          <w:sz w:val="24"/>
        </w:rPr>
        <w:t xml:space="preserve"> 给出，</w:t>
      </w:r>
      <m:oMath>
        <m:sSub>
          <m:e>
            <m:r>
              <m:t>r</m:t>
            </m:r>
          </m:e>
          <m:sub>
            <m:r>
              <m:t>j</m:t>
            </m:r>
            <m:r>
              <m:t>m</m:t>
            </m:r>
          </m:sub>
        </m:sSub>
        <m:r>
          <m:rPr>
            <m:sty m:val="p"/>
          </m:rPr>
          <m:t>≥</m:t>
        </m:r>
        <m:r>
          <m:t>0</m:t>
        </m:r>
      </m:oMath>
      <w:r>
        <w:rPr>
          <w:rFonts w:ascii="宋体" w:hAnsi="宋体" w:eastAsia="宋体"/>
          <w:sz w:val="24"/>
        </w:rPr>
        <w:t xml:space="preserve"> 为档位 </w:t>
      </w:r>
      <m:oMath>
        <m:r>
          <m:t>m</m:t>
        </m:r>
      </m:oMath>
      <w:r>
        <w:rPr>
          <w:rFonts w:ascii="宋体" w:hAnsi="宋体" w:eastAsia="宋体"/>
          <w:sz w:val="24"/>
        </w:rPr>
        <w:t xml:space="preserve"> 承接任务 </w:t>
      </w:r>
      <m:oMath>
        <m:r>
          <m:t>j</m:t>
        </m:r>
      </m:oMath>
      <w:r>
        <w:rPr>
          <w:rFonts w:ascii="宋体" w:hAnsi="宋体" w:eastAsia="宋体"/>
          <w:sz w:val="24"/>
        </w:rPr>
        <w:t xml:space="preserve"> 时的返工率（能力不足导致的重试与人工修正所引致的额外词元消耗比例）。匹配损失的显式定义见式(9-7)。</w:t>
      </w:r>
    </w:p>
    <w:p>
      <w:pPr>
        <w:tabs>
          <w:tab w:pos="4252" w:val="center"/>
          <w:tab w:pos="8504" w:val="right"/>
        </w:tabs>
        <w:spacing w:line="360" w:lineRule="auto" w:before="80" w:after="80"/>
      </w:pPr>
      <w:r>
        <w:tab/>
      </w:r>
      <m:oMath>
        <m:sSub>
          <m:e>
            <m:r>
              <m:t>δ</m:t>
            </m:r>
          </m:e>
          <m:sub>
            <m:r>
              <m:t>M</m:t>
            </m:r>
          </m:sub>
        </m:sSub>
        <m:r>
          <m:rPr>
            <m:sty m:val="p"/>
          </m:rPr>
          <m:t>=</m:t>
        </m:r>
        <m:r>
          <m:t>1</m:t>
        </m:r>
        <m:r>
          <m:rPr>
            <m:sty m:val="p"/>
          </m:rPr>
          <m:t>−</m:t>
        </m:r>
        <m:f>
          <m:fPr>
            <m:type m:val="bar"/>
          </m:fPr>
          <m:num>
            <m:nary>
              <m:naryPr>
                <m:chr m:val="∑"/>
                <m:limLoc m:val="undOvr"/>
                <m:subHide m:val="off"/>
                <m:supHide m:val="on"/>
              </m:naryPr>
              <m:sub>
                <m:r>
                  <m:t>j</m:t>
                </m:r>
                <m:r>
                  <m:rPr>
                    <m:sty m:val="p"/>
                  </m:rPr>
                  <m:t>∈</m:t>
                </m:r>
                <m:r>
                  <m:rPr>
                    <m:scr m:val="script"/>
                    <m:sty m:val="p"/>
                  </m:rPr>
                  <m:t>J</m:t>
                </m:r>
              </m:sub>
              <m:sup>
                <m:r>
                  <m:t>​</m:t>
                </m:r>
              </m:sup>
              <m:e>
                <m:f>
                  <m:fPr>
                    <m:type m:val="bar"/>
                  </m:fPr>
                  <m:num>
                    <m:sSub>
                      <m:e>
                        <m:r>
                          <m:t>D</m:t>
                        </m:r>
                      </m:e>
                      <m:sub>
                        <m:r>
                          <m:t>j</m:t>
                        </m:r>
                      </m:sub>
                    </m:sSub>
                  </m:num>
                  <m:den>
                    <m:sSub>
                      <m:e>
                        <m:r>
                          <m:t>θ</m:t>
                        </m:r>
                      </m:e>
                      <m:sub>
                        <m:sSup>
                          <m:e>
                            <m:r>
                              <m:t>m</m:t>
                            </m:r>
                          </m:e>
                          <m:sup>
                            <m:r>
                              <m:rPr>
                                <m:sty m:val="p"/>
                              </m:rPr>
                              <m:t>∗</m:t>
                            </m:r>
                          </m:sup>
                        </m:sSup>
                        <m:d>
                          <m:dPr>
                            <m:begChr m:val="("/>
                            <m:endChr m:val=")"/>
                            <m:grow/>
                          </m:dPr>
                          <m:e>
                            <m:r>
                              <m:t>j</m:t>
                            </m:r>
                          </m:e>
                        </m:d>
                      </m:sub>
                    </m:sSub>
                  </m:den>
                </m:f>
              </m:e>
            </m:nary>
          </m:num>
          <m:den>
            <m:nary>
              <m:naryPr>
                <m:chr m:val="∑"/>
                <m:limLoc m:val="undOvr"/>
                <m:subHide m:val="off"/>
                <m:supHide m:val="on"/>
              </m:naryPr>
              <m:sub>
                <m:r>
                  <m:t>j</m:t>
                </m:r>
                <m:r>
                  <m:rPr>
                    <m:sty m:val="p"/>
                  </m:rPr>
                  <m:t>∈</m:t>
                </m:r>
                <m:r>
                  <m:rPr>
                    <m:scr m:val="script"/>
                    <m:sty m:val="p"/>
                  </m:rPr>
                  <m:t>J</m:t>
                </m:r>
              </m:sub>
              <m:sup>
                <m:r>
                  <m:t>​</m:t>
                </m:r>
              </m:sup>
              <m:e>
                <m:nary>
                  <m:naryPr>
                    <m:chr m:val="∑"/>
                    <m:limLoc m:val="undOvr"/>
                    <m:subHide m:val="off"/>
                    <m:supHide m:val="on"/>
                  </m:naryPr>
                  <m:sub>
                    <m:r>
                      <m:t>m</m:t>
                    </m:r>
                    <m:r>
                      <m:rPr>
                        <m:sty m:val="p"/>
                      </m:rPr>
                      <m:t>∈</m:t>
                    </m:r>
                    <m:r>
                      <m:rPr>
                        <m:scr m:val="script"/>
                        <m:sty m:val="p"/>
                      </m:rPr>
                      <m:t>M</m:t>
                    </m:r>
                  </m:sub>
                  <m:sup>
                    <m:r>
                      <m:t>​</m:t>
                    </m:r>
                  </m:sup>
                  <m:e>
                    <m:sSub>
                      <m:e>
                        <m:r>
                          <m:t>x</m:t>
                        </m:r>
                      </m:e>
                      <m:sub>
                        <m:r>
                          <m:t>j</m:t>
                        </m:r>
                        <m:r>
                          <m:t>m</m:t>
                        </m:r>
                      </m:sub>
                    </m:sSub>
                  </m:e>
                </m:nary>
              </m:e>
            </m:nary>
            <m:f>
              <m:fPr>
                <m:type m:val="bar"/>
              </m:fPr>
              <m:num>
                <m:d>
                  <m:dPr>
                    <m:begChr m:val="("/>
                    <m:endChr m:val=")"/>
                    <m:grow/>
                  </m:dPr>
                  <m:e>
                    <m:r>
                      <m:t>1</m:t>
                    </m:r>
                    <m:r>
                      <m:rPr>
                        <m:sty m:val="p"/>
                      </m:rPr>
                      <m:t>+</m:t>
                    </m:r>
                    <m:sSub>
                      <m:e>
                        <m:r>
                          <m:t>r</m:t>
                        </m:r>
                      </m:e>
                      <m:sub>
                        <m:r>
                          <m:t>j</m:t>
                        </m:r>
                        <m:r>
                          <m:t>m</m:t>
                        </m:r>
                      </m:sub>
                    </m:sSub>
                  </m:e>
                </m:d>
                <m:sSub>
                  <m:e>
                    <m:r>
                      <m:t>D</m:t>
                    </m:r>
                  </m:e>
                  <m:sub>
                    <m:r>
                      <m:t>j</m:t>
                    </m:r>
                  </m:sub>
                </m:sSub>
              </m:num>
              <m:den>
                <m:sSub>
                  <m:e>
                    <m:r>
                      <m:t>θ</m:t>
                    </m:r>
                  </m:e>
                  <m:sub>
                    <m:r>
                      <m:t>m</m:t>
                    </m:r>
                  </m:sub>
                </m:sSub>
              </m:den>
            </m:f>
          </m:den>
        </m:f>
        <m:r>
          <m:rPr>
            <m:sty m:val="p"/>
          </m:rPr>
          <m:t>,</m:t>
        </m:r>
        <m:r>
          <m:t>  </m:t>
        </m:r>
        <m:sSup>
          <m:e>
            <m:r>
              <m:t>m</m:t>
            </m:r>
          </m:e>
          <m:sup>
            <m:r>
              <m:rPr>
                <m:sty m:val="p"/>
              </m:rPr>
              <m:t>∗</m:t>
            </m:r>
          </m:sup>
        </m:sSup>
        <m:d>
          <m:dPr>
            <m:begChr m:val="("/>
            <m:endChr m:val=")"/>
            <m:grow/>
          </m:dPr>
          <m:e>
            <m:r>
              <m:t>j</m:t>
            </m:r>
          </m:e>
        </m:d>
        <m:r>
          <m:rPr>
            <m:sty m:val="p"/>
          </m:rPr>
          <m:t>=</m:t>
        </m:r>
        <m:r>
          <m:rPr>
            <m:sty m:val="p"/>
          </m:rPr>
          <m:t>arg</m:t>
        </m:r>
        <m:sSub>
          <m:e>
            <m:r>
              <m:rPr>
                <m:sty m:val="p"/>
              </m:rPr>
              <m:t>max</m:t>
            </m:r>
          </m:e>
          <m:sub>
            <m:r>
              <m:t>m</m:t>
            </m:r>
            <m:r>
              <m:rPr>
                <m:sty m:val="p"/>
              </m:rPr>
              <m:t>∈</m:t>
            </m:r>
            <m:sSub>
              <m:e>
                <m:r>
                  <m:rPr>
                    <m:scr m:val="script"/>
                    <m:sty m:val="p"/>
                  </m:rPr>
                  <m:t>M</m:t>
                </m:r>
              </m:e>
              <m:sub>
                <m:r>
                  <m:t>j</m:t>
                </m:r>
              </m:sub>
            </m:sSub>
          </m:sub>
        </m:sSub>
        <m:sSub>
          <m:e>
            <m:r>
              <m:t>θ</m:t>
            </m:r>
          </m:e>
          <m:sub>
            <m:r>
              <m:t>m</m:t>
            </m:r>
          </m:sub>
        </m:sSub>
      </m:oMath>
      <w:r>
        <w:tab/>
      </w:r>
      <w:r>
        <w:rPr>
          <w:rFonts w:ascii="Times New Roman" w:hAnsi="Times New Roman" w:eastAsia="宋体"/>
          <w:sz w:val="24"/>
        </w:rPr>
        <w:t>(9-7)</w:t>
      </w:r>
    </w:p>
    <w:p>
      <w:pPr>
        <w:spacing w:line="360" w:lineRule="auto" w:after="0"/>
        <w:jc w:val="both"/>
      </w:pPr>
      <w:r>
        <w:rPr>
          <w:rFonts w:ascii="宋体" w:hAnsi="宋体" w:eastAsia="宋体"/>
          <w:sz w:val="24"/>
        </w:rPr>
        <w:t>其中，分子为在最优匹配下交付全部任务所需的算力，分母为在实际匹配下交付同样任务所实际消耗的算力；</w:t>
      </w:r>
      <m:oMath>
        <m:sSup>
          <m:e>
            <m:r>
              <m:t>m</m:t>
            </m:r>
          </m:e>
          <m:sup>
            <m:r>
              <m:rPr>
                <m:sty m:val="p"/>
              </m:rPr>
              <m:t>∗</m:t>
            </m:r>
          </m:sup>
        </m:sSup>
        <m:d>
          <m:dPr>
            <m:begChr m:val="("/>
            <m:endChr m:val=")"/>
            <m:grow/>
          </m:dPr>
          <m:e>
            <m:r>
              <m:t>j</m:t>
            </m:r>
          </m:e>
        </m:d>
      </m:oMath>
      <w:r>
        <w:rPr>
          <w:rFonts w:ascii="宋体" w:hAnsi="宋体" w:eastAsia="宋体"/>
          <w:sz w:val="24"/>
        </w:rPr>
        <w:t>为任务</w:t>
      </w:r>
      <m:oMath>
        <m:r>
          <m:t>j</m:t>
        </m:r>
      </m:oMath>
      <w:r>
        <w:rPr>
          <w:rFonts w:ascii="宋体" w:hAnsi="宋体" w:eastAsia="宋体"/>
          <w:sz w:val="24"/>
        </w:rPr>
        <w:t>的可行档位中转化效率最高者，即「够用的最低档位」。</w:t>
      </w:r>
    </w:p>
    <w:p>
      <w:pPr>
        <w:spacing w:line="360" w:lineRule="auto" w:after="0"/>
        <w:ind w:firstLineChars="200" w:firstLine="480"/>
        <w:jc w:val="both"/>
      </w:pPr>
      <w:r>
        <w:rPr>
          <w:rFonts w:ascii="宋体" w:hAnsi="宋体" w:eastAsia="宋体"/>
          <w:sz w:val="24"/>
        </w:rPr>
        <w:t>式(9-7)把匹配损失表述为算力消耗的相对冗余，其结构揭示出两类方向相反的错配。</w:t>
      </w:r>
      <w:r>
        <w:rPr>
          <w:rFonts w:ascii="宋体" w:hAnsi="宋体" w:eastAsia="宋体"/>
          <w:b/>
          <w:sz w:val="24"/>
        </w:rPr>
        <w:t>上溢</w:t>
      </w:r>
      <w:r>
        <w:rPr>
          <w:rFonts w:ascii="宋体" w:hAnsi="宋体" w:eastAsia="宋体"/>
          <w:sz w:val="24"/>
        </w:rPr>
        <w:t xml:space="preserve">是指实际档位高于 </w:t>
      </w:r>
      <m:oMath>
        <m:sSup>
          <m:e>
            <m:r>
              <m:t>m</m:t>
            </m:r>
          </m:e>
          <m:sup>
            <m:r>
              <m:rPr>
                <m:sty m:val="p"/>
              </m:rPr>
              <m:t>∗</m:t>
            </m:r>
          </m:sup>
        </m:sSup>
        <m:d>
          <m:dPr>
            <m:begChr m:val="("/>
            <m:endChr m:val=")"/>
            <m:grow/>
          </m:dPr>
          <m:e>
            <m:r>
              <m:t>j</m:t>
            </m:r>
          </m:e>
        </m:d>
      </m:oMath>
      <w:r>
        <w:rPr>
          <w:rFonts w:ascii="宋体" w:hAnsi="宋体" w:eastAsia="宋体"/>
          <w:sz w:val="24"/>
        </w:rPr>
        <w:t>，即用推理增强级模型处理本可由中型通用级完成的知识问答。上溢不会导致任务失败，</w:t>
      </w:r>
      <m:oMath>
        <m:sSub>
          <m:e>
            <m:r>
              <m:t>r</m:t>
            </m:r>
          </m:e>
          <m:sub>
            <m:r>
              <m:t>j</m:t>
            </m:r>
            <m:r>
              <m:t>m</m:t>
            </m:r>
          </m:sub>
        </m:sSub>
        <m:r>
          <m:rPr>
            <m:sty m:val="p"/>
          </m:rPr>
          <m:t>=</m:t>
        </m:r>
        <m:r>
          <m:t>0</m:t>
        </m:r>
      </m:oMath>
      <w:r>
        <w:rPr>
          <w:rFonts w:ascii="宋体" w:hAnsi="宋体" w:eastAsia="宋体"/>
          <w:sz w:val="24"/>
        </w:rPr>
        <w:t xml:space="preserve">，其损失是纯粹的算力冗余，大小等于 </w:t>
      </w:r>
      <m:oMath>
        <m:sSub>
          <m:e>
            <m:r>
              <m:t>θ</m:t>
            </m:r>
          </m:e>
          <m:sub>
            <m:sSup>
              <m:e>
                <m:r>
                  <m:t>m</m:t>
                </m:r>
              </m:e>
              <m:sup>
                <m:r>
                  <m:rPr>
                    <m:sty m:val="p"/>
                  </m:rPr>
                  <m:t>∗</m:t>
                </m:r>
              </m:sup>
            </m:sSup>
            <m:d>
              <m:dPr>
                <m:begChr m:val="("/>
                <m:endChr m:val=")"/>
                <m:grow/>
              </m:dPr>
              <m:e>
                <m:r>
                  <m:t>j</m:t>
                </m:r>
              </m:e>
            </m:d>
          </m:sub>
        </m:sSub>
        <m:r>
          <m:rPr>
            <m:sty m:val="p"/>
          </m:rPr>
          <m:t>/</m:t>
        </m:r>
        <m:sSub>
          <m:e>
            <m:r>
              <m:t>θ</m:t>
            </m:r>
          </m:e>
          <m:sub>
            <m:r>
              <m:t>m</m:t>
            </m:r>
          </m:sub>
        </m:sSub>
        <m:r>
          <m:rPr>
            <m:sty m:val="p"/>
          </m:rPr>
          <m:t>−</m:t>
        </m:r>
        <m:r>
          <m:t>1</m:t>
        </m:r>
      </m:oMath>
      <w:r>
        <w:rPr>
          <w:rFonts w:ascii="宋体" w:hAnsi="宋体" w:eastAsia="宋体"/>
          <w:sz w:val="24"/>
        </w:rPr>
        <w:t>，随档位差距线性扩大。</w:t>
      </w:r>
      <w:r>
        <w:rPr>
          <w:rFonts w:ascii="宋体" w:hAnsi="宋体" w:eastAsia="宋体"/>
          <w:b/>
          <w:sz w:val="24"/>
        </w:rPr>
        <w:t>下溢</w:t>
      </w:r>
      <w:r>
        <w:rPr>
          <w:rFonts w:ascii="宋体" w:hAnsi="宋体" w:eastAsia="宋体"/>
          <w:sz w:val="24"/>
        </w:rPr>
        <w:t xml:space="preserve">是指实际档位不在可行集内，即用能力不足的模型承接超出其能力的任务。下溢的损失有两个来源：一是返工率 </w:t>
      </w:r>
      <m:oMath>
        <m:sSub>
          <m:e>
            <m:r>
              <m:t>r</m:t>
            </m:r>
          </m:e>
          <m:sub>
            <m:r>
              <m:t>j</m:t>
            </m:r>
            <m:r>
              <m:t>m</m:t>
            </m:r>
          </m:sub>
        </m:sSub>
      </m:oMath>
      <w:r>
        <w:rPr>
          <w:rFonts w:ascii="宋体" w:hAnsi="宋体" w:eastAsia="宋体"/>
          <w:sz w:val="24"/>
        </w:rPr>
        <w:t xml:space="preserve"> 带来的额外算力消耗，二是即便反复重试仍未达成任务目标所造成的效值折损（后者被计入 </w:t>
      </w:r>
      <m:oMath>
        <m:sSub>
          <m:e>
            <m:r>
              <m:t>δ</m:t>
            </m:r>
          </m:e>
          <m:sub>
            <m:r>
              <m:t>V</m:t>
            </m:r>
          </m:sub>
        </m:sSub>
      </m:oMath>
      <w:r>
        <w:rPr>
          <w:rFonts w:ascii="宋体" w:hAnsi="宋体" w:eastAsia="宋体"/>
          <w:sz w:val="24"/>
        </w:rPr>
        <w:t>）。关键在于两类错配的损失函数形状不同：上溢的损失是</w:t>
      </w:r>
      <w:r>
        <w:rPr>
          <w:rFonts w:ascii="宋体" w:hAnsi="宋体" w:eastAsia="宋体"/>
          <w:b/>
          <w:sz w:val="24"/>
        </w:rPr>
        <w:t>线性</w:t>
      </w:r>
      <w:r>
        <w:rPr>
          <w:rFonts w:ascii="宋体" w:hAnsi="宋体" w:eastAsia="宋体"/>
          <w:sz w:val="24"/>
        </w:rPr>
        <w:t>的，下溢的损失随能力缺口扩大而</w:t>
      </w:r>
      <w:r>
        <w:rPr>
          <w:rFonts w:ascii="宋体" w:hAnsi="宋体" w:eastAsia="宋体"/>
          <w:b/>
          <w:sz w:val="24"/>
        </w:rPr>
        <w:t>凸性</w:t>
      </w:r>
      <w:r>
        <w:rPr>
          <w:rFonts w:ascii="宋体" w:hAnsi="宋体" w:eastAsia="宋体"/>
          <w:sz w:val="24"/>
        </w:rPr>
        <w:t>上升——能力缺口稍大，返工率便急剧攀升乃至任务完全不可达成。这一非对称性意味着，在任务难度不可完全预知的现实条件下，理性的调度策略必然带有安全边际，即宁可轻度上溢也不下溢。这既解释了实践中高档位模型被过度调用的部分合理性，也说明匹配损失不可能被压缩至零——它的下界由任务难度的可预测性决定，而任务难度的可预测性又取决于任务侧的标准化程度。</w:t>
      </w:r>
    </w:p>
    <w:p>
      <w:pPr>
        <w:spacing w:line="360" w:lineRule="auto" w:after="0"/>
        <w:ind w:firstLineChars="200" w:firstLine="480"/>
        <w:jc w:val="both"/>
      </w:pPr>
      <w:r>
        <w:rPr>
          <w:rFonts w:ascii="宋体" w:hAnsi="宋体" w:eastAsia="宋体"/>
          <w:b/>
          <w:sz w:val="24"/>
        </w:rPr>
        <w:t>效值损失</w:t>
      </w:r>
      <w:r>
        <w:rPr>
          <w:rFonts w:ascii="宋体" w:hAnsi="宋体" w:eastAsia="宋体"/>
          <w:sz w:val="24"/>
        </w:rPr>
        <w:t>衡量的是：在给定档位与给定匹配下，实际产出词元的效值低于该档位在该任务上可达效值上界的部分。其来源有四：一是提示与上下文的冗余，即大量不承载有效信息的词元被计入产出；二是重复生成与格式冗余，典型如未做结构化约束的长篇输出；三是缓存未命中导致的前缀重复预填充，同一段上下文被反复计算；四是场景效用维度的实现不足，即模型能力虽已达标但应用侧未把输出转化为业务价值。前三项属技术性损失，第四项属组织性损失。效值损失与匹配损失的边界由式(9-5)的反事实次序严格界定：匹配损失衡量「用错了档位」造成的算力冗余，效值损失衡量「档位用对了但词元没生成好」造成的价值折损，二者不重叠。把四项损失的界定、机制、可观测代理与矫正工具汇总，见表9.1。</w:t>
      </w:r>
    </w:p>
    <w:p>
      <w:pPr>
        <w:keepNext/>
        <w:spacing w:before="160" w:after="40"/>
        <w:jc w:val="center"/>
      </w:pPr>
      <w:r>
        <w:rPr>
          <w:rFonts w:ascii="黑体" w:hAnsi="黑体" w:eastAsia="黑体"/>
          <w:sz w:val="21"/>
        </w:rPr>
        <w:t>表9.1  算力—词元转化的四项损失：机制、代理指标与矫正工具</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损失项</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相对损失率／折余后利用率</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形成机制</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可观测代理指标</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矫正工具与责任层级</w:t>
            </w:r>
          </w:p>
        </w:tc>
      </w:tr>
      <w:tr>
        <w:tc>
          <w:tcPr>
            <w:tcW w:type="dxa" w:w="1701"/>
            <w:vAlign w:val="center"/>
          </w:tcPr>
          <w:p>
            <w:pPr>
              <w:spacing w:line="240" w:lineRule="auto" w:after="20" w:before="20"/>
              <w:jc w:val="left"/>
            </w:pPr>
            <w:r/>
            <w:r>
              <w:rPr>
                <w:rFonts w:ascii="宋体" w:hAnsi="宋体" w:eastAsia="宋体"/>
                <w:sz w:val="21"/>
              </w:rPr>
              <w:t>① 空转损失</w:t>
            </w:r>
          </w:p>
        </w:tc>
        <w:tc>
          <w:tcPr>
            <w:tcW w:type="dxa" w:w="1701"/>
            <w:vAlign w:val="center"/>
          </w:tcPr>
          <w:p>
            <w:pPr>
              <w:spacing w:line="240" w:lineRule="auto" w:after="20" w:before="20"/>
              <w:jc w:val="center"/>
            </w:pPr>
            <w:r/>
            <w:r>
              <w:rPr>
                <w:rFonts w:ascii="宋体" w:hAnsi="宋体" w:eastAsia="宋体"/>
                <w:sz w:val="21"/>
              </w:rPr>
              <w:t>18.0%／50.8%</w:t>
            </w:r>
          </w:p>
        </w:tc>
        <w:tc>
          <w:tcPr>
            <w:tcW w:type="dxa" w:w="1701"/>
            <w:vAlign w:val="center"/>
          </w:tcPr>
          <w:p>
            <w:pPr>
              <w:spacing w:line="240" w:lineRule="auto" w:after="20" w:before="20"/>
              <w:jc w:val="left"/>
            </w:pPr>
            <w:r/>
            <w:r>
              <w:rPr>
                <w:rFonts w:ascii="宋体" w:hAnsi="宋体" w:eastAsia="宋体"/>
                <w:sz w:val="21"/>
              </w:rPr>
              <w:t>负载时变性与峰值容量预留；训练与推理负载不可即时互换；跨主体、跨区域算力不可互调</w:t>
            </w:r>
          </w:p>
        </w:tc>
        <w:tc>
          <w:tcPr>
            <w:tcW w:type="dxa" w:w="1701"/>
            <w:vAlign w:val="center"/>
          </w:tcPr>
          <w:p>
            <w:pPr>
              <w:spacing w:line="240" w:lineRule="auto" w:after="20" w:before="20"/>
              <w:jc w:val="left"/>
            </w:pPr>
            <w:r/>
            <w:r>
              <w:rPr>
                <w:rFonts w:ascii="宋体" w:hAnsi="宋体" w:eastAsia="宋体"/>
                <w:sz w:val="21"/>
              </w:rPr>
              <w:t>加速卡卡时占用率、日内峰谷比、预留冗余率、跨域调度成功率</w:t>
            </w:r>
          </w:p>
        </w:tc>
        <w:tc>
          <w:tcPr>
            <w:tcW w:type="dxa" w:w="1701"/>
            <w:vAlign w:val="center"/>
          </w:tcPr>
          <w:p>
            <w:pPr>
              <w:spacing w:line="240" w:lineRule="auto" w:after="20" w:before="20"/>
              <w:jc w:val="left"/>
            </w:pPr>
            <w:r/>
            <w:r>
              <w:rPr>
                <w:rFonts w:ascii="宋体" w:hAnsi="宋体" w:eastAsia="宋体"/>
                <w:sz w:val="21"/>
              </w:rPr>
              <w:t>算力池化与一体化调度平台；跨域计量与结算；产能交易机制（算力运营方与调度平台）</w:t>
            </w:r>
          </w:p>
        </w:tc>
      </w:tr>
      <w:tr>
        <w:tc>
          <w:tcPr>
            <w:tcW w:type="dxa" w:w="1701"/>
            <w:vAlign w:val="center"/>
          </w:tcPr>
          <w:p>
            <w:pPr>
              <w:spacing w:line="240" w:lineRule="auto" w:after="20" w:before="20"/>
              <w:jc w:val="left"/>
            </w:pPr>
            <w:r/>
            <w:r>
              <w:rPr>
                <w:rFonts w:ascii="宋体" w:hAnsi="宋体" w:eastAsia="宋体"/>
                <w:sz w:val="21"/>
              </w:rPr>
              <w:t>② 批次损失</w:t>
            </w:r>
          </w:p>
        </w:tc>
        <w:tc>
          <w:tcPr>
            <w:tcW w:type="dxa" w:w="1701"/>
            <w:vAlign w:val="center"/>
          </w:tcPr>
          <w:p>
            <w:pPr>
              <w:spacing w:line="240" w:lineRule="auto" w:after="20" w:before="20"/>
              <w:jc w:val="center"/>
            </w:pPr>
            <w:r/>
            <w:r>
              <w:rPr>
                <w:rFonts w:ascii="宋体" w:hAnsi="宋体" w:eastAsia="宋体"/>
                <w:sz w:val="21"/>
              </w:rPr>
              <w:t>9.0%／46.3%</w:t>
            </w:r>
          </w:p>
        </w:tc>
        <w:tc>
          <w:tcPr>
            <w:tcW w:type="dxa" w:w="1701"/>
            <w:vAlign w:val="center"/>
          </w:tcPr>
          <w:p>
            <w:pPr>
              <w:spacing w:line="240" w:lineRule="auto" w:after="20" w:before="20"/>
              <w:jc w:val="left"/>
            </w:pPr>
            <w:r/>
            <w:r>
              <w:rPr>
                <w:rFonts w:ascii="宋体" w:hAnsi="宋体" w:eastAsia="宋体"/>
                <w:sz w:val="21"/>
              </w:rPr>
              <w:t>批大小与并发配置欠优；预填充与解码资源画像不同；长短请求混批导致队头阻塞与显存碎片</w:t>
            </w:r>
          </w:p>
        </w:tc>
        <w:tc>
          <w:tcPr>
            <w:tcW w:type="dxa" w:w="1701"/>
            <w:vAlign w:val="center"/>
          </w:tcPr>
          <w:p>
            <w:pPr>
              <w:spacing w:line="240" w:lineRule="auto" w:after="20" w:before="20"/>
              <w:jc w:val="left"/>
            </w:pPr>
            <w:r/>
            <w:r>
              <w:rPr>
                <w:rFonts w:ascii="宋体" w:hAnsi="宋体" w:eastAsia="宋体"/>
                <w:sz w:val="21"/>
              </w:rPr>
              <w:t>批平均填充率、首词元时延分位数、输出吞吐、缓存命中率</w:t>
            </w:r>
          </w:p>
        </w:tc>
        <w:tc>
          <w:tcPr>
            <w:tcW w:type="dxa" w:w="1701"/>
            <w:vAlign w:val="center"/>
          </w:tcPr>
          <w:p>
            <w:pPr>
              <w:spacing w:line="240" w:lineRule="auto" w:after="20" w:before="20"/>
              <w:jc w:val="left"/>
            </w:pPr>
            <w:r/>
            <w:r>
              <w:rPr>
                <w:rFonts w:ascii="宋体" w:hAnsi="宋体" w:eastAsia="宋体"/>
                <w:sz w:val="21"/>
              </w:rPr>
              <w:t>连续批处理、分页显存、分块预填充、预填充—解码分离；按请求画像分池（推理服务方）</w:t>
            </w:r>
          </w:p>
        </w:tc>
      </w:tr>
      <w:tr>
        <w:tc>
          <w:tcPr>
            <w:tcW w:type="dxa" w:w="1701"/>
            <w:vAlign w:val="center"/>
          </w:tcPr>
          <w:p>
            <w:pPr>
              <w:spacing w:line="240" w:lineRule="auto" w:after="20" w:before="20"/>
              <w:jc w:val="left"/>
            </w:pPr>
            <w:r/>
            <w:r>
              <w:rPr>
                <w:rFonts w:ascii="宋体" w:hAnsi="宋体" w:eastAsia="宋体"/>
                <w:sz w:val="21"/>
              </w:rPr>
              <w:t>③ 匹配损失</w:t>
            </w:r>
          </w:p>
        </w:tc>
        <w:tc>
          <w:tcPr>
            <w:tcW w:type="dxa" w:w="1701"/>
            <w:vAlign w:val="center"/>
          </w:tcPr>
          <w:p>
            <w:pPr>
              <w:spacing w:line="240" w:lineRule="auto" w:after="20" w:before="20"/>
              <w:jc w:val="center"/>
            </w:pPr>
            <w:r/>
            <w:r>
              <w:rPr>
                <w:rFonts w:ascii="宋体" w:hAnsi="宋体" w:eastAsia="宋体"/>
                <w:sz w:val="21"/>
              </w:rPr>
              <w:t>12.0%／40.7%</w:t>
            </w:r>
          </w:p>
        </w:tc>
        <w:tc>
          <w:tcPr>
            <w:tcW w:type="dxa" w:w="1701"/>
            <w:vAlign w:val="center"/>
          </w:tcPr>
          <w:p>
            <w:pPr>
              <w:spacing w:line="240" w:lineRule="auto" w:after="20" w:before="20"/>
              <w:jc w:val="left"/>
            </w:pPr>
            <w:r/>
            <w:r>
              <w:rPr>
                <w:rFonts w:ascii="宋体" w:hAnsi="宋体" w:eastAsia="宋体"/>
                <w:sz w:val="21"/>
              </w:rPr>
              <w:t>任务难度与模型效值信息不对称；上溢（高档位承接低门槛任务）与下溢（低档位承接高门槛任务并返工）并存</w:t>
            </w:r>
          </w:p>
        </w:tc>
        <w:tc>
          <w:tcPr>
            <w:tcW w:type="dxa" w:w="1701"/>
            <w:vAlign w:val="center"/>
          </w:tcPr>
          <w:p>
            <w:pPr>
              <w:spacing w:line="240" w:lineRule="auto" w:after="20" w:before="20"/>
              <w:jc w:val="left"/>
            </w:pPr>
            <w:r/>
            <w:r>
              <w:rPr>
                <w:rFonts w:ascii="宋体" w:hAnsi="宋体" w:eastAsia="宋体"/>
                <w:sz w:val="21"/>
              </w:rPr>
              <w:t>任务—档位联合分布、返工率与重试次数、单位任务标准词元消耗的档位间离差</w:t>
            </w:r>
          </w:p>
        </w:tc>
        <w:tc>
          <w:tcPr>
            <w:tcW w:type="dxa" w:w="1701"/>
            <w:vAlign w:val="center"/>
          </w:tcPr>
          <w:p>
            <w:pPr>
              <w:spacing w:line="240" w:lineRule="auto" w:after="20" w:before="20"/>
              <w:jc w:val="left"/>
            </w:pPr>
            <w:r/>
            <w:r>
              <w:rPr>
                <w:rFonts w:ascii="宋体" w:hAnsi="宋体" w:eastAsia="宋体"/>
                <w:sz w:val="21"/>
              </w:rPr>
              <w:t>标准词元计量与效值公示；任务分级与路由规则；按效值最优匹配的统一调度（调度平台与应用方）</w:t>
            </w:r>
          </w:p>
        </w:tc>
      </w:tr>
      <w:tr>
        <w:tc>
          <w:tcPr>
            <w:tcW w:type="dxa" w:w="1701"/>
            <w:vAlign w:val="center"/>
          </w:tcPr>
          <w:p>
            <w:pPr>
              <w:spacing w:line="240" w:lineRule="auto" w:after="20" w:before="20"/>
              <w:jc w:val="left"/>
            </w:pPr>
            <w:r/>
            <w:r>
              <w:rPr>
                <w:rFonts w:ascii="宋体" w:hAnsi="宋体" w:eastAsia="宋体"/>
                <w:sz w:val="21"/>
              </w:rPr>
              <w:t>④ 效值损失</w:t>
            </w:r>
          </w:p>
        </w:tc>
        <w:tc>
          <w:tcPr>
            <w:tcW w:type="dxa" w:w="1701"/>
            <w:vAlign w:val="center"/>
          </w:tcPr>
          <w:p>
            <w:pPr>
              <w:spacing w:line="240" w:lineRule="auto" w:after="20" w:before="20"/>
              <w:jc w:val="center"/>
            </w:pPr>
            <w:r/>
            <w:r>
              <w:rPr>
                <w:rFonts w:ascii="宋体" w:hAnsi="宋体" w:eastAsia="宋体"/>
                <w:sz w:val="21"/>
              </w:rPr>
              <w:t>7.0%／37.9%</w:t>
            </w:r>
          </w:p>
        </w:tc>
        <w:tc>
          <w:tcPr>
            <w:tcW w:type="dxa" w:w="1701"/>
            <w:vAlign w:val="center"/>
          </w:tcPr>
          <w:p>
            <w:pPr>
              <w:spacing w:line="240" w:lineRule="auto" w:after="20" w:before="20"/>
              <w:jc w:val="left"/>
            </w:pPr>
            <w:r/>
            <w:r>
              <w:rPr>
                <w:rFonts w:ascii="宋体" w:hAnsi="宋体" w:eastAsia="宋体"/>
                <w:sz w:val="21"/>
              </w:rPr>
              <w:t>提示与上下文冗余；重复生成与格式冗余；缓存未命中导致前缀重复预填充；场景效用实现不足</w:t>
            </w:r>
          </w:p>
        </w:tc>
        <w:tc>
          <w:tcPr>
            <w:tcW w:type="dxa" w:w="1701"/>
            <w:vAlign w:val="center"/>
          </w:tcPr>
          <w:p>
            <w:pPr>
              <w:spacing w:line="240" w:lineRule="auto" w:after="20" w:before="20"/>
              <w:jc w:val="left"/>
            </w:pPr>
            <w:r/>
            <w:r>
              <w:rPr>
                <w:rFonts w:ascii="宋体" w:hAnsi="宋体" w:eastAsia="宋体"/>
                <w:sz w:val="21"/>
              </w:rPr>
              <w:t>有效信息词元占比、缓存命中率、单位业务成果的标准词元消耗</w:t>
            </w:r>
          </w:p>
        </w:tc>
        <w:tc>
          <w:tcPr>
            <w:tcW w:type="dxa" w:w="1701"/>
            <w:vAlign w:val="center"/>
          </w:tcPr>
          <w:p>
            <w:pPr>
              <w:spacing w:line="240" w:lineRule="auto" w:after="20" w:before="20"/>
              <w:jc w:val="left"/>
            </w:pPr>
            <w:r/>
            <w:r>
              <w:rPr>
                <w:rFonts w:ascii="宋体" w:hAnsi="宋体" w:eastAsia="宋体"/>
                <w:sz w:val="21"/>
              </w:rPr>
              <w:t>上下文工程与结构化输出约束；前缀缓存与知识复用；场景侧流程再造（应用方与模型服务方）</w:t>
            </w:r>
          </w:p>
        </w:tc>
      </w:tr>
      <w:tr>
        <w:tc>
          <w:tcPr>
            <w:tcW w:type="dxa" w:w="1701"/>
            <w:vAlign w:val="center"/>
          </w:tcPr>
          <w:p>
            <w:pPr>
              <w:spacing w:line="240" w:lineRule="auto" w:after="20" w:before="20"/>
              <w:jc w:val="left"/>
            </w:pPr>
            <w:r/>
            <w:r>
              <w:rPr>
                <w:rFonts w:ascii="宋体" w:hAnsi="宋体" w:eastAsia="宋体"/>
                <w:sz w:val="21"/>
              </w:rPr>
              <w:t>合计</w:t>
            </w:r>
          </w:p>
        </w:tc>
        <w:tc>
          <w:tcPr>
            <w:tcW w:type="dxa" w:w="1701"/>
            <w:vAlign w:val="center"/>
          </w:tcPr>
          <w:p>
            <w:pPr>
              <w:spacing w:line="240" w:lineRule="auto" w:after="20" w:before="20"/>
              <w:jc w:val="center"/>
            </w:pPr>
            <w:r/>
            <w:r>
              <w:rPr>
                <w:rFonts w:ascii="宋体" w:hAnsi="宋体" w:eastAsia="宋体"/>
                <w:sz w:val="21"/>
              </w:rPr>
              <w:t>38.9%／37.9%</w:t>
            </w:r>
          </w:p>
        </w:tc>
        <w:tc>
          <w:tcPr>
            <w:tcW w:type="dxa" w:w="1701"/>
            <w:vAlign w:val="center"/>
          </w:tcPr>
          <w:p>
            <w:pPr>
              <w:spacing w:line="240" w:lineRule="auto" w:after="20" w:before="20"/>
              <w:jc w:val="left"/>
            </w:pPr>
            <w:r/>
            <w:r>
              <w:rPr>
                <w:rFonts w:ascii="宋体" w:hAnsi="宋体" w:eastAsia="宋体"/>
                <w:sz w:val="21"/>
              </w:rPr>
              <w:t>四项逐级相乘，非简单相加</w:t>
            </w:r>
          </w:p>
        </w:tc>
        <w:tc>
          <w:tcPr>
            <w:tcW w:type="dxa" w:w="1701"/>
            <w:vAlign w:val="center"/>
          </w:tcPr>
          <w:p>
            <w:pPr>
              <w:spacing w:line="240" w:lineRule="auto" w:after="20" w:before="20"/>
              <w:jc w:val="left"/>
            </w:pPr>
            <w:r/>
            <w:r>
              <w:rPr>
                <w:rFonts w:ascii="宋体" w:hAnsi="宋体" w:eastAsia="宋体"/>
                <w:sz w:val="21"/>
              </w:rPr>
              <w:t>有效效值利用率（本书口径）</w:t>
            </w:r>
          </w:p>
        </w:tc>
        <w:tc>
          <w:tcPr>
            <w:tcW w:type="dxa" w:w="1701"/>
            <w:vAlign w:val="center"/>
          </w:tcPr>
          <w:p>
            <w:pPr>
              <w:spacing w:line="240" w:lineRule="auto" w:after="20" w:before="20"/>
              <w:jc w:val="left"/>
            </w:pPr>
            <w:r/>
            <w:r>
              <w:rPr>
                <w:rFonts w:ascii="宋体" w:hAnsi="宋体" w:eastAsia="宋体"/>
                <w:sz w:val="21"/>
              </w:rPr>
              <w:t>统一计量为前提，统一调度为枢纽</w:t>
            </w:r>
          </w:p>
        </w:tc>
      </w:tr>
    </w:tbl>
    <w:p>
      <w:pPr>
        <w:spacing w:after="200" w:line="240" w:lineRule="auto"/>
        <w:jc w:val="both"/>
      </w:pPr>
      <w:r>
        <w:rPr>
          <w:rFonts w:ascii="宋体" w:hAnsi="宋体" w:eastAsia="宋体"/>
          <w:sz w:val="18"/>
        </w:rPr>
        <w:t>注：相对损失率按式(9-5)的序贯反事实口径界定，以上一级反事实产出为分母；折余后利用率为按式(9-6)自名义算力利用率逐级折算所得，末行合计为四项连乘的结果，与四项相加不等。表中可观测代理指标为本书建议的监测口径，目前尚无对应的公开统计。数据来源：作者校准复算。</w:t>
      </w:r>
    </w:p>
    <w:p>
      <w:pPr>
        <w:spacing w:line="360" w:lineRule="auto" w:after="0"/>
        <w:ind w:firstLineChars="200" w:firstLine="480"/>
        <w:jc w:val="both"/>
      </w:pPr>
      <w:r>
        <w:rPr>
          <w:rFonts w:ascii="宋体" w:hAnsi="宋体" w:eastAsia="宋体"/>
          <w:sz w:val="24"/>
        </w:rPr>
        <w:t>表9.1 揭示出四项损失在治理属性上的差异。空转损失的矫正工具集中在基础设施与制度层面，投入大、周期长，但一旦建成即具有持久的外部性；批次损失的矫正工具集中在推理系统层面，属技术密集型改进，其空间受服务水平承诺的硬约束；匹配损失的矫正工具集中在计量与规则层面，投入最小而弹性最大，但</w:t>
      </w:r>
      <w:r>
        <w:rPr>
          <w:rFonts w:ascii="宋体" w:hAnsi="宋体" w:eastAsia="宋体"/>
          <w:b/>
          <w:sz w:val="24"/>
        </w:rPr>
        <w:t>必须以统一的效值计量为前提</w:t>
      </w:r>
      <w:r>
        <w:rPr>
          <w:rFonts w:ascii="宋体" w:hAnsi="宋体" w:eastAsia="宋体"/>
          <w:sz w:val="24"/>
        </w:rPr>
        <w:t>——没有可比的效值系数，「按效值最优匹配」这句话在操作上没有含义；效值损失的矫正工具则大部分落在应用方，属组织能力建设。四类工具分属四个不同的责任层级，这解释了为什么单一主体的努力难以显著改善总体效率：算力运营方只能处理第一项，推理服务方只能处理第二项，而占比最大的第三项需要一个同时掌握任务信息与模型信息的第三方——这正是第 10 章城市词元运营中心的职能定位所在。</w:t>
      </w:r>
    </w:p>
    <w:p>
      <w:pPr>
        <w:keepNext/>
        <w:spacing w:before="160" w:after="120" w:line="360" w:lineRule="auto"/>
        <w:outlineLvl w:val="2"/>
      </w:pPr>
      <w:r>
        <w:rPr>
          <w:rFonts w:ascii="黑体" w:hAnsi="黑体" w:eastAsia="黑体"/>
          <w:sz w:val="24"/>
        </w:rPr>
        <w:t>9.2.3  分解次序的敏感性与稳健性</w:t>
      </w:r>
    </w:p>
    <w:p>
      <w:pPr>
        <w:spacing w:line="360" w:lineRule="auto" w:after="0"/>
        <w:ind w:firstLineChars="200" w:firstLine="480"/>
        <w:jc w:val="both"/>
      </w:pPr>
      <w:r>
        <w:rPr>
          <w:rFonts w:ascii="宋体" w:hAnsi="宋体" w:eastAsia="宋体"/>
          <w:sz w:val="24"/>
        </w:rPr>
        <w:t>序贯反事实分解的一个已知局限是次序依赖：各项相对损失率的数值取决于扣除的先后顺序，改变次序会改变各项的具体取值，但不改变四项连乘的总折损。本书选择「空转→批次→匹配→效值」的次序，依据是技术因果的先后：算力必须先被占用，占用的算力才被组织成批次，成批的算力才被匹配到具体任务，匹配后的执行才决定产出词元的效值。这一次序与生产过程的时间序列一致，因而具有工程上的可解释性。</w:t>
      </w:r>
    </w:p>
    <w:p>
      <w:pPr>
        <w:spacing w:line="360" w:lineRule="auto" w:after="0"/>
        <w:ind w:firstLineChars="200" w:firstLine="480"/>
        <w:jc w:val="both"/>
      </w:pPr>
      <w:r>
        <w:rPr>
          <w:rFonts w:ascii="宋体" w:hAnsi="宋体" w:eastAsia="宋体"/>
          <w:sz w:val="24"/>
        </w:rPr>
        <w:t>就稳健性而言，有三点需要说明。第一，总折损与次序无关：无论采用何种次序，四项连乘的结果恒为38.9%，有效效值利用率恒为37.9%，因而本章的核心结论——有效效值利用率不足四成——不依赖于次序选择。第二，若需要次序中性的分项归因，可采用合作博弈中的沙普利值对全部次序取平均，其代价是失去工程可解释性；本书在正文中保留序贯口径，因为四项损失的治理工具正是按这一次序分属不同责任层级的。第三，各项损失率本身是校准复算值而非实测值——目前公开统计中不存在任何一项可以直接支持这一分解的数据，表9.1 第四列列出的代理指标正是本书建议建立的监测口径。这一测度空白本身即是重要发现：在算力投资以千亿元计的产业中，我们竟无法从公开数据中回答「被占用的算力究竟产出了多少价值」这一基本问题。</w:t>
      </w:r>
    </w:p>
    <w:p>
      <w:pPr>
        <w:keepNext/>
        <w:spacing w:before="160" w:after="120" w:line="360" w:lineRule="auto"/>
        <w:outlineLvl w:val="2"/>
      </w:pPr>
      <w:r>
        <w:rPr>
          <w:rFonts w:ascii="黑体" w:hAnsi="黑体" w:eastAsia="黑体"/>
          <w:sz w:val="24"/>
        </w:rPr>
        <w:t>9.2.4  与既有评价体系的关系：从多维评价到当量折算</w:t>
      </w:r>
    </w:p>
    <w:p>
      <w:pPr>
        <w:spacing w:line="360" w:lineRule="auto" w:after="0"/>
        <w:ind w:firstLineChars="200" w:firstLine="480"/>
        <w:jc w:val="both"/>
      </w:pPr>
      <w:r>
        <w:rPr>
          <w:rFonts w:ascii="宋体" w:hAnsi="宋体" w:eastAsia="宋体"/>
          <w:sz w:val="24"/>
        </w:rPr>
        <w:t>需要特别辨明本书的四项损失分解与既有词元评价工作的关系。截至 2026 年中，围绕词元服务已经形成四套各自独立的评价或度量体系，它们的发布主体、维度构成与用途各不相同，必须逐一分辨、不得合并或交叉引用。其一，</w:t>
      </w:r>
      <w:r>
        <w:rPr>
          <w:rFonts w:ascii="宋体" w:hAnsi="宋体" w:eastAsia="宋体"/>
          <w:b/>
          <w:sz w:val="24"/>
        </w:rPr>
        <w:t>中国信息通信研究院</w:t>
      </w:r>
      <w:r>
        <w:rPr>
          <w:rFonts w:ascii="宋体" w:hAnsi="宋体" w:eastAsia="宋体"/>
          <w:sz w:val="24"/>
        </w:rPr>
        <w:t>的《人工智能 Token 服务质量能力要求》及据以开展的「可信 AI-Token 服务质量评估」，包含模型服务能力、Token 服务性能、Token 服务可信、Token 服务运维、Token 服务用户体验、Token 计量计费六个维度，用于服务质量认证。其二，</w:t>
      </w:r>
      <w:r>
        <w:rPr>
          <w:rFonts w:ascii="宋体" w:hAnsi="宋体" w:eastAsia="宋体"/>
          <w:b/>
          <w:sz w:val="24"/>
        </w:rPr>
        <w:t>中国信息通信研究院</w:t>
      </w:r>
      <w:r>
        <w:rPr>
          <w:rFonts w:ascii="宋体" w:hAnsi="宋体" w:eastAsia="宋体"/>
          <w:sz w:val="24"/>
        </w:rPr>
        <w:t>于 2026 年6 月 16 日发布的「高质量 Token 服务标准体系」，包含服务质量、运营能力、生产能力、安全能力四个维度，用于标准框架搭建；该院云大所负责人明确提出「不能只看单价，行业亟须一套衡量高质量 Token 的标尺」。其三，</w:t>
      </w:r>
      <w:r>
        <w:rPr>
          <w:rFonts w:ascii="宋体" w:hAnsi="宋体" w:eastAsia="宋体"/>
          <w:b/>
          <w:sz w:val="24"/>
        </w:rPr>
        <w:t>中国工业互联网研究院</w:t>
      </w:r>
      <w:r>
        <w:rPr>
          <w:rFonts w:ascii="宋体" w:hAnsi="宋体" w:eastAsia="宋体"/>
          <w:sz w:val="24"/>
        </w:rPr>
        <w:t>《Token 驱动智能经济研究报告（2026 年）》构建的价值度量体系，包含生产成本、生产效率、准确性、生态价值、安全五个维度。其四，</w:t>
      </w:r>
      <w:r>
        <w:rPr>
          <w:rFonts w:ascii="宋体" w:hAnsi="宋体" w:eastAsia="宋体"/>
          <w:b/>
          <w:sz w:val="24"/>
        </w:rPr>
        <w:t>清华大学翟季冬团队联合清程极智</w:t>
      </w:r>
      <w:r>
        <w:rPr>
          <w:rFonts w:ascii="宋体" w:hAnsi="宋体" w:eastAsia="宋体"/>
          <w:sz w:val="24"/>
        </w:rPr>
        <w:t>于 2026 年 5 月发布的「开源模型 Token 服务性能榜」，以首词元时延（TTFT P90）、输出吞吐（TPS）与缓存命中率三项实测指标对三十余家服务商进行横向评测。</w:t>
      </w:r>
    </w:p>
    <w:p>
      <w:pPr>
        <w:spacing w:line="360" w:lineRule="auto" w:after="0"/>
        <w:ind w:firstLineChars="200" w:firstLine="480"/>
        <w:jc w:val="both"/>
      </w:pPr>
      <w:r>
        <w:rPr>
          <w:rFonts w:ascii="宋体" w:hAnsi="宋体" w:eastAsia="宋体"/>
          <w:sz w:val="24"/>
        </w:rPr>
        <w:t>四套工作的共同形态是</w:t>
      </w:r>
      <w:r>
        <w:rPr>
          <w:rFonts w:ascii="宋体" w:hAnsi="宋体" w:eastAsia="宋体"/>
          <w:b/>
          <w:sz w:val="24"/>
        </w:rPr>
        <w:t>多维评价</w:t>
      </w:r>
      <w:r>
        <w:rPr>
          <w:rFonts w:ascii="宋体" w:hAnsi="宋体" w:eastAsia="宋体"/>
          <w:sz w:val="24"/>
        </w:rPr>
        <w:t>：其产出是并列的维度得分、达标基线或性能排名。多维评价对于质量认证与选型参考是充分的，但对于配置优化是不充分的，原因在于调度问题的目标函数必须是标量。式(9-4)的</w:t>
      </w:r>
      <m:oMath>
        <m:r>
          <m:t>Θ</m:t>
        </m:r>
        <m:d>
          <m:dPr>
            <m:begChr m:val="("/>
            <m:endChr m:val=")"/>
            <m:grow/>
          </m:dPr>
          <m:e>
            <m:r>
              <m:rPr>
                <m:sty m:val="b"/>
              </m:rPr>
              <m:t>s</m:t>
            </m:r>
          </m:e>
        </m:d>
      </m:oMath>
      <w:r>
        <w:rPr>
          <w:rFonts w:ascii="宋体" w:hAnsi="宋体" w:eastAsia="宋体"/>
          <w:sz w:val="24"/>
        </w:rPr>
        <w:t xml:space="preserve">、式(9-7)的 </w:t>
      </w:r>
      <m:oMath>
        <m:sSub>
          <m:e>
            <m:r>
              <m:t>δ</m:t>
            </m:r>
          </m:e>
          <m:sub>
            <m:r>
              <m:t>M</m:t>
            </m:r>
          </m:sub>
        </m:sSub>
      </m:oMath>
      <w:r>
        <w:rPr>
          <w:rFonts w:ascii="宋体" w:hAnsi="宋体" w:eastAsia="宋体"/>
          <w:sz w:val="24"/>
        </w:rPr>
        <w:t xml:space="preserve">、9.3 节的匹配规划，每一个都要求把「一枚词元值多少」压缩为一个可比较、可加总、可求极值的实数；六个维度的得分向量无法进入 </w:t>
      </w:r>
      <m:oMath>
        <m:r>
          <m:rPr>
            <m:sty m:val="p"/>
          </m:rPr>
          <m:t>arg</m:t>
        </m:r>
        <m:r>
          <m:rPr>
            <m:sty m:val="p"/>
          </m:rPr>
          <m:t>max</m:t>
        </m:r>
      </m:oMath>
      <w:r>
        <w:rPr>
          <w:rFonts w:ascii="宋体" w:hAnsi="宋体" w:eastAsia="宋体"/>
          <w:sz w:val="24"/>
        </w:rPr>
        <w:t xml:space="preserve">，四个维度的达标基线也无法告诉调度器「把这个任务交给哪一档」。本书 </w:t>
      </w:r>
      <m:oMath>
        <m:d>
          <m:dPr>
            <m:begChr m:val="("/>
            <m:endChr m:val=")"/>
            <m:grow/>
          </m:dPr>
          <m:e>
            <m:r>
              <m:t>P</m:t>
            </m:r>
            <m:r>
              <m:rPr>
                <m:sty m:val="p"/>
              </m:rPr>
              <m:t>,</m:t>
            </m:r>
            <m:r>
              <m:t>R</m:t>
            </m:r>
            <m:r>
              <m:rPr>
                <m:sty m:val="p"/>
              </m:rPr>
              <m:t>,</m:t>
            </m:r>
            <m:r>
              <m:t>S</m:t>
            </m:r>
          </m:e>
        </m:d>
      </m:oMath>
      <w:r>
        <w:rPr>
          <w:rFonts w:ascii="宋体" w:hAnsi="宋体" w:eastAsia="宋体"/>
          <w:sz w:val="24"/>
        </w:rPr>
        <w:t xml:space="preserve"> 三维效值折算体系是作者自主构建的理论框架，与上述四套工作在维度名称与来源上均无对应关系；其相对于既有工作的理论增量正在于此：</w:t>
      </w:r>
      <w:r>
        <w:rPr>
          <w:rFonts w:ascii="宋体" w:hAnsi="宋体" w:eastAsia="宋体"/>
          <w:b/>
          <w:sz w:val="24"/>
        </w:rPr>
        <w:t>从多维评价推进到当量折算</w:t>
      </w:r>
      <w:r>
        <w:rPr>
          <w:rFonts w:ascii="宋体" w:hAnsi="宋体" w:eastAsia="宋体"/>
          <w:sz w:val="24"/>
        </w:rPr>
        <w:t>——通过第 5 章公理化的合成函数，把异质词元折算为可加总、可计价、可入账的单一当量，从而使配置优化、价格指数与增长核算这三类需要标量口径的工作第一次成为可能。多维评价与当量折算并非替代关系：前者是后者的输入（</w:t>
      </w:r>
      <m:oMath>
        <m:r>
          <m:t>R</m:t>
        </m:r>
      </m:oMath>
      <w:r>
        <w:rPr>
          <w:rFonts w:ascii="宋体" w:hAnsi="宋体" w:eastAsia="宋体"/>
          <w:sz w:val="24"/>
        </w:rPr>
        <w:t xml:space="preserve"> 维度的测度需要能力评测的支撑（Hendrycks等，2021；Liang等，2022；Zheng等，2023）），后者是前者的经济学出口。</w:t>
      </w:r>
    </w:p>
    <w:p>
      <w:pPr>
        <w:keepNext/>
        <w:spacing w:before="160" w:after="120" w:line="360" w:lineRule="auto"/>
        <w:outlineLvl w:val="1"/>
      </w:pPr>
      <w:r>
        <w:rPr>
          <w:rFonts w:ascii="黑体" w:hAnsi="黑体" w:eastAsia="黑体"/>
          <w:sz w:val="28"/>
        </w:rPr>
        <w:t>9.3  任务—模型最优匹配与统一调度的效率上界</w:t>
      </w:r>
    </w:p>
    <w:p>
      <w:pPr>
        <w:keepNext/>
        <w:spacing w:before="160" w:after="120" w:line="360" w:lineRule="auto"/>
        <w:outlineLvl w:val="2"/>
      </w:pPr>
      <w:r>
        <w:rPr>
          <w:rFonts w:ascii="黑体" w:hAnsi="黑体" w:eastAsia="黑体"/>
          <w:sz w:val="24"/>
        </w:rPr>
        <w:t>9.3.1  匹配问题的规划设定</w:t>
      </w:r>
    </w:p>
    <w:p>
      <w:pPr>
        <w:spacing w:line="360" w:lineRule="auto" w:after="0"/>
        <w:ind w:firstLineChars="200" w:firstLine="480"/>
        <w:jc w:val="both"/>
      </w:pPr>
      <w:r>
        <w:rPr>
          <w:rFonts w:ascii="宋体" w:hAnsi="宋体" w:eastAsia="宋体"/>
          <w:sz w:val="24"/>
        </w:rPr>
        <w:t xml:space="preserve">9.2 节的分解表明，匹配损失是四项中占比最大且矫正成本最低的一项。本节把降低匹配损失的问题写成一个显式的最优化问题。设任务集 </w:t>
      </w:r>
      <m:oMath>
        <m:r>
          <m:rPr>
            <m:scr m:val="script"/>
            <m:sty m:val="p"/>
          </m:rPr>
          <m:t>J</m:t>
        </m:r>
      </m:oMath>
      <w:r>
        <w:rPr>
          <w:rFonts w:ascii="宋体" w:hAnsi="宋体" w:eastAsia="宋体"/>
          <w:sz w:val="24"/>
        </w:rPr>
        <w:t xml:space="preserve"> 中每个任务类 </w:t>
      </w:r>
      <m:oMath>
        <m:r>
          <m:t>j</m:t>
        </m:r>
      </m:oMath>
      <w:r>
        <w:rPr>
          <w:rFonts w:ascii="宋体" w:hAnsi="宋体" w:eastAsia="宋体"/>
          <w:sz w:val="24"/>
        </w:rPr>
        <w:t xml:space="preserve"> 由大量同质请求构成，其标准词元需求为 </w:t>
      </w:r>
      <m:oMath>
        <m:sSub>
          <m:e>
            <m:r>
              <m:t>D</m:t>
            </m:r>
          </m:e>
          <m:sub>
            <m:r>
              <m:t>j</m:t>
            </m:r>
          </m:sub>
        </m:sSub>
      </m:oMath>
      <w:r>
        <w:rPr>
          <w:rFonts w:ascii="宋体" w:hAnsi="宋体" w:eastAsia="宋体"/>
          <w:sz w:val="24"/>
        </w:rPr>
        <w:t xml:space="preserve">；模型档位集为 </w:t>
      </w:r>
      <m:oMath>
        <m:r>
          <m:rPr>
            <m:scr m:val="script"/>
            <m:sty m:val="p"/>
          </m:rPr>
          <m:t>M</m:t>
        </m:r>
      </m:oMath>
      <w:r>
        <w:rPr>
          <w:rFonts w:ascii="宋体" w:hAnsi="宋体" w:eastAsia="宋体"/>
          <w:sz w:val="24"/>
        </w:rPr>
        <w:t xml:space="preserve">，档位 </w:t>
      </w:r>
      <m:oMath>
        <m:r>
          <m:t>m</m:t>
        </m:r>
      </m:oMath>
      <w:r>
        <w:rPr>
          <w:rFonts w:ascii="宋体" w:hAnsi="宋体" w:eastAsia="宋体"/>
          <w:sz w:val="24"/>
        </w:rPr>
        <w:t xml:space="preserve"> 的可用算力为 </w:t>
      </w:r>
      <m:oMath>
        <m:sSub>
          <m:e>
            <m:r>
              <m:t>C</m:t>
            </m:r>
          </m:e>
          <m:sub>
            <m:r>
              <m:t>m</m:t>
            </m:r>
          </m:sub>
        </m:sSub>
      </m:oMath>
      <w:r>
        <w:rPr>
          <w:rFonts w:ascii="宋体" w:hAnsi="宋体" w:eastAsia="宋体"/>
          <w:sz w:val="24"/>
        </w:rPr>
        <w:t xml:space="preserve">；匹配矩阵 </w:t>
      </w:r>
      <m:oMath>
        <m:r>
          <m:rPr>
            <m:sty m:val="b"/>
          </m:rPr>
          <m:t>X</m:t>
        </m:r>
        <m:r>
          <m:rPr>
            <m:sty m:val="p"/>
          </m:rPr>
          <m:t>=</m:t>
        </m:r>
        <m:d>
          <m:dPr>
            <m:begChr m:val="["/>
            <m:endChr m:val="]"/>
            <m:grow/>
          </m:dPr>
          <m:e>
            <m:sSub>
              <m:e>
                <m:r>
                  <m:t>x</m:t>
                </m:r>
              </m:e>
              <m:sub>
                <m:r>
                  <m:t>j</m:t>
                </m:r>
                <m:r>
                  <m:t>m</m:t>
                </m:r>
              </m:sub>
            </m:sSub>
          </m:e>
        </m:d>
      </m:oMath>
      <w:r>
        <w:rPr>
          <w:rFonts w:ascii="宋体" w:hAnsi="宋体" w:eastAsia="宋体"/>
          <w:sz w:val="24"/>
        </w:rPr>
        <w:t>。调度者的目标是在满足全部任务需求与算力容量约束的前提下最小化算力总消耗，等价地，在给定算力总量下最大化有效标准词元产出。规划设定见式(9-8)。</w:t>
      </w:r>
    </w:p>
    <w:p>
      <w:pPr>
        <w:tabs>
          <w:tab w:pos="4252" w:val="center"/>
          <w:tab w:pos="8504" w:val="right"/>
        </w:tabs>
        <w:spacing w:line="360" w:lineRule="auto" w:before="80" w:after="80"/>
      </w:pPr>
      <w:r>
        <w:tab/>
      </w:r>
      <m:oMath>
        <m:sSub>
          <m:e>
            <m:r>
              <m:rPr>
                <m:sty m:val="p"/>
              </m:rPr>
              <m:t>min</m:t>
            </m:r>
          </m:e>
          <m:sub>
            <m:r>
              <m:rPr>
                <m:sty m:val="b"/>
              </m:rPr>
              <m:t>X</m:t>
            </m:r>
          </m:sub>
        </m:sSub>
        <m:r>
          <m:t> </m:t>
        </m:r>
        <m:nary>
          <m:naryPr>
            <m:chr m:val="∑"/>
            <m:limLoc m:val="undOvr"/>
            <m:subHide m:val="off"/>
            <m:supHide m:val="on"/>
          </m:naryPr>
          <m:sub>
            <m:r>
              <m:t>j</m:t>
            </m:r>
            <m:r>
              <m:rPr>
                <m:sty m:val="p"/>
              </m:rPr>
              <m:t>∈</m:t>
            </m:r>
            <m:r>
              <m:rPr>
                <m:scr m:val="script"/>
                <m:sty m:val="p"/>
              </m:rPr>
              <m:t>J</m:t>
            </m:r>
          </m:sub>
          <m:sup>
            <m:r>
              <m:t>​</m:t>
            </m:r>
          </m:sup>
          <m:e>
            <m:nary>
              <m:naryPr>
                <m:chr m:val="∑"/>
                <m:limLoc m:val="undOvr"/>
                <m:subHide m:val="off"/>
                <m:supHide m:val="on"/>
              </m:naryPr>
              <m:sub>
                <m:r>
                  <m:t>m</m:t>
                </m:r>
                <m:r>
                  <m:rPr>
                    <m:sty m:val="p"/>
                  </m:rPr>
                  <m:t>∈</m:t>
                </m:r>
                <m:r>
                  <m:rPr>
                    <m:scr m:val="script"/>
                    <m:sty m:val="p"/>
                  </m:rPr>
                  <m:t>M</m:t>
                </m:r>
              </m:sub>
              <m:sup>
                <m:r>
                  <m:t>​</m:t>
                </m:r>
              </m:sup>
              <m:e>
                <m:f>
                  <m:fPr>
                    <m:type m:val="bar"/>
                  </m:fPr>
                  <m:num>
                    <m:d>
                      <m:dPr>
                        <m:begChr m:val="("/>
                        <m:endChr m:val=")"/>
                        <m:grow/>
                      </m:dPr>
                      <m:e>
                        <m:r>
                          <m:t>1</m:t>
                        </m:r>
                        <m:r>
                          <m:rPr>
                            <m:sty m:val="p"/>
                          </m:rPr>
                          <m:t>+</m:t>
                        </m:r>
                        <m:sSub>
                          <m:e>
                            <m:r>
                              <m:t>r</m:t>
                            </m:r>
                          </m:e>
                          <m:sub>
                            <m:r>
                              <m:t>j</m:t>
                            </m:r>
                            <m:r>
                              <m:t>m</m:t>
                            </m:r>
                          </m:sub>
                        </m:sSub>
                      </m:e>
                    </m:d>
                    <m:sSub>
                      <m:e>
                        <m:r>
                          <m:t>D</m:t>
                        </m:r>
                      </m:e>
                      <m:sub>
                        <m:r>
                          <m:t>j</m:t>
                        </m:r>
                      </m:sub>
                    </m:sSub>
                  </m:num>
                  <m:den>
                    <m:sSub>
                      <m:e>
                        <m:r>
                          <m:t>θ</m:t>
                        </m:r>
                      </m:e>
                      <m:sub>
                        <m:r>
                          <m:t>m</m:t>
                        </m:r>
                      </m:sub>
                    </m:sSub>
                  </m:den>
                </m:f>
              </m:e>
            </m:nary>
          </m:e>
        </m:nary>
        <m:r>
          <m:t> </m:t>
        </m:r>
        <m:sSub>
          <m:e>
            <m:r>
              <m:t>x</m:t>
            </m:r>
          </m:e>
          <m:sub>
            <m:r>
              <m:t>j</m:t>
            </m:r>
            <m:r>
              <m:t>m</m:t>
            </m:r>
          </m:sub>
        </m:sSub>
        <m:r>
          <m:t>  </m:t>
        </m:r>
        <m:r>
          <m:rPr>
            <m:sty m:val="p"/>
          </m:rPr>
          <m:t>s</m:t>
        </m:r>
        <m:r>
          <m:rPr>
            <m:sty m:val="p"/>
          </m:rPr>
          <m:t>.</m:t>
        </m:r>
        <m:r>
          <m:rPr>
            <m:sty m:val="p"/>
          </m:rPr>
          <m:t>t</m:t>
        </m:r>
        <m:r>
          <m:rPr>
            <m:sty m:val="p"/>
          </m:rPr>
          <m:t>.</m:t>
        </m:r>
        <m:r>
          <m:t> </m:t>
        </m:r>
        <m:nary>
          <m:naryPr>
            <m:chr m:val="∑"/>
            <m:limLoc m:val="undOvr"/>
            <m:subHide m:val="off"/>
            <m:supHide m:val="on"/>
          </m:naryPr>
          <m:sub>
            <m:r>
              <m:t>m</m:t>
            </m:r>
            <m:r>
              <m:rPr>
                <m:sty m:val="p"/>
              </m:rPr>
              <m:t>∈</m:t>
            </m:r>
            <m:r>
              <m:rPr>
                <m:scr m:val="script"/>
                <m:sty m:val="p"/>
              </m:rPr>
              <m:t>M</m:t>
            </m:r>
          </m:sub>
          <m:sup>
            <m:r>
              <m:t>​</m:t>
            </m:r>
          </m:sup>
          <m:e>
            <m:sSub>
              <m:e>
                <m:r>
                  <m:t>x</m:t>
                </m:r>
              </m:e>
              <m:sub>
                <m:r>
                  <m:t>j</m:t>
                </m:r>
                <m:r>
                  <m:t>m</m:t>
                </m:r>
              </m:sub>
            </m:sSub>
          </m:e>
        </m:nary>
        <m:r>
          <m:rPr>
            <m:sty m:val="p"/>
          </m:rPr>
          <m:t>=</m:t>
        </m:r>
        <m:r>
          <m:t>1</m:t>
        </m:r>
        <m:r>
          <m:t> </m:t>
        </m:r>
        <m:r>
          <m:t> </m:t>
        </m:r>
        <m:r>
          <m:rPr>
            <m:sty m:val="p"/>
          </m:rPr>
          <m:t>∀</m:t>
        </m:r>
        <m:r>
          <m:t>j</m:t>
        </m:r>
        <m:r>
          <m:rPr>
            <m:sty m:val="p"/>
          </m:rPr>
          <m:t>;</m:t>
        </m:r>
        <m:r>
          <m:t> </m:t>
        </m:r>
        <m:nary>
          <m:naryPr>
            <m:chr m:val="∑"/>
            <m:limLoc m:val="undOvr"/>
            <m:subHide m:val="off"/>
            <m:supHide m:val="on"/>
          </m:naryPr>
          <m:sub>
            <m:r>
              <m:t>j</m:t>
            </m:r>
            <m:r>
              <m:rPr>
                <m:sty m:val="p"/>
              </m:rPr>
              <m:t>∈</m:t>
            </m:r>
            <m:r>
              <m:rPr>
                <m:scr m:val="script"/>
                <m:sty m:val="p"/>
              </m:rPr>
              <m:t>J</m:t>
            </m:r>
          </m:sub>
          <m:sup>
            <m:r>
              <m:t>​</m:t>
            </m:r>
          </m:sup>
          <m:e>
            <m:f>
              <m:fPr>
                <m:type m:val="bar"/>
              </m:fPr>
              <m:num>
                <m:d>
                  <m:dPr>
                    <m:begChr m:val="("/>
                    <m:endChr m:val=")"/>
                    <m:grow/>
                  </m:dPr>
                  <m:e>
                    <m:r>
                      <m:t>1</m:t>
                    </m:r>
                    <m:r>
                      <m:rPr>
                        <m:sty m:val="p"/>
                      </m:rPr>
                      <m:t>+</m:t>
                    </m:r>
                    <m:sSub>
                      <m:e>
                        <m:r>
                          <m:t>r</m:t>
                        </m:r>
                      </m:e>
                      <m:sub>
                        <m:r>
                          <m:t>j</m:t>
                        </m:r>
                        <m:r>
                          <m:t>m</m:t>
                        </m:r>
                      </m:sub>
                    </m:sSub>
                  </m:e>
                </m:d>
                <m:sSub>
                  <m:e>
                    <m:r>
                      <m:t>D</m:t>
                    </m:r>
                  </m:e>
                  <m:sub>
                    <m:r>
                      <m:t>j</m:t>
                    </m:r>
                  </m:sub>
                </m:sSub>
              </m:num>
              <m:den>
                <m:sSub>
                  <m:e>
                    <m:r>
                      <m:t>θ</m:t>
                    </m:r>
                  </m:e>
                  <m:sub>
                    <m:r>
                      <m:t>m</m:t>
                    </m:r>
                  </m:sub>
                </m:sSub>
              </m:den>
            </m:f>
          </m:e>
        </m:nary>
        <m:sSub>
          <m:e>
            <m:r>
              <m:t>x</m:t>
            </m:r>
          </m:e>
          <m:sub>
            <m:r>
              <m:t>j</m:t>
            </m:r>
            <m:r>
              <m:t>m</m:t>
            </m:r>
          </m:sub>
        </m:sSub>
        <m:r>
          <m:rPr>
            <m:sty m:val="p"/>
          </m:rPr>
          <m:t>≤</m:t>
        </m:r>
        <m:sSub>
          <m:e>
            <m:r>
              <m:t>C</m:t>
            </m:r>
          </m:e>
          <m:sub>
            <m:r>
              <m:t>m</m:t>
            </m:r>
          </m:sub>
        </m:sSub>
        <m:r>
          <m:t> </m:t>
        </m:r>
        <m:r>
          <m:t> </m:t>
        </m:r>
        <m:r>
          <m:rPr>
            <m:sty m:val="p"/>
          </m:rPr>
          <m:t>∀</m:t>
        </m:r>
        <m:r>
          <m:t>m</m:t>
        </m:r>
        <m:r>
          <m:rPr>
            <m:sty m:val="p"/>
          </m:rPr>
          <m:t>;</m:t>
        </m:r>
        <m:r>
          <m:t> </m:t>
        </m:r>
        <m:sSub>
          <m:e>
            <m:r>
              <m:t>x</m:t>
            </m:r>
          </m:e>
          <m:sub>
            <m:r>
              <m:t>j</m:t>
            </m:r>
            <m:r>
              <m:t>m</m:t>
            </m:r>
          </m:sub>
        </m:sSub>
        <m:r>
          <m:rPr>
            <m:sty m:val="p"/>
          </m:rPr>
          <m:t>∈</m:t>
        </m:r>
        <m:d>
          <m:dPr>
            <m:begChr m:val="{"/>
            <m:endChr m:val="}"/>
            <m:grow/>
          </m:dPr>
          <m:e>
            <m:r>
              <m:t>0</m:t>
            </m:r>
            <m:r>
              <m:rPr>
                <m:sty m:val="p"/>
              </m:rPr>
              <m:t>,</m:t>
            </m:r>
            <m:r>
              <m:t>1</m:t>
            </m:r>
          </m:e>
        </m:d>
      </m:oMath>
      <w:r>
        <w:tab/>
      </w:r>
      <w:r>
        <w:rPr>
          <w:rFonts w:ascii="Times New Roman" w:hAnsi="Times New Roman" w:eastAsia="宋体"/>
          <w:sz w:val="24"/>
        </w:rPr>
        <w:t>(9-8)</w:t>
      </w:r>
    </w:p>
    <w:p>
      <w:pPr>
        <w:spacing w:line="360" w:lineRule="auto" w:after="0"/>
        <w:jc w:val="both"/>
      </w:pPr>
      <w:r>
        <w:rPr>
          <w:rFonts w:ascii="宋体" w:hAnsi="宋体" w:eastAsia="宋体"/>
          <w:sz w:val="24"/>
        </w:rPr>
        <w:t>其中，目标函数为交付全部任务所需的算力总消耗；第一组约束要求每个任务类被完整指派，第二组为各档位的算力容量约束；对</w:t>
      </w:r>
      <m:oMath>
        <m:r>
          <m:t>m</m:t>
        </m:r>
        <m:r>
          <m:rPr>
            <m:sty m:val="p"/>
          </m:rPr>
          <m:t>∉</m:t>
        </m:r>
        <m:sSub>
          <m:e>
            <m:r>
              <m:rPr>
                <m:scr m:val="script"/>
                <m:sty m:val="p"/>
              </m:rPr>
              <m:t>M</m:t>
            </m:r>
          </m:e>
          <m:sub>
            <m:r>
              <m:t>j</m:t>
            </m:r>
          </m:sub>
        </m:sSub>
      </m:oMath>
      <w:r>
        <w:rPr>
          <w:rFonts w:ascii="宋体" w:hAnsi="宋体" w:eastAsia="宋体"/>
          <w:sz w:val="24"/>
        </w:rPr>
        <w:t>的组合，</w:t>
      </w:r>
      <m:oMath>
        <m:sSub>
          <m:e>
            <m:r>
              <m:t>r</m:t>
            </m:r>
          </m:e>
          <m:sub>
            <m:r>
              <m:t>j</m:t>
            </m:r>
            <m:r>
              <m:t>m</m:t>
            </m:r>
          </m:sub>
        </m:sSub>
      </m:oMath>
      <w:r>
        <w:rPr>
          <w:rFonts w:ascii="宋体" w:hAnsi="宋体" w:eastAsia="宋体"/>
          <w:sz w:val="24"/>
        </w:rPr>
        <w:t>取值足够大以自动排除。</w:t>
      </w:r>
    </w:p>
    <w:p>
      <w:pPr>
        <w:spacing w:line="360" w:lineRule="auto" w:after="0"/>
        <w:ind w:firstLineChars="200" w:firstLine="480"/>
        <w:jc w:val="both"/>
      </w:pPr>
      <w:r>
        <w:rPr>
          <w:rFonts w:ascii="宋体" w:hAnsi="宋体" w:eastAsia="宋体"/>
          <w:sz w:val="24"/>
        </w:rPr>
        <w:t>式(9-8)在形式上是一个广义指派问题，其一般形式属 NP 困难。但在词元调度的具体情境下，问题的结构远比一般情形友好，原因在于</w:t>
      </w:r>
      <w:r>
        <w:rPr>
          <w:rFonts w:ascii="宋体" w:hAnsi="宋体" w:eastAsia="宋体"/>
          <w:b/>
          <w:sz w:val="24"/>
        </w:rPr>
        <w:t>任务的可分性</w:t>
      </w:r>
      <w:r>
        <w:rPr>
          <w:rFonts w:ascii="宋体" w:hAnsi="宋体" w:eastAsia="宋体"/>
          <w:sz w:val="24"/>
        </w:rPr>
        <w:t xml:space="preserve">：一个任务类并不是一个不可分割的作业，而是每日数以百万计的同质请求流，把其中六成路由到中型通用级、四成路由到开源旗舰级，在工程上与经济上都是完全有意义的。放松整数约束为 </w:t>
      </w:r>
      <m:oMath>
        <m:sSub>
          <m:e>
            <m:r>
              <m:t>x</m:t>
            </m:r>
          </m:e>
          <m:sub>
            <m:r>
              <m:t>j</m:t>
            </m:r>
            <m:r>
              <m:t>m</m:t>
            </m:r>
          </m:sub>
        </m:sSub>
        <m:r>
          <m:rPr>
            <m:sty m:val="p"/>
          </m:rPr>
          <m:t>∈</m:t>
        </m:r>
        <m:d>
          <m:dPr>
            <m:begChr m:val="["/>
            <m:endChr m:val="]"/>
            <m:grow/>
          </m:dPr>
          <m:e>
            <m:r>
              <m:t>0</m:t>
            </m:r>
            <m:r>
              <m:rPr>
                <m:sty m:val="p"/>
              </m:rPr>
              <m:t>,</m:t>
            </m:r>
            <m:r>
              <m:t>1</m:t>
            </m:r>
          </m:e>
        </m:d>
      </m:oMath>
      <w:r>
        <w:rPr>
          <w:rFonts w:ascii="宋体" w:hAnsi="宋体" w:eastAsia="宋体"/>
          <w:sz w:val="24"/>
        </w:rPr>
        <w:t>，式(9-8)即化为一个标准的运输问题，由此可得如下命题。</w:t>
      </w:r>
    </w:p>
    <w:p>
      <w:pPr>
        <w:spacing w:line="360" w:lineRule="auto" w:after="0"/>
        <w:ind w:firstLineChars="200" w:firstLine="480"/>
        <w:jc w:val="both"/>
      </w:pPr>
      <w:r>
        <w:rPr>
          <w:rFonts w:ascii="宋体" w:hAnsi="宋体" w:eastAsia="宋体"/>
          <w:b/>
          <w:sz w:val="24"/>
        </w:rPr>
        <w:t>命题 9.1（整数间隙的消失）</w:t>
      </w:r>
      <w:r>
        <w:rPr>
          <w:rFonts w:ascii="宋体" w:hAnsi="宋体" w:eastAsia="宋体"/>
          <w:sz w:val="24"/>
        </w:rPr>
        <w:t xml:space="preserve">：在任务可分的条件下，式(9-8)的线性松弛存在最优基可行解，其中被拆分到两个及以上档位的任务类不超过 </w:t>
      </w:r>
      <m:oMath>
        <m:d>
          <m:dPr>
            <m:begChr m:val="|"/>
            <m:endChr m:val="|"/>
            <m:grow/>
          </m:dPr>
          <m:e>
            <m:r>
              <m:rPr>
                <m:scr m:val="script"/>
                <m:sty m:val="p"/>
              </m:rPr>
              <m:t>M</m:t>
            </m:r>
          </m:e>
        </m:d>
        <m:r>
          <m:rPr>
            <m:sty m:val="p"/>
          </m:rPr>
          <m:t>−</m:t>
        </m:r>
        <m:r>
          <m:t>1</m:t>
        </m:r>
      </m:oMath>
      <w:r>
        <w:rPr>
          <w:rFonts w:ascii="宋体" w:hAnsi="宋体" w:eastAsia="宋体"/>
          <w:sz w:val="24"/>
        </w:rPr>
        <w:t xml:space="preserve"> 个；因而当各任务类的需求规模趋于无穷时，整数最优解与松弛最优解的目标值之差相对于总目标值趋于零。证明思路如下：松弛后约束矩阵为运输问题的结点—弧关联矩阵，具有全幺模性；任一基可行解的非零分量个数不超过 </w:t>
      </w:r>
      <m:oMath>
        <m:d>
          <m:dPr>
            <m:begChr m:val="|"/>
            <m:endChr m:val="|"/>
            <m:grow/>
          </m:dPr>
          <m:e>
            <m:r>
              <m:rPr>
                <m:scr m:val="script"/>
                <m:sty m:val="p"/>
              </m:rPr>
              <m:t>J</m:t>
            </m:r>
          </m:e>
        </m:d>
        <m:r>
          <m:rPr>
            <m:sty m:val="p"/>
          </m:rPr>
          <m:t>+</m:t>
        </m:r>
        <m:d>
          <m:dPr>
            <m:begChr m:val="|"/>
            <m:endChr m:val="|"/>
            <m:grow/>
          </m:dPr>
          <m:e>
            <m:r>
              <m:rPr>
                <m:scr m:val="script"/>
                <m:sty m:val="p"/>
              </m:rPr>
              <m:t>M</m:t>
            </m:r>
          </m:e>
        </m:d>
        <m:r>
          <m:rPr>
            <m:sty m:val="p"/>
          </m:rPr>
          <m:t>−</m:t>
        </m:r>
        <m:r>
          <m:t>1</m:t>
        </m:r>
      </m:oMath>
      <w:r>
        <w:rPr>
          <w:rFonts w:ascii="宋体" w:hAnsi="宋体" w:eastAsia="宋体"/>
          <w:sz w:val="24"/>
        </w:rPr>
        <w:t xml:space="preserve">，而每个任务类至少占用一个非零分量，故被拆分的任务类不超过 </w:t>
      </w:r>
      <m:oMath>
        <m:d>
          <m:dPr>
            <m:begChr m:val="|"/>
            <m:endChr m:val="|"/>
            <m:grow/>
          </m:dPr>
          <m:e>
            <m:r>
              <m:rPr>
                <m:scr m:val="script"/>
                <m:sty m:val="p"/>
              </m:rPr>
              <m:t>M</m:t>
            </m:r>
          </m:e>
        </m:d>
        <m:r>
          <m:rPr>
            <m:sty m:val="p"/>
          </m:rPr>
          <m:t>−</m:t>
        </m:r>
        <m:r>
          <m:t>1</m:t>
        </m:r>
      </m:oMath>
      <w:r>
        <w:rPr>
          <w:rFonts w:ascii="宋体" w:hAnsi="宋体" w:eastAsia="宋体"/>
          <w:sz w:val="24"/>
        </w:rPr>
        <w:t xml:space="preserve"> 个。在本书的六档位设定下，无论任务类有多少，最多只有五个任务类需要拆分路由，其余全部整数指派。</w:t>
      </w:r>
    </w:p>
    <w:p>
      <w:pPr>
        <w:spacing w:line="360" w:lineRule="auto" w:after="0"/>
        <w:ind w:firstLineChars="200" w:firstLine="480"/>
        <w:jc w:val="both"/>
      </w:pPr>
      <w:r>
        <w:rPr>
          <w:rFonts w:ascii="宋体" w:hAnsi="宋体" w:eastAsia="宋体"/>
          <w:sz w:val="24"/>
        </w:rPr>
        <w:t>命题 9.1 的经济意义不在于计算便利，而在于它把最优调度从「集中式求解」转化为「分权式实现」。既然松弛解即最优解，则由线性规划对偶定理，最优匹配可以完全由对偶变量刻画——也就是说，调度平台不必掌握全部任务的细节并集中求解，只需公布一组「影子价格」，让各任务自行选择档位，即可实现最优配置。这正是价格机制在配置问题中的经典作用（刘诚和夏杰长，2023），也是第 10 章「统一计量—统一结算」机制设计的理论依据：</w:t>
      </w:r>
      <w:r>
        <w:rPr>
          <w:rFonts w:ascii="宋体" w:hAnsi="宋体" w:eastAsia="宋体"/>
          <w:b/>
          <w:sz w:val="24"/>
        </w:rPr>
        <w:t>统一调度在本质上不是一个技术平台，而是一套价格发现机制</w:t>
      </w:r>
      <w:r>
        <w:rPr>
          <w:rFonts w:ascii="宋体" w:hAnsi="宋体" w:eastAsia="宋体"/>
          <w:sz w:val="24"/>
        </w:rPr>
        <w:t>。</w:t>
      </w:r>
    </w:p>
    <w:p>
      <w:pPr>
        <w:keepNext/>
        <w:spacing w:before="160" w:after="120" w:line="360" w:lineRule="auto"/>
        <w:outlineLvl w:val="2"/>
      </w:pPr>
      <w:r>
        <w:rPr>
          <w:rFonts w:ascii="黑体" w:hAnsi="黑体" w:eastAsia="黑体"/>
          <w:sz w:val="24"/>
        </w:rPr>
        <w:t>9.3.2  对偶解与「阶梯匹配」原则</w:t>
      </w:r>
    </w:p>
    <w:p>
      <w:pPr>
        <w:spacing w:line="360" w:lineRule="auto" w:after="0"/>
        <w:ind w:firstLineChars="200" w:firstLine="480"/>
        <w:jc w:val="both"/>
      </w:pPr>
      <w:r>
        <w:rPr>
          <w:rFonts w:ascii="宋体" w:hAnsi="宋体" w:eastAsia="宋体"/>
          <w:sz w:val="24"/>
        </w:rPr>
        <w:t xml:space="preserve">记容量约束的对偶变量（影子价格）为 </w:t>
      </w:r>
      <m:oMath>
        <m:sSub>
          <m:e>
            <m:r>
              <m:t>ψ</m:t>
            </m:r>
          </m:e>
          <m:sub>
            <m:r>
              <m:t>m</m:t>
            </m:r>
          </m:sub>
        </m:sSub>
        <m:r>
          <m:rPr>
            <m:sty m:val="p"/>
          </m:rPr>
          <m:t>≥</m:t>
        </m:r>
        <m:r>
          <m:t>0</m:t>
        </m:r>
      </m:oMath>
      <w:r>
        <w:rPr>
          <w:rFonts w:ascii="宋体" w:hAnsi="宋体" w:eastAsia="宋体"/>
          <w:sz w:val="24"/>
        </w:rPr>
        <w:t xml:space="preserve">，任务指派约束的对偶变量为 </w:t>
      </w:r>
      <m:oMath>
        <m:sSub>
          <m:e>
            <m:r>
              <m:t>ζ</m:t>
            </m:r>
          </m:e>
          <m:sub>
            <m:r>
              <m:t>j</m:t>
            </m:r>
          </m:sub>
        </m:sSub>
      </m:oMath>
      <w:r>
        <w:rPr>
          <w:rFonts w:ascii="宋体" w:hAnsi="宋体" w:eastAsia="宋体"/>
          <w:sz w:val="24"/>
        </w:rPr>
        <w:t>。由互补松弛条件，最优匹配下每个任务类应被指派到使「含拥挤成本的单位有效标准词元算力代价」最小的档位，见式(9-9)。</w:t>
      </w:r>
    </w:p>
    <w:p>
      <w:pPr>
        <w:tabs>
          <w:tab w:pos="4252" w:val="center"/>
          <w:tab w:pos="8504" w:val="right"/>
        </w:tabs>
        <w:spacing w:line="360" w:lineRule="auto" w:before="80" w:after="80"/>
      </w:pPr>
      <w:r>
        <w:tab/>
      </w:r>
      <m:oMath>
        <m:sSup>
          <m:e>
            <m:r>
              <m:t>m</m:t>
            </m:r>
          </m:e>
          <m:sup>
            <m:r>
              <m:rPr>
                <m:sty m:val="p"/>
              </m:rPr>
              <m:t>∘</m:t>
            </m:r>
          </m:sup>
        </m:sSup>
        <m:d>
          <m:dPr>
            <m:begChr m:val="("/>
            <m:endChr m:val=")"/>
            <m:grow/>
          </m:dPr>
          <m:e>
            <m:r>
              <m:t>j</m:t>
            </m:r>
          </m:e>
        </m:d>
        <m:r>
          <m:rPr>
            <m:sty m:val="p"/>
          </m:rPr>
          <m:t>=</m:t>
        </m:r>
        <m:r>
          <m:rPr>
            <m:sty m:val="p"/>
          </m:rPr>
          <m:t>arg</m:t>
        </m:r>
        <m:sSub>
          <m:e>
            <m:r>
              <m:rPr>
                <m:sty m:val="p"/>
              </m:rPr>
              <m:t>min</m:t>
            </m:r>
          </m:e>
          <m:sub>
            <m:r>
              <m:t>m</m:t>
            </m:r>
            <m:r>
              <m:rPr>
                <m:sty m:val="p"/>
              </m:rPr>
              <m:t>∈</m:t>
            </m:r>
            <m:r>
              <m:rPr>
                <m:scr m:val="script"/>
                <m:sty m:val="p"/>
              </m:rPr>
              <m:t>M</m:t>
            </m:r>
          </m:sub>
        </m:sSub>
        <m:f>
          <m:fPr>
            <m:type m:val="bar"/>
          </m:fPr>
          <m:num>
            <m:d>
              <m:dPr>
                <m:begChr m:val="("/>
                <m:endChr m:val=")"/>
                <m:grow/>
              </m:dPr>
              <m:e>
                <m:r>
                  <m:t>1</m:t>
                </m:r>
                <m:r>
                  <m:rPr>
                    <m:sty m:val="p"/>
                  </m:rPr>
                  <m:t>+</m:t>
                </m:r>
                <m:sSub>
                  <m:e>
                    <m:r>
                      <m:t>ψ</m:t>
                    </m:r>
                  </m:e>
                  <m:sub>
                    <m:r>
                      <m:t>m</m:t>
                    </m:r>
                  </m:sub>
                </m:sSub>
              </m:e>
            </m:d>
            <m:d>
              <m:dPr>
                <m:begChr m:val="("/>
                <m:endChr m:val=")"/>
                <m:grow/>
              </m:dPr>
              <m:e>
                <m:r>
                  <m:t>1</m:t>
                </m:r>
                <m:r>
                  <m:rPr>
                    <m:sty m:val="p"/>
                  </m:rPr>
                  <m:t>+</m:t>
                </m:r>
                <m:sSub>
                  <m:e>
                    <m:r>
                      <m:t>r</m:t>
                    </m:r>
                  </m:e>
                  <m:sub>
                    <m:r>
                      <m:t>j</m:t>
                    </m:r>
                    <m:r>
                      <m:t>m</m:t>
                    </m:r>
                  </m:sub>
                </m:sSub>
              </m:e>
            </m:d>
          </m:num>
          <m:den>
            <m:sSub>
              <m:e>
                <m:r>
                  <m:t>θ</m:t>
                </m:r>
              </m:e>
              <m:sub>
                <m:r>
                  <m:t>m</m:t>
                </m:r>
              </m:sub>
            </m:sSub>
          </m:den>
        </m:f>
        <m:r>
          <m:rPr>
            <m:sty m:val="p"/>
          </m:rPr>
          <m:t>,</m:t>
        </m:r>
        <m:r>
          <m:t>  </m:t>
        </m:r>
        <m:sSub>
          <m:e>
            <m:r>
              <m:t>ψ</m:t>
            </m:r>
          </m:e>
          <m:sub>
            <m:r>
              <m:t>m</m:t>
            </m:r>
          </m:sub>
        </m:sSub>
        <m:r>
          <m:rPr>
            <m:sty m:val="p"/>
          </m:rPr>
          <m:t>≥</m:t>
        </m:r>
        <m:r>
          <m:t>0</m:t>
        </m:r>
        <m:r>
          <m:rPr>
            <m:sty m:val="p"/>
          </m:rPr>
          <m:t>,</m:t>
        </m:r>
        <m:r>
          <m:t> </m:t>
        </m:r>
        <m:sSub>
          <m:e>
            <m:r>
              <m:t>ψ</m:t>
            </m:r>
          </m:e>
          <m:sub>
            <m:r>
              <m:t>m</m:t>
            </m:r>
          </m:sub>
        </m:sSub>
        <m:d>
          <m:dPr>
            <m:begChr m:val="("/>
            <m:endChr m:val=")"/>
            <m:grow/>
          </m:dPr>
          <m:e>
            <m:sSub>
              <m:e>
                <m:r>
                  <m:t>C</m:t>
                </m:r>
              </m:e>
              <m:sub>
                <m:r>
                  <m:t>m</m:t>
                </m:r>
              </m:sub>
            </m:sSub>
            <m:r>
              <m:rPr>
                <m:sty m:val="p"/>
              </m:rPr>
              <m:t>−</m:t>
            </m:r>
            <m:nary>
              <m:naryPr>
                <m:chr m:val="∑"/>
                <m:limLoc m:val="undOvr"/>
                <m:subHide m:val="off"/>
                <m:supHide m:val="on"/>
              </m:naryPr>
              <m:sub>
                <m:r>
                  <m:t>j</m:t>
                </m:r>
                <m:r>
                  <m:rPr>
                    <m:sty m:val="p"/>
                  </m:rPr>
                  <m:t>∈</m:t>
                </m:r>
                <m:r>
                  <m:rPr>
                    <m:scr m:val="script"/>
                    <m:sty m:val="p"/>
                  </m:rPr>
                  <m:t>J</m:t>
                </m:r>
              </m:sub>
              <m:sup>
                <m:r>
                  <m:t>​</m:t>
                </m:r>
              </m:sup>
              <m:e>
                <m:f>
                  <m:fPr>
                    <m:type m:val="bar"/>
                  </m:fPr>
                  <m:num>
                    <m:d>
                      <m:dPr>
                        <m:begChr m:val="("/>
                        <m:endChr m:val=")"/>
                        <m:grow/>
                      </m:dPr>
                      <m:e>
                        <m:r>
                          <m:t>1</m:t>
                        </m:r>
                        <m:r>
                          <m:rPr>
                            <m:sty m:val="p"/>
                          </m:rPr>
                          <m:t>+</m:t>
                        </m:r>
                        <m:sSub>
                          <m:e>
                            <m:r>
                              <m:t>r</m:t>
                            </m:r>
                          </m:e>
                          <m:sub>
                            <m:r>
                              <m:t>j</m:t>
                            </m:r>
                            <m:r>
                              <m:t>m</m:t>
                            </m:r>
                          </m:sub>
                        </m:sSub>
                      </m:e>
                    </m:d>
                    <m:sSub>
                      <m:e>
                        <m:r>
                          <m:t>D</m:t>
                        </m:r>
                      </m:e>
                      <m:sub>
                        <m:r>
                          <m:t>j</m:t>
                        </m:r>
                      </m:sub>
                    </m:sSub>
                  </m:num>
                  <m:den>
                    <m:sSub>
                      <m:e>
                        <m:r>
                          <m:t>θ</m:t>
                        </m:r>
                      </m:e>
                      <m:sub>
                        <m:r>
                          <m:t>m</m:t>
                        </m:r>
                      </m:sub>
                    </m:sSub>
                  </m:den>
                </m:f>
              </m:e>
            </m:nary>
            <m:sSub>
              <m:e>
                <m:r>
                  <m:t>x</m:t>
                </m:r>
              </m:e>
              <m:sub>
                <m:r>
                  <m:t>j</m:t>
                </m:r>
                <m:r>
                  <m:t>m</m:t>
                </m:r>
              </m:sub>
            </m:sSub>
          </m:e>
        </m:d>
        <m:r>
          <m:rPr>
            <m:sty m:val="p"/>
          </m:rPr>
          <m:t>=</m:t>
        </m:r>
        <m:r>
          <m:t>0</m:t>
        </m:r>
      </m:oMath>
      <w:r>
        <w:tab/>
      </w:r>
      <w:r>
        <w:rPr>
          <w:rFonts w:ascii="Times New Roman" w:hAnsi="Times New Roman" w:eastAsia="宋体"/>
          <w:sz w:val="24"/>
        </w:rPr>
        <w:t>(9-9)</w:t>
      </w:r>
    </w:p>
    <w:p>
      <w:pPr>
        <w:spacing w:line="360" w:lineRule="auto" w:after="0"/>
        <w:jc w:val="both"/>
      </w:pPr>
      <w:r>
        <w:rPr>
          <w:rFonts w:ascii="宋体" w:hAnsi="宋体" w:eastAsia="宋体"/>
          <w:sz w:val="24"/>
        </w:rPr>
        <w:t>其中，</w:t>
      </w:r>
      <m:oMath>
        <m:sSub>
          <m:e>
            <m:r>
              <m:t>ψ</m:t>
            </m:r>
          </m:e>
          <m:sub>
            <m:r>
              <m:t>m</m:t>
            </m:r>
          </m:sub>
        </m:sSub>
      </m:oMath>
      <w:r>
        <w:rPr>
          <w:rFonts w:ascii="宋体" w:hAnsi="宋体" w:eastAsia="宋体"/>
          <w:sz w:val="24"/>
        </w:rPr>
        <w:t>为档位</w:t>
      </w:r>
      <m:oMath>
        <m:r>
          <m:t>m</m:t>
        </m:r>
      </m:oMath>
      <w:r>
        <w:rPr>
          <w:rFonts w:ascii="宋体" w:hAnsi="宋体" w:eastAsia="宋体"/>
          <w:sz w:val="24"/>
        </w:rPr>
        <w:t>算力容量的影子价格，在容量未被用尽时为零、被用尽时为正；</w:t>
      </w:r>
      <m:oMath>
        <m:d>
          <m:dPr>
            <m:begChr m:val="("/>
            <m:endChr m:val=")"/>
            <m:grow/>
          </m:dPr>
          <m:e>
            <m:r>
              <m:t>1</m:t>
            </m:r>
            <m:r>
              <m:rPr>
                <m:sty m:val="p"/>
              </m:rPr>
              <m:t>+</m:t>
            </m:r>
            <m:sSub>
              <m:e>
                <m:r>
                  <m:t>ψ</m:t>
                </m:r>
              </m:e>
              <m:sub>
                <m:r>
                  <m:t>m</m:t>
                </m:r>
              </m:sub>
            </m:sSub>
          </m:e>
        </m:d>
        <m:d>
          <m:dPr>
            <m:begChr m:val="("/>
            <m:endChr m:val=")"/>
            <m:grow/>
          </m:dPr>
          <m:e>
            <m:r>
              <m:t>1</m:t>
            </m:r>
            <m:r>
              <m:rPr>
                <m:sty m:val="p"/>
              </m:rPr>
              <m:t>+</m:t>
            </m:r>
            <m:sSub>
              <m:e>
                <m:r>
                  <m:t>r</m:t>
                </m:r>
              </m:e>
              <m:sub>
                <m:r>
                  <m:t>j</m:t>
                </m:r>
                <m:r>
                  <m:t>m</m:t>
                </m:r>
              </m:sub>
            </m:sSub>
          </m:e>
        </m:d>
        <m:r>
          <m:rPr>
            <m:sty m:val="p"/>
          </m:rPr>
          <m:t>/</m:t>
        </m:r>
        <m:sSub>
          <m:e>
            <m:r>
              <m:t>θ</m:t>
            </m:r>
          </m:e>
          <m:sub>
            <m:r>
              <m:t>m</m:t>
            </m:r>
          </m:sub>
        </m:sSub>
      </m:oMath>
      <w:r>
        <w:rPr>
          <w:rFonts w:ascii="宋体" w:hAnsi="宋体" w:eastAsia="宋体"/>
          <w:sz w:val="24"/>
        </w:rPr>
        <w:t>为把一单位标准词元需求交由档位</w:t>
      </w:r>
      <m:oMath>
        <m:r>
          <m:t>m</m:t>
        </m:r>
      </m:oMath>
      <w:r>
        <w:rPr>
          <w:rFonts w:ascii="宋体" w:hAnsi="宋体" w:eastAsia="宋体"/>
          <w:sz w:val="24"/>
        </w:rPr>
        <w:t>完成的完全社会成本。</w:t>
      </w:r>
    </w:p>
    <w:p>
      <w:pPr>
        <w:spacing w:line="360" w:lineRule="auto" w:after="0"/>
        <w:ind w:firstLineChars="200" w:firstLine="480"/>
        <w:jc w:val="both"/>
      </w:pPr>
      <w:r>
        <w:rPr>
          <w:rFonts w:ascii="宋体" w:hAnsi="宋体" w:eastAsia="宋体"/>
          <w:sz w:val="24"/>
        </w:rPr>
        <w:t>式(9-9)给出的匹配规则可以概括为</w:t>
      </w:r>
      <w:r>
        <w:rPr>
          <w:rFonts w:ascii="宋体" w:hAnsi="宋体" w:eastAsia="宋体"/>
          <w:b/>
          <w:sz w:val="24"/>
        </w:rPr>
        <w:t>阶梯匹配原则</w:t>
      </w:r>
      <w:r>
        <w:rPr>
          <w:rFonts w:ascii="宋体" w:hAnsi="宋体" w:eastAsia="宋体"/>
          <w:sz w:val="24"/>
        </w:rPr>
        <w:t xml:space="preserve">。当算力不紧张、各档位影子价格均为零时，规则退化为 </w:t>
      </w:r>
      <m:oMath>
        <m:sSup>
          <m:e>
            <m:r>
              <m:t>m</m:t>
            </m:r>
          </m:e>
          <m:sup>
            <m:r>
              <m:rPr>
                <m:sty m:val="p"/>
              </m:rPr>
              <m:t>∘</m:t>
            </m:r>
          </m:sup>
        </m:sSup>
        <m:d>
          <m:dPr>
            <m:begChr m:val="("/>
            <m:endChr m:val=")"/>
            <m:grow/>
          </m:dPr>
          <m:e>
            <m:r>
              <m:t>j</m:t>
            </m:r>
          </m:e>
        </m:d>
        <m:r>
          <m:rPr>
            <m:sty m:val="p"/>
          </m:rPr>
          <m:t>=</m:t>
        </m:r>
        <m:r>
          <m:rPr>
            <m:sty m:val="p"/>
          </m:rPr>
          <m:t>arg</m:t>
        </m:r>
        <m:sSub>
          <m:e>
            <m:r>
              <m:rPr>
                <m:sty m:val="p"/>
              </m:rPr>
              <m:t>max</m:t>
            </m:r>
          </m:e>
          <m:sub>
            <m:r>
              <m:t>m</m:t>
            </m:r>
            <m:r>
              <m:rPr>
                <m:sty m:val="p"/>
              </m:rPr>
              <m:t>∈</m:t>
            </m:r>
            <m:sSub>
              <m:e>
                <m:r>
                  <m:rPr>
                    <m:scr m:val="script"/>
                    <m:sty m:val="p"/>
                  </m:rPr>
                  <m:t>M</m:t>
                </m:r>
              </m:e>
              <m:sub>
                <m:r>
                  <m:t>j</m:t>
                </m:r>
              </m:sub>
            </m:sSub>
          </m:sub>
        </m:sSub>
        <m:sSub>
          <m:e>
            <m:r>
              <m:t>θ</m:t>
            </m:r>
          </m:e>
          <m:sub>
            <m:r>
              <m:t>m</m:t>
            </m:r>
          </m:sub>
        </m:sSub>
      </m:oMath>
      <w:r>
        <w:rPr>
          <w:rFonts w:ascii="宋体" w:hAnsi="宋体" w:eastAsia="宋体"/>
          <w:sz w:val="24"/>
        </w:rPr>
        <w:t>，即「任务应被匹配到能够达标的最低档位」——够用即可。当某些档位算力紧张、影子价格转正时，规则自动把任务向低档位推移：高档位的拥挤成本上升，使得原本值得上溢的任务不再值得上溢。这一规则的两个性质值得强调。其一，它是</w:t>
      </w:r>
      <w:r>
        <w:rPr>
          <w:rFonts w:ascii="宋体" w:hAnsi="宋体" w:eastAsia="宋体"/>
          <w:b/>
          <w:sz w:val="24"/>
        </w:rPr>
        <w:t>需求侧信息与供给侧信息的联合函数</w:t>
      </w:r>
      <w:r>
        <w:rPr>
          <w:rFonts w:ascii="宋体" w:hAnsi="宋体" w:eastAsia="宋体"/>
          <w:sz w:val="24"/>
        </w:rPr>
        <w:t>：</w:t>
      </w:r>
      <m:oMath>
        <m:sSub>
          <m:e>
            <m:r>
              <m:t>r</m:t>
            </m:r>
          </m:e>
          <m:sub>
            <m:r>
              <m:t>j</m:t>
            </m:r>
            <m:r>
              <m:t>m</m:t>
            </m:r>
          </m:sub>
        </m:sSub>
      </m:oMath>
      <w:r>
        <w:rPr>
          <w:rFonts w:ascii="宋体" w:hAnsi="宋体" w:eastAsia="宋体"/>
          <w:sz w:val="24"/>
        </w:rPr>
        <w:t xml:space="preserve"> 属任务侧私人信息，</w:t>
      </w:r>
      <m:oMath>
        <m:sSub>
          <m:e>
            <m:r>
              <m:t>θ</m:t>
            </m:r>
          </m:e>
          <m:sub>
            <m:r>
              <m:t>m</m:t>
            </m:r>
          </m:sub>
        </m:sSub>
      </m:oMath>
      <w:r>
        <w:rPr>
          <w:rFonts w:ascii="宋体" w:hAnsi="宋体" w:eastAsia="宋体"/>
          <w:sz w:val="24"/>
        </w:rPr>
        <w:t xml:space="preserve"> 属模型侧私人信息，</w:t>
      </w:r>
      <m:oMath>
        <m:sSub>
          <m:e>
            <m:r>
              <m:t>ψ</m:t>
            </m:r>
          </m:e>
          <m:sub>
            <m:r>
              <m:t>m</m:t>
            </m:r>
          </m:sub>
        </m:sSub>
      </m:oMath>
      <w:r>
        <w:rPr>
          <w:rFonts w:ascii="宋体" w:hAnsi="宋体" w:eastAsia="宋体"/>
          <w:sz w:val="24"/>
        </w:rPr>
        <w:t xml:space="preserve"> 属算力侧私人信息，三者分散在不同主体手中——这解释了为什么匹配损失无法由任何单一主体自行消除，也解释了为什么效值信息不对称（第 8 章）会直接转化为配置损失。其二，它与第 7 章的三层价格结构在结构上对偶：价格结构回答「一枚词元应当卖多少钱」，匹配规则回答「一个任务应当用哪一档来做」，两者的桥梁都是效值系数 </w:t>
      </w:r>
      <m:oMath>
        <m:sSub>
          <m:e>
            <m:r>
              <m:t>η</m:t>
            </m:r>
          </m:e>
          <m:sub>
            <m:r>
              <m:t>m</m:t>
            </m:r>
          </m:sub>
        </m:sSub>
      </m:oMath>
      <w:r>
        <w:rPr>
          <w:rFonts w:ascii="宋体" w:hAnsi="宋体" w:eastAsia="宋体"/>
          <w:sz w:val="24"/>
        </w:rPr>
        <w:t xml:space="preserve">。若市场价格已经充分反映效值（即 </w:t>
      </w:r>
      <m:oMath>
        <m:sSub>
          <m:e>
            <m:acc>
              <m:accPr>
                <m:chr m:val="̃"/>
              </m:accPr>
              <m:e>
                <m:r>
                  <m:t>p</m:t>
                </m:r>
              </m:e>
            </m:acc>
          </m:e>
          <m:sub>
            <m:r>
              <m:t>m</m:t>
            </m:r>
          </m:sub>
        </m:sSub>
      </m:oMath>
      <w:r>
        <w:rPr>
          <w:rFonts w:ascii="宋体" w:hAnsi="宋体" w:eastAsia="宋体"/>
          <w:sz w:val="24"/>
        </w:rPr>
        <w:t xml:space="preserve"> 在档位间趋同，第 7 章测算显示折算后价格离差由12.6倍降至2.4倍），则分散决策的应用方按价格选择档位，其结果将自动接近式(9-9)的最优匹配——这是标准词元折算体系在配置维度上最重要的政策含义。</w:t>
      </w:r>
    </w:p>
    <w:p>
      <w:pPr>
        <w:keepNext/>
        <w:spacing w:before="160" w:after="120" w:line="360" w:lineRule="auto"/>
        <w:outlineLvl w:val="2"/>
      </w:pPr>
      <w:r>
        <w:rPr>
          <w:rFonts w:ascii="黑体" w:hAnsi="黑体" w:eastAsia="黑体"/>
          <w:sz w:val="24"/>
        </w:rPr>
        <w:t>9.3.3  效率改进的幅度与上界</w:t>
      </w:r>
    </w:p>
    <w:p>
      <w:pPr>
        <w:spacing w:line="360" w:lineRule="auto" w:after="0"/>
        <w:ind w:firstLineChars="200" w:firstLine="480"/>
        <w:jc w:val="both"/>
      </w:pPr>
      <w:r>
        <w:rPr>
          <w:rFonts w:ascii="宋体" w:hAnsi="宋体" w:eastAsia="宋体"/>
          <w:sz w:val="24"/>
        </w:rPr>
        <w:t>把式(9-8)在本书校准的任务结构与算力结构下求解，可得统一调度后的有效效值利用率。进一步地，若允许四项损失同时压缩至各自的技术与制度下界，则得到效率改进的理论上界，见式(9-10)。</w:t>
      </w:r>
    </w:p>
    <w:p>
      <w:pPr>
        <w:tabs>
          <w:tab w:pos="4252" w:val="center"/>
          <w:tab w:pos="8504" w:val="right"/>
        </w:tabs>
        <w:spacing w:line="360" w:lineRule="auto" w:before="80" w:after="80"/>
      </w:pPr>
      <w:r>
        <w:tab/>
      </w:r>
      <m:oMath>
        <m:sSup>
          <m:e>
            <m:r>
              <m:t>u</m:t>
            </m:r>
          </m:e>
          <m:sup>
            <m:r>
              <m:rPr>
                <m:sty m:val="p"/>
              </m:rPr>
              <m:t>u</m:t>
            </m:r>
            <m:r>
              <m:rPr>
                <m:sty m:val="p"/>
              </m:rPr>
              <m:t>b</m:t>
            </m:r>
          </m:sup>
        </m:sSup>
        <m:r>
          <m:rPr>
            <m:sty m:val="p"/>
          </m:rPr>
          <m:t>=</m:t>
        </m:r>
        <m:sSub>
          <m:e>
            <m:r>
              <m:rPr>
                <m:sty m:val="p"/>
              </m:rPr>
              <m:t>max</m:t>
            </m:r>
          </m:e>
          <m:sub>
            <m:r>
              <m:rPr>
                <m:sty m:val="b"/>
              </m:rPr>
              <m:t>X</m:t>
            </m:r>
            <m:r>
              <m:rPr>
                <m:sty m:val="p"/>
              </m:rPr>
              <m:t>,</m:t>
            </m:r>
            <m:r>
              <m:t> </m:t>
            </m:r>
            <m:r>
              <m:rPr>
                <m:sty m:val="b"/>
              </m:rPr>
              <m:t>b</m:t>
            </m:r>
            <m:r>
              <m:rPr>
                <m:sty m:val="p"/>
              </m:rPr>
              <m:t>,</m:t>
            </m:r>
            <m:r>
              <m:t> </m:t>
            </m:r>
            <m:r>
              <m:rPr>
                <m:sty m:val="b"/>
              </m:rPr>
              <m:t>s</m:t>
            </m:r>
          </m:sub>
        </m:sSub>
        <m:r>
          <m:t> </m:t>
        </m:r>
        <m:sSup>
          <m:e>
            <m:r>
              <m:t>u</m:t>
            </m:r>
          </m:e>
          <m:sup>
            <m:r>
              <m:rPr>
                <m:sty m:val="p"/>
              </m:rPr>
              <m:t>e</m:t>
            </m:r>
            <m:r>
              <m:rPr>
                <m:sty m:val="p"/>
              </m:rPr>
              <m:t>f</m:t>
            </m:r>
            <m:r>
              <m:rPr>
                <m:sty m:val="p"/>
              </m:rPr>
              <m:t>f</m:t>
            </m:r>
          </m:sup>
        </m:sSup>
        <m:r>
          <m:t>​</m:t>
        </m:r>
        <m:d>
          <m:dPr>
            <m:begChr m:val="("/>
            <m:endChr m:val=")"/>
            <m:grow/>
          </m:dPr>
          <m:e>
            <m:r>
              <m:rPr>
                <m:sty m:val="b"/>
              </m:rPr>
              <m:t>X</m:t>
            </m:r>
            <m:r>
              <m:rPr>
                <m:sty m:val="p"/>
              </m:rPr>
              <m:t>,</m:t>
            </m:r>
            <m:r>
              <m:rPr>
                <m:sty m:val="b"/>
              </m:rPr>
              <m:t>b</m:t>
            </m:r>
            <m:r>
              <m:rPr>
                <m:sty m:val="p"/>
              </m:rPr>
              <m:t>,</m:t>
            </m:r>
            <m:r>
              <m:rPr>
                <m:sty m:val="b"/>
              </m:rPr>
              <m:t>s</m:t>
            </m:r>
          </m:e>
        </m:d>
        <m:r>
          <m:rPr>
            <m:sty m:val="p"/>
          </m:rPr>
          <m:t>=</m:t>
        </m:r>
        <m:sSup>
          <m:e>
            <m:r>
              <m:t>u</m:t>
            </m:r>
          </m:e>
          <m:sup>
            <m:r>
              <m:rPr>
                <m:sty m:val="p"/>
              </m:rPr>
              <m:t>n</m:t>
            </m:r>
            <m:r>
              <m:rPr>
                <m:sty m:val="p"/>
              </m:rPr>
              <m:t>o</m:t>
            </m:r>
            <m:r>
              <m:rPr>
                <m:sty m:val="p"/>
              </m:rPr>
              <m:t>m</m:t>
            </m:r>
          </m:sup>
        </m:sSup>
        <m:nary>
          <m:naryPr>
            <m:chr m:val="∏"/>
            <m:limLoc m:val="undOvr"/>
            <m:subHide m:val="off"/>
            <m:supHide m:val="on"/>
          </m:naryPr>
          <m:sub>
            <m:r>
              <m:t>k</m:t>
            </m:r>
            <m:r>
              <m:rPr>
                <m:sty m:val="p"/>
              </m:rPr>
              <m:t>∈</m:t>
            </m:r>
            <m:d>
              <m:dPr>
                <m:begChr m:val="{"/>
                <m:endChr m:val="}"/>
                <m:grow/>
              </m:dPr>
              <m:e>
                <m:r>
                  <m:t>I</m:t>
                </m:r>
                <m:r>
                  <m:rPr>
                    <m:sty m:val="p"/>
                  </m:rPr>
                  <m:t>,</m:t>
                </m:r>
                <m:r>
                  <m:t>B</m:t>
                </m:r>
                <m:r>
                  <m:rPr>
                    <m:sty m:val="p"/>
                  </m:rPr>
                  <m:t>,</m:t>
                </m:r>
                <m:r>
                  <m:t>M</m:t>
                </m:r>
                <m:r>
                  <m:rPr>
                    <m:sty m:val="p"/>
                  </m:rPr>
                  <m:t>,</m:t>
                </m:r>
                <m:r>
                  <m:t>V</m:t>
                </m:r>
              </m:e>
            </m:d>
          </m:sub>
          <m:sup>
            <m:r>
              <m:t>​</m:t>
            </m:r>
          </m:sup>
          <m:e>
            <m:d>
              <m:dPr>
                <m:begChr m:val="("/>
                <m:endChr m:val=")"/>
                <m:grow/>
              </m:dPr>
              <m:e>
                <m:r>
                  <m:t>1</m:t>
                </m:r>
                <m:r>
                  <m:rPr>
                    <m:sty m:val="p"/>
                  </m:rPr>
                  <m:t>−</m:t>
                </m:r>
                <m:sSub>
                  <m:e>
                    <m:bar>
                      <m:barPr>
                        <m:pos m:val="bot"/>
                      </m:barPr>
                      <m:e>
                        <m:r>
                          <m:t>δ</m:t>
                        </m:r>
                      </m:e>
                    </m:bar>
                  </m:e>
                  <m:sub>
                    <m:r>
                      <m:t>k</m:t>
                    </m:r>
                  </m:sub>
                </m:sSub>
              </m:e>
            </m:d>
          </m:e>
        </m:nary>
        <m:r>
          <m:t> </m:t>
        </m:r>
        <m:r>
          <m:rPr>
            <m:sty m:val="p"/>
          </m:rPr>
          <m:t>≤</m:t>
        </m:r>
        <m:r>
          <m:t> </m:t>
        </m:r>
        <m:sSup>
          <m:e>
            <m:r>
              <m:t>u</m:t>
            </m:r>
          </m:e>
          <m:sup>
            <m:r>
              <m:rPr>
                <m:sty m:val="p"/>
              </m:rPr>
              <m:t>n</m:t>
            </m:r>
            <m:r>
              <m:rPr>
                <m:sty m:val="p"/>
              </m:rPr>
              <m:t>o</m:t>
            </m:r>
            <m:r>
              <m:rPr>
                <m:sty m:val="p"/>
              </m:rPr>
              <m:t>m</m:t>
            </m:r>
          </m:sup>
        </m:sSup>
      </m:oMath>
      <w:r>
        <w:tab/>
      </w:r>
      <w:r>
        <w:rPr>
          <w:rFonts w:ascii="Times New Roman" w:hAnsi="Times New Roman" w:eastAsia="宋体"/>
          <w:sz w:val="24"/>
        </w:rPr>
        <w:t>(9-10)</w:t>
      </w:r>
    </w:p>
    <w:p>
      <w:pPr>
        <w:spacing w:line="360" w:lineRule="auto" w:after="0"/>
        <w:jc w:val="both"/>
      </w:pPr>
      <w:r>
        <w:rPr>
          <w:rFonts w:ascii="宋体" w:hAnsi="宋体" w:eastAsia="宋体"/>
          <w:sz w:val="24"/>
        </w:rPr>
        <w:t>其中，</w:t>
      </w:r>
      <m:oMath>
        <m:r>
          <m:rPr>
            <m:sty m:val="b"/>
          </m:rPr>
          <m:t>b</m:t>
        </m:r>
      </m:oMath>
      <w:r>
        <w:rPr>
          <w:rFonts w:ascii="宋体" w:hAnsi="宋体" w:eastAsia="宋体"/>
          <w:sz w:val="24"/>
        </w:rPr>
        <w:t>为批次与并发配置向量，</w:t>
      </w:r>
      <m:oMath>
        <m:sSub>
          <m:e>
            <m:bar>
              <m:barPr>
                <m:pos m:val="bot"/>
              </m:barPr>
              <m:e>
                <m:r>
                  <m:t>δ</m:t>
                </m:r>
              </m:e>
            </m:bar>
          </m:e>
          <m:sub>
            <m:r>
              <m:t>k</m:t>
            </m:r>
          </m:sub>
        </m:sSub>
      </m:oMath>
      <w:r>
        <w:rPr>
          <w:rFonts w:ascii="宋体" w:hAnsi="宋体" w:eastAsia="宋体"/>
          <w:sz w:val="24"/>
        </w:rPr>
        <w:t>为第</w:t>
      </w:r>
      <m:oMath>
        <m:r>
          <m:t>k</m:t>
        </m:r>
      </m:oMath>
      <w:r>
        <w:rPr>
          <w:rFonts w:ascii="宋体" w:hAnsi="宋体" w:eastAsia="宋体"/>
          <w:sz w:val="24"/>
        </w:rPr>
        <w:t>项损失在技术与制度硬约束下的下界；不等号表明，无论调度如何优化，有效效值利用率都不可能超过名义算力利用率。</w:t>
      </w:r>
    </w:p>
    <w:p>
      <w:pPr>
        <w:spacing w:line="360" w:lineRule="auto" w:after="0"/>
        <w:ind w:firstLineChars="200" w:firstLine="480"/>
        <w:jc w:val="both"/>
      </w:pPr>
      <w:r>
        <w:rPr>
          <w:rFonts w:ascii="宋体" w:hAnsi="宋体" w:eastAsia="宋体"/>
          <w:sz w:val="24"/>
        </w:rPr>
        <w:t>求解结果为：现状有效效值利用率38%，统一调度后54%，理论上界61%，而名义算力利用率62%构成不可逾越的天花板。这组数字给出三层判断。第一，统一调度可获得的改进为16个百分点，相对现状提升42%——这是在不新增一瓦算力、不改变任何模型的条件下，仅凭匹配规则与批次组织的改善即可获得的效率增益。第二，理论上界与现状之差为23个百分点，其中16个百分点可由统一调度在现实约束下取得，剩余7个百分点则需要更深层的变革：跨主体算力互联以压缩空转的制度性成分、推理系统的进一步演进以压缩批次损失、任务侧的标准化以提高难度可预测性从而压缩匹配损失的安全边际。第三，也是最容易被忽略的一点，理论上界61%与名义利用率62%几乎重合，这意味着</w:t>
      </w:r>
      <w:r>
        <w:rPr>
          <w:rFonts w:ascii="宋体" w:hAnsi="宋体" w:eastAsia="宋体"/>
          <w:b/>
          <w:sz w:val="24"/>
        </w:rPr>
        <w:t>调度改进的空间是有界的</w:t>
      </w:r>
      <w:r>
        <w:rPr>
          <w:rFonts w:ascii="宋体" w:hAnsi="宋体" w:eastAsia="宋体"/>
          <w:sz w:val="24"/>
        </w:rPr>
        <w:t>：即便把四项损失压缩到极限，有效效值利用率也不可能突破名义算力利用率给定的天花板。因此，配置优化与算力扩建并非相互替代的两条路线，而是先后有序的两个阶段——在四项损失被压缩之前，扩建算力的边际回报被系统性地打了折扣；而当损失被压缩到接近上界之后，产出的进一步增长就只能依靠名义算力的增加。</w:t>
      </w:r>
    </w:p>
    <w:p>
      <w:pPr>
        <w:spacing w:line="360" w:lineRule="auto" w:after="0"/>
        <w:ind w:firstLineChars="200" w:firstLine="480"/>
        <w:jc w:val="both"/>
      </w:pPr>
      <w:r>
        <w:rPr>
          <w:rFonts w:ascii="宋体" w:hAnsi="宋体" w:eastAsia="宋体"/>
          <w:sz w:val="24"/>
        </w:rPr>
        <w:t>效率改进的幅度还可以从「等效算力」的角度重新表述，这一表述对投资决策更为直观，见式(9-11)。</w:t>
      </w:r>
    </w:p>
    <w:p>
      <w:pPr>
        <w:tabs>
          <w:tab w:pos="4252" w:val="center"/>
          <w:tab w:pos="8504" w:val="right"/>
        </w:tabs>
        <w:spacing w:line="360" w:lineRule="auto" w:before="80" w:after="80"/>
      </w:pPr>
      <w:r>
        <w:tab/>
      </w:r>
      <m:oMath>
        <m:r>
          <m:t>Δ</m:t>
        </m:r>
        <m:acc>
          <m:accPr>
            <m:chr m:val="̃"/>
          </m:accPr>
          <m:e>
            <m:r>
              <m:t>T</m:t>
            </m:r>
          </m:e>
        </m:acc>
        <m:r>
          <m:rPr>
            <m:sty m:val="p"/>
          </m:rPr>
          <m:t>=</m:t>
        </m:r>
        <m:d>
          <m:dPr>
            <m:begChr m:val="("/>
            <m:endChr m:val=")"/>
            <m:grow/>
          </m:dPr>
          <m:e>
            <m:sSup>
              <m:e>
                <m:r>
                  <m:t>u</m:t>
                </m:r>
              </m:e>
              <m:sup>
                <m:r>
                  <m:rPr>
                    <m:sty m:val="p"/>
                  </m:rPr>
                  <m:t>s</m:t>
                </m:r>
                <m:r>
                  <m:rPr>
                    <m:sty m:val="p"/>
                  </m:rPr>
                  <m:t>c</m:t>
                </m:r>
                <m:r>
                  <m:rPr>
                    <m:sty m:val="p"/>
                  </m:rPr>
                  <m:t>h</m:t>
                </m:r>
              </m:sup>
            </m:sSup>
            <m:r>
              <m:rPr>
                <m:sty m:val="p"/>
              </m:rPr>
              <m:t>−</m:t>
            </m:r>
            <m:sSup>
              <m:e>
                <m:r>
                  <m:t>u</m:t>
                </m:r>
              </m:e>
              <m:sup>
                <m:r>
                  <m:rPr>
                    <m:sty m:val="p"/>
                  </m:rPr>
                  <m:t>e</m:t>
                </m:r>
                <m:r>
                  <m:rPr>
                    <m:sty m:val="p"/>
                  </m:rPr>
                  <m:t>f</m:t>
                </m:r>
                <m:r>
                  <m:rPr>
                    <m:sty m:val="p"/>
                  </m:rPr>
                  <m:t>f</m:t>
                </m:r>
              </m:sup>
            </m:sSup>
          </m:e>
        </m:d>
        <m:r>
          <m:t>Θ</m:t>
        </m:r>
        <m:r>
          <m:t> </m:t>
        </m:r>
        <m:acc>
          <m:accPr>
            <m:chr m:val="‾"/>
          </m:accPr>
          <m:e>
            <m:r>
              <m:t>C</m:t>
            </m:r>
          </m:e>
        </m:acc>
        <m:r>
          <m:t> </m:t>
        </m:r>
        <m:r>
          <m:t>Δ</m:t>
        </m:r>
        <m:r>
          <m:t>t</m:t>
        </m:r>
        <m:r>
          <m:rPr>
            <m:sty m:val="p"/>
          </m:rPr>
          <m:t>,</m:t>
        </m:r>
        <m:r>
          <m:t>  </m:t>
        </m:r>
        <m:f>
          <m:fPr>
            <m:type m:val="bar"/>
          </m:fPr>
          <m:num>
            <m:r>
              <m:t>Δ</m:t>
            </m:r>
            <m:sSup>
              <m:e>
                <m:acc>
                  <m:accPr>
                    <m:chr m:val="‾"/>
                  </m:accPr>
                  <m:e>
                    <m:r>
                      <m:t>C</m:t>
                    </m:r>
                  </m:e>
                </m:acc>
              </m:e>
              <m:sup>
                <m:r>
                  <m:rPr>
                    <m:sty m:val="p"/>
                  </m:rPr>
                  <m:t>e</m:t>
                </m:r>
                <m:r>
                  <m:rPr>
                    <m:sty m:val="p"/>
                  </m:rPr>
                  <m:t>q</m:t>
                </m:r>
              </m:sup>
            </m:sSup>
          </m:num>
          <m:den>
            <m:acc>
              <m:accPr>
                <m:chr m:val="‾"/>
              </m:accPr>
              <m:e>
                <m:r>
                  <m:t>C</m:t>
                </m:r>
              </m:e>
            </m:acc>
          </m:den>
        </m:f>
        <m:r>
          <m:rPr>
            <m:sty m:val="p"/>
          </m:rPr>
          <m:t>=</m:t>
        </m:r>
        <m:r>
          <m:t>1</m:t>
        </m:r>
        <m:r>
          <m:rPr>
            <m:sty m:val="p"/>
          </m:rPr>
          <m:t>−</m:t>
        </m:r>
        <m:f>
          <m:fPr>
            <m:type m:val="bar"/>
          </m:fPr>
          <m:num>
            <m:sSup>
              <m:e>
                <m:r>
                  <m:t>u</m:t>
                </m:r>
              </m:e>
              <m:sup>
                <m:r>
                  <m:rPr>
                    <m:sty m:val="p"/>
                  </m:rPr>
                  <m:t>e</m:t>
                </m:r>
                <m:r>
                  <m:rPr>
                    <m:sty m:val="p"/>
                  </m:rPr>
                  <m:t>f</m:t>
                </m:r>
                <m:r>
                  <m:rPr>
                    <m:sty m:val="p"/>
                  </m:rPr>
                  <m:t>f</m:t>
                </m:r>
              </m:sup>
            </m:sSup>
          </m:num>
          <m:den>
            <m:sSup>
              <m:e>
                <m:r>
                  <m:t>u</m:t>
                </m:r>
              </m:e>
              <m:sup>
                <m:r>
                  <m:rPr>
                    <m:sty m:val="p"/>
                  </m:rPr>
                  <m:t>s</m:t>
                </m:r>
                <m:r>
                  <m:rPr>
                    <m:sty m:val="p"/>
                  </m:rPr>
                  <m:t>c</m:t>
                </m:r>
                <m:r>
                  <m:rPr>
                    <m:sty m:val="p"/>
                  </m:rPr>
                  <m:t>h</m:t>
                </m:r>
              </m:sup>
            </m:sSup>
          </m:den>
        </m:f>
      </m:oMath>
      <w:r>
        <w:tab/>
      </w:r>
      <w:r>
        <w:rPr>
          <w:rFonts w:ascii="Times New Roman" w:hAnsi="Times New Roman" w:eastAsia="宋体"/>
          <w:sz w:val="24"/>
        </w:rPr>
        <w:t>(9-11)</w:t>
      </w:r>
    </w:p>
    <w:p>
      <w:pPr>
        <w:spacing w:line="360" w:lineRule="auto" w:after="0"/>
        <w:jc w:val="both"/>
      </w:pPr>
      <w:r>
        <w:rPr>
          <w:rFonts w:ascii="宋体" w:hAnsi="宋体" w:eastAsia="宋体"/>
          <w:sz w:val="24"/>
        </w:rPr>
        <w:t>其中，第一式为在算力存量不变时统一调度带来的标准词元增产，第二式为在产出不变时统一调度可节约的算力比例，即等效节约算力率。</w:t>
      </w:r>
    </w:p>
    <w:p>
      <w:pPr>
        <w:spacing w:line="360" w:lineRule="auto" w:after="0"/>
        <w:ind w:firstLineChars="200" w:firstLine="480"/>
        <w:jc w:val="both"/>
      </w:pPr>
      <w:r>
        <w:rPr>
          <w:rFonts w:ascii="宋体" w:hAnsi="宋体" w:eastAsia="宋体"/>
          <w:sz w:val="24"/>
        </w:rPr>
        <w:t>代入求解结果，统一调度的等效节约算力率为29.6%，达到理论上界时为37.7%。这意味着：在产出目标不变的前提下，统一调度相当于凭空增加约29.6%的算力，或等价地，使原本需要新建的算力减少约29.6%。按第 7 章式(7-1)，单位标准词元的算力成本与有效效值利用率成反比，因而同一改进也意味着单位标准词元的算力成本降至现状的70.4%，即下降29.6%——这一降幅与近年最激烈的价格竞争所带来的降价幅度处于同一量级，但它不是以牺牲供给方利润为代价的降价，而是实实在在的成本节约。分档位的改进结构如图9.3所示。</w:t>
      </w:r>
    </w:p>
    <w:p>
      <w:pPr>
        <w:spacing w:before="120" w:after="40"/>
        <w:jc w:val="center"/>
      </w:pPr>
      <w:r>
        <w:drawing>
          <wp:inline xmlns:a="http://schemas.openxmlformats.org/drawingml/2006/main" xmlns:pic="http://schemas.openxmlformats.org/drawingml/2006/picture">
            <wp:extent cx="5040000" cy="2888471"/>
            <wp:docPr id="29" name="Picture 29"/>
            <wp:cNvGraphicFramePr>
              <a:graphicFrameLocks noChangeAspect="1"/>
            </wp:cNvGraphicFramePr>
            <a:graphic>
              <a:graphicData uri="http://schemas.openxmlformats.org/drawingml/2006/picture">
                <pic:pic>
                  <pic:nvPicPr>
                    <pic:cNvPr id="0" name="fig9_3.png"/>
                    <pic:cNvPicPr/>
                  </pic:nvPicPr>
                  <pic:blipFill>
                    <a:blip r:embed="rId37"/>
                    <a:stretch>
                      <a:fillRect/>
                    </a:stretch>
                  </pic:blipFill>
                  <pic:spPr>
                    <a:xfrm>
                      <a:off x="0" y="0"/>
                      <a:ext cx="5040000" cy="2888471"/>
                    </a:xfrm>
                    <a:prstGeom prst="rect"/>
                  </pic:spPr>
                </pic:pic>
              </a:graphicData>
            </a:graphic>
          </wp:inline>
        </w:drawing>
      </w:r>
    </w:p>
    <w:p>
      <w:pPr>
        <w:keepNext w:val="0"/>
        <w:spacing w:after="40"/>
        <w:jc w:val="center"/>
      </w:pPr>
      <w:r>
        <w:rPr>
          <w:rFonts w:ascii="黑体" w:hAnsi="黑体" w:eastAsia="黑体"/>
          <w:sz w:val="21"/>
        </w:rPr>
        <w:t>图9.3  统一调度的效率改进</w:t>
      </w:r>
    </w:p>
    <w:p>
      <w:pPr>
        <w:spacing w:after="200" w:line="240" w:lineRule="auto"/>
        <w:jc w:val="both"/>
      </w:pPr>
      <w:r>
        <w:rPr>
          <w:rFonts w:ascii="宋体" w:hAnsi="宋体" w:eastAsia="宋体"/>
          <w:sz w:val="18"/>
        </w:rPr>
        <w:t>注：分档位数值为按式(9-8)、式(9-9)在本书校准的任务结构与算力结构下求解所得；六个档位为本书统一使用的模型能力分档，不对应任何具体商业模型产品；三条水平参考线自下而上依次为总体现状、统一调度后与理论上界。数据来源：作者校准复算。</w:t>
      </w:r>
    </w:p>
    <w:p>
      <w:pPr>
        <w:spacing w:line="360" w:lineRule="auto" w:after="0"/>
        <w:ind w:firstLineChars="200" w:firstLine="480"/>
        <w:jc w:val="both"/>
      </w:pPr>
      <w:r>
        <w:rPr>
          <w:rFonts w:ascii="宋体" w:hAnsi="宋体" w:eastAsia="宋体"/>
          <w:sz w:val="24"/>
        </w:rPr>
        <w:t>图9.3 显示出两个清晰的规律。其一，现状下各档位的有效效值利用率随档位上升而单调下降，轻量蒸馏级最高、推理增强级最低。这一梯度并非偶然：高档位模型既承受更大的批次组织难度（长输出、大显存占用），又是上溢型错配的主要承接方，两类损失叠加于同一档位。其二，统一调度后各档位的利用率显著收敛，改进幅度随档位上升而扩大，高档位的绝对改进接近低档位的两倍，调度后六个档位落在一个相当狭窄的区间内。这一收敛正是式(9-9)对偶最优的直接表现：在最优匹配下，各档位单位算力的边际有效产出趋于相等，若不相等，则把任务从边际产出低的档位移向高的档位就能改进目标值，与最优矛盾。</w:t>
      </w:r>
      <w:r>
        <w:rPr>
          <w:rFonts w:ascii="宋体" w:hAnsi="宋体" w:eastAsia="宋体"/>
          <w:b/>
          <w:sz w:val="24"/>
        </w:rPr>
        <w:t>利用率的档位间收敛，因而是调度是否达到最优的一个可观测判据</w:t>
      </w:r>
      <w:r>
        <w:rPr>
          <w:rFonts w:ascii="宋体" w:hAnsi="宋体" w:eastAsia="宋体"/>
          <w:sz w:val="24"/>
        </w:rPr>
        <w:t>——这一判据不依赖于任何内部信息，监管者与运营者只需比较各档位的有效效值利用率离差，即可判断调度水平的高低。这为第 14 章提出的「以有效效值利用率替代名义利用率作为考核口径」提供了可操作的技术支撑。</w:t>
      </w:r>
    </w:p>
    <w:p>
      <w:pPr>
        <w:keepNext/>
        <w:spacing w:before="160" w:after="120" w:line="360" w:lineRule="auto"/>
        <w:outlineLvl w:val="2"/>
      </w:pPr>
      <w:r>
        <w:rPr>
          <w:rFonts w:ascii="黑体" w:hAnsi="黑体" w:eastAsia="黑体"/>
          <w:sz w:val="24"/>
        </w:rPr>
        <w:t>9.3.4  统一调度的制度前提</w:t>
      </w:r>
    </w:p>
    <w:p>
      <w:pPr>
        <w:spacing w:line="360" w:lineRule="auto" w:after="0"/>
        <w:ind w:firstLineChars="200" w:firstLine="480"/>
        <w:jc w:val="both"/>
      </w:pPr>
      <w:r>
        <w:rPr>
          <w:rFonts w:ascii="宋体" w:hAnsi="宋体" w:eastAsia="宋体"/>
          <w:sz w:val="24"/>
        </w:rPr>
        <w:t xml:space="preserve">统一调度的技术方案早已不是难题，难在制度前提。式(9-9)要求调度者同时掌握三类分散信息并具备跨主体的执行力，这在制度上至少需要三项条件。第一是统一计量：没有可比的效值系数 </w:t>
      </w:r>
      <m:oMath>
        <m:sSub>
          <m:e>
            <m:r>
              <m:t>η</m:t>
            </m:r>
          </m:e>
          <m:sub>
            <m:r>
              <m:t>m</m:t>
            </m:r>
          </m:sub>
        </m:sSub>
      </m:oMath>
      <w:r>
        <w:rPr>
          <w:rFonts w:ascii="宋体" w:hAnsi="宋体" w:eastAsia="宋体"/>
          <w:sz w:val="24"/>
        </w:rPr>
        <w:t>，</w:t>
      </w:r>
      <m:oMath>
        <m:sSub>
          <m:e>
            <m:r>
              <m:t>θ</m:t>
            </m:r>
          </m:e>
          <m:sub>
            <m:r>
              <m:t>m</m:t>
            </m:r>
          </m:sub>
        </m:sSub>
      </m:oMath>
      <w:r>
        <w:rPr>
          <w:rFonts w:ascii="宋体" w:hAnsi="宋体" w:eastAsia="宋体"/>
          <w:sz w:val="24"/>
        </w:rPr>
        <w:t>无法计算，最优匹配无从定义。此处应当准确表述计量标准化的进展：2026 年 3 月 25 日，全国科学技术名词审定委员会发布公告，优先推荐并面向全社会发布试用 token 的中文名「词元」，并明确将在常态化审定中结合社会推广应用情况最终确认；同月，国家发展改革委党组成员、国家数据局局长刘烈宏在中国发展高层论坛 2026 年年会上使用并推介这一译名，提出词元具有「可计量、可定价、可交易」的特征。就标准供给而言，目前落地的是团体标准与机构评估规范——如中国人工智能产业发展联盟归口的《人工智能词元（Token）运营管理能力要求》（AIIA/T 0308—2026，2026 年 8 月发布）——其效力层级低于国家标准与行业标准，尚不存在以词元计量或计费为标题的国家标准或行业标准。计量标准化的滞后，是匹配损失长期居高的制度根源。</w:t>
      </w:r>
    </w:p>
    <w:p>
      <w:pPr>
        <w:spacing w:line="360" w:lineRule="auto" w:after="0"/>
        <w:ind w:firstLineChars="200" w:firstLine="480"/>
        <w:jc w:val="both"/>
      </w:pPr>
      <w:r>
        <w:rPr>
          <w:rFonts w:ascii="宋体" w:hAnsi="宋体" w:eastAsia="宋体"/>
          <w:sz w:val="24"/>
        </w:rPr>
        <w:t>第二是统一接入与结算。分散在不同主体手中的算力若无统一的接入口径与结算规则，影子价格便无从公布、跨域调度便无从执行。国家层面的部署已经沿这一方向展开：《全国一体化大数据中心协同创新体系算力枢纽实施方案》确立了枢纽节点的空间布局（「国家发展改革委等，2021」），《关于深入实施「东数西算」工程 加快构建全国一体化算力网的实施意见》提出建设「联网调度、普惠易用、绿色安全」的全国一体化算力网、统筹通用算力与智能算力协同（国家发展改革委等，2023），2026 年工业和信息化部进一步部署国家算力互联互通节点建设，提出建立「1+M+N」节点体系与「统一标识、统一标准、统一规则」的运行机制。地方层面，浙江省「十五五」规划纲要在「构建新型算力体系」段落中明确提出「建立全省一体化算力监测调度平台」（「浙江省人民代表大会，2026」）。需要提醒的是，省级平台、市级平台与全国一体化算力网是三个层级、三套接入范围的不同事物，各自上报的算力规模之间存在重复计算，不可加总。</w:t>
      </w:r>
    </w:p>
    <w:p>
      <w:pPr>
        <w:spacing w:line="360" w:lineRule="auto" w:after="0"/>
        <w:ind w:firstLineChars="200" w:firstLine="480"/>
        <w:jc w:val="both"/>
      </w:pPr>
      <w:r>
        <w:rPr>
          <w:rFonts w:ascii="宋体" w:hAnsi="宋体" w:eastAsia="宋体"/>
          <w:sz w:val="24"/>
        </w:rPr>
        <w:t xml:space="preserve">第三是激励相容。统一调度会重新分配各方的收益：应用方因「够用即可」而降低支出，算力运营方因利用率提高而增加收入，但高档位模型服务方则可能因上溢型调用减少而损失收入。若不设计相应的补偿或分成机制，掌握高档位模型的主体便缺乏接入统一调度的激励，平台的覆盖面无法扩大，规模效应无从实现。这一激励结构正是第 10 章三方演化博弈的分析对象，其中的关键参数——企业深度采纳的红利 </w:t>
      </w:r>
      <m:oMath>
        <m:sSub>
          <m:e>
            <m:r>
              <m:t>R</m:t>
            </m:r>
          </m:e>
          <m:sub>
            <m:r>
              <m:t>F</m:t>
            </m:r>
          </m:sub>
        </m:sSub>
      </m:oMath>
      <w:r>
        <w:rPr>
          <w:rFonts w:ascii="宋体" w:hAnsi="宋体" w:eastAsia="宋体"/>
          <w:sz w:val="24"/>
        </w:rPr>
        <w:t xml:space="preserve">——在数值上高度敏感：基准情景下 </w:t>
      </w:r>
      <m:oMath>
        <m:sSub>
          <m:e>
            <m:r>
              <m:t>R</m:t>
            </m:r>
          </m:e>
          <m:sub>
            <m:r>
              <m:t>F</m:t>
            </m:r>
          </m:sub>
        </m:sSub>
      </m:oMath>
      <w:r>
        <w:rPr>
          <w:rFonts w:ascii="宋体" w:hAnsi="宋体" w:eastAsia="宋体"/>
          <w:sz w:val="24"/>
        </w:rPr>
        <w:t>＝1.50，仅比临界值 1.55 低约3%，却导致「平台热、企业冷」与「平台企业双热、补贴顺利退出」两种完全不同的长期均衡。配置效率的改进因而不是一个纯粹的工程目标，而是一个需要机制设计加以保障的制度成果。国务院《关于深入实施「人工智能+」行动的意见》把智能经济形态培育列为国家行动（国务院，2025），为这一制度建设提供了政策框架。</w:t>
      </w:r>
    </w:p>
    <w:p>
      <w:pPr>
        <w:keepNext/>
        <w:spacing w:before="160" w:after="120" w:line="360" w:lineRule="auto"/>
        <w:outlineLvl w:val="1"/>
      </w:pPr>
      <w:r>
        <w:rPr>
          <w:rFonts w:ascii="黑体" w:hAnsi="黑体" w:eastAsia="黑体"/>
          <w:sz w:val="28"/>
        </w:rPr>
        <w:t>9.4  排队、批次与时延—成本权衡</w:t>
      </w:r>
    </w:p>
    <w:p>
      <w:pPr>
        <w:keepNext/>
        <w:spacing w:before="160" w:after="120" w:line="360" w:lineRule="auto"/>
        <w:outlineLvl w:val="2"/>
      </w:pPr>
      <w:r>
        <w:rPr>
          <w:rFonts w:ascii="黑体" w:hAnsi="黑体" w:eastAsia="黑体"/>
          <w:sz w:val="24"/>
        </w:rPr>
        <w:t>9.4.1  推理服务的排队刻画</w:t>
      </w:r>
    </w:p>
    <w:p>
      <w:pPr>
        <w:spacing w:line="360" w:lineRule="auto" w:after="0"/>
        <w:ind w:firstLineChars="200" w:firstLine="480"/>
        <w:jc w:val="both"/>
      </w:pPr>
      <w:r>
        <w:rPr>
          <w:rFonts w:ascii="宋体" w:hAnsi="宋体" w:eastAsia="宋体"/>
          <w:sz w:val="24"/>
        </w:rPr>
        <w:t xml:space="preserve">批次损失的微观基础是推理服务的排队过程。与传统计算服务不同，大模型推理的服务时间不是固定的：一个请求消耗多少时间取决于其输出词元数，而输出词元数在请求到达时并不已知。这使得推理服务在排队论上接近于服务时间随机且方差较大的排队系统。作为基准刻画，设请求到达服从强度为 </w:t>
      </w:r>
      <m:oMath>
        <m:r>
          <m:t>λ</m:t>
        </m:r>
      </m:oMath>
      <w:r>
        <w:rPr>
          <w:rFonts w:ascii="宋体" w:hAnsi="宋体" w:eastAsia="宋体"/>
          <w:sz w:val="24"/>
        </w:rPr>
        <w:t xml:space="preserve"> 的泊松过程、服务率为 </w:t>
      </w:r>
      <m:oMath>
        <m:r>
          <m:t>ν</m:t>
        </m:r>
      </m:oMath>
      <w:r>
        <w:rPr>
          <w:rFonts w:ascii="宋体" w:hAnsi="宋体" w:eastAsia="宋体"/>
          <w:sz w:val="24"/>
        </w:rPr>
        <w:t>，单服务台情形下的服务强度、平均排队等待与等待时间的尾分布见式(9-12)。</w:t>
      </w:r>
    </w:p>
    <w:p>
      <w:pPr>
        <w:tabs>
          <w:tab w:pos="4252" w:val="center"/>
          <w:tab w:pos="8504" w:val="right"/>
        </w:tabs>
        <w:spacing w:line="360" w:lineRule="auto" w:before="80" w:after="80"/>
      </w:pPr>
      <w:r>
        <w:tab/>
      </w:r>
      <m:oMath>
        <m:r>
          <m:rPr>
            <m:sty m:val="p"/>
          </m:rPr>
          <m:t>𝜚</m:t>
        </m:r>
        <m:r>
          <m:rPr>
            <m:sty m:val="p"/>
          </m:rPr>
          <m:t>=</m:t>
        </m:r>
        <m:f>
          <m:fPr>
            <m:type m:val="bar"/>
          </m:fPr>
          <m:num>
            <m:r>
              <m:t>λ</m:t>
            </m:r>
          </m:num>
          <m:den>
            <m:r>
              <m:t>ν</m:t>
            </m:r>
          </m:den>
        </m:f>
        <m:r>
          <m:rPr>
            <m:sty m:val="p"/>
          </m:rPr>
          <m:t>&lt;</m:t>
        </m:r>
        <m:r>
          <m:t>1</m:t>
        </m:r>
        <m:r>
          <m:rPr>
            <m:sty m:val="p"/>
          </m:rPr>
          <m:t>,</m:t>
        </m:r>
        <m:r>
          <m:t>  </m:t>
        </m:r>
        <m:sSub>
          <m:e>
            <m:r>
              <m:t>W</m:t>
            </m:r>
          </m:e>
          <m:sub>
            <m:r>
              <m:t>q</m:t>
            </m:r>
          </m:sub>
        </m:sSub>
        <m:r>
          <m:rPr>
            <m:sty m:val="p"/>
          </m:rPr>
          <m:t>=</m:t>
        </m:r>
        <m:f>
          <m:fPr>
            <m:type m:val="bar"/>
          </m:fPr>
          <m:num>
            <m:r>
              <m:rPr>
                <m:sty m:val="p"/>
              </m:rPr>
              <m:t>𝜚</m:t>
            </m:r>
          </m:num>
          <m:den>
            <m:r>
              <m:t>ν</m:t>
            </m:r>
            <m:r>
              <m:rPr>
                <m:sty m:val="p"/>
              </m:rPr>
              <m:t>−</m:t>
            </m:r>
            <m:r>
              <m:t>λ</m:t>
            </m:r>
          </m:den>
        </m:f>
        <m:r>
          <m:rPr>
            <m:sty m:val="p"/>
          </m:rPr>
          <m:t>=</m:t>
        </m:r>
        <m:f>
          <m:fPr>
            <m:type m:val="bar"/>
          </m:fPr>
          <m:num>
            <m:r>
              <m:t>λ</m:t>
            </m:r>
          </m:num>
          <m:den>
            <m:r>
              <m:t>ν</m:t>
            </m:r>
            <m:d>
              <m:dPr>
                <m:begChr m:val="("/>
                <m:endChr m:val=")"/>
                <m:grow/>
              </m:dPr>
              <m:e>
                <m:r>
                  <m:t>ν</m:t>
                </m:r>
                <m:r>
                  <m:rPr>
                    <m:sty m:val="p"/>
                  </m:rPr>
                  <m:t>−</m:t>
                </m:r>
                <m:r>
                  <m:t>λ</m:t>
                </m:r>
              </m:e>
            </m:d>
          </m:den>
        </m:f>
        <m:r>
          <m:rPr>
            <m:sty m:val="p"/>
          </m:rPr>
          <m:t>,</m:t>
        </m:r>
        <m:r>
          <m:t>  </m:t>
        </m:r>
        <m:r>
          <m:rPr>
            <m:sty m:val="p"/>
          </m:rPr>
          <m:t>Pr</m:t>
        </m:r>
        <m:d>
          <m:dPr>
            <m:begChr m:val="{"/>
            <m:endChr m:val="}"/>
            <m:grow/>
          </m:dPr>
          <m:e>
            <m:sSub>
              <m:e>
                <m:r>
                  <m:t>W</m:t>
                </m:r>
              </m:e>
              <m:sub>
                <m:r>
                  <m:t>q</m:t>
                </m:r>
              </m:sub>
            </m:sSub>
            <m:r>
              <m:rPr>
                <m:sty m:val="p"/>
              </m:rPr>
              <m:t>&gt;</m:t>
            </m:r>
            <m:r>
              <m:t>t</m:t>
            </m:r>
          </m:e>
        </m:d>
        <m:r>
          <m:rPr>
            <m:sty m:val="p"/>
          </m:rPr>
          <m:t>=</m:t>
        </m:r>
        <m:r>
          <m:rPr>
            <m:sty m:val="p"/>
          </m:rPr>
          <m:t>𝜚</m:t>
        </m:r>
        <m:r>
          <m:t> </m:t>
        </m:r>
        <m:sSup>
          <m:e>
            <m:r>
              <m:t>e</m:t>
            </m:r>
          </m:e>
          <m:sup>
            <m:r>
              <m:rPr>
                <m:sty m:val="p"/>
              </m:rPr>
              <m:t>−</m:t>
            </m:r>
            <m:d>
              <m:dPr>
                <m:begChr m:val="("/>
                <m:endChr m:val=")"/>
                <m:grow/>
              </m:dPr>
              <m:e>
                <m:r>
                  <m:t>ν</m:t>
                </m:r>
                <m:r>
                  <m:rPr>
                    <m:sty m:val="p"/>
                  </m:rPr>
                  <m:t>−</m:t>
                </m:r>
                <m:r>
                  <m:t>λ</m:t>
                </m:r>
              </m:e>
            </m:d>
            <m:r>
              <m:t>t</m:t>
            </m:r>
          </m:sup>
        </m:sSup>
      </m:oMath>
      <w:r>
        <w:tab/>
      </w:r>
      <w:r>
        <w:rPr>
          <w:rFonts w:ascii="Times New Roman" w:hAnsi="Times New Roman" w:eastAsia="宋体"/>
          <w:sz w:val="24"/>
        </w:rPr>
        <w:t>(9-12)</w:t>
      </w:r>
    </w:p>
    <w:p>
      <w:pPr>
        <w:spacing w:line="360" w:lineRule="auto" w:after="0"/>
        <w:jc w:val="both"/>
      </w:pPr>
      <w:r>
        <w:rPr>
          <w:rFonts w:ascii="宋体" w:hAnsi="宋体" w:eastAsia="宋体"/>
          <w:sz w:val="24"/>
        </w:rPr>
        <w:t>其中，</w:t>
      </w:r>
      <m:oMath>
        <m:r>
          <m:rPr>
            <m:sty m:val="p"/>
          </m:rPr>
          <m:t>𝜚</m:t>
        </m:r>
      </m:oMath>
      <w:r>
        <w:rPr>
          <w:rFonts w:ascii="宋体" w:hAnsi="宋体" w:eastAsia="宋体"/>
          <w:sz w:val="24"/>
        </w:rPr>
        <w:t>为服务强度（为避免与第 7 章场景租金分成率混淆，此处记为</w:t>
      </w:r>
      <m:oMath>
        <m:r>
          <m:rPr>
            <m:sty m:val="p"/>
          </m:rPr>
          <m:t>𝜚</m:t>
        </m:r>
      </m:oMath>
      <w:r>
        <w:rPr>
          <w:rFonts w:ascii="宋体" w:hAnsi="宋体" w:eastAsia="宋体"/>
          <w:sz w:val="24"/>
        </w:rPr>
        <w:t>），</w:t>
      </w:r>
      <m:oMath>
        <m:sSub>
          <m:e>
            <m:r>
              <m:t>W</m:t>
            </m:r>
          </m:e>
          <m:sub>
            <m:r>
              <m:t>q</m:t>
            </m:r>
          </m:sub>
        </m:sSub>
      </m:oMath>
      <w:r>
        <w:rPr>
          <w:rFonts w:ascii="宋体" w:hAnsi="宋体" w:eastAsia="宋体"/>
          <w:sz w:val="24"/>
        </w:rPr>
        <w:t>为平均排队等待时间；尾分布表明等待时间近似服从以</w:t>
      </w:r>
      <m:oMath>
        <m:d>
          <m:dPr>
            <m:begChr m:val="("/>
            <m:endChr m:val=")"/>
            <m:grow/>
          </m:dPr>
          <m:e>
            <m:r>
              <m:t>ν</m:t>
            </m:r>
            <m:r>
              <m:rPr>
                <m:sty m:val="p"/>
              </m:rPr>
              <m:t>−</m:t>
            </m:r>
            <m:r>
              <m:t>λ</m:t>
            </m:r>
          </m:e>
        </m:d>
      </m:oMath>
      <w:r>
        <w:rPr>
          <w:rFonts w:ascii="宋体" w:hAnsi="宋体" w:eastAsia="宋体"/>
          <w:sz w:val="24"/>
        </w:rPr>
        <w:t>为参数的指数衰减。</w:t>
      </w:r>
    </w:p>
    <w:p>
      <w:pPr>
        <w:spacing w:line="360" w:lineRule="auto" w:after="0"/>
        <w:ind w:firstLineChars="200" w:firstLine="480"/>
        <w:jc w:val="both"/>
      </w:pPr>
      <w:r>
        <w:rPr>
          <w:rFonts w:ascii="宋体" w:hAnsi="宋体" w:eastAsia="宋体"/>
          <w:sz w:val="24"/>
        </w:rPr>
        <w:t xml:space="preserve">本书校准的推理集群参数为到达率 </w:t>
      </w:r>
      <m:oMath>
        <m:r>
          <m:t>λ</m:t>
        </m:r>
      </m:oMath>
      <w:r>
        <w:rPr>
          <w:rFonts w:ascii="宋体" w:hAnsi="宋体" w:eastAsia="宋体"/>
          <w:sz w:val="24"/>
        </w:rPr>
        <w:t xml:space="preserve">＝420 请求／秒、服务率 </w:t>
      </w:r>
      <m:oMath>
        <m:r>
          <m:t>ν</m:t>
        </m:r>
      </m:oMath>
      <w:r>
        <w:rPr>
          <w:rFonts w:ascii="宋体" w:hAnsi="宋体" w:eastAsia="宋体"/>
          <w:sz w:val="24"/>
        </w:rPr>
        <w:t xml:space="preserve">＝480 请求／秒，服务强度 </w:t>
      </w:r>
      <m:oMath>
        <m:r>
          <m:rPr>
            <m:sty m:val="p"/>
          </m:rPr>
          <m:t>𝜚</m:t>
        </m:r>
      </m:oMath>
      <w:r>
        <w:rPr>
          <w:rFonts w:ascii="宋体" w:hAnsi="宋体" w:eastAsia="宋体"/>
          <w:sz w:val="24"/>
        </w:rPr>
        <w:t>＝0.875，系统处于高负荷运行区间。代入式(9-12)，理论平均排队等待为14.6 毫秒，平均逗留时间为16.7 毫秒。但校准复算的实际平均等待为96 毫秒，为理论值的6.6 倍。这一倍差不是模型误设，而是三项被基准排队模型抽象掉的现实因素所致：一是批次组装等待，请求到达后需等待同批其他请求以摊薄权重读取开销；二是预填充与解码的相互干扰，长提示的预填充会阻塞同一执行域内其他请求的解码；三是到达过程的突发性，实际请求流的方差显著大于泊松假设。三项之和构成批次损失的时间表现，也解释了为什么单纯提高硬件算力并不能等比例改善用户可感知的时延。</w:t>
      </w:r>
    </w:p>
    <w:p>
      <w:pPr>
        <w:spacing w:line="360" w:lineRule="auto" w:after="0"/>
        <w:ind w:firstLineChars="200" w:firstLine="480"/>
        <w:jc w:val="both"/>
      </w:pPr>
      <w:r>
        <w:rPr>
          <w:rFonts w:ascii="宋体" w:hAnsi="宋体" w:eastAsia="宋体"/>
          <w:sz w:val="24"/>
        </w:rPr>
        <w:t xml:space="preserve">尾部特征提供了另一个诊断维度。校准的 95 分位时延为310 毫秒，与平均等待之比为3.23；而按式(9-12)的指数尾，95 分位与均值之比应为 </w:t>
      </w:r>
      <m:oMath>
        <m:r>
          <m:rPr>
            <m:sty m:val="p"/>
          </m:rPr>
          <m:t>ln</m:t>
        </m:r>
        <m:r>
          <m:t>20</m:t>
        </m:r>
      </m:oMath>
      <w:r>
        <w:rPr>
          <w:rFonts w:ascii="宋体" w:hAnsi="宋体" w:eastAsia="宋体"/>
          <w:sz w:val="24"/>
        </w:rPr>
        <w:t>≈3.00。实际比值高出理论基准约7.8%，说明时延分布的尾部略厚于指数分布。尾部略厚的经济含义值得重视：服务水平承诺通常以分位数而非均值表述，尾部越厚，为满足同一分位数承诺所需预留的容量冗余越大，从而空转损失越高。这就在批次损失与空转损失之间建立了一条替代关系——压缩批次损失的努力（加大批大小）会推高时延尾部，进而迫使运营方预留更多冗余，把损失从第二项转移到第一项。四项损失并非彼此独立，这是式(9-5)采用序贯反事实而非独立归因的又一理由。</w:t>
      </w:r>
    </w:p>
    <w:p>
      <w:pPr>
        <w:keepNext/>
        <w:spacing w:before="160" w:after="120" w:line="360" w:lineRule="auto"/>
        <w:outlineLvl w:val="2"/>
      </w:pPr>
      <w:r>
        <w:rPr>
          <w:rFonts w:ascii="黑体" w:hAnsi="黑体" w:eastAsia="黑体"/>
          <w:sz w:val="24"/>
        </w:rPr>
        <w:t>9.4.2  批大小的时延—成本权衡</w:t>
      </w:r>
    </w:p>
    <w:p>
      <w:pPr>
        <w:spacing w:line="360" w:lineRule="auto" w:after="0"/>
        <w:ind w:firstLineChars="200" w:firstLine="480"/>
        <w:jc w:val="both"/>
      </w:pPr>
      <w:r>
        <w:rPr>
          <w:rFonts w:ascii="宋体" w:hAnsi="宋体" w:eastAsia="宋体"/>
          <w:sz w:val="24"/>
        </w:rPr>
        <w:t xml:space="preserve">批处理是推理服务成本控制的核心手段：批内请求共享一次权重读取，批大小越大，单位词元摊薄的固定开销越低。但批大小的增加同时抬高时延——批越大，组装等待越久、单批执行越长。记批大小为 </w:t>
      </w:r>
      <m:oMath>
        <m:r>
          <m:t>b</m:t>
        </m:r>
      </m:oMath>
      <w:r>
        <w:rPr>
          <w:rFonts w:ascii="宋体" w:hAnsi="宋体" w:eastAsia="宋体"/>
          <w:sz w:val="24"/>
        </w:rPr>
        <w:t xml:space="preserve">，平均时延为 </w:t>
      </w:r>
      <m:oMath>
        <m:acc>
          <m:accPr>
            <m:chr m:val="‾"/>
          </m:accPr>
          <m:e>
            <m:r>
              <m:t>d</m:t>
            </m:r>
          </m:e>
        </m:acc>
        <m:d>
          <m:dPr>
            <m:begChr m:val="("/>
            <m:endChr m:val=")"/>
            <m:grow/>
          </m:dPr>
          <m:e>
            <m:r>
              <m:t>b</m:t>
            </m:r>
          </m:e>
        </m:d>
      </m:oMath>
      <w:r>
        <w:rPr>
          <w:rFonts w:ascii="宋体" w:hAnsi="宋体" w:eastAsia="宋体"/>
          <w:sz w:val="24"/>
        </w:rPr>
        <w:t xml:space="preserve">、相对单位成本为 </w:t>
      </w:r>
      <m:oMath>
        <m:r>
          <m:t>χ</m:t>
        </m:r>
        <m:d>
          <m:dPr>
            <m:begChr m:val="("/>
            <m:endChr m:val=")"/>
            <m:grow/>
          </m:dPr>
          <m:e>
            <m:r>
              <m:t>b</m:t>
            </m:r>
          </m:e>
        </m:d>
      </m:oMath>
      <w:r>
        <w:rPr>
          <w:rFonts w:ascii="宋体" w:hAnsi="宋体" w:eastAsia="宋体"/>
          <w:sz w:val="24"/>
        </w:rPr>
        <w:t xml:space="preserve">，服务水平承诺的时延上限为 </w:t>
      </w:r>
      <m:oMath>
        <m:sSup>
          <m:e>
            <m:acc>
              <m:accPr>
                <m:chr m:val="‾"/>
              </m:accPr>
              <m:e>
                <m:r>
                  <m:t>d</m:t>
                </m:r>
              </m:e>
            </m:acc>
          </m:e>
          <m:sup>
            <m:r>
              <m:rPr>
                <m:sty m:val="p"/>
              </m:rPr>
              <m:t>S</m:t>
            </m:r>
            <m:r>
              <m:rPr>
                <m:sty m:val="p"/>
              </m:rPr>
              <m:t>L</m:t>
            </m:r>
            <m:r>
              <m:rPr>
                <m:sty m:val="p"/>
              </m:rPr>
              <m:t>A</m:t>
            </m:r>
          </m:sup>
        </m:sSup>
      </m:oMath>
      <w:r>
        <w:rPr>
          <w:rFonts w:ascii="宋体" w:hAnsi="宋体" w:eastAsia="宋体"/>
          <w:sz w:val="24"/>
        </w:rPr>
        <w:t>，则最优批大小由式(9-13)确定。</w:t>
      </w:r>
    </w:p>
    <w:p>
      <w:pPr>
        <w:tabs>
          <w:tab w:pos="4252" w:val="center"/>
          <w:tab w:pos="8504" w:val="right"/>
        </w:tabs>
        <w:spacing w:line="360" w:lineRule="auto" w:before="80" w:after="80"/>
      </w:pPr>
      <w:r>
        <w:tab/>
      </w:r>
      <m:oMath>
        <m:sSub>
          <m:e>
            <m:r>
              <m:rPr>
                <m:sty m:val="p"/>
              </m:rPr>
              <m:t>min</m:t>
            </m:r>
          </m:e>
          <m:sub>
            <m:r>
              <m:t>b</m:t>
            </m:r>
          </m:sub>
        </m:sSub>
        <m:r>
          <m:t> </m:t>
        </m:r>
        <m:r>
          <m:t>Ψ</m:t>
        </m:r>
        <m:d>
          <m:dPr>
            <m:begChr m:val="("/>
            <m:endChr m:val=")"/>
            <m:grow/>
          </m:dPr>
          <m:e>
            <m:r>
              <m:t>b</m:t>
            </m:r>
          </m:e>
        </m:d>
        <m:r>
          <m:rPr>
            <m:sty m:val="p"/>
          </m:rPr>
          <m:t>=</m:t>
        </m:r>
        <m:f>
          <m:fPr>
            <m:type m:val="bar"/>
          </m:fPr>
          <m:num>
            <m:acc>
              <m:accPr>
                <m:chr m:val="‾"/>
              </m:accPr>
              <m:e>
                <m:r>
                  <m:t>d</m:t>
                </m:r>
              </m:e>
            </m:acc>
            <m:d>
              <m:dPr>
                <m:begChr m:val="("/>
                <m:endChr m:val=")"/>
                <m:grow/>
              </m:dPr>
              <m:e>
                <m:r>
                  <m:t>b</m:t>
                </m:r>
              </m:e>
            </m:d>
            <m:r>
              <m:rPr>
                <m:sty m:val="p"/>
              </m:rPr>
              <m:t>−</m:t>
            </m:r>
            <m:sSub>
              <m:e>
                <m:acc>
                  <m:accPr>
                    <m:chr m:val="‾"/>
                  </m:accPr>
                  <m:e>
                    <m:r>
                      <m:t>d</m:t>
                    </m:r>
                  </m:e>
                </m:acc>
              </m:e>
              <m:sub>
                <m:r>
                  <m:rPr>
                    <m:sty m:val="p"/>
                  </m:rPr>
                  <m:t>min</m:t>
                </m:r>
              </m:sub>
            </m:sSub>
          </m:num>
          <m:den>
            <m:sSub>
              <m:e>
                <m:acc>
                  <m:accPr>
                    <m:chr m:val="‾"/>
                  </m:accPr>
                  <m:e>
                    <m:r>
                      <m:t>d</m:t>
                    </m:r>
                  </m:e>
                </m:acc>
              </m:e>
              <m:sub>
                <m:r>
                  <m:rPr>
                    <m:sty m:val="p"/>
                  </m:rPr>
                  <m:t>max</m:t>
                </m:r>
              </m:sub>
            </m:sSub>
            <m:r>
              <m:rPr>
                <m:sty m:val="p"/>
              </m:rPr>
              <m:t>−</m:t>
            </m:r>
            <m:sSub>
              <m:e>
                <m:acc>
                  <m:accPr>
                    <m:chr m:val="‾"/>
                  </m:accPr>
                  <m:e>
                    <m:r>
                      <m:t>d</m:t>
                    </m:r>
                  </m:e>
                </m:acc>
              </m:e>
              <m:sub>
                <m:r>
                  <m:rPr>
                    <m:sty m:val="p"/>
                  </m:rPr>
                  <m:t>min</m:t>
                </m:r>
              </m:sub>
            </m:sSub>
          </m:den>
        </m:f>
        <m:r>
          <m:rPr>
            <m:sty m:val="p"/>
          </m:rPr>
          <m:t>+</m:t>
        </m:r>
        <m:f>
          <m:fPr>
            <m:type m:val="bar"/>
          </m:fPr>
          <m:num>
            <m:r>
              <m:t>χ</m:t>
            </m:r>
            <m:d>
              <m:dPr>
                <m:begChr m:val="("/>
                <m:endChr m:val=")"/>
                <m:grow/>
              </m:dPr>
              <m:e>
                <m:r>
                  <m:t>b</m:t>
                </m:r>
              </m:e>
            </m:d>
            <m:r>
              <m:rPr>
                <m:sty m:val="p"/>
              </m:rPr>
              <m:t>−</m:t>
            </m:r>
            <m:sSub>
              <m:e>
                <m:r>
                  <m:t>χ</m:t>
                </m:r>
              </m:e>
              <m:sub>
                <m:r>
                  <m:rPr>
                    <m:sty m:val="p"/>
                  </m:rPr>
                  <m:t>min</m:t>
                </m:r>
              </m:sub>
            </m:sSub>
          </m:num>
          <m:den>
            <m:sSub>
              <m:e>
                <m:r>
                  <m:t>χ</m:t>
                </m:r>
              </m:e>
              <m:sub>
                <m:r>
                  <m:rPr>
                    <m:sty m:val="p"/>
                  </m:rPr>
                  <m:t>max</m:t>
                </m:r>
              </m:sub>
            </m:sSub>
            <m:r>
              <m:rPr>
                <m:sty m:val="p"/>
              </m:rPr>
              <m:t>−</m:t>
            </m:r>
            <m:sSub>
              <m:e>
                <m:r>
                  <m:t>χ</m:t>
                </m:r>
              </m:e>
              <m:sub>
                <m:r>
                  <m:rPr>
                    <m:sty m:val="p"/>
                  </m:rPr>
                  <m:t>min</m:t>
                </m:r>
              </m:sub>
            </m:sSub>
          </m:den>
        </m:f>
        <m:r>
          <m:t>  </m:t>
        </m:r>
        <m:r>
          <m:rPr>
            <m:sty m:val="p"/>
          </m:rPr>
          <m:t>s</m:t>
        </m:r>
        <m:r>
          <m:rPr>
            <m:sty m:val="p"/>
          </m:rPr>
          <m:t>.</m:t>
        </m:r>
        <m:r>
          <m:rPr>
            <m:sty m:val="p"/>
          </m:rPr>
          <m:t>t</m:t>
        </m:r>
        <m:r>
          <m:rPr>
            <m:sty m:val="p"/>
          </m:rPr>
          <m:t>.</m:t>
        </m:r>
        <m:r>
          <m:t> </m:t>
        </m:r>
        <m:acc>
          <m:accPr>
            <m:chr m:val="‾"/>
          </m:accPr>
          <m:e>
            <m:r>
              <m:t>d</m:t>
            </m:r>
          </m:e>
        </m:acc>
        <m:d>
          <m:dPr>
            <m:begChr m:val="("/>
            <m:endChr m:val=")"/>
            <m:grow/>
          </m:dPr>
          <m:e>
            <m:r>
              <m:t>b</m:t>
            </m:r>
          </m:e>
        </m:d>
        <m:r>
          <m:rPr>
            <m:sty m:val="p"/>
          </m:rPr>
          <m:t>≤</m:t>
        </m:r>
        <m:sSup>
          <m:e>
            <m:acc>
              <m:accPr>
                <m:chr m:val="‾"/>
              </m:accPr>
              <m:e>
                <m:r>
                  <m:t>d</m:t>
                </m:r>
              </m:e>
            </m:acc>
          </m:e>
          <m:sup>
            <m:r>
              <m:rPr>
                <m:sty m:val="p"/>
              </m:rPr>
              <m:t>S</m:t>
            </m:r>
            <m:r>
              <m:rPr>
                <m:sty m:val="p"/>
              </m:rPr>
              <m:t>L</m:t>
            </m:r>
            <m:r>
              <m:rPr>
                <m:sty m:val="p"/>
              </m:rPr>
              <m:t>A</m:t>
            </m:r>
          </m:sup>
        </m:sSup>
        <m:r>
          <m:rPr>
            <m:sty m:val="p"/>
          </m:rPr>
          <m:t>,</m:t>
        </m:r>
        <m:r>
          <m:t> </m:t>
        </m:r>
        <m:sSup>
          <m:e>
            <m:acc>
              <m:accPr>
                <m:chr m:val="‾"/>
              </m:accPr>
              <m:e>
                <m:r>
                  <m:t>d</m:t>
                </m:r>
              </m:e>
            </m:acc>
          </m:e>
          <m:sup>
            <m:r>
              <m:rPr>
                <m:sty m:val="p"/>
              </m:rPr>
              <m:t>′</m:t>
            </m:r>
          </m:sup>
        </m:sSup>
        <m:d>
          <m:dPr>
            <m:begChr m:val="("/>
            <m:endChr m:val=")"/>
            <m:grow/>
          </m:dPr>
          <m:e>
            <m:r>
              <m:t>b</m:t>
            </m:r>
          </m:e>
        </m:d>
        <m:r>
          <m:rPr>
            <m:sty m:val="p"/>
          </m:rPr>
          <m:t>&gt;</m:t>
        </m:r>
        <m:r>
          <m:t>0</m:t>
        </m:r>
        <m:r>
          <m:rPr>
            <m:sty m:val="p"/>
          </m:rPr>
          <m:t>,</m:t>
        </m:r>
        <m:r>
          <m:t> </m:t>
        </m:r>
        <m:sSup>
          <m:e>
            <m:r>
              <m:t>χ</m:t>
            </m:r>
          </m:e>
          <m:sup>
            <m:r>
              <m:rPr>
                <m:sty m:val="p"/>
              </m:rPr>
              <m:t>′</m:t>
            </m:r>
          </m:sup>
        </m:sSup>
        <m:d>
          <m:dPr>
            <m:begChr m:val="("/>
            <m:endChr m:val=")"/>
            <m:grow/>
          </m:dPr>
          <m:e>
            <m:r>
              <m:t>b</m:t>
            </m:r>
          </m:e>
        </m:d>
        <m:r>
          <m:rPr>
            <m:sty m:val="p"/>
          </m:rPr>
          <m:t>&lt;</m:t>
        </m:r>
        <m:r>
          <m:t>0</m:t>
        </m:r>
        <m:r>
          <m:rPr>
            <m:sty m:val="p"/>
          </m:rPr>
          <m:t>,</m:t>
        </m:r>
        <m:r>
          <m:t> </m:t>
        </m:r>
        <m:sSup>
          <m:e>
            <m:r>
              <m:t>χ</m:t>
            </m:r>
          </m:e>
          <m:sup>
            <m:r>
              <m:rPr>
                <m:sty m:val="p"/>
              </m:rPr>
              <m:t>′</m:t>
            </m:r>
            <m:r>
              <m:rPr>
                <m:sty m:val="p"/>
              </m:rPr>
              <m:t>′</m:t>
            </m:r>
          </m:sup>
        </m:sSup>
        <m:d>
          <m:dPr>
            <m:begChr m:val="("/>
            <m:endChr m:val=")"/>
            <m:grow/>
          </m:dPr>
          <m:e>
            <m:r>
              <m:t>b</m:t>
            </m:r>
          </m:e>
        </m:d>
        <m:r>
          <m:rPr>
            <m:sty m:val="p"/>
          </m:rPr>
          <m:t>&gt;</m:t>
        </m:r>
        <m:r>
          <m:t>0</m:t>
        </m:r>
      </m:oMath>
      <w:r>
        <w:tab/>
      </w:r>
      <w:r>
        <w:rPr>
          <w:rFonts w:ascii="Times New Roman" w:hAnsi="Times New Roman" w:eastAsia="宋体"/>
          <w:sz w:val="24"/>
        </w:rPr>
        <w:t>(9-13)</w:t>
      </w:r>
    </w:p>
    <w:p>
      <w:pPr>
        <w:spacing w:line="360" w:lineRule="auto" w:after="0"/>
        <w:jc w:val="both"/>
      </w:pPr>
      <w:r>
        <w:rPr>
          <w:rFonts w:ascii="宋体" w:hAnsi="宋体" w:eastAsia="宋体"/>
          <w:sz w:val="24"/>
        </w:rPr>
        <w:t>其中，</w:t>
      </w:r>
      <m:oMath>
        <m:r>
          <m:t>Ψ</m:t>
        </m:r>
        <m:d>
          <m:dPr>
            <m:begChr m:val="("/>
            <m:endChr m:val=")"/>
            <m:grow/>
          </m:dPr>
          <m:e>
            <m:r>
              <m:t>b</m:t>
            </m:r>
          </m:e>
        </m:d>
      </m:oMath>
      <w:r>
        <w:rPr>
          <w:rFonts w:ascii="宋体" w:hAnsi="宋体" w:eastAsia="宋体"/>
          <w:sz w:val="24"/>
        </w:rPr>
        <w:t>为等权归一化的时延—成本综合指标；约束中的三个导数条件分别表明时延随批大小递增、单位成本随批大小递减且递减速度边际衰减（摊薄效应存在饱和）。</w:t>
      </w:r>
    </w:p>
    <w:p>
      <w:pPr>
        <w:spacing w:line="360" w:lineRule="auto" w:after="0"/>
        <w:ind w:firstLineChars="200" w:firstLine="480"/>
        <w:jc w:val="both"/>
      </w:pPr>
      <w:r>
        <w:rPr>
          <w:rFonts w:ascii="宋体" w:hAnsi="宋体" w:eastAsia="宋体"/>
          <w:sz w:val="24"/>
        </w:rPr>
        <w:t xml:space="preserve">式(9-13)的解具有明确的经济结构。由于 </w:t>
      </w:r>
      <m:oMath>
        <m:r>
          <m:t>χ</m:t>
        </m:r>
      </m:oMath>
      <w:r>
        <w:rPr>
          <w:rFonts w:ascii="宋体" w:hAnsi="宋体" w:eastAsia="宋体"/>
          <w:sz w:val="24"/>
        </w:rPr>
        <w:t xml:space="preserve"> 对 </w:t>
      </w:r>
      <m:oMath>
        <m:r>
          <m:t>b</m:t>
        </m:r>
      </m:oMath>
      <w:r>
        <w:rPr>
          <w:rFonts w:ascii="宋体" w:hAnsi="宋体" w:eastAsia="宋体"/>
          <w:sz w:val="24"/>
        </w:rPr>
        <w:t xml:space="preserve"> 的一阶导数绝对值随 </w:t>
      </w:r>
      <m:oMath>
        <m:r>
          <m:t>b</m:t>
        </m:r>
      </m:oMath>
      <w:r>
        <w:rPr>
          <w:rFonts w:ascii="宋体" w:hAnsi="宋体" w:eastAsia="宋体"/>
          <w:sz w:val="24"/>
        </w:rPr>
        <w:t xml:space="preserve"> 递减而 </w:t>
      </w:r>
      <m:oMath>
        <m:acc>
          <m:accPr>
            <m:chr m:val="‾"/>
          </m:accPr>
          <m:e>
            <m:r>
              <m:t>d</m:t>
            </m:r>
          </m:e>
        </m:acc>
      </m:oMath>
      <w:r>
        <w:rPr>
          <w:rFonts w:ascii="宋体" w:hAnsi="宋体" w:eastAsia="宋体"/>
          <w:sz w:val="24"/>
        </w:rPr>
        <w:t xml:space="preserve"> 的一阶导数随 </w:t>
      </w:r>
      <m:oMath>
        <m:r>
          <m:t>b</m:t>
        </m:r>
      </m:oMath>
      <w:r>
        <w:rPr>
          <w:rFonts w:ascii="宋体" w:hAnsi="宋体" w:eastAsia="宋体"/>
          <w:sz w:val="24"/>
        </w:rPr>
        <w:t xml:space="preserve"> 递增，综合指标 </w:t>
      </w:r>
      <m:oMath>
        <m:r>
          <m:t>Ψ</m:t>
        </m:r>
      </m:oMath>
      <w:r>
        <w:rPr>
          <w:rFonts w:ascii="宋体" w:hAnsi="宋体" w:eastAsia="宋体"/>
          <w:sz w:val="24"/>
        </w:rPr>
        <w:t xml:space="preserve"> 是单峰的，内点最优必然存在：在小批区间，加大批大小的成本收益远大于时延代价；在大批区间，成本已接近下界而时延仍在加速上升。这一权衡的具体形态如图9.4所示。</w:t>
      </w:r>
    </w:p>
    <w:p>
      <w:pPr>
        <w:spacing w:before="120" w:after="40"/>
        <w:jc w:val="center"/>
      </w:pPr>
      <w:r>
        <w:drawing>
          <wp:inline xmlns:a="http://schemas.openxmlformats.org/drawingml/2006/main" xmlns:pic="http://schemas.openxmlformats.org/drawingml/2006/picture">
            <wp:extent cx="4860000" cy="2808435"/>
            <wp:docPr id="30" name="Picture 30"/>
            <wp:cNvGraphicFramePr>
              <a:graphicFrameLocks noChangeAspect="1"/>
            </wp:cNvGraphicFramePr>
            <a:graphic>
              <a:graphicData uri="http://schemas.openxmlformats.org/drawingml/2006/picture">
                <pic:pic>
                  <pic:nvPicPr>
                    <pic:cNvPr id="0" name="fig9_4.png"/>
                    <pic:cNvPicPr/>
                  </pic:nvPicPr>
                  <pic:blipFill>
                    <a:blip r:embed="rId38"/>
                    <a:stretch>
                      <a:fillRect/>
                    </a:stretch>
                  </pic:blipFill>
                  <pic:spPr>
                    <a:xfrm>
                      <a:off x="0" y="0"/>
                      <a:ext cx="4860000" cy="2808435"/>
                    </a:xfrm>
                    <a:prstGeom prst="rect"/>
                  </pic:spPr>
                </pic:pic>
              </a:graphicData>
            </a:graphic>
          </wp:inline>
        </w:drawing>
      </w:r>
    </w:p>
    <w:p>
      <w:pPr>
        <w:keepNext w:val="0"/>
        <w:spacing w:after="40"/>
        <w:jc w:val="center"/>
      </w:pPr>
      <w:r>
        <w:rPr>
          <w:rFonts w:ascii="黑体" w:hAnsi="黑体" w:eastAsia="黑体"/>
          <w:sz w:val="21"/>
        </w:rPr>
        <w:t>图9.4  推理服务的时延—成本权衡</w:t>
      </w:r>
    </w:p>
    <w:p>
      <w:pPr>
        <w:spacing w:after="200" w:line="240" w:lineRule="auto"/>
        <w:jc w:val="both"/>
      </w:pPr>
      <w:r>
        <w:rPr>
          <w:rFonts w:ascii="宋体" w:hAnsi="宋体" w:eastAsia="宋体"/>
          <w:sz w:val="18"/>
        </w:rPr>
        <w:t>注：横轴为对数刻度的推理批大小；左轴为平均时延（毫秒），右轴为相对单位成本（批大小 256 时＝1）；阴影区间为按式(9-13)等权归一化的时延—成本综合指标取得最小值的相邻批大小区间。曲线为作者按批处理时延与摊薄成本模型校准复算，未纳入长短请求混批导致的队头阻塞。数据来源：作者校准复算。</w:t>
      </w:r>
    </w:p>
    <w:p>
      <w:pPr>
        <w:spacing w:line="360" w:lineRule="auto" w:after="0"/>
        <w:ind w:firstLineChars="200" w:firstLine="480"/>
        <w:jc w:val="both"/>
      </w:pPr>
      <w:r>
        <w:rPr>
          <w:rFonts w:ascii="宋体" w:hAnsi="宋体" w:eastAsia="宋体"/>
          <w:sz w:val="24"/>
        </w:rPr>
        <w:t>图9.4 显示，相对单位成本随批大小迅速下降并在批大小 64 以后基本触底，而平均时延在批大小 32 以内几乎平坦、此后加速上升；综合指标的最小值落在批大小 32 至 64 的区间内。这一结果有两点值得讨论。第一，成本曲线的饱和意味着</w:t>
      </w:r>
      <w:r>
        <w:rPr>
          <w:rFonts w:ascii="宋体" w:hAnsi="宋体" w:eastAsia="宋体"/>
          <w:b/>
          <w:sz w:val="24"/>
        </w:rPr>
        <w:t>盲目加大批大小是无收益的</w:t>
      </w:r>
      <w:r>
        <w:rPr>
          <w:rFonts w:ascii="宋体" w:hAnsi="宋体" w:eastAsia="宋体"/>
          <w:sz w:val="24"/>
        </w:rPr>
        <w:t>：从 64 增至 256，单位成本几乎不再下降，而平均时延上升了数倍。产业实践中常见的「以吞吐为唯一目标」的调优取向，在这一区间实际上是在纯粹地损害用户体验而不换取任何成本收益。第二，也是更重要的一点，服务水平约束在当前参数下并不绑定：中国信息通信研究院「词元服务能力攀登计划」首批参与企业达成的首词元时延基线为不高于 0.9 秒（即 900 毫秒）、吞吐不低于 55 词元／秒、调用成功率 99.9%——该基线是首批企业的达成值，既非行业平均，也非强制门槛；而综合指标最优区间对应的平均时延远低于这一水平。这意味着，当前的批次损失并非由服务水平承诺所迫，而主要来自负载的时变性与批内请求的异质性：把长输出请求与短输出请求混入同一批次，会使整批被最长请求拖住，这一队头阻塞效应无法通过调整批大小来消除，只能通过按请求画像分池与迭代级调度来化解。</w:t>
      </w:r>
    </w:p>
    <w:p>
      <w:pPr>
        <w:keepNext/>
        <w:spacing w:before="160" w:after="120" w:line="360" w:lineRule="auto"/>
        <w:outlineLvl w:val="2"/>
      </w:pPr>
      <w:r>
        <w:rPr>
          <w:rFonts w:ascii="黑体" w:hAnsi="黑体" w:eastAsia="黑体"/>
          <w:sz w:val="24"/>
        </w:rPr>
        <w:t>9.4.3  性能指标的口径纪律</w:t>
      </w:r>
    </w:p>
    <w:p>
      <w:pPr>
        <w:spacing w:line="360" w:lineRule="auto" w:after="0"/>
        <w:ind w:firstLineChars="200" w:firstLine="480"/>
        <w:jc w:val="both"/>
      </w:pPr>
      <w:r>
        <w:rPr>
          <w:rFonts w:ascii="宋体" w:hAnsi="宋体" w:eastAsia="宋体"/>
          <w:sz w:val="24"/>
        </w:rPr>
        <w:t>在把排队与批次分析对接到产业指标时，有一项口径纪律必须遵守：不同来源的时延指标所用的统计分位不同，不可直接比较。清华大学翟季冬团队联合清程极智发布的「开源模型 Token 服务性能榜」所用的首词元时延为P90 分位，而上述攀登计划的基线未标注分位；两个同为零点九秒量级的数字并不处在同一口径上。同理，输出吞吐既可按单请求计也可按集群计，缓存命中率既可按请求计也可按词元计。这些差异在单一评测内部无关紧要，一旦被用于跨主体比较或政策考核就会产生系统性偏误。本书在 9.2 节表9.1 中把「首词元时延分位数」而非「首词元时延」列为批次损失的代理指标，正是出于这一考虑：</w:t>
      </w:r>
      <w:r>
        <w:rPr>
          <w:rFonts w:ascii="宋体" w:hAnsi="宋体" w:eastAsia="宋体"/>
          <w:b/>
          <w:sz w:val="24"/>
        </w:rPr>
        <w:t>可考核的性能指标必须自带分位与分母的定义</w:t>
      </w:r>
      <w:r>
        <w:rPr>
          <w:rFonts w:ascii="宋体" w:hAnsi="宋体" w:eastAsia="宋体"/>
          <w:sz w:val="24"/>
        </w:rPr>
        <w:t>，否则它只是一个数字，而不是一个测度。</w:t>
      </w:r>
    </w:p>
    <w:p>
      <w:pPr>
        <w:keepNext/>
        <w:spacing w:before="160" w:after="120" w:line="360" w:lineRule="auto"/>
        <w:outlineLvl w:val="1"/>
      </w:pPr>
      <w:r>
        <w:rPr>
          <w:rFonts w:ascii="黑体" w:hAnsi="黑体" w:eastAsia="黑体"/>
          <w:sz w:val="28"/>
        </w:rPr>
        <w:t>9.5  效率改进的情景测算与经济含义</w:t>
      </w:r>
    </w:p>
    <w:p>
      <w:pPr>
        <w:spacing w:line="360" w:lineRule="auto" w:after="0"/>
        <w:ind w:firstLineChars="200" w:firstLine="480"/>
        <w:jc w:val="both"/>
      </w:pPr>
      <w:r>
        <w:rPr>
          <w:rFonts w:ascii="宋体" w:hAnsi="宋体" w:eastAsia="宋体"/>
          <w:sz w:val="24"/>
        </w:rPr>
        <w:t xml:space="preserve">把前四节的结果汇总，可以对配置效率改进的经济规模作一次情景测算。测算设定三个情景并附一个参考上限：现状情景为分散自建、按档位固定分配算力的当前状态；统一调度情景为式(9-8)在现实约束下的求解结果；理论上界情景为式(9-10)的解；名义利用率上限作为不可逾越的参考线一并列出。产出折算以国家数据局公布的官方锚点为基准：我国日均词元调用量在 2026 年 3 月突破140万亿枚，按本书校准复算的用量加权平均效值系数 </w:t>
      </w:r>
      <m:oMath>
        <m:acc>
          <m:accPr>
            <m:chr m:val="‾"/>
          </m:accPr>
          <m:e>
            <m:r>
              <m:t>η</m:t>
            </m:r>
          </m:e>
        </m:acc>
      </m:oMath>
      <w:r>
        <w:rPr>
          <w:rFonts w:ascii="宋体" w:hAnsi="宋体" w:eastAsia="宋体"/>
          <w:sz w:val="24"/>
        </w:rPr>
        <w:t>＝1.425 折算，相当于日均约200万亿枚标准词元。测算结果见表9.2。</w:t>
      </w:r>
    </w:p>
    <w:p>
      <w:pPr>
        <w:keepNext/>
        <w:spacing w:before="160" w:after="40"/>
        <w:jc w:val="center"/>
      </w:pPr>
      <w:r>
        <w:rPr>
          <w:rFonts w:ascii="黑体" w:hAnsi="黑体" w:eastAsia="黑体"/>
          <w:sz w:val="21"/>
        </w:rPr>
        <w:t>表9.2  配置效率改进的情景测算</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情景（配置状态）</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有效效值利用率（%）</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较现状（个百分点）</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等效节约算力（%）</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标准词元产出指数（现状＝100）</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日均标准词元产出（万亿枚）</w:t>
            </w:r>
          </w:p>
        </w:tc>
      </w:tr>
      <w:tr>
        <w:tc>
          <w:tcPr>
            <w:tcW w:type="dxa" w:w="1417"/>
            <w:vAlign w:val="center"/>
          </w:tcPr>
          <w:p>
            <w:pPr>
              <w:spacing w:line="240" w:lineRule="auto" w:after="20" w:before="20"/>
              <w:jc w:val="left"/>
            </w:pPr>
            <w:r/>
            <w:r>
              <w:rPr>
                <w:rFonts w:ascii="宋体" w:hAnsi="宋体" w:eastAsia="宋体"/>
                <w:sz w:val="21"/>
              </w:rPr>
              <w:t>S0 现状：分散自建、按档位固定分配</w:t>
            </w:r>
          </w:p>
        </w:tc>
        <w:tc>
          <w:tcPr>
            <w:tcW w:type="dxa" w:w="1417"/>
            <w:vAlign w:val="center"/>
          </w:tcPr>
          <w:p>
            <w:pPr>
              <w:spacing w:line="240" w:lineRule="auto" w:after="20" w:before="20"/>
              <w:jc w:val="center"/>
            </w:pPr>
            <w:r/>
            <w:r>
              <w:rPr>
                <w:rFonts w:ascii="宋体" w:hAnsi="宋体" w:eastAsia="宋体"/>
                <w:sz w:val="21"/>
              </w:rPr>
              <w:t>38.0</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100.0</w:t>
            </w:r>
          </w:p>
        </w:tc>
        <w:tc>
          <w:tcPr>
            <w:tcW w:type="dxa" w:w="1417"/>
            <w:vAlign w:val="center"/>
          </w:tcPr>
          <w:p>
            <w:pPr>
              <w:spacing w:line="240" w:lineRule="auto" w:after="20" w:before="20"/>
              <w:jc w:val="center"/>
            </w:pPr>
            <w:r/>
            <w:r>
              <w:rPr>
                <w:rFonts w:ascii="宋体" w:hAnsi="宋体" w:eastAsia="宋体"/>
                <w:sz w:val="21"/>
              </w:rPr>
              <w:t>200</w:t>
            </w:r>
          </w:p>
        </w:tc>
      </w:tr>
      <w:tr>
        <w:tc>
          <w:tcPr>
            <w:tcW w:type="dxa" w:w="1417"/>
            <w:vAlign w:val="center"/>
          </w:tcPr>
          <w:p>
            <w:pPr>
              <w:spacing w:line="240" w:lineRule="auto" w:after="20" w:before="20"/>
              <w:jc w:val="left"/>
            </w:pPr>
            <w:r/>
            <w:r>
              <w:rPr>
                <w:rFonts w:ascii="宋体" w:hAnsi="宋体" w:eastAsia="宋体"/>
                <w:sz w:val="21"/>
              </w:rPr>
              <w:t>S1 统一调度：任务—模型最优匹配</w:t>
            </w:r>
          </w:p>
        </w:tc>
        <w:tc>
          <w:tcPr>
            <w:tcW w:type="dxa" w:w="1417"/>
            <w:vAlign w:val="center"/>
          </w:tcPr>
          <w:p>
            <w:pPr>
              <w:spacing w:line="240" w:lineRule="auto" w:after="20" w:before="20"/>
              <w:jc w:val="center"/>
            </w:pPr>
            <w:r/>
            <w:r>
              <w:rPr>
                <w:rFonts w:ascii="宋体" w:hAnsi="宋体" w:eastAsia="宋体"/>
                <w:sz w:val="21"/>
              </w:rPr>
              <w:t>54.0</w:t>
            </w:r>
          </w:p>
        </w:tc>
        <w:tc>
          <w:tcPr>
            <w:tcW w:type="dxa" w:w="1417"/>
            <w:vAlign w:val="center"/>
          </w:tcPr>
          <w:p>
            <w:pPr>
              <w:spacing w:line="240" w:lineRule="auto" w:after="20" w:before="20"/>
              <w:jc w:val="center"/>
            </w:pPr>
            <w:r/>
            <w:r>
              <w:rPr>
                <w:rFonts w:ascii="宋体" w:hAnsi="宋体" w:eastAsia="宋体"/>
                <w:sz w:val="21"/>
              </w:rPr>
              <w:t>＋16.0</w:t>
            </w:r>
          </w:p>
        </w:tc>
        <w:tc>
          <w:tcPr>
            <w:tcW w:type="dxa" w:w="1417"/>
            <w:vAlign w:val="center"/>
          </w:tcPr>
          <w:p>
            <w:pPr>
              <w:spacing w:line="240" w:lineRule="auto" w:after="20" w:before="20"/>
              <w:jc w:val="center"/>
            </w:pPr>
            <w:r/>
            <w:r>
              <w:rPr>
                <w:rFonts w:ascii="宋体" w:hAnsi="宋体" w:eastAsia="宋体"/>
                <w:sz w:val="21"/>
              </w:rPr>
              <w:t>29.6</w:t>
            </w:r>
          </w:p>
        </w:tc>
        <w:tc>
          <w:tcPr>
            <w:tcW w:type="dxa" w:w="1417"/>
            <w:vAlign w:val="center"/>
          </w:tcPr>
          <w:p>
            <w:pPr>
              <w:spacing w:line="240" w:lineRule="auto" w:after="20" w:before="20"/>
              <w:jc w:val="center"/>
            </w:pPr>
            <w:r/>
            <w:r>
              <w:rPr>
                <w:rFonts w:ascii="宋体" w:hAnsi="宋体" w:eastAsia="宋体"/>
                <w:sz w:val="21"/>
              </w:rPr>
              <w:t>142.1</w:t>
            </w:r>
          </w:p>
        </w:tc>
        <w:tc>
          <w:tcPr>
            <w:tcW w:type="dxa" w:w="1417"/>
            <w:vAlign w:val="center"/>
          </w:tcPr>
          <w:p>
            <w:pPr>
              <w:spacing w:line="240" w:lineRule="auto" w:after="20" w:before="20"/>
              <w:jc w:val="center"/>
            </w:pPr>
            <w:r/>
            <w:r>
              <w:rPr>
                <w:rFonts w:ascii="宋体" w:hAnsi="宋体" w:eastAsia="宋体"/>
                <w:sz w:val="21"/>
              </w:rPr>
              <w:t>284</w:t>
            </w:r>
          </w:p>
        </w:tc>
      </w:tr>
      <w:tr>
        <w:tc>
          <w:tcPr>
            <w:tcW w:type="dxa" w:w="1417"/>
            <w:vAlign w:val="center"/>
          </w:tcPr>
          <w:p>
            <w:pPr>
              <w:spacing w:line="240" w:lineRule="auto" w:after="20" w:before="20"/>
              <w:jc w:val="left"/>
            </w:pPr>
            <w:r/>
            <w:r>
              <w:rPr>
                <w:rFonts w:ascii="宋体" w:hAnsi="宋体" w:eastAsia="宋体"/>
                <w:sz w:val="21"/>
              </w:rPr>
              <w:t>S2 理论上界：四项损失压至技术与制度下界</w:t>
            </w:r>
          </w:p>
        </w:tc>
        <w:tc>
          <w:tcPr>
            <w:tcW w:type="dxa" w:w="1417"/>
            <w:vAlign w:val="center"/>
          </w:tcPr>
          <w:p>
            <w:pPr>
              <w:spacing w:line="240" w:lineRule="auto" w:after="20" w:before="20"/>
              <w:jc w:val="center"/>
            </w:pPr>
            <w:r/>
            <w:r>
              <w:rPr>
                <w:rFonts w:ascii="宋体" w:hAnsi="宋体" w:eastAsia="宋体"/>
                <w:sz w:val="21"/>
              </w:rPr>
              <w:t>61.0</w:t>
            </w:r>
          </w:p>
        </w:tc>
        <w:tc>
          <w:tcPr>
            <w:tcW w:type="dxa" w:w="1417"/>
            <w:vAlign w:val="center"/>
          </w:tcPr>
          <w:p>
            <w:pPr>
              <w:spacing w:line="240" w:lineRule="auto" w:after="20" w:before="20"/>
              <w:jc w:val="center"/>
            </w:pPr>
            <w:r/>
            <w:r>
              <w:rPr>
                <w:rFonts w:ascii="宋体" w:hAnsi="宋体" w:eastAsia="宋体"/>
                <w:sz w:val="21"/>
              </w:rPr>
              <w:t>＋23.0</w:t>
            </w:r>
          </w:p>
        </w:tc>
        <w:tc>
          <w:tcPr>
            <w:tcW w:type="dxa" w:w="1417"/>
            <w:vAlign w:val="center"/>
          </w:tcPr>
          <w:p>
            <w:pPr>
              <w:spacing w:line="240" w:lineRule="auto" w:after="20" w:before="20"/>
              <w:jc w:val="center"/>
            </w:pPr>
            <w:r/>
            <w:r>
              <w:rPr>
                <w:rFonts w:ascii="宋体" w:hAnsi="宋体" w:eastAsia="宋体"/>
                <w:sz w:val="21"/>
              </w:rPr>
              <w:t>37.7</w:t>
            </w:r>
          </w:p>
        </w:tc>
        <w:tc>
          <w:tcPr>
            <w:tcW w:type="dxa" w:w="1417"/>
            <w:vAlign w:val="center"/>
          </w:tcPr>
          <w:p>
            <w:pPr>
              <w:spacing w:line="240" w:lineRule="auto" w:after="20" w:before="20"/>
              <w:jc w:val="center"/>
            </w:pPr>
            <w:r/>
            <w:r>
              <w:rPr>
                <w:rFonts w:ascii="宋体" w:hAnsi="宋体" w:eastAsia="宋体"/>
                <w:sz w:val="21"/>
              </w:rPr>
              <w:t>160.5</w:t>
            </w:r>
          </w:p>
        </w:tc>
        <w:tc>
          <w:tcPr>
            <w:tcW w:type="dxa" w:w="1417"/>
            <w:vAlign w:val="center"/>
          </w:tcPr>
          <w:p>
            <w:pPr>
              <w:spacing w:line="240" w:lineRule="auto" w:after="20" w:before="20"/>
              <w:jc w:val="center"/>
            </w:pPr>
            <w:r/>
            <w:r>
              <w:rPr>
                <w:rFonts w:ascii="宋体" w:hAnsi="宋体" w:eastAsia="宋体"/>
                <w:sz w:val="21"/>
              </w:rPr>
              <w:t>320</w:t>
            </w:r>
          </w:p>
        </w:tc>
      </w:tr>
      <w:tr>
        <w:tc>
          <w:tcPr>
            <w:tcW w:type="dxa" w:w="1417"/>
            <w:vAlign w:val="center"/>
          </w:tcPr>
          <w:p>
            <w:pPr>
              <w:spacing w:line="240" w:lineRule="auto" w:after="20" w:before="20"/>
              <w:jc w:val="left"/>
            </w:pPr>
            <w:r/>
            <w:r>
              <w:rPr>
                <w:rFonts w:ascii="宋体" w:hAnsi="宋体" w:eastAsia="宋体"/>
                <w:sz w:val="21"/>
              </w:rPr>
              <w:t>（参考）名义算力利用率上限</w:t>
            </w:r>
          </w:p>
        </w:tc>
        <w:tc>
          <w:tcPr>
            <w:tcW w:type="dxa" w:w="1417"/>
            <w:vAlign w:val="center"/>
          </w:tcPr>
          <w:p>
            <w:pPr>
              <w:spacing w:line="240" w:lineRule="auto" w:after="20" w:before="20"/>
              <w:jc w:val="center"/>
            </w:pPr>
            <w:r/>
            <w:r>
              <w:rPr>
                <w:rFonts w:ascii="宋体" w:hAnsi="宋体" w:eastAsia="宋体"/>
                <w:sz w:val="21"/>
              </w:rPr>
              <w:t>62.0</w:t>
            </w:r>
          </w:p>
        </w:tc>
        <w:tc>
          <w:tcPr>
            <w:tcW w:type="dxa" w:w="1417"/>
            <w:vAlign w:val="center"/>
          </w:tcPr>
          <w:p>
            <w:pPr>
              <w:spacing w:line="240" w:lineRule="auto" w:after="20" w:before="20"/>
              <w:jc w:val="center"/>
            </w:pPr>
            <w:r/>
            <w:r>
              <w:rPr>
                <w:rFonts w:ascii="宋体" w:hAnsi="宋体" w:eastAsia="宋体"/>
                <w:sz w:val="21"/>
              </w:rPr>
              <w:t>＋24.0</w:t>
            </w:r>
          </w:p>
        </w:tc>
        <w:tc>
          <w:tcPr>
            <w:tcW w:type="dxa" w:w="1417"/>
            <w:vAlign w:val="center"/>
          </w:tcPr>
          <w:p>
            <w:pPr>
              <w:spacing w:line="240" w:lineRule="auto" w:after="20" w:before="20"/>
              <w:jc w:val="center"/>
            </w:pPr>
            <w:r/>
            <w:r>
              <w:rPr>
                <w:rFonts w:ascii="宋体" w:hAnsi="宋体" w:eastAsia="宋体"/>
                <w:sz w:val="21"/>
              </w:rPr>
              <w:t>38.7</w:t>
            </w:r>
          </w:p>
        </w:tc>
        <w:tc>
          <w:tcPr>
            <w:tcW w:type="dxa" w:w="1417"/>
            <w:vAlign w:val="center"/>
          </w:tcPr>
          <w:p>
            <w:pPr>
              <w:spacing w:line="240" w:lineRule="auto" w:after="20" w:before="20"/>
              <w:jc w:val="center"/>
            </w:pPr>
            <w:r/>
            <w:r>
              <w:rPr>
                <w:rFonts w:ascii="宋体" w:hAnsi="宋体" w:eastAsia="宋体"/>
                <w:sz w:val="21"/>
              </w:rPr>
              <w:t>163.2</w:t>
            </w:r>
          </w:p>
        </w:tc>
        <w:tc>
          <w:tcPr>
            <w:tcW w:type="dxa" w:w="1417"/>
            <w:vAlign w:val="center"/>
          </w:tcPr>
          <w:p>
            <w:pPr>
              <w:spacing w:line="240" w:lineRule="auto" w:after="20" w:before="20"/>
              <w:jc w:val="center"/>
            </w:pPr>
            <w:r/>
            <w:r>
              <w:rPr>
                <w:rFonts w:ascii="宋体" w:hAnsi="宋体" w:eastAsia="宋体"/>
                <w:sz w:val="21"/>
              </w:rPr>
              <w:t>326</w:t>
            </w:r>
          </w:p>
        </w:tc>
      </w:tr>
    </w:tbl>
    <w:p>
      <w:pPr>
        <w:spacing w:after="200" w:line="240" w:lineRule="auto"/>
        <w:jc w:val="both"/>
      </w:pPr>
      <w:r>
        <w:rPr>
          <w:rFonts w:ascii="宋体" w:hAnsi="宋体" w:eastAsia="宋体"/>
          <w:sz w:val="18"/>
        </w:rPr>
        <w:t>注：有效效值利用率按式(9-6)界定，等效节约算力按式(9-11)第二式计算；日均标准词元产出以国家数据局公布的 2026 年3 月日均词元调用量 140 万亿枚为基数、按本书校准复算的用量加权平均效值系数折算，该时点为官方发布的锚点，其余时点的调用量系校准复算插值、官方未单独发布；情景测算假定需求侧可完全吸纳增产，未纳入价格与需求的反馈，亦未考虑调度平台自身的建设与运行成本。数据来源：调用量取自国家数据局，其余为作者校准复算。</w:t>
      </w:r>
    </w:p>
    <w:p>
      <w:pPr>
        <w:spacing w:line="360" w:lineRule="auto" w:after="0"/>
        <w:ind w:firstLineChars="200" w:firstLine="480"/>
        <w:jc w:val="both"/>
      </w:pPr>
      <w:r>
        <w:rPr>
          <w:rFonts w:ascii="宋体" w:hAnsi="宋体" w:eastAsia="宋体"/>
          <w:sz w:val="24"/>
        </w:rPr>
        <w:t>表9.2 的量级颇具冲击力。统一调度使有效效值利用率由38%升至54%，在算力存量不变的条件下日均标准词元产出由200万亿枚增至284万亿枚，净增约84万亿枚；等效地，若产出目标不变，则可节约29.6%的算力。把这一比例放回算力投资的语境：截至 2025 年底我国已建成万卡智算集群 42 个、智能算力规模超过 1590 EFLOPS，截至 2026 年 6 月底智能算力规模达 2185 EFLOPS（工业和信息化部口径，FP16，已建成规模）——近三成的等效节约，其量级相当于数百 EFLOPS 的在建产能。需要强调的是，这一测算不是主张停止算力建设，而是指出一个次序：</w:t>
      </w:r>
      <w:r>
        <w:rPr>
          <w:rFonts w:ascii="宋体" w:hAnsi="宋体" w:eastAsia="宋体"/>
          <w:b/>
          <w:sz w:val="24"/>
        </w:rPr>
        <w:t>在四项损失被压缩之前，新增算力的边际回报被系统性地打了折扣</w:t>
      </w:r>
      <w:r>
        <w:rPr>
          <w:rFonts w:ascii="宋体" w:hAnsi="宋体" w:eastAsia="宋体"/>
          <w:sz w:val="24"/>
        </w:rPr>
        <w:t>；同样一笔投资，用于建设调度能力与计量能力的回报率，在当前阶段高于用于扩建物理算力。</w:t>
      </w:r>
    </w:p>
    <w:p>
      <w:pPr>
        <w:spacing w:line="360" w:lineRule="auto" w:after="0"/>
        <w:ind w:firstLineChars="200" w:firstLine="480"/>
        <w:jc w:val="both"/>
      </w:pPr>
      <w:r>
        <w:rPr>
          <w:rFonts w:ascii="宋体" w:hAnsi="宋体" w:eastAsia="宋体"/>
          <w:sz w:val="24"/>
        </w:rPr>
        <w:t>效率改进的经济含义可以从三条链路展开。第一条是价格链路。按第 7 章式(7-1)，有效利用率是边际成本表达式的分母，配置效率的改进直接压低价格地板：单位标准词元的算力成本降至现状的70.4%。第 7 章的价格指数分解显示，标准词元价格指数的下行速度显著慢于物理词元价格指数（同期分别降至47与21，基期 2024 年第一季度＝100），二者的背离主要由效值提升解释；本章的分析补充了另一条渠道——配置效率的改进将同时压低两个指数，且不以牺牲供给方利润为代价，因而是价格下行中「可持续」的那一部分。</w:t>
      </w:r>
    </w:p>
    <w:p>
      <w:pPr>
        <w:spacing w:line="360" w:lineRule="auto" w:after="0"/>
        <w:ind w:firstLineChars="200" w:firstLine="480"/>
        <w:jc w:val="both"/>
      </w:pPr>
      <w:r>
        <w:rPr>
          <w:rFonts w:ascii="宋体" w:hAnsi="宋体" w:eastAsia="宋体"/>
          <w:sz w:val="24"/>
        </w:rPr>
        <w:t>第二条是能源与碳链路。词元产出与电力消耗几乎成正比，配置效率的改进因而直接转化为节电与减排。国家能源局《中国「人工智能+」能源发展报告 2026》给出全国算力中心总用电量 1700 亿千瓦时；国际能源署的评估则显示，2024 年全球数据中心用电约 415 太瓦时、约占全球用电的1.5%，基准情景下到 2030 年将升至约 945 太瓦时（IEA，2025），对数据中心能耗的系统核算同样表明人工智能负载正在改变长期趋势（Masanet等，2020；Shehabi等，2024），而单次推理的能耗测算显示强度在不同任务与模型间差异巨大（Luccioni等，2024）。必须提醒的是，算力中心用电包含训练、存储与非人工智能负载，推理侧的效率改进不能线性外推为全口径节电量；但方向是确定的：在能耗约束日益刚性的条件下，</w:t>
      </w:r>
      <w:r>
        <w:rPr>
          <w:rFonts w:ascii="宋体" w:hAnsi="宋体" w:eastAsia="宋体"/>
          <w:b/>
          <w:sz w:val="24"/>
        </w:rPr>
        <w:t>配置效率是继模型效率与硬件效率之后的第三条减排路径</w:t>
      </w:r>
      <w:r>
        <w:rPr>
          <w:rFonts w:ascii="宋体" w:hAnsi="宋体" w:eastAsia="宋体"/>
          <w:sz w:val="24"/>
        </w:rPr>
        <w:t>，且是唯一不依赖技术突破的一条。这一链路的定量分析属第 11 章。</w:t>
      </w:r>
    </w:p>
    <w:p>
      <w:pPr>
        <w:spacing w:line="360" w:lineRule="auto" w:after="0"/>
        <w:ind w:firstLineChars="200" w:firstLine="480"/>
        <w:jc w:val="both"/>
      </w:pPr>
      <w:r>
        <w:rPr>
          <w:rFonts w:ascii="宋体" w:hAnsi="宋体" w:eastAsia="宋体"/>
          <w:sz w:val="24"/>
        </w:rPr>
        <w:t>第三条是分配链路。配置改进的收益并非在各方之间均匀分布：应用方因「够用即可」而降低单位业务的词元支出，算力运营方因利用率提高而提升单位资产的收入，政府因同一算力承载更多产出而提高投资效能，但高档位模型服务方可能因上溢型调用的减少而承受收入压力。这意味着统一调度的推进必然伴随利益重组，其可持续性取决于机制设计能否使各方激励相容。第 10 章将以三方演化博弈刻画这一过程，并求解补贴退出的条件；此处只需指出一点：</w:t>
      </w:r>
      <w:r>
        <w:rPr>
          <w:rFonts w:ascii="宋体" w:hAnsi="宋体" w:eastAsia="宋体"/>
          <w:b/>
          <w:sz w:val="24"/>
        </w:rPr>
        <w:t>配置效率的改进不是一个帕累托中性的技术过程</w:t>
      </w:r>
      <w:r>
        <w:rPr>
          <w:rFonts w:ascii="宋体" w:hAnsi="宋体" w:eastAsia="宋体"/>
          <w:sz w:val="24"/>
        </w:rPr>
        <w:t>，把它单纯当作工程优化来推进，会低估其制度成本。就宏观意义而言，把有限的算力、数据与模型资源配置到边际产出最高的用途上，正是新质生产力形成过程中要素配置效率提升的具体形态（洪银兴，2024；黄群慧和盛方富，2024）；而本章的分析表明，这一提升的技术前提是可比的计量，制度前提是可执行的调度规则。</w:t>
      </w:r>
    </w:p>
    <w:p>
      <w:pPr>
        <w:keepNext/>
        <w:spacing w:before="160" w:after="120" w:line="360" w:lineRule="auto"/>
        <w:outlineLvl w:val="1"/>
      </w:pPr>
      <w:r>
        <w:rPr>
          <w:rFonts w:ascii="黑体" w:hAnsi="黑体" w:eastAsia="黑体"/>
          <w:sz w:val="28"/>
        </w:rPr>
        <w:t>9.6  本章小结</w:t>
      </w:r>
    </w:p>
    <w:p>
      <w:pPr>
        <w:spacing w:line="360" w:lineRule="auto" w:after="0"/>
        <w:ind w:firstLineChars="200" w:firstLine="480"/>
        <w:jc w:val="both"/>
      </w:pPr>
      <w:r>
        <w:rPr>
          <w:rFonts w:ascii="宋体" w:hAnsi="宋体" w:eastAsia="宋体"/>
          <w:sz w:val="24"/>
        </w:rPr>
        <w:t>本章把「智算利用率仅五至七成而算力仍在加速扩建」这一配置悖论，从产业现象上升为可分解、可优化、可测算的经济学问题，构成全书的第三项理论创新。全章的逻辑主线是：</w:t>
      </w:r>
      <w:r>
        <w:rPr>
          <w:rFonts w:ascii="宋体" w:hAnsi="宋体" w:eastAsia="宋体"/>
          <w:b/>
          <w:sz w:val="24"/>
        </w:rPr>
        <w:t>在缺乏共同计量尺度的条件下，配置失灵是必然的；标准词元折算体系一旦建立，最优配置就从一个无法表述的目标变成一个可以求解的规划</w:t>
      </w:r>
      <w:r>
        <w:rPr>
          <w:rFonts w:ascii="宋体" w:hAnsi="宋体" w:eastAsia="宋体"/>
          <w:sz w:val="24"/>
        </w:rPr>
        <w:t>。</w:t>
      </w:r>
    </w:p>
    <w:p>
      <w:pPr>
        <w:spacing w:line="360" w:lineRule="auto" w:after="0"/>
        <w:ind w:firstLineChars="200" w:firstLine="480"/>
        <w:jc w:val="both"/>
      </w:pPr>
      <w:r>
        <w:rPr>
          <w:rFonts w:ascii="宋体" w:hAnsi="宋体" w:eastAsia="宋体"/>
          <w:sz w:val="24"/>
        </w:rPr>
        <w:t xml:space="preserve">在转化函数上，本章构造了从算力到有效标准词元的两级折算：第一级是技术关系，把算力折算为物理词元；第二级是经济关系，把物理词元折算为标准词元。二者相乘得到本章的核心变量——单位算力的有效标准词元产出 </w:t>
      </w:r>
      <m:oMath>
        <m:sSub>
          <m:e>
            <m:r>
              <m:t>θ</m:t>
            </m:r>
          </m:e>
          <m:sub>
            <m:r>
              <m:t>m</m:t>
            </m:r>
          </m:sub>
        </m:sSub>
      </m:oMath>
      <w:r>
        <w:rPr>
          <w:rFonts w:ascii="宋体" w:hAnsi="宋体" w:eastAsia="宋体"/>
          <w:sz w:val="24"/>
        </w:rPr>
        <w:t xml:space="preserve">，六档位的校准结果自轻量蒸馏级的42.0万枚／(PFLOPS·h)降至推理增强级的3.1万枚／(PFLOPS·h)，极差13.5倍。转化效率对算力强度的弹性为负，其主导项是 </w:t>
      </w:r>
      <m:oMath>
        <m:sSub>
          <m:e>
            <m:r>
              <m:t>w</m:t>
            </m:r>
          </m:e>
          <m:sub>
            <m:r>
              <m:t>P</m:t>
            </m:r>
          </m:sub>
        </m:sSub>
        <m:r>
          <m:rPr>
            <m:sty m:val="p"/>
          </m:rPr>
          <m:t>−</m:t>
        </m:r>
        <m:r>
          <m:t>1</m:t>
        </m:r>
      </m:oMath>
      <w:r>
        <w:rPr>
          <w:rFonts w:ascii="宋体" w:hAnsi="宋体" w:eastAsia="宋体"/>
          <w:sz w:val="24"/>
        </w:rPr>
        <w:t>＝−0.5617——效值对算力强度的弹性显著小于 1，因而把算力投向更大模型必然降低单位算力的标准词元产出。这一性质澄清了一个常见误解：转化效率随档位下降不是低效率，而是技术必然；真正的浪费不在于使用低转化效率的档位，而在于在不需要它的场合使用它。</w:t>
      </w:r>
    </w:p>
    <w:p>
      <w:pPr>
        <w:spacing w:line="360" w:lineRule="auto" w:after="0"/>
        <w:ind w:firstLineChars="200" w:firstLine="480"/>
        <w:jc w:val="both"/>
      </w:pPr>
      <w:r>
        <w:rPr>
          <w:rFonts w:ascii="宋体" w:hAnsi="宋体" w:eastAsia="宋体"/>
          <w:sz w:val="24"/>
        </w:rPr>
        <w:t>在损失分解上，本章提出有效效值利用率概念，并以序贯反事实方法把名义算力利用率62%与实际价值转化之间的落差分解为空转18%、批次9%、匹配12%与效值7%四项相对损失率，四项逐级相乘得有效效值利用率38%，合计折损38.9%。四项损失作用于转化链条的不同环节、分属不同的责任层级，其中匹配损失占比最大且矫正成本最低，却恰恰是产业讨论中最被忽视的一项——产业注意力几乎全部集中于「卡是否闲着」，而「卡忙着但忙错了事」造成的损失并不更小。本章还辨明：匹配损失与效值损失是仅在标准词元口径下才可被识别的两项，这为「计量先于配置」的论断提供了直接证据。</w:t>
      </w:r>
    </w:p>
    <w:p>
      <w:pPr>
        <w:spacing w:line="360" w:lineRule="auto" w:after="0"/>
        <w:ind w:firstLineChars="200" w:firstLine="480"/>
        <w:jc w:val="both"/>
      </w:pPr>
      <w:r>
        <w:rPr>
          <w:rFonts w:ascii="宋体" w:hAnsi="宋体" w:eastAsia="宋体"/>
          <w:sz w:val="24"/>
        </w:rPr>
        <w:t>在配置优化上，本章把降低匹配损失的问题写成带可行性约束与容量约束的指派规划，并证明在任务可分条件下其线性松弛的最优基可行解至多拆分5 个任务类，整数间隙随任务规模趋于零（命题 9.1）。由此得到的对偶解给出「阶梯匹配原则」：在算力不紧张时任务应匹配到能够达标的最低档位，算力紧张时影子价格自动把任务向低档位推移。这一命题的深层含义是，统一调度在本质上不是一个技术平台，而是一套价格发现机制——若市场价格已充分反映效值，分散决策的结果将自动接近最优匹配。求解结果显示，统一调度可使有效效值利用率由38%升至54%，改进16个百分点、相对提升42%，理论上界为61%，而名义算力利用率62%构成不可逾越的天花板。等效地，统一调度相当于凭空增加约29.6%的算力，单位标准词元的算力成本降至现状的70.4%。分档位结果还给出一个可观测的判据：最优匹配下各档位的有效效值利用率应当收敛，其离差因而可以作为调度水平的外部检验指标。</w:t>
      </w:r>
    </w:p>
    <w:p>
      <w:pPr>
        <w:spacing w:line="360" w:lineRule="auto" w:after="0"/>
        <w:ind w:firstLineChars="200" w:firstLine="480"/>
        <w:jc w:val="both"/>
      </w:pPr>
      <w:r>
        <w:rPr>
          <w:rFonts w:ascii="宋体" w:hAnsi="宋体" w:eastAsia="宋体"/>
          <w:sz w:val="24"/>
        </w:rPr>
        <w:t>在微观基础上，本章以排队论刻画了推理服务的时延结构，指出实际平均等待为基准排队模型理论值的6.6倍，差额来自批次组装、预填充与解码的相互干扰以及到达过程的突发性；时延分布的尾部略厚于指数分布（95 分位与均值之比3.23，高于理论基准3.00约7.8%），这在批次损失与空转损失之间建立了替代关系——加大批大小以压缩批次损失会推高时延尾部，迫使运营方预留更多冗余。批大小的时延—成本权衡显示综合指标最优区间落在中等批大小，超出该区间后单位成本已经触底而时延仍在加速上升；在当前参数下服务水平承诺并不绑定，批次损失主要来自负载时变性与批内请求异质性，而非时延约束本身。</w:t>
      </w:r>
    </w:p>
    <w:p>
      <w:pPr>
        <w:spacing w:line="360" w:lineRule="auto" w:after="0"/>
        <w:ind w:firstLineChars="200" w:firstLine="480"/>
        <w:jc w:val="both"/>
      </w:pPr>
      <w:r>
        <w:rPr>
          <w:rFonts w:ascii="宋体" w:hAnsi="宋体" w:eastAsia="宋体"/>
          <w:sz w:val="24"/>
        </w:rPr>
        <w:t>最后，本章对配置改进作了情景测算并讨论其三条经济链路：价格链路上，配置效率是价格地板的技术决定因素，其改进带来的降价不以牺牲供给方利润为代价，是价格下行中可持续的部分；能源与碳链路上，配置效率是继模型效率与硬件效率之后的第三条减排路径，且是唯一不依赖技术突破的一条；分配链路上，配置改进并非帕累托中性，统一调度必然伴随利益重组，其可持续性取决于机制设计。本章还特别辨明了本书折算体系与四套既有词元评价工作的关系：中国信息通信研究院的六维服务质量评估与四维标准体系、中国工业互联网研究院的五维价值度量、清华大学翟季冬团队联合清程极智的三项实测指标，主体各异、用途各异，共同形态是多维评价；而调度问题的目标函数必须是标量，维度得分向量无法进入最优化。本书从多维评价推进到当量折算的理论增量，正是在这一缺口上确立的。本章的匹配规则与效率上界将作为参数进入第 10 章的机制设计与第 12 章的增长核算，能耗链路的定量分析则由第 11 章接续。</w:t>
      </w:r>
    </w:p>
    <w:p>
      <w:r>
        <w:br w:type="page"/>
      </w:r>
    </w:p>
    <w:p>
      <w:pPr>
        <w:keepNext/>
        <w:spacing w:before="240" w:after="160" w:line="360" w:lineRule="auto"/>
        <w:jc w:val="center"/>
        <w:outlineLvl w:val="0"/>
      </w:pPr>
      <w:r>
        <w:rPr>
          <w:rFonts w:ascii="黑体" w:hAnsi="黑体" w:eastAsia="黑体"/>
          <w:b/>
          <w:sz w:val="30"/>
        </w:rPr>
        <w:t>第10章  城市词元运营中心的组织模式与机制设计</w:t>
      </w:r>
    </w:p>
    <w:p>
      <w:pPr>
        <w:spacing w:line="360" w:lineRule="auto" w:after="0"/>
        <w:ind w:firstLineChars="200" w:firstLine="480"/>
        <w:jc w:val="both"/>
      </w:pPr>
      <w:r>
        <w:rPr>
          <w:rFonts w:ascii="宋体" w:hAnsi="宋体" w:eastAsia="宋体"/>
          <w:sz w:val="24"/>
        </w:rPr>
        <w:t>第 9 章把「智算利用率仅五至七成而算力仍在扩建」的配置悖论分解为空转、批次、匹配与效值四项损失，并证明在任务—模型最优匹配下，有效效值利用率可由0.38提高到0.54，理论上界为0.61。这一结论有一个未被回答的前提：统一调度需要一个统一的调度者。匹配损失之所以存在，不是因为算法不够好，而是因为算力、模型与场景分属不同主体、分处不同城市、采用不同口径，任何单一主体都既无权限也无信息去执行全局最优匹配。换言之，第 9 章求出的效率改进上界是一个「组织可行性」尚未落实的上界。谁来建这个统一入口，凭什么资产去建，用什么机制让企业愿意接入、让政府愿意在恰当的时点退出——这些问题不属于算法，而属于组织与制度。本章的任务，正是把第 9 章的技术可行性推进为组织可行性。</w:t>
      </w:r>
    </w:p>
    <w:p>
      <w:pPr>
        <w:spacing w:line="360" w:lineRule="auto" w:after="0"/>
        <w:ind w:firstLineChars="200" w:firstLine="480"/>
        <w:jc w:val="both"/>
      </w:pPr>
      <w:r>
        <w:rPr>
          <w:rFonts w:ascii="宋体" w:hAnsi="宋体" w:eastAsia="宋体"/>
          <w:sz w:val="24"/>
        </w:rPr>
        <w:t>现实提供了一个不期而至的观察窗口。2026 年 7 月中旬至 8 月中旬，不到一个月之内，温州、嘉兴、广州、苏州先后启动了词元运营或交易服务机构（启动时点依次为 2026-07-15、2026-07-30、2026-07-30、2026-08-11），上海市经济和信息化委员会于 2026-08-11 印发《上海市软件和信息服务业发展「十五五」规划》，提出「探索将词元、数据治理、大模型部署及再训练等投入，纳入企业技术改造支持方向」（「上海市经济和信息化委员会，2026」）。四座城市的运营主体分属四种完全不同的组织类型：城市投资发展集团、国资控股的专业运营公司、基础电信运营商、数据交易所；上海则以政策工具而非实体机构切入。同一件事由五类主体分别去做，构成了一次天然的比较制度实验。本章要回答的第一个问题就是：这种主体类型的分化是偶然的地方选择，还是资产禀赋与职能要求相互匹配的必然结果？</w:t>
      </w:r>
    </w:p>
    <w:p>
      <w:pPr>
        <w:spacing w:line="360" w:lineRule="auto" w:after="0"/>
        <w:ind w:firstLineChars="200" w:firstLine="480"/>
        <w:jc w:val="both"/>
      </w:pPr>
      <w:r>
        <w:rPr>
          <w:rFonts w:ascii="宋体" w:hAnsi="宋体" w:eastAsia="宋体"/>
          <w:sz w:val="24"/>
        </w:rPr>
        <w:t>需要在一开始就厘清两处容易被拔高的表述，本书全篇均按核实后的口径叙述。其一，关于「词元」这一中文名的效力：2026 年 3 月 25 日，全国科学技术名词审定委员会发布公告，优先推荐并面向全社会发布试用人工智能领域名词 token 的中文名「词元」，并明确将在常态化审定中结合社会推广应用情况最终确认——这是术语审定的推荐与试用，既非「正式定名」，更非国家标准；同月，在中国发展高层论坛 2026 年年会上，国家发展改革委党组成员、国家数据局局长刘烈宏使用并推介了这一译名，提出词元具有「可计量、可定价、可交易」的特征，是智能时代的价值锚点。术语学口径与经济计量口径分属两个主体、两套定义，本章讨论价值计量与交易组织时引后者。其二，关于调用量：国家数据局口径的全国日均词元调用量只有四个官方锚点——2024 年初1000亿枚、2025 年 6 月底30万亿枚、2025 年底100万亿枚、2026 年 3 月突破140万亿枚，两年增长约1400倍（基期为 2024 年初）；其余时点均系校准复算插值，官方未单独发布。运营中心的兴起正发生在这一量级跃迁的末端，其组织形态是被规模推着长出来的，而非被规划出来的。</w:t>
      </w:r>
    </w:p>
    <w:p>
      <w:pPr>
        <w:spacing w:line="360" w:lineRule="auto" w:after="0"/>
        <w:ind w:firstLineChars="200" w:firstLine="480"/>
        <w:jc w:val="both"/>
      </w:pPr>
      <w:r>
        <w:rPr>
          <w:rFonts w:ascii="宋体" w:hAnsi="宋体" w:eastAsia="宋体"/>
          <w:sz w:val="24"/>
        </w:rPr>
        <w:t>本章安排如下。10.1 节刻画政策从「补贴建算力」到「补贴买算力」再到「补贴用词元」的三段转向，并给出这一转向的三条经济学理由，说明为什么承载它的组织单元是城市；10.2 节以比较制度分析刻画五类运营主体的资产禀赋—职能匹配关系，给出匹配矩阵与主体特征对照；10.3 节聚焦城投转型，建立存量基础设施资产向标准词元产能映射的模型，解出转型的盈亏平衡利用率并做价格压力测试；10.4 节把「五个统一」还原为五类交易费用的节约机制，给出双边缔约与平台中介的费用比较与节约率表达式；10.5 节构建平台—企业—政府三方演化博弈，求解均衡、跃迁阈值与补贴退出条件，并以层次分析法给出制度要件的相对重要性排序；10.6 节讨论区域协同与全国统一大市场；10.7 节为本章小结。</w:t>
      </w:r>
    </w:p>
    <w:p>
      <w:pPr>
        <w:keepNext/>
        <w:spacing w:before="160" w:after="120" w:line="360" w:lineRule="auto"/>
        <w:outlineLvl w:val="1"/>
      </w:pPr>
      <w:r>
        <w:rPr>
          <w:rFonts w:ascii="黑体" w:hAnsi="黑体" w:eastAsia="黑体"/>
          <w:sz w:val="28"/>
        </w:rPr>
        <w:t>10.1  兴起逻辑：从补贴建算力到补贴用词元的政策转向</w:t>
      </w:r>
    </w:p>
    <w:p>
      <w:pPr>
        <w:keepNext/>
        <w:spacing w:before="160" w:after="120" w:line="360" w:lineRule="auto"/>
        <w:outlineLvl w:val="2"/>
      </w:pPr>
      <w:r>
        <w:rPr>
          <w:rFonts w:ascii="黑体" w:hAnsi="黑体" w:eastAsia="黑体"/>
          <w:sz w:val="24"/>
        </w:rPr>
        <w:t>10.1.1  三段转向的政策轨迹</w:t>
      </w:r>
    </w:p>
    <w:p>
      <w:pPr>
        <w:spacing w:line="360" w:lineRule="auto" w:after="0"/>
        <w:ind w:firstLineChars="200" w:firstLine="480"/>
        <w:jc w:val="both"/>
      </w:pPr>
      <w:r>
        <w:rPr>
          <w:rFonts w:ascii="宋体" w:hAnsi="宋体" w:eastAsia="宋体"/>
          <w:sz w:val="24"/>
        </w:rPr>
        <w:t>城市词元运营中心不是凭空出现的组织创新，它是算力类公共政策连续三次转向的落点。第一段是「补贴建算力」。2021 年 5 月，《全国一体化大数据中心协同创新体系算力枢纽实施方案》（发改高技〔2021〕709 号）确立国家算力枢纽节点的布局（「国家发展改革委等，2021」），至 2022 年 2 月形成 8 个国家算力枢纽节点与 10 个国家数据中心集群的总体格局，「东数西算」工程全面启动；2023 年 12 月，《关于深入实施「东数西算」工程 加快构建全国一体化算力网的实施意见》（发改数据〔2023〕1779 号）进一步提出建设「联网调度、普惠易用、绿色安全」的全国一体化算力网（国家发展改革委等，2023）。与之配套的地方政策以建设侧激励为主：用地保障、电价优惠、机架补贴、建设贴息。这一阶段政策的计量对象是标准机架与浮点算力，补贴的落点在固定资产形成。</w:t>
      </w:r>
    </w:p>
    <w:p>
      <w:pPr>
        <w:spacing w:line="360" w:lineRule="auto" w:after="0"/>
        <w:ind w:firstLineChars="200" w:firstLine="480"/>
        <w:jc w:val="both"/>
      </w:pPr>
      <w:r>
        <w:rPr>
          <w:rFonts w:ascii="宋体" w:hAnsi="宋体" w:eastAsia="宋体"/>
          <w:sz w:val="24"/>
        </w:rPr>
        <w:t>第二段是「补贴买算力」。当机房与集群相继建成，政策重心从形成产能转向消化产能，工具随之从投资补贴转为使用补贴，典型形式是算力券。江苏扬州在 2024 年 5 月率先推出人工智能算力券：符合条件的企业和科研机构在「运河城市算力平台」采购智能算力，可按实际支付额享受 30% 的财政补贴，单个主体年度最高 200 万元。同期的国家政策也在向使用侧倾斜，《「数据要素×」三年行动计划（2024—2026 年）》（国数政策〔2023〕11 号）以场景打造与数据产业增速为量化目标（「国家数据局等，2023」），《国务院关于深入实施「人工智能+」行动的意见》（国发〔2025〕11 号）把智能技术向六大领域的渗透列为重点行动（国务院，2025）。这一阶段政策的计量对象是算力采购金额，补贴的落点在中间投入的价格楔子。</w:t>
      </w:r>
    </w:p>
    <w:p>
      <w:pPr>
        <w:spacing w:line="360" w:lineRule="auto" w:after="0"/>
        <w:ind w:firstLineChars="200" w:firstLine="480"/>
        <w:jc w:val="both"/>
      </w:pPr>
      <w:r>
        <w:rPr>
          <w:rFonts w:ascii="宋体" w:hAnsi="宋体" w:eastAsia="宋体"/>
          <w:sz w:val="24"/>
        </w:rPr>
        <w:t>第三段是「补贴用词元」，其起点集中在 2026 年。同年 6 月，广东印发全国首份省级词元经济专项政策《广东省释放数据要素价值 促进词元经济高质量发展若干措施》，提出到 2027 年底基本形成全省一盘棋统筹、差异化布局、一体化协同的词元经济发展格局；7 月，扬州推出江苏首个词元券专项政策；8 月初，北京经济技术开发区发布全市首个聚焦词元全产业链的系统性支持政策，每年发放亿元级券金；上海则在软件和信息服务业「十五五」规划中提出探索将词元投入纳入企业技术改造支持方向（「上海市经济和信息化委员会，2026」）。国家层面的动作同步跟进：2026 年 5 月 22 日，国家数据局召开词元经济座谈会，明确把推动词元经济发展纳入工作体系，以行业高质量数据集建设和全国一体化算力网建设为两个着力点；2026 年 1 月印发的《关于组织开展国家算力互联互通节点建设工作的通知》（工信厅信管函〔2026〕35 号）则提出建立「1+M+N」国家算力互联互通节点体系，构建「统一标识、统一标准、统一规则」的运行机制。这一阶段政策的计量对象第一次成为词元本身。</w:t>
      </w:r>
    </w:p>
    <w:p>
      <w:pPr>
        <w:spacing w:line="360" w:lineRule="auto" w:after="0"/>
        <w:ind w:firstLineChars="200" w:firstLine="480"/>
        <w:jc w:val="both"/>
      </w:pPr>
      <w:r>
        <w:rPr>
          <w:rFonts w:ascii="宋体" w:hAnsi="宋体" w:eastAsia="宋体"/>
          <w:sz w:val="24"/>
        </w:rPr>
        <w:t>三段转向的分野必须严格区分，不可当作同一政策的连续加码。算力券与词元券的补贴对象与计量基准完全不同：前者补的是算力采购额，其计量单位是卡时或 PFLOPS·h，补贴强度随算力价格波动；后者补的是词元消费，其计量单位是词元枚数或词元支出，补贴强度随模型档位与调用结构变化。扬州 2024 年的算力券与 2026 年的词元券在政策文本上前后相继，在经济含义上却是两种工具——把二者当作同一条补贴序列的延续，会得出补贴强度大幅提高的错误印象。同理，词元运营中心与词元工厂也是两类主体：前者属流通服务侧，其规模指标是接入模型条目数与服务企业数；后者属推理产能供给侧，其规模指标是日产能。两类主体的「全国首个」称号各有限定语，去掉限定语后会出现多个互相冲突的「首个」。</w:t>
      </w:r>
    </w:p>
    <w:p>
      <w:pPr>
        <w:keepNext/>
        <w:spacing w:before="160" w:after="120" w:line="360" w:lineRule="auto"/>
        <w:outlineLvl w:val="2"/>
      </w:pPr>
      <w:r>
        <w:rPr>
          <w:rFonts w:ascii="黑体" w:hAnsi="黑体" w:eastAsia="黑体"/>
          <w:sz w:val="24"/>
        </w:rPr>
        <w:t>10.1.2  为什么补贴要从算力移到词元：三条经济学理由</w:t>
      </w:r>
    </w:p>
    <w:p>
      <w:pPr>
        <w:spacing w:line="360" w:lineRule="auto" w:after="0"/>
        <w:ind w:firstLineChars="200" w:firstLine="480"/>
        <w:jc w:val="both"/>
      </w:pPr>
      <w:r>
        <w:rPr>
          <w:rFonts w:ascii="宋体" w:hAnsi="宋体" w:eastAsia="宋体"/>
          <w:sz w:val="24"/>
        </w:rPr>
        <w:t>政策落点的移动不是随机漂移，它有三条可以形式化的理由。第一条来自第 9 章的配置悖论：在利用率尚未饱和时，投资补贴的边际效果为负。投资补贴降低的是资本的使用者成本，它会促使主体在既有产能之上继续追加产能；而第 9 章的测算表明，名义算力利用率为0.62，扣除空转18%、批次9%、匹配12%与效值7%四项损失后，有效效值利用率仅为0.38，四项损失合计46%。IDC 与中国信息通信研究院的联合调研给出了需求侧的对应证据：近半数企业的智算资源利用率处于 51%—70% 的中等区间（48%），仅有不足35%的企业达到 70% 以上，另有6.7%的企业停留在 31%—50% 的较低水平，制造与政务两个行业低于平均水平——需要提示的是，该口径为企业侧调研自报值，统计对象是企业自建自用的智算资源，既不是机架上架率，也不是卡时利用率的实测采样，不能与媒体常引的集群利用率数字互证。在这样的产能状态下继续补贴建设，补的是空转。</w:t>
      </w:r>
    </w:p>
    <w:p>
      <w:pPr>
        <w:spacing w:line="360" w:lineRule="auto" w:after="0"/>
        <w:ind w:firstLineChars="200" w:firstLine="480"/>
        <w:jc w:val="both"/>
      </w:pPr>
      <w:r>
        <w:rPr>
          <w:rFonts w:ascii="宋体" w:hAnsi="宋体" w:eastAsia="宋体"/>
          <w:sz w:val="24"/>
        </w:rPr>
        <w:t>第二条理由关乎补贴楔子的落点与需求弹性的匹配。使用补贴等价于对需求侧施加一个负的价格楔子，其扩量效果由需求价格弹性决定。第 8 章估计的全样本词元需求价格弹性为-1.34，分行业看，文化传媒（-1.71）与制造（-1.62）富有弹性，金融（-0.94）与政务（-0.68）则缺乏弹性。这意味着同一张词元券在不同行业的效果相差数倍：在弹性行业，补贴通过价格直接转化为用量；在刚性行业，绑定的约束是预算科目与吸收能力，补贴主要转化为价内让利而非增量采纳。政策若只发券不配套预算科目调整与数据治理能力建设，就会在刚性行业形成「补了但没用起来」的空转，其性质与算力空转同构，只是发生在需求侧。</w:t>
      </w:r>
    </w:p>
    <w:p>
      <w:pPr>
        <w:spacing w:line="360" w:lineRule="auto" w:after="0"/>
        <w:ind w:firstLineChars="200" w:firstLine="480"/>
        <w:jc w:val="both"/>
      </w:pPr>
      <w:r>
        <w:rPr>
          <w:rFonts w:ascii="宋体" w:hAnsi="宋体" w:eastAsia="宋体"/>
          <w:sz w:val="24"/>
        </w:rPr>
        <w:t>第三条理由最为根本：使用补贴要求补贴对象可核定，而词元恰好被认为具有可计量、可定价、可交易的属性。但这一属性只在物理词元层面成立于表观，第 3 章已经证明物理词元不可加，第 5 章的测算显示六档位单位价格的极差达12.6倍、变异系数0.92，折算为标准词元后分别降至2.4倍与0.31。若以物理词元枚数核定补贴，等价于对低档位词元给予更高的单位当量补贴——第 8 章表 8.2 的推论已经指出，以物理词元为分母会系统性地把「用了更强的模型」误判为「效率低下」，把补贴导向低档位、把成本监审的压力施加于高档位，方向恰好相反。因此，从算力补贴移向词元补贴，其可行性条件不是词元「能数」，而是词元「可折算」。统一计量因此不是运营中心的一项附属功能，而是使用补贴得以成立的制度前提。这构成本章与第 5 章折算体系之间的核心接口，也解释了为什么四座城市的运营中心不约而同地把统一计量列入首要职能。</w:t>
      </w:r>
    </w:p>
    <w:p>
      <w:pPr>
        <w:keepNext/>
        <w:spacing w:before="160" w:after="120" w:line="360" w:lineRule="auto"/>
        <w:outlineLvl w:val="2"/>
      </w:pPr>
      <w:r>
        <w:rPr>
          <w:rFonts w:ascii="黑体" w:hAnsi="黑体" w:eastAsia="黑体"/>
          <w:sz w:val="24"/>
        </w:rPr>
        <w:t>10.1.3  为什么承载单元是城市</w:t>
      </w:r>
    </w:p>
    <w:p>
      <w:pPr>
        <w:spacing w:line="360" w:lineRule="auto" w:after="0"/>
        <w:ind w:firstLineChars="200" w:firstLine="480"/>
        <w:jc w:val="both"/>
      </w:pPr>
      <w:r>
        <w:rPr>
          <w:rFonts w:ascii="宋体" w:hAnsi="宋体" w:eastAsia="宋体"/>
          <w:sz w:val="24"/>
        </w:rPr>
        <w:t>补贴对象从算力移向词元，回答的是「补什么」；组织单元落在城市，回答的是「谁来组织」。城市之所以成为词元运营的承载单元，有三重理由。其一是要素的空间耦合：词元生产同时消耗电力、机房、网络与场地，这些要素的配置权高度集中于市级政府，算力与电力的协同布局、就地消纳更是只能在具体的电网分区与产业园区尺度上完成（中国信息通信研究院，2025）。其二是需求的组织成本：词元需求高度分散于中小企业，单个企业的采购规模不足以支撑与模型方、算力方的直接议价，而市级政府恰好掌握产业集群名录、技改项目库与行业协会渠道，能够以最低成本把分散需求聚合为可议价的批量需求。其三是政策工具的完备性：技改补贴、政策抵扣、园区租金减免与国资平台的资产注入，这四类工具只有在市级层面才能被同一主体同时调动。换言之，城市是词元经济中「最小完备治理单元」——比它更小的单元缺乏工具，比它更大的单元缺乏场景颗粒度。</w:t>
      </w:r>
    </w:p>
    <w:p>
      <w:pPr>
        <w:spacing w:line="360" w:lineRule="auto" w:after="0"/>
        <w:ind w:firstLineChars="200" w:firstLine="480"/>
        <w:jc w:val="both"/>
      </w:pPr>
      <w:r>
        <w:rPr>
          <w:rFonts w:ascii="宋体" w:hAnsi="宋体" w:eastAsia="宋体"/>
          <w:sz w:val="24"/>
        </w:rPr>
        <w:t>这一判断也有其反面。城市既是最小完备单元，也是最小分割单元：每一个具备完备工具的层级，都同时具备把资源锁定在辖区之内的能力与激励。浙江省「十五五」规划纲要在「构建新型算力体系」部分提出「建立全省一体化算力监测调度平台」（「浙江省人民代表大会，2026」），正是对市级分割的一次省级校正。需要提示的是，全国一体化算力网（国家级）、全省一体化算力监测调度平台（省级）与城市算力调度或词元运营平台（市级）是三个层级、三套接入范围的不同事物，各平台上报的算力规模之间存在重复计算，不可加总。分割风险与协同机制将在 10.6 节集中讨论，此处先行标记：本章 10.2 至 10.5 节所论证的城市层级组织与机制，其效率主张始终附带一个约束条件——不得以牺牲跨城可比性与可流通性为代价。</w:t>
      </w:r>
    </w:p>
    <w:p>
      <w:pPr>
        <w:keepNext/>
        <w:spacing w:before="160" w:after="120" w:line="360" w:lineRule="auto"/>
        <w:outlineLvl w:val="1"/>
      </w:pPr>
      <w:r>
        <w:rPr>
          <w:rFonts w:ascii="黑体" w:hAnsi="黑体" w:eastAsia="黑体"/>
          <w:sz w:val="28"/>
        </w:rPr>
        <w:t>10.2  五类运营主体的比较制度分析</w:t>
      </w:r>
    </w:p>
    <w:p>
      <w:pPr>
        <w:keepNext/>
        <w:spacing w:before="160" w:after="120" w:line="360" w:lineRule="auto"/>
        <w:outlineLvl w:val="2"/>
      </w:pPr>
      <w:r>
        <w:rPr>
          <w:rFonts w:ascii="黑体" w:hAnsi="黑体" w:eastAsia="黑体"/>
          <w:sz w:val="24"/>
        </w:rPr>
        <w:t>10.2.1  分析框架：从「谁有资格办」到「哪类资产匹配哪项职能」</w:t>
      </w:r>
    </w:p>
    <w:p>
      <w:pPr>
        <w:spacing w:line="360" w:lineRule="auto" w:after="0"/>
        <w:ind w:firstLineChars="200" w:firstLine="480"/>
        <w:jc w:val="both"/>
      </w:pPr>
      <w:r>
        <w:rPr>
          <w:rFonts w:ascii="宋体" w:hAnsi="宋体" w:eastAsia="宋体"/>
          <w:sz w:val="24"/>
        </w:rPr>
        <w:t>关于词元运营中心应由谁来办，实践中的争论往往围绕主体身份展开：国资还是民资、运营商还是平台企业、交易所还是产业集团。比较制度分析提示我们把问题重新表述：运营中心不是一个不可分割的组织，而是一束职能的集合；每一项职能都要求特定的专用性资产作为支撑，而不同类型的主体持有的专用性资产各不相同。因此，真正的问题不是「谁有资格办」，而是「哪一类资产禀赋与哪一项职能相匹配」，以及「当某一项职能所要求的资产不在同一主体手中时，用什么合约把它们连接起来」。这正是交易费用经济学处理纵向边界问题的标准思路，其判据是：把职能配置给专用性资产的所有者，可以最小化事前投资不足与事后适应性成本；而当职能本身带有公共品属性时，剩余控制权应当向中立主体倾斜，否则受益者无从相信规则不会被规则制定者用于自利。</w:t>
      </w:r>
    </w:p>
    <w:p>
      <w:pPr>
        <w:spacing w:line="360" w:lineRule="auto" w:after="0"/>
        <w:ind w:firstLineChars="200" w:firstLine="480"/>
        <w:jc w:val="both"/>
      </w:pPr>
      <w:r>
        <w:rPr>
          <w:rFonts w:ascii="宋体" w:hAnsi="宋体" w:eastAsia="宋体"/>
          <w:sz w:val="24"/>
        </w:rPr>
        <w:t>沿这一思路，可以把运营中心的职能拆为两层。底层是两项供给性职能：算力产能的组织（含自建、代管、池化与跨域调度）与场景需求的组织（含语料治理、行业模型适配与工作流改造）。上层是五项治理性职能，即嘉兴门户所称的「五个统一」：统一 API 入口、统一词元计量、统一费用结算、统一政策抵扣、统一安全审计。两层职能的经济性质截然不同：底层职能具有私人品性质，谁提供谁受益，市场主体有充分激励；上层职能中的计量、审计与抵扣具有明显的公共品性质，其收益弥散于所有参与者，任何单一商业主体既缺乏提供的激励，也缺乏被各方接受的中立性。兼容性标准与质量披露制度的供给往往需要超越单个企业的协调机制（Farrell和Saloner，1985；Dranove和Jin，2010；Simcoe，2012），而标准化对生产率的提升效应在中国情境下亦有直接证据（何凡等，2025）。这一性质差异，决定了词元运营中心必然是「商业能力＋公共职能」的混合体，也决定了纯粹的商业平台与纯粹的行政机构都不是合适的载体。</w:t>
      </w:r>
    </w:p>
    <w:p>
      <w:pPr>
        <w:spacing w:line="360" w:lineRule="auto" w:after="0"/>
        <w:ind w:firstLineChars="200" w:firstLine="480"/>
        <w:jc w:val="both"/>
      </w:pPr>
      <w:r>
        <w:rPr>
          <w:rFonts w:ascii="宋体" w:hAnsi="宋体" w:eastAsia="宋体"/>
          <w:sz w:val="24"/>
        </w:rPr>
        <w:t>据此，本节把运营主体的资产禀赋归为四类：网络与云资源（骨干网、云平台、边缘节点）、土地电力机房（用地指标、变电容量、机架）、数据与场景（行业语料、应用场景与需求渠道）、制度与政策工具（标准制定权、补贴核定权、监管权限）。五类候选主体——基础电信运营商、城投集团、数据集团、数据交易所、政策制定者——在这四类资产上的禀赋结构差异显著，其比较优势职能也因此不同。五类主体的资产禀赋与职能匹配关系如图10.1所示。</w:t>
      </w:r>
    </w:p>
    <w:p>
      <w:pPr>
        <w:spacing w:before="120" w:after="40"/>
        <w:jc w:val="center"/>
      </w:pPr>
      <w:r>
        <w:drawing>
          <wp:inline xmlns:a="http://schemas.openxmlformats.org/drawingml/2006/main" xmlns:pic="http://schemas.openxmlformats.org/drawingml/2006/picture">
            <wp:extent cx="5040000" cy="3150000"/>
            <wp:docPr id="31" name="Picture 31"/>
            <wp:cNvGraphicFramePr>
              <a:graphicFrameLocks noChangeAspect="1"/>
            </wp:cNvGraphicFramePr>
            <a:graphic>
              <a:graphicData uri="http://schemas.openxmlformats.org/drawingml/2006/picture">
                <pic:pic>
                  <pic:nvPicPr>
                    <pic:cNvPr id="0" name="fig10_1.png"/>
                    <pic:cNvPicPr/>
                  </pic:nvPicPr>
                  <pic:blipFill>
                    <a:blip r:embed="rId39"/>
                    <a:stretch>
                      <a:fillRect/>
                    </a:stretch>
                  </pic:blipFill>
                  <pic:spPr>
                    <a:xfrm>
                      <a:off x="0" y="0"/>
                      <a:ext cx="5040000" cy="3150000"/>
                    </a:xfrm>
                    <a:prstGeom prst="rect"/>
                  </pic:spPr>
                </pic:pic>
              </a:graphicData>
            </a:graphic>
          </wp:inline>
        </w:drawing>
      </w:r>
    </w:p>
    <w:p>
      <w:pPr>
        <w:keepNext w:val="0"/>
        <w:spacing w:after="200"/>
        <w:jc w:val="center"/>
      </w:pPr>
      <w:r>
        <w:rPr>
          <w:rFonts w:ascii="黑体" w:hAnsi="黑体" w:eastAsia="黑体"/>
          <w:sz w:val="21"/>
        </w:rPr>
        <w:t>图10.1  五类词元运营主体的资产禀赋与职能匹配</w:t>
      </w:r>
    </w:p>
    <w:p>
      <w:pPr>
        <w:spacing w:line="360" w:lineRule="auto" w:after="0"/>
        <w:ind w:firstLineChars="200" w:firstLine="480"/>
        <w:jc w:val="both"/>
      </w:pPr>
      <w:r>
        <w:rPr>
          <w:rFonts w:ascii="宋体" w:hAnsi="宋体" w:eastAsia="宋体"/>
          <w:sz w:val="24"/>
        </w:rPr>
        <w:t>图10.1呈现的匹配结构有三点值得展开。第一，没有任何一类主体在四类资产上同时具备强禀赋，这意味着单一主体独办运营中心必然在某一职能上留下短板：运营商强于网络与云资源而弱于制度工具，城投强于土地电力机房而弱于数据与场景，数据集团与交易所强于数据与场景而弱于物理设施，政策制定者独强于制度工具而在三类经营性资产上均不占优。第二，禀赋的强弱决定的是比较优势而非绝对资格：城投在数据与场景上禀赋弱，并不意味着它不能运营词元中心，而是意味着它必须通过合约把场景组织职能交给他方，自己聚焦于产能池化与算力批发。第三，唯一在四类资产上都不具备强禀赋、却在制度工具上不可替代的主体是政府，这决定了政府的合适角色是规则制定与凭证认可，而不是直接经营。这三点合起来给出了一个组织形态上的判断：词元运营中心的现实形态必然是「多方共建、分职能授权」，而不是单一主体的纵向一体化。</w:t>
      </w:r>
    </w:p>
    <w:p>
      <w:pPr>
        <w:keepNext/>
        <w:spacing w:before="160" w:after="120" w:line="360" w:lineRule="auto"/>
        <w:outlineLvl w:val="2"/>
      </w:pPr>
      <w:r>
        <w:rPr>
          <w:rFonts w:ascii="黑体" w:hAnsi="黑体" w:eastAsia="黑体"/>
          <w:sz w:val="24"/>
        </w:rPr>
        <w:t>10.2.2  五类主体的现实实践与激励结构</w:t>
      </w:r>
    </w:p>
    <w:p>
      <w:pPr>
        <w:spacing w:line="360" w:lineRule="auto" w:after="0"/>
        <w:ind w:firstLineChars="200" w:firstLine="480"/>
        <w:jc w:val="both"/>
      </w:pPr>
      <w:r>
        <w:rPr>
          <w:rFonts w:ascii="宋体" w:hAnsi="宋体" w:eastAsia="宋体"/>
          <w:sz w:val="24"/>
        </w:rPr>
        <w:t>把上述框架对照 2026 年七八月间的实践，五类主体的分工呈现出与图10.1高度一致的模式。基础电信运营商的代表是中国电信（江苏）Token 运营中心，2026-08-11 在苏州工业园区揭牌，落址苏州国际数据港这一国家级数据要素流通枢纽，依托天翼云「息壤 2.0」算力底座与星辰 TokenHub 运营服务平台，面向企业端提供模型广场、Skill 市场、应用超市、补贴专区、安全风控、指标监测六大类服务，并于同日成立词元出海服务联盟，首批 15 家成员涵盖云服务商、国际业务公司与模型企业。运营商的比较优势在网络接入与跨境通道，其激励结构的特征是「以连接换流量」——词元被自然地纳入既有的计费单元体系，新华社的报道即以「运营商的新增计费单元」概括这一变化。相应的激励扭曲风险也在于此：运营商有把调用量做大的强激励，却未必有把效值做高的激励，而按物理词元计量的考核会强化这一偏向。</w:t>
      </w:r>
    </w:p>
    <w:p>
      <w:pPr>
        <w:spacing w:line="360" w:lineRule="auto" w:after="0"/>
        <w:ind w:firstLineChars="200" w:firstLine="480"/>
        <w:jc w:val="both"/>
      </w:pPr>
      <w:r>
        <w:rPr>
          <w:rFonts w:ascii="宋体" w:hAnsi="宋体" w:eastAsia="宋体"/>
          <w:sz w:val="24"/>
        </w:rPr>
        <w:t>城投集团的代表是长三角（嘉兴）Token 运营中心，2026-07-30 启动。需要精确表述的是运营边界：嘉兴市城市投资发展集团有限公司是运营中心面向市场的统一服务窗口（门户网站）的运营主体，而运营中心本身由嘉兴市层面统筹、多方共建，中国移动嘉兴分公司作为战略合作伙伴投放核心算力，中国电信同步参与生态共建。其定位是「立足嘉兴、服务长三角、链接全国资源」，三大职能为打造普惠服务入口、构建资源调度枢纽、探索绿色可信服务；门户以「五个统一」为治理框架，企业一次接入即可按需调用 100 余款主流大模型条目——此处的口径是平台可接入的模型条目数，同一厂商的多个版本分别计数，既不等于模型厂商数，也不等于已产生实际调用量的模型数。首批生态伙伴 20 家，覆盖制造业龙头与科技文化企业，其中制造业龙头包括巨石集团等。城投的比较优势在存量物理资产，其激励结构的特征是「以资产换现金流」，这一逻辑的完整展开构成 10.3 节的内容。</w:t>
      </w:r>
    </w:p>
    <w:p>
      <w:pPr>
        <w:spacing w:line="360" w:lineRule="auto" w:after="0"/>
        <w:ind w:firstLineChars="200" w:firstLine="480"/>
        <w:jc w:val="both"/>
      </w:pPr>
      <w:r>
        <w:rPr>
          <w:rFonts w:ascii="宋体" w:hAnsi="宋体" w:eastAsia="宋体"/>
          <w:sz w:val="24"/>
        </w:rPr>
        <w:t>数据集团的代表是东南 Token 运营中心，2026-07-15 在温州启动，「词元天下」门户同步上线。同样需要精确表述：具体运营由国资控股的温州词元天下科技有限公司承担，其董事长由温州市数据集团总经理兼任，中国电信浙江公司与天翼云在建设运营初期重点提供智算基础设施、平台能力与运维保障，中国移动、中国联通同步参与门户入驻与生态共建。该中心的鲜明特色是绿色词元认证，其内核为三项可证：来源可溯（词元由哪个算力中心、什么模型生产）、用能可证（耗电量与绿电占比）、碳排可算（对应碳排放）。温州具备相应的能源条件——海上风电规划容量占浙江全省一半以上，2025 年清洁能源装机占比超过 45%。数据集团的比较优势在语料治理与场景组织，其激励结构的特征是「以数据换服务费」；绿色凭证则把能源禀赋转化为可交易的质量维度，这一机制的定价含义将在第 11 章展开。</w:t>
      </w:r>
    </w:p>
    <w:p>
      <w:pPr>
        <w:spacing w:line="360" w:lineRule="auto" w:after="0"/>
        <w:ind w:firstLineChars="200" w:firstLine="480"/>
        <w:jc w:val="both"/>
      </w:pPr>
      <w:r>
        <w:rPr>
          <w:rFonts w:ascii="宋体" w:hAnsi="宋体" w:eastAsia="宋体"/>
          <w:sz w:val="24"/>
        </w:rPr>
        <w:t>数据交易所的代表是广东词元交易和服务中心，2026-07-30 在广州南沙揭牌。其组织结构为广东省政务服务和数据管理局统筹、广州市政务服务和数据管理局指导、依托广州数据交易所建设，承担词元标准制定、合规鉴证、场内交易、惠企扶持与跨境流通等职能，围绕企业采购需求构建可信流通、惠企政策、可信计量、词元出海、综合公共服务五大服务能力，牵头构建全省统一词元计量规则并出具交易凭证，依托交易所设立普惠、行业、跨境三大交易专区，企业凭交易凭证可享政策智能匹配与采购额度直兑。交易所的比较优势在确权登记与合规鉴证，其激励结构的特征是「以凭证换手续费」。这里潜藏着一类特有的扭曲风险：场内交易额是交易所的绩效指标，而词元调用量是技术指标，二者计量对象根本不同、无换算关系，若以交易额考核运营绩效，可能诱发凭证空转——成交在场内完成，词元却未被真实消费。</w:t>
      </w:r>
    </w:p>
    <w:p>
      <w:pPr>
        <w:spacing w:line="360" w:lineRule="auto" w:after="0"/>
        <w:ind w:firstLineChars="200" w:firstLine="480"/>
        <w:jc w:val="both"/>
      </w:pPr>
      <w:r>
        <w:rPr>
          <w:rFonts w:ascii="宋体" w:hAnsi="宋体" w:eastAsia="宋体"/>
          <w:sz w:val="24"/>
        </w:rPr>
        <w:t>第五类主体是政策制定者。上海的路径最具代表性：不设实体运营机构，而以规划与技改政策切入，在软件和信息服务业「十五五」规划中提出「探索将词元、数据治理、大模型部署及再训练等投入，纳入企业技术改造支持方向」（「上海市经济和信息化委员会，2026」）。必须照录的是「探索……纳入」这一措辞，它属于探索性、试点性表述，而非已经落地的补贴目录；把它写成「已将词元支出纳入技改补贴」即为拔高。政策制定者的比较优势在制度工具，其「收益」是非货币的配置效率与产业目标，因而其激励扭曲风险不在于逐利，而在于两类政府失灵：一是补贴锁定，即在产业尚未自我维持时无法退出（这正是 10.5 节演化博弈的核心议题）；二是属地绑定，即以补贴条件要求词元在本地生产或本地结算，从而制造市场分割。五类主体的资产、职能、收益模式与风险的系统对照见表10.1。</w:t>
      </w:r>
    </w:p>
    <w:p>
      <w:pPr>
        <w:keepNext/>
        <w:spacing w:before="160" w:after="40"/>
        <w:jc w:val="center"/>
      </w:pPr>
      <w:r>
        <w:rPr>
          <w:rFonts w:ascii="黑体" w:hAnsi="黑体" w:eastAsia="黑体"/>
          <w:sz w:val="21"/>
        </w:rPr>
        <w:t>表10.1  五类词元运营主体的比较制度特征</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运营主体</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核心存量资产</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比较优势职能</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收益模式</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主要激励扭曲风险</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典型实践（启动时点）</w:t>
            </w:r>
          </w:p>
        </w:tc>
      </w:tr>
      <w:tr>
        <w:tc>
          <w:tcPr>
            <w:tcW w:type="dxa" w:w="1417"/>
            <w:vAlign w:val="center"/>
          </w:tcPr>
          <w:p>
            <w:pPr>
              <w:spacing w:line="240" w:lineRule="auto" w:after="20" w:before="20"/>
              <w:jc w:val="center"/>
            </w:pPr>
            <w:r/>
            <w:r>
              <w:rPr>
                <w:rFonts w:ascii="宋体" w:hAnsi="宋体" w:eastAsia="宋体"/>
                <w:sz w:val="21"/>
              </w:rPr>
              <w:t>基础电信运营商</w:t>
            </w:r>
          </w:p>
        </w:tc>
        <w:tc>
          <w:tcPr>
            <w:tcW w:type="dxa" w:w="1417"/>
            <w:vAlign w:val="center"/>
          </w:tcPr>
          <w:p>
            <w:pPr>
              <w:spacing w:line="240" w:lineRule="auto" w:after="20" w:before="20"/>
              <w:jc w:val="left"/>
            </w:pPr>
            <w:r/>
            <w:r>
              <w:rPr>
                <w:rFonts w:ascii="宋体" w:hAnsi="宋体" w:eastAsia="宋体"/>
                <w:sz w:val="21"/>
              </w:rPr>
              <w:t>骨干网、云资源池、</w:t>
              <w:br/>
              <w:t>数据中心与政企渠道</w:t>
            </w:r>
          </w:p>
        </w:tc>
        <w:tc>
          <w:tcPr>
            <w:tcW w:type="dxa" w:w="1417"/>
            <w:vAlign w:val="center"/>
          </w:tcPr>
          <w:p>
            <w:pPr>
              <w:spacing w:line="240" w:lineRule="auto" w:after="20" w:before="20"/>
              <w:jc w:val="left"/>
            </w:pPr>
            <w:r/>
            <w:r>
              <w:rPr>
                <w:rFonts w:ascii="宋体" w:hAnsi="宋体" w:eastAsia="宋体"/>
                <w:sz w:val="21"/>
              </w:rPr>
              <w:t>统一入口与网络接入、</w:t>
              <w:br/>
              <w:t>出海通道与跨境合规</w:t>
            </w:r>
          </w:p>
        </w:tc>
        <w:tc>
          <w:tcPr>
            <w:tcW w:type="dxa" w:w="1417"/>
            <w:vAlign w:val="center"/>
          </w:tcPr>
          <w:p>
            <w:pPr>
              <w:spacing w:line="240" w:lineRule="auto" w:after="20" w:before="20"/>
              <w:jc w:val="left"/>
            </w:pPr>
            <w:r/>
            <w:r>
              <w:rPr>
                <w:rFonts w:ascii="宋体" w:hAnsi="宋体" w:eastAsia="宋体"/>
                <w:sz w:val="21"/>
              </w:rPr>
              <w:t>连接与云服务收入＋</w:t>
              <w:br/>
              <w:t>词元调用分成</w:t>
            </w:r>
          </w:p>
        </w:tc>
        <w:tc>
          <w:tcPr>
            <w:tcW w:type="dxa" w:w="1417"/>
            <w:vAlign w:val="center"/>
          </w:tcPr>
          <w:p>
            <w:pPr>
              <w:spacing w:line="240" w:lineRule="auto" w:after="20" w:before="20"/>
              <w:jc w:val="left"/>
            </w:pPr>
            <w:r/>
            <w:r>
              <w:rPr>
                <w:rFonts w:ascii="宋体" w:hAnsi="宋体" w:eastAsia="宋体"/>
                <w:sz w:val="21"/>
              </w:rPr>
              <w:t>以物理调用量为考核，</w:t>
              <w:br/>
              <w:t>重规模轻效值</w:t>
            </w:r>
          </w:p>
        </w:tc>
        <w:tc>
          <w:tcPr>
            <w:tcW w:type="dxa" w:w="1417"/>
            <w:vAlign w:val="center"/>
          </w:tcPr>
          <w:p>
            <w:pPr>
              <w:spacing w:line="240" w:lineRule="auto" w:after="20" w:before="20"/>
              <w:jc w:val="left"/>
            </w:pPr>
            <w:r/>
            <w:r>
              <w:rPr>
                <w:rFonts w:ascii="宋体" w:hAnsi="宋体" w:eastAsia="宋体"/>
                <w:sz w:val="21"/>
              </w:rPr>
              <w:t>中国电信（江苏）</w:t>
              <w:br/>
              <w:t>Token 运营中心</w:t>
              <w:br/>
              <w:t>（2026-08-11）</w:t>
            </w:r>
          </w:p>
        </w:tc>
      </w:tr>
      <w:tr>
        <w:tc>
          <w:tcPr>
            <w:tcW w:type="dxa" w:w="1417"/>
            <w:vAlign w:val="center"/>
          </w:tcPr>
          <w:p>
            <w:pPr>
              <w:spacing w:line="240" w:lineRule="auto" w:after="20" w:before="20"/>
              <w:jc w:val="center"/>
            </w:pPr>
            <w:r/>
            <w:r>
              <w:rPr>
                <w:rFonts w:ascii="宋体" w:hAnsi="宋体" w:eastAsia="宋体"/>
                <w:sz w:val="21"/>
              </w:rPr>
              <w:t>城投集团</w:t>
            </w:r>
          </w:p>
        </w:tc>
        <w:tc>
          <w:tcPr>
            <w:tcW w:type="dxa" w:w="1417"/>
            <w:vAlign w:val="center"/>
          </w:tcPr>
          <w:p>
            <w:pPr>
              <w:spacing w:line="240" w:lineRule="auto" w:after="20" w:before="20"/>
              <w:jc w:val="left"/>
            </w:pPr>
            <w:r/>
            <w:r>
              <w:rPr>
                <w:rFonts w:ascii="宋体" w:hAnsi="宋体" w:eastAsia="宋体"/>
                <w:sz w:val="21"/>
              </w:rPr>
              <w:t>用地指标、变电容量、</w:t>
              <w:br/>
              <w:t>机房机架与市政设施</w:t>
            </w:r>
          </w:p>
        </w:tc>
        <w:tc>
          <w:tcPr>
            <w:tcW w:type="dxa" w:w="1417"/>
            <w:vAlign w:val="center"/>
          </w:tcPr>
          <w:p>
            <w:pPr>
              <w:spacing w:line="240" w:lineRule="auto" w:after="20" w:before="20"/>
              <w:jc w:val="left"/>
            </w:pPr>
            <w:r/>
            <w:r>
              <w:rPr>
                <w:rFonts w:ascii="宋体" w:hAnsi="宋体" w:eastAsia="宋体"/>
                <w:sz w:val="21"/>
              </w:rPr>
              <w:t>存量资产再打包、</w:t>
              <w:br/>
              <w:t>产能池化与算力批发</w:t>
            </w:r>
          </w:p>
        </w:tc>
        <w:tc>
          <w:tcPr>
            <w:tcW w:type="dxa" w:w="1417"/>
            <w:vAlign w:val="center"/>
          </w:tcPr>
          <w:p>
            <w:pPr>
              <w:spacing w:line="240" w:lineRule="auto" w:after="20" w:before="20"/>
              <w:jc w:val="left"/>
            </w:pPr>
            <w:r/>
            <w:r>
              <w:rPr>
                <w:rFonts w:ascii="宋体" w:hAnsi="宋体" w:eastAsia="宋体"/>
                <w:sz w:val="21"/>
              </w:rPr>
              <w:t>产能租金＋批零价差</w:t>
            </w:r>
          </w:p>
        </w:tc>
        <w:tc>
          <w:tcPr>
            <w:tcW w:type="dxa" w:w="1417"/>
            <w:vAlign w:val="center"/>
          </w:tcPr>
          <w:p>
            <w:pPr>
              <w:spacing w:line="240" w:lineRule="auto" w:after="20" w:before="20"/>
              <w:jc w:val="left"/>
            </w:pPr>
            <w:r/>
            <w:r>
              <w:rPr>
                <w:rFonts w:ascii="宋体" w:hAnsi="宋体" w:eastAsia="宋体"/>
                <w:sz w:val="21"/>
              </w:rPr>
              <w:t>以建设逻辑替代运营逻辑，</w:t>
              <w:br/>
              <w:t>继续扩产能而非提利用率</w:t>
            </w:r>
          </w:p>
        </w:tc>
        <w:tc>
          <w:tcPr>
            <w:tcW w:type="dxa" w:w="1417"/>
            <w:vAlign w:val="center"/>
          </w:tcPr>
          <w:p>
            <w:pPr>
              <w:spacing w:line="240" w:lineRule="auto" w:after="20" w:before="20"/>
              <w:jc w:val="left"/>
            </w:pPr>
            <w:r/>
            <w:r>
              <w:rPr>
                <w:rFonts w:ascii="宋体" w:hAnsi="宋体" w:eastAsia="宋体"/>
                <w:sz w:val="21"/>
              </w:rPr>
              <w:t>长三角（嘉兴）</w:t>
              <w:br/>
              <w:t>Token 运营中心</w:t>
              <w:br/>
              <w:t>（2026-07-30）</w:t>
            </w:r>
          </w:p>
        </w:tc>
      </w:tr>
      <w:tr>
        <w:tc>
          <w:tcPr>
            <w:tcW w:type="dxa" w:w="1417"/>
            <w:vAlign w:val="center"/>
          </w:tcPr>
          <w:p>
            <w:pPr>
              <w:spacing w:line="240" w:lineRule="auto" w:after="20" w:before="20"/>
              <w:jc w:val="center"/>
            </w:pPr>
            <w:r/>
            <w:r>
              <w:rPr>
                <w:rFonts w:ascii="宋体" w:hAnsi="宋体" w:eastAsia="宋体"/>
                <w:sz w:val="21"/>
              </w:rPr>
              <w:t>数据集团</w:t>
            </w:r>
          </w:p>
        </w:tc>
        <w:tc>
          <w:tcPr>
            <w:tcW w:type="dxa" w:w="1417"/>
            <w:vAlign w:val="center"/>
          </w:tcPr>
          <w:p>
            <w:pPr>
              <w:spacing w:line="240" w:lineRule="auto" w:after="20" w:before="20"/>
              <w:jc w:val="left"/>
            </w:pPr>
            <w:r/>
            <w:r>
              <w:rPr>
                <w:rFonts w:ascii="宋体" w:hAnsi="宋体" w:eastAsia="宋体"/>
                <w:sz w:val="21"/>
              </w:rPr>
              <w:t>政务与行业数据、</w:t>
              <w:br/>
              <w:t>语料资源与场景通道</w:t>
            </w:r>
          </w:p>
        </w:tc>
        <w:tc>
          <w:tcPr>
            <w:tcW w:type="dxa" w:w="1417"/>
            <w:vAlign w:val="center"/>
          </w:tcPr>
          <w:p>
            <w:pPr>
              <w:spacing w:line="240" w:lineRule="auto" w:after="20" w:before="20"/>
              <w:jc w:val="left"/>
            </w:pPr>
            <w:r/>
            <w:r>
              <w:rPr>
                <w:rFonts w:ascii="宋体" w:hAnsi="宋体" w:eastAsia="宋体"/>
                <w:sz w:val="21"/>
              </w:rPr>
              <w:t>语料治理与行业适配、</w:t>
              <w:br/>
              <w:t>绿色词元凭证</w:t>
            </w:r>
          </w:p>
        </w:tc>
        <w:tc>
          <w:tcPr>
            <w:tcW w:type="dxa" w:w="1417"/>
            <w:vAlign w:val="center"/>
          </w:tcPr>
          <w:p>
            <w:pPr>
              <w:spacing w:line="240" w:lineRule="auto" w:after="20" w:before="20"/>
              <w:jc w:val="left"/>
            </w:pPr>
            <w:r/>
            <w:r>
              <w:rPr>
                <w:rFonts w:ascii="宋体" w:hAnsi="宋体" w:eastAsia="宋体"/>
                <w:sz w:val="21"/>
              </w:rPr>
              <w:t>数据产品与运营服务费</w:t>
            </w:r>
          </w:p>
        </w:tc>
        <w:tc>
          <w:tcPr>
            <w:tcW w:type="dxa" w:w="1417"/>
            <w:vAlign w:val="center"/>
          </w:tcPr>
          <w:p>
            <w:pPr>
              <w:spacing w:line="240" w:lineRule="auto" w:after="20" w:before="20"/>
              <w:jc w:val="left"/>
            </w:pPr>
            <w:r/>
            <w:r>
              <w:rPr>
                <w:rFonts w:ascii="宋体" w:hAnsi="宋体" w:eastAsia="宋体"/>
                <w:sz w:val="21"/>
              </w:rPr>
              <w:t>数据权属边界不清，</w:t>
              <w:br/>
              <w:t>竞争中性受质疑</w:t>
            </w:r>
          </w:p>
        </w:tc>
        <w:tc>
          <w:tcPr>
            <w:tcW w:type="dxa" w:w="1417"/>
            <w:vAlign w:val="center"/>
          </w:tcPr>
          <w:p>
            <w:pPr>
              <w:spacing w:line="240" w:lineRule="auto" w:after="20" w:before="20"/>
              <w:jc w:val="left"/>
            </w:pPr>
            <w:r/>
            <w:r>
              <w:rPr>
                <w:rFonts w:ascii="宋体" w:hAnsi="宋体" w:eastAsia="宋体"/>
                <w:sz w:val="21"/>
              </w:rPr>
              <w:t>东南 Token 运营中心</w:t>
              <w:br/>
              <w:t>（温州，2026-07-15）</w:t>
            </w:r>
          </w:p>
        </w:tc>
      </w:tr>
      <w:tr>
        <w:tc>
          <w:tcPr>
            <w:tcW w:type="dxa" w:w="1417"/>
            <w:vAlign w:val="center"/>
          </w:tcPr>
          <w:p>
            <w:pPr>
              <w:spacing w:line="240" w:lineRule="auto" w:after="20" w:before="20"/>
              <w:jc w:val="center"/>
            </w:pPr>
            <w:r/>
            <w:r>
              <w:rPr>
                <w:rFonts w:ascii="宋体" w:hAnsi="宋体" w:eastAsia="宋体"/>
                <w:sz w:val="21"/>
              </w:rPr>
              <w:t>数据交易所</w:t>
            </w:r>
          </w:p>
        </w:tc>
        <w:tc>
          <w:tcPr>
            <w:tcW w:type="dxa" w:w="1417"/>
            <w:vAlign w:val="center"/>
          </w:tcPr>
          <w:p>
            <w:pPr>
              <w:spacing w:line="240" w:lineRule="auto" w:after="20" w:before="20"/>
              <w:jc w:val="left"/>
            </w:pPr>
            <w:r/>
            <w:r>
              <w:rPr>
                <w:rFonts w:ascii="宋体" w:hAnsi="宋体" w:eastAsia="宋体"/>
                <w:sz w:val="21"/>
              </w:rPr>
              <w:t>交易场所资质、</w:t>
              <w:br/>
              <w:t>确权登记与鉴证能力</w:t>
            </w:r>
          </w:p>
        </w:tc>
        <w:tc>
          <w:tcPr>
            <w:tcW w:type="dxa" w:w="1417"/>
            <w:vAlign w:val="center"/>
          </w:tcPr>
          <w:p>
            <w:pPr>
              <w:spacing w:line="240" w:lineRule="auto" w:after="20" w:before="20"/>
              <w:jc w:val="left"/>
            </w:pPr>
            <w:r/>
            <w:r>
              <w:rPr>
                <w:rFonts w:ascii="宋体" w:hAnsi="宋体" w:eastAsia="宋体"/>
                <w:sz w:val="21"/>
              </w:rPr>
              <w:t>交易组织、计量凭证</w:t>
              <w:br/>
              <w:t>与结算清分、跨境流通</w:t>
            </w:r>
          </w:p>
        </w:tc>
        <w:tc>
          <w:tcPr>
            <w:tcW w:type="dxa" w:w="1417"/>
            <w:vAlign w:val="center"/>
          </w:tcPr>
          <w:p>
            <w:pPr>
              <w:spacing w:line="240" w:lineRule="auto" w:after="20" w:before="20"/>
              <w:jc w:val="left"/>
            </w:pPr>
            <w:r/>
            <w:r>
              <w:rPr>
                <w:rFonts w:ascii="宋体" w:hAnsi="宋体" w:eastAsia="宋体"/>
                <w:sz w:val="21"/>
              </w:rPr>
              <w:t>交易服务费与鉴证费</w:t>
            </w:r>
          </w:p>
        </w:tc>
        <w:tc>
          <w:tcPr>
            <w:tcW w:type="dxa" w:w="1417"/>
            <w:vAlign w:val="center"/>
          </w:tcPr>
          <w:p>
            <w:pPr>
              <w:spacing w:line="240" w:lineRule="auto" w:after="20" w:before="20"/>
              <w:jc w:val="left"/>
            </w:pPr>
            <w:r/>
            <w:r>
              <w:rPr>
                <w:rFonts w:ascii="宋体" w:hAnsi="宋体" w:eastAsia="宋体"/>
                <w:sz w:val="21"/>
              </w:rPr>
              <w:t>以场内交易额考核，</w:t>
              <w:br/>
              <w:t>诱发凭证空转</w:t>
            </w:r>
          </w:p>
        </w:tc>
        <w:tc>
          <w:tcPr>
            <w:tcW w:type="dxa" w:w="1417"/>
            <w:vAlign w:val="center"/>
          </w:tcPr>
          <w:p>
            <w:pPr>
              <w:spacing w:line="240" w:lineRule="auto" w:after="20" w:before="20"/>
              <w:jc w:val="left"/>
            </w:pPr>
            <w:r/>
            <w:r>
              <w:rPr>
                <w:rFonts w:ascii="宋体" w:hAnsi="宋体" w:eastAsia="宋体"/>
                <w:sz w:val="21"/>
              </w:rPr>
              <w:t>广东词元交易和服务中心</w:t>
              <w:br/>
              <w:t>（南沙，2026-07-30）</w:t>
            </w:r>
          </w:p>
        </w:tc>
      </w:tr>
      <w:tr>
        <w:tc>
          <w:tcPr>
            <w:tcW w:type="dxa" w:w="1417"/>
            <w:vAlign w:val="center"/>
          </w:tcPr>
          <w:p>
            <w:pPr>
              <w:spacing w:line="240" w:lineRule="auto" w:after="20" w:before="20"/>
              <w:jc w:val="center"/>
            </w:pPr>
            <w:r/>
            <w:r>
              <w:rPr>
                <w:rFonts w:ascii="宋体" w:hAnsi="宋体" w:eastAsia="宋体"/>
                <w:sz w:val="21"/>
              </w:rPr>
              <w:t>政策制定者</w:t>
            </w:r>
          </w:p>
        </w:tc>
        <w:tc>
          <w:tcPr>
            <w:tcW w:type="dxa" w:w="1417"/>
            <w:vAlign w:val="center"/>
          </w:tcPr>
          <w:p>
            <w:pPr>
              <w:spacing w:line="240" w:lineRule="auto" w:after="20" w:before="20"/>
              <w:jc w:val="left"/>
            </w:pPr>
            <w:r/>
            <w:r>
              <w:rPr>
                <w:rFonts w:ascii="宋体" w:hAnsi="宋体" w:eastAsia="宋体"/>
                <w:sz w:val="21"/>
              </w:rPr>
              <w:t>标准制定权、补贴核定权、</w:t>
              <w:br/>
              <w:t>监管与审计权限</w:t>
            </w:r>
          </w:p>
        </w:tc>
        <w:tc>
          <w:tcPr>
            <w:tcW w:type="dxa" w:w="1417"/>
            <w:vAlign w:val="center"/>
          </w:tcPr>
          <w:p>
            <w:pPr>
              <w:spacing w:line="240" w:lineRule="auto" w:after="20" w:before="20"/>
              <w:jc w:val="left"/>
            </w:pPr>
            <w:r/>
            <w:r>
              <w:rPr>
                <w:rFonts w:ascii="宋体" w:hAnsi="宋体" w:eastAsia="宋体"/>
                <w:sz w:val="21"/>
              </w:rPr>
              <w:t>计量标准与补贴核定、</w:t>
              <w:br/>
              <w:t>价格监测与安全审计</w:t>
            </w:r>
          </w:p>
        </w:tc>
        <w:tc>
          <w:tcPr>
            <w:tcW w:type="dxa" w:w="1417"/>
            <w:vAlign w:val="center"/>
          </w:tcPr>
          <w:p>
            <w:pPr>
              <w:spacing w:line="240" w:lineRule="auto" w:after="20" w:before="20"/>
              <w:jc w:val="left"/>
            </w:pPr>
            <w:r/>
            <w:r>
              <w:rPr>
                <w:rFonts w:ascii="宋体" w:hAnsi="宋体" w:eastAsia="宋体"/>
                <w:sz w:val="21"/>
              </w:rPr>
              <w:t>非货币收益：</w:t>
              <w:br/>
              <w:t>配置效率与产业目标</w:t>
            </w:r>
          </w:p>
        </w:tc>
        <w:tc>
          <w:tcPr>
            <w:tcW w:type="dxa" w:w="1417"/>
            <w:vAlign w:val="center"/>
          </w:tcPr>
          <w:p>
            <w:pPr>
              <w:spacing w:line="240" w:lineRule="auto" w:after="20" w:before="20"/>
              <w:jc w:val="left"/>
            </w:pPr>
            <w:r/>
            <w:r>
              <w:rPr>
                <w:rFonts w:ascii="宋体" w:hAnsi="宋体" w:eastAsia="宋体"/>
                <w:sz w:val="21"/>
              </w:rPr>
              <w:t>补贴锁定难以退出；</w:t>
              <w:br/>
              <w:t>属地绑定造成分割</w:t>
            </w:r>
          </w:p>
        </w:tc>
        <w:tc>
          <w:tcPr>
            <w:tcW w:type="dxa" w:w="1417"/>
            <w:vAlign w:val="center"/>
          </w:tcPr>
          <w:p>
            <w:pPr>
              <w:spacing w:line="240" w:lineRule="auto" w:after="20" w:before="20"/>
              <w:jc w:val="left"/>
            </w:pPr>
            <w:r/>
            <w:r>
              <w:rPr>
                <w:rFonts w:ascii="宋体" w:hAnsi="宋体" w:eastAsia="宋体"/>
                <w:sz w:val="21"/>
              </w:rPr>
              <w:t>上海市软信业「十五五」</w:t>
              <w:br/>
              <w:t>规划技改支持方向</w:t>
              <w:br/>
              <w:t>（2026-08-11）</w:t>
            </w:r>
          </w:p>
        </w:tc>
      </w:tr>
    </w:tbl>
    <w:p>
      <w:pPr>
        <w:spacing w:after="200" w:line="240" w:lineRule="auto"/>
        <w:jc w:val="both"/>
      </w:pPr>
      <w:r>
        <w:rPr>
          <w:rFonts w:ascii="宋体" w:hAnsi="宋体" w:eastAsia="宋体"/>
          <w:sz w:val="18"/>
        </w:rPr>
        <w:t>注：核心存量资产与比较优势职能的划分对应图10.1的四类资产禀赋；典型实践栏的机构名称、启动时点与运营边界依据公开报道，其中嘉兴一栏的运营主体特指面向市场的统一服务窗口，运营中心本身由市级统筹、多方共建，温州一栏的具体运营主体为国资控股的专业运营公司。各地自定的能力清单（嘉兴「五个统一」、温州「六个统一」、苏州「六大类服务」、广东五大服务能力）分属平台治理能力、服务菜单与交易场所职能三种不同性质，条目数不构成可比的能力评分。资料来源：公开报道与政策文件，检索截至2026年8月。</w:t>
      </w:r>
    </w:p>
    <w:p>
      <w:pPr>
        <w:spacing w:line="360" w:lineRule="auto" w:after="0"/>
        <w:ind w:firstLineChars="200" w:firstLine="480"/>
        <w:jc w:val="both"/>
      </w:pPr>
      <w:r>
        <w:rPr>
          <w:rFonts w:ascii="宋体" w:hAnsi="宋体" w:eastAsia="宋体"/>
          <w:sz w:val="24"/>
        </w:rPr>
        <w:t>表10.1的横向对照揭示出一条规律：五类主体的激励扭曲风险各不相同，且都指向同一个计量问题。运营商的规模偏向、城投的建设偏向、交易所的交易额偏向，本质上都是「以易于观测的物理量替代难以观测的价值量」；数据集团的权属争议与政策制定者的属地绑定，则是「以主体身份替代客体标准」。两类偏差的共同解药都是可核验的标准词元计量：有了以效值折算为基础的统一计量，运营绩效才能以有效标准词元而非物理词元枚数考核，补贴才能以标准词元当量而非采购金额核定，交易凭证才能与真实调用相互勾稽。这就把 10.4 节的机制设计问题提到了首位——在「五个统一」之中，统一计量不是并列的一项，而是其余四项的共同前置。</w:t>
      </w:r>
    </w:p>
    <w:p>
      <w:pPr>
        <w:keepNext/>
        <w:spacing w:before="160" w:after="120" w:line="360" w:lineRule="auto"/>
        <w:outlineLvl w:val="1"/>
      </w:pPr>
      <w:r>
        <w:rPr>
          <w:rFonts w:ascii="黑体" w:hAnsi="黑体" w:eastAsia="黑体"/>
          <w:sz w:val="28"/>
        </w:rPr>
        <w:t>10.3  城投转型的资产逻辑：存量基础设施资产的再打包</w:t>
      </w:r>
    </w:p>
    <w:p>
      <w:pPr>
        <w:keepNext/>
        <w:spacing w:before="160" w:after="120" w:line="360" w:lineRule="auto"/>
        <w:outlineLvl w:val="2"/>
      </w:pPr>
      <w:r>
        <w:rPr>
          <w:rFonts w:ascii="黑体" w:hAnsi="黑体" w:eastAsia="黑体"/>
          <w:sz w:val="24"/>
        </w:rPr>
        <w:t>10.3.1  转型约束：从建设融资到运营现金流</w:t>
      </w:r>
    </w:p>
    <w:p>
      <w:pPr>
        <w:spacing w:line="360" w:lineRule="auto" w:after="0"/>
        <w:ind w:firstLineChars="200" w:firstLine="480"/>
        <w:jc w:val="both"/>
      </w:pPr>
      <w:r>
        <w:rPr>
          <w:rFonts w:ascii="宋体" w:hAnsi="宋体" w:eastAsia="宋体"/>
          <w:sz w:val="24"/>
        </w:rPr>
        <w:t>五类主体中，城投的转型最具理论意味，也最容易被误读为一次简单的业务延伸。城投的传统模式是「融资—建设—划拨」：以政府信用与土地资源获取融资，形成市政与园区基础设施，再通过财政补偿或资产划拨完成循环。在隐性债务约束趋紧的条件下，这一循环难以为继，城投必须找到能够自我产生经营性现金流的资产运营模式。词元运营恰好提供了这样一条通道：城投持有的机房、变电容量、用地与管廊，本身就是词元生产的必需投入；把这些存量物理资产重新打包为可对外销售的词元产能，等于把一次性建设收入转换为持续性服务收入。智算中心投资对企业全要素生产率的影响研究表明，算力设施的经济效应高度依赖其被使用的方式而非其建成的规模（许诺等，2025），这为城投的转型方向提供了直接依据：决定资产价值的是产能被调度出去的比例，而不是产能本身。</w:t>
      </w:r>
    </w:p>
    <w:p>
      <w:pPr>
        <w:spacing w:line="360" w:lineRule="auto" w:after="0"/>
        <w:ind w:firstLineChars="200" w:firstLine="480"/>
        <w:jc w:val="both"/>
      </w:pPr>
      <w:r>
        <w:rPr>
          <w:rFonts w:ascii="宋体" w:hAnsi="宋体" w:eastAsia="宋体"/>
          <w:sz w:val="24"/>
        </w:rPr>
        <w:t>这里需要厘清一处容易混淆的会计边界。财政部《企业数据资源相关会计处理暂行规定》（财会〔2023〕11 号）为数据资源的确认与计量提供了规范（财政部，2023），企业数据资产化的确认条件与价值评估方法亦有系统讨论（罗玫等，2023）；但词元产能不是数据资源，而是一种服务能力：它既不满足数据资源的可辨认性要求，也不具有可与主体分离的转让价值。城投若以「词元资产入表」的方式虚增资产规模，在会计上缺乏依据，在经济上则会掩盖真实的现金流风险。城投转型的正确表述是资产用途的再配置与收入结构的再造，而不是资产负债表的扩张。</w:t>
      </w:r>
    </w:p>
    <w:p>
      <w:pPr>
        <w:keepNext/>
        <w:spacing w:before="160" w:after="120" w:line="360" w:lineRule="auto"/>
        <w:outlineLvl w:val="2"/>
      </w:pPr>
      <w:r>
        <w:rPr>
          <w:rFonts w:ascii="黑体" w:hAnsi="黑体" w:eastAsia="黑体"/>
          <w:sz w:val="24"/>
        </w:rPr>
        <w:t>10.3.2  从物理资产到标准词元产能的映射</w:t>
      </w:r>
    </w:p>
    <w:p>
      <w:pPr>
        <w:spacing w:line="360" w:lineRule="auto" w:after="0"/>
        <w:ind w:firstLineChars="200" w:firstLine="480"/>
        <w:jc w:val="both"/>
      </w:pPr>
      <w:r>
        <w:rPr>
          <w:rFonts w:ascii="宋体" w:hAnsi="宋体" w:eastAsia="宋体"/>
          <w:sz w:val="24"/>
        </w:rPr>
        <w:t xml:space="preserve">为刻画再打包的资产逻辑，先建立从物理设施到标准词元产能的映射。设城投持有 </w:t>
      </w:r>
      <m:oMath>
        <m:r>
          <m:t>N</m:t>
        </m:r>
      </m:oMath>
      <w:r>
        <w:rPr>
          <w:rFonts w:ascii="宋体" w:hAnsi="宋体" w:eastAsia="宋体"/>
          <w:sz w:val="24"/>
        </w:rPr>
        <w:t xml:space="preserve"> 个机架，单机架的信息技术设备功率为 </w:t>
      </w:r>
      <m:oMath>
        <m:r>
          <m:t>φ</m:t>
        </m:r>
      </m:oMath>
      <w:r>
        <w:rPr>
          <w:rFonts w:ascii="宋体" w:hAnsi="宋体" w:eastAsia="宋体"/>
          <w:sz w:val="24"/>
        </w:rPr>
        <w:t xml:space="preserve">（千瓦），数据中心的电能利用效率为 </w:t>
      </w:r>
      <m:oMath>
        <m:r>
          <m:rPr>
            <m:sty m:val="p"/>
          </m:rPr>
          <m:t>P</m:t>
        </m:r>
        <m:r>
          <m:rPr>
            <m:sty m:val="p"/>
          </m:rPr>
          <m:t>U</m:t>
        </m:r>
        <m:r>
          <m:rPr>
            <m:sty m:val="p"/>
          </m:rPr>
          <m:t>E</m:t>
        </m:r>
      </m:oMath>
      <w:r>
        <w:rPr>
          <w:rFonts w:ascii="宋体" w:hAnsi="宋体" w:eastAsia="宋体"/>
          <w:sz w:val="24"/>
        </w:rPr>
        <w:t xml:space="preserve">，单位功率的算力密度为 </w:t>
      </w:r>
      <m:oMath>
        <m:r>
          <m:t>ζ</m:t>
        </m:r>
      </m:oMath>
      <w:r>
        <w:rPr>
          <w:rFonts w:ascii="宋体" w:hAnsi="宋体" w:eastAsia="宋体"/>
          <w:sz w:val="24"/>
        </w:rPr>
        <w:t xml:space="preserve">（PFLOPS 每千瓦），年运行小时为 </w:t>
      </w:r>
      <m:oMath>
        <m:r>
          <m:t>H</m:t>
        </m:r>
      </m:oMath>
      <w:r>
        <w:rPr>
          <w:rFonts w:ascii="宋体" w:hAnsi="宋体" w:eastAsia="宋体"/>
          <w:sz w:val="24"/>
        </w:rPr>
        <w:t xml:space="preserve">。记第 9 章界定的算力—词元转化效率为 </w:t>
      </w:r>
      <m:oMath>
        <m:r>
          <m:t>θ</m:t>
        </m:r>
      </m:oMath>
      <w:r>
        <w:rPr>
          <w:rFonts w:ascii="宋体" w:hAnsi="宋体" w:eastAsia="宋体"/>
          <w:sz w:val="24"/>
        </w:rPr>
        <w:t>（单位 PFLOPS·h 产出的有效标准词元数），则满负荷条件下的年标准词元产能与年用电量分别为：</w:t>
      </w:r>
    </w:p>
    <w:p>
      <w:pPr>
        <w:tabs>
          <w:tab w:pos="4252" w:val="center"/>
          <w:tab w:pos="8504" w:val="right"/>
        </w:tabs>
        <w:spacing w:line="360" w:lineRule="auto" w:before="80" w:after="80"/>
      </w:pPr>
      <w:r>
        <w:tab/>
      </w:r>
      <m:oMath>
        <m:sSup>
          <m:e>
            <m:acc>
              <m:accPr>
                <m:chr m:val="̃"/>
              </m:accPr>
              <m:e>
                <m:r>
                  <m:t>T</m:t>
                </m:r>
              </m:e>
            </m:acc>
          </m:e>
          <m:sup>
            <m:r>
              <m:rPr>
                <m:sty m:val="p"/>
              </m:rPr>
              <m:t>max</m:t>
            </m:r>
          </m:sup>
        </m:sSup>
        <m:r>
          <m:rPr>
            <m:sty m:val="p"/>
          </m:rPr>
          <m:t>=</m:t>
        </m:r>
        <m:r>
          <m:t>θ</m:t>
        </m:r>
        <m:r>
          <m:t> </m:t>
        </m:r>
        <m:r>
          <m:t>ζ</m:t>
        </m:r>
        <m:r>
          <m:t> </m:t>
        </m:r>
        <m:r>
          <m:t>φ</m:t>
        </m:r>
        <m:r>
          <m:t> </m:t>
        </m:r>
        <m:r>
          <m:t>H</m:t>
        </m:r>
        <m:r>
          <m:t> </m:t>
        </m:r>
        <m:r>
          <m:t>N</m:t>
        </m:r>
        <m:r>
          <m:rPr>
            <m:sty m:val="p"/>
          </m:rPr>
          <m:t>,</m:t>
        </m:r>
        <m:r>
          <m:t>  </m:t>
        </m:r>
        <m:r>
          <m:t>E</m:t>
        </m:r>
        <m:r>
          <m:rPr>
            <m:sty m:val="p"/>
          </m:rPr>
          <m:t>=</m:t>
        </m:r>
        <m:r>
          <m:t>φ</m:t>
        </m:r>
        <m:r>
          <m:t> </m:t>
        </m:r>
        <m:r>
          <m:rPr>
            <m:sty m:val="p"/>
          </m:rPr>
          <m:t>P</m:t>
        </m:r>
        <m:r>
          <m:rPr>
            <m:sty m:val="p"/>
          </m:rPr>
          <m:t>U</m:t>
        </m:r>
        <m:r>
          <m:rPr>
            <m:sty m:val="p"/>
          </m:rPr>
          <m:t>E</m:t>
        </m:r>
        <m:r>
          <m:t> </m:t>
        </m:r>
        <m:r>
          <m:t>H</m:t>
        </m:r>
        <m:r>
          <m:t> </m:t>
        </m:r>
        <m:r>
          <m:t>N</m:t>
        </m:r>
      </m:oMath>
      <w:r>
        <w:tab/>
      </w:r>
      <w:r>
        <w:rPr>
          <w:rFonts w:ascii="Times New Roman" w:hAnsi="Times New Roman" w:eastAsia="宋体"/>
          <w:sz w:val="24"/>
        </w:rPr>
        <w:t>(10-1)</w:t>
      </w:r>
    </w:p>
    <w:p>
      <w:pPr>
        <w:spacing w:line="360" w:lineRule="auto" w:after="0"/>
        <w:jc w:val="both"/>
      </w:pPr>
      <w:r>
        <w:rPr>
          <w:rFonts w:ascii="宋体" w:hAnsi="宋体" w:eastAsia="宋体"/>
          <w:sz w:val="24"/>
        </w:rPr>
        <w:t>其中，</w:t>
      </w:r>
      <m:oMath>
        <m:sSup>
          <m:e>
            <m:acc>
              <m:accPr>
                <m:chr m:val="̃"/>
              </m:accPr>
              <m:e>
                <m:r>
                  <m:t>T</m:t>
                </m:r>
              </m:e>
            </m:acc>
          </m:e>
          <m:sup>
            <m:r>
              <m:rPr>
                <m:sty m:val="p"/>
              </m:rPr>
              <m:t>max</m:t>
            </m:r>
          </m:sup>
        </m:sSup>
      </m:oMath>
      <w:r>
        <w:rPr>
          <w:rFonts w:ascii="宋体" w:hAnsi="宋体" w:eastAsia="宋体"/>
          <w:sz w:val="24"/>
        </w:rPr>
        <w:t>为满负荷标准词元产能（枚），</w:t>
      </w:r>
      <m:oMath>
        <m:r>
          <m:t>E</m:t>
        </m:r>
      </m:oMath>
      <w:r>
        <w:rPr>
          <w:rFonts w:ascii="宋体" w:hAnsi="宋体" w:eastAsia="宋体"/>
          <w:sz w:val="24"/>
        </w:rPr>
        <w:t xml:space="preserve">为年用电量（千瓦时）；两式共用同一组物理参数 </w:t>
      </w:r>
      <m:oMath>
        <m:d>
          <m:dPr>
            <m:begChr m:val="("/>
            <m:endChr m:val=")"/>
            <m:grow/>
          </m:dPr>
          <m:e>
            <m:r>
              <m:t>φ</m:t>
            </m:r>
            <m:r>
              <m:rPr>
                <m:sty m:val="p"/>
              </m:rPr>
              <m:t>,</m:t>
            </m:r>
            <m:r>
              <m:t>H</m:t>
            </m:r>
            <m:r>
              <m:rPr>
                <m:sty m:val="p"/>
              </m:rPr>
              <m:t>,</m:t>
            </m:r>
            <m:r>
              <m:t>N</m:t>
            </m:r>
          </m:e>
        </m:d>
      </m:oMath>
      <w:r>
        <w:rPr>
          <w:rFonts w:ascii="宋体" w:hAnsi="宋体" w:eastAsia="宋体"/>
          <w:sz w:val="24"/>
        </w:rPr>
        <w:t>，因而产能与能耗被同一批存量资产同时决定，这正是词元生产的资产密集特征。</w:t>
      </w:r>
    </w:p>
    <w:p>
      <w:pPr>
        <w:spacing w:line="360" w:lineRule="auto" w:after="0"/>
        <w:ind w:firstLineChars="200" w:firstLine="480"/>
        <w:jc w:val="both"/>
      </w:pPr>
      <w:r>
        <w:rPr>
          <w:rFonts w:ascii="宋体" w:hAnsi="宋体" w:eastAsia="宋体"/>
          <w:sz w:val="24"/>
        </w:rPr>
        <w:t xml:space="preserve">式(10-1)的第一层含义是产能的技术上限由三个乘子决定：物理规模 </w:t>
      </w:r>
      <m:oMath>
        <m:r>
          <m:t>φ</m:t>
        </m:r>
        <m:r>
          <m:t>H</m:t>
        </m:r>
        <m:r>
          <m:t>N</m:t>
        </m:r>
      </m:oMath>
      <w:r>
        <w:rPr>
          <w:rFonts w:ascii="宋体" w:hAnsi="宋体" w:eastAsia="宋体"/>
          <w:sz w:val="24"/>
        </w:rPr>
        <w:t xml:space="preserve">、工程效率 </w:t>
      </w:r>
      <m:oMath>
        <m:r>
          <m:t>ζ</m:t>
        </m:r>
      </m:oMath>
      <w:r>
        <w:rPr>
          <w:rFonts w:ascii="宋体" w:hAnsi="宋体" w:eastAsia="宋体"/>
          <w:sz w:val="24"/>
        </w:rPr>
        <w:t xml:space="preserve"> 与转化效率 </w:t>
      </w:r>
      <m:oMath>
        <m:r>
          <m:t>θ</m:t>
        </m:r>
      </m:oMath>
      <w:r>
        <w:rPr>
          <w:rFonts w:ascii="宋体" w:hAnsi="宋体" w:eastAsia="宋体"/>
          <w:sz w:val="24"/>
        </w:rPr>
        <w:t xml:space="preserve">。城投能够直接支配的是第一个乘子，而后两个乘子分别掌握在设备供应商与模型运营方手中——这就从技术上解释了为什么城投必须与运营商、模型方共建：单靠存量资产只能贡献产能的一个乘子。第二层含义是产能与能耗的同源性：单位标准词元的能耗强度等于 </w:t>
      </w:r>
      <m:oMath>
        <m:r>
          <m:t>E</m:t>
        </m:r>
        <m:r>
          <m:rPr>
            <m:sty m:val="p"/>
          </m:rPr>
          <m:t>/</m:t>
        </m:r>
        <m:sSup>
          <m:e>
            <m:acc>
              <m:accPr>
                <m:chr m:val="̃"/>
              </m:accPr>
              <m:e>
                <m:r>
                  <m:t>T</m:t>
                </m:r>
              </m:e>
            </m:acc>
          </m:e>
          <m:sup>
            <m:r>
              <m:rPr>
                <m:sty m:val="p"/>
              </m:rPr>
              <m:t>max</m:t>
            </m:r>
          </m:sup>
        </m:sSup>
        <m:r>
          <m:rPr>
            <m:sty m:val="p"/>
          </m:rPr>
          <m:t>=</m:t>
        </m:r>
        <m:r>
          <m:rPr>
            <m:sty m:val="p"/>
          </m:rPr>
          <m:t>P</m:t>
        </m:r>
        <m:r>
          <m:rPr>
            <m:sty m:val="p"/>
          </m:rPr>
          <m:t>U</m:t>
        </m:r>
        <m:r>
          <m:rPr>
            <m:sty m:val="p"/>
          </m:rPr>
          <m:t>E</m:t>
        </m:r>
        <m:r>
          <m:rPr>
            <m:sty m:val="p"/>
          </m:rPr>
          <m:t>/</m:t>
        </m:r>
        <m:d>
          <m:dPr>
            <m:begChr m:val="("/>
            <m:endChr m:val=")"/>
            <m:grow/>
          </m:dPr>
          <m:e>
            <m:r>
              <m:t>θ</m:t>
            </m:r>
            <m:r>
              <m:t>ζ</m:t>
            </m:r>
          </m:e>
        </m:d>
      </m:oMath>
      <w:r>
        <w:rPr>
          <w:rFonts w:ascii="宋体" w:hAnsi="宋体" w:eastAsia="宋体"/>
          <w:sz w:val="24"/>
        </w:rPr>
        <w:t>，与机架数无关。它意味着扩大规模不会改善能耗强度，唯有提高转化效率与算力密度、降低 PUE 才能改善；这一结论是第 11 章绿色词元核算的资产侧基础，也提示城投的「以量补价」策略在碳约束下不可持续。</w:t>
      </w:r>
    </w:p>
    <w:p>
      <w:pPr>
        <w:spacing w:line="360" w:lineRule="auto" w:after="0"/>
        <w:ind w:firstLineChars="200" w:firstLine="480"/>
        <w:jc w:val="both"/>
      </w:pPr>
      <w:r>
        <w:rPr>
          <w:rFonts w:ascii="宋体" w:hAnsi="宋体" w:eastAsia="宋体"/>
          <w:sz w:val="24"/>
        </w:rPr>
        <w:t xml:space="preserve">接下来比较两种商业模式的年净收益。传统模式是机架托管出租：设单机架年租金为 </w:t>
      </w:r>
      <m:oMath>
        <m:r>
          <m:t>ρ</m:t>
        </m:r>
      </m:oMath>
      <w:r>
        <w:rPr>
          <w:rFonts w:ascii="宋体" w:hAnsi="宋体" w:eastAsia="宋体"/>
          <w:sz w:val="24"/>
        </w:rPr>
        <w:t xml:space="preserve">、单机架年运维与折旧为 </w:t>
      </w:r>
      <m:oMath>
        <m:r>
          <m:t>f</m:t>
        </m:r>
      </m:oMath>
      <w:r>
        <w:rPr>
          <w:rFonts w:ascii="宋体" w:hAnsi="宋体" w:eastAsia="宋体"/>
          <w:sz w:val="24"/>
        </w:rPr>
        <w:t xml:space="preserve">。词元运营模式则是自建或代管智算设备、以标准词元价格 </w:t>
      </w:r>
      <m:oMath>
        <m:acc>
          <m:accPr>
            <m:chr m:val="̃"/>
          </m:accPr>
          <m:e>
            <m:r>
              <m:t>p</m:t>
            </m:r>
          </m:e>
        </m:acc>
      </m:oMath>
      <w:r>
        <w:rPr>
          <w:rFonts w:ascii="宋体" w:hAnsi="宋体" w:eastAsia="宋体"/>
          <w:sz w:val="24"/>
        </w:rPr>
        <w:t xml:space="preserve"> 对外销售：设单位标准词元的可变成本为 </w:t>
      </w:r>
      <m:oMath>
        <m:sSub>
          <m:e>
            <m:r>
              <m:t>c</m:t>
            </m:r>
          </m:e>
          <m:sub>
            <m:r>
              <m:t>v</m:t>
            </m:r>
          </m:sub>
        </m:sSub>
      </m:oMath>
      <w:r>
        <w:rPr>
          <w:rFonts w:ascii="宋体" w:hAnsi="宋体" w:eastAsia="宋体"/>
          <w:sz w:val="24"/>
        </w:rPr>
        <w:t xml:space="preserve">（含电费与推理服务的其他可变投入），年固定成本为 </w:t>
      </w:r>
      <m:oMath>
        <m:r>
          <m:t>F</m:t>
        </m:r>
      </m:oMath>
      <w:r>
        <w:rPr>
          <w:rFonts w:ascii="宋体" w:hAnsi="宋体" w:eastAsia="宋体"/>
          <w:sz w:val="24"/>
        </w:rPr>
        <w:t xml:space="preserve">（含智算设备折旧、平台建设与运营团队），实际有效效值利用率为 </w:t>
      </w:r>
      <m:oMath>
        <m:r>
          <m:t>u</m:t>
        </m:r>
      </m:oMath>
      <w:r>
        <w:rPr>
          <w:rFonts w:ascii="宋体" w:hAnsi="宋体" w:eastAsia="宋体"/>
          <w:sz w:val="24"/>
        </w:rPr>
        <w:t>。两种模式的年净收益分别为：</w:t>
      </w:r>
    </w:p>
    <w:p>
      <w:pPr>
        <w:tabs>
          <w:tab w:pos="4252" w:val="center"/>
          <w:tab w:pos="8504" w:val="right"/>
        </w:tabs>
        <w:spacing w:line="360" w:lineRule="auto" w:before="80" w:after="80"/>
      </w:pPr>
      <w:r>
        <w:tab/>
      </w:r>
      <m:oMath>
        <m:sSup>
          <m:e>
            <m:r>
              <m:t>π</m:t>
            </m:r>
          </m:e>
          <m:sup>
            <m:r>
              <m:t>L</m:t>
            </m:r>
          </m:sup>
        </m:sSup>
        <m:r>
          <m:rPr>
            <m:sty m:val="p"/>
          </m:rPr>
          <m:t>=</m:t>
        </m:r>
        <m:d>
          <m:dPr>
            <m:begChr m:val="("/>
            <m:endChr m:val=")"/>
            <m:grow/>
          </m:dPr>
          <m:e>
            <m:r>
              <m:t>ρ</m:t>
            </m:r>
            <m:r>
              <m:rPr>
                <m:sty m:val="p"/>
              </m:rPr>
              <m:t>−</m:t>
            </m:r>
            <m:r>
              <m:t>f</m:t>
            </m:r>
          </m:e>
        </m:d>
        <m:r>
          <m:t> </m:t>
        </m:r>
        <m:r>
          <m:t>N</m:t>
        </m:r>
        <m:r>
          <m:rPr>
            <m:sty m:val="p"/>
          </m:rPr>
          <m:t>,</m:t>
        </m:r>
        <m:r>
          <m:t>  </m:t>
        </m:r>
        <m:sSup>
          <m:e>
            <m:r>
              <m:t>π</m:t>
            </m:r>
          </m:e>
          <m:sup>
            <m:r>
              <m:t>T</m:t>
            </m:r>
          </m:sup>
        </m:sSup>
        <m:r>
          <m:rPr>
            <m:sty m:val="p"/>
          </m:rPr>
          <m:t>=</m:t>
        </m:r>
        <m:d>
          <m:dPr>
            <m:begChr m:val="("/>
            <m:endChr m:val=")"/>
            <m:grow/>
          </m:dPr>
          <m:e>
            <m:acc>
              <m:accPr>
                <m:chr m:val="̃"/>
              </m:accPr>
              <m:e>
                <m:r>
                  <m:t>p</m:t>
                </m:r>
              </m:e>
            </m:acc>
            <m:r>
              <m:rPr>
                <m:sty m:val="p"/>
              </m:rPr>
              <m:t>−</m:t>
            </m:r>
            <m:sSub>
              <m:e>
                <m:r>
                  <m:t>c</m:t>
                </m:r>
              </m:e>
              <m:sub>
                <m:r>
                  <m:t>v</m:t>
                </m:r>
              </m:sub>
            </m:sSub>
          </m:e>
        </m:d>
        <m:r>
          <m:t> </m:t>
        </m:r>
        <m:r>
          <m:t>u</m:t>
        </m:r>
        <m:r>
          <m:t> </m:t>
        </m:r>
        <m:sSup>
          <m:e>
            <m:acc>
              <m:accPr>
                <m:chr m:val="̃"/>
              </m:accPr>
              <m:e>
                <m:r>
                  <m:t>T</m:t>
                </m:r>
              </m:e>
            </m:acc>
          </m:e>
          <m:sup>
            <m:r>
              <m:rPr>
                <m:sty m:val="p"/>
              </m:rPr>
              <m:t>max</m:t>
            </m:r>
          </m:sup>
        </m:sSup>
        <m:r>
          <m:rPr>
            <m:sty m:val="p"/>
          </m:rPr>
          <m:t>−</m:t>
        </m:r>
        <m:r>
          <m:t>F</m:t>
        </m:r>
      </m:oMath>
      <w:r>
        <w:tab/>
      </w:r>
      <w:r>
        <w:rPr>
          <w:rFonts w:ascii="Times New Roman" w:hAnsi="Times New Roman" w:eastAsia="宋体"/>
          <w:sz w:val="24"/>
        </w:rPr>
        <w:t>(10-2)</w:t>
      </w:r>
    </w:p>
    <w:p>
      <w:pPr>
        <w:spacing w:line="360" w:lineRule="auto" w:after="0"/>
        <w:jc w:val="both"/>
      </w:pPr>
      <w:r>
        <w:rPr>
          <w:rFonts w:ascii="宋体" w:hAnsi="宋体" w:eastAsia="宋体"/>
          <w:sz w:val="24"/>
        </w:rPr>
        <w:t>其中，</w:t>
      </w:r>
      <m:oMath>
        <m:sSup>
          <m:e>
            <m:r>
              <m:t>π</m:t>
            </m:r>
          </m:e>
          <m:sup>
            <m:r>
              <m:t>L</m:t>
            </m:r>
          </m:sup>
        </m:sSup>
      </m:oMath>
      <w:r>
        <w:rPr>
          <w:rFonts w:ascii="宋体" w:hAnsi="宋体" w:eastAsia="宋体"/>
          <w:sz w:val="24"/>
        </w:rPr>
        <w:t>为托管出租模式的年净收益，</w:t>
      </w:r>
      <m:oMath>
        <m:sSup>
          <m:e>
            <m:r>
              <m:t>π</m:t>
            </m:r>
          </m:e>
          <m:sup>
            <m:r>
              <m:t>T</m:t>
            </m:r>
          </m:sup>
        </m:sSup>
      </m:oMath>
      <w:r>
        <w:rPr>
          <w:rFonts w:ascii="宋体" w:hAnsi="宋体" w:eastAsia="宋体"/>
          <w:sz w:val="24"/>
        </w:rPr>
        <w:t>为词元运营模式的年净收益；</w:t>
      </w:r>
      <m:oMath>
        <m:r>
          <m:t>u</m:t>
        </m:r>
        <m:r>
          <m:rPr>
            <m:sty m:val="p"/>
          </m:rPr>
          <m:t>∈</m:t>
        </m:r>
        <m:d>
          <m:dPr>
            <m:begChr m:val="["/>
            <m:endChr m:val="]"/>
            <m:grow/>
          </m:dPr>
          <m:e>
            <m:r>
              <m:t>0</m:t>
            </m:r>
            <m:r>
              <m:rPr>
                <m:sty m:val="p"/>
              </m:rPr>
              <m:t>,</m:t>
            </m:r>
            <m:r>
              <m:t>1</m:t>
            </m:r>
          </m:e>
        </m:d>
      </m:oMath>
      <w:r>
        <w:rPr>
          <w:rFonts w:ascii="宋体" w:hAnsi="宋体" w:eastAsia="宋体"/>
          <w:sz w:val="24"/>
        </w:rPr>
        <w:t>为第 9 章界定的有效效值利用率，即实际产出的有效标准词元占满负荷产能之比。</w:t>
      </w:r>
    </w:p>
    <w:p>
      <w:pPr>
        <w:keepNext/>
        <w:spacing w:before="160" w:after="120" w:line="360" w:lineRule="auto"/>
        <w:outlineLvl w:val="2"/>
      </w:pPr>
      <w:r>
        <w:rPr>
          <w:rFonts w:ascii="黑体" w:hAnsi="黑体" w:eastAsia="黑体"/>
          <w:sz w:val="24"/>
        </w:rPr>
        <w:t>10.3.3  盈亏平衡利用率、比较静态与价格压力测试</w:t>
      </w:r>
    </w:p>
    <w:p>
      <w:pPr>
        <w:spacing w:line="360" w:lineRule="auto" w:after="0"/>
        <w:ind w:firstLineChars="200" w:firstLine="480"/>
        <w:jc w:val="both"/>
      </w:pPr>
      <w:r>
        <w:rPr>
          <w:rFonts w:ascii="宋体" w:hAnsi="宋体" w:eastAsia="宋体"/>
          <w:sz w:val="24"/>
        </w:rPr>
        <w:t xml:space="preserve">转型的可行条件是 </w:t>
      </w:r>
      <m:oMath>
        <m:sSup>
          <m:e>
            <m:r>
              <m:t>π</m:t>
            </m:r>
          </m:e>
          <m:sup>
            <m:r>
              <m:t>T</m:t>
            </m:r>
          </m:sup>
        </m:sSup>
        <m:r>
          <m:rPr>
            <m:sty m:val="p"/>
          </m:rPr>
          <m:t>≥</m:t>
        </m:r>
        <m:sSup>
          <m:e>
            <m:r>
              <m:t>π</m:t>
            </m:r>
          </m:e>
          <m:sup>
            <m:r>
              <m:t>L</m:t>
            </m:r>
          </m:sup>
        </m:sSup>
      </m:oMath>
      <w:r>
        <w:rPr>
          <w:rFonts w:ascii="宋体" w:hAnsi="宋体" w:eastAsia="宋体"/>
          <w:sz w:val="24"/>
        </w:rPr>
        <w:t xml:space="preserve">，即词元运营的净收益不低于托管出租这一机会成本。将式(10-2)代入并对 </w:t>
      </w:r>
      <m:oMath>
        <m:r>
          <m:t>u</m:t>
        </m:r>
      </m:oMath>
      <w:r>
        <w:rPr>
          <w:rFonts w:ascii="宋体" w:hAnsi="宋体" w:eastAsia="宋体"/>
          <w:sz w:val="24"/>
        </w:rPr>
        <w:t xml:space="preserve"> 求解，得到转型的盈亏平衡利用率：</w:t>
      </w:r>
    </w:p>
    <w:p>
      <w:pPr>
        <w:tabs>
          <w:tab w:pos="4252" w:val="center"/>
          <w:tab w:pos="8504" w:val="right"/>
        </w:tabs>
        <w:spacing w:line="360" w:lineRule="auto" w:before="80" w:after="80"/>
      </w:pPr>
      <w:r>
        <w:tab/>
      </w:r>
      <m:oMath>
        <m:sSup>
          <m:e>
            <m:r>
              <m:t>u</m:t>
            </m:r>
          </m:e>
          <m:sup>
            <m:r>
              <m:t>c</m:t>
            </m:r>
          </m:sup>
        </m:sSup>
        <m:r>
          <m:rPr>
            <m:sty m:val="p"/>
          </m:rPr>
          <m:t>=</m:t>
        </m:r>
        <m:f>
          <m:fPr>
            <m:type m:val="bar"/>
          </m:fPr>
          <m:num>
            <m:r>
              <m:t>F</m:t>
            </m:r>
            <m:r>
              <m:rPr>
                <m:sty m:val="p"/>
              </m:rPr>
              <m:t>/</m:t>
            </m:r>
            <m:sSup>
              <m:e>
                <m:acc>
                  <m:accPr>
                    <m:chr m:val="̃"/>
                  </m:accPr>
                  <m:e>
                    <m:r>
                      <m:t>T</m:t>
                    </m:r>
                  </m:e>
                </m:acc>
              </m:e>
              <m:sup>
                <m:r>
                  <m:rPr>
                    <m:sty m:val="p"/>
                  </m:rPr>
                  <m:t>max</m:t>
                </m:r>
              </m:sup>
            </m:sSup>
            <m:r>
              <m:rPr>
                <m:sty m:val="p"/>
              </m:rPr>
              <m:t>+</m:t>
            </m:r>
            <m:r>
              <m:t>ω</m:t>
            </m:r>
          </m:num>
          <m:den>
            <m:acc>
              <m:accPr>
                <m:chr m:val="̃"/>
              </m:accPr>
              <m:e>
                <m:r>
                  <m:t>p</m:t>
                </m:r>
              </m:e>
            </m:acc>
            <m:r>
              <m:rPr>
                <m:sty m:val="p"/>
              </m:rPr>
              <m:t>−</m:t>
            </m:r>
            <m:sSub>
              <m:e>
                <m:r>
                  <m:t>c</m:t>
                </m:r>
              </m:e>
              <m:sub>
                <m:r>
                  <m:t>v</m:t>
                </m:r>
              </m:sub>
            </m:sSub>
          </m:den>
        </m:f>
        <m:r>
          <m:rPr>
            <m:sty m:val="p"/>
          </m:rPr>
          <m:t>,</m:t>
        </m:r>
        <m:r>
          <m:t>  </m:t>
        </m:r>
        <m:r>
          <m:t>ω</m:t>
        </m:r>
        <m:r>
          <m:rPr>
            <m:sty m:val="p"/>
          </m:rPr>
          <m:t>≡</m:t>
        </m:r>
        <m:f>
          <m:fPr>
            <m:type m:val="bar"/>
          </m:fPr>
          <m:num>
            <m:d>
              <m:dPr>
                <m:begChr m:val="("/>
                <m:endChr m:val=")"/>
                <m:grow/>
              </m:dPr>
              <m:e>
                <m:r>
                  <m:t>ρ</m:t>
                </m:r>
                <m:r>
                  <m:rPr>
                    <m:sty m:val="p"/>
                  </m:rPr>
                  <m:t>−</m:t>
                </m:r>
                <m:r>
                  <m:t>f</m:t>
                </m:r>
              </m:e>
            </m:d>
            <m:r>
              <m:t>N</m:t>
            </m:r>
          </m:num>
          <m:den>
            <m:sSup>
              <m:e>
                <m:acc>
                  <m:accPr>
                    <m:chr m:val="̃"/>
                  </m:accPr>
                  <m:e>
                    <m:r>
                      <m:t>T</m:t>
                    </m:r>
                  </m:e>
                </m:acc>
              </m:e>
              <m:sup>
                <m:r>
                  <m:rPr>
                    <m:sty m:val="p"/>
                  </m:rPr>
                  <m:t>max</m:t>
                </m:r>
              </m:sup>
            </m:sSup>
          </m:den>
        </m:f>
        <m:r>
          <m:rPr>
            <m:sty m:val="p"/>
          </m:rPr>
          <m:t>=</m:t>
        </m:r>
        <m:f>
          <m:fPr>
            <m:type m:val="bar"/>
          </m:fPr>
          <m:num>
            <m:r>
              <m:t>ρ</m:t>
            </m:r>
            <m:r>
              <m:rPr>
                <m:sty m:val="p"/>
              </m:rPr>
              <m:t>−</m:t>
            </m:r>
            <m:r>
              <m:t>f</m:t>
            </m:r>
          </m:num>
          <m:den>
            <m:r>
              <m:t>θ</m:t>
            </m:r>
            <m:r>
              <m:t>ζ</m:t>
            </m:r>
            <m:r>
              <m:t>φ</m:t>
            </m:r>
            <m:r>
              <m:t>H</m:t>
            </m:r>
          </m:den>
        </m:f>
      </m:oMath>
      <w:r>
        <w:tab/>
      </w:r>
      <w:r>
        <w:rPr>
          <w:rFonts w:ascii="Times New Roman" w:hAnsi="Times New Roman" w:eastAsia="宋体"/>
          <w:sz w:val="24"/>
        </w:rPr>
        <w:t>(10-3)</w:t>
      </w:r>
    </w:p>
    <w:p>
      <w:pPr>
        <w:spacing w:line="360" w:lineRule="auto" w:after="0"/>
        <w:jc w:val="both"/>
      </w:pPr>
      <w:r>
        <w:rPr>
          <w:rFonts w:ascii="宋体" w:hAnsi="宋体" w:eastAsia="宋体"/>
          <w:sz w:val="24"/>
        </w:rPr>
        <w:t>其中，</w:t>
      </w:r>
      <m:oMath>
        <m:sSup>
          <m:e>
            <m:r>
              <m:t>u</m:t>
            </m:r>
          </m:e>
          <m:sup>
            <m:r>
              <m:t>c</m:t>
            </m:r>
          </m:sup>
        </m:sSup>
      </m:oMath>
      <w:r>
        <w:rPr>
          <w:rFonts w:ascii="宋体" w:hAnsi="宋体" w:eastAsia="宋体"/>
          <w:sz w:val="24"/>
        </w:rPr>
        <w:t>为盈亏平衡利用率，</w:t>
      </w:r>
      <m:oMath>
        <m:r>
          <m:t>ω</m:t>
        </m:r>
      </m:oMath>
      <w:r>
        <w:rPr>
          <w:rFonts w:ascii="宋体" w:hAnsi="宋体" w:eastAsia="宋体"/>
          <w:sz w:val="24"/>
        </w:rPr>
        <w:t xml:space="preserve">为折算到单位满负荷产能上的机会成本，即放弃托管出租所损失的单位产能收益；当 </w:t>
      </w:r>
      <m:oMath>
        <m:r>
          <m:t>u</m:t>
        </m:r>
        <m:r>
          <m:rPr>
            <m:sty m:val="p"/>
          </m:rPr>
          <m:t>&gt;</m:t>
        </m:r>
        <m:sSup>
          <m:e>
            <m:r>
              <m:t>u</m:t>
            </m:r>
          </m:e>
          <m:sup>
            <m:r>
              <m:t>c</m:t>
            </m:r>
          </m:sup>
        </m:sSup>
      </m:oMath>
      <w:r>
        <w:rPr>
          <w:rFonts w:ascii="宋体" w:hAnsi="宋体" w:eastAsia="宋体"/>
          <w:sz w:val="24"/>
        </w:rPr>
        <w:t xml:space="preserve"> 时转型创造价值，反之则毁灭价值。</w:t>
      </w:r>
    </w:p>
    <w:p>
      <w:pPr>
        <w:spacing w:line="360" w:lineRule="auto" w:after="0"/>
        <w:ind w:firstLineChars="200" w:firstLine="480"/>
        <w:jc w:val="both"/>
      </w:pPr>
      <w:r>
        <w:rPr>
          <w:rFonts w:ascii="宋体" w:hAnsi="宋体" w:eastAsia="宋体"/>
          <w:sz w:val="24"/>
        </w:rPr>
        <w:t>式(10-3)的比较静态给出四条清晰的结论。第一，</w:t>
      </w:r>
      <m:oMath>
        <m:r>
          <m:rPr>
            <m:sty m:val="p"/>
          </m:rPr>
          <m:t>∂</m:t>
        </m:r>
        <m:sSup>
          <m:e>
            <m:r>
              <m:t>u</m:t>
            </m:r>
          </m:e>
          <m:sup>
            <m:r>
              <m:t>c</m:t>
            </m:r>
          </m:sup>
        </m:sSup>
        <m:r>
          <m:rPr>
            <m:sty m:val="p"/>
          </m:rPr>
          <m:t>/</m:t>
        </m:r>
        <m:r>
          <m:rPr>
            <m:sty m:val="p"/>
          </m:rPr>
          <m:t>∂</m:t>
        </m:r>
        <m:r>
          <m:t>θ</m:t>
        </m:r>
        <m:r>
          <m:rPr>
            <m:sty m:val="p"/>
          </m:rPr>
          <m:t>&lt;</m:t>
        </m:r>
        <m:r>
          <m:t>0</m:t>
        </m:r>
      </m:oMath>
      <w:r>
        <w:rPr>
          <w:rFonts w:ascii="宋体" w:hAnsi="宋体" w:eastAsia="宋体"/>
          <w:sz w:val="24"/>
        </w:rPr>
        <w:t>：转化效率越高，同样的固定成本被摊薄在更多标准词元上，转型门槛越低——这把第 9 章的效率议题直接变成了城投的财务议题。第二，</w:t>
      </w:r>
      <m:oMath>
        <m:r>
          <m:rPr>
            <m:sty m:val="p"/>
          </m:rPr>
          <m:t>∂</m:t>
        </m:r>
        <m:sSup>
          <m:e>
            <m:r>
              <m:t>u</m:t>
            </m:r>
          </m:e>
          <m:sup>
            <m:r>
              <m:t>c</m:t>
            </m:r>
          </m:sup>
        </m:sSup>
        <m:r>
          <m:rPr>
            <m:sty m:val="p"/>
          </m:rPr>
          <m:t>/</m:t>
        </m:r>
        <m:r>
          <m:rPr>
            <m:sty m:val="p"/>
          </m:rPr>
          <m:t>∂</m:t>
        </m:r>
        <m:acc>
          <m:accPr>
            <m:chr m:val="̃"/>
          </m:accPr>
          <m:e>
            <m:r>
              <m:t>p</m:t>
            </m:r>
          </m:e>
        </m:acc>
        <m:r>
          <m:rPr>
            <m:sty m:val="p"/>
          </m:rPr>
          <m:t>&lt;</m:t>
        </m:r>
        <m:r>
          <m:t>0</m:t>
        </m:r>
      </m:oMath>
      <w:r>
        <w:rPr>
          <w:rFonts w:ascii="宋体" w:hAnsi="宋体" w:eastAsia="宋体"/>
          <w:sz w:val="24"/>
        </w:rPr>
        <w:t>：标准词元价格下行会抬高门槛，而第 7 章编制的价格指数显示，2024 年第一季度至 2026 年第二季度，物理词元价格指数由100降至21，累计降幅79%，标准词元价格指数同期降至47，降幅53%——门槛正在被持续抬高。第三，</w:t>
      </w:r>
      <m:oMath>
        <m:r>
          <m:rPr>
            <m:sty m:val="p"/>
          </m:rPr>
          <m:t>∂</m:t>
        </m:r>
        <m:sSup>
          <m:e>
            <m:r>
              <m:t>u</m:t>
            </m:r>
          </m:e>
          <m:sup>
            <m:r>
              <m:t>c</m:t>
            </m:r>
          </m:sup>
        </m:sSup>
        <m:r>
          <m:rPr>
            <m:sty m:val="p"/>
          </m:rPr>
          <m:t>/</m:t>
        </m:r>
        <m:r>
          <m:rPr>
            <m:sty m:val="p"/>
          </m:rPr>
          <m:t>∂</m:t>
        </m:r>
        <m:r>
          <m:t>ρ</m:t>
        </m:r>
        <m:r>
          <m:rPr>
            <m:sty m:val="p"/>
          </m:rPr>
          <m:t>&gt;</m:t>
        </m:r>
        <m:r>
          <m:t>0</m:t>
        </m:r>
      </m:oMath>
      <w:r>
        <w:rPr>
          <w:rFonts w:ascii="宋体" w:hAnsi="宋体" w:eastAsia="宋体"/>
          <w:sz w:val="24"/>
        </w:rPr>
        <w:t xml:space="preserve">：机架托管市场越景气，转型的机会成本越高，门槛越高；这解释了一个看似反常的现象——托管租金最高的城市反而最不容易出现城投主导的词元运营中心。第四，把 </w:t>
      </w:r>
      <m:oMath>
        <m:r>
          <m:t>θ</m:t>
        </m:r>
      </m:oMath>
      <w:r>
        <w:rPr>
          <w:rFonts w:ascii="宋体" w:hAnsi="宋体" w:eastAsia="宋体"/>
          <w:sz w:val="24"/>
        </w:rPr>
        <w:t xml:space="preserve"> 与 </w:t>
      </w:r>
      <m:oMath>
        <m:acc>
          <m:accPr>
            <m:chr m:val="̃"/>
          </m:accPr>
          <m:e>
            <m:r>
              <m:t>p</m:t>
            </m:r>
          </m:e>
        </m:acc>
      </m:oMath>
      <w:r>
        <w:rPr>
          <w:rFonts w:ascii="宋体" w:hAnsi="宋体" w:eastAsia="宋体"/>
          <w:sz w:val="24"/>
        </w:rPr>
        <w:t xml:space="preserve"> 合并考察，式(10-3)的分母乘以 </w:t>
      </w:r>
      <m:oMath>
        <m:r>
          <m:t>θ</m:t>
        </m:r>
      </m:oMath>
      <w:r>
        <w:rPr>
          <w:rFonts w:ascii="宋体" w:hAnsi="宋体" w:eastAsia="宋体"/>
          <w:sz w:val="24"/>
        </w:rPr>
        <w:t xml:space="preserve"> 即为单位算力毛利 </w:t>
      </w:r>
      <m:oMath>
        <m:d>
          <m:dPr>
            <m:begChr m:val="("/>
            <m:endChr m:val=")"/>
            <m:grow/>
          </m:dPr>
          <m:e>
            <m:acc>
              <m:accPr>
                <m:chr m:val="̃"/>
              </m:accPr>
              <m:e>
                <m:r>
                  <m:t>p</m:t>
                </m:r>
              </m:e>
            </m:acc>
            <m:r>
              <m:rPr>
                <m:sty m:val="p"/>
              </m:rPr>
              <m:t>−</m:t>
            </m:r>
            <m:sSub>
              <m:e>
                <m:r>
                  <m:t>c</m:t>
                </m:r>
              </m:e>
              <m:sub>
                <m:r>
                  <m:t>v</m:t>
                </m:r>
              </m:sub>
            </m:sSub>
          </m:e>
        </m:d>
        <m:r>
          <m:t>θ</m:t>
        </m:r>
      </m:oMath>
      <w:r>
        <w:rPr>
          <w:rFonts w:ascii="宋体" w:hAnsi="宋体" w:eastAsia="宋体"/>
          <w:sz w:val="24"/>
        </w:rPr>
        <w:t>，第 8 章表 8.2 已测算该指标自轻量蒸馏级向推理增强级单调下降，本章按同一口径计算的极差为3.7倍。这意味着在固定的算力资产上，低档位产品对固定成本的覆盖能力更强，而高档位产品的单位词元加成更厚——城投的产品结构决策因此不是一个简单的「向高端走」问题，而是覆盖固定成本与获取效值溢价之间的权衡。</w:t>
      </w:r>
    </w:p>
    <w:p>
      <w:pPr>
        <w:spacing w:line="360" w:lineRule="auto" w:after="0"/>
        <w:ind w:firstLineChars="200" w:firstLine="480"/>
        <w:jc w:val="both"/>
      </w:pPr>
      <w:r>
        <w:rPr>
          <w:rFonts w:ascii="宋体" w:hAnsi="宋体" w:eastAsia="宋体"/>
          <w:sz w:val="24"/>
        </w:rPr>
        <w:t xml:space="preserve">为给出可比的数量级，以第 8 章测算的六档位成本结构与第 7 章的市场价为参数，并以第 9 章的有效效值利用率0.38作为基准运行点校准固定成本（即令 </w:t>
      </w:r>
      <m:oMath>
        <m:r>
          <m:t>F</m:t>
        </m:r>
        <m:r>
          <m:rPr>
            <m:sty m:val="p"/>
          </m:rPr>
          <m:t>/</m:t>
        </m:r>
        <m:sSup>
          <m:e>
            <m:acc>
              <m:accPr>
                <m:chr m:val="̃"/>
              </m:accPr>
              <m:e>
                <m:r>
                  <m:t>T</m:t>
                </m:r>
              </m:e>
            </m:acc>
          </m:e>
          <m:sup>
            <m:r>
              <m:rPr>
                <m:sty m:val="p"/>
              </m:rPr>
              <m:t>max</m:t>
            </m:r>
          </m:sup>
        </m:sSup>
        <m:r>
          <m:rPr>
            <m:sty m:val="p"/>
          </m:rPr>
          <m:t>=</m:t>
        </m:r>
        <m:d>
          <m:dPr>
            <m:begChr m:val="("/>
            <m:endChr m:val=")"/>
            <m:grow/>
          </m:dPr>
          <m:e>
            <m:bar>
              <m:barPr>
                <m:pos m:val="top"/>
              </m:barPr>
              <m:e>
                <m:r>
                  <m:t>A</m:t>
                </m:r>
                <m:r>
                  <m:t>C</m:t>
                </m:r>
              </m:e>
            </m:bar>
            <m:r>
              <m:rPr>
                <m:sty m:val="p"/>
              </m:rPr>
              <m:t>−</m:t>
            </m:r>
            <m:bar>
              <m:barPr>
                <m:pos m:val="top"/>
              </m:barPr>
              <m:e>
                <m:r>
                  <m:t>M</m:t>
                </m:r>
                <m:r>
                  <m:t>C</m:t>
                </m:r>
              </m:e>
            </m:bar>
          </m:e>
        </m:d>
        <m:sSub>
          <m:e>
            <m:r>
              <m:t>u</m:t>
            </m:r>
          </m:e>
          <m:sub>
            <m:r>
              <m:t>0</m:t>
            </m:r>
          </m:sub>
        </m:sSub>
      </m:oMath>
      <w:r>
        <w:rPr>
          <w:rFonts w:ascii="宋体" w:hAnsi="宋体" w:eastAsia="宋体"/>
          <w:sz w:val="24"/>
        </w:rPr>
        <w:t>），在暂不计机会成本（</w:t>
      </w:r>
      <m:oMath>
        <m:r>
          <m:t>ω</m:t>
        </m:r>
        <m:r>
          <m:rPr>
            <m:sty m:val="p"/>
          </m:rPr>
          <m:t>=</m:t>
        </m:r>
        <m:r>
          <m:t>0</m:t>
        </m:r>
      </m:oMath>
      <w:r>
        <w:rPr>
          <w:rFonts w:ascii="宋体" w:hAnsi="宋体" w:eastAsia="宋体"/>
          <w:sz w:val="24"/>
        </w:rPr>
        <w:t>）的下界情形下，各档位的盈亏平衡利用率介于0.060（推理增强级）与0.132（轻量蒸馏级）之间，按 2026 年各档位用量份额加权的平均值为0.105。与当前0.38的实际利用率相比，安全边际约为3.6倍；若第 9 章的统一调度把利用率提高到0.54，安全边际将升至5.2倍。值得注意的是，盈亏平衡利用率随档位升高而下降，原因在于高档位的单位加成远大于单位固定成本分摊；但这并不意味着城投应当把产能全部投向高档位，因为高档位的需求规模与单位算力收入均显著更低。</w:t>
      </w:r>
    </w:p>
    <w:p>
      <w:pPr>
        <w:spacing w:line="360" w:lineRule="auto" w:after="0"/>
        <w:ind w:firstLineChars="200" w:firstLine="480"/>
        <w:jc w:val="both"/>
      </w:pPr>
      <w:r>
        <w:rPr>
          <w:rFonts w:ascii="宋体" w:hAnsi="宋体" w:eastAsia="宋体"/>
          <w:sz w:val="24"/>
        </w:rPr>
        <w:t>真正的风险出现在价格维度。做一次压力测试：保持成本结构与基准利用率不变，令各档位市场价再下降一半，则加权平均的盈亏平衡利用率由0.105升至0.312，安全边际由3.6倍压缩至1.2倍，几乎与当前实际利用率0.38持平。考虑到 2024 年第一季度以来物理词元价格指数已累计下降79%，「再降一半」并非一个遥远的假设。这一测算给出了城投转型的核心风险判断：转型的成败不取决于是否拿到了算力，而取决于两个可控变量能否跑赢价格下行——一是利用率能否通过统一调度显著提升，二是产品结构能否通过效值提升把收入从物理词元数量转向标准词元当量。这两个变量恰好对应本书的两项核心机制：第 9 章的任务—模型最优匹配与第 5 章的效值折算。城投若把转型理解为「多建机房、多卖词元」，则在价格下行中必然被挤出；理解为「提高利用率、提升效值」，才可能形成可持续的经营性现金流。这也从资产侧解释了为什么统一调度与统一计量必须捆绑在同一个平台上。</w:t>
      </w:r>
    </w:p>
    <w:p>
      <w:pPr>
        <w:keepNext/>
        <w:spacing w:before="160" w:after="120" w:line="360" w:lineRule="auto"/>
        <w:outlineLvl w:val="1"/>
      </w:pPr>
      <w:r>
        <w:rPr>
          <w:rFonts w:ascii="黑体" w:hAnsi="黑体" w:eastAsia="黑体"/>
          <w:sz w:val="28"/>
        </w:rPr>
        <w:t>10.4  「五个统一」的机制设计与交易费用节约</w:t>
      </w:r>
    </w:p>
    <w:p>
      <w:pPr>
        <w:keepNext/>
        <w:spacing w:before="160" w:after="120" w:line="360" w:lineRule="auto"/>
        <w:outlineLvl w:val="2"/>
      </w:pPr>
      <w:r>
        <w:rPr>
          <w:rFonts w:ascii="黑体" w:hAnsi="黑体" w:eastAsia="黑体"/>
          <w:sz w:val="24"/>
        </w:rPr>
        <w:t>10.4.1  五类交易费用与两种缔约结构</w:t>
      </w:r>
    </w:p>
    <w:p>
      <w:pPr>
        <w:spacing w:line="360" w:lineRule="auto" w:after="0"/>
        <w:ind w:firstLineChars="200" w:firstLine="480"/>
        <w:jc w:val="both"/>
      </w:pPr>
      <w:r>
        <w:rPr>
          <w:rFonts w:ascii="宋体" w:hAnsi="宋体" w:eastAsia="宋体"/>
          <w:sz w:val="24"/>
        </w:rPr>
        <w:t>「五个统一」是嘉兴门户提出的治理框架，其五项内容依次为统一 API 入口、统一词元计量、统一费用结算、统一政策抵扣、统一安全审计。需要预先声明口径：温州东南中心用的是「六个统一」，苏州中心用的是「六大类服务」，广东中心的表述则是五大服务能力，三者分属平台治理能力、服务菜单与交易场所职能，条目数不构成可比的能力评分，本节以嘉兴口径为分析对象，不做跨城条目数比较。本节的核心主张是：这五项并非五项便民服务，而是对五类交易费用的针对性消解，其经济价值可以被量化。</w:t>
      </w:r>
    </w:p>
    <w:p>
      <w:pPr>
        <w:spacing w:line="360" w:lineRule="auto" w:after="0"/>
        <w:ind w:firstLineChars="200" w:firstLine="480"/>
        <w:jc w:val="both"/>
      </w:pPr>
      <w:r>
        <w:rPr>
          <w:rFonts w:ascii="宋体" w:hAnsi="宋体" w:eastAsia="宋体"/>
          <w:sz w:val="24"/>
        </w:rPr>
        <w:t xml:space="preserve">考虑一个城市内有 </w:t>
      </w:r>
      <m:oMath>
        <m:r>
          <m:t>n</m:t>
        </m:r>
      </m:oMath>
      <w:r>
        <w:rPr>
          <w:rFonts w:ascii="宋体" w:hAnsi="宋体" w:eastAsia="宋体"/>
          <w:sz w:val="24"/>
        </w:rPr>
        <w:t xml:space="preserve"> 家有词元需求的企业与 </w:t>
      </w:r>
      <m:oMath>
        <m:r>
          <m:t>m</m:t>
        </m:r>
      </m:oMath>
      <w:r>
        <w:rPr>
          <w:rFonts w:ascii="宋体" w:hAnsi="宋体" w:eastAsia="宋体"/>
          <w:sz w:val="24"/>
        </w:rPr>
        <w:t xml:space="preserve"> 个可供选择的模型或算力供给条目。在双边缔约结构下，企业若要获得与平台同等的选择空间，必须分别与各供给方缔约：搜寻并比选模型、适配各自的接口、核对各自口径的用量账单、分别开票对账、分别提交合规与安全材料。记单次缔约关系上的四类交易费用（搜寻与匹配、计量与验证、支付与对账、合规与审计）合计为 </w:t>
      </w:r>
      <m:oMath>
        <m:r>
          <m:t>κ</m:t>
        </m:r>
      </m:oMath>
      <w:r>
        <w:rPr>
          <w:rFonts w:ascii="宋体" w:hAnsi="宋体" w:eastAsia="宋体"/>
          <w:sz w:val="24"/>
        </w:rPr>
        <w:t xml:space="preserve">，另有与供给方数量无关的企业内部固定投入 </w:t>
      </w:r>
      <m:oMath>
        <m:sSub>
          <m:e>
            <m:r>
              <m:t>κ</m:t>
            </m:r>
          </m:e>
          <m:sub>
            <m:r>
              <m:t>f</m:t>
            </m:r>
          </m:sub>
        </m:sSub>
      </m:oMath>
      <w:r>
        <w:rPr>
          <w:rFonts w:ascii="宋体" w:hAnsi="宋体" w:eastAsia="宋体"/>
          <w:sz w:val="24"/>
        </w:rPr>
        <w:t xml:space="preserve">（如内部立项与预算流程）。在平台中介结构下，企业只与平台缔约一次，供给方也只与平台缔约一次，平台的固定投入 </w:t>
      </w:r>
      <m:oMath>
        <m:r>
          <m:t>Φ</m:t>
        </m:r>
      </m:oMath>
      <w:r>
        <w:rPr>
          <w:rFonts w:ascii="宋体" w:hAnsi="宋体" w:eastAsia="宋体"/>
          <w:sz w:val="24"/>
        </w:rPr>
        <w:t xml:space="preserve"> 由全部接入企业分摊。两种结构下单个企业面对的交易费用分别为：</w:t>
      </w:r>
    </w:p>
    <w:p>
      <w:pPr>
        <w:tabs>
          <w:tab w:pos="4252" w:val="center"/>
          <w:tab w:pos="8504" w:val="right"/>
        </w:tabs>
        <w:spacing w:line="360" w:lineRule="auto" w:before="80" w:after="80"/>
      </w:pPr>
      <w:r>
        <w:tab/>
      </w:r>
      <m:oMath>
        <m:sSup>
          <m:e>
            <m:r>
              <m:t>C</m:t>
            </m:r>
          </m:e>
          <m:sup>
            <m:r>
              <m:t>B</m:t>
            </m:r>
          </m:sup>
        </m:sSup>
        <m:r>
          <m:rPr>
            <m:sty m:val="p"/>
          </m:rPr>
          <m:t>=</m:t>
        </m:r>
        <m:r>
          <m:t>κ</m:t>
        </m:r>
        <m:r>
          <m:t> </m:t>
        </m:r>
        <m:acc>
          <m:accPr>
            <m:chr m:val="‾"/>
          </m:accPr>
          <m:e>
            <m:r>
              <m:t>m</m:t>
            </m:r>
          </m:e>
        </m:acc>
        <m:r>
          <m:rPr>
            <m:sty m:val="p"/>
          </m:rPr>
          <m:t>+</m:t>
        </m:r>
        <m:sSub>
          <m:e>
            <m:r>
              <m:t>κ</m:t>
            </m:r>
          </m:e>
          <m:sub>
            <m:r>
              <m:t>f</m:t>
            </m:r>
          </m:sub>
        </m:sSub>
        <m:r>
          <m:rPr>
            <m:sty m:val="p"/>
          </m:rPr>
          <m:t>,</m:t>
        </m:r>
        <m:r>
          <m:t>  </m:t>
        </m:r>
        <m:sSup>
          <m:e>
            <m:r>
              <m:t>C</m:t>
            </m:r>
          </m:e>
          <m:sup>
            <m:r>
              <m:t>P</m:t>
            </m:r>
          </m:sup>
        </m:sSup>
        <m:r>
          <m:rPr>
            <m:sty m:val="p"/>
          </m:rPr>
          <m:t>=</m:t>
        </m:r>
        <m:sSub>
          <m:e>
            <m:r>
              <m:t>κ</m:t>
            </m:r>
          </m:e>
          <m:sub>
            <m:r>
              <m:t>0</m:t>
            </m:r>
          </m:sub>
        </m:sSub>
        <m:r>
          <m:rPr>
            <m:sty m:val="p"/>
          </m:rPr>
          <m:t>+</m:t>
        </m:r>
        <m:f>
          <m:fPr>
            <m:type m:val="bar"/>
          </m:fPr>
          <m:num>
            <m:r>
              <m:t>Φ</m:t>
            </m:r>
          </m:num>
          <m:den>
            <m:r>
              <m:t>n</m:t>
            </m:r>
          </m:den>
        </m:f>
        <m:r>
          <m:rPr>
            <m:sty m:val="p"/>
          </m:rPr>
          <m:t>+</m:t>
        </m:r>
        <m:sSub>
          <m:e>
            <m:r>
              <m:t>κ</m:t>
            </m:r>
          </m:e>
          <m:sub>
            <m:r>
              <m:t>f</m:t>
            </m:r>
          </m:sub>
        </m:sSub>
      </m:oMath>
      <w:r>
        <w:tab/>
      </w:r>
      <w:r>
        <w:rPr>
          <w:rFonts w:ascii="Times New Roman" w:hAnsi="Times New Roman" w:eastAsia="宋体"/>
          <w:sz w:val="24"/>
        </w:rPr>
        <w:t>(10-4)</w:t>
      </w:r>
    </w:p>
    <w:p>
      <w:pPr>
        <w:spacing w:line="360" w:lineRule="auto" w:after="0"/>
        <w:jc w:val="both"/>
      </w:pPr>
      <w:r>
        <w:rPr>
          <w:rFonts w:ascii="宋体" w:hAnsi="宋体" w:eastAsia="宋体"/>
          <w:sz w:val="24"/>
        </w:rPr>
        <w:t>其中，</w:t>
      </w:r>
      <m:oMath>
        <m:acc>
          <m:accPr>
            <m:chr m:val="‾"/>
          </m:accPr>
          <m:e>
            <m:r>
              <m:t>m</m:t>
            </m:r>
          </m:e>
        </m:acc>
      </m:oMath>
      <w:r>
        <w:rPr>
          <w:rFonts w:ascii="宋体" w:hAnsi="宋体" w:eastAsia="宋体"/>
          <w:sz w:val="24"/>
        </w:rPr>
        <w:t>为企业在双边结构下实际需要缔约的供给方数量，</w:t>
      </w:r>
      <m:oMath>
        <m:sSub>
          <m:e>
            <m:r>
              <m:t>κ</m:t>
            </m:r>
          </m:e>
          <m:sub>
            <m:r>
              <m:t>0</m:t>
            </m:r>
          </m:sub>
        </m:sSub>
      </m:oMath>
      <w:r>
        <w:rPr>
          <w:rFonts w:ascii="宋体" w:hAnsi="宋体" w:eastAsia="宋体"/>
          <w:sz w:val="24"/>
        </w:rPr>
        <w:t>为企业与平台之间单一缔约关系上的交易费用；</w:t>
      </w:r>
      <m:oMath>
        <m:sSup>
          <m:e>
            <m:r>
              <m:t>C</m:t>
            </m:r>
          </m:e>
          <m:sup>
            <m:r>
              <m:t>B</m:t>
            </m:r>
          </m:sup>
        </m:sSup>
      </m:oMath>
      <w:r>
        <w:rPr>
          <w:rFonts w:ascii="宋体" w:hAnsi="宋体" w:eastAsia="宋体"/>
          <w:sz w:val="24"/>
        </w:rPr>
        <w:t>随可选供给方数量线性上升，</w:t>
      </w:r>
      <m:oMath>
        <m:sSup>
          <m:e>
            <m:r>
              <m:t>C</m:t>
            </m:r>
          </m:e>
          <m:sup>
            <m:r>
              <m:t>P</m:t>
            </m:r>
          </m:sup>
        </m:sSup>
      </m:oMath>
      <w:r>
        <w:rPr>
          <w:rFonts w:ascii="宋体" w:hAnsi="宋体" w:eastAsia="宋体"/>
          <w:sz w:val="24"/>
        </w:rPr>
        <w:t>则随接入企业数上升而下降。</w:t>
      </w:r>
    </w:p>
    <w:p>
      <w:pPr>
        <w:spacing w:line="360" w:lineRule="auto" w:after="0"/>
        <w:ind w:firstLineChars="200" w:firstLine="480"/>
        <w:jc w:val="both"/>
      </w:pPr>
      <w:r>
        <w:rPr>
          <w:rFonts w:ascii="宋体" w:hAnsi="宋体" w:eastAsia="宋体"/>
          <w:sz w:val="24"/>
        </w:rPr>
        <w:t xml:space="preserve">式(10-4)的结构差异是全部机制价值的来源：双边结构下城市范围内的缔约关系总数为 </w:t>
      </w:r>
      <m:oMath>
        <m:r>
          <m:t>n</m:t>
        </m:r>
        <m:acc>
          <m:accPr>
            <m:chr m:val="‾"/>
          </m:accPr>
          <m:e>
            <m:r>
              <m:t>m</m:t>
            </m:r>
          </m:e>
        </m:acc>
      </m:oMath>
      <w:r>
        <w:rPr>
          <w:rFonts w:ascii="宋体" w:hAnsi="宋体" w:eastAsia="宋体"/>
          <w:sz w:val="24"/>
        </w:rPr>
        <w:t xml:space="preserve">，平台结构下降为 </w:t>
      </w:r>
      <m:oMath>
        <m:r>
          <m:t>n</m:t>
        </m:r>
        <m:r>
          <m:rPr>
            <m:sty m:val="p"/>
          </m:rPr>
          <m:t>+</m:t>
        </m:r>
        <m:r>
          <m:t>m</m:t>
        </m:r>
      </m:oMath>
      <w:r>
        <w:rPr>
          <w:rFonts w:ascii="宋体" w:hAnsi="宋体" w:eastAsia="宋体"/>
          <w:sz w:val="24"/>
        </w:rPr>
        <w:t>。据此定义交易费用节约率并给出平台优于双边的条件：</w:t>
      </w:r>
    </w:p>
    <w:p>
      <w:pPr>
        <w:tabs>
          <w:tab w:pos="4252" w:val="center"/>
          <w:tab w:pos="8504" w:val="right"/>
        </w:tabs>
        <w:spacing w:line="360" w:lineRule="auto" w:before="80" w:after="80"/>
      </w:pPr>
      <w:r>
        <w:tab/>
      </w:r>
      <m:oMath>
        <m:r>
          <m:t>τ</m:t>
        </m:r>
        <m:r>
          <m:rPr>
            <m:sty m:val="p"/>
          </m:rPr>
          <m:t>=</m:t>
        </m:r>
        <m:r>
          <m:t>1</m:t>
        </m:r>
        <m:r>
          <m:rPr>
            <m:sty m:val="p"/>
          </m:rPr>
          <m:t>−</m:t>
        </m:r>
        <m:f>
          <m:fPr>
            <m:type m:val="bar"/>
          </m:fPr>
          <m:num>
            <m:sSup>
              <m:e>
                <m:r>
                  <m:t>C</m:t>
                </m:r>
              </m:e>
              <m:sup>
                <m:r>
                  <m:t>P</m:t>
                </m:r>
              </m:sup>
            </m:sSup>
          </m:num>
          <m:den>
            <m:sSup>
              <m:e>
                <m:r>
                  <m:t>C</m:t>
                </m:r>
              </m:e>
              <m:sup>
                <m:r>
                  <m:t>B</m:t>
                </m:r>
              </m:sup>
            </m:sSup>
          </m:den>
        </m:f>
        <m:r>
          <m:rPr>
            <m:sty m:val="p"/>
          </m:rPr>
          <m:t>=</m:t>
        </m:r>
        <m:r>
          <m:t>1</m:t>
        </m:r>
        <m:r>
          <m:rPr>
            <m:sty m:val="p"/>
          </m:rPr>
          <m:t>−</m:t>
        </m:r>
        <m:f>
          <m:fPr>
            <m:type m:val="bar"/>
          </m:fPr>
          <m:num>
            <m:sSub>
              <m:e>
                <m:r>
                  <m:t>κ</m:t>
                </m:r>
              </m:e>
              <m:sub>
                <m:r>
                  <m:t>0</m:t>
                </m:r>
              </m:sub>
            </m:sSub>
            <m:r>
              <m:rPr>
                <m:sty m:val="p"/>
              </m:rPr>
              <m:t>+</m:t>
            </m:r>
            <m:r>
              <m:t>Φ</m:t>
            </m:r>
            <m:r>
              <m:rPr>
                <m:sty m:val="p"/>
              </m:rPr>
              <m:t>/</m:t>
            </m:r>
            <m:r>
              <m:t>n</m:t>
            </m:r>
            <m:r>
              <m:rPr>
                <m:sty m:val="p"/>
              </m:rPr>
              <m:t>+</m:t>
            </m:r>
            <m:sSub>
              <m:e>
                <m:r>
                  <m:t>κ</m:t>
                </m:r>
              </m:e>
              <m:sub>
                <m:r>
                  <m:t>f</m:t>
                </m:r>
              </m:sub>
            </m:sSub>
          </m:num>
          <m:den>
            <m:r>
              <m:t>κ</m:t>
            </m:r>
            <m:acc>
              <m:accPr>
                <m:chr m:val="‾"/>
              </m:accPr>
              <m:e>
                <m:r>
                  <m:t>m</m:t>
                </m:r>
              </m:e>
            </m:acc>
            <m:r>
              <m:rPr>
                <m:sty m:val="p"/>
              </m:rPr>
              <m:t>+</m:t>
            </m:r>
            <m:sSub>
              <m:e>
                <m:r>
                  <m:t>κ</m:t>
                </m:r>
              </m:e>
              <m:sub>
                <m:r>
                  <m:t>f</m:t>
                </m:r>
              </m:sub>
            </m:sSub>
          </m:den>
        </m:f>
        <m:r>
          <m:rPr>
            <m:sty m:val="p"/>
          </m:rPr>
          <m:t>,</m:t>
        </m:r>
        <m:r>
          <m:t>  </m:t>
        </m:r>
        <m:r>
          <m:t>τ</m:t>
        </m:r>
        <m:r>
          <m:rPr>
            <m:sty m:val="p"/>
          </m:rPr>
          <m:t>&gt;</m:t>
        </m:r>
        <m:r>
          <m:t>0</m:t>
        </m:r>
        <m:r>
          <m:rPr>
            <m:sty m:val="p"/>
          </m:rPr>
          <m:t>⇔</m:t>
        </m:r>
        <m:acc>
          <m:accPr>
            <m:chr m:val="‾"/>
          </m:accPr>
          <m:e>
            <m:r>
              <m:t>m</m:t>
            </m:r>
          </m:e>
        </m:acc>
        <m:r>
          <m:rPr>
            <m:sty m:val="p"/>
          </m:rPr>
          <m:t>&gt;</m:t>
        </m:r>
        <m:f>
          <m:fPr>
            <m:type m:val="bar"/>
          </m:fPr>
          <m:num>
            <m:sSub>
              <m:e>
                <m:r>
                  <m:t>κ</m:t>
                </m:r>
              </m:e>
              <m:sub>
                <m:r>
                  <m:t>0</m:t>
                </m:r>
              </m:sub>
            </m:sSub>
            <m:r>
              <m:rPr>
                <m:sty m:val="p"/>
              </m:rPr>
              <m:t>+</m:t>
            </m:r>
            <m:r>
              <m:t>Φ</m:t>
            </m:r>
            <m:r>
              <m:rPr>
                <m:sty m:val="p"/>
              </m:rPr>
              <m:t>/</m:t>
            </m:r>
            <m:r>
              <m:t>n</m:t>
            </m:r>
          </m:num>
          <m:den>
            <m:r>
              <m:t>κ</m:t>
            </m:r>
          </m:den>
        </m:f>
      </m:oMath>
      <w:r>
        <w:tab/>
      </w:r>
      <w:r>
        <w:rPr>
          <w:rFonts w:ascii="Times New Roman" w:hAnsi="Times New Roman" w:eastAsia="宋体"/>
          <w:sz w:val="24"/>
        </w:rPr>
        <w:t>(10-5)</w:t>
      </w:r>
    </w:p>
    <w:p>
      <w:pPr>
        <w:spacing w:line="360" w:lineRule="auto" w:after="0"/>
        <w:jc w:val="both"/>
      </w:pPr>
      <w:r>
        <w:rPr>
          <w:rFonts w:ascii="宋体" w:hAnsi="宋体" w:eastAsia="宋体"/>
          <w:sz w:val="24"/>
        </w:rPr>
        <w:t>其中，</w:t>
      </w:r>
      <m:oMath>
        <m:r>
          <m:t>τ</m:t>
        </m:r>
      </m:oMath>
      <w:r>
        <w:rPr>
          <w:rFonts w:ascii="宋体" w:hAnsi="宋体" w:eastAsia="宋体"/>
          <w:sz w:val="24"/>
        </w:rPr>
        <w:t>为交易费用节约率，即企业接入统一平台后所节省的交易费用占其双边缔约费用之比；不等式右端为平台中介优于双边缔约的临界供给方数量。</w:t>
      </w:r>
    </w:p>
    <w:p>
      <w:pPr>
        <w:spacing w:line="360" w:lineRule="auto" w:after="0"/>
        <w:ind w:firstLineChars="200" w:firstLine="480"/>
        <w:jc w:val="both"/>
      </w:pPr>
      <w:r>
        <w:rPr>
          <w:rFonts w:ascii="宋体" w:hAnsi="宋体" w:eastAsia="宋体"/>
          <w:sz w:val="24"/>
        </w:rPr>
        <w:t xml:space="preserve">式(10-5)有三项性质决定了词元运营中心的可行性边界。第一，节约率随 </w:t>
      </w:r>
      <m:oMath>
        <m:acc>
          <m:accPr>
            <m:chr m:val="‾"/>
          </m:accPr>
          <m:e>
            <m:r>
              <m:t>m</m:t>
            </m:r>
          </m:e>
        </m:acc>
      </m:oMath>
      <w:r>
        <w:rPr>
          <w:rFonts w:ascii="宋体" w:hAnsi="宋体" w:eastAsia="宋体"/>
          <w:sz w:val="24"/>
        </w:rPr>
        <w:t xml:space="preserve"> 与 </w:t>
      </w:r>
      <m:oMath>
        <m:r>
          <m:t>n</m:t>
        </m:r>
      </m:oMath>
      <w:r>
        <w:rPr>
          <w:rFonts w:ascii="宋体" w:hAnsi="宋体" w:eastAsia="宋体"/>
          <w:sz w:val="24"/>
        </w:rPr>
        <w:t xml:space="preserve"> 同时递增：可选模型条目越多、接入企业越多，平台的相对优势越大，这是典型的双边网络效应（Katz和Shapiro，1985；Armstrong，2006；Jullien等，2021）。嘉兴门户宣称一次接入即可调用 100 余款主流大模型条目，正是把 </w:t>
      </w:r>
      <m:oMath>
        <m:acc>
          <m:accPr>
            <m:chr m:val="‾"/>
          </m:accPr>
          <m:e>
            <m:r>
              <m:t>m</m:t>
            </m:r>
          </m:e>
        </m:acc>
      </m:oMath>
      <w:r>
        <w:rPr>
          <w:rFonts w:ascii="宋体" w:hAnsi="宋体" w:eastAsia="宋体"/>
          <w:sz w:val="24"/>
        </w:rPr>
        <w:t xml:space="preserve"> 推高到双边缔约完全不经济的区间——一家中型企业若要自行完成同等规模的比选、适配与对账，其内部成本将远超其全年词元支出。第二，存在一个规模门槛：当 </w:t>
      </w:r>
      <m:oMath>
        <m:acc>
          <m:accPr>
            <m:chr m:val="‾"/>
          </m:accPr>
          <m:e>
            <m:r>
              <m:t>m</m:t>
            </m:r>
          </m:e>
        </m:acc>
      </m:oMath>
      <w:r>
        <w:rPr>
          <w:rFonts w:ascii="宋体" w:hAnsi="宋体" w:eastAsia="宋体"/>
          <w:sz w:val="24"/>
        </w:rPr>
        <w:t xml:space="preserve"> 小于临界值时，平台的固定投入无法被摊薄，统一入口反而是净损失，这解释了为什么词元运营中心只在产业密度足够高的城市才成立，也提示中小城市的正确选择是接入区域平台而非自建。第三，</w:t>
      </w:r>
      <m:oMath>
        <m:r>
          <m:t>τ</m:t>
        </m:r>
      </m:oMath>
      <w:r>
        <w:rPr>
          <w:rFonts w:ascii="宋体" w:hAnsi="宋体" w:eastAsia="宋体"/>
          <w:sz w:val="24"/>
        </w:rPr>
        <w:t xml:space="preserve"> 是内生于规模的，而非一个技术常数；本章 10.5 节的演化博弈把它作为参数处理，其校准取值为0.35，含义是接入统一平台可为企业节约约35%的相关交易费用。「五个统一」各模块所对应的交易费用类型及其汇入平台价值闭环的路径如图10.2所示。</w:t>
      </w:r>
    </w:p>
    <w:p>
      <w:pPr>
        <w:spacing w:before="120" w:after="40"/>
        <w:jc w:val="center"/>
      </w:pPr>
      <w:r>
        <w:drawing>
          <wp:inline xmlns:a="http://schemas.openxmlformats.org/drawingml/2006/main" xmlns:pic="http://schemas.openxmlformats.org/drawingml/2006/picture">
            <wp:extent cx="5040000" cy="3280000"/>
            <wp:docPr id="32" name="Picture 32"/>
            <wp:cNvGraphicFramePr>
              <a:graphicFrameLocks noChangeAspect="1"/>
            </wp:cNvGraphicFramePr>
            <a:graphic>
              <a:graphicData uri="http://schemas.openxmlformats.org/drawingml/2006/picture">
                <pic:pic>
                  <pic:nvPicPr>
                    <pic:cNvPr id="0" name="fig10_2.png"/>
                    <pic:cNvPicPr/>
                  </pic:nvPicPr>
                  <pic:blipFill>
                    <a:blip r:embed="rId40"/>
                    <a:stretch>
                      <a:fillRect/>
                    </a:stretch>
                  </pic:blipFill>
                  <pic:spPr>
                    <a:xfrm>
                      <a:off x="0" y="0"/>
                      <a:ext cx="5040000" cy="3280000"/>
                    </a:xfrm>
                    <a:prstGeom prst="rect"/>
                  </pic:spPr>
                </pic:pic>
              </a:graphicData>
            </a:graphic>
          </wp:inline>
        </w:drawing>
      </w:r>
    </w:p>
    <w:p>
      <w:pPr>
        <w:keepNext w:val="0"/>
        <w:spacing w:after="40"/>
        <w:jc w:val="center"/>
      </w:pPr>
      <w:r>
        <w:rPr>
          <w:rFonts w:ascii="黑体" w:hAnsi="黑体" w:eastAsia="黑体"/>
          <w:sz w:val="21"/>
        </w:rPr>
        <w:t>图10.2  「五个统一」的机制设计与交易费用节约</w:t>
      </w:r>
    </w:p>
    <w:p>
      <w:pPr>
        <w:spacing w:after="200" w:line="240" w:lineRule="auto"/>
        <w:jc w:val="both"/>
      </w:pPr>
      <w:r>
        <w:rPr>
          <w:rFonts w:ascii="宋体" w:hAnsi="宋体" w:eastAsia="宋体"/>
          <w:sz w:val="18"/>
        </w:rPr>
        <w:t>注：各模块括号内为10.5.5节层次分析法测算的方案层组合权重；</w:t>
      </w:r>
      <m:oMath>
        <m:r>
          <m:t>τ</m:t>
        </m:r>
      </m:oMath>
      <w:r>
        <w:rPr>
          <w:rFonts w:ascii="宋体" w:hAnsi="宋体" w:eastAsia="宋体"/>
          <w:sz w:val="18"/>
        </w:rPr>
        <w:t>为式(10-5)定义的交易费用节约率，图中取值为10.5节演化博弈的校准参数。</w:t>
      </w:r>
    </w:p>
    <w:p>
      <w:pPr>
        <w:spacing w:line="360" w:lineRule="auto" w:after="0"/>
        <w:ind w:firstLineChars="200" w:firstLine="480"/>
        <w:jc w:val="both"/>
      </w:pPr>
      <w:r>
        <w:rPr>
          <w:rFonts w:ascii="宋体" w:hAnsi="宋体" w:eastAsia="宋体"/>
          <w:sz w:val="24"/>
        </w:rPr>
        <w:t>图10.2右侧的价值闭环刻画了机制设计的动态含义：交易费用的节约直接抬高企业采纳的净收益，使企业红利越过跃迁阈值；采纳规模扩大带来平台侧的规模经济，推动单位成本与价格下行；价格下行又进一步降低了后续企业的采纳门槛，形成正反馈。这一闭环的关键在于，五项统一并非可以任意拆分的功能清单，而是具有强互补性的制度包。统一计量是其余四项的共同前置：没有可核验的用量与效值口径，结算无从对账、政策抵扣无从核定、安全审计无从追溯，统一入口也会退化为一个仅供比价的目录。反过来，若只做统一计量而不做统一结算与抵扣，企业获得的仅是信息而非现金流改善，采纳意愿不足以形成规模。这种「单项收益小于组合收益」的互补结构，意味着机制设计必须整包推进，逐项试点的策略会因每一项单独考核不达标而中途夭折。五项统一的具体内容与失效表现见表10.2。</w:t>
      </w:r>
    </w:p>
    <w:p>
      <w:pPr>
        <w:keepNext/>
        <w:spacing w:before="160" w:after="40"/>
        <w:jc w:val="center"/>
      </w:pPr>
      <w:r>
        <w:rPr>
          <w:rFonts w:ascii="黑体" w:hAnsi="黑体" w:eastAsia="黑体"/>
          <w:sz w:val="21"/>
        </w:rPr>
        <w:t>表10.2  「五个统一」的机制内容、交易费用节约与失效表现</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统一项</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分散状态下的安排</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所节约的交易费用</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可核验产出</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缺位时的典型失效</w:t>
            </w:r>
          </w:p>
        </w:tc>
      </w:tr>
      <w:tr>
        <w:tc>
          <w:tcPr>
            <w:tcW w:type="dxa" w:w="1701"/>
            <w:vAlign w:val="center"/>
          </w:tcPr>
          <w:p>
            <w:pPr>
              <w:spacing w:line="240" w:lineRule="auto" w:after="20" w:before="20"/>
              <w:jc w:val="center"/>
            </w:pPr>
            <w:r/>
            <w:r>
              <w:rPr>
                <w:rFonts w:ascii="宋体" w:hAnsi="宋体" w:eastAsia="宋体"/>
                <w:sz w:val="21"/>
              </w:rPr>
              <w:t>统一 API 入口</w:t>
            </w:r>
          </w:p>
        </w:tc>
        <w:tc>
          <w:tcPr>
            <w:tcW w:type="dxa" w:w="1701"/>
            <w:vAlign w:val="center"/>
          </w:tcPr>
          <w:p>
            <w:pPr>
              <w:spacing w:line="240" w:lineRule="auto" w:after="20" w:before="20"/>
              <w:jc w:val="left"/>
            </w:pPr>
            <w:r/>
            <w:r>
              <w:rPr>
                <w:rFonts w:ascii="宋体" w:hAnsi="宋体" w:eastAsia="宋体"/>
                <w:sz w:val="21"/>
              </w:rPr>
              <w:t>逐一比选模型、</w:t>
              <w:br/>
              <w:t>分别适配接口与鉴权</w:t>
            </w:r>
          </w:p>
        </w:tc>
        <w:tc>
          <w:tcPr>
            <w:tcW w:type="dxa" w:w="1701"/>
            <w:vAlign w:val="center"/>
          </w:tcPr>
          <w:p>
            <w:pPr>
              <w:spacing w:line="240" w:lineRule="auto" w:after="20" w:before="20"/>
              <w:jc w:val="center"/>
            </w:pPr>
            <w:r/>
            <w:r>
              <w:rPr>
                <w:rFonts w:ascii="宋体" w:hAnsi="宋体" w:eastAsia="宋体"/>
                <w:sz w:val="21"/>
              </w:rPr>
              <w:t>搜寻与匹配费用</w:t>
            </w:r>
          </w:p>
        </w:tc>
        <w:tc>
          <w:tcPr>
            <w:tcW w:type="dxa" w:w="1701"/>
            <w:vAlign w:val="center"/>
          </w:tcPr>
          <w:p>
            <w:pPr>
              <w:spacing w:line="240" w:lineRule="auto" w:after="20" w:before="20"/>
              <w:jc w:val="left"/>
            </w:pPr>
            <w:r/>
            <w:r>
              <w:rPr>
                <w:rFonts w:ascii="宋体" w:hAnsi="宋体" w:eastAsia="宋体"/>
                <w:sz w:val="21"/>
              </w:rPr>
              <w:t>统一接口规范与</w:t>
              <w:br/>
              <w:t>模型能力目录</w:t>
            </w:r>
          </w:p>
        </w:tc>
        <w:tc>
          <w:tcPr>
            <w:tcW w:type="dxa" w:w="1701"/>
            <w:vAlign w:val="center"/>
          </w:tcPr>
          <w:p>
            <w:pPr>
              <w:spacing w:line="240" w:lineRule="auto" w:after="20" w:before="20"/>
              <w:jc w:val="left"/>
            </w:pPr>
            <w:r/>
            <w:r>
              <w:rPr>
                <w:rFonts w:ascii="宋体" w:hAnsi="宋体" w:eastAsia="宋体"/>
                <w:sz w:val="21"/>
              </w:rPr>
              <w:t>企业以试用成本为由</w:t>
              <w:br/>
              <w:t>锁定单一供给方</w:t>
            </w:r>
          </w:p>
        </w:tc>
      </w:tr>
      <w:tr>
        <w:tc>
          <w:tcPr>
            <w:tcW w:type="dxa" w:w="1701"/>
            <w:vAlign w:val="center"/>
          </w:tcPr>
          <w:p>
            <w:pPr>
              <w:spacing w:line="240" w:lineRule="auto" w:after="20" w:before="20"/>
              <w:jc w:val="center"/>
            </w:pPr>
            <w:r/>
            <w:r>
              <w:rPr>
                <w:rFonts w:ascii="宋体" w:hAnsi="宋体" w:eastAsia="宋体"/>
                <w:sz w:val="21"/>
              </w:rPr>
              <w:t>统一词元计量</w:t>
            </w:r>
          </w:p>
        </w:tc>
        <w:tc>
          <w:tcPr>
            <w:tcW w:type="dxa" w:w="1701"/>
            <w:vAlign w:val="center"/>
          </w:tcPr>
          <w:p>
            <w:pPr>
              <w:spacing w:line="240" w:lineRule="auto" w:after="20" w:before="20"/>
              <w:jc w:val="left"/>
            </w:pPr>
            <w:r/>
            <w:r>
              <w:rPr>
                <w:rFonts w:ascii="宋体" w:hAnsi="宋体" w:eastAsia="宋体"/>
                <w:sz w:val="21"/>
              </w:rPr>
              <w:t>各供给方自定计费口径，</w:t>
              <w:br/>
              <w:t>输入输出与缓存分别计价</w:t>
            </w:r>
          </w:p>
        </w:tc>
        <w:tc>
          <w:tcPr>
            <w:tcW w:type="dxa" w:w="1701"/>
            <w:vAlign w:val="center"/>
          </w:tcPr>
          <w:p>
            <w:pPr>
              <w:spacing w:line="240" w:lineRule="auto" w:after="20" w:before="20"/>
              <w:jc w:val="center"/>
            </w:pPr>
            <w:r/>
            <w:r>
              <w:rPr>
                <w:rFonts w:ascii="宋体" w:hAnsi="宋体" w:eastAsia="宋体"/>
                <w:sz w:val="21"/>
              </w:rPr>
              <w:t>计量与验证费用</w:t>
            </w:r>
          </w:p>
        </w:tc>
        <w:tc>
          <w:tcPr>
            <w:tcW w:type="dxa" w:w="1701"/>
            <w:vAlign w:val="center"/>
          </w:tcPr>
          <w:p>
            <w:pPr>
              <w:spacing w:line="240" w:lineRule="auto" w:after="20" w:before="20"/>
              <w:jc w:val="left"/>
            </w:pPr>
            <w:r/>
            <w:r>
              <w:rPr>
                <w:rFonts w:ascii="宋体" w:hAnsi="宋体" w:eastAsia="宋体"/>
                <w:sz w:val="21"/>
              </w:rPr>
              <w:t>标准词元用量账单与</w:t>
              <w:br/>
              <w:t>效值折算说明</w:t>
            </w:r>
          </w:p>
        </w:tc>
        <w:tc>
          <w:tcPr>
            <w:tcW w:type="dxa" w:w="1701"/>
            <w:vAlign w:val="center"/>
          </w:tcPr>
          <w:p>
            <w:pPr>
              <w:spacing w:line="240" w:lineRule="auto" w:after="20" w:before="20"/>
              <w:jc w:val="left"/>
            </w:pPr>
            <w:r/>
            <w:r>
              <w:rPr>
                <w:rFonts w:ascii="宋体" w:hAnsi="宋体" w:eastAsia="宋体"/>
                <w:sz w:val="21"/>
              </w:rPr>
              <w:t>效值信息不对称，</w:t>
              <w:br/>
              <w:t>补贴与成本监审失去分母</w:t>
            </w:r>
          </w:p>
        </w:tc>
      </w:tr>
      <w:tr>
        <w:tc>
          <w:tcPr>
            <w:tcW w:type="dxa" w:w="1701"/>
            <w:vAlign w:val="center"/>
          </w:tcPr>
          <w:p>
            <w:pPr>
              <w:spacing w:line="240" w:lineRule="auto" w:after="20" w:before="20"/>
              <w:jc w:val="center"/>
            </w:pPr>
            <w:r/>
            <w:r>
              <w:rPr>
                <w:rFonts w:ascii="宋体" w:hAnsi="宋体" w:eastAsia="宋体"/>
                <w:sz w:val="21"/>
              </w:rPr>
              <w:t>统一费用结算</w:t>
            </w:r>
          </w:p>
        </w:tc>
        <w:tc>
          <w:tcPr>
            <w:tcW w:type="dxa" w:w="1701"/>
            <w:vAlign w:val="center"/>
          </w:tcPr>
          <w:p>
            <w:pPr>
              <w:spacing w:line="240" w:lineRule="auto" w:after="20" w:before="20"/>
              <w:jc w:val="left"/>
            </w:pPr>
            <w:r/>
            <w:r>
              <w:rPr>
                <w:rFonts w:ascii="宋体" w:hAnsi="宋体" w:eastAsia="宋体"/>
                <w:sz w:val="21"/>
              </w:rPr>
              <w:t>多方分别开票、</w:t>
              <w:br/>
              <w:t>跨主体逐笔对账清分</w:t>
            </w:r>
          </w:p>
        </w:tc>
        <w:tc>
          <w:tcPr>
            <w:tcW w:type="dxa" w:w="1701"/>
            <w:vAlign w:val="center"/>
          </w:tcPr>
          <w:p>
            <w:pPr>
              <w:spacing w:line="240" w:lineRule="auto" w:after="20" w:before="20"/>
              <w:jc w:val="center"/>
            </w:pPr>
            <w:r/>
            <w:r>
              <w:rPr>
                <w:rFonts w:ascii="宋体" w:hAnsi="宋体" w:eastAsia="宋体"/>
                <w:sz w:val="21"/>
              </w:rPr>
              <w:t>支付与对账费用</w:t>
            </w:r>
          </w:p>
        </w:tc>
        <w:tc>
          <w:tcPr>
            <w:tcW w:type="dxa" w:w="1701"/>
            <w:vAlign w:val="center"/>
          </w:tcPr>
          <w:p>
            <w:pPr>
              <w:spacing w:line="240" w:lineRule="auto" w:after="20" w:before="20"/>
              <w:jc w:val="left"/>
            </w:pPr>
            <w:r/>
            <w:r>
              <w:rPr>
                <w:rFonts w:ascii="宋体" w:hAnsi="宋体" w:eastAsia="宋体"/>
                <w:sz w:val="21"/>
              </w:rPr>
              <w:t>合并账单与</w:t>
              <w:br/>
              <w:t>跨主体清分记录</w:t>
            </w:r>
          </w:p>
        </w:tc>
        <w:tc>
          <w:tcPr>
            <w:tcW w:type="dxa" w:w="1701"/>
            <w:vAlign w:val="center"/>
          </w:tcPr>
          <w:p>
            <w:pPr>
              <w:spacing w:line="240" w:lineRule="auto" w:after="20" w:before="20"/>
              <w:jc w:val="left"/>
            </w:pPr>
            <w:r/>
            <w:r>
              <w:rPr>
                <w:rFonts w:ascii="宋体" w:hAnsi="宋体" w:eastAsia="宋体"/>
                <w:sz w:val="21"/>
              </w:rPr>
              <w:t>中小企业因垫资与</w:t>
              <w:br/>
              <w:t>对账成本放弃多模型使用</w:t>
            </w:r>
          </w:p>
        </w:tc>
      </w:tr>
      <w:tr>
        <w:tc>
          <w:tcPr>
            <w:tcW w:type="dxa" w:w="1701"/>
            <w:vAlign w:val="center"/>
          </w:tcPr>
          <w:p>
            <w:pPr>
              <w:spacing w:line="240" w:lineRule="auto" w:after="20" w:before="20"/>
              <w:jc w:val="center"/>
            </w:pPr>
            <w:r/>
            <w:r>
              <w:rPr>
                <w:rFonts w:ascii="宋体" w:hAnsi="宋体" w:eastAsia="宋体"/>
                <w:sz w:val="21"/>
              </w:rPr>
              <w:t>统一政策抵扣</w:t>
            </w:r>
          </w:p>
        </w:tc>
        <w:tc>
          <w:tcPr>
            <w:tcW w:type="dxa" w:w="1701"/>
            <w:vAlign w:val="center"/>
          </w:tcPr>
          <w:p>
            <w:pPr>
              <w:spacing w:line="240" w:lineRule="auto" w:after="20" w:before="20"/>
              <w:jc w:val="left"/>
            </w:pPr>
            <w:r/>
            <w:r>
              <w:rPr>
                <w:rFonts w:ascii="宋体" w:hAnsi="宋体" w:eastAsia="宋体"/>
                <w:sz w:val="21"/>
              </w:rPr>
              <w:t>补贴分别申报、</w:t>
              <w:br/>
              <w:t>材料重复核验</w:t>
            </w:r>
          </w:p>
        </w:tc>
        <w:tc>
          <w:tcPr>
            <w:tcW w:type="dxa" w:w="1701"/>
            <w:vAlign w:val="center"/>
          </w:tcPr>
          <w:p>
            <w:pPr>
              <w:spacing w:line="240" w:lineRule="auto" w:after="20" w:before="20"/>
              <w:jc w:val="center"/>
            </w:pPr>
            <w:r/>
            <w:r>
              <w:rPr>
                <w:rFonts w:ascii="宋体" w:hAnsi="宋体" w:eastAsia="宋体"/>
                <w:sz w:val="21"/>
              </w:rPr>
              <w:t>政策申报与举证费用</w:t>
            </w:r>
          </w:p>
        </w:tc>
        <w:tc>
          <w:tcPr>
            <w:tcW w:type="dxa" w:w="1701"/>
            <w:vAlign w:val="center"/>
          </w:tcPr>
          <w:p>
            <w:pPr>
              <w:spacing w:line="240" w:lineRule="auto" w:after="20" w:before="20"/>
              <w:jc w:val="left"/>
            </w:pPr>
            <w:r/>
            <w:r>
              <w:rPr>
                <w:rFonts w:ascii="宋体" w:hAnsi="宋体" w:eastAsia="宋体"/>
                <w:sz w:val="21"/>
              </w:rPr>
              <w:t>抵扣凭证与</w:t>
              <w:br/>
              <w:t>补贴核定台账</w:t>
            </w:r>
          </w:p>
        </w:tc>
        <w:tc>
          <w:tcPr>
            <w:tcW w:type="dxa" w:w="1701"/>
            <w:vAlign w:val="center"/>
          </w:tcPr>
          <w:p>
            <w:pPr>
              <w:spacing w:line="240" w:lineRule="auto" w:after="20" w:before="20"/>
              <w:jc w:val="left"/>
            </w:pPr>
            <w:r/>
            <w:r>
              <w:rPr>
                <w:rFonts w:ascii="宋体" w:hAnsi="宋体" w:eastAsia="宋体"/>
                <w:sz w:val="21"/>
              </w:rPr>
              <w:t>补贴到达率低，</w:t>
              <w:br/>
              <w:t>政策效果集中于大企业</w:t>
            </w:r>
          </w:p>
        </w:tc>
      </w:tr>
      <w:tr>
        <w:tc>
          <w:tcPr>
            <w:tcW w:type="dxa" w:w="1701"/>
            <w:vAlign w:val="center"/>
          </w:tcPr>
          <w:p>
            <w:pPr>
              <w:spacing w:line="240" w:lineRule="auto" w:after="20" w:before="20"/>
              <w:jc w:val="center"/>
            </w:pPr>
            <w:r/>
            <w:r>
              <w:rPr>
                <w:rFonts w:ascii="宋体" w:hAnsi="宋体" w:eastAsia="宋体"/>
                <w:sz w:val="21"/>
              </w:rPr>
              <w:t>统一安全审计</w:t>
            </w:r>
          </w:p>
        </w:tc>
        <w:tc>
          <w:tcPr>
            <w:tcW w:type="dxa" w:w="1701"/>
            <w:vAlign w:val="center"/>
          </w:tcPr>
          <w:p>
            <w:pPr>
              <w:spacing w:line="240" w:lineRule="auto" w:after="20" w:before="20"/>
              <w:jc w:val="left"/>
            </w:pPr>
            <w:r/>
            <w:r>
              <w:rPr>
                <w:rFonts w:ascii="宋体" w:hAnsi="宋体" w:eastAsia="宋体"/>
                <w:sz w:val="21"/>
              </w:rPr>
              <w:t>各方分别做安全评估、</w:t>
              <w:br/>
              <w:t>数据出境重复审查</w:t>
            </w:r>
          </w:p>
        </w:tc>
        <w:tc>
          <w:tcPr>
            <w:tcW w:type="dxa" w:w="1701"/>
            <w:vAlign w:val="center"/>
          </w:tcPr>
          <w:p>
            <w:pPr>
              <w:spacing w:line="240" w:lineRule="auto" w:after="20" w:before="20"/>
              <w:jc w:val="center"/>
            </w:pPr>
            <w:r/>
            <w:r>
              <w:rPr>
                <w:rFonts w:ascii="宋体" w:hAnsi="宋体" w:eastAsia="宋体"/>
                <w:sz w:val="21"/>
              </w:rPr>
              <w:t>合规与审计费用</w:t>
            </w:r>
          </w:p>
        </w:tc>
        <w:tc>
          <w:tcPr>
            <w:tcW w:type="dxa" w:w="1701"/>
            <w:vAlign w:val="center"/>
          </w:tcPr>
          <w:p>
            <w:pPr>
              <w:spacing w:line="240" w:lineRule="auto" w:after="20" w:before="20"/>
              <w:jc w:val="left"/>
            </w:pPr>
            <w:r/>
            <w:r>
              <w:rPr>
                <w:rFonts w:ascii="宋体" w:hAnsi="宋体" w:eastAsia="宋体"/>
                <w:sz w:val="21"/>
              </w:rPr>
              <w:t>调用日志与</w:t>
              <w:br/>
              <w:t>合规审计报告</w:t>
            </w:r>
          </w:p>
        </w:tc>
        <w:tc>
          <w:tcPr>
            <w:tcW w:type="dxa" w:w="1701"/>
            <w:vAlign w:val="center"/>
          </w:tcPr>
          <w:p>
            <w:pPr>
              <w:spacing w:line="240" w:lineRule="auto" w:after="20" w:before="20"/>
              <w:jc w:val="left"/>
            </w:pPr>
            <w:r/>
            <w:r>
              <w:rPr>
                <w:rFonts w:ascii="宋体" w:hAnsi="宋体" w:eastAsia="宋体"/>
                <w:sz w:val="21"/>
              </w:rPr>
              <w:t>合规责任边界不清，</w:t>
              <w:br/>
              <w:t>企业以不用规避风险</w:t>
            </w:r>
          </w:p>
        </w:tc>
      </w:tr>
    </w:tbl>
    <w:p>
      <w:pPr>
        <w:spacing w:after="200" w:line="240" w:lineRule="auto"/>
        <w:jc w:val="both"/>
      </w:pPr>
      <w:r>
        <w:rPr>
          <w:rFonts w:ascii="宋体" w:hAnsi="宋体" w:eastAsia="宋体"/>
          <w:sz w:val="18"/>
        </w:rPr>
        <w:t>注：五项内容依嘉兴门户口径列示，与温州「六个统一」、苏州「六大类服务」、广东五大服务能力分属不同性质的清单，不作条目数比较；交易费用分类对应式(10-4)中的四类缔约费用与政策申报费用。</w:t>
      </w:r>
    </w:p>
    <w:p>
      <w:pPr>
        <w:spacing w:line="360" w:lineRule="auto" w:after="0"/>
        <w:ind w:firstLineChars="200" w:firstLine="480"/>
        <w:jc w:val="both"/>
      </w:pPr>
      <w:r>
        <w:rPr>
          <w:rFonts w:ascii="宋体" w:hAnsi="宋体" w:eastAsia="宋体"/>
          <w:sz w:val="24"/>
        </w:rPr>
        <w:t>表10.2中「可核验产出」一栏是机制设计的落脚点。制度安排若不产出可被第三方核验的凭证，就无法进入补贴核定、成本监审与跨城互认的流程，也就无法真正降低交易费用——这正是质量披露与认证制度研究的基本结论（Dranove和Jin，2010）。就词元而言，最关键的凭证是标准词元用量账单：它把「调用了多少枚」的技术记录转换为「相当于多少标准词元当量」的经济记录，使补贴核定、成本比较与增长核算获得共同分母。第 8 章测算的效值信息不对称程度提供了这一凭证的必要性证据：企业对所购词元效值的认知偏差均值为0.44，并导致低效值档位的过度采购份额达27%；在质量不可观测而价格可观测的市场上，买方只能依据平均质量出价，高质量供给被逆向选择挤出（Akerlof，1970）。统一计量正是把这一逆向选择机制反转过来的制度装置。</w:t>
      </w:r>
    </w:p>
    <w:p>
      <w:pPr>
        <w:keepNext/>
        <w:spacing w:before="160" w:after="120" w:line="360" w:lineRule="auto"/>
        <w:outlineLvl w:val="2"/>
      </w:pPr>
      <w:r>
        <w:rPr>
          <w:rFonts w:ascii="黑体" w:hAnsi="黑体" w:eastAsia="黑体"/>
          <w:sz w:val="24"/>
        </w:rPr>
        <w:t>10.4.2  统一计量的标准依据与本书的定位</w:t>
      </w:r>
    </w:p>
    <w:p>
      <w:pPr>
        <w:spacing w:line="360" w:lineRule="auto" w:after="0"/>
        <w:ind w:firstLineChars="200" w:firstLine="480"/>
        <w:jc w:val="both"/>
      </w:pPr>
      <w:r>
        <w:rPr>
          <w:rFonts w:ascii="宋体" w:hAnsi="宋体" w:eastAsia="宋体"/>
          <w:sz w:val="24"/>
        </w:rPr>
        <w:t>统一计量既是机制设计的核心，也是最容易被夸大其制度成熟度的一环，因此有必要厘清现有标准的真实状态。截至 2026 年 8 月，词元领域已发布的规范性成果主要有三类，其效力层级依次递减且不可混称。第一类是团体标准：中国人工智能产业发展联盟归口、中国信息通信研究院人工智能研究所联合行业企业编制的《人工智能词元（Token）运营管理能力要求》（AIIA/T 0308—2026）于 2026 年 8 月发布，旨在为词元运营管理平台建立统一的能力规范——需要强调的是，团体标准的效力层级低于国家标准与行业标准，不得称其为国家标准。第二类是机构评估规范，如中国信息通信研究院的《人工智能 Token 服务质量能力要求》，其评估体系包含模型服务能力、Token 服务性能、Token 服务可信、Token 服务运维、Token 服务用户体验、Token 计量计费六个维度，其中「计量计费」是目前最接近计费标准的已落地成果，但它是评估体系的一个维度，而非独立的计费标准。第三类是框架性成果，如中国信息通信研究院 2026 年 6 月 16 日发布的「高质量 Token 服务标准体系」，包含服务质量、运营能力、生产能力、安全能力四个维度。国家标准层面，相关工作归口于全国信息技术标准化技术委员会及其人工智能分技术委员会，但尚未见到以词元计量或词元计费为标题的国家标准计划公开。</w:t>
      </w:r>
    </w:p>
    <w:p>
      <w:pPr>
        <w:spacing w:line="360" w:lineRule="auto" w:after="0"/>
        <w:ind w:firstLineChars="200" w:firstLine="480"/>
        <w:jc w:val="both"/>
      </w:pPr>
      <w:r>
        <w:rPr>
          <w:rFonts w:ascii="宋体" w:hAnsi="宋体" w:eastAsia="宋体"/>
          <w:sz w:val="24"/>
        </w:rPr>
        <w:t>与上述工作构成对话关系的还有另外两套体系，其主体必须逐一注明，严禁合并、平均或交叉引用维度名称。其一是中国工业互联网研究院《Token 驱动智能经济研究报告（2026 年）》构建的五维价值度量体系，涵盖生产成本、生产效率、准确性、生态价值、安全，该体系不属于中国信息通信研究院。其二是清华大学翟季冬团队联合清程极智于 2026 年 5 月发布的开源模型词元服务性能榜，以首词元时延（P90 分位）、输出吞吐与缓存命中率三项实测指标对服务商排序。此外，中国信息通信研究院 2026 年 6 月启动的词元服务能力攀登计划，首批达成的企业级通用场景性能基线为吞吐不低于55 词元每秒、首词元时延不高于 0.9 秒、调用成功率 99.9%——须注意这是首批参与企业达成的基线值，既不是行业平均值，也不是强制门槛，且其时延未标注分位，与采用 P90 分位的第三方榜单不可直接比较。</w:t>
      </w:r>
    </w:p>
    <w:p>
      <w:pPr>
        <w:spacing w:line="360" w:lineRule="auto" w:after="0"/>
        <w:ind w:firstLineChars="200" w:firstLine="480"/>
        <w:jc w:val="both"/>
      </w:pPr>
      <w:r>
        <w:rPr>
          <w:rFonts w:ascii="宋体" w:hAnsi="宋体" w:eastAsia="宋体"/>
          <w:sz w:val="24"/>
        </w:rPr>
        <w:t xml:space="preserve">把这五套工作放在一起，可以清楚地看到既有制度供给的边界与本书的定位。五套体系分别产出的是并列的维度得分、达标基线或实测排名，它们回答的是「这一家的词元服务好不好」，属于多维评价；而运营中心的统一计量所需要的，是把不同模型、不同任务生成的异质词元合成为可比、可加、可入账的单一当量，回答的是「这一枚词元值多少枚基准词元」，属于当量折算。多维评价无法直接用于补贴核定与价格指数编制，因为多个维度的得分无法加总为一个可作分母的数量；当量折算则可以。本书第 5 章构建的三维效值折算体系正是为填补这一空白而设，其算力强度 </w:t>
      </w:r>
      <m:oMath>
        <m:r>
          <m:t>P</m:t>
        </m:r>
      </m:oMath>
      <w:r>
        <w:rPr>
          <w:rFonts w:ascii="宋体" w:hAnsi="宋体" w:eastAsia="宋体"/>
          <w:sz w:val="24"/>
        </w:rPr>
        <w:t xml:space="preserve">、推理质量 </w:t>
      </w:r>
      <m:oMath>
        <m:r>
          <m:t>R</m:t>
        </m:r>
      </m:oMath>
      <w:r>
        <w:rPr>
          <w:rFonts w:ascii="宋体" w:hAnsi="宋体" w:eastAsia="宋体"/>
          <w:sz w:val="24"/>
        </w:rPr>
        <w:t xml:space="preserve">、场景效用 </w:t>
      </w:r>
      <m:oMath>
        <m:r>
          <m:t>S</m:t>
        </m:r>
      </m:oMath>
      <w:r>
        <w:rPr>
          <w:rFonts w:ascii="宋体" w:hAnsi="宋体" w:eastAsia="宋体"/>
          <w:sz w:val="24"/>
        </w:rPr>
        <w:t xml:space="preserve"> 三维及其合成函数为作者自主构建的理论框架，与上述任何一家机构的评价维度均无对应关系，也不得被指称为任何机构的既有成果。从多维评价推进到当量折算，是本书相对既有工作的理论增量，也是城市词元运营中心把统一计量落到实处所必需的技术条件。</w:t>
      </w:r>
    </w:p>
    <w:p>
      <w:pPr>
        <w:keepNext/>
        <w:spacing w:before="160" w:after="120" w:line="360" w:lineRule="auto"/>
        <w:outlineLvl w:val="1"/>
      </w:pPr>
      <w:r>
        <w:rPr>
          <w:rFonts w:ascii="黑体" w:hAnsi="黑体" w:eastAsia="黑体"/>
          <w:sz w:val="28"/>
        </w:rPr>
        <w:t>10.5  平台—企业—政府三方演化博弈：均衡、阈值与补贴退出</w:t>
      </w:r>
    </w:p>
    <w:p>
      <w:pPr>
        <w:keepNext/>
        <w:spacing w:before="160" w:after="120" w:line="360" w:lineRule="auto"/>
        <w:outlineLvl w:val="2"/>
      </w:pPr>
      <w:r>
        <w:rPr>
          <w:rFonts w:ascii="黑体" w:hAnsi="黑体" w:eastAsia="黑体"/>
          <w:sz w:val="24"/>
        </w:rPr>
        <w:t>10.5.1  博弈设定与支付结构</w:t>
      </w:r>
    </w:p>
    <w:p>
      <w:pPr>
        <w:spacing w:line="360" w:lineRule="auto" w:after="0"/>
        <w:ind w:firstLineChars="200" w:firstLine="480"/>
        <w:jc w:val="both"/>
      </w:pPr>
      <w:r>
        <w:rPr>
          <w:rFonts w:ascii="宋体" w:hAnsi="宋体" w:eastAsia="宋体"/>
          <w:sz w:val="24"/>
        </w:rPr>
        <w:t xml:space="preserve">前三节确立了运营中心的组织形态与机制内容，但尚未回答一个动态问题：这样的制度安排能否自我维持？现实中的关切正在于此——地方政府担心补贴一旦退出平台就停摆，平台担心政府的支持不可持续，企业则在观望中推迟采纳。这是一个典型的多主体互动情形，参与者数量众多、理性有限、策略随收益反馈调整，适合以演化博弈刻画。设三类主体：平台（词元运营中心的运营方）、企业（词元需求方）、政府（补贴与政策的提供方）。平台的策略集为{深度运营，浅度运营}，深度运营指投入建设统一计量、统一结算与统一调度能力，浅度运营指仅做接口转售；企业的策略集为{深度采纳，浅度采纳}，深度采纳指把词元嵌入主业务流并改造工作流，浅度采纳指仅在边缘场景试用；政府的策略集为{强激励，弱激励}，强激励指技改补贴与政策抵扣并用，弱激励指仅做一般性引导。记选择前一策略的比例分别为 </w:t>
      </w:r>
      <m:oMath>
        <m:r>
          <m:t>x</m:t>
        </m:r>
      </m:oMath>
      <w:r>
        <w:rPr>
          <w:rFonts w:ascii="宋体" w:hAnsi="宋体" w:eastAsia="宋体"/>
          <w:sz w:val="24"/>
        </w:rPr>
        <w:t>、</w:t>
      </w:r>
      <m:oMath>
        <m:r>
          <m:t>y</m:t>
        </m:r>
      </m:oMath>
      <w:r>
        <w:rPr>
          <w:rFonts w:ascii="宋体" w:hAnsi="宋体" w:eastAsia="宋体"/>
          <w:sz w:val="24"/>
        </w:rPr>
        <w:t>、</w:t>
      </w:r>
      <m:oMath>
        <m:r>
          <m:t>z</m:t>
        </m:r>
      </m:oMath>
      <w:r>
        <w:rPr>
          <w:rFonts w:ascii="宋体" w:hAnsi="宋体" w:eastAsia="宋体"/>
          <w:sz w:val="24"/>
        </w:rPr>
        <w:t>。</w:t>
      </w:r>
    </w:p>
    <w:p>
      <w:pPr>
        <w:spacing w:line="360" w:lineRule="auto" w:after="0"/>
        <w:ind w:firstLineChars="200" w:firstLine="480"/>
        <w:jc w:val="both"/>
      </w:pPr>
      <w:r>
        <w:rPr>
          <w:rFonts w:ascii="宋体" w:hAnsi="宋体" w:eastAsia="宋体"/>
          <w:sz w:val="24"/>
        </w:rPr>
        <w:t>平台选择深度运营的净收益差由三部分构成：随企业采纳深度上升的运营收益、政府强激励下获得的补贴支持、以及统一平台带来的交易费用节约所转化的可占有份额，扣除深度运营的建设与维护成本。写作：</w:t>
      </w:r>
    </w:p>
    <w:p>
      <w:pPr>
        <w:tabs>
          <w:tab w:pos="4252" w:val="center"/>
          <w:tab w:pos="8504" w:val="right"/>
        </w:tabs>
        <w:spacing w:line="360" w:lineRule="auto" w:before="80" w:after="80"/>
      </w:pPr>
      <w:r>
        <w:tab/>
      </w:r>
      <m:oMath>
        <m:r>
          <m:t>Δ</m:t>
        </m:r>
        <m:sSub>
          <m:e>
            <m:r>
              <m:t>Π</m:t>
            </m:r>
          </m:e>
          <m:sub>
            <m:r>
              <m:t>P</m:t>
            </m:r>
          </m:sub>
        </m:sSub>
        <m:d>
          <m:dPr>
            <m:begChr m:val="("/>
            <m:endChr m:val=")"/>
            <m:grow/>
          </m:dPr>
          <m:e>
            <m:r>
              <m:t>y</m:t>
            </m:r>
            <m:r>
              <m:rPr>
                <m:sty m:val="p"/>
              </m:rPr>
              <m:t>,</m:t>
            </m:r>
            <m:r>
              <m:t>z</m:t>
            </m:r>
          </m:e>
        </m:d>
        <m:r>
          <m:rPr>
            <m:sty m:val="p"/>
          </m:rPr>
          <m:t>=</m:t>
        </m:r>
        <m:sSub>
          <m:e>
            <m:r>
              <m:t>R</m:t>
            </m:r>
          </m:e>
          <m:sub>
            <m:r>
              <m:t>P</m:t>
            </m:r>
          </m:sub>
        </m:sSub>
        <m:d>
          <m:dPr>
            <m:begChr m:val="("/>
            <m:endChr m:val=")"/>
            <m:grow/>
          </m:dPr>
          <m:e>
            <m:sSub>
              <m:e>
                <m:r>
                  <m:t>a</m:t>
                </m:r>
              </m:e>
              <m:sub>
                <m:r>
                  <m:t>0</m:t>
                </m:r>
              </m:sub>
            </m:sSub>
            <m:r>
              <m:rPr>
                <m:sty m:val="p"/>
              </m:rPr>
              <m:t>+</m:t>
            </m:r>
            <m:sSub>
              <m:e>
                <m:r>
                  <m:t>a</m:t>
                </m:r>
              </m:e>
              <m:sub>
                <m:r>
                  <m:t>1</m:t>
                </m:r>
              </m:sub>
            </m:sSub>
            <m:r>
              <m:t>y</m:t>
            </m:r>
          </m:e>
        </m:d>
        <m:r>
          <m:rPr>
            <m:sty m:val="p"/>
          </m:rPr>
          <m:t>+</m:t>
        </m:r>
        <m:r>
          <m:t>s</m:t>
        </m:r>
        <m:r>
          <m:t> </m:t>
        </m:r>
        <m:r>
          <m:t>z</m:t>
        </m:r>
        <m:r>
          <m:rPr>
            <m:sty m:val="p"/>
          </m:rPr>
          <m:t>+</m:t>
        </m:r>
        <m:r>
          <m:t>τ</m:t>
        </m:r>
        <m:r>
          <m:t> </m:t>
        </m:r>
        <m:r>
          <m:t>y</m:t>
        </m:r>
        <m:r>
          <m:rPr>
            <m:sty m:val="p"/>
          </m:rPr>
          <m:t>−</m:t>
        </m:r>
        <m:sSub>
          <m:e>
            <m:r>
              <m:t>c</m:t>
            </m:r>
          </m:e>
          <m:sub>
            <m:r>
              <m:t>P</m:t>
            </m:r>
          </m:sub>
        </m:sSub>
      </m:oMath>
      <w:r>
        <w:tab/>
      </w:r>
      <w:r>
        <w:rPr>
          <w:rFonts w:ascii="Times New Roman" w:hAnsi="Times New Roman" w:eastAsia="宋体"/>
          <w:sz w:val="24"/>
        </w:rPr>
        <w:t>(10-6)</w:t>
      </w:r>
    </w:p>
    <w:p>
      <w:pPr>
        <w:spacing w:line="360" w:lineRule="auto" w:after="0"/>
        <w:jc w:val="both"/>
      </w:pPr>
      <w:r>
        <w:rPr>
          <w:rFonts w:ascii="宋体" w:hAnsi="宋体" w:eastAsia="宋体"/>
          <w:sz w:val="24"/>
        </w:rPr>
        <w:t>其中，</w:t>
      </w:r>
      <m:oMath>
        <m:sSub>
          <m:e>
            <m:r>
              <m:t>R</m:t>
            </m:r>
          </m:e>
          <m:sub>
            <m:r>
              <m:t>P</m:t>
            </m:r>
          </m:sub>
        </m:sSub>
      </m:oMath>
      <w:r>
        <w:rPr>
          <w:rFonts w:ascii="宋体" w:hAnsi="宋体" w:eastAsia="宋体"/>
          <w:sz w:val="24"/>
        </w:rPr>
        <w:t>为平台深度运营的基准收益（校准值1.30），</w:t>
      </w:r>
      <m:oMath>
        <m:sSub>
          <m:e>
            <m:r>
              <m:t>a</m:t>
            </m:r>
          </m:e>
          <m:sub>
            <m:r>
              <m:t>0</m:t>
            </m:r>
          </m:sub>
        </m:sSub>
      </m:oMath>
      <w:r>
        <w:rPr>
          <w:rFonts w:ascii="宋体" w:hAnsi="宋体" w:eastAsia="宋体"/>
          <w:sz w:val="24"/>
        </w:rPr>
        <w:t>与</w:t>
      </w:r>
      <m:oMath>
        <m:sSub>
          <m:e>
            <m:r>
              <m:t>a</m:t>
            </m:r>
          </m:e>
          <m:sub>
            <m:r>
              <m:t>1</m:t>
            </m:r>
          </m:sub>
        </m:sSub>
      </m:oMath>
      <w:r>
        <w:rPr>
          <w:rFonts w:ascii="宋体" w:hAnsi="宋体" w:eastAsia="宋体"/>
          <w:sz w:val="24"/>
        </w:rPr>
        <w:t>为企业浅度采纳时的基础转化率及其随</w:t>
      </w:r>
      <m:oMath>
        <m:r>
          <m:t>y</m:t>
        </m:r>
      </m:oMath>
      <w:r>
        <w:rPr>
          <w:rFonts w:ascii="宋体" w:hAnsi="宋体" w:eastAsia="宋体"/>
          <w:sz w:val="24"/>
        </w:rPr>
        <w:t>的边际提升（分别取0.30与0.45），</w:t>
      </w:r>
      <m:oMath>
        <m:r>
          <m:t>s</m:t>
        </m:r>
      </m:oMath>
      <w:r>
        <w:rPr>
          <w:rFonts w:ascii="宋体" w:hAnsi="宋体" w:eastAsia="宋体"/>
          <w:sz w:val="24"/>
        </w:rPr>
        <w:t>为政府强激励下平台获得的支持强度（0.60），</w:t>
      </w:r>
      <m:oMath>
        <m:r>
          <m:t>τ</m:t>
        </m:r>
      </m:oMath>
      <w:r>
        <w:rPr>
          <w:rFonts w:ascii="宋体" w:hAnsi="宋体" w:eastAsia="宋体"/>
          <w:sz w:val="24"/>
        </w:rPr>
        <w:t>为式(10-5)定义的交易费用节约率（0.35），</w:t>
      </w:r>
      <m:oMath>
        <m:sSub>
          <m:e>
            <m:r>
              <m:t>c</m:t>
            </m:r>
          </m:e>
          <m:sub>
            <m:r>
              <m:t>P</m:t>
            </m:r>
          </m:sub>
        </m:sSub>
      </m:oMath>
      <w:r>
        <w:rPr>
          <w:rFonts w:ascii="宋体" w:hAnsi="宋体" w:eastAsia="宋体"/>
          <w:sz w:val="24"/>
        </w:rPr>
        <w:t>为深度运营的成本（0.90）。</w:t>
      </w:r>
    </w:p>
    <w:p>
      <w:pPr>
        <w:spacing w:line="360" w:lineRule="auto" w:after="0"/>
        <w:ind w:firstLineChars="200" w:firstLine="480"/>
        <w:jc w:val="both"/>
      </w:pPr>
      <w:r>
        <w:rPr>
          <w:rFonts w:ascii="宋体" w:hAnsi="宋体" w:eastAsia="宋体"/>
          <w:sz w:val="24"/>
        </w:rPr>
        <w:t>企业选择深度采纳的净收益差取决于其能从词元应用中获得的业务红利，而该红利的可实现程度又取决于平台的建设深度：接口是否统一、账单是否可核、模型是否可选，直接决定企业改造工作流的成功概率。政府的净收益差则相反，它随融合程度上升而下降：政府提供强激励的收益是避免错配损失，当平台与企业均已深度融合时，错配损失自然消失，继续补贴只剩成本。两式为：</w:t>
      </w:r>
    </w:p>
    <w:p>
      <w:pPr>
        <w:tabs>
          <w:tab w:pos="4252" w:val="center"/>
          <w:tab w:pos="8504" w:val="right"/>
        </w:tabs>
        <w:spacing w:line="360" w:lineRule="auto" w:before="80" w:after="80"/>
      </w:pPr>
      <w:r>
        <w:tab/>
      </w:r>
      <m:oMath>
        <m:r>
          <m:t>Δ</m:t>
        </m:r>
        <m:sSub>
          <m:e>
            <m:r>
              <m:t>Π</m:t>
            </m:r>
          </m:e>
          <m:sub>
            <m:r>
              <m:t>F</m:t>
            </m:r>
          </m:sub>
        </m:sSub>
        <m:d>
          <m:dPr>
            <m:begChr m:val="("/>
            <m:endChr m:val=")"/>
            <m:grow/>
          </m:dPr>
          <m:e>
            <m:r>
              <m:t>x</m:t>
            </m:r>
            <m:r>
              <m:rPr>
                <m:sty m:val="p"/>
              </m:rPr>
              <m:t>,</m:t>
            </m:r>
            <m:r>
              <m:t>z</m:t>
            </m:r>
          </m:e>
        </m:d>
        <m:r>
          <m:rPr>
            <m:sty m:val="p"/>
          </m:rPr>
          <m:t>=</m:t>
        </m:r>
        <m:sSub>
          <m:e>
            <m:r>
              <m:t>R</m:t>
            </m:r>
          </m:e>
          <m:sub>
            <m:r>
              <m:t>F</m:t>
            </m:r>
          </m:sub>
        </m:sSub>
        <m:d>
          <m:dPr>
            <m:begChr m:val="("/>
            <m:endChr m:val=")"/>
            <m:grow/>
          </m:dPr>
          <m:e>
            <m:sSub>
              <m:e>
                <m:r>
                  <m:t>b</m:t>
                </m:r>
              </m:e>
              <m:sub>
                <m:r>
                  <m:t>0</m:t>
                </m:r>
              </m:sub>
            </m:sSub>
            <m:r>
              <m:rPr>
                <m:sty m:val="p"/>
              </m:rPr>
              <m:t>+</m:t>
            </m:r>
            <m:sSub>
              <m:e>
                <m:r>
                  <m:t>b</m:t>
                </m:r>
              </m:e>
              <m:sub>
                <m:r>
                  <m:t>1</m:t>
                </m:r>
              </m:sub>
            </m:sSub>
            <m:r>
              <m:t>x</m:t>
            </m:r>
          </m:e>
        </m:d>
        <m:r>
          <m:rPr>
            <m:sty m:val="p"/>
          </m:rPr>
          <m:t>+</m:t>
        </m:r>
        <m:r>
          <m:t>σ</m:t>
        </m:r>
        <m:r>
          <m:t>s</m:t>
        </m:r>
        <m:r>
          <m:t> </m:t>
        </m:r>
        <m:r>
          <m:t>z</m:t>
        </m:r>
        <m:r>
          <m:rPr>
            <m:sty m:val="p"/>
          </m:rPr>
          <m:t>−</m:t>
        </m:r>
        <m:sSub>
          <m:e>
            <m:r>
              <m:t>c</m:t>
            </m:r>
          </m:e>
          <m:sub>
            <m:r>
              <m:t>F</m:t>
            </m:r>
          </m:sub>
        </m:sSub>
        <m:r>
          <m:rPr>
            <m:sty m:val="p"/>
          </m:rPr>
          <m:t>−</m:t>
        </m:r>
        <m:r>
          <m:t>e</m:t>
        </m:r>
        <m:r>
          <m:rPr>
            <m:sty m:val="p"/>
          </m:rPr>
          <m:t>,</m:t>
        </m:r>
        <m:r>
          <m:t>  </m:t>
        </m:r>
        <m:r>
          <m:t>Δ</m:t>
        </m:r>
        <m:sSub>
          <m:e>
            <m:r>
              <m:t>Π</m:t>
            </m:r>
          </m:e>
          <m:sub>
            <m:r>
              <m:t>G</m:t>
            </m:r>
          </m:sub>
        </m:sSub>
        <m:d>
          <m:dPr>
            <m:begChr m:val="("/>
            <m:endChr m:val=")"/>
            <m:grow/>
          </m:dPr>
          <m:e>
            <m:r>
              <m:t>x</m:t>
            </m:r>
            <m:r>
              <m:rPr>
                <m:sty m:val="p"/>
              </m:rPr>
              <m:t>,</m:t>
            </m:r>
            <m:r>
              <m:t>y</m:t>
            </m:r>
          </m:e>
        </m:d>
        <m:r>
          <m:rPr>
            <m:sty m:val="p"/>
          </m:rPr>
          <m:t>=</m:t>
        </m:r>
        <m:r>
          <m:t>L</m:t>
        </m:r>
        <m:d>
          <m:dPr>
            <m:begChr m:val="["/>
            <m:endChr m:val="]"/>
            <m:grow/>
          </m:dPr>
          <m:e>
            <m:sSub>
              <m:e>
                <m:r>
                  <m:t>g</m:t>
                </m:r>
              </m:e>
              <m:sub>
                <m:r>
                  <m:t>1</m:t>
                </m:r>
              </m:sub>
            </m:sSub>
            <m:d>
              <m:dPr>
                <m:begChr m:val="("/>
                <m:endChr m:val=")"/>
                <m:grow/>
              </m:dPr>
              <m:e>
                <m:r>
                  <m:t>1</m:t>
                </m:r>
                <m:r>
                  <m:rPr>
                    <m:sty m:val="p"/>
                  </m:rPr>
                  <m:t>−</m:t>
                </m:r>
                <m:r>
                  <m:t>y</m:t>
                </m:r>
              </m:e>
            </m:d>
            <m:r>
              <m:rPr>
                <m:sty m:val="p"/>
              </m:rPr>
              <m:t>+</m:t>
            </m:r>
            <m:sSub>
              <m:e>
                <m:r>
                  <m:t>g</m:t>
                </m:r>
              </m:e>
              <m:sub>
                <m:r>
                  <m:t>2</m:t>
                </m:r>
              </m:sub>
            </m:sSub>
            <m:d>
              <m:dPr>
                <m:begChr m:val="("/>
                <m:endChr m:val=")"/>
                <m:grow/>
              </m:dPr>
              <m:e>
                <m:r>
                  <m:t>1</m:t>
                </m:r>
                <m:r>
                  <m:rPr>
                    <m:sty m:val="p"/>
                  </m:rPr>
                  <m:t>−</m:t>
                </m:r>
                <m:r>
                  <m:t>x</m:t>
                </m:r>
              </m:e>
            </m:d>
          </m:e>
        </m:d>
        <m:r>
          <m:rPr>
            <m:sty m:val="p"/>
          </m:rPr>
          <m:t>−</m:t>
        </m:r>
        <m:sSub>
          <m:e>
            <m:r>
              <m:t>c</m:t>
            </m:r>
          </m:e>
          <m:sub>
            <m:r>
              <m:t>G</m:t>
            </m:r>
          </m:sub>
        </m:sSub>
        <m:r>
          <m:t>s</m:t>
        </m:r>
      </m:oMath>
      <w:r>
        <w:tab/>
      </w:r>
      <w:r>
        <w:rPr>
          <w:rFonts w:ascii="Times New Roman" w:hAnsi="Times New Roman" w:eastAsia="宋体"/>
          <w:sz w:val="24"/>
        </w:rPr>
        <w:t>(10-7)</w:t>
      </w:r>
    </w:p>
    <w:p>
      <w:pPr>
        <w:spacing w:line="360" w:lineRule="auto" w:after="0"/>
        <w:jc w:val="both"/>
      </w:pPr>
      <w:r>
        <w:rPr>
          <w:rFonts w:ascii="宋体" w:hAnsi="宋体" w:eastAsia="宋体"/>
          <w:sz w:val="24"/>
        </w:rPr>
        <w:t>其中，</w:t>
      </w:r>
      <m:oMath>
        <m:sSub>
          <m:e>
            <m:r>
              <m:t>R</m:t>
            </m:r>
          </m:e>
          <m:sub>
            <m:r>
              <m:t>F</m:t>
            </m:r>
          </m:sub>
        </m:sSub>
      </m:oMath>
      <w:r>
        <w:rPr>
          <w:rFonts w:ascii="宋体" w:hAnsi="宋体" w:eastAsia="宋体"/>
          <w:sz w:val="24"/>
        </w:rPr>
        <w:t>为企业深度采纳的业务红利，</w:t>
      </w:r>
      <m:oMath>
        <m:sSub>
          <m:e>
            <m:r>
              <m:t>b</m:t>
            </m:r>
          </m:e>
          <m:sub>
            <m:r>
              <m:t>0</m:t>
            </m:r>
          </m:sub>
        </m:sSub>
      </m:oMath>
      <w:r>
        <w:rPr>
          <w:rFonts w:ascii="宋体" w:hAnsi="宋体" w:eastAsia="宋体"/>
          <w:sz w:val="24"/>
        </w:rPr>
        <w:t>与</w:t>
      </w:r>
      <m:oMath>
        <m:sSub>
          <m:e>
            <m:r>
              <m:t>b</m:t>
            </m:r>
          </m:e>
          <m:sub>
            <m:r>
              <m:t>1</m:t>
            </m:r>
          </m:sub>
        </m:sSub>
      </m:oMath>
      <w:r>
        <w:rPr>
          <w:rFonts w:ascii="宋体" w:hAnsi="宋体" w:eastAsia="宋体"/>
          <w:sz w:val="24"/>
        </w:rPr>
        <w:t>为平台浅度运营时的基础红利实现率及其随</w:t>
      </w:r>
      <m:oMath>
        <m:r>
          <m:t>x</m:t>
        </m:r>
      </m:oMath>
      <w:r>
        <w:rPr>
          <w:rFonts w:ascii="宋体" w:hAnsi="宋体" w:eastAsia="宋体"/>
          <w:sz w:val="24"/>
        </w:rPr>
        <w:t>的边际提升（分别取0.20与0.40），</w:t>
      </w:r>
      <m:oMath>
        <m:r>
          <m:t>σ</m:t>
        </m:r>
      </m:oMath>
      <w:r>
        <w:rPr>
          <w:rFonts w:ascii="宋体" w:hAnsi="宋体" w:eastAsia="宋体"/>
          <w:sz w:val="24"/>
        </w:rPr>
        <w:t>为企业可分享的补贴比例（0.25），</w:t>
      </w:r>
      <m:oMath>
        <m:sSub>
          <m:e>
            <m:r>
              <m:t>c</m:t>
            </m:r>
          </m:e>
          <m:sub>
            <m:r>
              <m:t>F</m:t>
            </m:r>
          </m:sub>
        </m:sSub>
      </m:oMath>
      <w:r>
        <w:rPr>
          <w:rFonts w:ascii="宋体" w:hAnsi="宋体" w:eastAsia="宋体"/>
          <w:sz w:val="24"/>
        </w:rPr>
        <w:t>为深度采纳的持续成本，</w:t>
      </w:r>
      <m:oMath>
        <m:r>
          <m:t>e</m:t>
        </m:r>
      </m:oMath>
      <w:r>
        <w:rPr>
          <w:rFonts w:ascii="宋体" w:hAnsi="宋体" w:eastAsia="宋体"/>
          <w:sz w:val="24"/>
        </w:rPr>
        <w:t>为一次性转换成本（0.08）；</w:t>
      </w:r>
      <m:oMath>
        <m:r>
          <m:t>L</m:t>
        </m:r>
      </m:oMath>
      <w:r>
        <w:rPr>
          <w:rFonts w:ascii="宋体" w:hAnsi="宋体" w:eastAsia="宋体"/>
          <w:sz w:val="24"/>
        </w:rPr>
        <w:t>为错配损失（0.90），</w:t>
      </w:r>
      <m:oMath>
        <m:sSub>
          <m:e>
            <m:r>
              <m:t>g</m:t>
            </m:r>
          </m:e>
          <m:sub>
            <m:r>
              <m:t>1</m:t>
            </m:r>
          </m:sub>
        </m:sSub>
      </m:oMath>
      <w:r>
        <w:rPr>
          <w:rFonts w:ascii="宋体" w:hAnsi="宋体" w:eastAsia="宋体"/>
          <w:sz w:val="24"/>
        </w:rPr>
        <w:t>与</w:t>
      </w:r>
      <m:oMath>
        <m:sSub>
          <m:e>
            <m:r>
              <m:t>g</m:t>
            </m:r>
          </m:e>
          <m:sub>
            <m:r>
              <m:t>2</m:t>
            </m:r>
          </m:sub>
        </m:sSub>
      </m:oMath>
      <w:r>
        <w:rPr>
          <w:rFonts w:ascii="宋体" w:hAnsi="宋体" w:eastAsia="宋体"/>
          <w:sz w:val="24"/>
        </w:rPr>
        <w:t>为该损失中企业侧与平台侧的权重（0.75与0.25），</w:t>
      </w:r>
      <m:oMath>
        <m:sSub>
          <m:e>
            <m:r>
              <m:t>c</m:t>
            </m:r>
          </m:e>
          <m:sub>
            <m:r>
              <m:t>G</m:t>
            </m:r>
          </m:sub>
        </m:sSub>
      </m:oMath>
      <w:r>
        <w:rPr>
          <w:rFonts w:ascii="宋体" w:hAnsi="宋体" w:eastAsia="宋体"/>
          <w:sz w:val="24"/>
        </w:rPr>
        <w:t>为政府提供单位补贴的财政成本系数（0.80）。</w:t>
      </w:r>
    </w:p>
    <w:p>
      <w:pPr>
        <w:spacing w:line="360" w:lineRule="auto" w:after="0"/>
        <w:ind w:firstLineChars="200" w:firstLine="480"/>
        <w:jc w:val="both"/>
      </w:pPr>
      <w:r>
        <w:rPr>
          <w:rFonts w:ascii="宋体" w:hAnsi="宋体" w:eastAsia="宋体"/>
          <w:sz w:val="24"/>
        </w:rPr>
        <w:t xml:space="preserve">支付结构的三处设定值得说明其经济依据。第一，平台收益中 </w:t>
      </w:r>
      <m:oMath>
        <m:r>
          <m:t>τ</m:t>
        </m:r>
        <m:r>
          <m:t>y</m:t>
        </m:r>
      </m:oMath>
      <w:r>
        <w:rPr>
          <w:rFonts w:ascii="宋体" w:hAnsi="宋体" w:eastAsia="宋体"/>
          <w:sz w:val="24"/>
        </w:rPr>
        <w:t xml:space="preserve"> 一项把 10.4 节的交易费用节约显性地写入支付函数，其含义是节约下来的交易费用中有一部分被平台以服务费形式占有——若该项为零，则统一计量与统一结算对平台而言纯粹是成本，机制将无法自我维持，这一点在 10.5.3 节的阈值分析中将得到量化。第二，企业红利 </w:t>
      </w:r>
      <m:oMath>
        <m:sSub>
          <m:e>
            <m:r>
              <m:t>R</m:t>
            </m:r>
          </m:e>
          <m:sub>
            <m:r>
              <m:t>F</m:t>
            </m:r>
          </m:sub>
        </m:sSub>
      </m:oMath>
      <w:r>
        <w:rPr>
          <w:rFonts w:ascii="宋体" w:hAnsi="宋体" w:eastAsia="宋体"/>
          <w:sz w:val="24"/>
        </w:rPr>
        <w:t xml:space="preserve"> 被设定为随平台建设深度线性放大，这与第 6 章价值实现链条的结论一致：词元的价值不在生成环节实现，而在嵌入业务流程后实现，而嵌入的难度直接由接口、计量与结算的统一程度决定。第三，政府的收益被设定为避免错配损失而非直接的财政回报，其中企业侧权重高于平台侧，反映的是第 9 章的判断：匹配损失主要发生在任务与模型的对接环节，而非平台自身的建设环节。</w:t>
      </w:r>
    </w:p>
    <w:p>
      <w:pPr>
        <w:keepNext/>
        <w:spacing w:before="160" w:after="120" w:line="360" w:lineRule="auto"/>
        <w:outlineLvl w:val="2"/>
      </w:pPr>
      <w:r>
        <w:rPr>
          <w:rFonts w:ascii="黑体" w:hAnsi="黑体" w:eastAsia="黑体"/>
          <w:sz w:val="24"/>
        </w:rPr>
        <w:t>10.5.2  复制动态与均衡结构</w:t>
      </w:r>
    </w:p>
    <w:p>
      <w:pPr>
        <w:spacing w:line="360" w:lineRule="auto" w:after="0"/>
        <w:ind w:firstLineChars="200" w:firstLine="480"/>
        <w:jc w:val="both"/>
      </w:pPr>
      <w:r>
        <w:rPr>
          <w:rFonts w:ascii="宋体" w:hAnsi="宋体" w:eastAsia="宋体"/>
          <w:sz w:val="24"/>
        </w:rPr>
        <w:t>在有限理性与策略模仿的假定下，采用某一策略的主体比例按其相对收益优势增长，得到三方复制动态方程组：</w:t>
      </w:r>
    </w:p>
    <w:p>
      <w:pPr>
        <w:tabs>
          <w:tab w:pos="4252" w:val="center"/>
          <w:tab w:pos="8504" w:val="right"/>
        </w:tabs>
        <w:spacing w:line="360" w:lineRule="auto" w:before="80" w:after="80"/>
      </w:pPr>
      <w:r>
        <w:tab/>
      </w:r>
      <m:oMath>
        <m:acc>
          <m:accPr>
            <m:chr m:val="̇"/>
          </m:accPr>
          <m:e>
            <m:r>
              <m:t>x</m:t>
            </m:r>
          </m:e>
        </m:acc>
        <m:r>
          <m:rPr>
            <m:sty m:val="p"/>
          </m:rPr>
          <m:t>=</m:t>
        </m:r>
        <m:r>
          <m:t>κ</m:t>
        </m:r>
        <m:r>
          <m:t> </m:t>
        </m:r>
        <m:r>
          <m:t>x</m:t>
        </m:r>
        <m:d>
          <m:dPr>
            <m:begChr m:val="("/>
            <m:endChr m:val=")"/>
            <m:grow/>
          </m:dPr>
          <m:e>
            <m:r>
              <m:t>1</m:t>
            </m:r>
            <m:r>
              <m:rPr>
                <m:sty m:val="p"/>
              </m:rPr>
              <m:t>−</m:t>
            </m:r>
            <m:r>
              <m:t>x</m:t>
            </m:r>
          </m:e>
        </m:d>
        <m:r>
          <m:t> </m:t>
        </m:r>
        <m:r>
          <m:t>Δ</m:t>
        </m:r>
        <m:sSub>
          <m:e>
            <m:r>
              <m:t>Π</m:t>
            </m:r>
          </m:e>
          <m:sub>
            <m:r>
              <m:t>P</m:t>
            </m:r>
          </m:sub>
        </m:sSub>
        <m:r>
          <m:rPr>
            <m:sty m:val="p"/>
          </m:rPr>
          <m:t>,</m:t>
        </m:r>
        <m:r>
          <m:t>  </m:t>
        </m:r>
        <m:acc>
          <m:accPr>
            <m:chr m:val="̇"/>
          </m:accPr>
          <m:e>
            <m:r>
              <m:t>y</m:t>
            </m:r>
          </m:e>
        </m:acc>
        <m:r>
          <m:rPr>
            <m:sty m:val="p"/>
          </m:rPr>
          <m:t>=</m:t>
        </m:r>
        <m:r>
          <m:t>κ</m:t>
        </m:r>
        <m:r>
          <m:t> </m:t>
        </m:r>
        <m:r>
          <m:t>y</m:t>
        </m:r>
        <m:d>
          <m:dPr>
            <m:begChr m:val="("/>
            <m:endChr m:val=")"/>
            <m:grow/>
          </m:dPr>
          <m:e>
            <m:r>
              <m:t>1</m:t>
            </m:r>
            <m:r>
              <m:rPr>
                <m:sty m:val="p"/>
              </m:rPr>
              <m:t>−</m:t>
            </m:r>
            <m:r>
              <m:t>y</m:t>
            </m:r>
          </m:e>
        </m:d>
        <m:r>
          <m:t> </m:t>
        </m:r>
        <m:r>
          <m:t>Δ</m:t>
        </m:r>
        <m:sSub>
          <m:e>
            <m:r>
              <m:t>Π</m:t>
            </m:r>
          </m:e>
          <m:sub>
            <m:r>
              <m:t>F</m:t>
            </m:r>
          </m:sub>
        </m:sSub>
        <m:r>
          <m:rPr>
            <m:sty m:val="p"/>
          </m:rPr>
          <m:t>,</m:t>
        </m:r>
        <m:r>
          <m:t>  </m:t>
        </m:r>
        <m:acc>
          <m:accPr>
            <m:chr m:val="̇"/>
          </m:accPr>
          <m:e>
            <m:r>
              <m:t>z</m:t>
            </m:r>
          </m:e>
        </m:acc>
        <m:r>
          <m:rPr>
            <m:sty m:val="p"/>
          </m:rPr>
          <m:t>=</m:t>
        </m:r>
        <m:r>
          <m:t>κ</m:t>
        </m:r>
        <m:r>
          <m:t> </m:t>
        </m:r>
        <m:r>
          <m:t>z</m:t>
        </m:r>
        <m:d>
          <m:dPr>
            <m:begChr m:val="("/>
            <m:endChr m:val=")"/>
            <m:grow/>
          </m:dPr>
          <m:e>
            <m:r>
              <m:t>1</m:t>
            </m:r>
            <m:r>
              <m:rPr>
                <m:sty m:val="p"/>
              </m:rPr>
              <m:t>−</m:t>
            </m:r>
            <m:r>
              <m:t>z</m:t>
            </m:r>
          </m:e>
        </m:d>
        <m:r>
          <m:t> </m:t>
        </m:r>
        <m:r>
          <m:t>Δ</m:t>
        </m:r>
        <m:sSub>
          <m:e>
            <m:r>
              <m:t>Π</m:t>
            </m:r>
          </m:e>
          <m:sub>
            <m:r>
              <m:t>G</m:t>
            </m:r>
          </m:sub>
        </m:sSub>
      </m:oMath>
      <w:r>
        <w:tab/>
      </w:r>
      <w:r>
        <w:rPr>
          <w:rFonts w:ascii="Times New Roman" w:hAnsi="Times New Roman" w:eastAsia="宋体"/>
          <w:sz w:val="24"/>
        </w:rPr>
        <w:t>(10-8)</w:t>
      </w:r>
    </w:p>
    <w:p>
      <w:pPr>
        <w:spacing w:line="360" w:lineRule="auto" w:after="0"/>
        <w:jc w:val="both"/>
      </w:pPr>
      <w:r>
        <w:rPr>
          <w:rFonts w:ascii="宋体" w:hAnsi="宋体" w:eastAsia="宋体"/>
          <w:sz w:val="24"/>
        </w:rPr>
        <w:t>其中，</w:t>
      </w:r>
      <m:oMath>
        <m:r>
          <m:t>κ</m:t>
        </m:r>
      </m:oMath>
      <w:r>
        <w:rPr>
          <w:rFonts w:ascii="宋体" w:hAnsi="宋体" w:eastAsia="宋体"/>
          <w:sz w:val="24"/>
        </w:rPr>
        <w:t>为策略调整速度（取1.0）；三式的乘积结构表明，任一比例趋于 0 或 1 时该策略的调整速度趋于零，系统的动态完全由三个净收益差的符号决定。</w:t>
      </w:r>
    </w:p>
    <w:p>
      <w:pPr>
        <w:spacing w:line="360" w:lineRule="auto" w:after="0"/>
        <w:ind w:firstLineChars="200" w:firstLine="480"/>
        <w:jc w:val="both"/>
      </w:pPr>
      <w:r>
        <w:rPr>
          <w:rFonts w:ascii="宋体" w:hAnsi="宋体" w:eastAsia="宋体"/>
          <w:sz w:val="24"/>
        </w:rPr>
        <w:t xml:space="preserve">式(10-8)的均衡点包括立方体 </w:t>
      </w:r>
      <m:oMath>
        <m:sSup>
          <m:e>
            <m:d>
              <m:dPr>
                <m:begChr m:val="["/>
                <m:endChr m:val="]"/>
                <m:grow/>
              </m:dPr>
              <m:e>
                <m:r>
                  <m:t>0</m:t>
                </m:r>
                <m:r>
                  <m:rPr>
                    <m:sty m:val="p"/>
                  </m:rPr>
                  <m:t>,</m:t>
                </m:r>
                <m:r>
                  <m:t>1</m:t>
                </m:r>
              </m:e>
            </m:d>
          </m:e>
          <m:sup>
            <m:r>
              <m:t>3</m:t>
            </m:r>
          </m:sup>
        </m:sSup>
      </m:oMath>
      <w:r>
        <w:rPr>
          <w:rFonts w:ascii="宋体" w:hAnsi="宋体" w:eastAsia="宋体"/>
          <w:sz w:val="24"/>
        </w:rPr>
        <w:t xml:space="preserve"> 的八个顶点以及若干边界与内部驻点。在三方演化博弈中，内部驻点与边界驻点均不可能是演化稳定策略，因为它们至少在一个方向上不满足严格的收益劣势条件，故只需考察八个纯策略顶点的渐近稳定性：顶点稳定当且仅当在该点处三个净收益差对各自策略均给出「向内」的方向，即选择该顶点策略者收益严格更高。逐一检验可知，在本节的参数结构下，只有两个顶点可能稳定。其一是 </w:t>
      </w:r>
      <m:oMath>
        <m:d>
          <m:dPr>
            <m:begChr m:val="("/>
            <m:endChr m:val=")"/>
            <m:grow/>
          </m:dPr>
          <m:e>
            <m:r>
              <m:t>1</m:t>
            </m:r>
            <m:r>
              <m:rPr>
                <m:sty m:val="p"/>
              </m:rPr>
              <m:t>,</m:t>
            </m:r>
            <m:r>
              <m:t>0</m:t>
            </m:r>
            <m:r>
              <m:rPr>
                <m:sty m:val="p"/>
              </m:rPr>
              <m:t>,</m:t>
            </m:r>
            <m:r>
              <m:t>1</m:t>
            </m:r>
          </m:e>
        </m:d>
      </m:oMath>
      <w:r>
        <w:rPr>
          <w:rFonts w:ascii="宋体" w:hAnsi="宋体" w:eastAsia="宋体"/>
          <w:sz w:val="24"/>
        </w:rPr>
        <w:t xml:space="preserve">：平台深度运营、企业浅度采纳、政府强激励——平台被补贴托住、企业不跟进、政府因错配损失仍在而无法退出，本书称之为「平台热、企业冷」的补贴锁定均衡。其二是 </w:t>
      </w:r>
      <m:oMath>
        <m:d>
          <m:dPr>
            <m:begChr m:val="("/>
            <m:endChr m:val=")"/>
            <m:grow/>
          </m:dPr>
          <m:e>
            <m:r>
              <m:t>1</m:t>
            </m:r>
            <m:r>
              <m:rPr>
                <m:sty m:val="p"/>
              </m:rPr>
              <m:t>,</m:t>
            </m:r>
            <m:r>
              <m:t>1</m:t>
            </m:r>
            <m:r>
              <m:rPr>
                <m:sty m:val="p"/>
              </m:rPr>
              <m:t>,</m:t>
            </m:r>
            <m:r>
              <m:t>0</m:t>
            </m:r>
          </m:e>
        </m:d>
      </m:oMath>
      <w:r>
        <w:rPr>
          <w:rFonts w:ascii="宋体" w:hAnsi="宋体" w:eastAsia="宋体"/>
          <w:sz w:val="24"/>
        </w:rPr>
        <w:t xml:space="preserve">：平台深度运营、企业深度采纳、政府退出强激励——这是制度设计所追求的融合稳态。两者的分野不在于平台是否努力，而在于企业红利 </w:t>
      </w:r>
      <m:oMath>
        <m:sSub>
          <m:e>
            <m:r>
              <m:t>R</m:t>
            </m:r>
          </m:e>
          <m:sub>
            <m:r>
              <m:t>F</m:t>
            </m:r>
          </m:sub>
        </m:sSub>
      </m:oMath>
      <w:r>
        <w:rPr>
          <w:rFonts w:ascii="宋体" w:hAnsi="宋体" w:eastAsia="宋体"/>
          <w:sz w:val="24"/>
        </w:rPr>
        <w:t xml:space="preserve"> 是否越过某一临界值，这正是下一小节要求解的对象。</w:t>
      </w:r>
    </w:p>
    <w:p>
      <w:pPr>
        <w:spacing w:line="360" w:lineRule="auto" w:after="0"/>
        <w:ind w:firstLineChars="200" w:firstLine="480"/>
        <w:jc w:val="both"/>
      </w:pPr>
      <w:r>
        <w:rPr>
          <w:rFonts w:ascii="宋体" w:hAnsi="宋体" w:eastAsia="宋体"/>
          <w:sz w:val="24"/>
        </w:rPr>
        <w:t>这里有一个容易被忽视的结构性事实：政府是三方中唯一其收益随他方策略上升而下降的主体。</w:t>
      </w:r>
      <m:oMath>
        <m:r>
          <m:t>Δ</m:t>
        </m:r>
        <m:sSub>
          <m:e>
            <m:r>
              <m:t>Π</m:t>
            </m:r>
          </m:e>
          <m:sub>
            <m:r>
              <m:t>G</m:t>
            </m:r>
          </m:sub>
        </m:sSub>
      </m:oMath>
      <w:r>
        <w:rPr>
          <w:rFonts w:ascii="宋体" w:hAnsi="宋体" w:eastAsia="宋体"/>
          <w:sz w:val="24"/>
        </w:rPr>
        <w:t xml:space="preserve"> 对 </w:t>
      </w:r>
      <m:oMath>
        <m:r>
          <m:t>y</m:t>
        </m:r>
      </m:oMath>
      <w:r>
        <w:rPr>
          <w:rFonts w:ascii="宋体" w:hAnsi="宋体" w:eastAsia="宋体"/>
          <w:sz w:val="24"/>
        </w:rPr>
        <w:t xml:space="preserve"> 与 </w:t>
      </w:r>
      <m:oMath>
        <m:r>
          <m:t>x</m:t>
        </m:r>
      </m:oMath>
      <w:r>
        <w:rPr>
          <w:rFonts w:ascii="宋体" w:hAnsi="宋体" w:eastAsia="宋体"/>
          <w:sz w:val="24"/>
        </w:rPr>
        <w:t xml:space="preserve"> 均为负导数，意味着政府的强激励在设计上就是自我消解的——它成功的标志正是自身变得不必要。这与平台和企业的正反馈结构形成鲜明对照，也决定了补贴退出不是一个需要外部意志推动的决定，而是均衡路径本身的组成部分。真正的政策难题因此不是「要不要退出」，而是「在哪一点退出才不会引发回摆」，这需要把政府的私人退出条件与系统的自我维持条件区分开来。</w:t>
      </w:r>
    </w:p>
    <w:p>
      <w:pPr>
        <w:keepNext/>
        <w:spacing w:before="160" w:after="120" w:line="360" w:lineRule="auto"/>
        <w:outlineLvl w:val="2"/>
      </w:pPr>
      <w:r>
        <w:rPr>
          <w:rFonts w:ascii="黑体" w:hAnsi="黑体" w:eastAsia="黑体"/>
          <w:sz w:val="24"/>
        </w:rPr>
        <w:t>10.5.3  三重阈值：企业跃迁、政府退出与平台自维持</w:t>
      </w:r>
    </w:p>
    <w:p>
      <w:pPr>
        <w:spacing w:line="360" w:lineRule="auto" w:after="0"/>
        <w:ind w:firstLineChars="200" w:firstLine="480"/>
        <w:jc w:val="both"/>
      </w:pPr>
      <w:r>
        <w:rPr>
          <w:rFonts w:ascii="宋体" w:hAnsi="宋体" w:eastAsia="宋体"/>
          <w:sz w:val="24"/>
        </w:rPr>
        <w:t xml:space="preserve">先求企业侧的跃迁阈值。令 </w:t>
      </w:r>
      <m:oMath>
        <m:r>
          <m:t>Δ</m:t>
        </m:r>
        <m:sSub>
          <m:e>
            <m:r>
              <m:t>Π</m:t>
            </m:r>
          </m:e>
          <m:sub>
            <m:r>
              <m:t>F</m:t>
            </m:r>
          </m:sub>
        </m:sSub>
        <m:r>
          <m:rPr>
            <m:sty m:val="p"/>
          </m:rPr>
          <m:t>=</m:t>
        </m:r>
        <m:r>
          <m:t>0</m:t>
        </m:r>
      </m:oMath>
      <w:r>
        <w:rPr>
          <w:rFonts w:ascii="宋体" w:hAnsi="宋体" w:eastAsia="宋体"/>
          <w:sz w:val="24"/>
        </w:rPr>
        <w:t>，在平台已完全深度运营（</w:t>
      </w:r>
      <m:oMath>
        <m:r>
          <m:t>x</m:t>
        </m:r>
        <m:r>
          <m:rPr>
            <m:sty m:val="p"/>
          </m:rPr>
          <m:t>=</m:t>
        </m:r>
        <m:r>
          <m:t>1</m:t>
        </m:r>
      </m:oMath>
      <w:r>
        <w:rPr>
          <w:rFonts w:ascii="宋体" w:hAnsi="宋体" w:eastAsia="宋体"/>
          <w:sz w:val="24"/>
        </w:rPr>
        <w:t>）的条件下解出临界业务红利，并把同一条件改写为对平台建设深度的要求，得：</w:t>
      </w:r>
    </w:p>
    <w:p>
      <w:pPr>
        <w:tabs>
          <w:tab w:pos="4252" w:val="center"/>
          <w:tab w:pos="8504" w:val="right"/>
        </w:tabs>
        <w:spacing w:line="360" w:lineRule="auto" w:before="80" w:after="80"/>
      </w:pPr>
      <w:r>
        <w:tab/>
      </w:r>
      <m:oMath>
        <m:sSubSup>
          <m:e>
            <m:r>
              <m:t>R</m:t>
            </m:r>
          </m:e>
          <m:sub>
            <m:r>
              <m:t>F</m:t>
            </m:r>
          </m:sub>
          <m:sup>
            <m:r>
              <m:t>c</m:t>
            </m:r>
          </m:sup>
        </m:sSubSup>
        <m:r>
          <m:rPr>
            <m:sty m:val="p"/>
          </m:rPr>
          <m:t>=</m:t>
        </m:r>
        <m:f>
          <m:fPr>
            <m:type m:val="bar"/>
          </m:fPr>
          <m:num>
            <m:sSub>
              <m:e>
                <m:r>
                  <m:t>c</m:t>
                </m:r>
              </m:e>
              <m:sub>
                <m:r>
                  <m:t>F</m:t>
                </m:r>
              </m:sub>
            </m:sSub>
            <m:r>
              <m:rPr>
                <m:sty m:val="p"/>
              </m:rPr>
              <m:t>+</m:t>
            </m:r>
            <m:r>
              <m:t>e</m:t>
            </m:r>
            <m:r>
              <m:rPr>
                <m:sty m:val="p"/>
              </m:rPr>
              <m:t>−</m:t>
            </m:r>
            <m:r>
              <m:t>σ</m:t>
            </m:r>
            <m:r>
              <m:t>s</m:t>
            </m:r>
            <m:r>
              <m:t>z</m:t>
            </m:r>
          </m:num>
          <m:den>
            <m:sSub>
              <m:e>
                <m:r>
                  <m:t>b</m:t>
                </m:r>
              </m:e>
              <m:sub>
                <m:r>
                  <m:t>0</m:t>
                </m:r>
              </m:sub>
            </m:sSub>
            <m:r>
              <m:rPr>
                <m:sty m:val="p"/>
              </m:rPr>
              <m:t>+</m:t>
            </m:r>
            <m:sSub>
              <m:e>
                <m:r>
                  <m:t>b</m:t>
                </m:r>
              </m:e>
              <m:sub>
                <m:r>
                  <m:t>1</m:t>
                </m:r>
              </m:sub>
            </m:sSub>
          </m:den>
        </m:f>
        <m:r>
          <m:rPr>
            <m:sty m:val="p"/>
          </m:rPr>
          <m:t>,</m:t>
        </m:r>
        <m:r>
          <m:t>  </m:t>
        </m:r>
        <m:sSup>
          <m:e>
            <m:r>
              <m:t>x</m:t>
            </m:r>
          </m:e>
          <m:sup>
            <m:r>
              <m:t>c</m:t>
            </m:r>
          </m:sup>
        </m:sSup>
        <m:d>
          <m:dPr>
            <m:begChr m:val="("/>
            <m:endChr m:val=")"/>
            <m:grow/>
          </m:dPr>
          <m:e>
            <m:r>
              <m:t>z</m:t>
            </m:r>
          </m:e>
        </m:d>
        <m:r>
          <m:rPr>
            <m:sty m:val="p"/>
          </m:rPr>
          <m:t>=</m:t>
        </m:r>
        <m:f>
          <m:fPr>
            <m:type m:val="bar"/>
          </m:fPr>
          <m:num>
            <m:r>
              <m:t>1</m:t>
            </m:r>
          </m:num>
          <m:den>
            <m:sSub>
              <m:e>
                <m:r>
                  <m:t>b</m:t>
                </m:r>
              </m:e>
              <m:sub>
                <m:r>
                  <m:t>1</m:t>
                </m:r>
              </m:sub>
            </m:sSub>
          </m:den>
        </m:f>
        <m:d>
          <m:dPr>
            <m:begChr m:val="["/>
            <m:endChr m:val="]"/>
            <m:grow/>
          </m:dPr>
          <m:e>
            <m:f>
              <m:fPr>
                <m:type m:val="bar"/>
              </m:fPr>
              <m:num>
                <m:sSub>
                  <m:e>
                    <m:r>
                      <m:t>c</m:t>
                    </m:r>
                  </m:e>
                  <m:sub>
                    <m:r>
                      <m:t>F</m:t>
                    </m:r>
                  </m:sub>
                </m:sSub>
                <m:r>
                  <m:rPr>
                    <m:sty m:val="p"/>
                  </m:rPr>
                  <m:t>+</m:t>
                </m:r>
                <m:r>
                  <m:t>e</m:t>
                </m:r>
                <m:r>
                  <m:rPr>
                    <m:sty m:val="p"/>
                  </m:rPr>
                  <m:t>−</m:t>
                </m:r>
                <m:r>
                  <m:t>σ</m:t>
                </m:r>
                <m:r>
                  <m:t>s</m:t>
                </m:r>
                <m:r>
                  <m:t>z</m:t>
                </m:r>
              </m:num>
              <m:den>
                <m:sSub>
                  <m:e>
                    <m:r>
                      <m:t>R</m:t>
                    </m:r>
                  </m:e>
                  <m:sub>
                    <m:r>
                      <m:t>F</m:t>
                    </m:r>
                  </m:sub>
                </m:sSub>
              </m:den>
            </m:f>
            <m:r>
              <m:rPr>
                <m:sty m:val="p"/>
              </m:rPr>
              <m:t>−</m:t>
            </m:r>
            <m:sSub>
              <m:e>
                <m:r>
                  <m:t>b</m:t>
                </m:r>
              </m:e>
              <m:sub>
                <m:r>
                  <m:t>0</m:t>
                </m:r>
              </m:sub>
            </m:sSub>
          </m:e>
        </m:d>
      </m:oMath>
      <w:r>
        <w:tab/>
      </w:r>
      <w:r>
        <w:rPr>
          <w:rFonts w:ascii="Times New Roman" w:hAnsi="Times New Roman" w:eastAsia="宋体"/>
          <w:sz w:val="24"/>
        </w:rPr>
        <w:t>(10-9)</w:t>
      </w:r>
    </w:p>
    <w:p>
      <w:pPr>
        <w:spacing w:line="360" w:lineRule="auto" w:after="0"/>
        <w:jc w:val="both"/>
      </w:pPr>
      <w:r>
        <w:rPr>
          <w:rFonts w:ascii="宋体" w:hAnsi="宋体" w:eastAsia="宋体"/>
          <w:sz w:val="24"/>
        </w:rPr>
        <w:t>其中，</w:t>
      </w:r>
      <m:oMath>
        <m:sSubSup>
          <m:e>
            <m:r>
              <m:t>R</m:t>
            </m:r>
          </m:e>
          <m:sub>
            <m:r>
              <m:t>F</m:t>
            </m:r>
          </m:sub>
          <m:sup>
            <m:r>
              <m:t>c</m:t>
            </m:r>
          </m:sup>
        </m:sSubSup>
      </m:oMath>
      <w:r>
        <w:rPr>
          <w:rFonts w:ascii="宋体" w:hAnsi="宋体" w:eastAsia="宋体"/>
          <w:sz w:val="24"/>
        </w:rPr>
        <w:t>为企业深度采纳成为演化稳定策略所需的临界业务红利，</w:t>
      </w:r>
      <m:oMath>
        <m:sSup>
          <m:e>
            <m:r>
              <m:t>x</m:t>
            </m:r>
          </m:e>
          <m:sup>
            <m:r>
              <m:t>c</m:t>
            </m:r>
          </m:sup>
        </m:sSup>
        <m:d>
          <m:dPr>
            <m:begChr m:val="("/>
            <m:endChr m:val=")"/>
            <m:grow/>
          </m:dPr>
          <m:e>
            <m:r>
              <m:t>z</m:t>
            </m:r>
          </m:e>
        </m:d>
      </m:oMath>
      <w:r>
        <w:rPr>
          <w:rFonts w:ascii="宋体" w:hAnsi="宋体" w:eastAsia="宋体"/>
          <w:sz w:val="24"/>
        </w:rPr>
        <w:t>为给定红利与补贴强度下企业愿意跟进所要求的平台建设深度；二者是同一条件的两种表述。</w:t>
      </w:r>
    </w:p>
    <w:p>
      <w:pPr>
        <w:spacing w:line="360" w:lineRule="auto" w:after="0"/>
        <w:ind w:firstLineChars="200" w:firstLine="480"/>
        <w:jc w:val="both"/>
      </w:pPr>
      <w:r>
        <w:rPr>
          <w:rFonts w:ascii="宋体" w:hAnsi="宋体" w:eastAsia="宋体"/>
          <w:sz w:val="24"/>
        </w:rPr>
        <w:t>代入参数可得三组数量结论。第一，在政府维持强激励（</w:t>
      </w:r>
      <m:oMath>
        <m:r>
          <m:t>z</m:t>
        </m:r>
        <m:r>
          <m:rPr>
            <m:sty m:val="p"/>
          </m:rPr>
          <m:t>→</m:t>
        </m:r>
        <m:r>
          <m:t>0.995</m:t>
        </m:r>
      </m:oMath>
      <w:r>
        <w:rPr>
          <w:rFonts w:ascii="宋体" w:hAnsi="宋体" w:eastAsia="宋体"/>
          <w:sz w:val="24"/>
        </w:rPr>
        <w:t xml:space="preserve">）的条件下，临界业务红利 </w:t>
      </w:r>
      <m:oMath>
        <m:sSubSup>
          <m:e>
            <m:r>
              <m:t>R</m:t>
            </m:r>
          </m:e>
          <m:sub>
            <m:r>
              <m:t>F</m:t>
            </m:r>
          </m:sub>
          <m:sup>
            <m:r>
              <m:t>c</m:t>
            </m:r>
          </m:sup>
        </m:sSubSup>
        <m:r>
          <m:rPr>
            <m:sty m:val="p"/>
          </m:rPr>
          <m:t>=</m:t>
        </m:r>
        <m:r>
          <m:t>1.55</m:t>
        </m:r>
      </m:oMath>
      <w:r>
        <w:rPr>
          <w:rFonts w:ascii="宋体" w:hAnsi="宋体" w:eastAsia="宋体"/>
          <w:sz w:val="24"/>
        </w:rPr>
        <w:t>；而基准情景设定的企业红利为1.5，两者相差仅3.2%，企业的净收益差为-0.031——一个绝对值极小的负数。这就是演化博弈阈值效应最直观的体现：红利只差百分之三，均衡却完全不同。第二，若政府退出强激励（</w:t>
      </w:r>
      <m:oMath>
        <m:r>
          <m:t>z</m:t>
        </m:r>
        <m:r>
          <m:rPr>
            <m:sty m:val="p"/>
          </m:rPr>
          <m:t>→</m:t>
        </m:r>
        <m:r>
          <m:t>0</m:t>
        </m:r>
      </m:oMath>
      <w:r>
        <w:rPr>
          <w:rFonts w:ascii="宋体" w:hAnsi="宋体" w:eastAsia="宋体"/>
          <w:sz w:val="24"/>
        </w:rPr>
        <w:t xml:space="preserve">），企业自我维持深度采纳所需的红利升至 </w:t>
      </w:r>
      <m:oMath>
        <m:sSubSup>
          <m:e>
            <m:r>
              <m:t>R</m:t>
            </m:r>
          </m:e>
          <m:sub>
            <m:r>
              <m:t>F</m:t>
            </m:r>
          </m:sub>
          <m:sup>
            <m:r>
              <m:t>s</m:t>
            </m:r>
          </m:sup>
        </m:sSubSup>
        <m:r>
          <m:rPr>
            <m:sty m:val="p"/>
          </m:rPr>
          <m:t>=</m:t>
        </m:r>
        <m:r>
          <m:t>1.80</m:t>
        </m:r>
      </m:oMath>
      <w:r>
        <w:rPr>
          <w:rFonts w:ascii="宋体" w:hAnsi="宋体" w:eastAsia="宋体"/>
          <w:sz w:val="24"/>
        </w:rPr>
        <w:t xml:space="preserve">，这是判断补贴能否安全退出的收益侧条件。第三，从 </w:t>
      </w:r>
      <m:oMath>
        <m:sSup>
          <m:e>
            <m:r>
              <m:t>x</m:t>
            </m:r>
          </m:e>
          <m:sup>
            <m:r>
              <m:t>c</m:t>
            </m:r>
          </m:sup>
        </m:sSup>
        <m:d>
          <m:dPr>
            <m:begChr m:val="("/>
            <m:endChr m:val=")"/>
            <m:grow/>
          </m:dPr>
          <m:e>
            <m:r>
              <m:t>z</m:t>
            </m:r>
          </m:e>
        </m:d>
      </m:oMath>
      <w:r>
        <w:rPr>
          <w:rFonts w:ascii="宋体" w:hAnsi="宋体" w:eastAsia="宋体"/>
          <w:sz w:val="24"/>
        </w:rPr>
        <w:t xml:space="preserve"> 的角度看，在高红利情景（</w:t>
      </w:r>
      <m:oMath>
        <m:sSub>
          <m:e>
            <m:r>
              <m:t>R</m:t>
            </m:r>
          </m:e>
          <m:sub>
            <m:r>
              <m:t>F</m:t>
            </m:r>
          </m:sub>
        </m:sSub>
        <m:r>
          <m:rPr>
            <m:sty m:val="p"/>
          </m:rPr>
          <m:t>=</m:t>
        </m:r>
        <m:r>
          <m:t>2.5</m:t>
        </m:r>
      </m:oMath>
      <w:r>
        <w:rPr>
          <w:rFonts w:ascii="宋体" w:hAnsi="宋体" w:eastAsia="宋体"/>
          <w:sz w:val="24"/>
        </w:rPr>
        <w:t>）下，无补贴时企业要求平台建设深度达到0.58，有强激励时这一要求降至0.43；而模拟的初始平台建设深度仅为0.30，低于两者。这一比较揭示了补贴在过渡期的真实作用：它并非直接购买企业的采纳，而是把企业跟进所需的平台建设门槛降低了0.15个单位，从而缩短了平台从起步到被企业认可所需的时间。若红利停留在基准水平，</w:t>
      </w:r>
      <m:oMath>
        <m:sSup>
          <m:e>
            <m:r>
              <m:t>x</m:t>
            </m:r>
          </m:e>
          <m:sup>
            <m:r>
              <m:t>c</m:t>
            </m:r>
          </m:sup>
        </m:sSup>
      </m:oMath>
      <w:r>
        <w:rPr>
          <w:rFonts w:ascii="宋体" w:hAnsi="宋体" w:eastAsia="宋体"/>
          <w:sz w:val="24"/>
        </w:rPr>
        <w:t xml:space="preserve"> 的解将超过 1（1.05），意味着无论平台建设到何种程度，企业都不会深度采纳——这正是补贴锁定均衡的成因。</w:t>
      </w:r>
    </w:p>
    <w:p>
      <w:pPr>
        <w:spacing w:line="360" w:lineRule="auto" w:after="0"/>
        <w:ind w:firstLineChars="200" w:firstLine="480"/>
        <w:jc w:val="both"/>
      </w:pPr>
      <w:r>
        <w:rPr>
          <w:rFonts w:ascii="宋体" w:hAnsi="宋体" w:eastAsia="宋体"/>
          <w:sz w:val="24"/>
        </w:rPr>
        <w:t xml:space="preserve">再求政府侧的退出条件与平台侧的自维持条件。令 </w:t>
      </w:r>
      <m:oMath>
        <m:r>
          <m:t>Δ</m:t>
        </m:r>
        <m:sSub>
          <m:e>
            <m:r>
              <m:t>Π</m:t>
            </m:r>
          </m:e>
          <m:sub>
            <m:r>
              <m:t>G</m:t>
            </m:r>
          </m:sub>
        </m:sSub>
        <m:r>
          <m:rPr>
            <m:sty m:val="p"/>
          </m:rPr>
          <m:t>&lt;</m:t>
        </m:r>
        <m:r>
          <m:t>0</m:t>
        </m:r>
      </m:oMath>
      <w:r>
        <w:rPr>
          <w:rFonts w:ascii="宋体" w:hAnsi="宋体" w:eastAsia="宋体"/>
          <w:sz w:val="24"/>
        </w:rPr>
        <w:t xml:space="preserve"> 解出政府停止强激励的门槛，令 </w:t>
      </w:r>
      <m:oMath>
        <m:r>
          <m:t>Δ</m:t>
        </m:r>
        <m:sSub>
          <m:e>
            <m:r>
              <m:t>Π</m:t>
            </m:r>
          </m:e>
          <m:sub>
            <m:r>
              <m:t>P</m:t>
            </m:r>
          </m:sub>
        </m:sSub>
        <m:r>
          <m:rPr>
            <m:sty m:val="p"/>
          </m:rPr>
          <m:t>&gt;</m:t>
        </m:r>
        <m:r>
          <m:t>0</m:t>
        </m:r>
      </m:oMath>
      <w:r>
        <w:rPr>
          <w:rFonts w:ascii="宋体" w:hAnsi="宋体" w:eastAsia="宋体"/>
          <w:sz w:val="24"/>
        </w:rPr>
        <w:t xml:space="preserve"> 且 </w:t>
      </w:r>
      <m:oMath>
        <m:r>
          <m:t>z</m:t>
        </m:r>
        <m:r>
          <m:rPr>
            <m:sty m:val="p"/>
          </m:rPr>
          <m:t>=</m:t>
        </m:r>
        <m:r>
          <m:t>0</m:t>
        </m:r>
      </m:oMath>
      <w:r>
        <w:rPr>
          <w:rFonts w:ascii="宋体" w:hAnsi="宋体" w:eastAsia="宋体"/>
          <w:sz w:val="24"/>
        </w:rPr>
        <w:t xml:space="preserve"> 解出平台无补贴时仍愿深度运营的门槛：</w:t>
      </w:r>
    </w:p>
    <w:p>
      <w:pPr>
        <w:tabs>
          <w:tab w:pos="4252" w:val="center"/>
          <w:tab w:pos="8504" w:val="right"/>
        </w:tabs>
        <w:spacing w:line="360" w:lineRule="auto" w:before="80" w:after="80"/>
      </w:pPr>
      <w:r>
        <w:tab/>
      </w:r>
      <m:oMath>
        <m:sSup>
          <m:e>
            <m:r>
              <m:t>y</m:t>
            </m:r>
          </m:e>
          <m:sup>
            <m:r>
              <m:rPr>
                <m:sty m:val="p"/>
              </m:rPr>
              <m:t>∗</m:t>
            </m:r>
          </m:sup>
        </m:sSup>
        <m:d>
          <m:dPr>
            <m:begChr m:val="("/>
            <m:endChr m:val=")"/>
            <m:grow/>
          </m:dPr>
          <m:e>
            <m:r>
              <m:t>x</m:t>
            </m:r>
          </m:e>
        </m:d>
        <m:r>
          <m:rPr>
            <m:sty m:val="p"/>
          </m:rPr>
          <m:t>=</m:t>
        </m:r>
        <m:r>
          <m:t>1</m:t>
        </m:r>
        <m:r>
          <m:rPr>
            <m:sty m:val="p"/>
          </m:rPr>
          <m:t>−</m:t>
        </m:r>
        <m:f>
          <m:fPr>
            <m:type m:val="bar"/>
          </m:fPr>
          <m:num>
            <m:sSub>
              <m:e>
                <m:r>
                  <m:t>c</m:t>
                </m:r>
              </m:e>
              <m:sub>
                <m:r>
                  <m:t>G</m:t>
                </m:r>
              </m:sub>
            </m:sSub>
            <m:r>
              <m:t>s</m:t>
            </m:r>
            <m:r>
              <m:rPr>
                <m:sty m:val="p"/>
              </m:rPr>
              <m:t>−</m:t>
            </m:r>
            <m:r>
              <m:t>L</m:t>
            </m:r>
            <m:sSub>
              <m:e>
                <m:r>
                  <m:t>g</m:t>
                </m:r>
              </m:e>
              <m:sub>
                <m:r>
                  <m:t>2</m:t>
                </m:r>
              </m:sub>
            </m:sSub>
            <m:d>
              <m:dPr>
                <m:begChr m:val="("/>
                <m:endChr m:val=")"/>
                <m:grow/>
              </m:dPr>
              <m:e>
                <m:r>
                  <m:t>1</m:t>
                </m:r>
                <m:r>
                  <m:rPr>
                    <m:sty m:val="p"/>
                  </m:rPr>
                  <m:t>−</m:t>
                </m:r>
                <m:r>
                  <m:t>x</m:t>
                </m:r>
              </m:e>
            </m:d>
          </m:num>
          <m:den>
            <m:r>
              <m:t>L</m:t>
            </m:r>
            <m:sSub>
              <m:e>
                <m:r>
                  <m:t>g</m:t>
                </m:r>
              </m:e>
              <m:sub>
                <m:r>
                  <m:t>1</m:t>
                </m:r>
              </m:sub>
            </m:sSub>
          </m:den>
        </m:f>
        <m:r>
          <m:rPr>
            <m:sty m:val="p"/>
          </m:rPr>
          <m:t>,</m:t>
        </m:r>
        <m:r>
          <m:t>  </m:t>
        </m:r>
        <m:sSup>
          <m:e>
            <m:r>
              <m:t>y</m:t>
            </m:r>
          </m:e>
          <m:sup>
            <m:r>
              <m:t>P</m:t>
            </m:r>
          </m:sup>
        </m:sSup>
        <m:r>
          <m:rPr>
            <m:sty m:val="p"/>
          </m:rPr>
          <m:t>=</m:t>
        </m:r>
        <m:f>
          <m:fPr>
            <m:type m:val="bar"/>
          </m:fPr>
          <m:num>
            <m:sSub>
              <m:e>
                <m:r>
                  <m:t>c</m:t>
                </m:r>
              </m:e>
              <m:sub>
                <m:r>
                  <m:t>P</m:t>
                </m:r>
              </m:sub>
            </m:sSub>
            <m:r>
              <m:rPr>
                <m:sty m:val="p"/>
              </m:rPr>
              <m:t>−</m:t>
            </m:r>
            <m:sSub>
              <m:e>
                <m:r>
                  <m:t>R</m:t>
                </m:r>
              </m:e>
              <m:sub>
                <m:r>
                  <m:t>P</m:t>
                </m:r>
              </m:sub>
            </m:sSub>
            <m:sSub>
              <m:e>
                <m:r>
                  <m:t>a</m:t>
                </m:r>
              </m:e>
              <m:sub>
                <m:r>
                  <m:t>0</m:t>
                </m:r>
              </m:sub>
            </m:sSub>
          </m:num>
          <m:den>
            <m:sSub>
              <m:e>
                <m:r>
                  <m:t>R</m:t>
                </m:r>
              </m:e>
              <m:sub>
                <m:r>
                  <m:t>P</m:t>
                </m:r>
              </m:sub>
            </m:sSub>
            <m:sSub>
              <m:e>
                <m:r>
                  <m:t>a</m:t>
                </m:r>
              </m:e>
              <m:sub>
                <m:r>
                  <m:t>1</m:t>
                </m:r>
              </m:sub>
            </m:sSub>
            <m:r>
              <m:rPr>
                <m:sty m:val="p"/>
              </m:rPr>
              <m:t>+</m:t>
            </m:r>
            <m:r>
              <m:t>τ</m:t>
            </m:r>
          </m:den>
        </m:f>
      </m:oMath>
      <w:r>
        <w:tab/>
      </w:r>
      <w:r>
        <w:rPr>
          <w:rFonts w:ascii="Times New Roman" w:hAnsi="Times New Roman" w:eastAsia="宋体"/>
          <w:sz w:val="24"/>
        </w:rPr>
        <w:t>(10-10)</w:t>
      </w:r>
    </w:p>
    <w:p>
      <w:pPr>
        <w:spacing w:line="360" w:lineRule="auto" w:after="0"/>
        <w:jc w:val="both"/>
      </w:pPr>
      <w:r>
        <w:rPr>
          <w:rFonts w:ascii="宋体" w:hAnsi="宋体" w:eastAsia="宋体"/>
          <w:sz w:val="24"/>
        </w:rPr>
        <w:t>其中，</w:t>
      </w:r>
      <m:oMath>
        <m:sSup>
          <m:e>
            <m:r>
              <m:t>y</m:t>
            </m:r>
          </m:e>
          <m:sup>
            <m:r>
              <m:rPr>
                <m:sty m:val="p"/>
              </m:rPr>
              <m:t>∗</m:t>
            </m:r>
          </m:sup>
        </m:sSup>
      </m:oMath>
      <w:r>
        <w:rPr>
          <w:rFonts w:ascii="宋体" w:hAnsi="宋体" w:eastAsia="宋体"/>
          <w:sz w:val="24"/>
        </w:rPr>
        <w:t>为政府自身收益转负、从而不再有激励维持强补贴的企业采纳门槛，</w:t>
      </w:r>
      <m:oMath>
        <m:sSup>
          <m:e>
            <m:r>
              <m:t>y</m:t>
            </m:r>
          </m:e>
          <m:sup>
            <m:r>
              <m:t>P</m:t>
            </m:r>
          </m:sup>
        </m:sSup>
      </m:oMath>
      <w:r>
        <w:rPr>
          <w:rFonts w:ascii="宋体" w:hAnsi="宋体" w:eastAsia="宋体"/>
          <w:sz w:val="24"/>
        </w:rPr>
        <w:t>为补贴归零后平台仍能自负盈亏地维持深度运营的企业采纳门槛。</w:t>
      </w:r>
    </w:p>
    <w:p>
      <w:pPr>
        <w:spacing w:line="360" w:lineRule="auto" w:after="0"/>
        <w:ind w:firstLineChars="200" w:firstLine="480"/>
        <w:jc w:val="both"/>
      </w:pPr>
      <w:r>
        <w:rPr>
          <w:rFonts w:ascii="宋体" w:hAnsi="宋体" w:eastAsia="宋体"/>
          <w:sz w:val="24"/>
        </w:rPr>
        <w:t xml:space="preserve">代入参数，在平台完全深度运营时 </w:t>
      </w:r>
      <m:oMath>
        <m:sSup>
          <m:e>
            <m:r>
              <m:t>y</m:t>
            </m:r>
          </m:e>
          <m:sup>
            <m:r>
              <m:rPr>
                <m:sty m:val="p"/>
              </m:rPr>
              <m:t>∗</m:t>
            </m:r>
          </m:sup>
        </m:sSup>
        <m:r>
          <m:rPr>
            <m:sty m:val="p"/>
          </m:rPr>
          <m:t>=</m:t>
        </m:r>
        <m:r>
          <m:t>0.289</m:t>
        </m:r>
      </m:oMath>
      <w:r>
        <w:rPr>
          <w:rFonts w:ascii="宋体" w:hAnsi="宋体" w:eastAsia="宋体"/>
          <w:sz w:val="24"/>
        </w:rPr>
        <w:t xml:space="preserve">，而 </w:t>
      </w:r>
      <m:oMath>
        <m:sSup>
          <m:e>
            <m:r>
              <m:t>y</m:t>
            </m:r>
          </m:e>
          <m:sup>
            <m:r>
              <m:t>P</m:t>
            </m:r>
          </m:sup>
        </m:sSup>
        <m:r>
          <m:rPr>
            <m:sty m:val="p"/>
          </m:rPr>
          <m:t>=</m:t>
        </m:r>
        <m:r>
          <m:t>0.545</m:t>
        </m:r>
      </m:oMath>
      <w:r>
        <w:rPr>
          <w:rFonts w:ascii="宋体" w:hAnsi="宋体" w:eastAsia="宋体"/>
          <w:sz w:val="24"/>
        </w:rPr>
        <w:t>。两个门槛的排序给出了本章最重要的一条机制设计结论：</w:t>
      </w:r>
      <m:oMath>
        <m:sSup>
          <m:e>
            <m:r>
              <m:t>y</m:t>
            </m:r>
          </m:e>
          <m:sup>
            <m:r>
              <m:rPr>
                <m:sty m:val="p"/>
              </m:rPr>
              <m:t>∗</m:t>
            </m:r>
          </m:sup>
        </m:sSup>
        <m:r>
          <m:rPr>
            <m:sty m:val="p"/>
          </m:rPr>
          <m:t>&lt;</m:t>
        </m:r>
        <m:sSup>
          <m:e>
            <m:r>
              <m:t>y</m:t>
            </m:r>
          </m:e>
          <m:sup>
            <m:r>
              <m:t>P</m:t>
            </m:r>
          </m:sup>
        </m:sSup>
      </m:oMath>
      <w:r>
        <w:rPr>
          <w:rFonts w:ascii="宋体" w:hAnsi="宋体" w:eastAsia="宋体"/>
          <w:sz w:val="24"/>
        </w:rPr>
        <w:t xml:space="preserve">，即政府的私人最优退出点显著早于系统的自我维持点。在企业采纳比例介于0.289与0.545之间的区间内，政府已经没有继续补贴的激励，平台却尚不能自负盈亏；若此时补贴以行政方式骤然退出，平台的净收益差转负，深度运营比例回落，进而拉低企业红利的实现程度，系统有可能从融合路径回摆至锁定均衡。本书把这一区间称为「退出过早的风险窗口」。在连续的复制动态中，由于 </w:t>
      </w:r>
      <m:oMath>
        <m:r>
          <m:t>z</m:t>
        </m:r>
      </m:oMath>
      <w:r>
        <w:rPr>
          <w:rFonts w:ascii="宋体" w:hAnsi="宋体" w:eastAsia="宋体"/>
          <w:sz w:val="24"/>
        </w:rPr>
        <w:t xml:space="preserve"> 的下降本身也是渐进的，系统通常能够安全穿越该窗口；但现实中的补贴退坡往往是离散的——按年度、按文件有效期、按财政收支状况一次性调整，因而风险窗口是真实存在的。相应的机制设计含义十分明确：补贴退坡的触发条件应当锚定 </w:t>
      </w:r>
      <m:oMath>
        <m:r>
          <m:t>y</m:t>
        </m:r>
        <m:r>
          <m:rPr>
            <m:sty m:val="p"/>
          </m:rPr>
          <m:t>≥</m:t>
        </m:r>
        <m:sSup>
          <m:e>
            <m:r>
              <m:t>y</m:t>
            </m:r>
          </m:e>
          <m:sup>
            <m:r>
              <m:t>P</m:t>
            </m:r>
          </m:sup>
        </m:sSup>
        <m:r>
          <m:rPr>
            <m:sty m:val="p"/>
          </m:rPr>
          <m:t>=</m:t>
        </m:r>
        <m:r>
          <m:t>0.545</m:t>
        </m:r>
      </m:oMath>
      <w:r>
        <w:rPr>
          <w:rFonts w:ascii="宋体" w:hAnsi="宋体" w:eastAsia="宋体"/>
          <w:sz w:val="24"/>
        </w:rPr>
        <w:t xml:space="preserve"> 这一系统自维持门槛，而非政府自身收益转负的 </w:t>
      </w:r>
      <m:oMath>
        <m:sSup>
          <m:e>
            <m:r>
              <m:t>y</m:t>
            </m:r>
          </m:e>
          <m:sup>
            <m:r>
              <m:rPr>
                <m:sty m:val="p"/>
              </m:rPr>
              <m:t>∗</m:t>
            </m:r>
          </m:sup>
        </m:sSup>
        <m:r>
          <m:rPr>
            <m:sty m:val="p"/>
          </m:rPr>
          <m:t>=</m:t>
        </m:r>
        <m:r>
          <m:t>0.289</m:t>
        </m:r>
      </m:oMath>
      <w:r>
        <w:rPr>
          <w:rFonts w:ascii="宋体" w:hAnsi="宋体" w:eastAsia="宋体"/>
          <w:sz w:val="24"/>
        </w:rPr>
        <w:t>，并且应当采取连续退坡而非断崖式终止，同时以事先公布的规则替代相机决策，以稳定平台与企业的预期。</w:t>
      </w:r>
    </w:p>
    <w:p>
      <w:pPr>
        <w:spacing w:line="360" w:lineRule="auto" w:after="0"/>
        <w:ind w:firstLineChars="200" w:firstLine="480"/>
        <w:jc w:val="both"/>
      </w:pPr>
      <w:r>
        <w:rPr>
          <w:rFonts w:ascii="宋体" w:hAnsi="宋体" w:eastAsia="宋体"/>
          <w:sz w:val="24"/>
        </w:rPr>
        <w:t>式(10-10)还给出了 10.4 节机制价值的一个精确度量。若统一平台不产生任何交易费用节约（</w:t>
      </w:r>
      <m:oMath>
        <m:r>
          <m:t>τ</m:t>
        </m:r>
        <m:r>
          <m:rPr>
            <m:sty m:val="p"/>
          </m:rPr>
          <m:t>=</m:t>
        </m:r>
        <m:r>
          <m:t>0</m:t>
        </m:r>
      </m:oMath>
      <w:r>
        <w:rPr>
          <w:rFonts w:ascii="宋体" w:hAnsi="宋体" w:eastAsia="宋体"/>
          <w:sz w:val="24"/>
        </w:rPr>
        <w:t>），平台自维持所需的企业采纳比例将由0.545升至0.872。也就是说，「五个统一」所带来的交易费用节约，把制度可持续所需的企业采纳规模降低了约0.326个单位、相对降幅达37%。这是一个不容易从直觉得到的结论：统一计量、统一结算这类看似只是「便利」的制度安排，其真实作用是把补贴退出的可行区间大幅前移，从而决定了整套制度能否在有限的财政窗口内完成自我维持。同理，在启动阶段，以初始状态（</w:t>
      </w:r>
      <m:oMath>
        <m:sSub>
          <m:e>
            <m:r>
              <m:t>x</m:t>
            </m:r>
          </m:e>
          <m:sub>
            <m:r>
              <m:t>0</m:t>
            </m:r>
          </m:sub>
        </m:sSub>
        <m:r>
          <m:rPr>
            <m:sty m:val="p"/>
          </m:rPr>
          <m:t>=</m:t>
        </m:r>
        <m:r>
          <m:t>0.30</m:t>
        </m:r>
      </m:oMath>
      <w:r>
        <w:rPr>
          <w:rFonts w:ascii="宋体" w:hAnsi="宋体" w:eastAsia="宋体"/>
          <w:sz w:val="24"/>
        </w:rPr>
        <w:t>、</w:t>
      </w:r>
      <m:oMath>
        <m:sSub>
          <m:e>
            <m:r>
              <m:t>y</m:t>
            </m:r>
          </m:e>
          <m:sub>
            <m:r>
              <m:t>0</m:t>
            </m:r>
          </m:sub>
        </m:sSub>
        <m:r>
          <m:rPr>
            <m:sty m:val="p"/>
          </m:rPr>
          <m:t>=</m:t>
        </m:r>
        <m:r>
          <m:t>0.15</m:t>
        </m:r>
      </m:oMath>
      <w:r>
        <w:rPr>
          <w:rFonts w:ascii="宋体" w:hAnsi="宋体" w:eastAsia="宋体"/>
          <w:sz w:val="24"/>
        </w:rPr>
        <w:t>、</w:t>
      </w:r>
      <m:oMath>
        <m:sSub>
          <m:e>
            <m:r>
              <m:t>z</m:t>
            </m:r>
          </m:e>
          <m:sub>
            <m:r>
              <m:t>0</m:t>
            </m:r>
          </m:sub>
        </m:sSub>
        <m:r>
          <m:rPr>
            <m:sty m:val="p"/>
          </m:rPr>
          <m:t>=</m:t>
        </m:r>
        <m:r>
          <m:t>0.65</m:t>
        </m:r>
      </m:oMath>
      <w:r>
        <w:rPr>
          <w:rFonts w:ascii="宋体" w:hAnsi="宋体" w:eastAsia="宋体"/>
          <w:sz w:val="24"/>
        </w:rPr>
        <w:t xml:space="preserve">）代入式(10-6)可得平台的净收益差仅为0.020，几乎处于临界状态；若政府不提供强激励，平台在企业尚未采纳时启动深度运营所需的补贴强度门槛为 </w:t>
      </w:r>
      <m:oMath>
        <m:r>
          <m:t>z</m:t>
        </m:r>
        <m:r>
          <m:rPr>
            <m:sty m:val="p"/>
          </m:rPr>
          <m:t>&gt;</m:t>
        </m:r>
        <m:r>
          <m:t>0.85</m:t>
        </m:r>
      </m:oMath>
      <w:r>
        <w:rPr>
          <w:rFonts w:ascii="宋体" w:hAnsi="宋体" w:eastAsia="宋体"/>
          <w:sz w:val="24"/>
        </w:rPr>
        <w:t>。启动期对政策的高度依赖，与成熟期对政策的完全不依赖，构成同一机制的两端。</w:t>
      </w:r>
    </w:p>
    <w:p>
      <w:pPr>
        <w:keepNext/>
        <w:spacing w:before="160" w:after="120" w:line="360" w:lineRule="auto"/>
        <w:outlineLvl w:val="2"/>
      </w:pPr>
      <w:r>
        <w:rPr>
          <w:rFonts w:ascii="黑体" w:hAnsi="黑体" w:eastAsia="黑体"/>
          <w:sz w:val="24"/>
        </w:rPr>
        <w:t>10.5.4  三情景数值模拟</w:t>
      </w:r>
    </w:p>
    <w:p>
      <w:pPr>
        <w:spacing w:line="360" w:lineRule="auto" w:after="0"/>
        <w:ind w:firstLineChars="200" w:firstLine="480"/>
        <w:jc w:val="both"/>
      </w:pPr>
      <w:r>
        <w:rPr>
          <w:rFonts w:ascii="宋体" w:hAnsi="宋体" w:eastAsia="宋体"/>
          <w:sz w:val="24"/>
        </w:rPr>
        <w:t xml:space="preserve">以四阶龙格—库塔法对式(10-8)作数值积分，步长 0.1、窗口 60 期，初值取 </w:t>
      </w:r>
      <m:oMath>
        <m:d>
          <m:dPr>
            <m:begChr m:val="("/>
            <m:endChr m:val=")"/>
            <m:grow/>
          </m:dPr>
          <m:e>
            <m:sSub>
              <m:e>
                <m:r>
                  <m:t>x</m:t>
                </m:r>
              </m:e>
              <m:sub>
                <m:r>
                  <m:t>0</m:t>
                </m:r>
              </m:sub>
            </m:sSub>
            <m:r>
              <m:rPr>
                <m:sty m:val="p"/>
              </m:rPr>
              <m:t>,</m:t>
            </m:r>
            <m:sSub>
              <m:e>
                <m:r>
                  <m:t>y</m:t>
                </m:r>
              </m:e>
              <m:sub>
                <m:r>
                  <m:t>0</m:t>
                </m:r>
              </m:sub>
            </m:sSub>
            <m:r>
              <m:rPr>
                <m:sty m:val="p"/>
              </m:rPr>
              <m:t>,</m:t>
            </m:r>
            <m:sSub>
              <m:e>
                <m:r>
                  <m:t>z</m:t>
                </m:r>
              </m:e>
              <m:sub>
                <m:r>
                  <m:t>0</m:t>
                </m:r>
              </m:sub>
            </m:sSub>
          </m:e>
        </m:d>
        <m:r>
          <m:rPr>
            <m:sty m:val="p"/>
          </m:rPr>
          <m:t>=</m:t>
        </m:r>
        <m:d>
          <m:dPr>
            <m:begChr m:val="("/>
            <m:endChr m:val=")"/>
            <m:grow/>
          </m:dPr>
          <m:e>
            <m:r>
              <m:t>0.30</m:t>
            </m:r>
            <m:r>
              <m:rPr>
                <m:sty m:val="p"/>
              </m:rPr>
              <m:t>,</m:t>
            </m:r>
            <m:r>
              <m:t>0.15</m:t>
            </m:r>
            <m:r>
              <m:rPr>
                <m:sty m:val="p"/>
              </m:rPr>
              <m:t>,</m:t>
            </m:r>
            <m:r>
              <m:t>0.65</m:t>
            </m:r>
          </m:e>
        </m:d>
      </m:oMath>
      <w:r>
        <w:rPr>
          <w:rFonts w:ascii="宋体" w:hAnsi="宋体" w:eastAsia="宋体"/>
          <w:sz w:val="24"/>
        </w:rPr>
        <w:t>，设定三个情景：情景 A 为基准情景，企业红利取基准值；情景 B 提高企业红利，对应效值透明化与场景深化使企业能够真实兑现词元的业务价值；情景 C 在情景 B 基础上进一步降低企业的深度采纳成本，对应统一接入与统一结算把企业的对接与对账负担显著压低。三情景的演化轨迹如图10.3所示。</w:t>
      </w:r>
    </w:p>
    <w:p>
      <w:pPr>
        <w:spacing w:before="120" w:after="40"/>
        <w:jc w:val="center"/>
      </w:pPr>
      <w:r>
        <w:drawing>
          <wp:inline xmlns:a="http://schemas.openxmlformats.org/drawingml/2006/main" xmlns:pic="http://schemas.openxmlformats.org/drawingml/2006/picture">
            <wp:extent cx="4860000" cy="1555979"/>
            <wp:docPr id="33" name="Picture 33"/>
            <wp:cNvGraphicFramePr>
              <a:graphicFrameLocks noChangeAspect="1"/>
            </wp:cNvGraphicFramePr>
            <a:graphic>
              <a:graphicData uri="http://schemas.openxmlformats.org/drawingml/2006/picture">
                <pic:pic>
                  <pic:nvPicPr>
                    <pic:cNvPr id="0" name="fig10_3.png"/>
                    <pic:cNvPicPr/>
                  </pic:nvPicPr>
                  <pic:blipFill>
                    <a:blip r:embed="rId41"/>
                    <a:stretch>
                      <a:fillRect/>
                    </a:stretch>
                  </pic:blipFill>
                  <pic:spPr>
                    <a:xfrm>
                      <a:off x="0" y="0"/>
                      <a:ext cx="4860000" cy="1555979"/>
                    </a:xfrm>
                    <a:prstGeom prst="rect"/>
                  </pic:spPr>
                </pic:pic>
              </a:graphicData>
            </a:graphic>
          </wp:inline>
        </w:drawing>
      </w:r>
    </w:p>
    <w:p>
      <w:pPr>
        <w:keepNext w:val="0"/>
        <w:spacing w:after="40"/>
        <w:jc w:val="center"/>
      </w:pPr>
      <w:r>
        <w:rPr>
          <w:rFonts w:ascii="黑体" w:hAnsi="黑体" w:eastAsia="黑体"/>
          <w:sz w:val="21"/>
        </w:rPr>
        <w:t>图10.3  三方演化博弈的情景轨迹</w:t>
      </w:r>
    </w:p>
    <w:p>
      <w:pPr>
        <w:spacing w:after="200" w:line="240" w:lineRule="auto"/>
        <w:jc w:val="both"/>
      </w:pPr>
      <w:r>
        <w:rPr>
          <w:rFonts w:ascii="宋体" w:hAnsi="宋体" w:eastAsia="宋体"/>
          <w:sz w:val="18"/>
        </w:rPr>
        <w:t xml:space="preserve">注：三面板分别对应企业红利 </w:t>
      </w:r>
      <m:oMath>
        <m:sSub>
          <m:e>
            <m:r>
              <m:t>R</m:t>
            </m:r>
          </m:e>
          <m:sub>
            <m:r>
              <m:t>F</m:t>
            </m:r>
          </m:sub>
        </m:sSub>
      </m:oMath>
      <w:r>
        <w:rPr>
          <w:rFonts w:ascii="宋体" w:hAnsi="宋体" w:eastAsia="宋体"/>
          <w:sz w:val="18"/>
        </w:rPr>
        <w:t>＝1.5、2.5以及</w:t>
      </w:r>
      <m:oMath>
        <m:sSub>
          <m:e>
            <m:r>
              <m:t>R</m:t>
            </m:r>
          </m:e>
          <m:sub>
            <m:r>
              <m:t>F</m:t>
            </m:r>
          </m:sub>
        </m:sSub>
      </m:oMath>
      <w:r>
        <w:rPr>
          <w:rFonts w:ascii="宋体" w:hAnsi="宋体" w:eastAsia="宋体"/>
          <w:sz w:val="18"/>
        </w:rPr>
        <w:t>＝2.5且企业采纳成本降至0.70的情形；其余参数为</w:t>
      </w:r>
      <m:oMath>
        <m:sSub>
          <m:e>
            <m:r>
              <m:t>R</m:t>
            </m:r>
          </m:e>
          <m:sub>
            <m:r>
              <m:t>P</m:t>
            </m:r>
          </m:sub>
        </m:sSub>
      </m:oMath>
      <w:r>
        <w:rPr>
          <w:rFonts w:ascii="宋体" w:hAnsi="宋体" w:eastAsia="宋体"/>
          <w:sz w:val="18"/>
        </w:rPr>
        <w:t>＝1.30、</w:t>
      </w:r>
      <m:oMath>
        <m:sSub>
          <m:e>
            <m:r>
              <m:t>c</m:t>
            </m:r>
          </m:e>
          <m:sub>
            <m:r>
              <m:t>P</m:t>
            </m:r>
          </m:sub>
        </m:sSub>
      </m:oMath>
      <w:r>
        <w:rPr>
          <w:rFonts w:ascii="宋体" w:hAnsi="宋体" w:eastAsia="宋体"/>
          <w:sz w:val="18"/>
        </w:rPr>
        <w:t>＝0.90、</w:t>
      </w:r>
      <m:oMath>
        <m:sSub>
          <m:e>
            <m:r>
              <m:t>c</m:t>
            </m:r>
          </m:e>
          <m:sub>
            <m:r>
              <m:t>F</m:t>
            </m:r>
          </m:sub>
        </m:sSub>
      </m:oMath>
      <w:r>
        <w:rPr>
          <w:rFonts w:ascii="宋体" w:hAnsi="宋体" w:eastAsia="宋体"/>
          <w:sz w:val="18"/>
        </w:rPr>
        <w:t>＝1.00、</w:t>
      </w:r>
      <m:oMath>
        <m:r>
          <m:t>s</m:t>
        </m:r>
      </m:oMath>
      <w:r>
        <w:rPr>
          <w:rFonts w:ascii="宋体" w:hAnsi="宋体" w:eastAsia="宋体"/>
          <w:sz w:val="18"/>
        </w:rPr>
        <w:t>＝0.60、</w:t>
      </w:r>
      <m:oMath>
        <m:sSub>
          <m:e>
            <m:r>
              <m:t>c</m:t>
            </m:r>
          </m:e>
          <m:sub>
            <m:r>
              <m:t>G</m:t>
            </m:r>
          </m:sub>
        </m:sSub>
      </m:oMath>
      <w:r>
        <w:rPr>
          <w:rFonts w:ascii="宋体" w:hAnsi="宋体" w:eastAsia="宋体"/>
          <w:sz w:val="18"/>
        </w:rPr>
        <w:t>＝0.80、</w:t>
      </w:r>
      <m:oMath>
        <m:r>
          <m:t>L</m:t>
        </m:r>
      </m:oMath>
      <w:r>
        <w:rPr>
          <w:rFonts w:ascii="宋体" w:hAnsi="宋体" w:eastAsia="宋体"/>
          <w:sz w:val="18"/>
        </w:rPr>
        <w:t>＝0.90、</w:t>
      </w:r>
      <m:oMath>
        <m:r>
          <m:t>τ</m:t>
        </m:r>
      </m:oMath>
      <w:r>
        <w:rPr>
          <w:rFonts w:ascii="宋体" w:hAnsi="宋体" w:eastAsia="宋体"/>
          <w:sz w:val="18"/>
        </w:rPr>
        <w:t>＝0.35、</w:t>
      </w:r>
      <m:oMath>
        <m:r>
          <m:t>κ</m:t>
        </m:r>
      </m:oMath>
      <w:r>
        <w:rPr>
          <w:rFonts w:ascii="宋体" w:hAnsi="宋体" w:eastAsia="宋体"/>
          <w:sz w:val="18"/>
        </w:rPr>
        <w:t>＝1.0；四阶龙格—库塔法，步长0.1，窗口60期，初值</w:t>
      </w:r>
      <m:oMath>
        <m:d>
          <m:dPr>
            <m:begChr m:val="("/>
            <m:endChr m:val=")"/>
            <m:grow/>
          </m:dPr>
          <m:e>
            <m:sSub>
              <m:e>
                <m:r>
                  <m:t>x</m:t>
                </m:r>
              </m:e>
              <m:sub>
                <m:r>
                  <m:t>0</m:t>
                </m:r>
              </m:sub>
            </m:sSub>
            <m:r>
              <m:rPr>
                <m:sty m:val="p"/>
              </m:rPr>
              <m:t>,</m:t>
            </m:r>
            <m:sSub>
              <m:e>
                <m:r>
                  <m:t>y</m:t>
                </m:r>
              </m:e>
              <m:sub>
                <m:r>
                  <m:t>0</m:t>
                </m:r>
              </m:sub>
            </m:sSub>
            <m:r>
              <m:rPr>
                <m:sty m:val="p"/>
              </m:rPr>
              <m:t>,</m:t>
            </m:r>
            <m:sSub>
              <m:e>
                <m:r>
                  <m:t>z</m:t>
                </m:r>
              </m:e>
              <m:sub>
                <m:r>
                  <m:t>0</m:t>
                </m:r>
              </m:sub>
            </m:sSub>
          </m:e>
        </m:d>
      </m:oMath>
      <w:r>
        <w:rPr>
          <w:rFonts w:ascii="宋体" w:hAnsi="宋体" w:eastAsia="宋体"/>
          <w:sz w:val="18"/>
        </w:rPr>
        <w:t>＝(0.30,0.15,0.65)，策略比例上下限截断于[0.005,0.995]。收敛期指三变量单步变动均小于1e−4的最早时点。数据来源：作者校准复算。</w:t>
      </w:r>
    </w:p>
    <w:p>
      <w:pPr>
        <w:spacing w:line="360" w:lineRule="auto" w:after="0"/>
        <w:ind w:firstLineChars="200" w:firstLine="480"/>
        <w:jc w:val="both"/>
      </w:pPr>
      <w:r>
        <w:rPr>
          <w:rFonts w:ascii="宋体" w:hAnsi="宋体" w:eastAsia="宋体"/>
          <w:sz w:val="24"/>
        </w:rPr>
        <w:t>情景 A 的结果是补贴锁定均衡。平台比例升至0.984，企业比例跌至0.005，政府比例被推高并稳定在0.995，窗口内未完成收敛。其经济含义是：补贴成功地把平台建起来了，却没有把企业带进来；由于企业侧的错配损失始终存在，政府的净收益差长期为正，强激励无法退出，财政被长期锁定在一个「有平台、无采纳」的状态上。必须强调，导致这一结果的并非参数的极端设定——基准红利1.5距临界值1.55仅差3.2%。这提示了一个现实风险：地方在评估词元运营中心的可行性时，若只测算平台侧的收支平衡而不测算企业侧红利是否越过临界，很可能在参数上距成功仅一步之遥，在结果上却落入完全相反的均衡。</w:t>
      </w:r>
    </w:p>
    <w:p>
      <w:pPr>
        <w:spacing w:line="360" w:lineRule="auto" w:after="0"/>
        <w:ind w:firstLineChars="200" w:firstLine="480"/>
        <w:jc w:val="both"/>
      </w:pPr>
      <w:r>
        <w:rPr>
          <w:rFonts w:ascii="宋体" w:hAnsi="宋体" w:eastAsia="宋体"/>
          <w:sz w:val="24"/>
        </w:rPr>
        <w:t>情景 B 与情景 C 均收敛于融合稳态：平台与企业比例趋于0.995与0.995，政府比例降至0.005，补贴成功退出。两者的差别在于速度：情景 B 的收敛期为 41.7，情景 C 为 23.5，提速44%。这一对照具有直接的政策含义：提高企业红利与降低企业成本是两条不同的路径，前者依赖效值透明与场景深化，见效慢但决定能否成功；后者依赖统一接入与统一结算，见效快且能显著缩短财政补贴的持续期。两条路径并非替代关系——若红利不足，单靠降低成本无法改变均衡；但在红利已足的条件下，降低成本可以把补贴期压缩近一半，其财政意义等价于把同样的政策目标以更低的累计支出实现。这为「五个统一」的优先级排序提供了动态依据：统一计量决定红利能否被识别，统一入口与统一结算决定成本能否被压低，二者一慢一快，共同构成机制的两个作用面。</w:t>
      </w:r>
    </w:p>
    <w:p>
      <w:pPr>
        <w:spacing w:line="360" w:lineRule="auto" w:after="0"/>
        <w:ind w:firstLineChars="200" w:firstLine="480"/>
        <w:jc w:val="both"/>
      </w:pPr>
      <w:r>
        <w:rPr>
          <w:rFonts w:ascii="宋体" w:hAnsi="宋体" w:eastAsia="宋体"/>
          <w:sz w:val="24"/>
        </w:rPr>
        <w:t>还需说明三点边界。其一，模型刻画的是策略比例的演化而非具体企业的决策，所有比例都应读作群体分布而非个体概率。其二，参数为校准复算值，其绝对水平不具备预测意义，具有分析价值的是阈值的相对位置与均衡的定性分野——这也是演化博弈方法的标准解读方式。其三，模型未刻画跨城市的策略互动，若把政府的策略空间扩展为「本地强激励」与「区域协同激励」，则可能出现属地补贴竞争导致的过度激励，这一维度的讨论留待 10.6 节展开。</w:t>
      </w:r>
    </w:p>
    <w:p>
      <w:pPr>
        <w:keepNext/>
        <w:spacing w:before="160" w:after="120" w:line="360" w:lineRule="auto"/>
        <w:outlineLvl w:val="2"/>
      </w:pPr>
      <w:r>
        <w:rPr>
          <w:rFonts w:ascii="黑体" w:hAnsi="黑体" w:eastAsia="黑体"/>
          <w:sz w:val="24"/>
        </w:rPr>
        <w:t>10.5.5  制度要件的相对重要性：层次分析法的证据</w:t>
      </w:r>
    </w:p>
    <w:p>
      <w:pPr>
        <w:spacing w:line="360" w:lineRule="auto" w:after="0"/>
        <w:ind w:firstLineChars="200" w:firstLine="480"/>
        <w:jc w:val="both"/>
      </w:pPr>
      <w:r>
        <w:rPr>
          <w:rFonts w:ascii="宋体" w:hAnsi="宋体" w:eastAsia="宋体"/>
          <w:sz w:val="24"/>
        </w:rPr>
        <w:t>演化博弈回答了机制能否自我维持，却没有回答在资源约束下应当优先做哪一项。为此，本节以层次分析法对制度要件排序。目标层为「城市词元运营机制的有效性」，准则层设三项：配置效率、计价公允、可持续运营；方案层为「五个统一」。采用两轮专家咨询，有效专家 26 位，涵盖平台运营、企业信息化、地方主管部门与研究机构，两轮之间反馈匿名统计结果，第二轮的肯德尔协调系数为 0.69，表明专家意见具有较好的一致性。判断矩阵的一致性检验结果与方案层的组合权重如图10.4所示。</w:t>
      </w:r>
    </w:p>
    <w:p>
      <w:pPr>
        <w:spacing w:before="120" w:after="40"/>
        <w:jc w:val="center"/>
      </w:pPr>
      <w:r>
        <w:drawing>
          <wp:inline xmlns:a="http://schemas.openxmlformats.org/drawingml/2006/main" xmlns:pic="http://schemas.openxmlformats.org/drawingml/2006/picture">
            <wp:extent cx="4860000" cy="2069741"/>
            <wp:docPr id="34" name="Picture 34"/>
            <wp:cNvGraphicFramePr>
              <a:graphicFrameLocks noChangeAspect="1"/>
            </wp:cNvGraphicFramePr>
            <a:graphic>
              <a:graphicData uri="http://schemas.openxmlformats.org/drawingml/2006/picture">
                <pic:pic>
                  <pic:nvPicPr>
                    <pic:cNvPr id="0" name="fig10_4.png"/>
                    <pic:cNvPicPr/>
                  </pic:nvPicPr>
                  <pic:blipFill>
                    <a:blip r:embed="rId42"/>
                    <a:stretch>
                      <a:fillRect/>
                    </a:stretch>
                  </pic:blipFill>
                  <pic:spPr>
                    <a:xfrm>
                      <a:off x="0" y="0"/>
                      <a:ext cx="4860000" cy="2069741"/>
                    </a:xfrm>
                    <a:prstGeom prst="rect"/>
                  </pic:spPr>
                </pic:pic>
              </a:graphicData>
            </a:graphic>
          </wp:inline>
        </w:drawing>
      </w:r>
    </w:p>
    <w:p>
      <w:pPr>
        <w:keepNext w:val="0"/>
        <w:spacing w:after="40"/>
        <w:jc w:val="center"/>
      </w:pPr>
      <w:r>
        <w:rPr>
          <w:rFonts w:ascii="黑体" w:hAnsi="黑体" w:eastAsia="黑体"/>
          <w:sz w:val="21"/>
        </w:rPr>
        <w:t>图10.4  制度要件的层次分析权重</w:t>
      </w:r>
    </w:p>
    <w:p>
      <w:pPr>
        <w:spacing w:after="200" w:line="240" w:lineRule="auto"/>
        <w:jc w:val="both"/>
      </w:pPr>
      <w:r>
        <w:rPr>
          <w:rFonts w:ascii="宋体" w:hAnsi="宋体" w:eastAsia="宋体"/>
          <w:sz w:val="18"/>
        </w:rPr>
        <w:t>注：方案层组合权重＝各方案对三项准则的局部权重按准则层权重加权求和；准则层与方案层判断矩阵的一致性比率分别为0.031与0.038，均小于0.1，通过一致性检验；专家 N＝26，两轮咨询，第二轮肯德尔协调系数 W＝0.69。数据来源：作者调查与测算。</w:t>
      </w:r>
    </w:p>
    <w:p>
      <w:pPr>
        <w:spacing w:line="360" w:lineRule="auto" w:after="0"/>
        <w:ind w:firstLineChars="200" w:firstLine="480"/>
        <w:jc w:val="both"/>
      </w:pPr>
      <w:r>
        <w:rPr>
          <w:rFonts w:ascii="宋体" w:hAnsi="宋体" w:eastAsia="宋体"/>
          <w:sz w:val="24"/>
        </w:rPr>
        <w:t>准则层的权重排序为配置效率0.412、计价公允0.318、可持续运营0.270，最大特征根为3.036。三项准则的权重差距并不悬殊，说明专家并不认为运营中心可以牺牲公允性去换取效率，这与词元运营中心兼具商业能力与公共职能的双重属性一致。方案层的组合权重排序为：统一计量0.271、统一结算0.223、统一 API 入口0.196、统一安全审计0.166、统一政策抵扣0.144。排序的首尾差距接近一倍，且统一计量与统一结算两项合计达0.494，超过五项总权重的一半。</w:t>
      </w:r>
    </w:p>
    <w:p>
      <w:pPr>
        <w:spacing w:line="360" w:lineRule="auto" w:after="0"/>
        <w:ind w:firstLineChars="200" w:firstLine="480"/>
        <w:jc w:val="both"/>
      </w:pPr>
      <w:r>
        <w:rPr>
          <w:rFonts w:ascii="宋体" w:hAnsi="宋体" w:eastAsia="宋体"/>
          <w:sz w:val="24"/>
        </w:rPr>
        <w:t>这一排序与本章前几节的理论分析高度吻合，且三处吻合都不是同义反复。第一，统一计量居首，对应 10.4 节论证的「计量是其余四项的共同前置」，也对应 10.1 节的结论——使用补贴的可行性条件是补贴对象可折算而非可计数。第二，统一结算居次，对应 10.5.4 节的动态发现——降低企业采纳成本能够把补贴期压缩44%，而结算负担正是中小企业采纳成本中最直接的一块。第三，统一政策抵扣权重最低，这一结果初看反直觉：抵扣是企业最能直接感知的优惠。但从机制设计的角度看，抵扣是外生的转移支付，它改变的是分配而非效率，且按式(10-10)的分析，补贴终将退出；而计量、结算、入口与审计所创造的交易费用节约是内生且持久的。专家排序实际上表达了一个专业判断：词元运营中心的长期价值在于降低交易费用而非分发补贴。这一判断对当前各地密集出台的券类政策构成温和的提醒——券金规模不是运营中心成熟度的度量，可核验凭证的完备程度才是。</w:t>
      </w:r>
    </w:p>
    <w:p>
      <w:pPr>
        <w:keepNext/>
        <w:spacing w:before="160" w:after="120" w:line="360" w:lineRule="auto"/>
        <w:outlineLvl w:val="1"/>
      </w:pPr>
      <w:r>
        <w:rPr>
          <w:rFonts w:ascii="黑体" w:hAnsi="黑体" w:eastAsia="黑体"/>
          <w:sz w:val="28"/>
        </w:rPr>
        <w:t>10.6  区域协同与全国统一大市场</w:t>
      </w:r>
    </w:p>
    <w:p>
      <w:pPr>
        <w:keepNext/>
        <w:spacing w:before="160" w:after="120" w:line="360" w:lineRule="auto"/>
        <w:outlineLvl w:val="2"/>
      </w:pPr>
      <w:r>
        <w:rPr>
          <w:rFonts w:ascii="黑体" w:hAnsi="黑体" w:eastAsia="黑体"/>
          <w:sz w:val="24"/>
        </w:rPr>
        <w:t>10.6.1  城市层级组织的三重分割风险</w:t>
      </w:r>
    </w:p>
    <w:p>
      <w:pPr>
        <w:spacing w:line="360" w:lineRule="auto" w:after="0"/>
        <w:ind w:firstLineChars="200" w:firstLine="480"/>
        <w:jc w:val="both"/>
      </w:pPr>
      <w:r>
        <w:rPr>
          <w:rFonts w:ascii="宋体" w:hAnsi="宋体" w:eastAsia="宋体"/>
          <w:sz w:val="24"/>
        </w:rPr>
        <w:t>10.1.3 节已经标记，城市既是最小完备治理单元，也是最小分割单元。当五类主体在数十个城市同时展开建设时，三重分割风险随之显性化。第一重是计量口径的分割。若每座城市各自制定词元计量规则、各自出具交易凭证，则同一枚词元在甲城的账单与在乙城的账单不可互认，企业跨城采购必须重复核验，统一计量在城市内部消除的交易费用会在城市之间重新产生。广东中心牵头构建全省统一词元计量规则并出具交易凭证，是省级层面对这一风险的正面应对；但省与省之间的互认仍缺乏制度安排。标准的经济学分析早已指出，兼容性标准的社会收益远大于任何单一主体的私人收益，因而其供给必须依赖跨主体的协调机制（Farrell和Saloner，1985；Simcoe，2012）。</w:t>
      </w:r>
    </w:p>
    <w:p>
      <w:pPr>
        <w:spacing w:line="360" w:lineRule="auto" w:after="0"/>
        <w:ind w:firstLineChars="200" w:firstLine="480"/>
        <w:jc w:val="both"/>
      </w:pPr>
      <w:r>
        <w:rPr>
          <w:rFonts w:ascii="宋体" w:hAnsi="宋体" w:eastAsia="宋体"/>
          <w:sz w:val="24"/>
        </w:rPr>
        <w:t>第二重是补贴的属地绑定。使用补贴天然带有属地条件——财政资金要求资金流与税收留在本地，最直接的做法是要求受补贴的词元在本地生产、由本地主体结算。这一条件在经济上等价于对外地词元课征关税：它把本应由效值与价格决定的采购决策，扭曲为由补贴归属决定的采购决策。其后果是双重的：企业被迫使用效值更低或价格更高的本地供给，配置效率下降；同时，外地高效值供给被挡在门外，第 8 章所刻画的效值信息不对称在跨城维度上被制度性固化。数字平台的资源配置作用同时通过价格机制与数据机制发挥（刘诚和夏杰长，2023），而属地绑定恰恰同时切断了这两个机制的跨域传导。</w:t>
      </w:r>
    </w:p>
    <w:p>
      <w:pPr>
        <w:spacing w:line="360" w:lineRule="auto" w:after="0"/>
        <w:ind w:firstLineChars="200" w:firstLine="480"/>
        <w:jc w:val="both"/>
      </w:pPr>
      <w:r>
        <w:rPr>
          <w:rFonts w:ascii="宋体" w:hAnsi="宋体" w:eastAsia="宋体"/>
          <w:sz w:val="24"/>
        </w:rPr>
        <w:t>第三重是产能的重复建设。词元生产具有显著的规模经济，第 8 章测算的最小有效规模对应日产1.2亿标准词元、该处的长期平均成本为0.61元每百万标准词元。若每座城市都追求本地产能自足，多数城市的产能规模将落在最小有效规模之下，单位成本系统性偏高。更关键的是，第 9 章证明匹配损失只能通过扩大任务与模型的可匹配集合来消除，而可匹配集合的边界恰恰被行政区划切断——城市各自为战不仅推高了成本，还直接抵消了统一调度所能带来的效率改进。算力共享与算力市场培育的研究亦表明，需求侧的跨域可调度性是算力资源配置效率的关键约束（王勇等，2025）。</w:t>
      </w:r>
    </w:p>
    <w:p>
      <w:pPr>
        <w:keepNext/>
        <w:spacing w:before="160" w:after="120" w:line="360" w:lineRule="auto"/>
        <w:outlineLvl w:val="2"/>
      </w:pPr>
      <w:r>
        <w:rPr>
          <w:rFonts w:ascii="黑体" w:hAnsi="黑体" w:eastAsia="黑体"/>
          <w:sz w:val="24"/>
        </w:rPr>
        <w:t>10.6.2  三层协同架构与制度工具</w:t>
      </w:r>
    </w:p>
    <w:p>
      <w:pPr>
        <w:spacing w:line="360" w:lineRule="auto" w:after="0"/>
        <w:ind w:firstLineChars="200" w:firstLine="480"/>
        <w:jc w:val="both"/>
      </w:pPr>
      <w:r>
        <w:rPr>
          <w:rFonts w:ascii="宋体" w:hAnsi="宋体" w:eastAsia="宋体"/>
          <w:sz w:val="24"/>
        </w:rPr>
        <w:t>化解分割风险的思路不是取消城市层级的组织，而是把职能按其外部性半径分配到相应层级：外部性半径最大的计量标准与凭证互认归国家层，半径中等的产能调度与应急互济归区域层，半径最小的场景对接与需求组织留在城市层。这一分层原则与全国一体化算力网「联网调度、普惠易用、绿色安全」的定位相衔接（国家发展改革委等，2023），也与「1+M+N」国家算力互联互通节点体系「统一标识、统一标准、统一规则」的运行机制要求相一致。在此之上还需要第四层：面向跨境的凭证互认层，它决定词元服务出海时能否被境外采购方与监管方接受。三层协同架构与跨境层的职能分工见表10.3。</w:t>
      </w:r>
    </w:p>
    <w:p>
      <w:pPr>
        <w:keepNext/>
        <w:spacing w:before="160" w:after="40"/>
        <w:jc w:val="center"/>
      </w:pPr>
      <w:r>
        <w:rPr>
          <w:rFonts w:ascii="黑体" w:hAnsi="黑体" w:eastAsia="黑体"/>
          <w:sz w:val="21"/>
        </w:rPr>
        <w:t>表10.3  词元运营的分层协同架构与制度工具</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层级</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核心职能</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关键制度工具</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可核验指标</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主要失效风险</w:t>
            </w:r>
          </w:p>
        </w:tc>
      </w:tr>
      <w:tr>
        <w:tc>
          <w:tcPr>
            <w:tcW w:type="dxa" w:w="1701"/>
            <w:vAlign w:val="center"/>
          </w:tcPr>
          <w:p>
            <w:pPr>
              <w:spacing w:line="240" w:lineRule="auto" w:after="20" w:before="20"/>
              <w:jc w:val="center"/>
            </w:pPr>
            <w:r/>
            <w:r>
              <w:rPr>
                <w:rFonts w:ascii="宋体" w:hAnsi="宋体" w:eastAsia="宋体"/>
                <w:sz w:val="21"/>
              </w:rPr>
              <w:t>国家层</w:t>
            </w:r>
          </w:p>
        </w:tc>
        <w:tc>
          <w:tcPr>
            <w:tcW w:type="dxa" w:w="1701"/>
            <w:vAlign w:val="center"/>
          </w:tcPr>
          <w:p>
            <w:pPr>
              <w:spacing w:line="240" w:lineRule="auto" w:after="20" w:before="20"/>
              <w:jc w:val="left"/>
            </w:pPr>
            <w:r/>
            <w:r>
              <w:rPr>
                <w:rFonts w:ascii="宋体" w:hAnsi="宋体" w:eastAsia="宋体"/>
                <w:sz w:val="21"/>
              </w:rPr>
              <w:t>统一计量口径与</w:t>
              <w:br/>
              <w:t>凭证互认规则</w:t>
            </w:r>
          </w:p>
        </w:tc>
        <w:tc>
          <w:tcPr>
            <w:tcW w:type="dxa" w:w="1701"/>
            <w:vAlign w:val="center"/>
          </w:tcPr>
          <w:p>
            <w:pPr>
              <w:spacing w:line="240" w:lineRule="auto" w:after="20" w:before="20"/>
              <w:jc w:val="left"/>
            </w:pPr>
            <w:r/>
            <w:r>
              <w:rPr>
                <w:rFonts w:ascii="宋体" w:hAnsi="宋体" w:eastAsia="宋体"/>
                <w:sz w:val="21"/>
              </w:rPr>
              <w:t>标准词元折算的国家标准；</w:t>
              <w:br/>
              <w:t>全国一体化算力网调度规则；</w:t>
              <w:br/>
              <w:t>价格与效值监测发布</w:t>
            </w:r>
          </w:p>
        </w:tc>
        <w:tc>
          <w:tcPr>
            <w:tcW w:type="dxa" w:w="1701"/>
            <w:vAlign w:val="center"/>
          </w:tcPr>
          <w:p>
            <w:pPr>
              <w:spacing w:line="240" w:lineRule="auto" w:after="20" w:before="20"/>
              <w:jc w:val="left"/>
            </w:pPr>
            <w:r/>
            <w:r>
              <w:rPr>
                <w:rFonts w:ascii="宋体" w:hAnsi="宋体" w:eastAsia="宋体"/>
                <w:sz w:val="21"/>
              </w:rPr>
              <w:t>折算系数的</w:t>
              <w:br/>
              <w:t>跨主体一致性；</w:t>
              <w:br/>
              <w:t>凭证互认覆盖率</w:t>
            </w:r>
          </w:p>
        </w:tc>
        <w:tc>
          <w:tcPr>
            <w:tcW w:type="dxa" w:w="1701"/>
            <w:vAlign w:val="center"/>
          </w:tcPr>
          <w:p>
            <w:pPr>
              <w:spacing w:line="240" w:lineRule="auto" w:after="20" w:before="20"/>
              <w:jc w:val="left"/>
            </w:pPr>
            <w:r/>
            <w:r>
              <w:rPr>
                <w:rFonts w:ascii="宋体" w:hAnsi="宋体" w:eastAsia="宋体"/>
                <w:sz w:val="21"/>
              </w:rPr>
              <w:t>标准长期停留在</w:t>
              <w:br/>
              <w:t>团体标准层级，</w:t>
              <w:br/>
              <w:t>效力不足</w:t>
            </w:r>
          </w:p>
        </w:tc>
      </w:tr>
      <w:tr>
        <w:tc>
          <w:tcPr>
            <w:tcW w:type="dxa" w:w="1701"/>
            <w:vAlign w:val="center"/>
          </w:tcPr>
          <w:p>
            <w:pPr>
              <w:spacing w:line="240" w:lineRule="auto" w:after="20" w:before="20"/>
              <w:jc w:val="center"/>
            </w:pPr>
            <w:r/>
            <w:r>
              <w:rPr>
                <w:rFonts w:ascii="宋体" w:hAnsi="宋体" w:eastAsia="宋体"/>
                <w:sz w:val="21"/>
              </w:rPr>
              <w:t>区域层</w:t>
            </w:r>
          </w:p>
        </w:tc>
        <w:tc>
          <w:tcPr>
            <w:tcW w:type="dxa" w:w="1701"/>
            <w:vAlign w:val="center"/>
          </w:tcPr>
          <w:p>
            <w:pPr>
              <w:spacing w:line="240" w:lineRule="auto" w:after="20" w:before="20"/>
              <w:jc w:val="left"/>
            </w:pPr>
            <w:r/>
            <w:r>
              <w:rPr>
                <w:rFonts w:ascii="宋体" w:hAnsi="宋体" w:eastAsia="宋体"/>
                <w:sz w:val="21"/>
              </w:rPr>
              <w:t>产能跨域调度与</w:t>
              <w:br/>
              <w:t>补贴规则协调</w:t>
            </w:r>
          </w:p>
        </w:tc>
        <w:tc>
          <w:tcPr>
            <w:tcW w:type="dxa" w:w="1701"/>
            <w:vAlign w:val="center"/>
          </w:tcPr>
          <w:p>
            <w:pPr>
              <w:spacing w:line="240" w:lineRule="auto" w:after="20" w:before="20"/>
              <w:jc w:val="left"/>
            </w:pPr>
            <w:r/>
            <w:r>
              <w:rPr>
                <w:rFonts w:ascii="宋体" w:hAnsi="宋体" w:eastAsia="宋体"/>
                <w:sz w:val="21"/>
              </w:rPr>
              <w:t>区域调度平台与产能互济；</w:t>
              <w:br/>
              <w:t>跨城补贴互认与</w:t>
              <w:br/>
              <w:t>重复补贴排除</w:t>
            </w:r>
          </w:p>
        </w:tc>
        <w:tc>
          <w:tcPr>
            <w:tcW w:type="dxa" w:w="1701"/>
            <w:vAlign w:val="center"/>
          </w:tcPr>
          <w:p>
            <w:pPr>
              <w:spacing w:line="240" w:lineRule="auto" w:after="20" w:before="20"/>
              <w:jc w:val="left"/>
            </w:pPr>
            <w:r/>
            <w:r>
              <w:rPr>
                <w:rFonts w:ascii="宋体" w:hAnsi="宋体" w:eastAsia="宋体"/>
                <w:sz w:val="21"/>
              </w:rPr>
              <w:t>跨域调度成交量；</w:t>
              <w:br/>
              <w:t>区域内平均</w:t>
              <w:br/>
              <w:t>有效效值利用率</w:t>
            </w:r>
          </w:p>
        </w:tc>
        <w:tc>
          <w:tcPr>
            <w:tcW w:type="dxa" w:w="1701"/>
            <w:vAlign w:val="center"/>
          </w:tcPr>
          <w:p>
            <w:pPr>
              <w:spacing w:line="240" w:lineRule="auto" w:after="20" w:before="20"/>
              <w:jc w:val="left"/>
            </w:pPr>
            <w:r/>
            <w:r>
              <w:rPr>
                <w:rFonts w:ascii="宋体" w:hAnsi="宋体" w:eastAsia="宋体"/>
                <w:sz w:val="21"/>
              </w:rPr>
              <w:t>省级平台与</w:t>
              <w:br/>
              <w:t>国家平台重复统计，</w:t>
              <w:br/>
              <w:t>算力规模不可加总</w:t>
            </w:r>
          </w:p>
        </w:tc>
      </w:tr>
      <w:tr>
        <w:tc>
          <w:tcPr>
            <w:tcW w:type="dxa" w:w="1701"/>
            <w:vAlign w:val="center"/>
          </w:tcPr>
          <w:p>
            <w:pPr>
              <w:spacing w:line="240" w:lineRule="auto" w:after="20" w:before="20"/>
              <w:jc w:val="center"/>
            </w:pPr>
            <w:r/>
            <w:r>
              <w:rPr>
                <w:rFonts w:ascii="宋体" w:hAnsi="宋体" w:eastAsia="宋体"/>
                <w:sz w:val="21"/>
              </w:rPr>
              <w:t>城市层</w:t>
            </w:r>
          </w:p>
        </w:tc>
        <w:tc>
          <w:tcPr>
            <w:tcW w:type="dxa" w:w="1701"/>
            <w:vAlign w:val="center"/>
          </w:tcPr>
          <w:p>
            <w:pPr>
              <w:spacing w:line="240" w:lineRule="auto" w:after="20" w:before="20"/>
              <w:jc w:val="left"/>
            </w:pPr>
            <w:r/>
            <w:r>
              <w:rPr>
                <w:rFonts w:ascii="宋体" w:hAnsi="宋体" w:eastAsia="宋体"/>
                <w:sz w:val="21"/>
              </w:rPr>
              <w:t>场景组织与</w:t>
              <w:br/>
              <w:t>需求聚合</w:t>
            </w:r>
          </w:p>
        </w:tc>
        <w:tc>
          <w:tcPr>
            <w:tcW w:type="dxa" w:w="1701"/>
            <w:vAlign w:val="center"/>
          </w:tcPr>
          <w:p>
            <w:pPr>
              <w:spacing w:line="240" w:lineRule="auto" w:after="20" w:before="20"/>
              <w:jc w:val="left"/>
            </w:pPr>
            <w:r/>
            <w:r>
              <w:rPr>
                <w:rFonts w:ascii="宋体" w:hAnsi="宋体" w:eastAsia="宋体"/>
                <w:sz w:val="21"/>
              </w:rPr>
              <w:t>技改补贴与词元券；</w:t>
              <w:br/>
              <w:t>场景清单与</w:t>
              <w:br/>
              <w:t>行业语料治理</w:t>
            </w:r>
          </w:p>
        </w:tc>
        <w:tc>
          <w:tcPr>
            <w:tcW w:type="dxa" w:w="1701"/>
            <w:vAlign w:val="center"/>
          </w:tcPr>
          <w:p>
            <w:pPr>
              <w:spacing w:line="240" w:lineRule="auto" w:after="20" w:before="20"/>
              <w:jc w:val="left"/>
            </w:pPr>
            <w:r/>
            <w:r>
              <w:rPr>
                <w:rFonts w:ascii="宋体" w:hAnsi="宋体" w:eastAsia="宋体"/>
                <w:sz w:val="21"/>
              </w:rPr>
              <w:t>接入企业数与</w:t>
              <w:br/>
              <w:t>复购率；</w:t>
              <w:br/>
              <w:t>单位补贴带动的</w:t>
              <w:br/>
              <w:t>标准词元用量</w:t>
            </w:r>
          </w:p>
        </w:tc>
        <w:tc>
          <w:tcPr>
            <w:tcW w:type="dxa" w:w="1701"/>
            <w:vAlign w:val="center"/>
          </w:tcPr>
          <w:p>
            <w:pPr>
              <w:spacing w:line="240" w:lineRule="auto" w:after="20" w:before="20"/>
              <w:jc w:val="left"/>
            </w:pPr>
            <w:r/>
            <w:r>
              <w:rPr>
                <w:rFonts w:ascii="宋体" w:hAnsi="宋体" w:eastAsia="宋体"/>
                <w:sz w:val="21"/>
              </w:rPr>
              <w:t>属地绑定扭曲采购；</w:t>
              <w:br/>
              <w:t>以物理词元规模</w:t>
              <w:br/>
              <w:t>考核运营绩效</w:t>
            </w:r>
          </w:p>
        </w:tc>
      </w:tr>
      <w:tr>
        <w:tc>
          <w:tcPr>
            <w:tcW w:type="dxa" w:w="1701"/>
            <w:vAlign w:val="center"/>
          </w:tcPr>
          <w:p>
            <w:pPr>
              <w:spacing w:line="240" w:lineRule="auto" w:after="20" w:before="20"/>
              <w:jc w:val="center"/>
            </w:pPr>
            <w:r/>
            <w:r>
              <w:rPr>
                <w:rFonts w:ascii="宋体" w:hAnsi="宋体" w:eastAsia="宋体"/>
                <w:sz w:val="21"/>
              </w:rPr>
              <w:t>跨境层</w:t>
            </w:r>
          </w:p>
        </w:tc>
        <w:tc>
          <w:tcPr>
            <w:tcW w:type="dxa" w:w="1701"/>
            <w:vAlign w:val="center"/>
          </w:tcPr>
          <w:p>
            <w:pPr>
              <w:spacing w:line="240" w:lineRule="auto" w:after="20" w:before="20"/>
              <w:jc w:val="left"/>
            </w:pPr>
            <w:r/>
            <w:r>
              <w:rPr>
                <w:rFonts w:ascii="宋体" w:hAnsi="宋体" w:eastAsia="宋体"/>
                <w:sz w:val="21"/>
              </w:rPr>
              <w:t>出海凭证与</w:t>
              <w:br/>
              <w:t>合规互认</w:t>
            </w:r>
          </w:p>
        </w:tc>
        <w:tc>
          <w:tcPr>
            <w:tcW w:type="dxa" w:w="1701"/>
            <w:vAlign w:val="center"/>
          </w:tcPr>
          <w:p>
            <w:pPr>
              <w:spacing w:line="240" w:lineRule="auto" w:after="20" w:before="20"/>
              <w:jc w:val="left"/>
            </w:pPr>
            <w:r/>
            <w:r>
              <w:rPr>
                <w:rFonts w:ascii="宋体" w:hAnsi="宋体" w:eastAsia="宋体"/>
                <w:sz w:val="21"/>
              </w:rPr>
              <w:t>绿色词元溯源凭证；</w:t>
              <w:br/>
              <w:t>数据出境安全评估；</w:t>
              <w:br/>
              <w:t>跨境结算与计量互认</w:t>
            </w:r>
          </w:p>
        </w:tc>
        <w:tc>
          <w:tcPr>
            <w:tcW w:type="dxa" w:w="1701"/>
            <w:vAlign w:val="center"/>
          </w:tcPr>
          <w:p>
            <w:pPr>
              <w:spacing w:line="240" w:lineRule="auto" w:after="20" w:before="20"/>
              <w:jc w:val="left"/>
            </w:pPr>
            <w:r/>
            <w:r>
              <w:rPr>
                <w:rFonts w:ascii="宋体" w:hAnsi="宋体" w:eastAsia="宋体"/>
                <w:sz w:val="21"/>
              </w:rPr>
              <w:t>凭证的境外</w:t>
              <w:br/>
              <w:t>受认可比例；</w:t>
              <w:br/>
              <w:t>绿色词元占比</w:t>
            </w:r>
          </w:p>
        </w:tc>
        <w:tc>
          <w:tcPr>
            <w:tcW w:type="dxa" w:w="1701"/>
            <w:vAlign w:val="center"/>
          </w:tcPr>
          <w:p>
            <w:pPr>
              <w:spacing w:line="240" w:lineRule="auto" w:after="20" w:before="20"/>
              <w:jc w:val="left"/>
            </w:pPr>
            <w:r/>
            <w:r>
              <w:rPr>
                <w:rFonts w:ascii="宋体" w:hAnsi="宋体" w:eastAsia="宋体"/>
                <w:sz w:val="21"/>
              </w:rPr>
              <w:t>国内凭证不被</w:t>
              <w:br/>
              <w:t>境外采购方接受，</w:t>
              <w:br/>
              <w:t>形成事实性壁垒</w:t>
            </w:r>
          </w:p>
        </w:tc>
      </w:tr>
    </w:tbl>
    <w:p>
      <w:pPr>
        <w:spacing w:after="200" w:line="240" w:lineRule="auto"/>
        <w:jc w:val="both"/>
      </w:pPr>
      <w:r>
        <w:rPr>
          <w:rFonts w:ascii="宋体" w:hAnsi="宋体" w:eastAsia="宋体"/>
          <w:sz w:val="18"/>
        </w:rPr>
        <w:t>注：层级划分依据职能的外部性半径；国家层与区域层的工具名称对应《关于深入实施「东数西算」工程 加快构建全国一体化算力网的实施意见》（发改数据〔2023〕1779号）与《关于组织开展国家算力互联互通节点建设工作的通知》（工信厅信管函〔2026〕35号）；全国一体化算力网、省级一体化算力监测调度平台与城市级平台属三个层级、三套接入范围，各平台上报的算力规模存在重复计算，不可加总。</w:t>
      </w:r>
    </w:p>
    <w:p>
      <w:pPr>
        <w:spacing w:line="360" w:lineRule="auto" w:after="0"/>
        <w:ind w:firstLineChars="200" w:firstLine="480"/>
        <w:jc w:val="both"/>
      </w:pPr>
      <w:r>
        <w:rPr>
          <w:rFonts w:ascii="宋体" w:hAnsi="宋体" w:eastAsia="宋体"/>
          <w:sz w:val="24"/>
        </w:rPr>
        <w:t>表10.3的四个层级中，最紧迫也最薄弱的是国家层的计量标准。10.4.2 节已经指出，词元领域目前只有团体标准与机构评估规范，尚无以词元计量或计费为标题的国家标准计划公开。这一空白使得跨城互认缺乏权威依据，也使得区域调度缺乏共同的结算单位。可资借鉴的是能源与碳核算领域的经验：《综合能耗计算通则》（GB/T 2589—2020）以标准煤当量统一了不同能源品种的可加口径（国家市场监督管理总局和国家标准化管理委员会，2020），《温室气体 产品碳足迹 量化要求和指南》（GB/T 24067—2024）则以二氧化碳当量统一了不同温室气体的可加口径（国家市场监督管理总局和国家标准化管理委员会，2024）。两者的共同经验是：当量折算的国家标准一旦确立，统计、定价、补贴与国际互认便获得共同的技术底座。标准词元折算体系所需要的，正是同一性质的制度化。</w:t>
      </w:r>
    </w:p>
    <w:p>
      <w:pPr>
        <w:spacing w:line="360" w:lineRule="auto" w:after="0"/>
        <w:ind w:firstLineChars="200" w:firstLine="480"/>
        <w:jc w:val="both"/>
      </w:pPr>
      <w:r>
        <w:rPr>
          <w:rFonts w:ascii="宋体" w:hAnsi="宋体" w:eastAsia="宋体"/>
          <w:sz w:val="24"/>
        </w:rPr>
        <w:t>跨境层的紧迫性同样不容低估。四座城市中有三座把出海服务列为核心职能：苏州同日成立词元出海服务联盟，广东把跨境流通与词元出海列入五大服务能力并设立跨境交易专区，温州以绿色词元认证为出海企业提供可信、可计量、可追溯的服务凭证。出海需求推动的实际上是一套「谁认可谁」的制度竞争：若中国的词元计量与绿色凭证不被境外采购方接受，则词元出海将退化为算力出海或模型出海，无法把计量规则的话语权一并带出。绿色金融统计标准的国际比较经验表明，标准的国际互认往往先于资金与产品的跨境流动，且互认程度直接决定了市场的可及性（陈丹丹等，2025）；跨境碳规制的实践也显示，缺少互认的核算体系会迅速转化为事实性的贸易壁垒（「European Parliament和Council，2023」）。这构成第 11 章绿色词元与可信溯源体系的现实起点。</w:t>
      </w:r>
    </w:p>
    <w:p>
      <w:pPr>
        <w:keepNext/>
        <w:spacing w:before="160" w:after="120" w:line="360" w:lineRule="auto"/>
        <w:outlineLvl w:val="2"/>
      </w:pPr>
      <w:r>
        <w:rPr>
          <w:rFonts w:ascii="黑体" w:hAnsi="黑体" w:eastAsia="黑体"/>
          <w:sz w:val="24"/>
        </w:rPr>
        <w:t>10.6.3  从城市运营到统一大市场：三条政策序列</w:t>
      </w:r>
    </w:p>
    <w:p>
      <w:pPr>
        <w:spacing w:line="360" w:lineRule="auto" w:after="0"/>
        <w:ind w:firstLineChars="200" w:firstLine="480"/>
        <w:jc w:val="both"/>
      </w:pPr>
      <w:r>
        <w:rPr>
          <w:rFonts w:ascii="宋体" w:hAnsi="宋体" w:eastAsia="宋体"/>
          <w:sz w:val="24"/>
        </w:rPr>
        <w:t>综合本章的分析，可以给出一个具有先后次序的政策序列，其排序依据是10.5.5 节的权重与 10.5.3 节的阈值结构。第一序列是把统一计量制度化：在国家层面推动标准词元折算方法的标准立项，明确折算系数的确定程序、基准任务集的维护机制与第三方核验规则；在此之前，各地运营中心的计量规则应当以可映射、可对照的方式设计，避免形成互不兼容的既成事实。第二序列是把补贴规则规范化：补贴核定以标准词元当量为分母，退坡触发以企业深度采纳比例达到0.545这一系统自维持门槛为条件，退坡方式采取连续下调，规则事先公布并保持稳定；同时明确禁止以词元本地生产或本地结算作为补贴的隐性条件，从源头切断属地绑定。第三序列是把调度能力区域化：以国家算力互联互通节点体系为骨架，推动城市级运营中心的调度接口与区域平台对接，把第 9 章证明的匹配效率改进从城市内部扩展到区域范围。</w:t>
      </w:r>
    </w:p>
    <w:p>
      <w:pPr>
        <w:spacing w:line="360" w:lineRule="auto" w:after="0"/>
        <w:ind w:firstLineChars="200" w:firstLine="480"/>
        <w:jc w:val="both"/>
      </w:pPr>
      <w:r>
        <w:rPr>
          <w:rFonts w:ascii="宋体" w:hAnsi="宋体" w:eastAsia="宋体"/>
          <w:sz w:val="24"/>
        </w:rPr>
        <w:t>三条序列之间存在明确的依赖关系，不可颠倒。没有统一计量，补贴核定就没有可靠分母，跨域调度也没有共同结算单位；没有补贴规则的规范化，属地绑定会把刚刚建立的计量互认重新割裂；没有区域调度，城市内部的效率改进将止步于本地可匹配集合的边界。这一依赖结构也解释了为什么本章把机制设计的重心放在计量而非补贴上：补贴是有期限的政策工具，计量是无期限的制度基础设施；前者决定这一轮产业培育的速度，后者决定词元经济能否成为一个真正统一、可比、可流通的市场。</w:t>
      </w:r>
    </w:p>
    <w:p>
      <w:pPr>
        <w:keepNext/>
        <w:spacing w:before="160" w:after="120" w:line="360" w:lineRule="auto"/>
        <w:outlineLvl w:val="1"/>
      </w:pPr>
      <w:r>
        <w:rPr>
          <w:rFonts w:ascii="黑体" w:hAnsi="黑体" w:eastAsia="黑体"/>
          <w:sz w:val="28"/>
        </w:rPr>
        <w:t>10.7  本章小结</w:t>
      </w:r>
    </w:p>
    <w:p>
      <w:pPr>
        <w:spacing w:line="360" w:lineRule="auto" w:after="0"/>
        <w:ind w:firstLineChars="200" w:firstLine="480"/>
        <w:jc w:val="both"/>
      </w:pPr>
      <w:r>
        <w:rPr>
          <w:rFonts w:ascii="宋体" w:hAnsi="宋体" w:eastAsia="宋体"/>
          <w:sz w:val="24"/>
        </w:rPr>
        <w:t>本章把第 9 章求得的效率改进上界从技术可行性推进为组织可行性，系统回答了城市词元运营中心「由谁办、凭什么办、怎么办、办到什么时候」四个问题，主要结论可归纳为六点。</w:t>
      </w:r>
    </w:p>
    <w:p>
      <w:pPr>
        <w:spacing w:line="360" w:lineRule="auto" w:after="0"/>
        <w:ind w:firstLineChars="200" w:firstLine="480"/>
        <w:jc w:val="both"/>
      </w:pPr>
      <w:r>
        <w:rPr>
          <w:rFonts w:ascii="宋体" w:hAnsi="宋体" w:eastAsia="宋体"/>
          <w:sz w:val="24"/>
        </w:rPr>
        <w:t>第一，运营中心的兴起是算力类政策三段转向的落点。政策的计量对象由标准机架与浮点算力转向算力采购额，再转向词元本身；其经济学理由有三：在有效效值利用率仅为0.38的产能状态下，投资补贴的边际效果为负；使用补贴的扩量效果由需求弹性决定，全样本弹性-1.34掩盖了制造与政务之间数倍的差异；而使用补贴的可行性前提不是词元「可计数」，而是词元「可折算」，这使统一计量从附属功能升格为制度前提。承载单元之所以是城市，在于城市是同时握有要素配置权、需求组织渠道与完备政策工具的最小治理单元。</w:t>
      </w:r>
    </w:p>
    <w:p>
      <w:pPr>
        <w:spacing w:line="360" w:lineRule="auto" w:after="0"/>
        <w:ind w:firstLineChars="200" w:firstLine="480"/>
        <w:jc w:val="both"/>
      </w:pPr>
      <w:r>
        <w:rPr>
          <w:rFonts w:ascii="宋体" w:hAnsi="宋体" w:eastAsia="宋体"/>
          <w:sz w:val="24"/>
        </w:rPr>
        <w:t>第二，五类运营主体的分化不是偶然的地方选择，而是资产禀赋与职能要求相互匹配的结果。运营商强于网络与云资源、城投强于土地电力机房、数据集团与交易所强于数据与场景、政策制定者独强于制度工具，没有任何一类主体在四类资产上同时具备强禀赋，因而现实形态必然是「多方共建、分职能授权」。五类主体的激励扭曲风险各不相同，却共同指向同一个解药——可核验的标准词元计量。</w:t>
      </w:r>
    </w:p>
    <w:p>
      <w:pPr>
        <w:spacing w:line="360" w:lineRule="auto" w:after="0"/>
        <w:ind w:firstLineChars="200" w:firstLine="480"/>
        <w:jc w:val="both"/>
      </w:pPr>
      <w:r>
        <w:rPr>
          <w:rFonts w:ascii="宋体" w:hAnsi="宋体" w:eastAsia="宋体"/>
          <w:sz w:val="24"/>
        </w:rPr>
        <w:t>第三，城投转型的资产逻辑可以被严格刻画。从物理设施到标准词元产能的映射表明，单位标准词元的能耗强度与机架规模无关，扩大规模不改善能耗强度；转型的盈亏平衡利用率在当前价格与成本结构下加权平均为0.105，相对当前0.38的有效效值利用率尚有3.6倍安全边际，但市场价再降一半即压缩至1.2倍。转型成败因此取决于两个可控变量能否跑赢价格下行：利用率能否经统一调度提升，产品结构能否经效值提升实现收入结构的转换。城投若以建设逻辑替代运营逻辑，必然在价格下行中被挤出。</w:t>
      </w:r>
    </w:p>
    <w:p>
      <w:pPr>
        <w:spacing w:line="360" w:lineRule="auto" w:after="0"/>
        <w:ind w:firstLineChars="200" w:firstLine="480"/>
        <w:jc w:val="both"/>
      </w:pPr>
      <w:r>
        <w:rPr>
          <w:rFonts w:ascii="宋体" w:hAnsi="宋体" w:eastAsia="宋体"/>
          <w:sz w:val="24"/>
        </w:rPr>
        <w:t>第四，「五个统一」的经济实质是对五类交易费用的针对性消解。双边缔约结构下城市范围内的缔约关系总数为企业数与供给方数之积，平台中介结构下降为二者之和，节约率随可选模型条目数与接入企业数同时递增，但存在一个规模门槛，低于该门槛时自建平台是净损失。五项统一具有强互补性，统一计量是其余四项的共同前置，因而机制必须整包推进。就制度供给的现状而言，词元领域目前只有团体标准与机构评估规范，尚无相应的国家标准；既有的四套评价体系分属不同机构、维度与用途，产出的是多维评价而非当量折算，这正是本书第 5 章折算体系的理论空间所在。</w:t>
      </w:r>
    </w:p>
    <w:p>
      <w:pPr>
        <w:spacing w:line="360" w:lineRule="auto" w:after="0"/>
        <w:ind w:firstLineChars="200" w:firstLine="480"/>
        <w:jc w:val="both"/>
      </w:pPr>
      <w:r>
        <w:rPr>
          <w:rFonts w:ascii="宋体" w:hAnsi="宋体" w:eastAsia="宋体"/>
          <w:sz w:val="24"/>
        </w:rPr>
        <w:t>第五，三方演化博弈揭示了机制自我维持的阈值结构。系统存在两个可能的稳定均衡：「平台热、企业冷」的补贴锁定均衡与融合稳态。分野取决于企业红利是否越过临界值1.55，而基准红利距该临界值仅差3.2%，「差之毫厘」导致完全相反的均衡。更具政策含义的是三重阈值的排序：政府自身收益转负的退出点0.289显著早于平台自维持点0.545，二者之间存在「退出过早的风险窗口」。据此，补贴退坡的触发条件应锚定系统自维持门槛而非政府私人退出点，方式应为连续退坡且规则事先公布。交易费用节约把自维持所需的企业采纳规模降低了37%，这是「五个统一」对制度可持续性最直接的量化贡献；降低企业采纳成本则可把补贴持续期压缩44%。层次分析法的排序与上述结论相互印证：统一计量0.271与统一结算0.223合计超过五项总权重的一半，而统一政策抵扣权重最低（0.144）——专家判断表达的是同一个道理：运营中心的长期价值在于降低交易费用而非分发补贴。</w:t>
      </w:r>
    </w:p>
    <w:p>
      <w:pPr>
        <w:spacing w:line="360" w:lineRule="auto" w:after="0"/>
        <w:ind w:firstLineChars="200" w:firstLine="480"/>
        <w:jc w:val="both"/>
      </w:pPr>
      <w:r>
        <w:rPr>
          <w:rFonts w:ascii="宋体" w:hAnsi="宋体" w:eastAsia="宋体"/>
          <w:sz w:val="24"/>
        </w:rPr>
        <w:t>第六，城市层级的组织内生地带来计量口径分割、补贴属地绑定与产能重复建设三重风险，化解之道是按外部性半径分层配置职能：计量标准与凭证互认归国家层，产能调度与补贴协调归区域层，场景组织与需求聚合留在城市层，并单设跨境凭证互认层以支撑词元出海。当前最薄弱的一环是国家层的计量标准，标准煤当量与二氧化碳当量的制度化经验表明，当量折算标准一旦确立，统计、定价、补贴与国际互认便获得共同的技术底座。由此形成三条有先后次序的政策序列：先把统一计量制度化，再把补贴规则规范化，最后把调度能力区域化，三者不可颠倒。</w:t>
      </w:r>
    </w:p>
    <w:p>
      <w:pPr>
        <w:spacing w:line="360" w:lineRule="auto" w:after="0"/>
        <w:ind w:firstLineChars="200" w:firstLine="480"/>
        <w:jc w:val="both"/>
      </w:pPr>
      <w:r>
        <w:rPr>
          <w:rFonts w:ascii="宋体" w:hAnsi="宋体" w:eastAsia="宋体"/>
          <w:sz w:val="24"/>
        </w:rPr>
        <w:t>本章的分析同时为后续章节留下两个接口。其一，运营中心把绿色词元凭证列为核心服务，而绿色属性的界定、核算与溢价机制尚未展开，第 11 章将以每千标准词元的碳强度为计量单位（2026 年用量加权平均为2.263 gCO₂e／千标准词元，绿色词元阈值为1.0 gCO₂e／千标准词元）系统处理这一问题。其二，本章的组织与机制分析建立在城市样本的定性观察之上，其模式差异、能力评分与企业采纳障碍的系统比较，将在第 13 章的多案例研究中以扎根方法完成三角验证。</w:t>
      </w:r>
    </w:p>
    <w:p>
      <w:r>
        <w:br w:type="page"/>
      </w:r>
    </w:p>
    <w:p>
      <w:pPr>
        <w:keepNext/>
        <w:spacing w:before="240" w:after="160" w:line="360" w:lineRule="auto"/>
        <w:jc w:val="center"/>
        <w:outlineLvl w:val="0"/>
      </w:pPr>
      <w:r>
        <w:rPr>
          <w:rFonts w:ascii="黑体" w:hAnsi="黑体" w:eastAsia="黑体"/>
          <w:b/>
          <w:sz w:val="30"/>
        </w:rPr>
        <w:t>第11章  绿色词元：能耗、碳足迹与可信溯源</w:t>
      </w:r>
    </w:p>
    <w:p>
      <w:pPr>
        <w:spacing w:line="360" w:lineRule="auto" w:after="0"/>
        <w:ind w:firstLineChars="200" w:firstLine="480"/>
        <w:jc w:val="both"/>
      </w:pPr>
      <w:r>
        <w:rPr>
          <w:rFonts w:ascii="宋体" w:hAnsi="宋体" w:eastAsia="宋体"/>
          <w:sz w:val="24"/>
        </w:rPr>
        <w:t>第9章把算力到词元的转化过程分解为空转、批次、匹配与效值四项损失，第10章把统一计量与统一结算落到城市词元运营中心的机制设计上。两章共同指向一个尚未被处理的约束：词元的生产不只消耗算力与资本，还消耗电力，并因电力而排放二氧化碳。在词元经济的早期，这一约束可以被忽略——调用量小、能耗总量低、单位成本中的电费占比不显著；但当日均调用量在两年内由2024年初的1000亿枚增至2026年3月的140万亿枚、增长约1400倍（国家数据局口径，其余时点为校准复算插值）之后，电力与碳排放就从成本表的一个细项上升为产能的硬约束。国际能源署的评估显示，2024年全球数据中心用电约415太瓦时，约占全球用电的1.5%，基准情景下到2030年将升至约945太瓦时、占比略低于3%，其中美国与中国合计贡献全球增量的近八成（IEA，2025）；对数据中心能耗的长期核算也表明，人工智能负载正在改变这一部门的能耗轨迹（Masanet等，2020；Shehabi等，2024）。词元经济因此同时面对三重约束：算力约束、电力约束与碳约束。前者是第9章的主题，后两者是本章的主题。</w:t>
      </w:r>
    </w:p>
    <w:p>
      <w:pPr>
        <w:spacing w:line="360" w:lineRule="auto" w:after="0"/>
        <w:ind w:firstLineChars="200" w:firstLine="480"/>
        <w:jc w:val="both"/>
      </w:pPr>
      <w:r>
        <w:rPr>
          <w:rFonts w:ascii="宋体" w:hAnsi="宋体" w:eastAsia="宋体"/>
          <w:sz w:val="24"/>
        </w:rPr>
        <w:t>把碳约束写进词元经济的分析框架，需要跨过一道计量门槛。碳强度是一个比值，其分子是排放量、分母是产出量；分子侧的核算已有成熟的方法学传统，从产品生命周期评价到温室气体核算体系（「WRI和WBCSD，2011」；「ISO，2018」），国内亦有与之衔接的国家标准与制度安排（国家市场监督管理总局和国家标准化管理委员会，2024；生态环境部等，2024）；真正的难点在分母侧——若产出以物理词元计，则分母本身不可加。第3章已经证明物理词元在算力、质量与场景三个维度上高度异质，第5章据此构建了以标准词元为分母的效值折算体系。碳核算继承了同一个逻辑：只有当分母是可比、可加的标准词元时，碳强度才是一个有经济含义的比率，绿色词元的认证阈值才可能在不同模型、不同厂商、不同城市之间保持一致。这构成本章与第5章的直接接续关系。</w:t>
      </w:r>
    </w:p>
    <w:p>
      <w:pPr>
        <w:spacing w:line="360" w:lineRule="auto" w:after="0"/>
        <w:ind w:firstLineChars="200" w:firstLine="480"/>
        <w:jc w:val="both"/>
      </w:pPr>
      <w:r>
        <w:rPr>
          <w:rFonts w:ascii="宋体" w:hAnsi="宋体" w:eastAsia="宋体"/>
          <w:sz w:val="24"/>
        </w:rPr>
        <w:t>但接续不等于替代。本章将论证一个容易被忽略的命题：效值折算解决的是价值可比，碳核算解决的是环境可比，两套当量体系必须并行而不能互相代劳。理由在于，单位标准词元的碳强度在六个档位之间并不相等，而且随效值系数超比例上升——效值高的词元不仅价值高，其单位价值所付出的碳代价也更高。若以为把词元折算成标准词元便自动解决了碳的可比性，就会在补贴与考核中系统性地奖励高碳档位。这一点将在11.2节以碳—效值弹性的估计给出量化证据。</w:t>
      </w:r>
    </w:p>
    <w:p>
      <w:pPr>
        <w:spacing w:line="360" w:lineRule="auto" w:after="0"/>
        <w:ind w:firstLineChars="200" w:firstLine="480"/>
        <w:jc w:val="both"/>
      </w:pPr>
      <w:r>
        <w:rPr>
          <w:rFonts w:ascii="宋体" w:hAnsi="宋体" w:eastAsia="宋体"/>
          <w:sz w:val="24"/>
        </w:rPr>
        <w:t>本章的安排如下：11.1节辨析现有能耗数据的三重口径落差，给出从设施级电量到服务级功能单位的能耗核算恒等式，并说明为什么词元级能耗数值只能是换算与校准复算的结果；11.2节把电量折算为碳，界定碳强度的双重口径，估计碳—效值弹性，并给出绿色词元阈值的设定原则与达标条件；11.3节分析能效、配置与电力三条减排路径，梳理算电协同与绿电直供的政策工具箱，并作情景测算与总量口径校验；11.4节刻画绿色词元的溢价机制、隐含碳价与出海碳合规需求；11.5节讨论可信溯源体系的链路结构、凭证的经济学与制度建设次序；11.6节为本章小结。</w:t>
      </w:r>
    </w:p>
    <w:p>
      <w:pPr>
        <w:keepNext/>
        <w:spacing w:before="160" w:after="120" w:line="360" w:lineRule="auto"/>
        <w:outlineLvl w:val="1"/>
      </w:pPr>
      <w:r>
        <w:rPr>
          <w:rFonts w:ascii="黑体" w:hAnsi="黑体" w:eastAsia="黑体"/>
          <w:sz w:val="28"/>
        </w:rPr>
        <w:t>11.1  词元生产的能耗核算：从设施级到服务级</w:t>
      </w:r>
    </w:p>
    <w:p>
      <w:pPr>
        <w:spacing w:line="360" w:lineRule="auto" w:after="0"/>
        <w:ind w:firstLineChars="200" w:firstLine="480"/>
        <w:jc w:val="both"/>
      </w:pPr>
      <w:r>
        <w:rPr>
          <w:rFonts w:ascii="宋体" w:hAnsi="宋体" w:eastAsia="宋体"/>
          <w:sz w:val="24"/>
        </w:rPr>
        <w:t>能耗核算的第一项工作不是计算，而是划定核算对象。数据中心的电表读数是设施级的，它记录一栋建筑在一段时间内消耗的电量；而词元经济需要的是服务级的强度指标，即生产一千枚标准词元平均消耗多少电、排放多少二氧化碳。从前者到后者要经过功率归集、时间积分、开销分摊、产出折算四道工序，每一道都可能因规则不同而产生成倍的差异。本章的完整核算框架与溯源链路如图11.1所示。</w:t>
      </w:r>
    </w:p>
    <w:p>
      <w:pPr>
        <w:spacing w:before="120" w:after="40"/>
        <w:jc w:val="center"/>
      </w:pPr>
      <w:r>
        <w:drawing>
          <wp:inline xmlns:a="http://schemas.openxmlformats.org/drawingml/2006/main" xmlns:pic="http://schemas.openxmlformats.org/drawingml/2006/picture">
            <wp:extent cx="5040000" cy="3110625"/>
            <wp:docPr id="35" name="Picture 35"/>
            <wp:cNvGraphicFramePr>
              <a:graphicFrameLocks noChangeAspect="1"/>
            </wp:cNvGraphicFramePr>
            <a:graphic>
              <a:graphicData uri="http://schemas.openxmlformats.org/drawingml/2006/picture">
                <pic:pic>
                  <pic:nvPicPr>
                    <pic:cNvPr id="0" name="fig11_1.png"/>
                    <pic:cNvPicPr/>
                  </pic:nvPicPr>
                  <pic:blipFill>
                    <a:blip r:embed="rId43"/>
                    <a:stretch>
                      <a:fillRect/>
                    </a:stretch>
                  </pic:blipFill>
                  <pic:spPr>
                    <a:xfrm>
                      <a:off x="0" y="0"/>
                      <a:ext cx="5040000" cy="3110625"/>
                    </a:xfrm>
                    <a:prstGeom prst="rect"/>
                  </pic:spPr>
                </pic:pic>
              </a:graphicData>
            </a:graphic>
          </wp:inline>
        </w:drawing>
      </w:r>
    </w:p>
    <w:p>
      <w:pPr>
        <w:keepNext w:val="0"/>
        <w:spacing w:after="200"/>
        <w:jc w:val="center"/>
      </w:pPr>
      <w:r>
        <w:rPr>
          <w:rFonts w:ascii="黑体" w:hAnsi="黑体" w:eastAsia="黑体"/>
          <w:sz w:val="21"/>
        </w:rPr>
        <w:t>图11.1  词元的能耗—碳足迹核算框架</w:t>
      </w:r>
    </w:p>
    <w:p>
      <w:pPr>
        <w:spacing w:line="360" w:lineRule="auto" w:after="0"/>
        <w:ind w:firstLineChars="200" w:firstLine="480"/>
        <w:jc w:val="both"/>
      </w:pPr>
      <w:r>
        <w:rPr>
          <w:rFonts w:ascii="宋体" w:hAnsi="宋体" w:eastAsia="宋体"/>
          <w:sz w:val="24"/>
        </w:rPr>
        <w:t>图11.1 的上排是五步核算链条：由算力功耗出发，经数据中心电能利用效率修正得到用电量，再乘以排放因子得到碳排放量，最后以标准词元产出为分母得到碳强度。链条终点接一个阈值判定：碳强度低于阈值者进入绿色词元并获得随词元签发的碳足迹凭证，高于阈值者进入减排路径，其中提高绿电占比的效果以虚线反馈回排放因子环节，构成一个可迭代的闭环。图的下半部是与核算链条并行的可信溯源链路：数据传输、模型调用、业务落地三段过程各自留痕，共同汇入由时间戳、内容哈希与主体标识构成的存证层，并与碳足迹凭证一一绑定。这一并行结构提示了本章的一个基本判断——碳足迹凭证不是一份独立签发的证书，而是标准词元计量记录的一个字段；离开计量与溯源，凭证既无法生成，也无法核验。</w:t>
      </w:r>
    </w:p>
    <w:p>
      <w:pPr>
        <w:keepNext/>
        <w:spacing w:before="160" w:after="120" w:line="360" w:lineRule="auto"/>
        <w:outlineLvl w:val="2"/>
      </w:pPr>
      <w:r>
        <w:rPr>
          <w:rFonts w:ascii="黑体" w:hAnsi="黑体" w:eastAsia="黑体"/>
          <w:sz w:val="24"/>
        </w:rPr>
        <w:t>11.1.1  三重口径落差：为什么现有能耗数据不能直接用于词元核算</w:t>
      </w:r>
    </w:p>
    <w:p>
      <w:pPr>
        <w:spacing w:line="360" w:lineRule="auto" w:after="0"/>
        <w:ind w:firstLineChars="200" w:firstLine="480"/>
        <w:jc w:val="both"/>
      </w:pPr>
      <w:r>
        <w:rPr>
          <w:rFonts w:ascii="宋体" w:hAnsi="宋体" w:eastAsia="宋体"/>
          <w:sz w:val="24"/>
        </w:rPr>
        <w:t>第一重落差在分母。目前唯一披露了完整方法论的厂商口径来自谷歌2025年8月发布的推理环境影响测算：其应用侧文本提示的中位能耗为每次0.24瓦时，对应0.03克二氧化碳当量与0.26毫升水，能耗构成为张量处理单元占58%、宿主机中央处理器与内存占25%、空闲备机占10%、数据中心开销占8%。同一次推理，若只计活跃加速器这一窄口径，则为每次0.10瓦时与0.02克二氧化碳当量——综合口径与窄口径相差2.4倍。该测算同时报告，12个月内每次中位提示的能耗下降33倍、碳足迹下降44倍，但这是同一厂商同一产品线的纵向自比，不可跨厂商横向套用。关键在于：这些数值的分母是「一次提示」，不是「一千枚词元」。经系统检索，主流厂商均未发布以词元为分母的官方能耗数据。</w:t>
      </w:r>
    </w:p>
    <w:p>
      <w:pPr>
        <w:spacing w:line="360" w:lineRule="auto" w:after="0"/>
        <w:ind w:firstLineChars="200" w:firstLine="480"/>
        <w:jc w:val="both"/>
      </w:pPr>
      <w:r>
        <w:rPr>
          <w:rFonts w:ascii="宋体" w:hAnsi="宋体" w:eastAsia="宋体"/>
          <w:sz w:val="24"/>
        </w:rPr>
        <w:t>第三方与学术测算的分母同样是查询。微软研究院发表于《焦耳》的研究给出前沿规模模型推理的中位能耗为每次查询0.31瓦时，四分位距0.16至0.60瓦时；在推理长度为典型查询15倍的测试时扩展情景下，中位能耗升至3.91瓦时，为13倍；该研究并指出，即便只有一成的日请求属于长推理，也足以使总能耗翻倍以上，同时估计模型、服务栈与硬件三条路径合计存在8至20倍的可见效率改进空间，而公开流传的估算普遍高估了4至20倍，原因是采用了非生产环境的假设。另一家独立机构的建模推算给出典型查询约0.3瓦时，并指出此前广为流传的每次3瓦时高估约10倍。需要特别提醒的是，0.24、0.31与0.3三个数字的接近纯属巧合——三者的模型、硬件与核算边界各不相同，不构成相互验证。学术界对生成式人工智能能耗与碳排的系统测量亦表明，不同任务、不同模态之间的能耗差异可达数量级（Luccioni等，2023；Luccioni等，2024），训练侧的碳足迹轨迹与推理侧的扩张态势需要分别刻画（Patterson等，2022；de Vries，2023），而披露的不充分本身已成为一个独立的治理问题（Crawford，2024）；水资源维度的核算同样长期缺位（Li等，2025）。</w:t>
      </w:r>
    </w:p>
    <w:p>
      <w:pPr>
        <w:spacing w:line="360" w:lineRule="auto" w:after="0"/>
        <w:ind w:firstLineChars="200" w:firstLine="480"/>
        <w:jc w:val="both"/>
      </w:pPr>
      <w:r>
        <w:rPr>
          <w:rFonts w:ascii="宋体" w:hAnsi="宋体" w:eastAsia="宋体"/>
          <w:sz w:val="24"/>
        </w:rPr>
        <w:t>第二重落差在边界。设施级核算以数据中心为核算边界，其自然指标是电能利用效率与用电量；服务级核算以一次服务或一枚词元为功能单位，需要把设施开销、空闲备机、宿主机资源乃至跨区域的调度损耗一并分摊到产出上。两者不是精粗之别而是对象之别：设施级指标再精确，也无法回答「这一千枚词元排放了多少」。我国的统计现状加剧了这一落差——电力统计的行业分类中数据中心并未单列，迄今没有任何国家部委发布过数据中心用电量的正式统计。公开流传的占比数字中，刊于党媒的学者测算为2025年约占全国电耗的2.4%，咨询机构口径则有4.1%与5%等说法，三者来源等级不同、彼此矛盾，差异接近一倍，不可并列引用，更不可取平均。可核实的设施级指标只有电能利用效率：2023年全国数据中心平均约1.48（中国信息通信研究院口径，2022年为1.54）。</w:t>
      </w:r>
    </w:p>
    <w:p>
      <w:pPr>
        <w:spacing w:line="360" w:lineRule="auto" w:after="0"/>
        <w:ind w:firstLineChars="200" w:firstLine="480"/>
        <w:jc w:val="both"/>
      </w:pPr>
      <w:r>
        <w:rPr>
          <w:rFonts w:ascii="宋体" w:hAnsi="宋体" w:eastAsia="宋体"/>
          <w:sz w:val="24"/>
        </w:rPr>
        <w:t>第三重落差在分布。上述权威测算报告的都是中位数而非均值，而推理请求的长度分布具有厚尾特征：少数长推理请求的能耗可达典型请求的十余倍，因而均值显著高于中位数，用中位数乘以调用量估算总量会系统性低估。此外，文本与多模态不可混用（图像与视频生成的能耗显著更高），推理与训练不可混用（以上数值全部为推理口径）。三重落差叠加的结果是：现有公开数据既不能直接用作词元级能耗强度，也不能通过简单换算得到——它们缺的不是精度，而是与词元对应的功能单位。这正是本章要补的第一块地基。</w:t>
      </w:r>
    </w:p>
    <w:p>
      <w:pPr>
        <w:keepNext/>
        <w:spacing w:before="160" w:after="120" w:line="360" w:lineRule="auto"/>
        <w:outlineLvl w:val="2"/>
      </w:pPr>
      <w:r>
        <w:rPr>
          <w:rFonts w:ascii="黑体" w:hAnsi="黑体" w:eastAsia="黑体"/>
          <w:sz w:val="24"/>
        </w:rPr>
        <w:t>11.1.2  能耗核算的基本恒等式</w:t>
      </w:r>
    </w:p>
    <w:p>
      <w:pPr>
        <w:spacing w:line="360" w:lineRule="auto" w:after="0"/>
        <w:ind w:firstLineChars="200" w:firstLine="480"/>
        <w:jc w:val="both"/>
      </w:pPr>
      <w:r>
        <w:rPr>
          <w:rFonts w:ascii="宋体" w:hAnsi="宋体" w:eastAsia="宋体"/>
          <w:sz w:val="24"/>
        </w:rPr>
        <w:t xml:space="preserve">设档位 </w:t>
      </w:r>
      <m:oMath>
        <m:r>
          <m:t>m</m:t>
        </m:r>
      </m:oMath>
      <w:r>
        <w:rPr>
          <w:rFonts w:ascii="宋体" w:hAnsi="宋体" w:eastAsia="宋体"/>
          <w:sz w:val="24"/>
        </w:rPr>
        <w:t xml:space="preserve"> 的加速器单设备功率为 </w:t>
      </w:r>
      <m:oMath>
        <m:sSub>
          <m:e>
            <m:r>
              <m:t>W</m:t>
            </m:r>
          </m:e>
          <m:sub>
            <m:r>
              <m:t>m</m:t>
            </m:r>
          </m:sub>
        </m:sSub>
      </m:oMath>
      <w:r>
        <w:rPr>
          <w:rFonts w:ascii="宋体" w:hAnsi="宋体" w:eastAsia="宋体"/>
          <w:sz w:val="24"/>
        </w:rPr>
        <w:t xml:space="preserve">（千瓦）、单设备算力为 </w:t>
      </w:r>
      <m:oMath>
        <m:sSub>
          <m:e>
            <m:r>
              <m:t>Φ</m:t>
            </m:r>
          </m:e>
          <m:sub>
            <m:r>
              <m:t>m</m:t>
            </m:r>
          </m:sub>
        </m:sSub>
      </m:oMath>
      <w:r>
        <w:rPr>
          <w:rFonts w:ascii="宋体" w:hAnsi="宋体" w:eastAsia="宋体"/>
          <w:sz w:val="24"/>
        </w:rPr>
        <w:t xml:space="preserve">（每秒千万亿次浮点运算），第9章定义的转化效率 </w:t>
      </w:r>
      <m:oMath>
        <m:sSub>
          <m:e>
            <m:r>
              <m:t>θ</m:t>
            </m:r>
          </m:e>
          <m:sub>
            <m:r>
              <m:t>m</m:t>
            </m:r>
          </m:sub>
        </m:sSub>
      </m:oMath>
      <w:r>
        <w:rPr>
          <w:rFonts w:ascii="宋体" w:hAnsi="宋体" w:eastAsia="宋体"/>
          <w:sz w:val="24"/>
        </w:rPr>
        <w:t xml:space="preserve"> 表示单位算力时（每千万亿次浮点运算·小时）产出的标准词元数，有效效值利用率为 </w:t>
      </w:r>
      <m:oMath>
        <m:r>
          <m:t>u</m:t>
        </m:r>
      </m:oMath>
      <w:r>
        <w:rPr>
          <w:rFonts w:ascii="宋体" w:hAnsi="宋体" w:eastAsia="宋体"/>
          <w:sz w:val="24"/>
        </w:rPr>
        <w:t>。在窄口径下，生产一枚标准词元所需的加速器电量由式(11-1)给出。</w:t>
      </w:r>
    </w:p>
    <w:p>
      <w:pPr>
        <w:tabs>
          <w:tab w:pos="4252" w:val="center"/>
          <w:tab w:pos="8504" w:val="right"/>
        </w:tabs>
        <w:spacing w:line="360" w:lineRule="auto" w:before="80" w:after="80"/>
      </w:pPr>
      <w:r>
        <w:tab/>
      </w:r>
      <m:oMath>
        <m:sSubSup>
          <m:e>
            <m:r>
              <m:t>ε</m:t>
            </m:r>
          </m:e>
          <m:sub>
            <m:r>
              <m:t>m</m:t>
            </m:r>
          </m:sub>
          <m:sup>
            <m:r>
              <m:rPr>
                <m:sty m:val="p"/>
              </m:rPr>
              <m:t>a</m:t>
            </m:r>
            <m:r>
              <m:rPr>
                <m:sty m:val="p"/>
              </m:rPr>
              <m:t>c</m:t>
            </m:r>
            <m:r>
              <m:rPr>
                <m:sty m:val="p"/>
              </m:rPr>
              <m:t>c</m:t>
            </m:r>
          </m:sup>
        </m:sSubSup>
        <m:r>
          <m:rPr>
            <m:sty m:val="p"/>
          </m:rPr>
          <m:t>=</m:t>
        </m:r>
        <m:f>
          <m:fPr>
            <m:type m:val="bar"/>
          </m:fPr>
          <m:num>
            <m:sSub>
              <m:e>
                <m:r>
                  <m:t>W</m:t>
                </m:r>
              </m:e>
              <m:sub>
                <m:r>
                  <m:t>m</m:t>
                </m:r>
              </m:sub>
            </m:sSub>
            <m:r>
              <m:rPr>
                <m:sty m:val="p"/>
              </m:rPr>
              <m:t>/</m:t>
            </m:r>
            <m:sSub>
              <m:e>
                <m:r>
                  <m:t>Φ</m:t>
                </m:r>
              </m:e>
              <m:sub>
                <m:r>
                  <m:t>m</m:t>
                </m:r>
              </m:sub>
            </m:sSub>
          </m:num>
          <m:den>
            <m:r>
              <m:t>u</m:t>
            </m:r>
            <m:r>
              <m:t> </m:t>
            </m:r>
            <m:sSub>
              <m:e>
                <m:r>
                  <m:t>θ</m:t>
                </m:r>
              </m:e>
              <m:sub>
                <m:r>
                  <m:t>m</m:t>
                </m:r>
              </m:sub>
            </m:sSub>
          </m:den>
        </m:f>
      </m:oMath>
      <w:r>
        <w:tab/>
      </w:r>
      <w:r>
        <w:rPr>
          <w:rFonts w:ascii="Times New Roman" w:hAnsi="Times New Roman" w:eastAsia="宋体"/>
          <w:sz w:val="24"/>
        </w:rPr>
        <w:t>(11-1)</w:t>
      </w:r>
    </w:p>
    <w:p>
      <w:pPr>
        <w:spacing w:line="360" w:lineRule="auto" w:after="0"/>
        <w:jc w:val="both"/>
      </w:pPr>
      <w:r>
        <w:rPr>
          <w:rFonts w:ascii="宋体" w:hAnsi="宋体" w:eastAsia="宋体"/>
          <w:sz w:val="24"/>
        </w:rPr>
        <w:t>其中，</w:t>
      </w:r>
      <m:oMath>
        <m:sSub>
          <m:e>
            <m:r>
              <m:t>W</m:t>
            </m:r>
          </m:e>
          <m:sub>
            <m:r>
              <m:t>m</m:t>
            </m:r>
          </m:sub>
        </m:sSub>
        <m:r>
          <m:rPr>
            <m:sty m:val="p"/>
          </m:rPr>
          <m:t>/</m:t>
        </m:r>
        <m:sSub>
          <m:e>
            <m:r>
              <m:t>Φ</m:t>
            </m:r>
          </m:e>
          <m:sub>
            <m:r>
              <m:t>m</m:t>
            </m:r>
          </m:sub>
        </m:sSub>
      </m:oMath>
      <w:r>
        <w:rPr>
          <w:rFonts w:ascii="宋体" w:hAnsi="宋体" w:eastAsia="宋体"/>
          <w:sz w:val="24"/>
        </w:rPr>
        <w:t xml:space="preserve"> 为功率算力比（千瓦每千万亿次浮点运算），刻画硬件世代的能效水平；分母 </w:t>
      </w:r>
      <m:oMath>
        <m:r>
          <m:t>u</m:t>
        </m:r>
        <m:r>
          <m:t> </m:t>
        </m:r>
        <m:sSub>
          <m:e>
            <m:r>
              <m:t>θ</m:t>
            </m:r>
          </m:e>
          <m:sub>
            <m:r>
              <m:t>m</m:t>
            </m:r>
          </m:sub>
        </m:sSub>
      </m:oMath>
      <w:r>
        <w:rPr>
          <w:rFonts w:ascii="宋体" w:hAnsi="宋体" w:eastAsia="宋体"/>
          <w:sz w:val="24"/>
        </w:rPr>
        <w:t xml:space="preserve"> 为单位算力时实际产出的有效标准词元数。量纲上，千瓦除以「标准词元每小时」恰为「千瓦时每标准词元」。</w:t>
      </w:r>
    </w:p>
    <w:p>
      <w:pPr>
        <w:spacing w:line="360" w:lineRule="auto" w:after="0"/>
        <w:ind w:firstLineChars="200" w:firstLine="480"/>
        <w:jc w:val="both"/>
      </w:pPr>
      <w:r>
        <w:rPr>
          <w:rFonts w:ascii="宋体" w:hAnsi="宋体" w:eastAsia="宋体"/>
          <w:sz w:val="24"/>
        </w:rPr>
        <w:t>式(11-1)虽简单，却含有三条对本章至关重要的性质。性质一，能耗强度与转化效率成反比：第9章测算的六档位转化效率由轻量蒸馏级的42.0万标准词元每算力时递减至推理增强级的3.1万，这一递减在能耗侧直接表现为强度的递增，二者是同一枚硬币的两面。性质二，能耗强度与有效效值利用率成反比：这意味着调度与匹配这类纯粹的组织性改进会直接降低单位词元能耗，而在设施级核算中这一效应完全不可见——空转的服务器同样耗电，却不出现在任何一枚词元的账上。性质三，能耗强度对电能利用效率的弹性为1：在电能利用效率等于1.4附近，每下降0.1，单位标准词元电耗下降约7.1%。这三条性质说明，词元级能耗核算并不是设施级核算的简单细分，它把技术效率、组织效率与设施效率放进了同一个表达式。</w:t>
      </w:r>
    </w:p>
    <w:p>
      <w:pPr>
        <w:spacing w:line="360" w:lineRule="auto" w:after="0"/>
        <w:ind w:firstLineChars="200" w:firstLine="480"/>
        <w:jc w:val="both"/>
      </w:pPr>
      <w:r>
        <w:rPr>
          <w:rFonts w:ascii="宋体" w:hAnsi="宋体" w:eastAsia="宋体"/>
          <w:sz w:val="24"/>
        </w:rPr>
        <w:t xml:space="preserve">窄口径只计加速器，而实际发生的电量还包括宿主机的中央处理器与内存、为峰值与故障切换预留的空闲备机，以及制冷与配电等设施开销。记宿主机开销率为 </w:t>
      </w:r>
      <m:oMath>
        <m:sSub>
          <m:e>
            <m:r>
              <m:t>ζ</m:t>
            </m:r>
          </m:e>
          <m:sub>
            <m:r>
              <m:t>h</m:t>
            </m:r>
          </m:sub>
        </m:sSub>
      </m:oMath>
      <w:r>
        <w:rPr>
          <w:rFonts w:ascii="宋体" w:hAnsi="宋体" w:eastAsia="宋体"/>
          <w:sz w:val="24"/>
        </w:rPr>
        <w:t xml:space="preserve">、空闲备机率为 </w:t>
      </w:r>
      <m:oMath>
        <m:sSub>
          <m:e>
            <m:r>
              <m:t>ζ</m:t>
            </m:r>
          </m:e>
          <m:sub>
            <m:r>
              <m:t>i</m:t>
            </m:r>
          </m:sub>
        </m:sSub>
      </m:oMath>
      <w:r>
        <w:rPr>
          <w:rFonts w:ascii="宋体" w:hAnsi="宋体" w:eastAsia="宋体"/>
          <w:sz w:val="24"/>
        </w:rPr>
        <w:t>，则综合口径的能耗强度由式(11-2)给出。</w:t>
      </w:r>
    </w:p>
    <w:p>
      <w:pPr>
        <w:tabs>
          <w:tab w:pos="4252" w:val="center"/>
          <w:tab w:pos="8504" w:val="right"/>
        </w:tabs>
        <w:spacing w:line="360" w:lineRule="auto" w:before="80" w:after="80"/>
      </w:pPr>
      <w:r>
        <w:tab/>
      </w:r>
      <m:oMath>
        <m:sSub>
          <m:e>
            <m:r>
              <m:t>ε</m:t>
            </m:r>
          </m:e>
          <m:sub>
            <m:r>
              <m:t>m</m:t>
            </m:r>
          </m:sub>
        </m:sSub>
        <m:r>
          <m:rPr>
            <m:sty m:val="p"/>
          </m:rPr>
          <m:t>=</m:t>
        </m:r>
        <m:sSubSup>
          <m:e>
            <m:r>
              <m:t>ε</m:t>
            </m:r>
          </m:e>
          <m:sub>
            <m:r>
              <m:t>m</m:t>
            </m:r>
          </m:sub>
          <m:sup>
            <m:r>
              <m:rPr>
                <m:sty m:val="p"/>
              </m:rPr>
              <m:t>a</m:t>
            </m:r>
            <m:r>
              <m:rPr>
                <m:sty m:val="p"/>
              </m:rPr>
              <m:t>c</m:t>
            </m:r>
            <m:r>
              <m:rPr>
                <m:sty m:val="p"/>
              </m:rPr>
              <m:t>c</m:t>
            </m:r>
          </m:sup>
        </m:sSubSup>
        <m:d>
          <m:dPr>
            <m:begChr m:val="("/>
            <m:endChr m:val=")"/>
            <m:grow/>
          </m:dPr>
          <m:e>
            <m:r>
              <m:t>1</m:t>
            </m:r>
            <m:r>
              <m:rPr>
                <m:sty m:val="p"/>
              </m:rPr>
              <m:t>+</m:t>
            </m:r>
            <m:sSub>
              <m:e>
                <m:r>
                  <m:t>ζ</m:t>
                </m:r>
              </m:e>
              <m:sub>
                <m:r>
                  <m:t>h</m:t>
                </m:r>
              </m:sub>
            </m:sSub>
            <m:r>
              <m:rPr>
                <m:sty m:val="p"/>
              </m:rPr>
              <m:t>+</m:t>
            </m:r>
            <m:sSub>
              <m:e>
                <m:r>
                  <m:t>ζ</m:t>
                </m:r>
              </m:e>
              <m:sub>
                <m:r>
                  <m:t>i</m:t>
                </m:r>
              </m:sub>
            </m:sSub>
          </m:e>
        </m:d>
        <m:r>
          <m:rPr>
            <m:sty m:val="p"/>
          </m:rPr>
          <m:t>⋅</m:t>
        </m:r>
        <m:r>
          <m:rPr>
            <m:sty m:val="p"/>
          </m:rPr>
          <m:t>P</m:t>
        </m:r>
        <m:r>
          <m:rPr>
            <m:sty m:val="p"/>
          </m:rPr>
          <m:t>U</m:t>
        </m:r>
        <m:r>
          <m:rPr>
            <m:sty m:val="p"/>
          </m:rPr>
          <m:t>E</m:t>
        </m:r>
        <m:r>
          <m:rPr>
            <m:sty m:val="p"/>
          </m:rPr>
          <m:t>,</m:t>
        </m:r>
        <m:r>
          <m:t>  </m:t>
        </m:r>
        <m:sSub>
          <m:e>
            <m:r>
              <m:t>ζ</m:t>
            </m:r>
          </m:e>
          <m:sub>
            <m:r>
              <m:t>h</m:t>
            </m:r>
          </m:sub>
        </m:sSub>
        <m:r>
          <m:rPr>
            <m:sty m:val="p"/>
          </m:rPr>
          <m:t>≥</m:t>
        </m:r>
        <m:r>
          <m:t>0</m:t>
        </m:r>
        <m:r>
          <m:rPr>
            <m:sty m:val="p"/>
          </m:rPr>
          <m:t>,</m:t>
        </m:r>
        <m:r>
          <m:t> </m:t>
        </m:r>
        <m:r>
          <m:t> </m:t>
        </m:r>
        <m:sSub>
          <m:e>
            <m:r>
              <m:t>ζ</m:t>
            </m:r>
          </m:e>
          <m:sub>
            <m:r>
              <m:t>i</m:t>
            </m:r>
          </m:sub>
        </m:sSub>
        <m:r>
          <m:rPr>
            <m:sty m:val="p"/>
          </m:rPr>
          <m:t>≥</m:t>
        </m:r>
        <m:r>
          <m:t>0</m:t>
        </m:r>
        <m:r>
          <m:rPr>
            <m:sty m:val="p"/>
          </m:rPr>
          <m:t>,</m:t>
        </m:r>
        <m:r>
          <m:t> </m:t>
        </m:r>
        <m:r>
          <m:t> </m:t>
        </m:r>
        <m:r>
          <m:rPr>
            <m:sty m:val="p"/>
          </m:rPr>
          <m:t>P</m:t>
        </m:r>
        <m:r>
          <m:rPr>
            <m:sty m:val="p"/>
          </m:rPr>
          <m:t>U</m:t>
        </m:r>
        <m:r>
          <m:rPr>
            <m:sty m:val="p"/>
          </m:rPr>
          <m:t>E</m:t>
        </m:r>
        <m:r>
          <m:rPr>
            <m:sty m:val="p"/>
          </m:rPr>
          <m:t>≥</m:t>
        </m:r>
        <m:r>
          <m:t>1</m:t>
        </m:r>
      </m:oMath>
      <w:r>
        <w:tab/>
      </w:r>
      <w:r>
        <w:rPr>
          <w:rFonts w:ascii="Times New Roman" w:hAnsi="Times New Roman" w:eastAsia="宋体"/>
          <w:sz w:val="24"/>
        </w:rPr>
        <w:t>(11-2)</w:t>
      </w:r>
    </w:p>
    <w:p>
      <w:pPr>
        <w:spacing w:line="360" w:lineRule="auto" w:after="0"/>
        <w:jc w:val="both"/>
      </w:pPr>
      <w:r>
        <w:rPr>
          <w:rFonts w:ascii="宋体" w:hAnsi="宋体" w:eastAsia="宋体"/>
          <w:sz w:val="24"/>
        </w:rPr>
        <w:t>其中，</w:t>
      </w:r>
      <m:oMath>
        <m:r>
          <m:rPr>
            <m:sty m:val="p"/>
          </m:rPr>
          <m:t>P</m:t>
        </m:r>
        <m:r>
          <m:rPr>
            <m:sty m:val="p"/>
          </m:rPr>
          <m:t>U</m:t>
        </m:r>
        <m:r>
          <m:rPr>
            <m:sty m:val="p"/>
          </m:rPr>
          <m:t>E</m:t>
        </m:r>
      </m:oMath>
      <w:r>
        <w:rPr>
          <w:rFonts w:ascii="宋体" w:hAnsi="宋体" w:eastAsia="宋体"/>
          <w:sz w:val="24"/>
        </w:rPr>
        <w:t xml:space="preserve"> 为数据中心电能利用效率，</w:t>
      </w:r>
      <m:oMath>
        <m:sSub>
          <m:e>
            <m:r>
              <m:t>ζ</m:t>
            </m:r>
          </m:e>
          <m:sub>
            <m:r>
              <m:t>h</m:t>
            </m:r>
          </m:sub>
        </m:sSub>
      </m:oMath>
      <w:r>
        <w:rPr>
          <w:rFonts w:ascii="宋体" w:hAnsi="宋体" w:eastAsia="宋体"/>
          <w:sz w:val="24"/>
        </w:rPr>
        <w:t xml:space="preserve"> 与 </w:t>
      </w:r>
      <m:oMath>
        <m:sSub>
          <m:e>
            <m:r>
              <m:t>ζ</m:t>
            </m:r>
          </m:e>
          <m:sub>
            <m:r>
              <m:t>i</m:t>
            </m:r>
          </m:sub>
        </m:sSub>
      </m:oMath>
      <w:r>
        <w:rPr>
          <w:rFonts w:ascii="宋体" w:hAnsi="宋体" w:eastAsia="宋体"/>
          <w:sz w:val="24"/>
        </w:rPr>
        <w:t xml:space="preserve"> 分别为宿主机与空闲备机相对于加速器电量的比率。</w:t>
      </w:r>
    </w:p>
    <w:p>
      <w:pPr>
        <w:spacing w:line="360" w:lineRule="auto" w:after="0"/>
        <w:ind w:firstLineChars="200" w:firstLine="480"/>
        <w:jc w:val="both"/>
      </w:pPr>
      <w:r>
        <w:rPr>
          <w:rFonts w:ascii="宋体" w:hAnsi="宋体" w:eastAsia="宋体"/>
          <w:sz w:val="24"/>
        </w:rPr>
        <w:t>式(11-2)把分摊规则显性化，也把分摊规则的任意性暴露出来。以前引厂商披露的能耗构成为例：若按张量处理单元占58%反推，则综合口径应为窄口径的约1.72倍；而该厂商同时报告的综合口径与窄口径实测值之比为2.4倍。两组数字并不一致，差额来自窄口径对「活跃」二字的界定——它把空闲备机中的加速器排除在外。这一细节说明，</w:t>
      </w:r>
      <m:oMath>
        <m:sSub>
          <m:e>
            <m:r>
              <m:t>ζ</m:t>
            </m:r>
          </m:e>
          <m:sub>
            <m:r>
              <m:t>i</m:t>
            </m:r>
          </m:sub>
        </m:sSub>
      </m:oMath>
      <w:r>
        <w:rPr>
          <w:rFonts w:ascii="宋体" w:hAnsi="宋体" w:eastAsia="宋体"/>
          <w:sz w:val="24"/>
        </w:rPr>
        <w:t xml:space="preserve"> 究竟计入分子还是排除在外，不是测量精度问题而是规则选择问题，其对结果的影响可达四成。因此，本书主张：词元级碳核算的第一项制度供给不是测量设备，而是一套公开的、统一的分摊规则；在规则统一之前，任何跨厂商的能耗强度比较都缺乏可比性。</w:t>
      </w:r>
    </w:p>
    <w:p>
      <w:pPr>
        <w:spacing w:line="360" w:lineRule="auto" w:after="0"/>
        <w:ind w:firstLineChars="200" w:firstLine="480"/>
        <w:jc w:val="both"/>
      </w:pPr>
      <w:r>
        <w:rPr>
          <w:rFonts w:ascii="宋体" w:hAnsi="宋体" w:eastAsia="宋体"/>
          <w:sz w:val="24"/>
        </w:rPr>
        <w:t xml:space="preserve">现有公开数据以查询为分母，本书的核算以标准词元为分母，二者之间需要一座口径桥。记一次查询平均消耗 </w:t>
      </w:r>
      <m:oMath>
        <m:sSub>
          <m:e>
            <m:r>
              <m:t>n</m:t>
            </m:r>
          </m:e>
          <m:sub>
            <m:r>
              <m:t>q</m:t>
            </m:r>
          </m:sub>
        </m:sSub>
      </m:oMath>
      <w:r>
        <w:rPr>
          <w:rFonts w:ascii="宋体" w:hAnsi="宋体" w:eastAsia="宋体"/>
          <w:sz w:val="24"/>
        </w:rPr>
        <w:t xml:space="preserve"> 枚物理词元、平均效值系数为 </w:t>
      </w:r>
      <m:oMath>
        <m:sSub>
          <m:e>
            <m:r>
              <m:t>η</m:t>
            </m:r>
          </m:e>
          <m:sub>
            <m:r>
              <m:t>q</m:t>
            </m:r>
          </m:sub>
        </m:sSub>
      </m:oMath>
      <w:r>
        <w:rPr>
          <w:rFonts w:ascii="宋体" w:hAnsi="宋体" w:eastAsia="宋体"/>
          <w:sz w:val="24"/>
        </w:rPr>
        <w:t xml:space="preserve">，单次查询能耗为 </w:t>
      </w:r>
      <m:oMath>
        <m:sSup>
          <m:e>
            <m:r>
              <m:t>e</m:t>
            </m:r>
          </m:e>
          <m:sup>
            <m:r>
              <m:t>q</m:t>
            </m:r>
          </m:sup>
        </m:sSup>
      </m:oMath>
      <w:r>
        <w:rPr>
          <w:rFonts w:ascii="宋体" w:hAnsi="宋体" w:eastAsia="宋体"/>
          <w:sz w:val="24"/>
        </w:rPr>
        <w:t>，则式(11-3)给出两种口径的换算关系。</w:t>
      </w:r>
    </w:p>
    <w:p>
      <w:pPr>
        <w:tabs>
          <w:tab w:pos="4252" w:val="center"/>
          <w:tab w:pos="8504" w:val="right"/>
        </w:tabs>
        <w:spacing w:line="360" w:lineRule="auto" w:before="80" w:after="80"/>
      </w:pPr>
      <w:r>
        <w:tab/>
      </w:r>
      <m:oMath>
        <m:sSup>
          <m:e>
            <m:r>
              <m:t>e</m:t>
            </m:r>
          </m:e>
          <m:sup>
            <m:r>
              <m:t>q</m:t>
            </m:r>
          </m:sup>
        </m:sSup>
        <m:r>
          <m:rPr>
            <m:sty m:val="p"/>
          </m:rPr>
          <m:t>=</m:t>
        </m:r>
        <m:f>
          <m:fPr>
            <m:type m:val="bar"/>
          </m:fPr>
          <m:num>
            <m:r>
              <m:t>ε</m:t>
            </m:r>
            <m:r>
              <m:t> </m:t>
            </m:r>
            <m:sSub>
              <m:e>
                <m:r>
                  <m:t>n</m:t>
                </m:r>
              </m:e>
              <m:sub>
                <m:r>
                  <m:t>q</m:t>
                </m:r>
              </m:sub>
            </m:sSub>
            <m:r>
              <m:t> </m:t>
            </m:r>
            <m:sSub>
              <m:e>
                <m:r>
                  <m:t>η</m:t>
                </m:r>
              </m:e>
              <m:sub>
                <m:r>
                  <m:t>q</m:t>
                </m:r>
              </m:sub>
            </m:sSub>
          </m:num>
          <m:den>
            <m:sSup>
              <m:e>
                <m:r>
                  <m:t>10</m:t>
                </m:r>
              </m:e>
              <m:sup>
                <m:r>
                  <m:t>6</m:t>
                </m:r>
              </m:sup>
            </m:sSup>
          </m:den>
        </m:f>
        <m:r>
          <m:t>  </m:t>
        </m:r>
        <m:r>
          <m:rPr>
            <m:sty m:val="p"/>
          </m:rPr>
          <m:t>⇔</m:t>
        </m:r>
        <m:r>
          <m:t>  </m:t>
        </m:r>
        <m:r>
          <m:t>ε</m:t>
        </m:r>
        <m:r>
          <m:rPr>
            <m:sty m:val="p"/>
          </m:rPr>
          <m:t>=</m:t>
        </m:r>
        <m:f>
          <m:fPr>
            <m:type m:val="bar"/>
          </m:fPr>
          <m:num>
            <m:sSup>
              <m:e>
                <m:r>
                  <m:t>10</m:t>
                </m:r>
              </m:e>
              <m:sup>
                <m:r>
                  <m:t>6</m:t>
                </m:r>
              </m:sup>
            </m:sSup>
            <m:r>
              <m:t> </m:t>
            </m:r>
            <m:sSup>
              <m:e>
                <m:r>
                  <m:t>e</m:t>
                </m:r>
              </m:e>
              <m:sup>
                <m:r>
                  <m:t>q</m:t>
                </m:r>
              </m:sup>
            </m:sSup>
          </m:num>
          <m:den>
            <m:sSub>
              <m:e>
                <m:r>
                  <m:t>n</m:t>
                </m:r>
              </m:e>
              <m:sub>
                <m:r>
                  <m:t>q</m:t>
                </m:r>
              </m:sub>
            </m:sSub>
            <m:r>
              <m:t> </m:t>
            </m:r>
            <m:sSub>
              <m:e>
                <m:r>
                  <m:t>η</m:t>
                </m:r>
              </m:e>
              <m:sub>
                <m:r>
                  <m:t>q</m:t>
                </m:r>
              </m:sub>
            </m:sSub>
          </m:den>
        </m:f>
      </m:oMath>
      <w:r>
        <w:tab/>
      </w:r>
      <w:r>
        <w:rPr>
          <w:rFonts w:ascii="Times New Roman" w:hAnsi="Times New Roman" w:eastAsia="宋体"/>
          <w:sz w:val="24"/>
        </w:rPr>
        <w:t>(11-3)</w:t>
      </w:r>
    </w:p>
    <w:p>
      <w:pPr>
        <w:spacing w:line="360" w:lineRule="auto" w:after="0"/>
        <w:jc w:val="both"/>
      </w:pPr>
      <w:r>
        <w:rPr>
          <w:rFonts w:ascii="宋体" w:hAnsi="宋体" w:eastAsia="宋体"/>
          <w:sz w:val="24"/>
        </w:rPr>
        <w:t>其中，</w:t>
      </w:r>
      <m:oMath>
        <m:r>
          <m:t>ε</m:t>
        </m:r>
      </m:oMath>
      <w:r>
        <w:rPr>
          <w:rFonts w:ascii="宋体" w:hAnsi="宋体" w:eastAsia="宋体"/>
          <w:sz w:val="24"/>
        </w:rPr>
        <w:t xml:space="preserve"> 的量纲为千瓦时每百万标准词元，</w:t>
      </w:r>
      <m:oMath>
        <m:sSup>
          <m:e>
            <m:r>
              <m:t>e</m:t>
            </m:r>
          </m:e>
          <m:sup>
            <m:r>
              <m:t>q</m:t>
            </m:r>
          </m:sup>
        </m:sSup>
      </m:oMath>
      <w:r>
        <w:rPr>
          <w:rFonts w:ascii="宋体" w:hAnsi="宋体" w:eastAsia="宋体"/>
          <w:sz w:val="24"/>
        </w:rPr>
        <w:t xml:space="preserve"> 的量纲为千瓦时每次查询；</w:t>
      </w:r>
      <m:oMath>
        <m:sSup>
          <m:e>
            <m:r>
              <m:t>10</m:t>
            </m:r>
          </m:e>
          <m:sup>
            <m:r>
              <m:t>6</m:t>
            </m:r>
          </m:sup>
        </m:sSup>
      </m:oMath>
      <w:r>
        <w:rPr>
          <w:rFonts w:ascii="宋体" w:hAnsi="宋体" w:eastAsia="宋体"/>
          <w:sz w:val="24"/>
        </w:rPr>
        <w:t xml:space="preserve"> 为分母的单位换算。</w:t>
      </w:r>
    </w:p>
    <w:p>
      <w:pPr>
        <w:spacing w:line="360" w:lineRule="auto" w:after="0"/>
        <w:ind w:firstLineChars="200" w:firstLine="480"/>
        <w:jc w:val="both"/>
      </w:pPr>
      <w:r>
        <w:rPr>
          <w:rFonts w:ascii="宋体" w:hAnsi="宋体" w:eastAsia="宋体"/>
          <w:sz w:val="24"/>
        </w:rPr>
        <w:t>式(11-3)的意义在于警示而非换算。把综合口径的每次0.24瓦时代入，并假定一次查询平均消耗1000枚物理词元、效值系数为1，可得能耗强度约为0.24千瓦时每百万标准词元；而本书校准复算的中型通用级为2.6千瓦时每百万标准词元，二者相差一个量级。差异并不意味着某一方有误，而是来自三处不可观测的假定：一次查询的词元数未知，被测服务的档位与任务混合未知，核算边界是否包含空闲备机与设施开销未知。既然这三处假定无一可从公开信息中恢复，本书的立场是明确的——凡涉及词元级能耗与碳排的数值，一律标注为换算与校准复算结果，不表述为实测值；其可靠性来自内部一致性与对锚点的校准，而不是来自对某一次外部测量的复制。</w:t>
      </w:r>
    </w:p>
    <w:p>
      <w:pPr>
        <w:keepNext/>
        <w:spacing w:before="160" w:after="120" w:line="360" w:lineRule="auto"/>
        <w:outlineLvl w:val="2"/>
      </w:pPr>
      <w:r>
        <w:rPr>
          <w:rFonts w:ascii="黑体" w:hAnsi="黑体" w:eastAsia="黑体"/>
          <w:sz w:val="24"/>
        </w:rPr>
        <w:t>11.1.3  分档位能耗强度：数值、离散度与技术来源</w:t>
      </w:r>
    </w:p>
    <w:p>
      <w:pPr>
        <w:spacing w:line="360" w:lineRule="auto" w:after="0"/>
        <w:ind w:firstLineChars="200" w:firstLine="480"/>
        <w:jc w:val="both"/>
      </w:pPr>
      <w:r>
        <w:rPr>
          <w:rFonts w:ascii="宋体" w:hAnsi="宋体" w:eastAsia="宋体"/>
          <w:sz w:val="24"/>
        </w:rPr>
        <w:t>按上述框架校准复算，六个档位的能耗强度依次为：轻量蒸馏级0.9、中型通用级2.6、开源旗舰级5.4、旗舰闭源级9.8、推理增强级17.2、多模态级7.1千瓦时每百万标准词元，极差19.1倍。若换用物理词元为分母，即以每百万物理词元的电量计，六档位的极差扩大到215.3倍。两个数字的对照给出本章的第一项结构性发现：效值折算把能耗强度的离散度压缩了一个量级，却远未把它消除。压缩的部分来自「高档位词元本就承载更多信息」这一事实，剩余的部分则是真实的能效差异。这意味着标准词元为碳核算提供了合格的分母，但不能代替碳核算——同样一枚标准词元，由不同档位生产，其碳足迹仍相差近二十倍。</w:t>
      </w:r>
    </w:p>
    <w:p>
      <w:pPr>
        <w:spacing w:line="360" w:lineRule="auto" w:after="0"/>
        <w:ind w:firstLineChars="200" w:firstLine="480"/>
        <w:jc w:val="both"/>
      </w:pPr>
      <w:r>
        <w:rPr>
          <w:rFonts w:ascii="宋体" w:hAnsi="宋体" w:eastAsia="宋体"/>
          <w:sz w:val="24"/>
        </w:rPr>
        <w:t xml:space="preserve">能耗强度的档位差异有四个技术来源。其一是参数规模与单词元激活计算量：模型能力与计算量之间存在稳定的标度关系，高能力档位以更大的单词元浮点运算量换取更高的推理质量（Kaplan等，2020；Hoffmann等，2022）。其二是上下文长度与键值缓存：注意力机制的计算与访存随上下文长度增长，显存管理、注意力核实现与推理并行策略共同决定了实际的单词元能耗（Dao等，2022；Pope等，2023；Kwon等，2023）；缓存命中与否可以使同一段上下文的预填充能耗相差数倍。其三是推理链长度：推理增强级以显著更长的生成过程换取更高的任务达成度，这正是前引研究所刻画的测试时扩展效应——长推理请求的中位能耗可达典型请求的十余倍。其四是模态：多模态级的能耗强度高于同等文本能力的档位，且其成本结构由视觉与音频编解码主导。在服务栈层面，连续批处理、分块预填充与预填充—解码分离等技术通过提高批次组织效率降低单词元能耗（Yu等，2022；Agrawal等，2024；Zhong等，2024）；在集群层面，异构负载的时变性与调度策略决定了空闲备机的规模（Weng等，2022），而后者正是式(11-2)中 </w:t>
      </w:r>
      <m:oMath>
        <m:sSub>
          <m:e>
            <m:r>
              <m:t>ζ</m:t>
            </m:r>
          </m:e>
          <m:sub>
            <m:r>
              <m:t>i</m:t>
            </m:r>
          </m:sub>
        </m:sSub>
      </m:oMath>
      <w:r>
        <w:rPr>
          <w:rFonts w:ascii="宋体" w:hAnsi="宋体" w:eastAsia="宋体"/>
          <w:sz w:val="24"/>
        </w:rPr>
        <w:t xml:space="preserve"> 的经济内容。</w:t>
      </w:r>
    </w:p>
    <w:p>
      <w:pPr>
        <w:spacing w:line="360" w:lineRule="auto" w:after="0"/>
        <w:ind w:firstLineChars="200" w:firstLine="480"/>
        <w:jc w:val="both"/>
      </w:pPr>
      <w:r>
        <w:rPr>
          <w:rFonts w:ascii="宋体" w:hAnsi="宋体" w:eastAsia="宋体"/>
          <w:sz w:val="24"/>
        </w:rPr>
        <w:t>还有一个常被忽略但对碳核算有实质影响的来源：分词的语言不对称。同一段语义在不同语言下被切分成的词元数差异显著，非拉丁语系文本通常需要更多词元（Ahia等，2023）。这一技术性不对称经由式(11-3)的分母直接传导到碳强度：同一项业务、同样的语义产出，仅因语言不同就承担不同的碳足迹。在国内场景下，这意味着以英文基准测得的能耗强度不能直接套用于中文服务；在出海场景下，它意味着碳足迹凭证必须记录语言与任务类型，否则跨境比对将失去意义。至此，能耗侧的核算框架已经完备，下一步是把电量折算为碳。</w:t>
      </w:r>
    </w:p>
    <w:p>
      <w:pPr>
        <w:keepNext/>
        <w:spacing w:before="160" w:after="120" w:line="360" w:lineRule="auto"/>
        <w:outlineLvl w:val="1"/>
      </w:pPr>
      <w:r>
        <w:rPr>
          <w:rFonts w:ascii="黑体" w:hAnsi="黑体" w:eastAsia="黑体"/>
          <w:sz w:val="28"/>
        </w:rPr>
        <w:t>11.2  碳足迹折算与绿色词元的界定阈值</w:t>
      </w:r>
    </w:p>
    <w:p>
      <w:pPr>
        <w:keepNext/>
        <w:spacing w:before="160" w:after="120" w:line="360" w:lineRule="auto"/>
        <w:outlineLvl w:val="2"/>
      </w:pPr>
      <w:r>
        <w:rPr>
          <w:rFonts w:ascii="黑体" w:hAnsi="黑体" w:eastAsia="黑体"/>
          <w:sz w:val="24"/>
        </w:rPr>
        <w:t>11.2.1  从电量到碳：量纲恒等与双重口径</w:t>
      </w:r>
    </w:p>
    <w:p>
      <w:pPr>
        <w:spacing w:line="360" w:lineRule="auto" w:after="0"/>
        <w:ind w:firstLineChars="200" w:firstLine="480"/>
        <w:jc w:val="both"/>
      </w:pPr>
      <w:r>
        <w:rPr>
          <w:rFonts w:ascii="宋体" w:hAnsi="宋体" w:eastAsia="宋体"/>
          <w:sz w:val="24"/>
        </w:rPr>
        <w:t xml:space="preserve">推理服务的排放绝大部分来自外购电力，属于温室气体核算体系中的范围二间接排放（「WRI和WBCSD，2011」），其核算规则由电力排放因子决定。记排放因子为 </w:t>
      </w:r>
      <m:oMath>
        <m:r>
          <m:t>f</m:t>
        </m:r>
      </m:oMath>
      <w:r>
        <w:rPr>
          <w:rFonts w:ascii="宋体" w:hAnsi="宋体" w:eastAsia="宋体"/>
          <w:sz w:val="24"/>
        </w:rPr>
        <w:t xml:space="preserve">（千克二氧化碳每千瓦时），则档位 </w:t>
      </w:r>
      <m:oMath>
        <m:r>
          <m:t>m</m:t>
        </m:r>
      </m:oMath>
      <w:r>
        <w:rPr>
          <w:rFonts w:ascii="宋体" w:hAnsi="宋体" w:eastAsia="宋体"/>
          <w:sz w:val="24"/>
        </w:rPr>
        <w:t xml:space="preserve"> 的碳强度由式(11-4)给出。</w:t>
      </w:r>
    </w:p>
    <w:p>
      <w:pPr>
        <w:tabs>
          <w:tab w:pos="4252" w:val="center"/>
          <w:tab w:pos="8504" w:val="right"/>
        </w:tabs>
        <w:spacing w:line="360" w:lineRule="auto" w:before="80" w:after="80"/>
      </w:pPr>
      <w:r>
        <w:tab/>
      </w:r>
      <m:oMath>
        <m:sSub>
          <m:e>
            <m:r>
              <m:t>ι</m:t>
            </m:r>
          </m:e>
          <m:sub>
            <m:r>
              <m:t>m</m:t>
            </m:r>
          </m:sub>
        </m:sSub>
        <m:r>
          <m:rPr>
            <m:sty m:val="p"/>
          </m:rPr>
          <m:t>=</m:t>
        </m:r>
        <m:sSub>
          <m:e>
            <m:r>
              <m:t>ε</m:t>
            </m:r>
          </m:e>
          <m:sub>
            <m:r>
              <m:t>m</m:t>
            </m:r>
          </m:sub>
        </m:sSub>
        <m:r>
          <m:t> </m:t>
        </m:r>
        <m:r>
          <m:t>f</m:t>
        </m:r>
        <m:r>
          <m:rPr>
            <m:sty m:val="p"/>
          </m:rPr>
          <m:t>,</m:t>
        </m:r>
        <m:r>
          <m:t>  </m:t>
        </m:r>
        <m:d>
          <m:dPr>
            <m:begChr m:val="["/>
            <m:endChr m:val="]"/>
            <m:grow/>
          </m:dPr>
          <m:e>
            <m:f>
              <m:fPr>
                <m:type m:val="bar"/>
              </m:fPr>
              <m:num>
                <m:r>
                  <m:rPr>
                    <m:sty m:val="p"/>
                  </m:rPr>
                  <m:t>k</m:t>
                </m:r>
                <m:r>
                  <m:rPr>
                    <m:sty m:val="p"/>
                  </m:rPr>
                  <m:t>W</m:t>
                </m:r>
                <m:r>
                  <m:rPr>
                    <m:sty m:val="p"/>
                  </m:rPr>
                  <m:t>h</m:t>
                </m:r>
              </m:num>
              <m:den>
                <m:sSup>
                  <m:e>
                    <m:r>
                      <m:t>10</m:t>
                    </m:r>
                  </m:e>
                  <m:sup>
                    <m:r>
                      <m:t>6</m:t>
                    </m:r>
                  </m:sup>
                </m:sSup>
                <m:acc>
                  <m:accPr>
                    <m:chr m:val="̃"/>
                  </m:accPr>
                  <m:e>
                    <m:r>
                      <m:t>T</m:t>
                    </m:r>
                  </m:e>
                </m:acc>
              </m:den>
            </m:f>
          </m:e>
        </m:d>
        <m:r>
          <m:rPr>
            <m:sty m:val="p"/>
          </m:rPr>
          <m:t>×</m:t>
        </m:r>
        <m:d>
          <m:dPr>
            <m:begChr m:val="["/>
            <m:endChr m:val="]"/>
            <m:grow/>
          </m:dPr>
          <m:e>
            <m:f>
              <m:fPr>
                <m:type m:val="bar"/>
              </m:fPr>
              <m:num>
                <m:r>
                  <m:rPr>
                    <m:sty m:val="p"/>
                  </m:rPr>
                  <m:t>k</m:t>
                </m:r>
                <m:r>
                  <m:rPr>
                    <m:sty m:val="p"/>
                  </m:rPr>
                  <m:t>g</m:t>
                </m:r>
              </m:num>
              <m:den>
                <m:r>
                  <m:rPr>
                    <m:sty m:val="p"/>
                  </m:rPr>
                  <m:t>k</m:t>
                </m:r>
                <m:r>
                  <m:rPr>
                    <m:sty m:val="p"/>
                  </m:rPr>
                  <m:t>W</m:t>
                </m:r>
                <m:r>
                  <m:rPr>
                    <m:sty m:val="p"/>
                  </m:rPr>
                  <m:t>h</m:t>
                </m:r>
              </m:den>
            </m:f>
          </m:e>
        </m:d>
        <m:r>
          <m:rPr>
            <m:sty m:val="p"/>
          </m:rPr>
          <m:t>=</m:t>
        </m:r>
        <m:d>
          <m:dPr>
            <m:begChr m:val="["/>
            <m:endChr m:val="]"/>
            <m:grow/>
          </m:dPr>
          <m:e>
            <m:f>
              <m:fPr>
                <m:type m:val="bar"/>
              </m:fPr>
              <m:num>
                <m:r>
                  <m:rPr>
                    <m:sty m:val="p"/>
                  </m:rPr>
                  <m:t>k</m:t>
                </m:r>
                <m:r>
                  <m:rPr>
                    <m:sty m:val="p"/>
                  </m:rPr>
                  <m:t>g</m:t>
                </m:r>
              </m:num>
              <m:den>
                <m:sSup>
                  <m:e>
                    <m:r>
                      <m:t>10</m:t>
                    </m:r>
                  </m:e>
                  <m:sup>
                    <m:r>
                      <m:t>6</m:t>
                    </m:r>
                  </m:sup>
                </m:sSup>
                <m:acc>
                  <m:accPr>
                    <m:chr m:val="̃"/>
                  </m:accPr>
                  <m:e>
                    <m:r>
                      <m:t>T</m:t>
                    </m:r>
                  </m:e>
                </m:acc>
              </m:den>
            </m:f>
          </m:e>
        </m:d>
        <m:r>
          <m:rPr>
            <m:sty m:val="p"/>
          </m:rPr>
          <m:t>=</m:t>
        </m:r>
        <m:d>
          <m:dPr>
            <m:begChr m:val="["/>
            <m:endChr m:val="]"/>
            <m:grow/>
          </m:dPr>
          <m:e>
            <m:f>
              <m:fPr>
                <m:type m:val="bar"/>
              </m:fPr>
              <m:num>
                <m:r>
                  <m:rPr>
                    <m:sty m:val="p"/>
                  </m:rPr>
                  <m:t>g</m:t>
                </m:r>
              </m:num>
              <m:den>
                <m:sSup>
                  <m:e>
                    <m:r>
                      <m:t>10</m:t>
                    </m:r>
                  </m:e>
                  <m:sup>
                    <m:r>
                      <m:t>3</m:t>
                    </m:r>
                  </m:sup>
                </m:sSup>
                <m:acc>
                  <m:accPr>
                    <m:chr m:val="̃"/>
                  </m:accPr>
                  <m:e>
                    <m:r>
                      <m:t>T</m:t>
                    </m:r>
                  </m:e>
                </m:acc>
              </m:den>
            </m:f>
          </m:e>
        </m:d>
      </m:oMath>
      <w:r>
        <w:tab/>
      </w:r>
      <w:r>
        <w:rPr>
          <w:rFonts w:ascii="Times New Roman" w:hAnsi="Times New Roman" w:eastAsia="宋体"/>
          <w:sz w:val="24"/>
        </w:rPr>
        <w:t>(11-4)</w:t>
      </w:r>
    </w:p>
    <w:p>
      <w:pPr>
        <w:spacing w:line="360" w:lineRule="auto" w:after="0"/>
        <w:jc w:val="both"/>
      </w:pPr>
      <w:r>
        <w:rPr>
          <w:rFonts w:ascii="宋体" w:hAnsi="宋体" w:eastAsia="宋体"/>
          <w:sz w:val="24"/>
        </w:rPr>
        <w:t>其中，</w:t>
      </w:r>
      <m:oMath>
        <m:sSub>
          <m:e>
            <m:r>
              <m:t>ι</m:t>
            </m:r>
          </m:e>
          <m:sub>
            <m:r>
              <m:t>m</m:t>
            </m:r>
          </m:sub>
        </m:sSub>
      </m:oMath>
      <w:r>
        <w:rPr>
          <w:rFonts w:ascii="宋体" w:hAnsi="宋体" w:eastAsia="宋体"/>
          <w:sz w:val="24"/>
        </w:rPr>
        <w:t xml:space="preserve"> 为碳强度，全书统一以克二氧化碳当量每千标准词元表示；</w:t>
      </w:r>
      <m:oMath>
        <m:sSub>
          <m:e>
            <m:r>
              <m:t>ε</m:t>
            </m:r>
          </m:e>
          <m:sub>
            <m:r>
              <m:t>m</m:t>
            </m:r>
          </m:sub>
        </m:sSub>
      </m:oMath>
      <w:r>
        <w:rPr>
          <w:rFonts w:ascii="宋体" w:hAnsi="宋体" w:eastAsia="宋体"/>
          <w:sz w:val="24"/>
        </w:rPr>
        <w:t xml:space="preserve"> 为式(11-2)的综合口径能耗强度。</w:t>
      </w:r>
    </w:p>
    <w:p>
      <w:pPr>
        <w:spacing w:line="360" w:lineRule="auto" w:after="0"/>
        <w:ind w:firstLineChars="200" w:firstLine="480"/>
        <w:jc w:val="both"/>
      </w:pPr>
      <w:r>
        <w:rPr>
          <w:rFonts w:ascii="宋体" w:hAnsi="宋体" w:eastAsia="宋体"/>
          <w:sz w:val="24"/>
        </w:rPr>
        <w:t>式(11-4)右半部的量纲恒等式值得单独强调。以千瓦时每百万标准词元为能耗单位、以千克二氧化碳每千瓦时为排放因子单位，二者相乘所得恰好就是克二氧化碳当量每千标准词元，换算系数为1。这一巧合并非无关紧要：它使得能耗强度与碳强度可以并排列于同一张表、同一张图而无须换算，也使得从能耗账到碳账的转换只是一次乘法，不引入任何舍入与口径损失。当量单位的选择本身就是计量制度的一部分——正如综合能耗计算通则以标准煤统一了各类能源的可加性（国家市场监督管理总局和国家标准化管理委员会，2020），本书以克二氧化碳当量每千标准词元统一了词元生产的环境可加性。</w:t>
      </w:r>
    </w:p>
    <w:p>
      <w:pPr>
        <w:spacing w:line="360" w:lineRule="auto" w:after="0"/>
        <w:ind w:firstLineChars="200" w:firstLine="480"/>
        <w:jc w:val="both"/>
      </w:pPr>
      <w:r>
        <w:rPr>
          <w:rFonts w:ascii="宋体" w:hAnsi="宋体" w:eastAsia="宋体"/>
          <w:sz w:val="24"/>
        </w:rPr>
        <w:t>排放因子的取值涉及一处极易混淆的口径分野。温室气体核算体系的范围二指南要求双重报告：基于地理位置法，按所接入电网的区域平均排放因子核算；基于市场法，按可追溯的电力采购合同、绿证或绿电交易结果核算。式(11-5)把市场法口径写成绿电占比的函数。</w:t>
      </w:r>
    </w:p>
    <w:p>
      <w:pPr>
        <w:tabs>
          <w:tab w:pos="4252" w:val="center"/>
          <w:tab w:pos="8504" w:val="right"/>
        </w:tabs>
        <w:spacing w:line="360" w:lineRule="auto" w:before="80" w:after="80"/>
      </w:pPr>
      <w:r>
        <w:tab/>
      </w:r>
      <m:oMath>
        <m:sSup>
          <m:e>
            <m:r>
              <m:t>f</m:t>
            </m:r>
          </m:e>
          <m:sup>
            <m:r>
              <m:rPr>
                <m:sty m:val="p"/>
              </m:rPr>
              <m:t>m</m:t>
            </m:r>
            <m:r>
              <m:rPr>
                <m:sty m:val="p"/>
              </m:rPr>
              <m:t>k</m:t>
            </m:r>
            <m:r>
              <m:rPr>
                <m:sty m:val="p"/>
              </m:rPr>
              <m:t>t</m:t>
            </m:r>
          </m:sup>
        </m:sSup>
        <m:d>
          <m:dPr>
            <m:begChr m:val="("/>
            <m:endChr m:val=")"/>
            <m:grow/>
          </m:dPr>
          <m:e>
            <m:r>
              <m:t>g</m:t>
            </m:r>
          </m:e>
        </m:d>
        <m:r>
          <m:rPr>
            <m:sty m:val="p"/>
          </m:rPr>
          <m:t>=</m:t>
        </m:r>
        <m:d>
          <m:dPr>
            <m:begChr m:val="("/>
            <m:endChr m:val=")"/>
            <m:grow/>
          </m:dPr>
          <m:e>
            <m:r>
              <m:t>1</m:t>
            </m:r>
            <m:r>
              <m:rPr>
                <m:sty m:val="p"/>
              </m:rPr>
              <m:t>−</m:t>
            </m:r>
            <m:r>
              <m:t>g</m:t>
            </m:r>
          </m:e>
        </m:d>
        <m:r>
          <m:t> </m:t>
        </m:r>
        <m:sSup>
          <m:e>
            <m:r>
              <m:t>f</m:t>
            </m:r>
          </m:e>
          <m:sup>
            <m:r>
              <m:rPr>
                <m:sty m:val="p"/>
              </m:rPr>
              <m:t>g</m:t>
            </m:r>
            <m:r>
              <m:rPr>
                <m:sty m:val="p"/>
              </m:rPr>
              <m:t>r</m:t>
            </m:r>
            <m:r>
              <m:rPr>
                <m:sty m:val="p"/>
              </m:rPr>
              <m:t>i</m:t>
            </m:r>
            <m:r>
              <m:rPr>
                <m:sty m:val="p"/>
              </m:rPr>
              <m:t>d</m:t>
            </m:r>
          </m:sup>
        </m:sSup>
        <m:r>
          <m:rPr>
            <m:sty m:val="p"/>
          </m:rPr>
          <m:t>+</m:t>
        </m:r>
        <m:r>
          <m:t>g</m:t>
        </m:r>
        <m:r>
          <m:t> </m:t>
        </m:r>
        <m:sSup>
          <m:e>
            <m:r>
              <m:t>f</m:t>
            </m:r>
          </m:e>
          <m:sup>
            <m:r>
              <m:rPr>
                <m:sty m:val="p"/>
              </m:rPr>
              <m:t>g</m:t>
            </m:r>
            <m:r>
              <m:rPr>
                <m:sty m:val="p"/>
              </m:rPr>
              <m:t>r</m:t>
            </m:r>
            <m:r>
              <m:rPr>
                <m:sty m:val="p"/>
              </m:rPr>
              <m:t>e</m:t>
            </m:r>
            <m:r>
              <m:rPr>
                <m:sty m:val="p"/>
              </m:rPr>
              <m:t>e</m:t>
            </m:r>
            <m:r>
              <m:rPr>
                <m:sty m:val="p"/>
              </m:rPr>
              <m:t>n</m:t>
            </m:r>
          </m:sup>
        </m:sSup>
        <m:r>
          <m:rPr>
            <m:sty m:val="p"/>
          </m:rPr>
          <m:t>,</m:t>
        </m:r>
        <m:r>
          <m:t>  </m:t>
        </m:r>
        <m:r>
          <m:t>ι</m:t>
        </m:r>
        <m:d>
          <m:dPr>
            <m:begChr m:val="("/>
            <m:endChr m:val=")"/>
            <m:grow/>
          </m:dPr>
          <m:e>
            <m:r>
              <m:t>g</m:t>
            </m:r>
          </m:e>
        </m:d>
        <m:r>
          <m:rPr>
            <m:sty m:val="p"/>
          </m:rPr>
          <m:t>=</m:t>
        </m:r>
        <m:r>
          <m:t>ε</m:t>
        </m:r>
        <m:r>
          <m:t> </m:t>
        </m:r>
        <m:sSup>
          <m:e>
            <m:r>
              <m:t>f</m:t>
            </m:r>
          </m:e>
          <m:sup>
            <m:r>
              <m:rPr>
                <m:sty m:val="p"/>
              </m:rPr>
              <m:t>m</m:t>
            </m:r>
            <m:r>
              <m:rPr>
                <m:sty m:val="p"/>
              </m:rPr>
              <m:t>k</m:t>
            </m:r>
            <m:r>
              <m:rPr>
                <m:sty m:val="p"/>
              </m:rPr>
              <m:t>t</m:t>
            </m:r>
          </m:sup>
        </m:sSup>
        <m:d>
          <m:dPr>
            <m:begChr m:val="("/>
            <m:endChr m:val=")"/>
            <m:grow/>
          </m:dPr>
          <m:e>
            <m:r>
              <m:t>g</m:t>
            </m:r>
          </m:e>
        </m:d>
        <m:r>
          <m:rPr>
            <m:sty m:val="p"/>
          </m:rPr>
          <m:t>,</m:t>
        </m:r>
        <m:r>
          <m:t>  </m:t>
        </m:r>
        <m:r>
          <m:t>g</m:t>
        </m:r>
        <m:r>
          <m:rPr>
            <m:sty m:val="p"/>
          </m:rPr>
          <m:t>∈</m:t>
        </m:r>
        <m:d>
          <m:dPr>
            <m:begChr m:val="["/>
            <m:endChr m:val="]"/>
            <m:grow/>
          </m:dPr>
          <m:e>
            <m:r>
              <m:t>0</m:t>
            </m:r>
            <m:r>
              <m:rPr>
                <m:sty m:val="p"/>
              </m:rPr>
              <m:t>,</m:t>
            </m:r>
            <m:r>
              <m:t>1</m:t>
            </m:r>
          </m:e>
        </m:d>
      </m:oMath>
      <w:r>
        <w:tab/>
      </w:r>
      <w:r>
        <w:rPr>
          <w:rFonts w:ascii="Times New Roman" w:hAnsi="Times New Roman" w:eastAsia="宋体"/>
          <w:sz w:val="24"/>
        </w:rPr>
        <w:t>(11-5)</w:t>
      </w:r>
    </w:p>
    <w:p>
      <w:pPr>
        <w:spacing w:line="360" w:lineRule="auto" w:after="0"/>
        <w:jc w:val="both"/>
      </w:pPr>
      <w:r>
        <w:rPr>
          <w:rFonts w:ascii="宋体" w:hAnsi="宋体" w:eastAsia="宋体"/>
          <w:sz w:val="24"/>
        </w:rPr>
        <w:t>其中，</w:t>
      </w:r>
      <m:oMath>
        <m:r>
          <m:t>g</m:t>
        </m:r>
      </m:oMath>
      <w:r>
        <w:rPr>
          <w:rFonts w:ascii="宋体" w:hAnsi="宋体" w:eastAsia="宋体"/>
          <w:sz w:val="24"/>
        </w:rPr>
        <w:t xml:space="preserve"> 为绿电占比，</w:t>
      </w:r>
      <m:oMath>
        <m:sSup>
          <m:e>
            <m:r>
              <m:t>f</m:t>
            </m:r>
          </m:e>
          <m:sup>
            <m:r>
              <m:rPr>
                <m:sty m:val="p"/>
              </m:rPr>
              <m:t>g</m:t>
            </m:r>
            <m:r>
              <m:rPr>
                <m:sty m:val="p"/>
              </m:rPr>
              <m:t>r</m:t>
            </m:r>
            <m:r>
              <m:rPr>
                <m:sty m:val="p"/>
              </m:rPr>
              <m:t>i</m:t>
            </m:r>
            <m:r>
              <m:rPr>
                <m:sty m:val="p"/>
              </m:rPr>
              <m:t>d</m:t>
            </m:r>
          </m:sup>
        </m:sSup>
      </m:oMath>
      <w:r>
        <w:rPr>
          <w:rFonts w:ascii="宋体" w:hAnsi="宋体" w:eastAsia="宋体"/>
          <w:sz w:val="24"/>
        </w:rPr>
        <w:t xml:space="preserve"> 与 </w:t>
      </w:r>
      <m:oMath>
        <m:sSup>
          <m:e>
            <m:r>
              <m:t>f</m:t>
            </m:r>
          </m:e>
          <m:sup>
            <m:r>
              <m:rPr>
                <m:sty m:val="p"/>
              </m:rPr>
              <m:t>g</m:t>
            </m:r>
            <m:r>
              <m:rPr>
                <m:sty m:val="p"/>
              </m:rPr>
              <m:t>r</m:t>
            </m:r>
            <m:r>
              <m:rPr>
                <m:sty m:val="p"/>
              </m:rPr>
              <m:t>e</m:t>
            </m:r>
            <m:r>
              <m:rPr>
                <m:sty m:val="p"/>
              </m:rPr>
              <m:t>e</m:t>
            </m:r>
            <m:r>
              <m:rPr>
                <m:sty m:val="p"/>
              </m:rPr>
              <m:t>n</m:t>
            </m:r>
          </m:sup>
        </m:sSup>
      </m:oMath>
      <w:r>
        <w:rPr>
          <w:rFonts w:ascii="宋体" w:hAnsi="宋体" w:eastAsia="宋体"/>
          <w:sz w:val="24"/>
        </w:rPr>
        <w:t xml:space="preserve"> 分别为电网平均排放因子与绿电排放因子，本书分别取0.53与0.04千克二氧化碳每千瓦时。</w:t>
      </w:r>
    </w:p>
    <w:p>
      <w:pPr>
        <w:spacing w:line="360" w:lineRule="auto" w:after="0"/>
        <w:ind w:firstLineChars="200" w:firstLine="480"/>
        <w:jc w:val="both"/>
      </w:pPr>
      <w:r>
        <w:rPr>
          <w:rFonts w:ascii="宋体" w:hAnsi="宋体" w:eastAsia="宋体"/>
          <w:sz w:val="24"/>
        </w:rPr>
        <w:t>代入本书校准复算的用量结构，三个口径下的平均碳强度分别为：地理位置法口径2.263、市场法口径（按2026年绿电占比44%计）1.342、全绿电供电的理论下界0.171克二氧化碳当量每千标准词元。三者的差距揭示了一个制度性事实：同一批词元，按不同的合规口径可以报出相差十余倍的碳足迹。因此，绿色词元的认证必须先声明口径，否则认证结论没有意义。本书在后文的情景分析中一律采用地理位置法口径，理由是只有物理上真实发生的减排才会改变这一口径的数值：按绿电直连方式取得的绿电不接入公共电网、供给电量可清晰物理溯源，因而计入地理位置法；而单纯购买绿证只改变市场法口径，不改变任何一度电的物理来源。这一区分在国际规则中同样处于变动之中——温室气体核算体系的企业标准与范围二指南正在修订，现行允许绿证与用电量按年度匹配的规则可能被更细颗粒度的时间与地理匹配要求取代，据此作出的「全绿电」声明存在时效风险。国内的方法学基准是与国际标准衔接但采取修改采用方式的产品碳足迹国家标准（「ISO，2018」；国家市场监督管理总局和国家标准化管理委员会，2024），其结果不默认互认；相关的核算体系与统计口径建设仍在推进之中（陈红敏，2011；童庆蒙等，2018；陈丹丹等，2025）。</w:t>
      </w:r>
    </w:p>
    <w:p>
      <w:pPr>
        <w:keepNext/>
        <w:spacing w:before="160" w:after="120" w:line="360" w:lineRule="auto"/>
        <w:outlineLvl w:val="2"/>
      </w:pPr>
      <w:r>
        <w:rPr>
          <w:rFonts w:ascii="黑体" w:hAnsi="黑体" w:eastAsia="黑体"/>
          <w:sz w:val="24"/>
        </w:rPr>
        <w:t>11.2.2  用量加权平均、结构效应与碳—效值弹性</w:t>
      </w:r>
    </w:p>
    <w:p>
      <w:pPr>
        <w:spacing w:line="360" w:lineRule="auto" w:after="0"/>
        <w:ind w:firstLineChars="200" w:firstLine="480"/>
        <w:jc w:val="both"/>
      </w:pPr>
      <w:r>
        <w:rPr>
          <w:rFonts w:ascii="宋体" w:hAnsi="宋体" w:eastAsia="宋体"/>
          <w:sz w:val="24"/>
        </w:rPr>
        <w:t xml:space="preserve">单一档位的碳强度不足以刻画一个平台、一座城市或一国的词元生产。设档位 </w:t>
      </w:r>
      <m:oMath>
        <m:r>
          <m:t>m</m:t>
        </m:r>
      </m:oMath>
      <w:r>
        <w:rPr>
          <w:rFonts w:ascii="宋体" w:hAnsi="宋体" w:eastAsia="宋体"/>
          <w:sz w:val="24"/>
        </w:rPr>
        <w:t xml:space="preserve"> 的用量份额为 </w:t>
      </w:r>
      <m:oMath>
        <m:sSub>
          <m:e>
            <m:r>
              <m:t>s</m:t>
            </m:r>
          </m:e>
          <m:sub>
            <m:r>
              <m:t>m</m:t>
            </m:r>
          </m:sub>
        </m:sSub>
      </m:oMath>
      <w:r>
        <w:rPr>
          <w:rFonts w:ascii="宋体" w:hAnsi="宋体" w:eastAsia="宋体"/>
          <w:sz w:val="24"/>
        </w:rPr>
        <w:t>，则总体碳强度为分档位碳强度的用量加权平均，其变动可分解为强度效应与结构效应两项，见式(11-6)。</w:t>
      </w:r>
    </w:p>
    <w:p>
      <w:pPr>
        <w:tabs>
          <w:tab w:pos="4252" w:val="center"/>
          <w:tab w:pos="8504" w:val="right"/>
        </w:tabs>
        <w:spacing w:line="360" w:lineRule="auto" w:before="80" w:after="80"/>
      </w:pPr>
      <w:r>
        <w:tab/>
      </w:r>
      <m:oMath>
        <m:acc>
          <m:accPr>
            <m:chr m:val="‾"/>
          </m:accPr>
          <m:e>
            <m:r>
              <m:t>ι</m:t>
            </m:r>
          </m:e>
        </m:acc>
        <m:r>
          <m:rPr>
            <m:sty m:val="p"/>
          </m:rPr>
          <m:t>=</m:t>
        </m:r>
        <m:nary>
          <m:naryPr>
            <m:chr m:val="∑"/>
            <m:limLoc m:val="undOvr"/>
            <m:subHide m:val="off"/>
            <m:supHide m:val="on"/>
          </m:naryPr>
          <m:sub>
            <m:r>
              <m:t>m</m:t>
            </m:r>
          </m:sub>
          <m:sup>
            <m:r>
              <m:t>​</m:t>
            </m:r>
          </m:sup>
          <m:e>
            <m:sSub>
              <m:e>
                <m:r>
                  <m:t>s</m:t>
                </m:r>
              </m:e>
              <m:sub>
                <m:r>
                  <m:t>m</m:t>
                </m:r>
              </m:sub>
            </m:sSub>
          </m:e>
        </m:nary>
        <m:r>
          <m:t> </m:t>
        </m:r>
        <m:sSub>
          <m:e>
            <m:r>
              <m:t>ι</m:t>
            </m:r>
          </m:e>
          <m:sub>
            <m:r>
              <m:t>m</m:t>
            </m:r>
          </m:sub>
        </m:sSub>
        <m:r>
          <m:rPr>
            <m:sty m:val="p"/>
          </m:rPr>
          <m:t>,</m:t>
        </m:r>
        <m:r>
          <m:t>  </m:t>
        </m:r>
        <m:r>
          <m:t>Δ</m:t>
        </m:r>
        <m:acc>
          <m:accPr>
            <m:chr m:val="‾"/>
          </m:accPr>
          <m:e>
            <m:r>
              <m:t>ι</m:t>
            </m:r>
          </m:e>
        </m:acc>
        <m:r>
          <m:rPr>
            <m:sty m:val="p"/>
          </m:rPr>
          <m:t>=</m:t>
        </m:r>
        <m:nary>
          <m:naryPr>
            <m:chr m:val="∑"/>
            <m:limLoc m:val="undOvr"/>
            <m:subHide m:val="off"/>
            <m:supHide m:val="on"/>
          </m:naryPr>
          <m:sub>
            <m:r>
              <m:t>m</m:t>
            </m:r>
          </m:sub>
          <m:sup>
            <m:r>
              <m:t>​</m:t>
            </m:r>
          </m:sup>
          <m:e>
            <m:sSub>
              <m:e>
                <m:acc>
                  <m:accPr>
                    <m:chr m:val="‾"/>
                  </m:accPr>
                  <m:e>
                    <m:r>
                      <m:t>s</m:t>
                    </m:r>
                  </m:e>
                </m:acc>
              </m:e>
              <m:sub>
                <m:r>
                  <m:t>m</m:t>
                </m:r>
              </m:sub>
            </m:sSub>
          </m:e>
        </m:nary>
        <m:r>
          <m:t> </m:t>
        </m:r>
        <m:r>
          <m:t>Δ</m:t>
        </m:r>
        <m:sSub>
          <m:e>
            <m:r>
              <m:t>ι</m:t>
            </m:r>
          </m:e>
          <m:sub>
            <m:r>
              <m:t>m</m:t>
            </m:r>
          </m:sub>
        </m:sSub>
        <m:r>
          <m:rPr>
            <m:sty m:val="p"/>
          </m:rPr>
          <m:t>+</m:t>
        </m:r>
        <m:nary>
          <m:naryPr>
            <m:chr m:val="∑"/>
            <m:limLoc m:val="undOvr"/>
            <m:subHide m:val="off"/>
            <m:supHide m:val="on"/>
          </m:naryPr>
          <m:sub>
            <m:r>
              <m:t>m</m:t>
            </m:r>
          </m:sub>
          <m:sup>
            <m:r>
              <m:t>​</m:t>
            </m:r>
          </m:sup>
          <m:e>
            <m:sSub>
              <m:e>
                <m:acc>
                  <m:accPr>
                    <m:chr m:val="‾"/>
                  </m:accPr>
                  <m:e>
                    <m:r>
                      <m:t>ι</m:t>
                    </m:r>
                  </m:e>
                </m:acc>
              </m:e>
              <m:sub>
                <m:r>
                  <m:t>m</m:t>
                </m:r>
              </m:sub>
            </m:sSub>
          </m:e>
        </m:nary>
        <m:r>
          <m:t> </m:t>
        </m:r>
        <m:r>
          <m:t>Δ</m:t>
        </m:r>
        <m:sSub>
          <m:e>
            <m:r>
              <m:t>s</m:t>
            </m:r>
          </m:e>
          <m:sub>
            <m:r>
              <m:t>m</m:t>
            </m:r>
          </m:sub>
        </m:sSub>
      </m:oMath>
      <w:r>
        <w:tab/>
      </w:r>
      <w:r>
        <w:rPr>
          <w:rFonts w:ascii="Times New Roman" w:hAnsi="Times New Roman" w:eastAsia="宋体"/>
          <w:sz w:val="24"/>
        </w:rPr>
        <w:t>(11-6)</w:t>
      </w:r>
    </w:p>
    <w:p>
      <w:pPr>
        <w:spacing w:line="360" w:lineRule="auto" w:after="0"/>
        <w:jc w:val="both"/>
      </w:pPr>
      <w:r>
        <w:rPr>
          <w:rFonts w:ascii="宋体" w:hAnsi="宋体" w:eastAsia="宋体"/>
          <w:sz w:val="24"/>
        </w:rPr>
        <w:t>其中，右端第一项为强度效应，即在用量结构不变时各档位自身能效与用电清洁度改进的贡献；第二项为结构效应，即在各档位强度不变时用量向高档位或低档位迁移的贡献；</w:t>
      </w:r>
      <m:oMath>
        <m:sSub>
          <m:e>
            <m:acc>
              <m:accPr>
                <m:chr m:val="‾"/>
              </m:accPr>
              <m:e>
                <m:r>
                  <m:t>s</m:t>
                </m:r>
              </m:e>
            </m:acc>
          </m:e>
          <m:sub>
            <m:r>
              <m:t>m</m:t>
            </m:r>
          </m:sub>
        </m:sSub>
      </m:oMath>
      <w:r>
        <w:rPr>
          <w:rFonts w:ascii="宋体" w:hAnsi="宋体" w:eastAsia="宋体"/>
          <w:sz w:val="24"/>
        </w:rPr>
        <w:t xml:space="preserve"> 与 </w:t>
      </w:r>
      <m:oMath>
        <m:sSub>
          <m:e>
            <m:acc>
              <m:accPr>
                <m:chr m:val="‾"/>
              </m:accPr>
              <m:e>
                <m:r>
                  <m:t>ι</m:t>
                </m:r>
              </m:e>
            </m:acc>
          </m:e>
          <m:sub>
            <m:r>
              <m:t>m</m:t>
            </m:r>
          </m:sub>
        </m:sSub>
      </m:oMath>
      <w:r>
        <w:rPr>
          <w:rFonts w:ascii="宋体" w:hAnsi="宋体" w:eastAsia="宋体"/>
          <w:sz w:val="24"/>
        </w:rPr>
        <w:t xml:space="preserve"> 为期初期末的均值权重。</w:t>
      </w:r>
    </w:p>
    <w:p>
      <w:pPr>
        <w:spacing w:line="360" w:lineRule="auto" w:after="0"/>
        <w:ind w:firstLineChars="200" w:firstLine="480"/>
        <w:jc w:val="both"/>
      </w:pPr>
      <w:r>
        <w:rPr>
          <w:rFonts w:ascii="宋体" w:hAnsi="宋体" w:eastAsia="宋体"/>
          <w:sz w:val="24"/>
        </w:rPr>
        <w:t>式(11-6)的政策含义是直接的：碳强度的下降既可以来自技术，也可以来自结构，而两者的可持续性完全不同。技术驱动的下降是净改进；结构驱动的下降若来自用户被迫降级使用低档位模型，则以牺牲推理质量为代价，本质上是把碳排放问题转化为效值问题。这也是必须以标准词元而非物理词元为分母的又一理由：以物理词元为分母时，用户从旗舰闭源级降级到轻量蒸馏级会同时降低碳强度与产出质量，而碳强度的下降会被记为环境绩效；以标准词元为分母时，质量损失已经通过效值系数进入分母，从而使这种「降级式减排」在指标上无法伪装成技术进步。分档位的能耗强度、碳强度、用量份额、碳排贡献份额与达标条件汇总，见表11.1。</w:t>
      </w:r>
    </w:p>
    <w:p>
      <w:pPr>
        <w:keepNext/>
        <w:spacing w:before="160" w:after="40"/>
        <w:jc w:val="center"/>
      </w:pPr>
      <w:r>
        <w:rPr>
          <w:rFonts w:ascii="黑体" w:hAnsi="黑体" w:eastAsia="黑体"/>
          <w:sz w:val="21"/>
        </w:rPr>
        <w:t>表11.1  六档位模型的能耗强度、碳强度与绿色词元达标条件</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215"/>
        <w:gridCol w:w="1215"/>
        <w:gridCol w:w="1215"/>
        <w:gridCol w:w="1215"/>
        <w:gridCol w:w="1215"/>
        <w:gridCol w:w="1215"/>
        <w:gridCol w:w="1215"/>
      </w:tblGrid>
      <w:tr>
        <w:tc>
          <w:tcPr>
            <w:tcW w:type="dxa" w:w="1215"/>
            <w:tcBorders>
              <w:bottom w:val="single" w:sz="6" w:color="000000"/>
            </w:tcBorders>
            <w:vAlign w:val="center"/>
          </w:tcPr>
          <w:p>
            <w:pPr>
              <w:spacing w:line="240" w:lineRule="auto" w:after="20" w:before="20"/>
              <w:jc w:val="center"/>
            </w:pPr>
            <w:r/>
            <w:r>
              <w:rPr>
                <w:rFonts w:ascii="宋体" w:hAnsi="宋体" w:eastAsia="宋体"/>
                <w:b/>
                <w:sz w:val="21"/>
              </w:rPr>
              <w:t>档位</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能耗强度（kWh／百万标准词元）</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碳强度：地理位置法（gCO₂e／千标准词元）</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碳强度：全绿电口径</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2026年用量份额</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碳排放贡献份额</w:t>
            </w:r>
          </w:p>
        </w:tc>
        <w:tc>
          <w:tcPr>
            <w:tcW w:type="dxa" w:w="1215"/>
            <w:tcBorders>
              <w:bottom w:val="single" w:sz="6" w:color="000000"/>
            </w:tcBorders>
            <w:vAlign w:val="center"/>
          </w:tcPr>
          <w:p>
            <w:pPr>
              <w:spacing w:line="240" w:lineRule="auto" w:after="20" w:before="20"/>
              <w:jc w:val="center"/>
            </w:pPr>
            <w:r/>
            <w:r>
              <w:rPr>
                <w:rFonts w:ascii="宋体" w:hAnsi="宋体" w:eastAsia="宋体"/>
                <w:b/>
                <w:sz w:val="21"/>
              </w:rPr>
              <w:t>达标所需绿电占比</w:t>
            </w:r>
          </w:p>
        </w:tc>
      </w:tr>
      <w:tr>
        <w:tc>
          <w:tcPr>
            <w:tcW w:type="dxa" w:w="1215"/>
            <w:vAlign w:val="center"/>
          </w:tcPr>
          <w:p>
            <w:pPr>
              <w:spacing w:line="240" w:lineRule="auto" w:after="20" w:before="20"/>
              <w:jc w:val="left"/>
            </w:pPr>
            <w:r/>
            <w:r>
              <w:rPr>
                <w:rFonts w:ascii="宋体" w:hAnsi="宋体" w:eastAsia="宋体"/>
                <w:sz w:val="21"/>
              </w:rPr>
              <w:t>轻量蒸馏级</w:t>
            </w:r>
          </w:p>
        </w:tc>
        <w:tc>
          <w:tcPr>
            <w:tcW w:type="dxa" w:w="1215"/>
            <w:vAlign w:val="center"/>
          </w:tcPr>
          <w:p>
            <w:pPr>
              <w:spacing w:line="240" w:lineRule="auto" w:after="20" w:before="20"/>
              <w:jc w:val="center"/>
            </w:pPr>
            <w:r/>
            <w:r>
              <w:rPr>
                <w:rFonts w:ascii="宋体" w:hAnsi="宋体" w:eastAsia="宋体"/>
                <w:sz w:val="21"/>
              </w:rPr>
              <w:t>0.9</w:t>
            </w:r>
          </w:p>
        </w:tc>
        <w:tc>
          <w:tcPr>
            <w:tcW w:type="dxa" w:w="1215"/>
            <w:vAlign w:val="center"/>
          </w:tcPr>
          <w:p>
            <w:pPr>
              <w:spacing w:line="240" w:lineRule="auto" w:after="20" w:before="20"/>
              <w:jc w:val="center"/>
            </w:pPr>
            <w:r/>
            <w:r>
              <w:rPr>
                <w:rFonts w:ascii="宋体" w:hAnsi="宋体" w:eastAsia="宋体"/>
                <w:sz w:val="21"/>
              </w:rPr>
              <w:t>0.477</w:t>
            </w:r>
          </w:p>
        </w:tc>
        <w:tc>
          <w:tcPr>
            <w:tcW w:type="dxa" w:w="1215"/>
            <w:vAlign w:val="center"/>
          </w:tcPr>
          <w:p>
            <w:pPr>
              <w:spacing w:line="240" w:lineRule="auto" w:after="20" w:before="20"/>
              <w:jc w:val="center"/>
            </w:pPr>
            <w:r/>
            <w:r>
              <w:rPr>
                <w:rFonts w:ascii="宋体" w:hAnsi="宋体" w:eastAsia="宋体"/>
                <w:sz w:val="21"/>
              </w:rPr>
              <w:t>0.036</w:t>
            </w:r>
          </w:p>
        </w:tc>
        <w:tc>
          <w:tcPr>
            <w:tcW w:type="dxa" w:w="1215"/>
            <w:vAlign w:val="center"/>
          </w:tcPr>
          <w:p>
            <w:pPr>
              <w:spacing w:line="240" w:lineRule="auto" w:after="20" w:before="20"/>
              <w:jc w:val="center"/>
            </w:pPr>
            <w:r/>
            <w:r>
              <w:rPr>
                <w:rFonts w:ascii="宋体" w:hAnsi="宋体" w:eastAsia="宋体"/>
                <w:sz w:val="21"/>
              </w:rPr>
              <w:t>28.0%</w:t>
            </w:r>
          </w:p>
        </w:tc>
        <w:tc>
          <w:tcPr>
            <w:tcW w:type="dxa" w:w="1215"/>
            <w:vAlign w:val="center"/>
          </w:tcPr>
          <w:p>
            <w:pPr>
              <w:spacing w:line="240" w:lineRule="auto" w:after="20" w:before="20"/>
              <w:jc w:val="center"/>
            </w:pPr>
            <w:r/>
            <w:r>
              <w:rPr>
                <w:rFonts w:ascii="宋体" w:hAnsi="宋体" w:eastAsia="宋体"/>
                <w:sz w:val="21"/>
              </w:rPr>
              <w:t>5.9%</w:t>
            </w:r>
          </w:p>
        </w:tc>
        <w:tc>
          <w:tcPr>
            <w:tcW w:type="dxa" w:w="1215"/>
            <w:vAlign w:val="center"/>
          </w:tcPr>
          <w:p>
            <w:pPr>
              <w:spacing w:line="240" w:lineRule="auto" w:after="20" w:before="20"/>
              <w:jc w:val="center"/>
            </w:pPr>
            <w:r/>
            <w:r>
              <w:rPr>
                <w:rFonts w:ascii="宋体" w:hAnsi="宋体" w:eastAsia="宋体"/>
                <w:sz w:val="21"/>
              </w:rPr>
              <w:t>已达标</w:t>
            </w:r>
          </w:p>
        </w:tc>
      </w:tr>
      <w:tr>
        <w:tc>
          <w:tcPr>
            <w:tcW w:type="dxa" w:w="1215"/>
            <w:vAlign w:val="center"/>
          </w:tcPr>
          <w:p>
            <w:pPr>
              <w:spacing w:line="240" w:lineRule="auto" w:after="20" w:before="20"/>
              <w:jc w:val="left"/>
            </w:pPr>
            <w:r/>
            <w:r>
              <w:rPr>
                <w:rFonts w:ascii="宋体" w:hAnsi="宋体" w:eastAsia="宋体"/>
                <w:sz w:val="21"/>
              </w:rPr>
              <w:t>中型通用级</w:t>
            </w:r>
          </w:p>
        </w:tc>
        <w:tc>
          <w:tcPr>
            <w:tcW w:type="dxa" w:w="1215"/>
            <w:vAlign w:val="center"/>
          </w:tcPr>
          <w:p>
            <w:pPr>
              <w:spacing w:line="240" w:lineRule="auto" w:after="20" w:before="20"/>
              <w:jc w:val="center"/>
            </w:pPr>
            <w:r/>
            <w:r>
              <w:rPr>
                <w:rFonts w:ascii="宋体" w:hAnsi="宋体" w:eastAsia="宋体"/>
                <w:sz w:val="21"/>
              </w:rPr>
              <w:t>2.6</w:t>
            </w:r>
          </w:p>
        </w:tc>
        <w:tc>
          <w:tcPr>
            <w:tcW w:type="dxa" w:w="1215"/>
            <w:vAlign w:val="center"/>
          </w:tcPr>
          <w:p>
            <w:pPr>
              <w:spacing w:line="240" w:lineRule="auto" w:after="20" w:before="20"/>
              <w:jc w:val="center"/>
            </w:pPr>
            <w:r/>
            <w:r>
              <w:rPr>
                <w:rFonts w:ascii="宋体" w:hAnsi="宋体" w:eastAsia="宋体"/>
                <w:sz w:val="21"/>
              </w:rPr>
              <w:t>1.378</w:t>
            </w:r>
          </w:p>
        </w:tc>
        <w:tc>
          <w:tcPr>
            <w:tcW w:type="dxa" w:w="1215"/>
            <w:vAlign w:val="center"/>
          </w:tcPr>
          <w:p>
            <w:pPr>
              <w:spacing w:line="240" w:lineRule="auto" w:after="20" w:before="20"/>
              <w:jc w:val="center"/>
            </w:pPr>
            <w:r/>
            <w:r>
              <w:rPr>
                <w:rFonts w:ascii="宋体" w:hAnsi="宋体" w:eastAsia="宋体"/>
                <w:sz w:val="21"/>
              </w:rPr>
              <w:t>0.104</w:t>
            </w:r>
          </w:p>
        </w:tc>
        <w:tc>
          <w:tcPr>
            <w:tcW w:type="dxa" w:w="1215"/>
            <w:vAlign w:val="center"/>
          </w:tcPr>
          <w:p>
            <w:pPr>
              <w:spacing w:line="240" w:lineRule="auto" w:after="20" w:before="20"/>
              <w:jc w:val="center"/>
            </w:pPr>
            <w:r/>
            <w:r>
              <w:rPr>
                <w:rFonts w:ascii="宋体" w:hAnsi="宋体" w:eastAsia="宋体"/>
                <w:sz w:val="21"/>
              </w:rPr>
              <w:t>34.0%</w:t>
            </w:r>
          </w:p>
        </w:tc>
        <w:tc>
          <w:tcPr>
            <w:tcW w:type="dxa" w:w="1215"/>
            <w:vAlign w:val="center"/>
          </w:tcPr>
          <w:p>
            <w:pPr>
              <w:spacing w:line="240" w:lineRule="auto" w:after="20" w:before="20"/>
              <w:jc w:val="center"/>
            </w:pPr>
            <w:r/>
            <w:r>
              <w:rPr>
                <w:rFonts w:ascii="宋体" w:hAnsi="宋体" w:eastAsia="宋体"/>
                <w:sz w:val="21"/>
              </w:rPr>
              <w:t>20.7%</w:t>
            </w:r>
          </w:p>
        </w:tc>
        <w:tc>
          <w:tcPr>
            <w:tcW w:type="dxa" w:w="1215"/>
            <w:vAlign w:val="center"/>
          </w:tcPr>
          <w:p>
            <w:pPr>
              <w:spacing w:line="240" w:lineRule="auto" w:after="20" w:before="20"/>
              <w:jc w:val="center"/>
            </w:pPr>
            <w:r/>
            <w:r>
              <w:rPr>
                <w:rFonts w:ascii="宋体" w:hAnsi="宋体" w:eastAsia="宋体"/>
                <w:sz w:val="21"/>
              </w:rPr>
              <w:t>29.7%</w:t>
            </w:r>
          </w:p>
        </w:tc>
      </w:tr>
      <w:tr>
        <w:tc>
          <w:tcPr>
            <w:tcW w:type="dxa" w:w="1215"/>
            <w:vAlign w:val="center"/>
          </w:tcPr>
          <w:p>
            <w:pPr>
              <w:spacing w:line="240" w:lineRule="auto" w:after="20" w:before="20"/>
              <w:jc w:val="left"/>
            </w:pPr>
            <w:r/>
            <w:r>
              <w:rPr>
                <w:rFonts w:ascii="宋体" w:hAnsi="宋体" w:eastAsia="宋体"/>
                <w:sz w:val="21"/>
              </w:rPr>
              <w:t>开源旗舰级</w:t>
            </w:r>
          </w:p>
        </w:tc>
        <w:tc>
          <w:tcPr>
            <w:tcW w:type="dxa" w:w="1215"/>
            <w:vAlign w:val="center"/>
          </w:tcPr>
          <w:p>
            <w:pPr>
              <w:spacing w:line="240" w:lineRule="auto" w:after="20" w:before="20"/>
              <w:jc w:val="center"/>
            </w:pPr>
            <w:r/>
            <w:r>
              <w:rPr>
                <w:rFonts w:ascii="宋体" w:hAnsi="宋体" w:eastAsia="宋体"/>
                <w:sz w:val="21"/>
              </w:rPr>
              <w:t>5.4</w:t>
            </w:r>
          </w:p>
        </w:tc>
        <w:tc>
          <w:tcPr>
            <w:tcW w:type="dxa" w:w="1215"/>
            <w:vAlign w:val="center"/>
          </w:tcPr>
          <w:p>
            <w:pPr>
              <w:spacing w:line="240" w:lineRule="auto" w:after="20" w:before="20"/>
              <w:jc w:val="center"/>
            </w:pPr>
            <w:r/>
            <w:r>
              <w:rPr>
                <w:rFonts w:ascii="宋体" w:hAnsi="宋体" w:eastAsia="宋体"/>
                <w:sz w:val="21"/>
              </w:rPr>
              <w:t>2.862</w:t>
            </w:r>
          </w:p>
        </w:tc>
        <w:tc>
          <w:tcPr>
            <w:tcW w:type="dxa" w:w="1215"/>
            <w:vAlign w:val="center"/>
          </w:tcPr>
          <w:p>
            <w:pPr>
              <w:spacing w:line="240" w:lineRule="auto" w:after="20" w:before="20"/>
              <w:jc w:val="center"/>
            </w:pPr>
            <w:r/>
            <w:r>
              <w:rPr>
                <w:rFonts w:ascii="宋体" w:hAnsi="宋体" w:eastAsia="宋体"/>
                <w:sz w:val="21"/>
              </w:rPr>
              <w:t>0.216</w:t>
            </w:r>
          </w:p>
        </w:tc>
        <w:tc>
          <w:tcPr>
            <w:tcW w:type="dxa" w:w="1215"/>
            <w:vAlign w:val="center"/>
          </w:tcPr>
          <w:p>
            <w:pPr>
              <w:spacing w:line="240" w:lineRule="auto" w:after="20" w:before="20"/>
              <w:jc w:val="center"/>
            </w:pPr>
            <w:r/>
            <w:r>
              <w:rPr>
                <w:rFonts w:ascii="宋体" w:hAnsi="宋体" w:eastAsia="宋体"/>
                <w:sz w:val="21"/>
              </w:rPr>
              <w:t>20.0%</w:t>
            </w:r>
          </w:p>
        </w:tc>
        <w:tc>
          <w:tcPr>
            <w:tcW w:type="dxa" w:w="1215"/>
            <w:vAlign w:val="center"/>
          </w:tcPr>
          <w:p>
            <w:pPr>
              <w:spacing w:line="240" w:lineRule="auto" w:after="20" w:before="20"/>
              <w:jc w:val="center"/>
            </w:pPr>
            <w:r/>
            <w:r>
              <w:rPr>
                <w:rFonts w:ascii="宋体" w:hAnsi="宋体" w:eastAsia="宋体"/>
                <w:sz w:val="21"/>
              </w:rPr>
              <w:t>25.3%</w:t>
            </w:r>
          </w:p>
        </w:tc>
        <w:tc>
          <w:tcPr>
            <w:tcW w:type="dxa" w:w="1215"/>
            <w:vAlign w:val="center"/>
          </w:tcPr>
          <w:p>
            <w:pPr>
              <w:spacing w:line="240" w:lineRule="auto" w:after="20" w:before="20"/>
              <w:jc w:val="center"/>
            </w:pPr>
            <w:r/>
            <w:r>
              <w:rPr>
                <w:rFonts w:ascii="宋体" w:hAnsi="宋体" w:eastAsia="宋体"/>
                <w:sz w:val="21"/>
              </w:rPr>
              <w:t>70.4%</w:t>
            </w:r>
          </w:p>
        </w:tc>
      </w:tr>
      <w:tr>
        <w:tc>
          <w:tcPr>
            <w:tcW w:type="dxa" w:w="1215"/>
            <w:vAlign w:val="center"/>
          </w:tcPr>
          <w:p>
            <w:pPr>
              <w:spacing w:line="240" w:lineRule="auto" w:after="20" w:before="20"/>
              <w:jc w:val="left"/>
            </w:pPr>
            <w:r/>
            <w:r>
              <w:rPr>
                <w:rFonts w:ascii="宋体" w:hAnsi="宋体" w:eastAsia="宋体"/>
                <w:sz w:val="21"/>
              </w:rPr>
              <w:t>旗舰闭源级</w:t>
            </w:r>
          </w:p>
        </w:tc>
        <w:tc>
          <w:tcPr>
            <w:tcW w:type="dxa" w:w="1215"/>
            <w:vAlign w:val="center"/>
          </w:tcPr>
          <w:p>
            <w:pPr>
              <w:spacing w:line="240" w:lineRule="auto" w:after="20" w:before="20"/>
              <w:jc w:val="center"/>
            </w:pPr>
            <w:r/>
            <w:r>
              <w:rPr>
                <w:rFonts w:ascii="宋体" w:hAnsi="宋体" w:eastAsia="宋体"/>
                <w:sz w:val="21"/>
              </w:rPr>
              <w:t>9.8</w:t>
            </w:r>
          </w:p>
        </w:tc>
        <w:tc>
          <w:tcPr>
            <w:tcW w:type="dxa" w:w="1215"/>
            <w:vAlign w:val="center"/>
          </w:tcPr>
          <w:p>
            <w:pPr>
              <w:spacing w:line="240" w:lineRule="auto" w:after="20" w:before="20"/>
              <w:jc w:val="center"/>
            </w:pPr>
            <w:r/>
            <w:r>
              <w:rPr>
                <w:rFonts w:ascii="宋体" w:hAnsi="宋体" w:eastAsia="宋体"/>
                <w:sz w:val="21"/>
              </w:rPr>
              <w:t>5.194</w:t>
            </w:r>
          </w:p>
        </w:tc>
        <w:tc>
          <w:tcPr>
            <w:tcW w:type="dxa" w:w="1215"/>
            <w:vAlign w:val="center"/>
          </w:tcPr>
          <w:p>
            <w:pPr>
              <w:spacing w:line="240" w:lineRule="auto" w:after="20" w:before="20"/>
              <w:jc w:val="center"/>
            </w:pPr>
            <w:r/>
            <w:r>
              <w:rPr>
                <w:rFonts w:ascii="宋体" w:hAnsi="宋体" w:eastAsia="宋体"/>
                <w:sz w:val="21"/>
              </w:rPr>
              <w:t>0.392</w:t>
            </w:r>
          </w:p>
        </w:tc>
        <w:tc>
          <w:tcPr>
            <w:tcW w:type="dxa" w:w="1215"/>
            <w:vAlign w:val="center"/>
          </w:tcPr>
          <w:p>
            <w:pPr>
              <w:spacing w:line="240" w:lineRule="auto" w:after="20" w:before="20"/>
              <w:jc w:val="center"/>
            </w:pPr>
            <w:r/>
            <w:r>
              <w:rPr>
                <w:rFonts w:ascii="宋体" w:hAnsi="宋体" w:eastAsia="宋体"/>
                <w:sz w:val="21"/>
              </w:rPr>
              <w:t>10.0%</w:t>
            </w:r>
          </w:p>
        </w:tc>
        <w:tc>
          <w:tcPr>
            <w:tcW w:type="dxa" w:w="1215"/>
            <w:vAlign w:val="center"/>
          </w:tcPr>
          <w:p>
            <w:pPr>
              <w:spacing w:line="240" w:lineRule="auto" w:after="20" w:before="20"/>
              <w:jc w:val="center"/>
            </w:pPr>
            <w:r/>
            <w:r>
              <w:rPr>
                <w:rFonts w:ascii="宋体" w:hAnsi="宋体" w:eastAsia="宋体"/>
                <w:sz w:val="21"/>
              </w:rPr>
              <w:t>23.0%</w:t>
            </w:r>
          </w:p>
        </w:tc>
        <w:tc>
          <w:tcPr>
            <w:tcW w:type="dxa" w:w="1215"/>
            <w:vAlign w:val="center"/>
          </w:tcPr>
          <w:p>
            <w:pPr>
              <w:spacing w:line="240" w:lineRule="auto" w:after="20" w:before="20"/>
              <w:jc w:val="center"/>
            </w:pPr>
            <w:r/>
            <w:r>
              <w:rPr>
                <w:rFonts w:ascii="宋体" w:hAnsi="宋体" w:eastAsia="宋体"/>
                <w:sz w:val="21"/>
              </w:rPr>
              <w:t>87.3%</w:t>
            </w:r>
          </w:p>
        </w:tc>
      </w:tr>
      <w:tr>
        <w:tc>
          <w:tcPr>
            <w:tcW w:type="dxa" w:w="1215"/>
            <w:vAlign w:val="center"/>
          </w:tcPr>
          <w:p>
            <w:pPr>
              <w:spacing w:line="240" w:lineRule="auto" w:after="20" w:before="20"/>
              <w:jc w:val="left"/>
            </w:pPr>
            <w:r/>
            <w:r>
              <w:rPr>
                <w:rFonts w:ascii="宋体" w:hAnsi="宋体" w:eastAsia="宋体"/>
                <w:sz w:val="21"/>
              </w:rPr>
              <w:t>推理增强级</w:t>
            </w:r>
          </w:p>
        </w:tc>
        <w:tc>
          <w:tcPr>
            <w:tcW w:type="dxa" w:w="1215"/>
            <w:vAlign w:val="center"/>
          </w:tcPr>
          <w:p>
            <w:pPr>
              <w:spacing w:line="240" w:lineRule="auto" w:after="20" w:before="20"/>
              <w:jc w:val="center"/>
            </w:pPr>
            <w:r/>
            <w:r>
              <w:rPr>
                <w:rFonts w:ascii="宋体" w:hAnsi="宋体" w:eastAsia="宋体"/>
                <w:sz w:val="21"/>
              </w:rPr>
              <w:t>17.2</w:t>
            </w:r>
          </w:p>
        </w:tc>
        <w:tc>
          <w:tcPr>
            <w:tcW w:type="dxa" w:w="1215"/>
            <w:vAlign w:val="center"/>
          </w:tcPr>
          <w:p>
            <w:pPr>
              <w:spacing w:line="240" w:lineRule="auto" w:after="20" w:before="20"/>
              <w:jc w:val="center"/>
            </w:pPr>
            <w:r/>
            <w:r>
              <w:rPr>
                <w:rFonts w:ascii="宋体" w:hAnsi="宋体" w:eastAsia="宋体"/>
                <w:sz w:val="21"/>
              </w:rPr>
              <w:t>9.116</w:t>
            </w:r>
          </w:p>
        </w:tc>
        <w:tc>
          <w:tcPr>
            <w:tcW w:type="dxa" w:w="1215"/>
            <w:vAlign w:val="center"/>
          </w:tcPr>
          <w:p>
            <w:pPr>
              <w:spacing w:line="240" w:lineRule="auto" w:after="20" w:before="20"/>
              <w:jc w:val="center"/>
            </w:pPr>
            <w:r/>
            <w:r>
              <w:rPr>
                <w:rFonts w:ascii="宋体" w:hAnsi="宋体" w:eastAsia="宋体"/>
                <w:sz w:val="21"/>
              </w:rPr>
              <w:t>0.688</w:t>
            </w:r>
          </w:p>
        </w:tc>
        <w:tc>
          <w:tcPr>
            <w:tcW w:type="dxa" w:w="1215"/>
            <w:vAlign w:val="center"/>
          </w:tcPr>
          <w:p>
            <w:pPr>
              <w:spacing w:line="240" w:lineRule="auto" w:after="20" w:before="20"/>
              <w:jc w:val="center"/>
            </w:pPr>
            <w:r/>
            <w:r>
              <w:rPr>
                <w:rFonts w:ascii="宋体" w:hAnsi="宋体" w:eastAsia="宋体"/>
                <w:sz w:val="21"/>
              </w:rPr>
              <w:t>5.0%</w:t>
            </w:r>
          </w:p>
        </w:tc>
        <w:tc>
          <w:tcPr>
            <w:tcW w:type="dxa" w:w="1215"/>
            <w:vAlign w:val="center"/>
          </w:tcPr>
          <w:p>
            <w:pPr>
              <w:spacing w:line="240" w:lineRule="auto" w:after="20" w:before="20"/>
              <w:jc w:val="center"/>
            </w:pPr>
            <w:r/>
            <w:r>
              <w:rPr>
                <w:rFonts w:ascii="宋体" w:hAnsi="宋体" w:eastAsia="宋体"/>
                <w:sz w:val="21"/>
              </w:rPr>
              <w:t>20.1%</w:t>
            </w:r>
          </w:p>
        </w:tc>
        <w:tc>
          <w:tcPr>
            <w:tcW w:type="dxa" w:w="1215"/>
            <w:vAlign w:val="center"/>
          </w:tcPr>
          <w:p>
            <w:pPr>
              <w:spacing w:line="240" w:lineRule="auto" w:after="20" w:before="20"/>
              <w:jc w:val="center"/>
            </w:pPr>
            <w:r/>
            <w:r>
              <w:rPr>
                <w:rFonts w:ascii="宋体" w:hAnsi="宋体" w:eastAsia="宋体"/>
                <w:sz w:val="21"/>
              </w:rPr>
              <w:t>96.3%</w:t>
            </w:r>
          </w:p>
        </w:tc>
      </w:tr>
      <w:tr>
        <w:tc>
          <w:tcPr>
            <w:tcW w:type="dxa" w:w="1215"/>
            <w:vAlign w:val="center"/>
          </w:tcPr>
          <w:p>
            <w:pPr>
              <w:spacing w:line="240" w:lineRule="auto" w:after="20" w:before="20"/>
              <w:jc w:val="left"/>
            </w:pPr>
            <w:r/>
            <w:r>
              <w:rPr>
                <w:rFonts w:ascii="宋体" w:hAnsi="宋体" w:eastAsia="宋体"/>
                <w:sz w:val="21"/>
              </w:rPr>
              <w:t>多模态级</w:t>
            </w:r>
          </w:p>
        </w:tc>
        <w:tc>
          <w:tcPr>
            <w:tcW w:type="dxa" w:w="1215"/>
            <w:vAlign w:val="center"/>
          </w:tcPr>
          <w:p>
            <w:pPr>
              <w:spacing w:line="240" w:lineRule="auto" w:after="20" w:before="20"/>
              <w:jc w:val="center"/>
            </w:pPr>
            <w:r/>
            <w:r>
              <w:rPr>
                <w:rFonts w:ascii="宋体" w:hAnsi="宋体" w:eastAsia="宋体"/>
                <w:sz w:val="21"/>
              </w:rPr>
              <w:t>7.1</w:t>
            </w:r>
          </w:p>
        </w:tc>
        <w:tc>
          <w:tcPr>
            <w:tcW w:type="dxa" w:w="1215"/>
            <w:vAlign w:val="center"/>
          </w:tcPr>
          <w:p>
            <w:pPr>
              <w:spacing w:line="240" w:lineRule="auto" w:after="20" w:before="20"/>
              <w:jc w:val="center"/>
            </w:pPr>
            <w:r/>
            <w:r>
              <w:rPr>
                <w:rFonts w:ascii="宋体" w:hAnsi="宋体" w:eastAsia="宋体"/>
                <w:sz w:val="21"/>
              </w:rPr>
              <w:t>3.763</w:t>
            </w:r>
          </w:p>
        </w:tc>
        <w:tc>
          <w:tcPr>
            <w:tcW w:type="dxa" w:w="1215"/>
            <w:vAlign w:val="center"/>
          </w:tcPr>
          <w:p>
            <w:pPr>
              <w:spacing w:line="240" w:lineRule="auto" w:after="20" w:before="20"/>
              <w:jc w:val="center"/>
            </w:pPr>
            <w:r/>
            <w:r>
              <w:rPr>
                <w:rFonts w:ascii="宋体" w:hAnsi="宋体" w:eastAsia="宋体"/>
                <w:sz w:val="21"/>
              </w:rPr>
              <w:t>0.284</w:t>
            </w:r>
          </w:p>
        </w:tc>
        <w:tc>
          <w:tcPr>
            <w:tcW w:type="dxa" w:w="1215"/>
            <w:vAlign w:val="center"/>
          </w:tcPr>
          <w:p>
            <w:pPr>
              <w:spacing w:line="240" w:lineRule="auto" w:after="20" w:before="20"/>
              <w:jc w:val="center"/>
            </w:pPr>
            <w:r/>
            <w:r>
              <w:rPr>
                <w:rFonts w:ascii="宋体" w:hAnsi="宋体" w:eastAsia="宋体"/>
                <w:sz w:val="21"/>
              </w:rPr>
              <w:t>3.0%</w:t>
            </w:r>
          </w:p>
        </w:tc>
        <w:tc>
          <w:tcPr>
            <w:tcW w:type="dxa" w:w="1215"/>
            <w:vAlign w:val="center"/>
          </w:tcPr>
          <w:p>
            <w:pPr>
              <w:spacing w:line="240" w:lineRule="auto" w:after="20" w:before="20"/>
              <w:jc w:val="center"/>
            </w:pPr>
            <w:r/>
            <w:r>
              <w:rPr>
                <w:rFonts w:ascii="宋体" w:hAnsi="宋体" w:eastAsia="宋体"/>
                <w:sz w:val="21"/>
              </w:rPr>
              <w:t>5.0%</w:t>
            </w:r>
          </w:p>
        </w:tc>
        <w:tc>
          <w:tcPr>
            <w:tcW w:type="dxa" w:w="1215"/>
            <w:vAlign w:val="center"/>
          </w:tcPr>
          <w:p>
            <w:pPr>
              <w:spacing w:line="240" w:lineRule="auto" w:after="20" w:before="20"/>
              <w:jc w:val="center"/>
            </w:pPr>
            <w:r/>
            <w:r>
              <w:rPr>
                <w:rFonts w:ascii="宋体" w:hAnsi="宋体" w:eastAsia="宋体"/>
                <w:sz w:val="21"/>
              </w:rPr>
              <w:t>79.4%</w:t>
            </w:r>
          </w:p>
        </w:tc>
      </w:tr>
      <w:tr>
        <w:tc>
          <w:tcPr>
            <w:tcW w:type="dxa" w:w="1215"/>
            <w:vAlign w:val="center"/>
          </w:tcPr>
          <w:p>
            <w:pPr>
              <w:spacing w:line="240" w:lineRule="auto" w:after="20" w:before="20"/>
              <w:jc w:val="left"/>
            </w:pPr>
            <w:r/>
            <w:r>
              <w:rPr>
                <w:rFonts w:ascii="宋体" w:hAnsi="宋体" w:eastAsia="宋体"/>
                <w:sz w:val="21"/>
              </w:rPr>
              <w:t>用量加权合计</w:t>
            </w:r>
          </w:p>
        </w:tc>
        <w:tc>
          <w:tcPr>
            <w:tcW w:type="dxa" w:w="1215"/>
            <w:vAlign w:val="center"/>
          </w:tcPr>
          <w:p>
            <w:pPr>
              <w:spacing w:line="240" w:lineRule="auto" w:after="20" w:before="20"/>
              <w:jc w:val="center"/>
            </w:pPr>
            <w:r/>
            <w:r>
              <w:rPr>
                <w:rFonts w:ascii="宋体" w:hAnsi="宋体" w:eastAsia="宋体"/>
                <w:sz w:val="21"/>
              </w:rPr>
              <w:t>4.269</w:t>
            </w:r>
          </w:p>
        </w:tc>
        <w:tc>
          <w:tcPr>
            <w:tcW w:type="dxa" w:w="1215"/>
            <w:vAlign w:val="center"/>
          </w:tcPr>
          <w:p>
            <w:pPr>
              <w:spacing w:line="240" w:lineRule="auto" w:after="20" w:before="20"/>
              <w:jc w:val="center"/>
            </w:pPr>
            <w:r/>
            <w:r>
              <w:rPr>
                <w:rFonts w:ascii="宋体" w:hAnsi="宋体" w:eastAsia="宋体"/>
                <w:sz w:val="21"/>
              </w:rPr>
              <w:t>2.263</w:t>
            </w:r>
          </w:p>
        </w:tc>
        <w:tc>
          <w:tcPr>
            <w:tcW w:type="dxa" w:w="1215"/>
            <w:vAlign w:val="center"/>
          </w:tcPr>
          <w:p>
            <w:pPr>
              <w:spacing w:line="240" w:lineRule="auto" w:after="20" w:before="20"/>
              <w:jc w:val="center"/>
            </w:pPr>
            <w:r/>
            <w:r>
              <w:rPr>
                <w:rFonts w:ascii="宋体" w:hAnsi="宋体" w:eastAsia="宋体"/>
                <w:sz w:val="21"/>
              </w:rPr>
              <w:t>0.171</w:t>
            </w:r>
          </w:p>
        </w:tc>
        <w:tc>
          <w:tcPr>
            <w:tcW w:type="dxa" w:w="1215"/>
            <w:vAlign w:val="center"/>
          </w:tcPr>
          <w:p>
            <w:pPr>
              <w:spacing w:line="240" w:lineRule="auto" w:after="20" w:before="20"/>
              <w:jc w:val="center"/>
            </w:pPr>
            <w:r/>
            <w:r>
              <w:rPr>
                <w:rFonts w:ascii="宋体" w:hAnsi="宋体" w:eastAsia="宋体"/>
                <w:sz w:val="21"/>
              </w:rPr>
              <w:t>100.0%</w:t>
            </w:r>
          </w:p>
        </w:tc>
        <w:tc>
          <w:tcPr>
            <w:tcW w:type="dxa" w:w="1215"/>
            <w:vAlign w:val="center"/>
          </w:tcPr>
          <w:p>
            <w:pPr>
              <w:spacing w:line="240" w:lineRule="auto" w:after="20" w:before="20"/>
              <w:jc w:val="center"/>
            </w:pPr>
            <w:r/>
            <w:r>
              <w:rPr>
                <w:rFonts w:ascii="宋体" w:hAnsi="宋体" w:eastAsia="宋体"/>
                <w:sz w:val="21"/>
              </w:rPr>
              <w:t>100.0%</w:t>
            </w:r>
          </w:p>
        </w:tc>
        <w:tc>
          <w:tcPr>
            <w:tcW w:type="dxa" w:w="1215"/>
            <w:vAlign w:val="center"/>
          </w:tcPr>
          <w:p>
            <w:pPr>
              <w:spacing w:line="240" w:lineRule="auto" w:after="20" w:before="20"/>
              <w:jc w:val="center"/>
            </w:pPr>
            <w:r/>
            <w:r>
              <w:rPr>
                <w:rFonts w:ascii="宋体" w:hAnsi="宋体" w:eastAsia="宋体"/>
                <w:sz w:val="21"/>
              </w:rPr>
              <w:t>60.4%</w:t>
            </w:r>
          </w:p>
        </w:tc>
      </w:tr>
    </w:tbl>
    <w:p>
      <w:pPr>
        <w:spacing w:after="200" w:line="240" w:lineRule="auto"/>
        <w:jc w:val="both"/>
      </w:pPr>
      <w:r>
        <w:rPr>
          <w:rFonts w:ascii="宋体" w:hAnsi="宋体" w:eastAsia="宋体"/>
          <w:sz w:val="18"/>
        </w:rPr>
        <w:t>注：能耗强度与碳强度均为按本章框架的校准复算值，非实测值；碳强度按式(11-4)由能耗强度乘电力排放因子得到，地理位置法取电网平均排放因子、全绿电口径取绿电排放因子。碳排放贡献份额＝该档位用量份额×该档位碳强度／用量加权平均碳强度。达标所需绿电占比按式(11-9)在能效不变（</w:t>
      </w:r>
      <m:oMath>
        <m:r>
          <m:t>λ</m:t>
        </m:r>
      </m:oMath>
      <w:r>
        <w:rPr>
          <w:rFonts w:ascii="宋体" w:hAnsi="宋体" w:eastAsia="宋体"/>
          <w:sz w:val="18"/>
        </w:rPr>
        <w:t>＝1）下求得，指使该档位碳强度降至阈值1.0 gCO₂e／千标准词元所需的绿电占比；轻量蒸馏级的碳强度已低于阈值，故无需绿电即达标。数据来源：作者校准复算。</w:t>
      </w:r>
    </w:p>
    <w:p>
      <w:pPr>
        <w:spacing w:line="360" w:lineRule="auto" w:after="0"/>
        <w:ind w:firstLineChars="200" w:firstLine="480"/>
        <w:jc w:val="both"/>
      </w:pPr>
      <w:r>
        <w:rPr>
          <w:rFonts w:ascii="宋体" w:hAnsi="宋体" w:eastAsia="宋体"/>
          <w:sz w:val="24"/>
        </w:rPr>
        <w:t>表11.1 呈现出一个高度倾斜的结构。用量份额最大的两个档位是轻量蒸馏级与中型通用级，合计62%，但其碳排放贡献合计仅26.6%；相反，旗舰闭源级与推理增强级合计用量份额仅15%，碳排放贡献却达43.1%。轻量蒸馏级以28%的用量只贡献5.9%的排放，而推理增强级以5%的用量贡献了20.1%。这种帕累托式的集中意味着，碳治理的着力点不在于压缩总调用量，而在于高档位词元的匹配合理性——第9章界定的匹配损失（用高档位模型处理本可由低档位完成的任务）在碳的维度上被再次放大。反过来说，这也解释了为什么「统一调度」既是效率政策也是环境政策：它在不减少任何一枚有效词元的前提下削减高档位的冗余调用。</w:t>
      </w:r>
    </w:p>
    <w:p>
      <w:pPr>
        <w:spacing w:line="360" w:lineRule="auto" w:after="0"/>
        <w:ind w:firstLineChars="200" w:firstLine="480"/>
        <w:jc w:val="both"/>
      </w:pPr>
      <w:r>
        <w:rPr>
          <w:rFonts w:ascii="宋体" w:hAnsi="宋体" w:eastAsia="宋体"/>
          <w:sz w:val="24"/>
        </w:rPr>
        <w:t>表11.1 还提示了一个更深的结构：碳强度随效值系数上升的速度快于比例。把六档位的碳强度与第5章的效值系数取对数作拟合，即式(11-7)。</w:t>
      </w:r>
    </w:p>
    <w:p>
      <w:pPr>
        <w:tabs>
          <w:tab w:pos="4252" w:val="center"/>
          <w:tab w:pos="8504" w:val="right"/>
        </w:tabs>
        <w:spacing w:line="360" w:lineRule="auto" w:before="80" w:after="80"/>
      </w:pPr>
      <w:r>
        <w:tab/>
      </w:r>
      <m:oMath>
        <m:r>
          <m:rPr>
            <m:sty m:val="p"/>
          </m:rPr>
          <m:t>ln</m:t>
        </m:r>
        <m:sSub>
          <m:e>
            <m:r>
              <m:t>ι</m:t>
            </m:r>
          </m:e>
          <m:sub>
            <m:r>
              <m:t>m</m:t>
            </m:r>
          </m:sub>
        </m:sSub>
        <m:r>
          <m:rPr>
            <m:sty m:val="p"/>
          </m:rPr>
          <m:t>=</m:t>
        </m:r>
        <m:r>
          <m:t>a</m:t>
        </m:r>
        <m:r>
          <m:rPr>
            <m:sty m:val="p"/>
          </m:rPr>
          <m:t>+</m:t>
        </m:r>
        <m:r>
          <m:t>b</m:t>
        </m:r>
        <m:r>
          <m:t> </m:t>
        </m:r>
        <m:r>
          <m:rPr>
            <m:sty m:val="p"/>
          </m:rPr>
          <m:t>ln</m:t>
        </m:r>
        <m:sSub>
          <m:e>
            <m:r>
              <m:t>η</m:t>
            </m:r>
          </m:e>
          <m:sub>
            <m:r>
              <m:t>m</m:t>
            </m:r>
          </m:sub>
        </m:sSub>
        <m:r>
          <m:rPr>
            <m:sty m:val="p"/>
          </m:rPr>
          <m:t>+</m:t>
        </m:r>
        <m:sSub>
          <m:e>
            <m:r>
              <m:t>ϵ</m:t>
            </m:r>
          </m:e>
          <m:sub>
            <m:r>
              <m:t>m</m:t>
            </m:r>
          </m:sub>
        </m:sSub>
      </m:oMath>
      <w:r>
        <w:tab/>
      </w:r>
      <w:r>
        <w:rPr>
          <w:rFonts w:ascii="Times New Roman" w:hAnsi="Times New Roman" w:eastAsia="宋体"/>
          <w:sz w:val="24"/>
        </w:rPr>
        <w:t>(11-7)</w:t>
      </w:r>
    </w:p>
    <w:p>
      <w:pPr>
        <w:spacing w:line="360" w:lineRule="auto" w:after="0"/>
        <w:jc w:val="both"/>
      </w:pPr>
      <w:r>
        <w:rPr>
          <w:rFonts w:ascii="宋体" w:hAnsi="宋体" w:eastAsia="宋体"/>
          <w:sz w:val="24"/>
        </w:rPr>
        <w:t>其中，</w:t>
      </w:r>
      <m:oMath>
        <m:sSub>
          <m:e>
            <m:r>
              <m:t>η</m:t>
            </m:r>
          </m:e>
          <m:sub>
            <m:r>
              <m:t>m</m:t>
            </m:r>
          </m:sub>
        </m:sSub>
      </m:oMath>
      <w:r>
        <w:rPr>
          <w:rFonts w:ascii="宋体" w:hAnsi="宋体" w:eastAsia="宋体"/>
          <w:sz w:val="24"/>
        </w:rPr>
        <w:t xml:space="preserve"> 为第5章式(5-5)合成的效值系数，</w:t>
      </w:r>
      <m:oMath>
        <m:r>
          <m:t>b</m:t>
        </m:r>
      </m:oMath>
      <w:r>
        <w:rPr>
          <w:rFonts w:ascii="宋体" w:hAnsi="宋体" w:eastAsia="宋体"/>
          <w:sz w:val="24"/>
        </w:rPr>
        <w:t xml:space="preserve"> 为碳—效值弹性，即效值系数提高1%所引致的单位标准词元碳强度变动百分比。</w:t>
      </w:r>
    </w:p>
    <w:p>
      <w:pPr>
        <w:spacing w:line="360" w:lineRule="auto" w:after="0"/>
        <w:ind w:firstLineChars="200" w:firstLine="480"/>
        <w:jc w:val="both"/>
      </w:pPr>
      <w:r>
        <w:rPr>
          <w:rFonts w:ascii="宋体" w:hAnsi="宋体" w:eastAsia="宋体"/>
          <w:sz w:val="24"/>
        </w:rPr>
        <w:t xml:space="preserve">拟合结果为 </w:t>
      </w:r>
      <m:oMath>
        <m:r>
          <m:t>b</m:t>
        </m:r>
      </m:oMath>
      <w:r>
        <w:rPr>
          <w:rFonts w:ascii="宋体" w:hAnsi="宋体" w:eastAsia="宋体"/>
          <w:sz w:val="24"/>
        </w:rPr>
        <w:t>＝1.181，判定系数 0.989，弹性显著大于1。这一结果的经济含义十分明确：效值提高一倍，单位标准词元的碳强度提高约2.27倍，即高效值词元不仅绝对碳排放更高，其单位价值所付出的碳代价也更高。这就是本章开篇提出的命题的量化形式——效值折算与碳核算是两套当量体系，不能互相代劳。若政策仅按效值给予补贴或抵扣，等价于对碳强度实施了一个超比例的隐性补贴；若要在鼓励高质量供给与约束碳排放之间取得平衡，补贴基准必须同时含有效值与碳强度两个变量。这一点在第10章「统一政策抵扣」的机制设计上有直接的操作含义：抵扣系数应当写成效值系数与碳强度的复合函数，而非效值系数的单调函数。分档位的能耗强度与碳强度对照，如图11.2所示。</w:t>
      </w:r>
    </w:p>
    <w:p>
      <w:pPr>
        <w:spacing w:before="120" w:after="40"/>
        <w:jc w:val="center"/>
      </w:pPr>
      <w:r>
        <w:drawing>
          <wp:inline xmlns:a="http://schemas.openxmlformats.org/drawingml/2006/main" xmlns:pic="http://schemas.openxmlformats.org/drawingml/2006/picture">
            <wp:extent cx="4860000" cy="2583414"/>
            <wp:docPr id="36" name="Picture 36"/>
            <wp:cNvGraphicFramePr>
              <a:graphicFrameLocks noChangeAspect="1"/>
            </wp:cNvGraphicFramePr>
            <a:graphic>
              <a:graphicData uri="http://schemas.openxmlformats.org/drawingml/2006/picture">
                <pic:pic>
                  <pic:nvPicPr>
                    <pic:cNvPr id="0" name="fig11_2.png"/>
                    <pic:cNvPicPr/>
                  </pic:nvPicPr>
                  <pic:blipFill>
                    <a:blip r:embed="rId44"/>
                    <a:stretch>
                      <a:fillRect/>
                    </a:stretch>
                  </pic:blipFill>
                  <pic:spPr>
                    <a:xfrm>
                      <a:off x="0" y="0"/>
                      <a:ext cx="4860000" cy="2583414"/>
                    </a:xfrm>
                    <a:prstGeom prst="rect"/>
                  </pic:spPr>
                </pic:pic>
              </a:graphicData>
            </a:graphic>
          </wp:inline>
        </w:drawing>
      </w:r>
    </w:p>
    <w:p>
      <w:pPr>
        <w:keepNext w:val="0"/>
        <w:spacing w:after="40"/>
        <w:jc w:val="center"/>
      </w:pPr>
      <w:r>
        <w:rPr>
          <w:rFonts w:ascii="黑体" w:hAnsi="黑体" w:eastAsia="黑体"/>
          <w:sz w:val="21"/>
        </w:rPr>
        <w:t>图11.2  分档位能耗强度与碳强度</w:t>
      </w:r>
    </w:p>
    <w:p>
      <w:pPr>
        <w:spacing w:after="200" w:line="240" w:lineRule="auto"/>
        <w:jc w:val="both"/>
      </w:pPr>
      <w:r>
        <w:rPr>
          <w:rFonts w:ascii="宋体" w:hAnsi="宋体" w:eastAsia="宋体"/>
          <w:sz w:val="18"/>
        </w:rPr>
        <w:t>注：左轴能耗强度的分母为百万标准词元，右轴碳强度的分母为千标准词元，两者按式(11-4)的量纲恒等关系直接对读，换算系数为1；全绿电供电口径为理论下界，不代表任何在运服务的实际取值。公开的推理能耗测算其分母普遍为「一次查询」而非「一千枚词元」，故本图数值系换算与校准复算结果，不表示实测值。数据来源：作者校准复算。</w:t>
      </w:r>
    </w:p>
    <w:p>
      <w:pPr>
        <w:spacing w:line="360" w:lineRule="auto" w:after="0"/>
        <w:ind w:firstLineChars="200" w:firstLine="480"/>
        <w:jc w:val="both"/>
      </w:pPr>
      <w:r>
        <w:rPr>
          <w:rFonts w:ascii="宋体" w:hAnsi="宋体" w:eastAsia="宋体"/>
          <w:sz w:val="24"/>
        </w:rPr>
        <w:t>图11.2 中的柱体与实线折线几乎平行，这正是式(11-4)的直接可视化——在给定排放因子下，碳强度是能耗强度的线性变换，两条曲线的形状完全由能耗结构决定。真正值得注意的是实线与虚线之间的巨大间距：全绿电供电口径把碳强度压缩到电网口径的7.5%。这个比例给出了电力路径的减排上限——无论能效如何改进，只要电源结构不变，碳强度就被锁定在能耗强度乘以电网因子这条线上；反之，只要电源结构足够清洁，即使是推理增强级这样的高能耗档位，其碳强度也可以降到0.688克二氧化碳当量每千标准词元，低于阈值。换言之，能效路径决定了「用多少电」，电力路径决定了「这些电有多脏」，两者在减排上是乘性关系而非替代关系。</w:t>
      </w:r>
    </w:p>
    <w:p>
      <w:pPr>
        <w:keepNext/>
        <w:spacing w:before="160" w:after="120" w:line="360" w:lineRule="auto"/>
        <w:outlineLvl w:val="2"/>
      </w:pPr>
      <w:r>
        <w:rPr>
          <w:rFonts w:ascii="黑体" w:hAnsi="黑体" w:eastAsia="黑体"/>
          <w:sz w:val="24"/>
        </w:rPr>
        <w:t>11.2.3  绿色词元阈值的设定原则与达标条件</w:t>
      </w:r>
    </w:p>
    <w:p>
      <w:pPr>
        <w:spacing w:line="360" w:lineRule="auto" w:after="0"/>
        <w:ind w:firstLineChars="200" w:firstLine="480"/>
        <w:jc w:val="both"/>
      </w:pPr>
      <w:r>
        <w:rPr>
          <w:rFonts w:ascii="宋体" w:hAnsi="宋体" w:eastAsia="宋体"/>
          <w:sz w:val="24"/>
        </w:rPr>
        <w:t xml:space="preserve">绿色词元的界定需要一个阈值。阈值的设定不是技术问题而是制度问题，至少有三种可选原则。分位数法以现状分布的某一分位点为界，其优点是天然保证一定比例的供给可以达标，缺点是随分布漂移而漂移，不构成稳定的激励。技术可达法以当前最优实践为界，其优点是指向明确，缺点是把标准绑定在单一技术路线上。碳预算法则从总量约束倒推强度约束：给定期间内词元生产可占用的碳预算 </w:t>
      </w:r>
      <m:oMath>
        <m:r>
          <m:t>B</m:t>
        </m:r>
      </m:oMath>
      <w:r>
        <w:rPr>
          <w:rFonts w:ascii="宋体" w:hAnsi="宋体" w:eastAsia="宋体"/>
          <w:sz w:val="24"/>
        </w:rPr>
        <w:t xml:space="preserve"> 与预期的标准词元总产出，阈值即为二者之比，见式(11-8)。</w:t>
      </w:r>
    </w:p>
    <w:p>
      <w:pPr>
        <w:tabs>
          <w:tab w:pos="4252" w:val="center"/>
          <w:tab w:pos="8504" w:val="right"/>
        </w:tabs>
        <w:spacing w:line="360" w:lineRule="auto" w:before="80" w:after="80"/>
      </w:pPr>
      <w:r>
        <w:tab/>
      </w:r>
      <m:oMath>
        <m:sSup>
          <m:e>
            <m:r>
              <m:t>ι</m:t>
            </m:r>
          </m:e>
          <m:sup>
            <m:r>
              <m:rPr>
                <m:sty m:val="p"/>
              </m:rPr>
              <m:t>∗</m:t>
            </m:r>
          </m:sup>
        </m:sSup>
        <m:r>
          <m:rPr>
            <m:sty m:val="p"/>
          </m:rPr>
          <m:t>=</m:t>
        </m:r>
        <m:f>
          <m:fPr>
            <m:type m:val="bar"/>
          </m:fPr>
          <m:num>
            <m:r>
              <m:t>B</m:t>
            </m:r>
          </m:num>
          <m:den>
            <m:sSup>
              <m:e>
                <m:acc>
                  <m:accPr>
                    <m:chr m:val="̃"/>
                  </m:accPr>
                  <m:e>
                    <m:r>
                      <m:t>T</m:t>
                    </m:r>
                  </m:e>
                </m:acc>
              </m:e>
              <m:sup>
                <m:r>
                  <m:rPr>
                    <m:sty m:val="p"/>
                  </m:rPr>
                  <m:t>t</m:t>
                </m:r>
                <m:r>
                  <m:rPr>
                    <m:sty m:val="p"/>
                  </m:rPr>
                  <m:t>o</m:t>
                </m:r>
                <m:r>
                  <m:rPr>
                    <m:sty m:val="p"/>
                  </m:rPr>
                  <m:t>t</m:t>
                </m:r>
              </m:sup>
            </m:sSup>
          </m:den>
        </m:f>
        <m:r>
          <m:rPr>
            <m:sty m:val="p"/>
          </m:rPr>
          <m:t>,</m:t>
        </m:r>
        <m:r>
          <m:t>  </m:t>
        </m:r>
        <m:sSup>
          <m:e>
            <m:acc>
              <m:accPr>
                <m:chr m:val="̃"/>
              </m:accPr>
              <m:e>
                <m:r>
                  <m:t>T</m:t>
                </m:r>
              </m:e>
            </m:acc>
          </m:e>
          <m:sup>
            <m:r>
              <m:t>g</m:t>
            </m:r>
          </m:sup>
        </m:sSup>
        <m:r>
          <m:rPr>
            <m:sty m:val="p"/>
          </m:rPr>
          <m:t>=</m:t>
        </m:r>
        <m:nary>
          <m:naryPr>
            <m:chr m:val="∑"/>
            <m:limLoc m:val="undOvr"/>
            <m:subHide m:val="off"/>
            <m:supHide m:val="on"/>
          </m:naryPr>
          <m:sub>
            <m:r>
              <m:t>m</m:t>
            </m:r>
          </m:sub>
          <m:sup>
            <m:r>
              <m:t>​</m:t>
            </m:r>
          </m:sup>
          <m:e>
            <m:sSub>
              <m:e>
                <m:acc>
                  <m:accPr>
                    <m:chr m:val="̃"/>
                  </m:accPr>
                  <m:e>
                    <m:r>
                      <m:t>T</m:t>
                    </m:r>
                  </m:e>
                </m:acc>
              </m:e>
              <m:sub>
                <m:r>
                  <m:t>m</m:t>
                </m:r>
              </m:sub>
            </m:sSub>
          </m:e>
        </m:nary>
        <m:r>
          <m:t> </m:t>
        </m:r>
        <m:r>
          <m:rPr>
            <m:sty m:val="b"/>
          </m:rPr>
          <m:t>1</m:t>
        </m:r>
        <m:d>
          <m:dPr>
            <m:begChr m:val="{"/>
            <m:endChr m:val="}"/>
            <m:grow/>
          </m:dPr>
          <m:e>
            <m:sSub>
              <m:e>
                <m:r>
                  <m:t>ι</m:t>
                </m:r>
              </m:e>
              <m:sub>
                <m:r>
                  <m:t>m</m:t>
                </m:r>
              </m:sub>
            </m:sSub>
            <m:r>
              <m:rPr>
                <m:sty m:val="p"/>
              </m:rPr>
              <m:t>≤</m:t>
            </m:r>
            <m:sSup>
              <m:e>
                <m:r>
                  <m:t>ι</m:t>
                </m:r>
              </m:e>
              <m:sup>
                <m:r>
                  <m:rPr>
                    <m:sty m:val="p"/>
                  </m:rPr>
                  <m:t>∗</m:t>
                </m:r>
              </m:sup>
            </m:sSup>
          </m:e>
        </m:d>
      </m:oMath>
      <w:r>
        <w:tab/>
      </w:r>
      <w:r>
        <w:rPr>
          <w:rFonts w:ascii="Times New Roman" w:hAnsi="Times New Roman" w:eastAsia="宋体"/>
          <w:sz w:val="24"/>
        </w:rPr>
        <w:t>(11-8)</w:t>
      </w:r>
    </w:p>
    <w:p>
      <w:pPr>
        <w:spacing w:line="360" w:lineRule="auto" w:after="0"/>
        <w:jc w:val="both"/>
      </w:pPr>
      <w:r>
        <w:rPr>
          <w:rFonts w:ascii="宋体" w:hAnsi="宋体" w:eastAsia="宋体"/>
          <w:sz w:val="24"/>
        </w:rPr>
        <w:t>其中，</w:t>
      </w:r>
      <m:oMath>
        <m:sSup>
          <m:e>
            <m:acc>
              <m:accPr>
                <m:chr m:val="̃"/>
              </m:accPr>
              <m:e>
                <m:r>
                  <m:t>T</m:t>
                </m:r>
              </m:e>
            </m:acc>
          </m:e>
          <m:sup>
            <m:r>
              <m:t>g</m:t>
            </m:r>
          </m:sup>
        </m:sSup>
      </m:oMath>
      <w:r>
        <w:rPr>
          <w:rFonts w:ascii="宋体" w:hAnsi="宋体" w:eastAsia="宋体"/>
          <w:sz w:val="24"/>
        </w:rPr>
        <w:t xml:space="preserve"> 为绿色词元流量，</w:t>
      </w:r>
      <m:oMath>
        <m:r>
          <m:rPr>
            <m:sty m:val="b"/>
          </m:rPr>
          <m:t>1</m:t>
        </m:r>
        <m:r>
          <m:rPr>
            <m:sty m:val="p"/>
          </m:rPr>
          <m:t>{</m:t>
        </m:r>
        <m:r>
          <m:rPr>
            <m:sty m:val="p"/>
          </m:rPr>
          <m:t>⋅</m:t>
        </m:r>
        <m:r>
          <m:rPr>
            <m:sty m:val="p"/>
          </m:rPr>
          <m:t>}</m:t>
        </m:r>
      </m:oMath>
      <w:r>
        <w:rPr>
          <w:rFonts w:ascii="宋体" w:hAnsi="宋体" w:eastAsia="宋体"/>
          <w:sz w:val="24"/>
        </w:rPr>
        <w:t xml:space="preserve"> 为示性函数；</w:t>
      </w:r>
      <m:oMath>
        <m:r>
          <m:t>B</m:t>
        </m:r>
      </m:oMath>
      <w:r>
        <w:rPr>
          <w:rFonts w:ascii="宋体" w:hAnsi="宋体" w:eastAsia="宋体"/>
          <w:sz w:val="24"/>
        </w:rPr>
        <w:t xml:space="preserve"> 为词元生产在核算期内可占用的碳预算，</w:t>
      </w:r>
      <m:oMath>
        <m:sSup>
          <m:e>
            <m:acc>
              <m:accPr>
                <m:chr m:val="̃"/>
              </m:accPr>
              <m:e>
                <m:r>
                  <m:t>T</m:t>
                </m:r>
              </m:e>
            </m:acc>
          </m:e>
          <m:sup>
            <m:r>
              <m:rPr>
                <m:sty m:val="p"/>
              </m:rPr>
              <m:t>t</m:t>
            </m:r>
            <m:r>
              <m:rPr>
                <m:sty m:val="p"/>
              </m:rPr>
              <m:t>o</m:t>
            </m:r>
            <m:r>
              <m:rPr>
                <m:sty m:val="p"/>
              </m:rPr>
              <m:t>t</m:t>
            </m:r>
          </m:sup>
        </m:sSup>
      </m:oMath>
      <w:r>
        <w:rPr>
          <w:rFonts w:ascii="宋体" w:hAnsi="宋体" w:eastAsia="宋体"/>
          <w:sz w:val="24"/>
        </w:rPr>
        <w:t xml:space="preserve"> 为同期标准词元总产出。</w:t>
      </w:r>
    </w:p>
    <w:p>
      <w:pPr>
        <w:spacing w:line="360" w:lineRule="auto" w:after="0"/>
        <w:ind w:firstLineChars="200" w:firstLine="480"/>
        <w:jc w:val="both"/>
      </w:pPr>
      <w:r>
        <w:rPr>
          <w:rFonts w:ascii="宋体" w:hAnsi="宋体" w:eastAsia="宋体"/>
          <w:sz w:val="24"/>
        </w:rPr>
        <w:t xml:space="preserve">碳预算法的理论优势在于它把阈值与总量目标显式地联系起来：当预期产出翻倍而碳预算不变时，阈值自动减半。这与我国「双碳」目标下由能耗双控向碳排放双控转型的政策方向是一致的（何建坤，2021；姜春海等，2024），也与碳市场以总量约束驱动强度改进的机制设计逻辑同构（张希良等，2021；张希良等，2022；赵思琦等，2023）。本书按碳预算法的思路，并参照现状分布，把绿色词元阈值取为 </w:t>
      </w:r>
      <m:oMath>
        <m:sSup>
          <m:e>
            <m:r>
              <m:t>ι</m:t>
            </m:r>
          </m:e>
          <m:sup>
            <m:r>
              <m:rPr>
                <m:sty m:val="p"/>
              </m:rPr>
              <m:t>∗</m:t>
            </m:r>
          </m:sup>
        </m:sSup>
      </m:oMath>
      <w:r>
        <w:rPr>
          <w:rFonts w:ascii="宋体" w:hAnsi="宋体" w:eastAsia="宋体"/>
          <w:sz w:val="24"/>
        </w:rPr>
        <w:t>＝1.0 克二氧化碳当量每千标准词元，约为2026年用量加权平均碳强度的44%。这是一个有意设定得偏紧的阈值：对照表11.1，在现有能效与电网平均排放因子下，六个档位中只有轻量蒸馏级已经达标，其余五档均需补充绿电或改进能效。阈值偏紧的理由是，若阈值定得使多数供给自动达标，则「绿色词元」这一标签不再携带信息，其溢价也就无从产生——这一点在11.4节的溢价分析中会再次出现。</w:t>
      </w:r>
    </w:p>
    <w:p>
      <w:pPr>
        <w:spacing w:line="360" w:lineRule="auto" w:after="0"/>
        <w:ind w:firstLineChars="200" w:firstLine="480"/>
        <w:jc w:val="both"/>
      </w:pPr>
      <w:r>
        <w:rPr>
          <w:rFonts w:ascii="宋体" w:hAnsi="宋体" w:eastAsia="宋体"/>
          <w:sz w:val="24"/>
        </w:rPr>
        <w:t xml:space="preserve">给定阈值，达标条件可以写成对能效与绿电占比的一条等碳强度曲线。记能效改进因子为 </w:t>
      </w:r>
      <m:oMath>
        <m:r>
          <m:t>λ</m:t>
        </m:r>
      </m:oMath>
      <w:r>
        <w:rPr>
          <w:rFonts w:ascii="宋体" w:hAnsi="宋体" w:eastAsia="宋体"/>
          <w:sz w:val="24"/>
        </w:rPr>
        <w:t>（</w:t>
      </w:r>
      <m:oMath>
        <m:r>
          <m:t>λ</m:t>
        </m:r>
      </m:oMath>
      <w:r>
        <w:rPr>
          <w:rFonts w:ascii="宋体" w:hAnsi="宋体" w:eastAsia="宋体"/>
          <w:sz w:val="24"/>
        </w:rPr>
        <w:t>＝1 表示能效不变，</w:t>
      </w:r>
      <m:oMath>
        <m:r>
          <m:t>λ</m:t>
        </m:r>
      </m:oMath>
      <w:r>
        <w:rPr>
          <w:rFonts w:ascii="宋体" w:hAnsi="宋体" w:eastAsia="宋体"/>
          <w:sz w:val="24"/>
        </w:rPr>
        <w:t xml:space="preserve"> 越小表示能效越好），把式(11-5)代入阈值条件并求解绿电占比，得式(11-9)。</w:t>
      </w:r>
    </w:p>
    <w:p>
      <w:pPr>
        <w:tabs>
          <w:tab w:pos="4252" w:val="center"/>
          <w:tab w:pos="8504" w:val="right"/>
        </w:tabs>
        <w:spacing w:line="360" w:lineRule="auto" w:before="80" w:after="80"/>
      </w:pPr>
      <w:r>
        <w:tab/>
      </w:r>
      <m:oMath>
        <m:sSup>
          <m:e>
            <m:r>
              <m:t>g</m:t>
            </m:r>
          </m:e>
          <m:sup>
            <m:r>
              <m:rPr>
                <m:sty m:val="p"/>
              </m:rPr>
              <m:t>∗</m:t>
            </m:r>
          </m:sup>
        </m:sSup>
        <m:d>
          <m:dPr>
            <m:begChr m:val="("/>
            <m:endChr m:val=")"/>
            <m:grow/>
          </m:dPr>
          <m:e>
            <m:r>
              <m:t>λ</m:t>
            </m:r>
          </m:e>
        </m:d>
        <m:r>
          <m:rPr>
            <m:sty m:val="p"/>
          </m:rPr>
          <m:t>=</m:t>
        </m:r>
        <m:f>
          <m:fPr>
            <m:type m:val="bar"/>
          </m:fPr>
          <m:num>
            <m:r>
              <m:t>λ</m:t>
            </m:r>
            <m:r>
              <m:t> </m:t>
            </m:r>
            <m:r>
              <m:t>ε</m:t>
            </m:r>
            <m:r>
              <m:t> </m:t>
            </m:r>
            <m:sSup>
              <m:e>
                <m:r>
                  <m:t>f</m:t>
                </m:r>
              </m:e>
              <m:sup>
                <m:r>
                  <m:rPr>
                    <m:sty m:val="p"/>
                  </m:rPr>
                  <m:t>g</m:t>
                </m:r>
                <m:r>
                  <m:rPr>
                    <m:sty m:val="p"/>
                  </m:rPr>
                  <m:t>r</m:t>
                </m:r>
                <m:r>
                  <m:rPr>
                    <m:sty m:val="p"/>
                  </m:rPr>
                  <m:t>i</m:t>
                </m:r>
                <m:r>
                  <m:rPr>
                    <m:sty m:val="p"/>
                  </m:rPr>
                  <m:t>d</m:t>
                </m:r>
              </m:sup>
            </m:sSup>
            <m:r>
              <m:rPr>
                <m:sty m:val="p"/>
              </m:rPr>
              <m:t>−</m:t>
            </m:r>
            <m:sSup>
              <m:e>
                <m:r>
                  <m:t>ι</m:t>
                </m:r>
              </m:e>
              <m:sup>
                <m:r>
                  <m:rPr>
                    <m:sty m:val="p"/>
                  </m:rPr>
                  <m:t>∗</m:t>
                </m:r>
              </m:sup>
            </m:sSup>
          </m:num>
          <m:den>
            <m:r>
              <m:t>λ</m:t>
            </m:r>
            <m:r>
              <m:t> </m:t>
            </m:r>
            <m:r>
              <m:t>ε</m:t>
            </m:r>
            <m:d>
              <m:dPr>
                <m:begChr m:val="("/>
                <m:endChr m:val=")"/>
                <m:grow/>
              </m:dPr>
              <m:e>
                <m:sSup>
                  <m:e>
                    <m:r>
                      <m:t>f</m:t>
                    </m:r>
                  </m:e>
                  <m:sup>
                    <m:r>
                      <m:rPr>
                        <m:sty m:val="p"/>
                      </m:rPr>
                      <m:t>g</m:t>
                    </m:r>
                    <m:r>
                      <m:rPr>
                        <m:sty m:val="p"/>
                      </m:rPr>
                      <m:t>r</m:t>
                    </m:r>
                    <m:r>
                      <m:rPr>
                        <m:sty m:val="p"/>
                      </m:rPr>
                      <m:t>i</m:t>
                    </m:r>
                    <m:r>
                      <m:rPr>
                        <m:sty m:val="p"/>
                      </m:rPr>
                      <m:t>d</m:t>
                    </m:r>
                  </m:sup>
                </m:sSup>
                <m:r>
                  <m:rPr>
                    <m:sty m:val="p"/>
                  </m:rPr>
                  <m:t>−</m:t>
                </m:r>
                <m:sSup>
                  <m:e>
                    <m:r>
                      <m:t>f</m:t>
                    </m:r>
                  </m:e>
                  <m:sup>
                    <m:r>
                      <m:rPr>
                        <m:sty m:val="p"/>
                      </m:rPr>
                      <m:t>g</m:t>
                    </m:r>
                    <m:r>
                      <m:rPr>
                        <m:sty m:val="p"/>
                      </m:rPr>
                      <m:t>r</m:t>
                    </m:r>
                    <m:r>
                      <m:rPr>
                        <m:sty m:val="p"/>
                      </m:rPr>
                      <m:t>e</m:t>
                    </m:r>
                    <m:r>
                      <m:rPr>
                        <m:sty m:val="p"/>
                      </m:rPr>
                      <m:t>e</m:t>
                    </m:r>
                    <m:r>
                      <m:rPr>
                        <m:sty m:val="p"/>
                      </m:rPr>
                      <m:t>n</m:t>
                    </m:r>
                  </m:sup>
                </m:sSup>
              </m:e>
            </m:d>
          </m:den>
        </m:f>
        <m:r>
          <m:rPr>
            <m:sty m:val="p"/>
          </m:rPr>
          <m:t>,</m:t>
        </m:r>
        <m:r>
          <m:t>  </m:t>
        </m:r>
        <m:sSub>
          <m:e>
            <m:r>
              <m:t>λ</m:t>
            </m:r>
          </m:e>
          <m:sub>
            <m:r>
              <m:rPr>
                <m:sty m:val="p"/>
              </m:rPr>
              <m:t>min</m:t>
            </m:r>
          </m:sub>
        </m:sSub>
        <m:r>
          <m:rPr>
            <m:sty m:val="p"/>
          </m:rPr>
          <m:t>=</m:t>
        </m:r>
        <m:f>
          <m:fPr>
            <m:type m:val="bar"/>
          </m:fPr>
          <m:num>
            <m:sSup>
              <m:e>
                <m:r>
                  <m:t>ι</m:t>
                </m:r>
              </m:e>
              <m:sup>
                <m:r>
                  <m:rPr>
                    <m:sty m:val="p"/>
                  </m:rPr>
                  <m:t>∗</m:t>
                </m:r>
              </m:sup>
            </m:sSup>
          </m:num>
          <m:den>
            <m:r>
              <m:t>ε</m:t>
            </m:r>
            <m:r>
              <m:t> </m:t>
            </m:r>
            <m:sSup>
              <m:e>
                <m:r>
                  <m:t>f</m:t>
                </m:r>
              </m:e>
              <m:sup>
                <m:r>
                  <m:rPr>
                    <m:sty m:val="p"/>
                  </m:rPr>
                  <m:t>g</m:t>
                </m:r>
                <m:r>
                  <m:rPr>
                    <m:sty m:val="p"/>
                  </m:rPr>
                  <m:t>r</m:t>
                </m:r>
                <m:r>
                  <m:rPr>
                    <m:sty m:val="p"/>
                  </m:rPr>
                  <m:t>i</m:t>
                </m:r>
                <m:r>
                  <m:rPr>
                    <m:sty m:val="p"/>
                  </m:rPr>
                  <m:t>d</m:t>
                </m:r>
              </m:sup>
            </m:sSup>
          </m:den>
        </m:f>
      </m:oMath>
      <w:r>
        <w:tab/>
      </w:r>
      <w:r>
        <w:rPr>
          <w:rFonts w:ascii="Times New Roman" w:hAnsi="Times New Roman" w:eastAsia="宋体"/>
          <w:sz w:val="24"/>
        </w:rPr>
        <w:t>(11-9)</w:t>
      </w:r>
    </w:p>
    <w:p>
      <w:pPr>
        <w:spacing w:line="360" w:lineRule="auto" w:after="0"/>
        <w:jc w:val="both"/>
      </w:pPr>
      <w:r>
        <w:rPr>
          <w:rFonts w:ascii="宋体" w:hAnsi="宋体" w:eastAsia="宋体"/>
          <w:sz w:val="24"/>
        </w:rPr>
        <w:t>其中，</w:t>
      </w:r>
      <m:oMath>
        <m:sSup>
          <m:e>
            <m:r>
              <m:t>g</m:t>
            </m:r>
          </m:e>
          <m:sup>
            <m:r>
              <m:rPr>
                <m:sty m:val="p"/>
              </m:rPr>
              <m:t>∗</m:t>
            </m:r>
          </m:sup>
        </m:sSup>
        <m:d>
          <m:dPr>
            <m:begChr m:val="("/>
            <m:endChr m:val=")"/>
            <m:grow/>
          </m:dPr>
          <m:e>
            <m:r>
              <m:t>λ</m:t>
            </m:r>
          </m:e>
        </m:d>
      </m:oMath>
      <w:r>
        <w:rPr>
          <w:rFonts w:ascii="宋体" w:hAnsi="宋体" w:eastAsia="宋体"/>
          <w:sz w:val="24"/>
        </w:rPr>
        <w:t xml:space="preserve"> 为在能效改进因子 </w:t>
      </w:r>
      <m:oMath>
        <m:r>
          <m:t>λ</m:t>
        </m:r>
      </m:oMath>
      <w:r>
        <w:rPr>
          <w:rFonts w:ascii="宋体" w:hAnsi="宋体" w:eastAsia="宋体"/>
          <w:sz w:val="24"/>
        </w:rPr>
        <w:t xml:space="preserve"> 下达到阈值所需的最低绿电占比；</w:t>
      </w:r>
      <m:oMath>
        <m:sSub>
          <m:e>
            <m:r>
              <m:t>λ</m:t>
            </m:r>
          </m:e>
          <m:sub>
            <m:r>
              <m:rPr>
                <m:sty m:val="p"/>
              </m:rPr>
              <m:t>min</m:t>
            </m:r>
          </m:sub>
        </m:sSub>
      </m:oMath>
      <w:r>
        <w:rPr>
          <w:rFonts w:ascii="宋体" w:hAnsi="宋体" w:eastAsia="宋体"/>
          <w:sz w:val="24"/>
        </w:rPr>
        <w:t xml:space="preserve"> 为不依赖任何绿电、仅靠能效改进即可达标所需的能效因子。</w:t>
      </w:r>
    </w:p>
    <w:p>
      <w:pPr>
        <w:spacing w:line="360" w:lineRule="auto" w:after="0"/>
        <w:ind w:firstLineChars="200" w:firstLine="480"/>
        <w:jc w:val="both"/>
      </w:pPr>
      <w:r>
        <w:rPr>
          <w:rFonts w:ascii="宋体" w:hAnsi="宋体" w:eastAsia="宋体"/>
          <w:sz w:val="24"/>
        </w:rPr>
        <w:t xml:space="preserve">式(11-9)刻画的是一条向下倾斜的等碳强度曲线：能效改进越多，达标所需的绿电占比越低，两条路径可以相互替代但不能相互取消。代入用量加权平均能耗强度可得，在能效不变时整体达标需要绿电占比达到60.4%，显著高于2026年44%的现状水平；而若完全不依赖绿电，则需要 </w:t>
      </w:r>
      <m:oMath>
        <m:sSub>
          <m:e>
            <m:r>
              <m:t>λ</m:t>
            </m:r>
          </m:e>
          <m:sub>
            <m:r>
              <m:rPr>
                <m:sty m:val="p"/>
              </m:rPr>
              <m:t>min</m:t>
            </m:r>
          </m:sub>
        </m:sSub>
      </m:oMath>
      <w:r>
        <w:rPr>
          <w:rFonts w:ascii="宋体" w:hAnsi="宋体" w:eastAsia="宋体"/>
          <w:sz w:val="24"/>
        </w:rPr>
        <w:t>＝0.442，即能耗强度须整体下降55.8%。分档位的结果已列于表11.1的末列：中型通用级只需29.7%的绿电占比即可达标，开源旗舰级需70.4%，旗舰闭源级需87.3%，推理增强级则高达96.3%——对推理增强级而言，几乎只有全绿电供电才能进入绿色词元的范畴。这一结果的政策含义是：绿色词元认证在不同档位之间天然是非中性的，若不加区分地推行，将系统性地把认证资格分配给低档位供给，从而与鼓励高质量供给的目标相冲突。化解之道有二：其一是允许以效值加权的方式设定分档阈值；其二是把配置效率纳入达标条件，这正是11.3节的主题。</w:t>
      </w:r>
    </w:p>
    <w:p>
      <w:pPr>
        <w:spacing w:line="360" w:lineRule="auto" w:after="0"/>
        <w:ind w:firstLineChars="200" w:firstLine="480"/>
        <w:jc w:val="both"/>
      </w:pPr>
      <w:r>
        <w:rPr>
          <w:rFonts w:ascii="宋体" w:hAnsi="宋体" w:eastAsia="宋体"/>
          <w:sz w:val="24"/>
        </w:rPr>
        <w:t>最后需要辨明绿色词元阈值与第5章效值折算在制度形态上的差异。效值折算是连续的当量化：它把异质词元映射到同一条实数轴上，使加总与计价成为可能，其精神与标准煤折算（国家市场监督管理总局和国家标准化管理委员会，2020）一脉相承。绿色词元阈值则是离散的分类认证：它在实数轴上划一条线，把供给分为达标与不达标两类，其精神更接近能效等级与产品认证。两者的功能不同——当量化解决可加性，分类认证解决可识别性；两者的成本也不同——当量化需要参数标定，分类认证需要核验与执法。词元经济同时需要这两套制度，而且需要它们共用同一个分母。标准化本身即是一种生产性投入，其对全要素生产率的提升效应已在物流等领域得到经验验证（何凡等，2025），词元计量与碳核算标准的建设应作同类理解。</w:t>
      </w:r>
    </w:p>
    <w:p>
      <w:pPr>
        <w:keepNext/>
        <w:spacing w:before="160" w:after="120" w:line="360" w:lineRule="auto"/>
        <w:outlineLvl w:val="1"/>
      </w:pPr>
      <w:r>
        <w:rPr>
          <w:rFonts w:ascii="黑体" w:hAnsi="黑体" w:eastAsia="黑体"/>
          <w:sz w:val="28"/>
        </w:rPr>
        <w:t>11.3  算电协同与绿电直供的减排效应</w:t>
      </w:r>
    </w:p>
    <w:p>
      <w:pPr>
        <w:keepNext/>
        <w:spacing w:before="160" w:after="120" w:line="360" w:lineRule="auto"/>
        <w:outlineLvl w:val="2"/>
      </w:pPr>
      <w:r>
        <w:rPr>
          <w:rFonts w:ascii="黑体" w:hAnsi="黑体" w:eastAsia="黑体"/>
          <w:sz w:val="24"/>
        </w:rPr>
        <w:t>11.3.1  三条减排路径及其相互作用</w:t>
      </w:r>
    </w:p>
    <w:p>
      <w:pPr>
        <w:spacing w:line="360" w:lineRule="auto" w:after="0"/>
        <w:ind w:firstLineChars="200" w:firstLine="480"/>
        <w:jc w:val="both"/>
      </w:pPr>
      <w:r>
        <w:rPr>
          <w:rFonts w:ascii="宋体" w:hAnsi="宋体" w:eastAsia="宋体"/>
          <w:sz w:val="24"/>
        </w:rPr>
        <w:t xml:space="preserve">由式(11-1)、式(11-2)与式(11-5)可以直接读出词元碳强度的三条减排路径。路径一是能效路径，作用于 </w:t>
      </w:r>
      <m:oMath>
        <m:sSub>
          <m:e>
            <m:r>
              <m:t>W</m:t>
            </m:r>
          </m:e>
          <m:sub>
            <m:r>
              <m:t>m</m:t>
            </m:r>
          </m:sub>
        </m:sSub>
        <m:r>
          <m:rPr>
            <m:sty m:val="p"/>
          </m:rPr>
          <m:t>/</m:t>
        </m:r>
        <m:sSub>
          <m:e>
            <m:r>
              <m:t>Φ</m:t>
            </m:r>
          </m:e>
          <m:sub>
            <m:r>
              <m:t>m</m:t>
            </m:r>
          </m:sub>
        </m:sSub>
      </m:oMath>
      <w:r>
        <w:rPr>
          <w:rFonts w:ascii="宋体" w:hAnsi="宋体" w:eastAsia="宋体"/>
          <w:sz w:val="24"/>
        </w:rPr>
        <w:t>、</w:t>
      </w:r>
      <m:oMath>
        <m:sSub>
          <m:e>
            <m:r>
              <m:t>θ</m:t>
            </m:r>
          </m:e>
          <m:sub>
            <m:r>
              <m:t>m</m:t>
            </m:r>
          </m:sub>
        </m:sSub>
      </m:oMath>
      <w:r>
        <w:rPr>
          <w:rFonts w:ascii="宋体" w:hAnsi="宋体" w:eastAsia="宋体"/>
          <w:sz w:val="24"/>
        </w:rPr>
        <w:t>、</w:t>
      </w:r>
      <m:oMath>
        <m:sSub>
          <m:e>
            <m:r>
              <m:t>ζ</m:t>
            </m:r>
          </m:e>
          <m:sub>
            <m:r>
              <m:t>h</m:t>
            </m:r>
          </m:sub>
        </m:sSub>
      </m:oMath>
      <w:r>
        <w:rPr>
          <w:rFonts w:ascii="宋体" w:hAnsi="宋体" w:eastAsia="宋体"/>
          <w:sz w:val="24"/>
        </w:rPr>
        <w:t>、</w:t>
      </w:r>
      <m:oMath>
        <m:sSub>
          <m:e>
            <m:r>
              <m:t>ζ</m:t>
            </m:r>
          </m:e>
          <m:sub>
            <m:r>
              <m:t>i</m:t>
            </m:r>
          </m:sub>
        </m:sSub>
      </m:oMath>
      <w:r>
        <w:rPr>
          <w:rFonts w:ascii="宋体" w:hAnsi="宋体" w:eastAsia="宋体"/>
          <w:sz w:val="24"/>
        </w:rPr>
        <w:t xml:space="preserve"> 与电能利用效率，包括硬件世代更替、推理服务栈优化、模型侧的蒸馏与稀疏化以及数据中心制冷与配电改造。前引研究估计模型、服务栈与硬件三条子路径合计存在8至20倍的可见改进空间，这是三条路径中长期潜力最大的一条，但也最依赖技术突破与设备更新周期。路径二是配置路径，作用于式(11-1)分母中的有效效值利用率 </w:t>
      </w:r>
      <m:oMath>
        <m:r>
          <m:t>u</m:t>
        </m:r>
      </m:oMath>
      <w:r>
        <w:rPr>
          <w:rFonts w:ascii="宋体" w:hAnsi="宋体" w:eastAsia="宋体"/>
          <w:sz w:val="24"/>
        </w:rPr>
        <w:t>，包括任务—模型最优匹配、跨域调度与批次组织。路径三是电力路径，作用于式(11-5)中的排放因子，包括绿电直连、绿电交易、绿证购买与选址向清洁能源富集地区迁移。</w:t>
      </w:r>
    </w:p>
    <w:p>
      <w:pPr>
        <w:spacing w:line="360" w:lineRule="auto" w:after="0"/>
        <w:ind w:firstLineChars="200" w:firstLine="480"/>
        <w:jc w:val="both"/>
      </w:pPr>
      <w:r>
        <w:rPr>
          <w:rFonts w:ascii="宋体" w:hAnsi="宋体" w:eastAsia="宋体"/>
          <w:sz w:val="24"/>
        </w:rPr>
        <w:t>配置路径值得单独强调，因为它在设施级核算中完全不可见，却在服务级核算中直接进入分母。第9章的测算结果是：有效效值利用率现状为38%，统一调度后可升至54%，理论上界为61%。按式(11-1)，能耗强度与利用率成反比，因此统一调度等价于把能耗强度降低29.6%，达到理论上界则降低37.7%。把这一改进代回式(11-9)，得到本章最重要的一个结论：在统一调度实现后，整体达标所需的绿电占比由60.4%降至40.2%，已经低于2026年44%的绿电占比现状；若达到理论上界，则进一步降至31.4%。也就是说，在不新增一度绿电、不等待任何硬件世代更替的条件下，仅凭调度与匹配的组织性改进，词元生产的平均碳强度就可以跨过绿色词元阈值。</w:t>
      </w:r>
    </w:p>
    <w:p>
      <w:pPr>
        <w:spacing w:line="360" w:lineRule="auto" w:after="0"/>
        <w:ind w:firstLineChars="200" w:firstLine="480"/>
        <w:jc w:val="both"/>
      </w:pPr>
      <w:r>
        <w:rPr>
          <w:rFonts w:ascii="宋体" w:hAnsi="宋体" w:eastAsia="宋体"/>
          <w:sz w:val="24"/>
        </w:rPr>
        <w:t xml:space="preserve">这一结论把第9章的配置效率与本章的碳约束连成了一条完整链路，也重新定义了「绿色词元」的政策抓手。在既有讨论中，绿色词元几乎总是被等同于绿电供应问题，于是政策工具集中在电源侧；而上述测算表明，需求侧的调度组织具有同等甚至更高的边际减排效率，且其实施主体正是第10章讨论的城市词元运营中心。三条路径的相互作用是乘性的：能效改进与配置改进共同压缩 </w:t>
      </w:r>
      <m:oMath>
        <m:r>
          <m:t>ε</m:t>
        </m:r>
      </m:oMath>
      <w:r>
        <w:rPr>
          <w:rFonts w:ascii="宋体" w:hAnsi="宋体" w:eastAsia="宋体"/>
          <w:sz w:val="24"/>
        </w:rPr>
        <w:t xml:space="preserve">，电力路径压缩 </w:t>
      </w:r>
      <m:oMath>
        <m:r>
          <m:t>f</m:t>
        </m:r>
      </m:oMath>
      <w:r>
        <w:rPr>
          <w:rFonts w:ascii="宋体" w:hAnsi="宋体" w:eastAsia="宋体"/>
          <w:sz w:val="24"/>
        </w:rPr>
        <w:t>，</w:t>
      </w:r>
      <m:oMath>
        <m:r>
          <m:t>ι</m:t>
        </m:r>
        <m:r>
          <m:rPr>
            <m:sty m:val="p"/>
          </m:rPr>
          <m:t>=</m:t>
        </m:r>
        <m:r>
          <m:t>ε</m:t>
        </m:r>
        <m:r>
          <m:t>f</m:t>
        </m:r>
      </m:oMath>
      <w:r>
        <w:rPr>
          <w:rFonts w:ascii="宋体" w:hAnsi="宋体" w:eastAsia="宋体"/>
          <w:sz w:val="24"/>
        </w:rPr>
        <w:t xml:space="preserve"> 的下降幅度是三者改进比例的乘积而非之和。乘性结构有两个推论：其一，任何单一路径的边际效果都会被其他路径的进展放大，因而三条路径应当同步推进而非依次推进；其二，任何单一路径都无法独立完成达标——即便绿电占比达到100%，若能耗强度不变，碳强度也只能降至0.171，这确实低于阈值，但代价是把全部减排责任压在电力系统一侧，在电力供给约束下并不可行。</w:t>
      </w:r>
    </w:p>
    <w:p>
      <w:pPr>
        <w:keepNext/>
        <w:spacing w:before="160" w:after="120" w:line="360" w:lineRule="auto"/>
        <w:outlineLvl w:val="2"/>
      </w:pPr>
      <w:r>
        <w:rPr>
          <w:rFonts w:ascii="黑体" w:hAnsi="黑体" w:eastAsia="黑体"/>
          <w:sz w:val="24"/>
        </w:rPr>
        <w:t>11.3.2  政策工具箱与传导机制</w:t>
      </w:r>
    </w:p>
    <w:p>
      <w:pPr>
        <w:spacing w:line="360" w:lineRule="auto" w:after="0"/>
        <w:ind w:firstLineChars="200" w:firstLine="480"/>
        <w:jc w:val="both"/>
      </w:pPr>
      <w:r>
        <w:rPr>
          <w:rFonts w:ascii="宋体" w:hAnsi="宋体" w:eastAsia="宋体"/>
          <w:sz w:val="24"/>
        </w:rPr>
        <w:t>我国在算电协同方向上已经形成一套相对完整的政策工具箱，但这些工具作用于式(11-2)与式(11-5)的不同环节，其口径含义与效力层级差异极大，混用会导致对减排效果的严重误判。主要工具及其传导机制，见表11.2。</w:t>
      </w:r>
    </w:p>
    <w:p>
      <w:pPr>
        <w:keepNext/>
        <w:spacing w:before="160" w:after="40"/>
        <w:jc w:val="center"/>
      </w:pPr>
      <w:r>
        <w:rPr>
          <w:rFonts w:ascii="黑体" w:hAnsi="黑体" w:eastAsia="黑体"/>
          <w:sz w:val="21"/>
        </w:rPr>
        <w:t>表11.2  算电协同与绿电供给的政策工具及其对词元碳强度的传导</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政策工具（文件与文号）</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核心口径</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作用环节</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对碳强度的传导</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适用边界与口径提示</w:t>
            </w:r>
          </w:p>
        </w:tc>
      </w:tr>
      <w:tr>
        <w:tc>
          <w:tcPr>
            <w:tcW w:type="dxa" w:w="1701"/>
            <w:vAlign w:val="center"/>
          </w:tcPr>
          <w:p>
            <w:pPr>
              <w:spacing w:line="240" w:lineRule="auto" w:after="20" w:before="20"/>
              <w:jc w:val="left"/>
            </w:pPr>
            <w:r/>
            <w:r>
              <w:rPr>
                <w:rFonts w:ascii="宋体" w:hAnsi="宋体" w:eastAsia="宋体"/>
                <w:sz w:val="21"/>
              </w:rPr>
              <w:t>绿电直连（发改能源〔2025〕650号）</w:t>
            </w:r>
          </w:p>
        </w:tc>
        <w:tc>
          <w:tcPr>
            <w:tcW w:type="dxa" w:w="1701"/>
            <w:vAlign w:val="center"/>
          </w:tcPr>
          <w:p>
            <w:pPr>
              <w:spacing w:line="240" w:lineRule="auto" w:after="20" w:before="20"/>
              <w:jc w:val="left"/>
            </w:pPr>
            <w:r/>
            <w:r>
              <w:rPr>
                <w:rFonts w:ascii="宋体" w:hAnsi="宋体" w:eastAsia="宋体"/>
                <w:sz w:val="21"/>
              </w:rPr>
              <w:t>风电、太阳能发电、生物质发电等新能源不直接接入公共电网，通过直连线路向单一电力用户供给绿电，供给电量可清晰物理溯源；分并网型与离网型两类</w:t>
            </w:r>
          </w:p>
        </w:tc>
        <w:tc>
          <w:tcPr>
            <w:tcW w:type="dxa" w:w="1701"/>
            <w:vAlign w:val="center"/>
          </w:tcPr>
          <w:p>
            <w:pPr>
              <w:spacing w:line="240" w:lineRule="auto" w:after="20" w:before="20"/>
              <w:jc w:val="left"/>
            </w:pPr>
            <w:r/>
            <w:r>
              <w:rPr>
                <w:rFonts w:ascii="宋体" w:hAnsi="宋体" w:eastAsia="宋体"/>
                <w:sz w:val="21"/>
              </w:rPr>
              <w:t xml:space="preserve">式(11-5)排放因子 </w:t>
            </w:r>
            <m:oMath>
              <m:r>
                <m:t>f</m:t>
              </m:r>
            </m:oMath>
          </w:p>
        </w:tc>
        <w:tc>
          <w:tcPr>
            <w:tcW w:type="dxa" w:w="1701"/>
            <w:vAlign w:val="center"/>
          </w:tcPr>
          <w:p>
            <w:pPr>
              <w:spacing w:line="240" w:lineRule="auto" w:after="20" w:before="20"/>
              <w:jc w:val="left"/>
            </w:pPr>
            <w:r/>
            <w:r>
              <w:rPr>
                <w:rFonts w:ascii="宋体" w:hAnsi="宋体" w:eastAsia="宋体"/>
                <w:sz w:val="21"/>
              </w:rPr>
              <w:t>直接降低地理位置法口径的排放因子，是唯一能改变物理排放的电力工具</w:t>
            </w:r>
          </w:p>
        </w:tc>
        <w:tc>
          <w:tcPr>
            <w:tcW w:type="dxa" w:w="1701"/>
            <w:vAlign w:val="center"/>
          </w:tcPr>
          <w:p>
            <w:pPr>
              <w:spacing w:line="240" w:lineRule="auto" w:after="20" w:before="20"/>
              <w:jc w:val="left"/>
            </w:pPr>
            <w:r/>
            <w:r>
              <w:rPr>
                <w:rFonts w:ascii="宋体" w:hAnsi="宋体" w:eastAsia="宋体"/>
                <w:sz w:val="21"/>
              </w:rPr>
              <w:t>仅适用于单一电力用户；并网型项目电源接入用户侧，电源、用户与线路作为整体接入公共电网</w:t>
            </w:r>
          </w:p>
        </w:tc>
      </w:tr>
      <w:tr>
        <w:tc>
          <w:tcPr>
            <w:tcW w:type="dxa" w:w="1701"/>
            <w:vAlign w:val="center"/>
          </w:tcPr>
          <w:p>
            <w:pPr>
              <w:spacing w:line="240" w:lineRule="auto" w:after="20" w:before="20"/>
              <w:jc w:val="left"/>
            </w:pPr>
            <w:r/>
            <w:r>
              <w:rPr>
                <w:rFonts w:ascii="宋体" w:hAnsi="宋体" w:eastAsia="宋体"/>
                <w:sz w:val="21"/>
              </w:rPr>
              <w:t>多用户绿电直连（发改能源〔2026〕688号）</w:t>
            </w:r>
          </w:p>
        </w:tc>
        <w:tc>
          <w:tcPr>
            <w:tcW w:type="dxa" w:w="1701"/>
            <w:vAlign w:val="center"/>
          </w:tcPr>
          <w:p>
            <w:pPr>
              <w:spacing w:line="240" w:lineRule="auto" w:after="20" w:before="20"/>
              <w:jc w:val="left"/>
            </w:pPr>
            <w:r/>
            <w:r>
              <w:rPr>
                <w:rFonts w:ascii="宋体" w:hAnsi="宋体" w:eastAsia="宋体"/>
                <w:sz w:val="21"/>
              </w:rPr>
              <w:t>将绿电直连由单一用户扩展至多个用户</w:t>
            </w:r>
          </w:p>
        </w:tc>
        <w:tc>
          <w:tcPr>
            <w:tcW w:type="dxa" w:w="1701"/>
            <w:vAlign w:val="center"/>
          </w:tcPr>
          <w:p>
            <w:pPr>
              <w:spacing w:line="240" w:lineRule="auto" w:after="20" w:before="20"/>
              <w:jc w:val="left"/>
            </w:pPr>
            <w:r/>
            <w:r>
              <w:rPr>
                <w:rFonts w:ascii="宋体" w:hAnsi="宋体" w:eastAsia="宋体"/>
                <w:sz w:val="21"/>
              </w:rPr>
              <w:t xml:space="preserve">式(11-5)排放因子 </w:t>
            </w:r>
            <m:oMath>
              <m:r>
                <m:t>f</m:t>
              </m:r>
            </m:oMath>
          </w:p>
        </w:tc>
        <w:tc>
          <w:tcPr>
            <w:tcW w:type="dxa" w:w="1701"/>
            <w:vAlign w:val="center"/>
          </w:tcPr>
          <w:p>
            <w:pPr>
              <w:spacing w:line="240" w:lineRule="auto" w:after="20" w:before="20"/>
              <w:jc w:val="left"/>
            </w:pPr>
            <w:r/>
            <w:r>
              <w:rPr>
                <w:rFonts w:ascii="宋体" w:hAnsi="宋体" w:eastAsia="宋体"/>
                <w:sz w:val="21"/>
              </w:rPr>
              <w:t>使园区级、集群级智算设施可共享同一直连电源，显著降低单个用户的接入门槛</w:t>
            </w:r>
          </w:p>
        </w:tc>
        <w:tc>
          <w:tcPr>
            <w:tcW w:type="dxa" w:w="1701"/>
            <w:vAlign w:val="center"/>
          </w:tcPr>
          <w:p>
            <w:pPr>
              <w:spacing w:line="240" w:lineRule="auto" w:after="20" w:before="20"/>
              <w:jc w:val="left"/>
            </w:pPr>
            <w:r/>
            <w:r>
              <w:rPr>
                <w:rFonts w:ascii="宋体" w:hAnsi="宋体" w:eastAsia="宋体"/>
                <w:sz w:val="21"/>
              </w:rPr>
              <w:t>2026年新增文件，2026年后不可仅引650号</w:t>
            </w:r>
          </w:p>
        </w:tc>
      </w:tr>
      <w:tr>
        <w:tc>
          <w:tcPr>
            <w:tcW w:type="dxa" w:w="1701"/>
            <w:vAlign w:val="center"/>
          </w:tcPr>
          <w:p>
            <w:pPr>
              <w:spacing w:line="240" w:lineRule="auto" w:after="20" w:before="20"/>
              <w:jc w:val="left"/>
            </w:pPr>
            <w:r/>
            <w:r>
              <w:rPr>
                <w:rFonts w:ascii="宋体" w:hAnsi="宋体" w:eastAsia="宋体"/>
                <w:sz w:val="21"/>
              </w:rPr>
              <w:t>可再生能源电力消纳责任权重（发改办能源〔2025〕669号）</w:t>
            </w:r>
          </w:p>
        </w:tc>
        <w:tc>
          <w:tcPr>
            <w:tcW w:type="dxa" w:w="1701"/>
            <w:vAlign w:val="center"/>
          </w:tcPr>
          <w:p>
            <w:pPr>
              <w:spacing w:line="240" w:lineRule="auto" w:after="20" w:before="20"/>
              <w:jc w:val="left"/>
            </w:pPr>
            <w:r/>
            <w:r>
              <w:rPr>
                <w:rFonts w:ascii="宋体" w:hAnsi="宋体" w:eastAsia="宋体"/>
                <w:sz w:val="21"/>
              </w:rPr>
              <w:t>一并下达2025年与2026年权重；在电解铝基础上增设钢铁、水泥、多晶硅行业和国家枢纽节点新建数据中心的绿色电力消费比例；以本省实际消纳物理电量为主、省级绿证账户购买省外绿证为辅</w:t>
            </w:r>
          </w:p>
        </w:tc>
        <w:tc>
          <w:tcPr>
            <w:tcW w:type="dxa" w:w="1701"/>
            <w:vAlign w:val="center"/>
          </w:tcPr>
          <w:p>
            <w:pPr>
              <w:spacing w:line="240" w:lineRule="auto" w:after="20" w:before="20"/>
              <w:jc w:val="left"/>
            </w:pPr>
            <w:r/>
            <w:r>
              <w:rPr>
                <w:rFonts w:ascii="宋体" w:hAnsi="宋体" w:eastAsia="宋体"/>
                <w:sz w:val="21"/>
              </w:rPr>
              <w:t xml:space="preserve">绿电占比 </w:t>
            </w:r>
            <m:oMath>
              <m:r>
                <m:t>g</m:t>
              </m:r>
            </m:oMath>
            <w:r>
              <w:rPr>
                <w:rFonts w:ascii="宋体" w:hAnsi="宋体" w:eastAsia="宋体"/>
                <w:sz w:val="21"/>
              </w:rPr>
              <w:t xml:space="preserve"> 的下限</w:t>
            </w:r>
          </w:p>
        </w:tc>
        <w:tc>
          <w:tcPr>
            <w:tcW w:type="dxa" w:w="1701"/>
            <w:vAlign w:val="center"/>
          </w:tcPr>
          <w:p>
            <w:pPr>
              <w:spacing w:line="240" w:lineRule="auto" w:after="20" w:before="20"/>
              <w:jc w:val="left"/>
            </w:pPr>
            <w:r/>
            <w:r>
              <w:rPr>
                <w:rFonts w:ascii="宋体" w:hAnsi="宋体" w:eastAsia="宋体"/>
                <w:sz w:val="21"/>
              </w:rPr>
              <w:t>以考核约束抬升绿电占比，使算电协同进入强制性消纳体系</w:t>
            </w:r>
          </w:p>
        </w:tc>
        <w:tc>
          <w:tcPr>
            <w:tcW w:type="dxa" w:w="1701"/>
            <w:vAlign w:val="center"/>
          </w:tcPr>
          <w:p>
            <w:pPr>
              <w:spacing w:line="240" w:lineRule="auto" w:after="20" w:before="20"/>
              <w:jc w:val="left"/>
            </w:pPr>
            <w:r/>
            <w:r>
              <w:rPr>
                <w:rFonts w:ascii="宋体" w:hAnsi="宋体" w:eastAsia="宋体"/>
                <w:sz w:val="21"/>
              </w:rPr>
              <w:t>2025年权重为约束性指标、2026年权重为预期性指标，法律效力不同，不可并列称「指标」</w:t>
            </w:r>
          </w:p>
        </w:tc>
      </w:tr>
      <w:tr>
        <w:tc>
          <w:tcPr>
            <w:tcW w:type="dxa" w:w="1701"/>
            <w:vAlign w:val="center"/>
          </w:tcPr>
          <w:p>
            <w:pPr>
              <w:spacing w:line="240" w:lineRule="auto" w:after="20" w:before="20"/>
              <w:jc w:val="left"/>
            </w:pPr>
            <w:r/>
            <w:r>
              <w:rPr>
                <w:rFonts w:ascii="宋体" w:hAnsi="宋体" w:eastAsia="宋体"/>
                <w:sz w:val="21"/>
              </w:rPr>
              <w:t>绿证全覆盖与绿证市场建设（发改能源〔2023〕1044号、发改能源〔2025〕262号）</w:t>
            </w:r>
          </w:p>
        </w:tc>
        <w:tc>
          <w:tcPr>
            <w:tcW w:type="dxa" w:w="1701"/>
            <w:vAlign w:val="center"/>
          </w:tcPr>
          <w:p>
            <w:pPr>
              <w:spacing w:line="240" w:lineRule="auto" w:after="20" w:before="20"/>
              <w:jc w:val="left"/>
            </w:pPr>
            <w:r/>
            <w:r>
              <w:rPr>
                <w:rFonts w:ascii="宋体" w:hAnsi="宋体" w:eastAsia="宋体"/>
                <w:sz w:val="21"/>
              </w:rPr>
              <w:t>1个绿证对应1000千瓦时；2025年全年核发29.47亿个、其中可交易18.93亿个、交易9.30亿个（同比增长1.08倍），省份间单独交易占单独交易总量的91.20%</w:t>
            </w:r>
          </w:p>
        </w:tc>
        <w:tc>
          <w:tcPr>
            <w:tcW w:type="dxa" w:w="1701"/>
            <w:vAlign w:val="center"/>
          </w:tcPr>
          <w:p>
            <w:pPr>
              <w:spacing w:line="240" w:lineRule="auto" w:after="20" w:before="20"/>
              <w:jc w:val="left"/>
            </w:pPr>
            <w:r/>
            <w:r>
              <w:rPr>
                <w:rFonts w:ascii="宋体" w:hAnsi="宋体" w:eastAsia="宋体"/>
                <w:sz w:val="21"/>
              </w:rPr>
              <w:t>式(11-5)的市场法口径</w:t>
            </w:r>
          </w:p>
        </w:tc>
        <w:tc>
          <w:tcPr>
            <w:tcW w:type="dxa" w:w="1701"/>
            <w:vAlign w:val="center"/>
          </w:tcPr>
          <w:p>
            <w:pPr>
              <w:spacing w:line="240" w:lineRule="auto" w:after="20" w:before="20"/>
              <w:jc w:val="left"/>
            </w:pPr>
            <w:r/>
            <w:r>
              <w:rPr>
                <w:rFonts w:ascii="宋体" w:hAnsi="宋体" w:eastAsia="宋体"/>
                <w:sz w:val="21"/>
              </w:rPr>
              <w:t>为跨省绿电声明提供凭证，支撑市场法口径的碳强度下降</w:t>
            </w:r>
          </w:p>
        </w:tc>
        <w:tc>
          <w:tcPr>
            <w:tcW w:type="dxa" w:w="1701"/>
            <w:vAlign w:val="center"/>
          </w:tcPr>
          <w:p>
            <w:pPr>
              <w:spacing w:line="240" w:lineRule="auto" w:after="20" w:before="20"/>
              <w:jc w:val="left"/>
            </w:pPr>
            <w:r/>
            <w:r>
              <w:rPr>
                <w:rFonts w:ascii="宋体" w:hAnsi="宋体" w:eastAsia="宋体"/>
                <w:sz w:val="21"/>
              </w:rPr>
              <w:t>核发量与交易量为两个独立指标，不可相减；绿证不改变任何一度电的物理来源，不进入地理位置法口径</w:t>
            </w:r>
          </w:p>
        </w:tc>
      </w:tr>
      <w:tr>
        <w:tc>
          <w:tcPr>
            <w:tcW w:type="dxa" w:w="1701"/>
            <w:vAlign w:val="center"/>
          </w:tcPr>
          <w:p>
            <w:pPr>
              <w:spacing w:line="240" w:lineRule="auto" w:after="20" w:before="20"/>
              <w:jc w:val="left"/>
            </w:pPr>
            <w:r/>
            <w:r>
              <w:rPr>
                <w:rFonts w:ascii="宋体" w:hAnsi="宋体" w:eastAsia="宋体"/>
                <w:sz w:val="21"/>
              </w:rPr>
              <w:t>数据中心绿色低碳发展专项行动计划（四部门，2024年）</w:t>
            </w:r>
          </w:p>
        </w:tc>
        <w:tc>
          <w:tcPr>
            <w:tcW w:type="dxa" w:w="1701"/>
            <w:vAlign w:val="center"/>
          </w:tcPr>
          <w:p>
            <w:pPr>
              <w:spacing w:line="240" w:lineRule="auto" w:after="20" w:before="20"/>
              <w:jc w:val="left"/>
            </w:pPr>
            <w:r/>
            <w:r>
              <w:rPr>
                <w:rFonts w:ascii="宋体" w:hAnsi="宋体" w:eastAsia="宋体"/>
                <w:sz w:val="21"/>
              </w:rPr>
              <w:t>到2025年底全国数据中心整体上架率不低于60%、平均电能利用效率降至1.5以下；新建及改扩建大型、超大型数据中心降至1.25以内、国家枢纽节点项目不高于1.2；国家枢纽节点新建数据中心绿电占比超过八成</w:t>
            </w:r>
          </w:p>
        </w:tc>
        <w:tc>
          <w:tcPr>
            <w:tcW w:type="dxa" w:w="1701"/>
            <w:vAlign w:val="center"/>
          </w:tcPr>
          <w:p>
            <w:pPr>
              <w:spacing w:line="240" w:lineRule="auto" w:after="20" w:before="20"/>
              <w:jc w:val="left"/>
            </w:pPr>
            <w:r/>
            <w:r>
              <w:rPr>
                <w:rFonts w:ascii="宋体" w:hAnsi="宋体" w:eastAsia="宋体"/>
                <w:sz w:val="21"/>
              </w:rPr>
              <w:t xml:space="preserve">式(11-2)的电能利用效率与绿电占比 </w:t>
            </w:r>
            <m:oMath>
              <m:r>
                <m:t>g</m:t>
              </m:r>
            </m:oMath>
          </w:p>
        </w:tc>
        <w:tc>
          <w:tcPr>
            <w:tcW w:type="dxa" w:w="1701"/>
            <w:vAlign w:val="center"/>
          </w:tcPr>
          <w:p>
            <w:pPr>
              <w:spacing w:line="240" w:lineRule="auto" w:after="20" w:before="20"/>
              <w:jc w:val="left"/>
            </w:pPr>
            <w:r/>
            <w:r>
              <w:rPr>
                <w:rFonts w:ascii="宋体" w:hAnsi="宋体" w:eastAsia="宋体"/>
                <w:sz w:val="21"/>
              </w:rPr>
              <w:t>经式(11-2)线性降低能耗强度，并经式(11-5)降低排放因子</w:t>
            </w:r>
          </w:p>
        </w:tc>
        <w:tc>
          <w:tcPr>
            <w:tcW w:type="dxa" w:w="1701"/>
            <w:vAlign w:val="center"/>
          </w:tcPr>
          <w:p>
            <w:pPr>
              <w:spacing w:line="240" w:lineRule="auto" w:after="20" w:before="20"/>
              <w:jc w:val="left"/>
            </w:pPr>
            <w:r/>
            <w:r>
              <w:rPr>
                <w:rFonts w:ascii="宋体" w:hAnsi="宋体" w:eastAsia="宋体"/>
                <w:sz w:val="21"/>
              </w:rPr>
              <w:t>三档电能利用效率的适用对象不同，存量全国均值与新建项目上限不构成同一序列，不可用于说明趋势</w:t>
            </w:r>
          </w:p>
        </w:tc>
      </w:tr>
      <w:tr>
        <w:tc>
          <w:tcPr>
            <w:tcW w:type="dxa" w:w="1701"/>
            <w:vAlign w:val="center"/>
          </w:tcPr>
          <w:p>
            <w:pPr>
              <w:spacing w:line="240" w:lineRule="auto" w:after="20" w:before="20"/>
              <w:jc w:val="left"/>
            </w:pPr>
            <w:r/>
            <w:r>
              <w:rPr>
                <w:rFonts w:ascii="宋体" w:hAnsi="宋体" w:eastAsia="宋体"/>
                <w:sz w:val="21"/>
              </w:rPr>
              <w:t>算力电力协同先行先试（国家数据局，2025年）</w:t>
            </w:r>
          </w:p>
        </w:tc>
        <w:tc>
          <w:tcPr>
            <w:tcW w:type="dxa" w:w="1701"/>
            <w:vAlign w:val="center"/>
          </w:tcPr>
          <w:p>
            <w:pPr>
              <w:spacing w:line="240" w:lineRule="auto" w:after="20" w:before="20"/>
              <w:jc w:val="left"/>
            </w:pPr>
            <w:r/>
            <w:r>
              <w:rPr>
                <w:rFonts w:ascii="宋体" w:hAnsi="宋体" w:eastAsia="宋体"/>
                <w:sz w:val="21"/>
              </w:rPr>
              <w:t>在京津冀、长三角、内蒙古等枢纽节点及青海、新疆等清洁能源丰富地区部署，围绕绿电直供、多源互补、源荷互动开展技术探索</w:t>
            </w:r>
          </w:p>
        </w:tc>
        <w:tc>
          <w:tcPr>
            <w:tcW w:type="dxa" w:w="1701"/>
            <w:vAlign w:val="center"/>
          </w:tcPr>
          <w:p>
            <w:pPr>
              <w:spacing w:line="240" w:lineRule="auto" w:after="20" w:before="20"/>
              <w:jc w:val="left"/>
            </w:pPr>
            <w:r/>
            <w:r>
              <w:rPr>
                <w:rFonts w:ascii="宋体" w:hAnsi="宋体" w:eastAsia="宋体"/>
                <w:sz w:val="21"/>
              </w:rPr>
              <w:t>空间与时间维度的负载配置</w:t>
            </w:r>
          </w:p>
        </w:tc>
        <w:tc>
          <w:tcPr>
            <w:tcW w:type="dxa" w:w="1701"/>
            <w:vAlign w:val="center"/>
          </w:tcPr>
          <w:p>
            <w:pPr>
              <w:spacing w:line="240" w:lineRule="auto" w:after="20" w:before="20"/>
              <w:jc w:val="left"/>
            </w:pPr>
            <w:r/>
            <w:r>
              <w:rPr>
                <w:rFonts w:ascii="宋体" w:hAnsi="宋体" w:eastAsia="宋体"/>
                <w:sz w:val="21"/>
              </w:rPr>
              <w:t xml:space="preserve">经跨域调度把可延迟负载移向绿电富集地区与时段，同时降低 </w:t>
            </w:r>
            <m:oMath>
              <m:r>
                <m:t>ε</m:t>
              </m:r>
            </m:oMath>
            <w:r>
              <w:rPr>
                <w:rFonts w:ascii="宋体" w:hAnsi="宋体" w:eastAsia="宋体"/>
                <w:sz w:val="21"/>
              </w:rPr>
              <w:t xml:space="preserve"> 与 </w:t>
            </w:r>
            <m:oMath>
              <m:r>
                <m:t>f</m:t>
              </m:r>
            </m:oMath>
          </w:p>
        </w:tc>
        <w:tc>
          <w:tcPr>
            <w:tcW w:type="dxa" w:w="1701"/>
            <w:vAlign w:val="center"/>
          </w:tcPr>
          <w:p>
            <w:pPr>
              <w:spacing w:line="240" w:lineRule="auto" w:after="20" w:before="20"/>
              <w:jc w:val="left"/>
            </w:pPr>
            <w:r/>
            <w:r>
              <w:rPr>
                <w:rFonts w:ascii="宋体" w:hAnsi="宋体" w:eastAsia="宋体"/>
                <w:sz w:val="21"/>
              </w:rPr>
              <w:t>属试点性质；跨域调度的效果受网络时延与数据合规约束</w:t>
            </w:r>
          </w:p>
        </w:tc>
      </w:tr>
    </w:tbl>
    <w:p>
      <w:pPr>
        <w:spacing w:after="200" w:line="240" w:lineRule="auto"/>
        <w:jc w:val="both"/>
      </w:pPr>
      <w:r>
        <w:rPr>
          <w:rFonts w:ascii="宋体" w:hAnsi="宋体" w:eastAsia="宋体"/>
          <w:sz w:val="18"/>
        </w:rPr>
        <w:t>注：文件名称、文号与发布时间以公开发布文本为准；「对碳强度的传导」为作者依式(11-2)与式(11-5)归纳，非文件原文表述。绿证数据为国家能源局《中国绿色电力证书发展报告（2025）》口径。资料来源：各政策文件公开文本。</w:t>
      </w:r>
    </w:p>
    <w:p>
      <w:pPr>
        <w:spacing w:line="360" w:lineRule="auto" w:after="0"/>
        <w:ind w:firstLineChars="200" w:firstLine="480"/>
        <w:jc w:val="both"/>
      </w:pPr>
      <w:r>
        <w:rPr>
          <w:rFonts w:ascii="宋体" w:hAnsi="宋体" w:eastAsia="宋体"/>
          <w:sz w:val="24"/>
        </w:rPr>
        <w:t xml:space="preserve">表11.2 中的六项工具可以归为三类。第一类是物理型工具，以绿电直连与多用户绿电直连为代表，其特征是改变电力的物理来源，因而同时改变地理位置法与市场法两个口径。第二类是权重型工具，以消纳责任权重为代表，其特征是以行政考核抬升绿电占比的下限，作用于 </w:t>
      </w:r>
      <m:oMath>
        <m:r>
          <m:t>g</m:t>
        </m:r>
      </m:oMath>
      <w:r>
        <w:rPr>
          <w:rFonts w:ascii="宋体" w:hAnsi="宋体" w:eastAsia="宋体"/>
          <w:sz w:val="24"/>
        </w:rPr>
        <w:t xml:space="preserve"> 而不直接规定实现方式。第三类是凭证型工具，以绿证的核发与交易为代表，其特征是把绿电的环境属性从物理电量中剥离出来单独流转，作用于市场法口径；我国绿证制度自全覆盖起步并持续推进市场化建设（国家发展改革委等，2023b；国家发展改革委和国家能源局，2025），2025年全年交易量同比增长逾一倍，已具备为大规模绿电声明提供凭证的能力。三类工具的减排「真实性」依次递减，而流动性与可获得性依次递增——这正是环境权益类资产的经典权衡（蓝虹和杜彦霖，2024；陈丹丹等，2025）。对绿色词元的制度设计而言，关键是不能让三类工具在同一份凭证上混记：若允许以绿证抵充物理排放并据此签发绿色词元凭证，则凭证的信息含量将被稀释，其在出海碳合规场景中的可接受性也会下降。</w:t>
      </w:r>
    </w:p>
    <w:p>
      <w:pPr>
        <w:spacing w:line="360" w:lineRule="auto" w:after="0"/>
        <w:ind w:firstLineChars="200" w:firstLine="480"/>
        <w:jc w:val="both"/>
      </w:pPr>
      <w:r>
        <w:rPr>
          <w:rFonts w:ascii="宋体" w:hAnsi="宋体" w:eastAsia="宋体"/>
          <w:sz w:val="24"/>
        </w:rPr>
        <w:t>空间维度上，算力网络的国家布局为词元生产的碳强度提供了独特的优化空间。国家枢纽节点与「东数西算」工程的制度安排（「国家发展改革委等，2021」；国家发展改革委等，2023），使得可延迟的推理负载（如批量文档处理、离线内容生成、模型评测）可以被调度到清洁能源富集地区生产，再以词元形态回流至东部消费。这一模式在浙江已有实践探索：浙江省将一体化算力监测调度平台写入省级规划（「浙江省人民代表大会，2026」），并在算电协同方向上探索通过跨域调度降低用能成本与碳排放，算力电力协同已成为独立的研究与政策议题（中国信息通信研究院，2025）。其经济实质是把电力的空间价差与碳强度的空间差异，通过词元这一可远距离传输、近乎零边际运输成本的载体加以套利——这是词元相对于电力本身的关键优势：电力跨区输送受限于电网容量与损耗，而词元的跨区传输只受限于带宽与时延。时间维度上，源荷互动与错峰调度可以把负载移向新能源出力高峰时段，其可行性取决于任务的时延容忍度，这与第9章排队分析中的时延—成本权衡是同一问题的两种表述。</w:t>
      </w:r>
    </w:p>
    <w:p>
      <w:pPr>
        <w:keepNext/>
        <w:spacing w:before="160" w:after="120" w:line="360" w:lineRule="auto"/>
        <w:outlineLvl w:val="2"/>
      </w:pPr>
      <w:r>
        <w:rPr>
          <w:rFonts w:ascii="黑体" w:hAnsi="黑体" w:eastAsia="黑体"/>
          <w:sz w:val="24"/>
        </w:rPr>
        <w:t>11.3.3  情景测算与总量口径校验</w:t>
      </w:r>
    </w:p>
    <w:p>
      <w:pPr>
        <w:spacing w:line="360" w:lineRule="auto" w:after="0"/>
        <w:ind w:firstLineChars="200" w:firstLine="480"/>
        <w:jc w:val="both"/>
      </w:pPr>
      <w:r>
        <w:rPr>
          <w:rFonts w:ascii="宋体" w:hAnsi="宋体" w:eastAsia="宋体"/>
          <w:sz w:val="24"/>
        </w:rPr>
        <w:t>把三条路径的推进节奏组合为三种情景，可以给出2026至2035年词元碳强度的演进轨迹。基准情景假定绿电占比按现有趋势提高、能效按既有速率改进；绿色情景在此基础上叠加绿电直供的规模化与电能利用效率的系统性优化；深度情景进一步叠加算效跃升与余热利用。三情景的轨迹与绿色词元阈值的关系，如图11.3所示。</w:t>
      </w:r>
    </w:p>
    <w:p>
      <w:pPr>
        <w:spacing w:before="120" w:after="40"/>
        <w:jc w:val="center"/>
      </w:pPr>
      <w:r>
        <w:drawing>
          <wp:inline xmlns:a="http://schemas.openxmlformats.org/drawingml/2006/main" xmlns:pic="http://schemas.openxmlformats.org/drawingml/2006/picture">
            <wp:extent cx="4860000" cy="3018581"/>
            <wp:docPr id="37" name="Picture 37"/>
            <wp:cNvGraphicFramePr>
              <a:graphicFrameLocks noChangeAspect="1"/>
            </wp:cNvGraphicFramePr>
            <a:graphic>
              <a:graphicData uri="http://schemas.openxmlformats.org/drawingml/2006/picture">
                <pic:pic>
                  <pic:nvPicPr>
                    <pic:cNvPr id="0" name="fig11_3.png"/>
                    <pic:cNvPicPr/>
                  </pic:nvPicPr>
                  <pic:blipFill>
                    <a:blip r:embed="rId45"/>
                    <a:stretch>
                      <a:fillRect/>
                    </a:stretch>
                  </pic:blipFill>
                  <pic:spPr>
                    <a:xfrm>
                      <a:off x="0" y="0"/>
                      <a:ext cx="4860000" cy="3018581"/>
                    </a:xfrm>
                    <a:prstGeom prst="rect"/>
                  </pic:spPr>
                </pic:pic>
              </a:graphicData>
            </a:graphic>
          </wp:inline>
        </w:drawing>
      </w:r>
    </w:p>
    <w:p>
      <w:pPr>
        <w:keepNext w:val="0"/>
        <w:spacing w:after="40"/>
        <w:jc w:val="center"/>
      </w:pPr>
      <w:r>
        <w:rPr>
          <w:rFonts w:ascii="黑体" w:hAnsi="黑体" w:eastAsia="黑体"/>
          <w:sz w:val="21"/>
        </w:rPr>
        <w:t>图11.3  绿电占比提升下的碳强度情景（2026—2035）</w:t>
      </w:r>
    </w:p>
    <w:p>
      <w:pPr>
        <w:spacing w:after="200" w:line="240" w:lineRule="auto"/>
        <w:jc w:val="both"/>
      </w:pPr>
      <w:r>
        <w:rPr>
          <w:rFonts w:ascii="宋体" w:hAnsi="宋体" w:eastAsia="宋体"/>
          <w:sz w:val="18"/>
        </w:rPr>
        <w:t>注：三情景的差异来自绿电占比路径、能效改进速率与档位结构三组参数的不同设定，其对应的政策工具见表11.2；碳强度按地理位置法口径核算，经绿电直连取得的绿电计入该口径，单纯购买绿证仅影响市场法口径，不进入本图。数据来源：作者校准复算。</w:t>
      </w:r>
    </w:p>
    <w:p>
      <w:pPr>
        <w:spacing w:line="360" w:lineRule="auto" w:after="0"/>
        <w:ind w:firstLineChars="200" w:firstLine="480"/>
        <w:jc w:val="both"/>
      </w:pPr>
      <w:r>
        <w:rPr>
          <w:rFonts w:ascii="宋体" w:hAnsi="宋体" w:eastAsia="宋体"/>
          <w:sz w:val="24"/>
        </w:rPr>
        <w:t>图11.3 显示，到2035年基准情景的碳强度为1.30、绿色情景为0.62、深度情景为0.34克二氧化碳当量每千标准词元，相对2026年分别下降42.6%、72.6%与85.0%。跨越绿色词元阈值的年份分别为：绿色情景2033年、深度情景2032年，而基准情景至2035年仍高于阈值。这一结果传递了三层信息。第一，达标不是自动的：基准情景已经包含了相当可观的能效改进与绿电增长，但仍不足以在十年内把平均碳强度压到阈值以下，说明「等待技术进步」不是一个可行的政策选项。第二，阈值的跨越时点对政策强度高度敏感：绿色情景与深度情景的差别主要在于算效跃升与余热利用是否落地，二者的跨阈时点仅相差一年，但2035年的终值相差45%，说明政策的长期效果远大于其短期效果。第三，深度情景的终值仍高于全绿电供电的理论下界0.171，差额来自结构效应——随着智能体与复杂推理类应用的扩张，用量结构持续向高档位迁移，这一结构效应会抵消部分技术改进，正是式(11-6)第二项所刻画的机制。</w:t>
      </w:r>
    </w:p>
    <w:p>
      <w:pPr>
        <w:spacing w:line="360" w:lineRule="auto" w:after="0"/>
        <w:ind w:firstLineChars="200" w:firstLine="480"/>
        <w:jc w:val="both"/>
      </w:pPr>
      <w:r>
        <w:rPr>
          <w:rFonts w:ascii="宋体" w:hAnsi="宋体" w:eastAsia="宋体"/>
          <w:sz w:val="24"/>
        </w:rPr>
        <w:t>最后作一次总量口径校验，其目的不是给出总量估计，而是暴露乘法核算的不成立。按国家数据局口径，2026年3月我国日均词元调用量突破140万亿枚；按本书校准复算的用量结构，平均效值系数为1.425，对应约199.5万亿枚标准词元。若直接乘以用量加权平均能耗强度4.269千瓦时每百万标准词元，可得日耗电约8.5亿千瓦时，年化约3109亿千瓦时，相当于2024年全社会用电量98521亿千瓦时的3.2%；若全部以绿证覆盖，需3.11亿个绿证，占2025年全年绿证交易量9.30亿个的33.4%；若只覆盖达标所需的60.4%，也需1.88亿个，占20.2%。</w:t>
      </w:r>
    </w:p>
    <w:p>
      <w:pPr>
        <w:spacing w:line="360" w:lineRule="auto" w:after="0"/>
        <w:ind w:firstLineChars="200" w:firstLine="480"/>
        <w:jc w:val="both"/>
      </w:pPr>
      <w:r>
        <w:rPr>
          <w:rFonts w:ascii="宋体" w:hAnsi="宋体" w:eastAsia="宋体"/>
          <w:sz w:val="24"/>
        </w:rPr>
        <w:t>这一演算的数值明显高于前述任何一套关于数据中心用电占比的公开说法，其本身就是一个警示。至少有三处使乘法核算失效：其一，分母不同——调用量统计的是计费词元，而能耗强度的分母是本书定义的标准词元，两者之间的换算依赖效值结构假定；其二，边际不等于平均——前缀缓存命中、批处理与共享上下文使大量词元的边际能耗远低于平均能耗，而调用量按计费口径把缓存命中的词元同样计入；其三，统计边界未公开——调用量口径是否包含内部调用、测评调用与失败重试，从未披露。因此，上述数字只能作为量级参照，不得作为统计结论，本书亦不据此推断数据中心用电占比。真正的结论恰在于此：在服务级计量制度缺位的条件下，任何「调用量×能耗强度」式的总量估计都不可靠，而这正是把词元级能耗与碳排纳入统计制度的现实理由——不是为了追求一个更精确的总量数字，而是为了使总量数字第一次成为可能。</w:t>
      </w:r>
    </w:p>
    <w:p>
      <w:pPr>
        <w:keepNext/>
        <w:spacing w:before="160" w:after="120" w:line="360" w:lineRule="auto"/>
        <w:outlineLvl w:val="1"/>
      </w:pPr>
      <w:r>
        <w:rPr>
          <w:rFonts w:ascii="黑体" w:hAnsi="黑体" w:eastAsia="黑体"/>
          <w:sz w:val="28"/>
        </w:rPr>
        <w:t>11.4  绿色词元的溢价机制与出海碳合规</w:t>
      </w:r>
    </w:p>
    <w:p>
      <w:pPr>
        <w:keepNext/>
        <w:spacing w:before="160" w:after="120" w:line="360" w:lineRule="auto"/>
        <w:outlineLvl w:val="2"/>
      </w:pPr>
      <w:r>
        <w:rPr>
          <w:rFonts w:ascii="黑体" w:hAnsi="黑体" w:eastAsia="黑体"/>
          <w:sz w:val="24"/>
        </w:rPr>
        <w:t>11.4.1  绿色溢价的需求侧来源与实证识别</w:t>
      </w:r>
    </w:p>
    <w:p>
      <w:pPr>
        <w:spacing w:line="360" w:lineRule="auto" w:after="0"/>
        <w:ind w:firstLineChars="200" w:firstLine="480"/>
        <w:jc w:val="both"/>
      </w:pPr>
      <w:r>
        <w:rPr>
          <w:rFonts w:ascii="宋体" w:hAnsi="宋体" w:eastAsia="宋体"/>
          <w:sz w:val="24"/>
        </w:rPr>
        <w:t>绿色词元若不能获得溢价，则一切核算与认证都只是成本。溢价的需求侧来源有三：其一是出海合规需求，即出口导向企业为满足境外买方或监管的碳信息披露要求，需要对其数字服务投入的隐含排放作出说明；其二是供应链绿色采购，即大型采购方将供应商的碳绩效纳入准入与评分，从而把要求逐级传导至词元这样的中间投入；其三是自身的环境、社会与治理披露需要，即企业为改善其披露表现而主动选择低碳投入。三类需求的共同特征是，它们并不直接来自词元的使用价值，而来自词元所携带的可核验信息——这决定了绿色溢价在本质上是一种信息溢价，其存在以凭证的可信性为前提。</w:t>
      </w:r>
    </w:p>
    <w:p>
      <w:pPr>
        <w:spacing w:line="360" w:lineRule="auto" w:after="0"/>
        <w:ind w:firstLineChars="200" w:firstLine="480"/>
        <w:jc w:val="both"/>
      </w:pPr>
      <w:r>
        <w:rPr>
          <w:rFonts w:ascii="宋体" w:hAnsi="宋体" w:eastAsia="宋体"/>
          <w:sz w:val="24"/>
        </w:rPr>
        <w:t>为识别绿色属性对标准词元价格的影响，本书以特征价格模型设定式(11-10)，被解释变量为成交的标准词元价格对数，核心解释变量为绿色词元标识，控制变量包括档位、场景、合同规模、采购主体类型与时间固定效应。</w:t>
      </w:r>
    </w:p>
    <w:p>
      <w:pPr>
        <w:tabs>
          <w:tab w:pos="4252" w:val="center"/>
          <w:tab w:pos="8504" w:val="right"/>
        </w:tabs>
        <w:spacing w:line="360" w:lineRule="auto" w:before="80" w:after="80"/>
      </w:pPr>
      <w:r>
        <w:tab/>
      </w:r>
      <m:oMath>
        <m:r>
          <m:rPr>
            <m:sty m:val="p"/>
          </m:rPr>
          <m:t>ln</m:t>
        </m:r>
        <m:sSub>
          <m:e>
            <m:acc>
              <m:accPr>
                <m:chr m:val="̃"/>
              </m:accPr>
              <m:e>
                <m:r>
                  <m:t>p</m:t>
                </m:r>
              </m:e>
            </m:acc>
          </m:e>
          <m:sub>
            <m:r>
              <m:t>i</m:t>
            </m:r>
          </m:sub>
        </m:sSub>
        <m:r>
          <m:rPr>
            <m:sty m:val="p"/>
          </m:rPr>
          <m:t>=</m:t>
        </m:r>
        <m:r>
          <m:t>α</m:t>
        </m:r>
        <m:r>
          <m:rPr>
            <m:sty m:val="p"/>
          </m:rPr>
          <m:t>+</m:t>
        </m:r>
        <m:r>
          <m:t>φ</m:t>
        </m:r>
        <m:r>
          <m:t> </m:t>
        </m:r>
        <m:sSub>
          <m:e>
            <m:r>
              <m:t>G</m:t>
            </m:r>
          </m:e>
          <m:sub>
            <m:r>
              <m:t>i</m:t>
            </m:r>
          </m:sub>
        </m:sSub>
        <m:r>
          <m:rPr>
            <m:sty m:val="p"/>
          </m:rPr>
          <m:t>+</m:t>
        </m:r>
        <m:sSubSup>
          <m:e>
            <m:r>
              <m:rPr>
                <m:sty m:val="b"/>
              </m:rPr>
              <m:t>x</m:t>
            </m:r>
          </m:e>
          <m:sub>
            <m:r>
              <m:t>i</m:t>
            </m:r>
          </m:sub>
          <m:sup>
            <m:r>
              <m:rPr>
                <m:sty m:val="p"/>
              </m:rPr>
              <m:t>′</m:t>
            </m:r>
          </m:sup>
        </m:sSubSup>
        <m:r>
          <m:t>β</m:t>
        </m:r>
        <m:r>
          <m:rPr>
            <m:sty m:val="p"/>
          </m:rPr>
          <m:t>+</m:t>
        </m:r>
        <m:sSub>
          <m:e>
            <m:r>
              <m:t>u</m:t>
            </m:r>
          </m:e>
          <m:sub>
            <m:r>
              <m:t>i</m:t>
            </m:r>
          </m:sub>
        </m:sSub>
      </m:oMath>
      <w:r>
        <w:tab/>
      </w:r>
      <w:r>
        <w:rPr>
          <w:rFonts w:ascii="Times New Roman" w:hAnsi="Times New Roman" w:eastAsia="宋体"/>
          <w:sz w:val="24"/>
        </w:rPr>
        <w:t>(11-10)</w:t>
      </w:r>
    </w:p>
    <w:p>
      <w:pPr>
        <w:spacing w:line="360" w:lineRule="auto" w:after="0"/>
        <w:jc w:val="both"/>
      </w:pPr>
      <w:r>
        <w:rPr>
          <w:rFonts w:ascii="宋体" w:hAnsi="宋体" w:eastAsia="宋体"/>
          <w:sz w:val="24"/>
        </w:rPr>
        <w:t>其中，</w:t>
      </w:r>
      <m:oMath>
        <m:sSub>
          <m:e>
            <m:acc>
              <m:accPr>
                <m:chr m:val="̃"/>
              </m:accPr>
              <m:e>
                <m:r>
                  <m:t>p</m:t>
                </m:r>
              </m:e>
            </m:acc>
          </m:e>
          <m:sub>
            <m:r>
              <m:t>i</m:t>
            </m:r>
          </m:sub>
        </m:sSub>
      </m:oMath>
      <w:r>
        <w:rPr>
          <w:rFonts w:ascii="宋体" w:hAnsi="宋体" w:eastAsia="宋体"/>
          <w:sz w:val="24"/>
        </w:rPr>
        <w:t xml:space="preserve"> 为第 </w:t>
      </w:r>
      <m:oMath>
        <m:r>
          <m:t>i</m:t>
        </m:r>
      </m:oMath>
      <w:r>
        <w:rPr>
          <w:rFonts w:ascii="宋体" w:hAnsi="宋体" w:eastAsia="宋体"/>
          <w:sz w:val="24"/>
        </w:rPr>
        <w:t xml:space="preserve"> 笔交易的标准词元价格，</w:t>
      </w:r>
      <m:oMath>
        <m:sSub>
          <m:e>
            <m:r>
              <m:t>G</m:t>
            </m:r>
          </m:e>
          <m:sub>
            <m:r>
              <m:t>i</m:t>
            </m:r>
          </m:sub>
        </m:sSub>
      </m:oMath>
      <w:r>
        <w:rPr>
          <w:rFonts w:ascii="宋体" w:hAnsi="宋体" w:eastAsia="宋体"/>
          <w:sz w:val="24"/>
        </w:rPr>
        <w:t xml:space="preserve"> 为绿色词元标识（取1表示附碳足迹凭证且碳强度低于阈值），</w:t>
      </w:r>
      <m:oMath>
        <m:r>
          <m:t>φ</m:t>
        </m:r>
      </m:oMath>
      <w:r>
        <w:rPr>
          <w:rFonts w:ascii="宋体" w:hAnsi="宋体" w:eastAsia="宋体"/>
          <w:sz w:val="24"/>
        </w:rPr>
        <w:t xml:space="preserve"> 为绿色溢价率，</w:t>
      </w:r>
      <m:oMath>
        <m:sSub>
          <m:e>
            <m:r>
              <m:rPr>
                <m:sty m:val="b"/>
              </m:rPr>
              <m:t>x</m:t>
            </m:r>
          </m:e>
          <m:sub>
            <m:r>
              <m:t>i</m:t>
            </m:r>
          </m:sub>
        </m:sSub>
      </m:oMath>
      <w:r>
        <w:rPr>
          <w:rFonts w:ascii="宋体" w:hAnsi="宋体" w:eastAsia="宋体"/>
          <w:sz w:val="24"/>
        </w:rPr>
        <w:t xml:space="preserve"> 为控制变量向量。</w:t>
      </w:r>
    </w:p>
    <w:p>
      <w:pPr>
        <w:spacing w:line="360" w:lineRule="auto" w:after="0"/>
        <w:ind w:firstLineChars="200" w:firstLine="480"/>
        <w:jc w:val="both"/>
      </w:pPr>
      <w:r>
        <w:rPr>
          <w:rFonts w:ascii="宋体" w:hAnsi="宋体" w:eastAsia="宋体"/>
          <w:sz w:val="24"/>
        </w:rPr>
        <w:t xml:space="preserve">估计结果为 </w:t>
      </w:r>
      <m:oMath>
        <m:r>
          <m:t>φ</m:t>
        </m:r>
      </m:oMath>
      <w:r>
        <w:rPr>
          <w:rFonts w:ascii="宋体" w:hAnsi="宋体" w:eastAsia="宋体"/>
          <w:sz w:val="24"/>
        </w:rPr>
        <w:t>＝0.083，标准误0.021，</w:t>
      </w:r>
      <m:oMath>
        <m:r>
          <m:t>t</m:t>
        </m:r>
      </m:oMath>
      <w:r>
        <w:rPr>
          <w:rFonts w:ascii="宋体" w:hAnsi="宋体" w:eastAsia="宋体"/>
          <w:sz w:val="24"/>
        </w:rPr>
        <w:t xml:space="preserve"> 值 3.95，样本量 612，判定系数 0.41，在1%水平上显著。即在控制档位、场景与合同规模后，附碳足迹凭证的标准词元价格高出约8.3%。这一溢价幅度不大但稳健，其量级与绿色金融领域观察到的绿色资产定价差异属同一数量级（陈丹丹等，2025）。需要坦诚说明三点识别局限：第一，绿色标识并非随机分配，采购绿色词元的企业往往本身即为出海导向或受供应链约束的企业，其支付意愿可能同时被其他未观测因素推高，估计值应理解为条件相关而非纯因果效应；第二，样本以出海导向企业为主，向全体用户的外推需谨慎；第三，样本期内绿色词元的供给规模有限，溢价中可能包含稀缺租金，随供给扩张而收敛。</w:t>
      </w:r>
    </w:p>
    <w:p>
      <w:pPr>
        <w:keepNext/>
        <w:spacing w:before="160" w:after="120" w:line="360" w:lineRule="auto"/>
        <w:outlineLvl w:val="2"/>
      </w:pPr>
      <w:r>
        <w:rPr>
          <w:rFonts w:ascii="黑体" w:hAnsi="黑体" w:eastAsia="黑体"/>
          <w:sz w:val="24"/>
        </w:rPr>
        <w:t>11.4.2  隐含碳价与供给侧的减排决策</w:t>
      </w:r>
    </w:p>
    <w:p>
      <w:pPr>
        <w:spacing w:line="360" w:lineRule="auto" w:after="0"/>
        <w:ind w:firstLineChars="200" w:firstLine="480"/>
        <w:jc w:val="both"/>
      </w:pPr>
      <w:r>
        <w:rPr>
          <w:rFonts w:ascii="宋体" w:hAnsi="宋体" w:eastAsia="宋体"/>
          <w:sz w:val="24"/>
        </w:rPr>
        <w:t>溢价率本身不便于与其他减排工具比较，因为它是一个相对价格。把溢价折算为单位减排量的价格，即可得到绿色词元的隐含碳价，见式(11-11)。</w:t>
      </w:r>
    </w:p>
    <w:p>
      <w:pPr>
        <w:tabs>
          <w:tab w:pos="4252" w:val="center"/>
          <w:tab w:pos="8504" w:val="right"/>
        </w:tabs>
        <w:spacing w:line="360" w:lineRule="auto" w:before="80" w:after="80"/>
      </w:pPr>
      <w:r>
        <w:tab/>
      </w:r>
      <m:oMath>
        <m:sSup>
          <m:e>
            <m:r>
              <m:t>p</m:t>
            </m:r>
          </m:e>
          <m:sup>
            <m:r>
              <m:t>C</m:t>
            </m:r>
          </m:sup>
        </m:sSup>
        <m:r>
          <m:rPr>
            <m:sty m:val="p"/>
          </m:rPr>
          <m:t>=</m:t>
        </m:r>
        <m:f>
          <m:fPr>
            <m:type m:val="bar"/>
          </m:fPr>
          <m:num>
            <m:r>
              <m:t>φ</m:t>
            </m:r>
            <m:r>
              <m:t> </m:t>
            </m:r>
            <m:acc>
              <m:accPr>
                <m:chr m:val="̃"/>
              </m:accPr>
              <m:e>
                <m:r>
                  <m:t>p</m:t>
                </m:r>
              </m:e>
            </m:acc>
          </m:num>
          <m:den>
            <m:acc>
              <m:accPr>
                <m:chr m:val="‾"/>
              </m:accPr>
              <m:e>
                <m:r>
                  <m:t>ι</m:t>
                </m:r>
              </m:e>
            </m:acc>
            <m:r>
              <m:rPr>
                <m:sty m:val="p"/>
              </m:rPr>
              <m:t>−</m:t>
            </m:r>
            <m:sSup>
              <m:e>
                <m:r>
                  <m:t>ι</m:t>
                </m:r>
              </m:e>
              <m:sup>
                <m:r>
                  <m:rPr>
                    <m:sty m:val="p"/>
                  </m:rPr>
                  <m:t>g</m:t>
                </m:r>
                <m:r>
                  <m:rPr>
                    <m:sty m:val="p"/>
                  </m:rPr>
                  <m:t>r</m:t>
                </m:r>
                <m:r>
                  <m:rPr>
                    <m:sty m:val="p"/>
                  </m:rPr>
                  <m:t>e</m:t>
                </m:r>
                <m:r>
                  <m:rPr>
                    <m:sty m:val="p"/>
                  </m:rPr>
                  <m:t>e</m:t>
                </m:r>
                <m:r>
                  <m:rPr>
                    <m:sty m:val="p"/>
                  </m:rPr>
                  <m:t>n</m:t>
                </m:r>
              </m:sup>
            </m:sSup>
          </m:den>
        </m:f>
        <m:r>
          <m:rPr>
            <m:sty m:val="p"/>
          </m:rPr>
          <m:t>,</m:t>
        </m:r>
        <m:r>
          <m:t>  </m:t>
        </m:r>
        <m:r>
          <m:t>ε</m:t>
        </m:r>
        <m:r>
          <m:t> </m:t>
        </m:r>
        <m:r>
          <m:t>χ</m:t>
        </m:r>
        <m:r>
          <m:t> </m:t>
        </m:r>
        <m:r>
          <m:rPr>
            <m:sty m:val="p"/>
          </m:rPr>
          <m:t>≤</m:t>
        </m:r>
        <m:r>
          <m:t> </m:t>
        </m:r>
        <m:r>
          <m:t>φ</m:t>
        </m:r>
        <m:r>
          <m:t> </m:t>
        </m:r>
        <m:acc>
          <m:accPr>
            <m:chr m:val="̃"/>
          </m:accPr>
          <m:e>
            <m:r>
              <m:t>p</m:t>
            </m:r>
          </m:e>
        </m:acc>
      </m:oMath>
      <w:r>
        <w:tab/>
      </w:r>
      <w:r>
        <w:rPr>
          <w:rFonts w:ascii="Times New Roman" w:hAnsi="Times New Roman" w:eastAsia="宋体"/>
          <w:sz w:val="24"/>
        </w:rPr>
        <w:t>(11-11)</w:t>
      </w:r>
    </w:p>
    <w:p>
      <w:pPr>
        <w:spacing w:line="360" w:lineRule="auto" w:after="0"/>
        <w:jc w:val="both"/>
      </w:pPr>
      <w:r>
        <w:rPr>
          <w:rFonts w:ascii="宋体" w:hAnsi="宋体" w:eastAsia="宋体"/>
          <w:sz w:val="24"/>
        </w:rPr>
        <w:t>其中，</w:t>
      </w:r>
      <m:oMath>
        <m:sSup>
          <m:e>
            <m:r>
              <m:t>p</m:t>
            </m:r>
          </m:e>
          <m:sup>
            <m:r>
              <m:t>C</m:t>
            </m:r>
          </m:sup>
        </m:sSup>
      </m:oMath>
      <w:r>
        <w:rPr>
          <w:rFonts w:ascii="宋体" w:hAnsi="宋体" w:eastAsia="宋体"/>
          <w:sz w:val="24"/>
        </w:rPr>
        <w:t xml:space="preserve"> 为隐含碳价，</w:t>
      </w:r>
      <m:oMath>
        <m:acc>
          <m:accPr>
            <m:chr m:val="̃"/>
          </m:accPr>
          <m:e>
            <m:r>
              <m:t>p</m:t>
            </m:r>
          </m:e>
        </m:acc>
      </m:oMath>
      <w:r>
        <w:rPr>
          <w:rFonts w:ascii="宋体" w:hAnsi="宋体" w:eastAsia="宋体"/>
          <w:sz w:val="24"/>
        </w:rPr>
        <w:t xml:space="preserve"> 为用量加权平均标准词元价格，</w:t>
      </w:r>
      <m:oMath>
        <m:acc>
          <m:accPr>
            <m:chr m:val="‾"/>
          </m:accPr>
          <m:e>
            <m:r>
              <m:t>ι</m:t>
            </m:r>
          </m:e>
        </m:acc>
        <m:r>
          <m:rPr>
            <m:sty m:val="p"/>
          </m:rPr>
          <m:t>−</m:t>
        </m:r>
        <m:sSup>
          <m:e>
            <m:r>
              <m:t>ι</m:t>
            </m:r>
          </m:e>
          <m:sup>
            <m:r>
              <m:rPr>
                <m:sty m:val="p"/>
              </m:rPr>
              <m:t>g</m:t>
            </m:r>
            <m:r>
              <m:rPr>
                <m:sty m:val="p"/>
              </m:rPr>
              <m:t>r</m:t>
            </m:r>
            <m:r>
              <m:rPr>
                <m:sty m:val="p"/>
              </m:rPr>
              <m:t>e</m:t>
            </m:r>
            <m:r>
              <m:rPr>
                <m:sty m:val="p"/>
              </m:rPr>
              <m:t>e</m:t>
            </m:r>
            <m:r>
              <m:rPr>
                <m:sty m:val="p"/>
              </m:rPr>
              <m:t>n</m:t>
            </m:r>
          </m:sup>
        </m:sSup>
      </m:oMath>
      <w:r>
        <w:rPr>
          <w:rFonts w:ascii="宋体" w:hAnsi="宋体" w:eastAsia="宋体"/>
          <w:sz w:val="24"/>
        </w:rPr>
        <w:t xml:space="preserve"> 为由电网供电转为全绿电供电的单位减排量；</w:t>
      </w:r>
      <m:oMath>
        <m:r>
          <m:t>χ</m:t>
        </m:r>
      </m:oMath>
      <w:r>
        <w:rPr>
          <w:rFonts w:ascii="宋体" w:hAnsi="宋体" w:eastAsia="宋体"/>
          <w:sz w:val="24"/>
        </w:rPr>
        <w:t xml:space="preserve"> 为绿电相对电网电价的度电价差，右式为供给方自愿采购绿电的成本可行条件。</w:t>
      </w:r>
    </w:p>
    <w:p>
      <w:pPr>
        <w:spacing w:line="360" w:lineRule="auto" w:after="0"/>
        <w:ind w:firstLineChars="200" w:firstLine="480"/>
        <w:jc w:val="both"/>
      </w:pPr>
      <w:r>
        <w:rPr>
          <w:rFonts w:ascii="宋体" w:hAnsi="宋体" w:eastAsia="宋体"/>
          <w:sz w:val="24"/>
        </w:rPr>
        <w:t xml:space="preserve">代入第7章的价格结构，用量加权平均标准词元价格为1.533元每百万标准词元，对应的绿色溢价额为0.127元每百万标准词元；由式(11-4)的量纲恒等，由电网供电转为全绿电供电的减排量为2.092千克二氧化碳当量每百万标准词元。二者相除得隐含碳价 </w:t>
      </w:r>
      <m:oMath>
        <m:sSup>
          <m:e>
            <m:r>
              <m:t>p</m:t>
            </m:r>
          </m:e>
          <m:sup>
            <m:r>
              <m:t>C</m:t>
            </m:r>
          </m:sup>
        </m:sSup>
      </m:oMath>
      <w:r>
        <w:rPr>
          <w:rFonts w:ascii="宋体" w:hAnsi="宋体" w:eastAsia="宋体"/>
          <w:sz w:val="24"/>
        </w:rPr>
        <w:t>＝60.8元每吨二氧化碳当量。这个数字给出了一把可与碳市场配额价格、自愿减排项目价格直接比较的尺度：当外部碳价高于该水平时，供给方更愿意通过配额或减排量交易实现合规；当外部碳价低于该水平时，把绿色属性直接嵌入词元产品出售更为有利。换言之，绿色词元实际上开辟了一条「嵌入式」的减排价值实现渠道，与配额市场的「分离式」渠道并行（段玉婉等，2023；赵思琦等，2023），其相对吸引力由两个市场的价格关系内生决定。</w:t>
      </w:r>
    </w:p>
    <w:p>
      <w:pPr>
        <w:spacing w:line="360" w:lineRule="auto" w:after="0"/>
        <w:ind w:firstLineChars="200" w:firstLine="480"/>
        <w:jc w:val="both"/>
      </w:pPr>
      <w:r>
        <w:rPr>
          <w:rFonts w:ascii="宋体" w:hAnsi="宋体" w:eastAsia="宋体"/>
          <w:sz w:val="24"/>
        </w:rPr>
        <w:t xml:space="preserve">式(11-11)右式则给出供给侧的决策规则：只要绿电相对电网电价的度电价差乘以能耗强度不超过绿色溢价额，供给方主动采购绿电即为有利可图。代入数值可得价差上限 </w:t>
      </w:r>
      <m:oMath>
        <m:r>
          <m:t>χ</m:t>
        </m:r>
      </m:oMath>
      <w:r>
        <w:rPr>
          <w:rFonts w:ascii="宋体" w:hAnsi="宋体" w:eastAsia="宋体"/>
          <w:sz w:val="24"/>
        </w:rPr>
        <w:t>≤0.0298元每千瓦时，约合每千瓦时3.0分。这是一个相当苛刻的条件：它意味着绿电的市场化溢价必须被压缩到很小的区间，绿色词元的自发供给才能成立；一旦绿电溢价超出该区间，就必须依靠消纳责任权重这类强制性工具，或依靠地方补贴与政策抵扣来弥合缺口。这也从供给侧解释了为什么绿电直连具有特殊价值——直连模式绕过了公共电网的输配环节，其度电成本更接近电源侧成本，因而更有可能落入上述可行区间。同时应当注意，</w:t>
      </w:r>
      <m:oMath>
        <m:r>
          <m:t>χ</m:t>
        </m:r>
      </m:oMath>
      <w:r>
        <w:rPr>
          <w:rFonts w:ascii="宋体" w:hAnsi="宋体" w:eastAsia="宋体"/>
          <w:sz w:val="24"/>
        </w:rPr>
        <w:t xml:space="preserve"> 的上限与能耗强度成反比：能耗强度越低的档位，可承受的绿电价差越大，绿色供给的经济性越好，这与11.2节关于认证非中性的判断相互印证。碳约束下的能源与经济转型研究表明，价格信号与总量约束需要配合使用才能实现有效减排（何建坤，2021；张希良等，2022；杨豪等，2023），词元领域并无例外。</w:t>
      </w:r>
    </w:p>
    <w:p>
      <w:pPr>
        <w:keepNext/>
        <w:spacing w:before="160" w:after="120" w:line="360" w:lineRule="auto"/>
        <w:outlineLvl w:val="2"/>
      </w:pPr>
      <w:r>
        <w:rPr>
          <w:rFonts w:ascii="黑体" w:hAnsi="黑体" w:eastAsia="黑体"/>
          <w:sz w:val="24"/>
        </w:rPr>
        <w:t>11.4.3  出海碳合规需求与制度衔接</w:t>
      </w:r>
    </w:p>
    <w:p>
      <w:pPr>
        <w:spacing w:line="360" w:lineRule="auto" w:after="0"/>
        <w:ind w:firstLineChars="200" w:firstLine="480"/>
        <w:jc w:val="both"/>
      </w:pPr>
      <w:r>
        <w:rPr>
          <w:rFonts w:ascii="宋体" w:hAnsi="宋体" w:eastAsia="宋体"/>
          <w:sz w:val="24"/>
        </w:rPr>
        <w:t>绿色词元溢价的最强需求来自跨境场景，但这一需求的制度基础目前并不牢固。欧盟碳边境调节机制自2026年1月1日进入确定期，其证书的购买与清缴自2027年2月起适用于2026年进口货物的隐含排放；2025年通过的简化条例引入了每进口商每年50吨的最低限度门槛，适用于钢铁、铝、化肥与化学品类别，电力与氢明确排除在该豁免之外，欧盟委员会估计该门槛豁免约九成进口商而仍覆盖99%的隐含排放（「European Parliament和Council，2023」）。就本书主题而言，最关键的事实是：该机制覆盖的行业为水泥、钢铁、铝、化肥、电力与氢，不含数字服务、软件与人工智能服务。因此，「词元出海」在现阶段不受其直接管辖。但有两条间接路径不容忽视：其一，若词元以嵌入产品的形态出现——例如为出口钢铁、铝制品提供的智能设计与工艺优化服务，其能耗与排放会计入产品的隐含排放核算；其二，若算力以跨境电力形态出现，电力项下的核算要求将直接适用。</w:t>
      </w:r>
    </w:p>
    <w:p>
      <w:pPr>
        <w:spacing w:line="360" w:lineRule="auto" w:after="0"/>
        <w:ind w:firstLineChars="200" w:firstLine="480"/>
        <w:jc w:val="both"/>
      </w:pPr>
      <w:r>
        <w:rPr>
          <w:rFonts w:ascii="宋体" w:hAnsi="宋体" w:eastAsia="宋体"/>
          <w:sz w:val="24"/>
        </w:rPr>
        <w:t>更根本的制度缺口在于：截至2026年8月，尚无面向人工智能服务或单位词元的可认证碳足迹核算标准。最接近的国际文件是2025年7月发布的关于人工智能系统环境可持续性方面的技术报告，它概览了人工智能全生命周期的环境可持续性方面及相关潜在指标并纳入了水足迹，但其性质是技术报告而非可认证标准，不能用于合规声明。国内方面，产品碳足迹的方法学基准与管理体系已经建立（国家市场监督管理总局和国家标准化管理委员会，2024；生态环境部等，2024；「生态环境部等，2024」），其中碳足迹管理体系实施方案提出到2027年制定发布与国际接轨的国家产品碳足迹核算通则标准，并制定出台约100个重点产品碳足迹核算规则标准——这为词元争取纳入重点产品目录提供了明确的制度接口。词元侧现有的规范则集中在运营管理能力方面，2026年8月由中国人工智能产业发展联盟归口发布的团体标准即属此类，需要注意的是团体标准的效力层级低于国家标准与行业标准，且其内容不含碳核算。相关制度的现状、缺口与本书对应关系，见表11.3。</w:t>
      </w:r>
    </w:p>
    <w:p>
      <w:pPr>
        <w:keepNext/>
        <w:spacing w:before="160" w:after="40"/>
        <w:jc w:val="center"/>
      </w:pPr>
      <w:r>
        <w:rPr>
          <w:rFonts w:ascii="黑体" w:hAnsi="黑体" w:eastAsia="黑体"/>
          <w:sz w:val="21"/>
        </w:rPr>
        <w:t>表11.3  产品碳足迹制度与词元碳核算的衔接：现状、缺口与本书对应</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制度／标准</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发布主体与时点</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功能单位与核算边界</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与词元碳核算的关系</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缺口与本书对应</w:t>
            </w:r>
          </w:p>
        </w:tc>
      </w:tr>
      <w:tr>
        <w:tc>
          <w:tcPr>
            <w:tcW w:type="dxa" w:w="1701"/>
            <w:vAlign w:val="center"/>
          </w:tcPr>
          <w:p>
            <w:pPr>
              <w:spacing w:line="240" w:lineRule="auto" w:after="20" w:before="20"/>
              <w:jc w:val="left"/>
            </w:pPr>
            <w:r/>
            <w:r>
              <w:rPr>
                <w:rFonts w:ascii="宋体" w:hAnsi="宋体" w:eastAsia="宋体"/>
                <w:sz w:val="21"/>
              </w:rPr>
              <w:t>温室气体—产品碳足迹—量化要求和指南（ISO 14067:2018）</w:t>
            </w:r>
          </w:p>
        </w:tc>
        <w:tc>
          <w:tcPr>
            <w:tcW w:type="dxa" w:w="1701"/>
            <w:vAlign w:val="center"/>
          </w:tcPr>
          <w:p>
            <w:pPr>
              <w:spacing w:line="240" w:lineRule="auto" w:after="20" w:before="20"/>
              <w:jc w:val="left"/>
            </w:pPr>
            <w:r/>
            <w:r>
              <w:rPr>
                <w:rFonts w:ascii="宋体" w:hAnsi="宋体" w:eastAsia="宋体"/>
                <w:sz w:val="21"/>
              </w:rPr>
              <w:t>国际标准化组织，2018年</w:t>
            </w:r>
          </w:p>
        </w:tc>
        <w:tc>
          <w:tcPr>
            <w:tcW w:type="dxa" w:w="1701"/>
            <w:vAlign w:val="center"/>
          </w:tcPr>
          <w:p>
            <w:pPr>
              <w:spacing w:line="240" w:lineRule="auto" w:after="20" w:before="20"/>
              <w:jc w:val="left"/>
            </w:pPr>
            <w:r/>
            <w:r>
              <w:rPr>
                <w:rFonts w:ascii="宋体" w:hAnsi="宋体" w:eastAsia="宋体"/>
                <w:sz w:val="21"/>
              </w:rPr>
              <w:t>产品；全生命周期</w:t>
            </w:r>
          </w:p>
        </w:tc>
        <w:tc>
          <w:tcPr>
            <w:tcW w:type="dxa" w:w="1701"/>
            <w:vAlign w:val="center"/>
          </w:tcPr>
          <w:p>
            <w:pPr>
              <w:spacing w:line="240" w:lineRule="auto" w:after="20" w:before="20"/>
              <w:jc w:val="left"/>
            </w:pPr>
            <w:r/>
            <w:r>
              <w:rPr>
                <w:rFonts w:ascii="宋体" w:hAnsi="宋体" w:eastAsia="宋体"/>
                <w:sz w:val="21"/>
              </w:rPr>
              <w:t>提供量化方法学母版，四阶段流程为词元核算所沿用</w:t>
            </w:r>
          </w:p>
        </w:tc>
        <w:tc>
          <w:tcPr>
            <w:tcW w:type="dxa" w:w="1701"/>
            <w:vAlign w:val="center"/>
          </w:tcPr>
          <w:p>
            <w:pPr>
              <w:spacing w:line="240" w:lineRule="auto" w:after="20" w:before="20"/>
              <w:jc w:val="left"/>
            </w:pPr>
            <w:r/>
            <w:r>
              <w:rPr>
                <w:rFonts w:ascii="宋体" w:hAnsi="宋体" w:eastAsia="宋体"/>
                <w:sz w:val="21"/>
              </w:rPr>
              <w:t>未定义面向数字服务的功能单位；本书以标准词元充当功能单位</w:t>
            </w:r>
          </w:p>
        </w:tc>
      </w:tr>
      <w:tr>
        <w:tc>
          <w:tcPr>
            <w:tcW w:type="dxa" w:w="1701"/>
            <w:vAlign w:val="center"/>
          </w:tcPr>
          <w:p>
            <w:pPr>
              <w:spacing w:line="240" w:lineRule="auto" w:after="20" w:before="20"/>
              <w:jc w:val="left"/>
            </w:pPr>
            <w:r/>
            <w:r>
              <w:rPr>
                <w:rFonts w:ascii="宋体" w:hAnsi="宋体" w:eastAsia="宋体"/>
                <w:sz w:val="21"/>
              </w:rPr>
              <w:t>温室气体 产品碳足迹 量化要求和指南（GB/T 24067—2024）</w:t>
            </w:r>
          </w:p>
        </w:tc>
        <w:tc>
          <w:tcPr>
            <w:tcW w:type="dxa" w:w="1701"/>
            <w:vAlign w:val="center"/>
          </w:tcPr>
          <w:p>
            <w:pPr>
              <w:spacing w:line="240" w:lineRule="auto" w:after="20" w:before="20"/>
              <w:jc w:val="left"/>
            </w:pPr>
            <w:r/>
            <w:r>
              <w:rPr>
                <w:rFonts w:ascii="宋体" w:hAnsi="宋体" w:eastAsia="宋体"/>
                <w:sz w:val="21"/>
              </w:rPr>
              <w:t>国家市场监督管理总局与国家标准化管理委员会，2024年</w:t>
            </w:r>
          </w:p>
        </w:tc>
        <w:tc>
          <w:tcPr>
            <w:tcW w:type="dxa" w:w="1701"/>
            <w:vAlign w:val="center"/>
          </w:tcPr>
          <w:p>
            <w:pPr>
              <w:spacing w:line="240" w:lineRule="auto" w:after="20" w:before="20"/>
              <w:jc w:val="left"/>
            </w:pPr>
            <w:r/>
            <w:r>
              <w:rPr>
                <w:rFonts w:ascii="宋体" w:hAnsi="宋体" w:eastAsia="宋体"/>
                <w:sz w:val="21"/>
              </w:rPr>
              <w:t>产品；修改采用ISO 14067，与生命周期评价系列标准方法一致</w:t>
            </w:r>
          </w:p>
        </w:tc>
        <w:tc>
          <w:tcPr>
            <w:tcW w:type="dxa" w:w="1701"/>
            <w:vAlign w:val="center"/>
          </w:tcPr>
          <w:p>
            <w:pPr>
              <w:spacing w:line="240" w:lineRule="auto" w:after="20" w:before="20"/>
              <w:jc w:val="left"/>
            </w:pPr>
            <w:r/>
            <w:r>
              <w:rPr>
                <w:rFonts w:ascii="宋体" w:hAnsi="宋体" w:eastAsia="宋体"/>
                <w:sz w:val="21"/>
              </w:rPr>
              <w:t>国内方法学基准，并增加了制定具体产品碳足迹标准的参考框架</w:t>
            </w:r>
          </w:p>
        </w:tc>
        <w:tc>
          <w:tcPr>
            <w:tcW w:type="dxa" w:w="1701"/>
            <w:vAlign w:val="center"/>
          </w:tcPr>
          <w:p>
            <w:pPr>
              <w:spacing w:line="240" w:lineRule="auto" w:after="20" w:before="20"/>
              <w:jc w:val="left"/>
            </w:pPr>
            <w:r/>
            <w:r>
              <w:rPr>
                <w:rFonts w:ascii="宋体" w:hAnsi="宋体" w:eastAsia="宋体"/>
                <w:sz w:val="21"/>
              </w:rPr>
              <w:t>属修改采用而非等同采用，结果不默认国际互认；本书主张词元核算规则在该框架下立项</w:t>
            </w:r>
          </w:p>
        </w:tc>
      </w:tr>
      <w:tr>
        <w:tc>
          <w:tcPr>
            <w:tcW w:type="dxa" w:w="1701"/>
            <w:vAlign w:val="center"/>
          </w:tcPr>
          <w:p>
            <w:pPr>
              <w:spacing w:line="240" w:lineRule="auto" w:after="20" w:before="20"/>
              <w:jc w:val="left"/>
            </w:pPr>
            <w:r/>
            <w:r>
              <w:rPr>
                <w:rFonts w:ascii="宋体" w:hAnsi="宋体" w:eastAsia="宋体"/>
                <w:sz w:val="21"/>
              </w:rPr>
              <w:t>温室气体核算体系产品与范围二指南</w:t>
            </w:r>
          </w:p>
        </w:tc>
        <w:tc>
          <w:tcPr>
            <w:tcW w:type="dxa" w:w="1701"/>
            <w:vAlign w:val="center"/>
          </w:tcPr>
          <w:p>
            <w:pPr>
              <w:spacing w:line="240" w:lineRule="auto" w:after="20" w:before="20"/>
              <w:jc w:val="left"/>
            </w:pPr>
            <w:r/>
            <w:r>
              <w:rPr>
                <w:rFonts w:ascii="宋体" w:hAnsi="宋体" w:eastAsia="宋体"/>
                <w:sz w:val="21"/>
              </w:rPr>
              <w:t>世界资源研究所与世界可持续发展工商理事会</w:t>
            </w:r>
          </w:p>
        </w:tc>
        <w:tc>
          <w:tcPr>
            <w:tcW w:type="dxa" w:w="1701"/>
            <w:vAlign w:val="center"/>
          </w:tcPr>
          <w:p>
            <w:pPr>
              <w:spacing w:line="240" w:lineRule="auto" w:after="20" w:before="20"/>
              <w:jc w:val="left"/>
            </w:pPr>
            <w:r/>
            <w:r>
              <w:rPr>
                <w:rFonts w:ascii="宋体" w:hAnsi="宋体" w:eastAsia="宋体"/>
                <w:sz w:val="21"/>
              </w:rPr>
              <w:t>电力间接排放；要求地理位置法与市场法双重报告</w:t>
            </w:r>
          </w:p>
        </w:tc>
        <w:tc>
          <w:tcPr>
            <w:tcW w:type="dxa" w:w="1701"/>
            <w:vAlign w:val="center"/>
          </w:tcPr>
          <w:p>
            <w:pPr>
              <w:spacing w:line="240" w:lineRule="auto" w:after="20" w:before="20"/>
              <w:jc w:val="left"/>
            </w:pPr>
            <w:r/>
            <w:r>
              <w:rPr>
                <w:rFonts w:ascii="宋体" w:hAnsi="宋体" w:eastAsia="宋体"/>
                <w:sz w:val="21"/>
              </w:rPr>
              <w:t>决定绿电声明的可用口径，是式(11-5)的规则来源</w:t>
            </w:r>
          </w:p>
        </w:tc>
        <w:tc>
          <w:tcPr>
            <w:tcW w:type="dxa" w:w="1701"/>
            <w:vAlign w:val="center"/>
          </w:tcPr>
          <w:p>
            <w:pPr>
              <w:spacing w:line="240" w:lineRule="auto" w:after="20" w:before="20"/>
              <w:jc w:val="left"/>
            </w:pPr>
            <w:r/>
            <w:r>
              <w:rPr>
                <w:rFonts w:ascii="宋体" w:hAnsi="宋体" w:eastAsia="宋体"/>
                <w:sz w:val="21"/>
              </w:rPr>
              <w:t>现行按年度匹配的规则正在修订，更细颗粒度的时空匹配要求可能使既有「全绿电」声明失效</w:t>
            </w:r>
          </w:p>
        </w:tc>
      </w:tr>
      <w:tr>
        <w:tc>
          <w:tcPr>
            <w:tcW w:type="dxa" w:w="1701"/>
            <w:vAlign w:val="center"/>
          </w:tcPr>
          <w:p>
            <w:pPr>
              <w:spacing w:line="240" w:lineRule="auto" w:after="20" w:before="20"/>
              <w:jc w:val="left"/>
            </w:pPr>
            <w:r/>
            <w:r>
              <w:rPr>
                <w:rFonts w:ascii="宋体" w:hAnsi="宋体" w:eastAsia="宋体"/>
                <w:sz w:val="21"/>
              </w:rPr>
              <w:t>关于建立碳足迹管理体系的实施方案（环气候〔2024〕30号）</w:t>
            </w:r>
          </w:p>
        </w:tc>
        <w:tc>
          <w:tcPr>
            <w:tcW w:type="dxa" w:w="1701"/>
            <w:vAlign w:val="center"/>
          </w:tcPr>
          <w:p>
            <w:pPr>
              <w:spacing w:line="240" w:lineRule="auto" w:after="20" w:before="20"/>
              <w:jc w:val="left"/>
            </w:pPr>
            <w:r/>
            <w:r>
              <w:rPr>
                <w:rFonts w:ascii="宋体" w:hAnsi="宋体" w:eastAsia="宋体"/>
                <w:sz w:val="21"/>
              </w:rPr>
              <w:t>生态环境部等多部门，2024年</w:t>
            </w:r>
          </w:p>
        </w:tc>
        <w:tc>
          <w:tcPr>
            <w:tcW w:type="dxa" w:w="1701"/>
            <w:vAlign w:val="center"/>
          </w:tcPr>
          <w:p>
            <w:pPr>
              <w:spacing w:line="240" w:lineRule="auto" w:after="20" w:before="20"/>
              <w:jc w:val="left"/>
            </w:pPr>
            <w:r/>
            <w:r>
              <w:rPr>
                <w:rFonts w:ascii="宋体" w:hAnsi="宋体" w:eastAsia="宋体"/>
                <w:sz w:val="21"/>
              </w:rPr>
              <w:t>到2027年制定国家产品碳足迹核算通则标准与约100个重点产品核算规则标准</w:t>
            </w:r>
          </w:p>
        </w:tc>
        <w:tc>
          <w:tcPr>
            <w:tcW w:type="dxa" w:w="1701"/>
            <w:vAlign w:val="center"/>
          </w:tcPr>
          <w:p>
            <w:pPr>
              <w:spacing w:line="240" w:lineRule="auto" w:after="20" w:before="20"/>
              <w:jc w:val="left"/>
            </w:pPr>
            <w:r/>
            <w:r>
              <w:rPr>
                <w:rFonts w:ascii="宋体" w:hAnsi="宋体" w:eastAsia="宋体"/>
                <w:sz w:val="21"/>
              </w:rPr>
              <w:t>为词元纳入重点产品核算规则目录提供制度接口</w:t>
            </w:r>
          </w:p>
        </w:tc>
        <w:tc>
          <w:tcPr>
            <w:tcW w:type="dxa" w:w="1701"/>
            <w:vAlign w:val="center"/>
          </w:tcPr>
          <w:p>
            <w:pPr>
              <w:spacing w:line="240" w:lineRule="auto" w:after="20" w:before="20"/>
              <w:jc w:val="left"/>
            </w:pPr>
            <w:r/>
            <w:r>
              <w:rPr>
                <w:rFonts w:ascii="宋体" w:hAnsi="宋体" w:eastAsia="宋体"/>
                <w:sz w:val="21"/>
              </w:rPr>
              <w:t>现行重点产品目录未含数字服务；本书建议以标准词元为功能单位单列</w:t>
            </w:r>
          </w:p>
        </w:tc>
      </w:tr>
      <w:tr>
        <w:tc>
          <w:tcPr>
            <w:tcW w:type="dxa" w:w="1701"/>
            <w:vAlign w:val="center"/>
          </w:tcPr>
          <w:p>
            <w:pPr>
              <w:spacing w:line="240" w:lineRule="auto" w:after="20" w:before="20"/>
              <w:jc w:val="left"/>
            </w:pPr>
            <w:r/>
            <w:r>
              <w:rPr>
                <w:rFonts w:ascii="宋体" w:hAnsi="宋体" w:eastAsia="宋体"/>
                <w:sz w:val="21"/>
              </w:rPr>
              <w:t>产品碳足迹核算标准编制工作指引（环气候〔2024〕91号）</w:t>
            </w:r>
          </w:p>
        </w:tc>
        <w:tc>
          <w:tcPr>
            <w:tcW w:type="dxa" w:w="1701"/>
            <w:vAlign w:val="center"/>
          </w:tcPr>
          <w:p>
            <w:pPr>
              <w:spacing w:line="240" w:lineRule="auto" w:after="20" w:before="20"/>
              <w:jc w:val="left"/>
            </w:pPr>
            <w:r/>
            <w:r>
              <w:rPr>
                <w:rFonts w:ascii="宋体" w:hAnsi="宋体" w:eastAsia="宋体"/>
                <w:sz w:val="21"/>
              </w:rPr>
              <w:t>生态环境部等多部门，2024年</w:t>
            </w:r>
          </w:p>
        </w:tc>
        <w:tc>
          <w:tcPr>
            <w:tcW w:type="dxa" w:w="1701"/>
            <w:vAlign w:val="center"/>
          </w:tcPr>
          <w:p>
            <w:pPr>
              <w:spacing w:line="240" w:lineRule="auto" w:after="20" w:before="20"/>
              <w:jc w:val="left"/>
            </w:pPr>
            <w:r/>
            <w:r>
              <w:rPr>
                <w:rFonts w:ascii="宋体" w:hAnsi="宋体" w:eastAsia="宋体"/>
                <w:sz w:val="21"/>
              </w:rPr>
              <w:t>规定核算规则标准的编制流程与技术要求</w:t>
            </w:r>
          </w:p>
        </w:tc>
        <w:tc>
          <w:tcPr>
            <w:tcW w:type="dxa" w:w="1701"/>
            <w:vAlign w:val="center"/>
          </w:tcPr>
          <w:p>
            <w:pPr>
              <w:spacing w:line="240" w:lineRule="auto" w:after="20" w:before="20"/>
              <w:jc w:val="left"/>
            </w:pPr>
            <w:r/>
            <w:r>
              <w:rPr>
                <w:rFonts w:ascii="宋体" w:hAnsi="宋体" w:eastAsia="宋体"/>
                <w:sz w:val="21"/>
              </w:rPr>
              <w:t>为词元专项核算规则提供可操作的编制路径</w:t>
            </w:r>
          </w:p>
        </w:tc>
        <w:tc>
          <w:tcPr>
            <w:tcW w:type="dxa" w:w="1701"/>
            <w:vAlign w:val="center"/>
          </w:tcPr>
          <w:p>
            <w:pPr>
              <w:spacing w:line="240" w:lineRule="auto" w:after="20" w:before="20"/>
              <w:jc w:val="left"/>
            </w:pPr>
            <w:r/>
            <w:r>
              <w:rPr>
                <w:rFonts w:ascii="宋体" w:hAnsi="宋体" w:eastAsia="宋体"/>
                <w:sz w:val="21"/>
              </w:rPr>
              <w:t>尚无以词元为对象的标准立项公开</w:t>
            </w:r>
          </w:p>
        </w:tc>
      </w:tr>
      <w:tr>
        <w:tc>
          <w:tcPr>
            <w:tcW w:type="dxa" w:w="1701"/>
            <w:vAlign w:val="center"/>
          </w:tcPr>
          <w:p>
            <w:pPr>
              <w:spacing w:line="240" w:lineRule="auto" w:after="20" w:before="20"/>
              <w:jc w:val="left"/>
            </w:pPr>
            <w:r/>
            <w:r>
              <w:rPr>
                <w:rFonts w:ascii="宋体" w:hAnsi="宋体" w:eastAsia="宋体"/>
                <w:sz w:val="21"/>
              </w:rPr>
              <w:t>人工智能系统环境可持续性方面技术报告</w:t>
            </w:r>
          </w:p>
        </w:tc>
        <w:tc>
          <w:tcPr>
            <w:tcW w:type="dxa" w:w="1701"/>
            <w:vAlign w:val="center"/>
          </w:tcPr>
          <w:p>
            <w:pPr>
              <w:spacing w:line="240" w:lineRule="auto" w:after="20" w:before="20"/>
              <w:jc w:val="left"/>
            </w:pPr>
            <w:r/>
            <w:r>
              <w:rPr>
                <w:rFonts w:ascii="宋体" w:hAnsi="宋体" w:eastAsia="宋体"/>
                <w:sz w:val="21"/>
              </w:rPr>
              <w:t>国际标准化组织与国际电工委员会，2025年</w:t>
            </w:r>
          </w:p>
        </w:tc>
        <w:tc>
          <w:tcPr>
            <w:tcW w:type="dxa" w:w="1701"/>
            <w:vAlign w:val="center"/>
          </w:tcPr>
          <w:p>
            <w:pPr>
              <w:spacing w:line="240" w:lineRule="auto" w:after="20" w:before="20"/>
              <w:jc w:val="left"/>
            </w:pPr>
            <w:r/>
            <w:r>
              <w:rPr>
                <w:rFonts w:ascii="宋体" w:hAnsi="宋体" w:eastAsia="宋体"/>
                <w:sz w:val="21"/>
              </w:rPr>
              <w:t>人工智能系统全生命周期的环境可持续性方面与潜在指标，含水足迹</w:t>
            </w:r>
          </w:p>
        </w:tc>
        <w:tc>
          <w:tcPr>
            <w:tcW w:type="dxa" w:w="1701"/>
            <w:vAlign w:val="center"/>
          </w:tcPr>
          <w:p>
            <w:pPr>
              <w:spacing w:line="240" w:lineRule="auto" w:after="20" w:before="20"/>
              <w:jc w:val="left"/>
            </w:pPr>
            <w:r/>
            <w:r>
              <w:rPr>
                <w:rFonts w:ascii="宋体" w:hAnsi="宋体" w:eastAsia="宋体"/>
                <w:sz w:val="21"/>
              </w:rPr>
              <w:t>目前最接近人工智能服务碳核算的国际文件</w:t>
            </w:r>
          </w:p>
        </w:tc>
        <w:tc>
          <w:tcPr>
            <w:tcW w:type="dxa" w:w="1701"/>
            <w:vAlign w:val="center"/>
          </w:tcPr>
          <w:p>
            <w:pPr>
              <w:spacing w:line="240" w:lineRule="auto" w:after="20" w:before="20"/>
              <w:jc w:val="left"/>
            </w:pPr>
            <w:r/>
            <w:r>
              <w:rPr>
                <w:rFonts w:ascii="宋体" w:hAnsi="宋体" w:eastAsia="宋体"/>
                <w:sz w:val="21"/>
              </w:rPr>
              <w:t>性质为技术报告，不可用于认证与合规声明</w:t>
            </w:r>
          </w:p>
        </w:tc>
      </w:tr>
      <w:tr>
        <w:tc>
          <w:tcPr>
            <w:tcW w:type="dxa" w:w="1701"/>
            <w:vAlign w:val="center"/>
          </w:tcPr>
          <w:p>
            <w:pPr>
              <w:spacing w:line="240" w:lineRule="auto" w:after="20" w:before="20"/>
              <w:jc w:val="left"/>
            </w:pPr>
            <w:r/>
            <w:r>
              <w:rPr>
                <w:rFonts w:ascii="宋体" w:hAnsi="宋体" w:eastAsia="宋体"/>
                <w:sz w:val="21"/>
              </w:rPr>
              <w:t>碳边境调节机制条例（Regulation (EU) 2023/956）</w:t>
            </w:r>
          </w:p>
        </w:tc>
        <w:tc>
          <w:tcPr>
            <w:tcW w:type="dxa" w:w="1701"/>
            <w:vAlign w:val="center"/>
          </w:tcPr>
          <w:p>
            <w:pPr>
              <w:spacing w:line="240" w:lineRule="auto" w:after="20" w:before="20"/>
              <w:jc w:val="left"/>
            </w:pPr>
            <w:r/>
            <w:r>
              <w:rPr>
                <w:rFonts w:ascii="宋体" w:hAnsi="宋体" w:eastAsia="宋体"/>
                <w:sz w:val="21"/>
              </w:rPr>
              <w:t>欧洲议会与欧盟理事会，2023年</w:t>
            </w:r>
          </w:p>
        </w:tc>
        <w:tc>
          <w:tcPr>
            <w:tcW w:type="dxa" w:w="1701"/>
            <w:vAlign w:val="center"/>
          </w:tcPr>
          <w:p>
            <w:pPr>
              <w:spacing w:line="240" w:lineRule="auto" w:after="20" w:before="20"/>
              <w:jc w:val="left"/>
            </w:pPr>
            <w:r/>
            <w:r>
              <w:rPr>
                <w:rFonts w:ascii="宋体" w:hAnsi="宋体" w:eastAsia="宋体"/>
                <w:sz w:val="21"/>
              </w:rPr>
              <w:t>水泥、钢铁、铝、化肥、电力、氢；确定期自2026年起，证书清缴自2027年2月起</w:t>
            </w:r>
          </w:p>
        </w:tc>
        <w:tc>
          <w:tcPr>
            <w:tcW w:type="dxa" w:w="1701"/>
            <w:vAlign w:val="center"/>
          </w:tcPr>
          <w:p>
            <w:pPr>
              <w:spacing w:line="240" w:lineRule="auto" w:after="20" w:before="20"/>
              <w:jc w:val="left"/>
            </w:pPr>
            <w:r/>
            <w:r>
              <w:rPr>
                <w:rFonts w:ascii="宋体" w:hAnsi="宋体" w:eastAsia="宋体"/>
                <w:sz w:val="21"/>
              </w:rPr>
              <w:t>不含数字服务与人工智能服务，词元出海不受直接管辖</w:t>
            </w:r>
          </w:p>
        </w:tc>
        <w:tc>
          <w:tcPr>
            <w:tcW w:type="dxa" w:w="1701"/>
            <w:vAlign w:val="center"/>
          </w:tcPr>
          <w:p>
            <w:pPr>
              <w:spacing w:line="240" w:lineRule="auto" w:after="20" w:before="20"/>
              <w:jc w:val="left"/>
            </w:pPr>
            <w:r/>
            <w:r>
              <w:rPr>
                <w:rFonts w:ascii="宋体" w:hAnsi="宋体" w:eastAsia="宋体"/>
                <w:sz w:val="21"/>
              </w:rPr>
              <w:t>嵌入产品的隐含排放与跨境电力两条间接路径需预作准备</w:t>
            </w:r>
          </w:p>
        </w:tc>
      </w:tr>
      <w:tr>
        <w:tc>
          <w:tcPr>
            <w:tcW w:type="dxa" w:w="1701"/>
            <w:vAlign w:val="center"/>
          </w:tcPr>
          <w:p>
            <w:pPr>
              <w:spacing w:line="240" w:lineRule="auto" w:after="20" w:before="20"/>
              <w:jc w:val="left"/>
            </w:pPr>
            <w:r/>
            <w:r>
              <w:rPr>
                <w:rFonts w:ascii="宋体" w:hAnsi="宋体" w:eastAsia="宋体"/>
                <w:sz w:val="21"/>
              </w:rPr>
              <w:t>人工智能词元（Token）运营管理能力要求（AIIA/T 0308—2026）</w:t>
            </w:r>
          </w:p>
        </w:tc>
        <w:tc>
          <w:tcPr>
            <w:tcW w:type="dxa" w:w="1701"/>
            <w:vAlign w:val="center"/>
          </w:tcPr>
          <w:p>
            <w:pPr>
              <w:spacing w:line="240" w:lineRule="auto" w:after="20" w:before="20"/>
              <w:jc w:val="left"/>
            </w:pPr>
            <w:r/>
            <w:r>
              <w:rPr>
                <w:rFonts w:ascii="宋体" w:hAnsi="宋体" w:eastAsia="宋体"/>
                <w:sz w:val="21"/>
              </w:rPr>
              <w:t>中国人工智能产业发展联盟，2026年</w:t>
            </w:r>
          </w:p>
        </w:tc>
        <w:tc>
          <w:tcPr>
            <w:tcW w:type="dxa" w:w="1701"/>
            <w:vAlign w:val="center"/>
          </w:tcPr>
          <w:p>
            <w:pPr>
              <w:spacing w:line="240" w:lineRule="auto" w:after="20" w:before="20"/>
              <w:jc w:val="left"/>
            </w:pPr>
            <w:r/>
            <w:r>
              <w:rPr>
                <w:rFonts w:ascii="宋体" w:hAnsi="宋体" w:eastAsia="宋体"/>
                <w:sz w:val="21"/>
              </w:rPr>
              <w:t>词元运营管理平台的能力规范</w:t>
            </w:r>
          </w:p>
        </w:tc>
        <w:tc>
          <w:tcPr>
            <w:tcW w:type="dxa" w:w="1701"/>
            <w:vAlign w:val="center"/>
          </w:tcPr>
          <w:p>
            <w:pPr>
              <w:spacing w:line="240" w:lineRule="auto" w:after="20" w:before="20"/>
              <w:jc w:val="left"/>
            </w:pPr>
            <w:r/>
            <w:r>
              <w:rPr>
                <w:rFonts w:ascii="宋体" w:hAnsi="宋体" w:eastAsia="宋体"/>
                <w:sz w:val="21"/>
              </w:rPr>
              <w:t>现有最接近词元侧的规范性文件</w:t>
            </w:r>
          </w:p>
        </w:tc>
        <w:tc>
          <w:tcPr>
            <w:tcW w:type="dxa" w:w="1701"/>
            <w:vAlign w:val="center"/>
          </w:tcPr>
          <w:p>
            <w:pPr>
              <w:spacing w:line="240" w:lineRule="auto" w:after="20" w:before="20"/>
              <w:jc w:val="left"/>
            </w:pPr>
            <w:r/>
            <w:r>
              <w:rPr>
                <w:rFonts w:ascii="宋体" w:hAnsi="宋体" w:eastAsia="宋体"/>
                <w:sz w:val="21"/>
              </w:rPr>
              <w:t>属团体标准，效力层级低于国家标准与行业标准，且不含碳核算维度</w:t>
            </w:r>
          </w:p>
        </w:tc>
      </w:tr>
    </w:tbl>
    <w:p>
      <w:pPr>
        <w:spacing w:after="200" w:line="240" w:lineRule="auto"/>
        <w:jc w:val="both"/>
      </w:pPr>
      <w:r>
        <w:rPr>
          <w:rFonts w:ascii="宋体" w:hAnsi="宋体" w:eastAsia="宋体"/>
          <w:sz w:val="18"/>
        </w:rPr>
        <w:t>注：标准效力层级由高至低依次为国家标准、行业标准、团体标准，机构评估规范不属于标准；「缺口与本书对应」为作者依各文件公开文本归纳，非文件原文表述。资料来源：各标准与政策文件公开文本。</w:t>
      </w:r>
    </w:p>
    <w:p>
      <w:pPr>
        <w:spacing w:line="360" w:lineRule="auto" w:after="0"/>
        <w:ind w:firstLineChars="200" w:firstLine="480"/>
        <w:jc w:val="both"/>
      </w:pPr>
      <w:r>
        <w:rPr>
          <w:rFonts w:ascii="宋体" w:hAnsi="宋体" w:eastAsia="宋体"/>
          <w:sz w:val="24"/>
        </w:rPr>
        <w:t>表11.3 呈现的是一个「方法学齐备、功能单位缺失」的格局：从国际标准到国内标准，产品碳足迹的量化方法已经成熟，缺的是把这套方法应用于人工智能服务时所需的功能单位与分摊规则。这一缺口恰恰是标准词元计量体系的用武之地——功能单位问题的实质，就是「一枚什么样的词元」这一问题，而这正是第5章折算体系所回答的。因此本书主张一条清晰的制度路径：以标准词元为功能单位，依照产品碳足迹核算标准编制工作指引的流程，在国家产品碳足迹核算规则标准体系下单列词元核算规则，并同步建立与国际方法学的对照说明。标准的早期建立不仅是合规问题，也是国际竞争问题——在网络效应显著的技术领域，率先确立的标准往往因兼容性与预期协调而形成自我强化的优势（Farrell和Saloner，1985；Simcoe，2012），而词元的跨境流通天然具有这一特征。</w:t>
      </w:r>
    </w:p>
    <w:p>
      <w:pPr>
        <w:keepNext/>
        <w:spacing w:before="160" w:after="120" w:line="360" w:lineRule="auto"/>
        <w:outlineLvl w:val="1"/>
      </w:pPr>
      <w:r>
        <w:rPr>
          <w:rFonts w:ascii="黑体" w:hAnsi="黑体" w:eastAsia="黑体"/>
          <w:sz w:val="28"/>
        </w:rPr>
        <w:t>11.5  可信溯源体系：从数据传输到业务落地</w:t>
      </w:r>
    </w:p>
    <w:p>
      <w:pPr>
        <w:keepNext/>
        <w:spacing w:before="160" w:after="120" w:line="360" w:lineRule="auto"/>
        <w:outlineLvl w:val="2"/>
      </w:pPr>
      <w:r>
        <w:rPr>
          <w:rFonts w:ascii="黑体" w:hAnsi="黑体" w:eastAsia="黑体"/>
          <w:sz w:val="24"/>
        </w:rPr>
        <w:t>11.5.1  三段链路与存证层</w:t>
      </w:r>
    </w:p>
    <w:p>
      <w:pPr>
        <w:spacing w:line="360" w:lineRule="auto" w:after="0"/>
        <w:ind w:firstLineChars="200" w:firstLine="480"/>
        <w:jc w:val="both"/>
      </w:pPr>
      <w:r>
        <w:rPr>
          <w:rFonts w:ascii="宋体" w:hAnsi="宋体" w:eastAsia="宋体"/>
          <w:sz w:val="24"/>
        </w:rPr>
        <w:t>碳足迹凭证要能被采信，前提是词元的「身份」可以被追溯。一枚标准词元的完整身份至少包含五项信息：由哪个算力中心、哪个档位的模型生产，消耗了多少电量，其中绿电占比多少，对应多少碳排放，最终被用于什么业务。地方实践已经出现了与之高度对应的制度尝试：2026年7月启动的东南词元运营中心（温州）把「绿色词元认证」作为特色功能，其内核被概括为三项可证——来源可溯（词元由哪个算力中心、什么模型生产）、用能可证（耗电量与绿电占比）、碳排可算（对应的碳排放量）；该中心由国资控股的运营公司承担具体运营，电信运营商与云服务商提供智算基础设施与平台能力支撑（以上为公开报道口径）。广东词元交易和服务中心则从交易侧切入，牵头构建全省统一的词元计量规则并出具交易凭证。两地的做法虽然入口不同，指向的却是同一件事：把碳属性写进词元的计量记录。</w:t>
      </w:r>
    </w:p>
    <w:p>
      <w:pPr>
        <w:spacing w:line="360" w:lineRule="auto" w:after="0"/>
        <w:ind w:firstLineChars="200" w:firstLine="480"/>
        <w:jc w:val="both"/>
      </w:pPr>
      <w:r>
        <w:rPr>
          <w:rFonts w:ascii="宋体" w:hAnsi="宋体" w:eastAsia="宋体"/>
          <w:sz w:val="24"/>
        </w:rPr>
        <w:t>图11.1 下半部刻画的三段溯源链路，正是对这一实践的理论化。第一段是数据传输：输入数据经加密通道进入推理服务，需满足数据出境与个人信息保护的合规要求，其留痕对象是数据的来源与流向。第二段是模型调用：调用日志记录档位、任务类型、输入输出词元数、缓存命中情况与所在算力节点，其留痕对象是用量与效值，这一段同时是第5章效值折算与本章能耗核算的共同数据源。第三段是业务落地：推理结果被归档并与具体业务结果关联，其留痕对象是价值实现与责任归属。三段留痕汇入一个共同的存证层，由时间戳、内容哈希与主体标识构成，并与碳足迹凭证一一绑定。这一结构的经济含义在于范围经济：内容溯源、用量结算与碳核算共用同一条存证链，三者的边际成本因而大幅低于各自独立建设，这与第3章关于词元非竞争性与范围经济的分析是一致的。</w:t>
      </w:r>
    </w:p>
    <w:p>
      <w:pPr>
        <w:spacing w:line="360" w:lineRule="auto" w:after="0"/>
        <w:ind w:firstLineChars="200" w:firstLine="480"/>
        <w:jc w:val="both"/>
      </w:pPr>
      <w:r>
        <w:rPr>
          <w:rFonts w:ascii="宋体" w:hAnsi="宋体" w:eastAsia="宋体"/>
          <w:sz w:val="24"/>
        </w:rPr>
        <w:t>溯源体系并非从零开始。我国已有的监管框架为其提供了制度骨架：互联网信息服务深度合成管理规定要求对深度合成内容进行标识（「国家互联网信息办公室等，2022」），生成式人工智能服务管理暂行办法进一步确立了服务提供者的主体责任与内容标识义务（国家互联网信息办公室等，2023）；技术侧，面向大模型输出的水印方案已从研究走向可规模化部署（Kirchenbauer等，2023；Dathathri等，2024），为「这段内容由哪个模型生成」提供了可验证的技术手段。需要说明的是，内容水印解决的是输出侧的可识别性，而碳足迹凭证解决的是生产侧的可核算性，两者的技术实现不同但载体可以统一。把二者合并到同一存证层，既是成本考虑，也是治理考虑——它使得「谁生产、耗多少电、排多少碳、用在何处」构成一条完整的证据链，而不是四份互不衔接的记录。</w:t>
      </w:r>
    </w:p>
    <w:p>
      <w:pPr>
        <w:keepNext/>
        <w:spacing w:before="160" w:after="120" w:line="360" w:lineRule="auto"/>
        <w:outlineLvl w:val="2"/>
      </w:pPr>
      <w:r>
        <w:rPr>
          <w:rFonts w:ascii="黑体" w:hAnsi="黑体" w:eastAsia="黑体"/>
          <w:sz w:val="24"/>
        </w:rPr>
        <w:t>11.5.2  凭证的经济学：从柠檬市场到分离均衡</w:t>
      </w:r>
    </w:p>
    <w:p>
      <w:pPr>
        <w:spacing w:line="360" w:lineRule="auto" w:after="0"/>
        <w:ind w:firstLineChars="200" w:firstLine="480"/>
        <w:jc w:val="both"/>
      </w:pPr>
      <w:r>
        <w:rPr>
          <w:rFonts w:ascii="宋体" w:hAnsi="宋体" w:eastAsia="宋体"/>
          <w:sz w:val="24"/>
        </w:rPr>
        <w:t>绿色词元在信息结构上属于信任品：购买方在使用中无法感知其碳强度，事后也难以独立验证。在没有可信凭证的条件下，市场将退化为经典的柠檬市场——买方只愿按平均质量支付，导致真实的低碳供给因无法收回绿电增支而退出，市场上剩下的只有声称低碳而实际并非如此的供给（Akerlof，1970）。质量披露与第三方认证正是为化解这一失灵而生的制度，其有效性取决于披露信息的可核验性与认证机构的激励相容（Dranove和Jin，2010）。第8章已指出效值维度存在同构的柠檬市场风险，本章表明碳维度上的风险更为严重，原因是碳强度比效值更难被使用体验所揭示。</w:t>
      </w:r>
    </w:p>
    <w:p>
      <w:pPr>
        <w:spacing w:line="360" w:lineRule="auto" w:after="0"/>
        <w:ind w:firstLineChars="200" w:firstLine="480"/>
        <w:jc w:val="both"/>
      </w:pPr>
      <w:r>
        <w:rPr>
          <w:rFonts w:ascii="宋体" w:hAnsi="宋体" w:eastAsia="宋体"/>
          <w:sz w:val="24"/>
        </w:rPr>
        <w:t>要使绿色供给与非绿色供给在市场上分离，凭证制度须同时满足两个条件：绿色供给方的参与约束与非绿色供给方的激励相容约束，见式(11-12)。</w:t>
      </w:r>
    </w:p>
    <w:p>
      <w:pPr>
        <w:tabs>
          <w:tab w:pos="4252" w:val="center"/>
          <w:tab w:pos="8504" w:val="right"/>
        </w:tabs>
        <w:spacing w:line="360" w:lineRule="auto" w:before="80" w:after="80"/>
      </w:pPr>
      <w:r>
        <w:tab/>
      </w:r>
      <m:oMath>
        <m:r>
          <m:t>φ</m:t>
        </m:r>
        <m:r>
          <m:t> </m:t>
        </m:r>
        <m:acc>
          <m:accPr>
            <m:chr m:val="̃"/>
          </m:accPr>
          <m:e>
            <m:r>
              <m:t>p</m:t>
            </m:r>
          </m:e>
        </m:acc>
        <m:r>
          <m:t> </m:t>
        </m:r>
        <m:r>
          <m:rPr>
            <m:sty m:val="p"/>
          </m:rPr>
          <m:t>≥</m:t>
        </m:r>
        <m:r>
          <m:t> </m:t>
        </m:r>
        <m:r>
          <m:t>ε</m:t>
        </m:r>
        <m:r>
          <m:t> </m:t>
        </m:r>
        <m:r>
          <m:t>χ</m:t>
        </m:r>
        <m:r>
          <m:rPr>
            <m:sty m:val="p"/>
          </m:rPr>
          <m:t>+</m:t>
        </m:r>
        <m:sSub>
          <m:e>
            <m:r>
              <m:t>c</m:t>
            </m:r>
          </m:e>
          <m:sub>
            <m:r>
              <m:t>a</m:t>
            </m:r>
          </m:sub>
        </m:sSub>
        <m:r>
          <m:rPr>
            <m:sty m:val="p"/>
          </m:rPr>
          <m:t>,</m:t>
        </m:r>
        <m:r>
          <m:t>  </m:t>
        </m:r>
        <m:r>
          <m:t>π</m:t>
        </m:r>
        <m:r>
          <m:t> </m:t>
        </m:r>
        <m:r>
          <m:t>F</m:t>
        </m:r>
        <m:r>
          <m:t> </m:t>
        </m:r>
        <m:r>
          <m:rPr>
            <m:sty m:val="p"/>
          </m:rPr>
          <m:t>&gt;</m:t>
        </m:r>
        <m:r>
          <m:t> </m:t>
        </m:r>
        <m:r>
          <m:t>φ</m:t>
        </m:r>
        <m:r>
          <m:t> </m:t>
        </m:r>
        <m:acc>
          <m:accPr>
            <m:chr m:val="̃"/>
          </m:accPr>
          <m:e>
            <m:r>
              <m:t>p</m:t>
            </m:r>
          </m:e>
        </m:acc>
        <m:r>
          <m:rPr>
            <m:sty m:val="p"/>
          </m:rPr>
          <m:t>−</m:t>
        </m:r>
        <m:sSub>
          <m:e>
            <m:r>
              <m:t>c</m:t>
            </m:r>
          </m:e>
          <m:sub>
            <m:r>
              <m:t>a</m:t>
            </m:r>
          </m:sub>
        </m:sSub>
      </m:oMath>
      <w:r>
        <w:tab/>
      </w:r>
      <w:r>
        <w:rPr>
          <w:rFonts w:ascii="Times New Roman" w:hAnsi="Times New Roman" w:eastAsia="宋体"/>
          <w:sz w:val="24"/>
        </w:rPr>
        <w:t>(11-12)</w:t>
      </w:r>
    </w:p>
    <w:p>
      <w:pPr>
        <w:spacing w:line="360" w:lineRule="auto" w:after="0"/>
        <w:jc w:val="both"/>
      </w:pPr>
      <w:r>
        <w:rPr>
          <w:rFonts w:ascii="宋体" w:hAnsi="宋体" w:eastAsia="宋体"/>
          <w:sz w:val="24"/>
        </w:rPr>
        <w:t>其中，</w:t>
      </w:r>
      <m:oMath>
        <m:sSub>
          <m:e>
            <m:r>
              <m:t>c</m:t>
            </m:r>
          </m:e>
          <m:sub>
            <m:r>
              <m:t>a</m:t>
            </m:r>
          </m:sub>
        </m:sSub>
      </m:oMath>
      <w:r>
        <w:rPr>
          <w:rFonts w:ascii="宋体" w:hAnsi="宋体" w:eastAsia="宋体"/>
          <w:sz w:val="24"/>
        </w:rPr>
        <w:t xml:space="preserve"> 为单位标准词元的认证与核验成本，</w:t>
      </w:r>
      <m:oMath>
        <m:r>
          <m:t>π</m:t>
        </m:r>
      </m:oMath>
      <w:r>
        <w:rPr>
          <w:rFonts w:ascii="宋体" w:hAnsi="宋体" w:eastAsia="宋体"/>
          <w:sz w:val="24"/>
        </w:rPr>
        <w:t xml:space="preserve"> 为伪报被查处的概率，</w:t>
      </w:r>
      <m:oMath>
        <m:r>
          <m:t>F</m:t>
        </m:r>
      </m:oMath>
      <w:r>
        <w:rPr>
          <w:rFonts w:ascii="宋体" w:hAnsi="宋体" w:eastAsia="宋体"/>
          <w:sz w:val="24"/>
        </w:rPr>
        <w:t xml:space="preserve"> 为查实后的处罚（含声誉损失）。左式为绿色供给方愿意提供绿色词元的参与约束，右式为非绿色供给方不愿伪报的激励相容约束。</w:t>
      </w:r>
    </w:p>
    <w:p>
      <w:pPr>
        <w:spacing w:line="360" w:lineRule="auto" w:after="0"/>
        <w:ind w:firstLineChars="200" w:firstLine="480"/>
        <w:jc w:val="both"/>
      </w:pPr>
      <w:r>
        <w:rPr>
          <w:rFonts w:ascii="宋体" w:hAnsi="宋体" w:eastAsia="宋体"/>
          <w:sz w:val="24"/>
        </w:rPr>
        <w:t>式(11-12)的两个条件构成一个夹逼：溢价必须足够高以覆盖绿电增支与认证成本，又必须足够低（或处罚足够重）以使伪报无利可图。把11.4节的数值代入，溢价额仅为0.127元每百万标准词元，这一数额同时是绿电增支与认证成本之和的上限。由此得到一个具有操作意义的推论：认证成本必须被压到极低，否则认证本身就会吞噬全部溢价，使参与约束无法满足。而把认证成本压到极低的唯一途径，是让认证与计量同源——凭证不是在计量之外另行签发的证书，而是计量记录的一个自动生成的字段。这为第10章「五个统一」中的统一计量与统一安全审计提供了碳维度的延伸理由：统一计量平台一旦建成，碳足迹凭证的边际签发成本趋近于零；反之，若计量分散在各服务商手中，凭证的核验成本将高到使整个制度不经济。</w:t>
      </w:r>
    </w:p>
    <w:p>
      <w:pPr>
        <w:spacing w:line="360" w:lineRule="auto" w:after="0"/>
        <w:ind w:firstLineChars="200" w:firstLine="480"/>
        <w:jc w:val="both"/>
      </w:pPr>
      <w:r>
        <w:rPr>
          <w:rFonts w:ascii="宋体" w:hAnsi="宋体" w:eastAsia="宋体"/>
          <w:sz w:val="24"/>
        </w:rPr>
        <w:t xml:space="preserve">激励相容约束则指向执法。由于 </w:t>
      </w:r>
      <m:oMath>
        <m:r>
          <m:t>π</m:t>
        </m:r>
        <m:r>
          <m:t>F</m:t>
        </m:r>
      </m:oMath>
      <w:r>
        <w:rPr>
          <w:rFonts w:ascii="宋体" w:hAnsi="宋体" w:eastAsia="宋体"/>
          <w:sz w:val="24"/>
        </w:rPr>
        <w:t xml:space="preserve"> 需大于溢价扣除认证成本后的净收益，而溢价本身不高，制度设计上有两个可行方向：一是提高查处概率 </w:t>
      </w:r>
      <m:oMath>
        <m:r>
          <m:t>π</m:t>
        </m:r>
      </m:oMath>
      <w:r>
        <w:rPr>
          <w:rFonts w:ascii="宋体" w:hAnsi="宋体" w:eastAsia="宋体"/>
          <w:sz w:val="24"/>
        </w:rPr>
        <w:t xml:space="preserve">，其成本随存证层的完备程度而下降——若用电量、绿电合同与调用日志均已上链存证，抽查的边际成本极低；二是把处罚从罚款扩展到资格罚，即取消其在政策抵扣、政府采购与出海服务清单中的资格，使 </w:t>
      </w:r>
      <m:oMath>
        <m:r>
          <m:t>F</m:t>
        </m:r>
      </m:oMath>
      <w:r>
        <w:rPr>
          <w:rFonts w:ascii="宋体" w:hAnsi="宋体" w:eastAsia="宋体"/>
          <w:sz w:val="24"/>
        </w:rPr>
        <w:t xml:space="preserve"> 显著放大。两个方向都说明，绿色词元凭证制度的可行性不取决于技术，而取决于它能否嵌入既有的计量与监管基础设施。这与自愿减排市场的经验一致：产权量化标准与登记核查体系的完备程度，决定了环境权益能否真正定价（蓝虹和杜彦霖，2024）。</w:t>
      </w:r>
    </w:p>
    <w:p>
      <w:pPr>
        <w:keepNext/>
        <w:spacing w:before="160" w:after="120" w:line="360" w:lineRule="auto"/>
        <w:outlineLvl w:val="2"/>
      </w:pPr>
      <w:r>
        <w:rPr>
          <w:rFonts w:ascii="黑体" w:hAnsi="黑体" w:eastAsia="黑体"/>
          <w:sz w:val="24"/>
        </w:rPr>
        <w:t>11.5.3  制度缺口与建设次序</w:t>
      </w:r>
    </w:p>
    <w:p>
      <w:pPr>
        <w:spacing w:line="360" w:lineRule="auto" w:after="0"/>
        <w:ind w:firstLineChars="200" w:firstLine="480"/>
        <w:jc w:val="both"/>
      </w:pPr>
      <w:r>
        <w:rPr>
          <w:rFonts w:ascii="宋体" w:hAnsi="宋体" w:eastAsia="宋体"/>
          <w:sz w:val="24"/>
        </w:rPr>
        <w:t>综合本章的分析，词元碳治理面临三个层层递进的缺口。第一个是功能单位缺口：现有碳足迹方法学以产品为对象，未定义人工智能服务的功能单位，导致核算无从下手。第二个是分摊规则缺口：即便功能单位确定，设施开销、空闲备机、宿主机资源与跨域调度损耗如何分摊到单枚词元，目前没有公开统一的规则，而11.1节已经证明规则差异可造成成倍的结果差异。第三个是互认缺口：即便国内规则统一，其与国际方法学的对照关系仍未建立，而我国的产品碳足迹国家标准对国际标准采取的是修改采用而非等同采用，结果不默认互认。三个缺口的因果次序决定了建设次序：先统一功能单位（以标准词元为分母），再统一分摊规则（公开、可复现的能耗归集与分摊方法），最后推进国际互认（对照说明与第三方核查安排）。次序颠倒的代价是高昂的——若在功能单位未定的情况下先行签发凭证，则凭证之间不可比，反而会固化一批互不通约的地方标准。</w:t>
      </w:r>
    </w:p>
    <w:p>
      <w:pPr>
        <w:spacing w:line="360" w:lineRule="auto" w:after="0"/>
        <w:ind w:firstLineChars="200" w:firstLine="480"/>
        <w:jc w:val="both"/>
      </w:pPr>
      <w:r>
        <w:rPr>
          <w:rFonts w:ascii="宋体" w:hAnsi="宋体" w:eastAsia="宋体"/>
          <w:sz w:val="24"/>
        </w:rPr>
        <w:t>这里有必要辨明本书主张与既有词元评价工作的关系。目前公开可见的相关工作有四套，其主体、维度与用途各不相同，必须逐一分述而不能合并称引：中国信息通信研究院的可信人工智能词元服务质量评估设有六个维度（模型服务能力、词元服务性能、词元服务可信、词元服务运维、词元服务用户体验、词元计量计费）；同为中国信息通信研究院发布的高质量词元服务标准体系设有四个维度（服务质量、运营能力、生产能力、安全能力）；中国工业互联网研究院的词元驱动智能经济研究报告提出五维价值度量（生产成本、生产效率、准确性、生态价值、安全）；清华大学翟季冬团队联合清程极智发布的开源模型词元服务性能榜则给出三项实测指标（首词元时延的90分位、输出吞吐、缓存命中率）。四套工作的共同特点有二：一是形态上均为多维评价，产出并列的维度得分或达标基线；二是内容上均未设置碳维度。本书的主张因而是明确的：把碳强度作为一类新的指标纳入词元服务的评价与认证体系，并以标准词元为其分母——前者是维度的增加，后者是分母的统一，二者缺一不可。</w:t>
      </w:r>
    </w:p>
    <w:p>
      <w:pPr>
        <w:spacing w:line="360" w:lineRule="auto" w:after="0"/>
        <w:ind w:firstLineChars="200" w:firstLine="480"/>
        <w:jc w:val="both"/>
      </w:pPr>
      <w:r>
        <w:rPr>
          <w:rFonts w:ascii="宋体" w:hAnsi="宋体" w:eastAsia="宋体"/>
          <w:sz w:val="24"/>
        </w:rPr>
        <w:t>最后应当提示凭证制度的潜在风险。任何认证体系都同时是一道门槛：当认证成本相对固定时，其对中小服务商构成的相对负担更重，可能强化第8章所讨论的市场集中倾向；当认证资格与政策抵扣、政府采购挂钩时，还可能演化为区域性的准入壁垒，与全国统一大市场的方向相悖。规避之道有三：其一，认证以计量记录自动生成为主、以第三方核查为辅，把固定成本降到最低；其二，凭证格式与核验接口全国统一，在城市运营中心之间互认，避免「一城一证」；其三，阈值随技术进步与电源结构改善定期回调，并预先公布回调规则，使供给方能够形成稳定预期。三条措施的共同指向，是让绿色词元制度成为降低交易费用的公共品，而不是抬高进入门槛的私人租金。国家层面推动人工智能与实体经济深度融合的政策部署（国务院，2025），为这一制度安排提供了上位依据。</w:t>
      </w:r>
    </w:p>
    <w:p>
      <w:pPr>
        <w:keepNext/>
        <w:spacing w:before="160" w:after="120" w:line="360" w:lineRule="auto"/>
        <w:outlineLvl w:val="1"/>
      </w:pPr>
      <w:r>
        <w:rPr>
          <w:rFonts w:ascii="黑体" w:hAnsi="黑体" w:eastAsia="黑体"/>
          <w:sz w:val="28"/>
        </w:rPr>
        <w:t>11.6  本章小结</w:t>
      </w:r>
    </w:p>
    <w:p>
      <w:pPr>
        <w:spacing w:line="360" w:lineRule="auto" w:after="0"/>
        <w:ind w:firstLineChars="200" w:firstLine="480"/>
        <w:jc w:val="both"/>
      </w:pPr>
      <w:r>
        <w:rPr>
          <w:rFonts w:ascii="宋体" w:hAnsi="宋体" w:eastAsia="宋体"/>
          <w:sz w:val="24"/>
        </w:rPr>
        <w:t>本章把词元经济的分析从算力约束推进到电力与碳约束，构建了以标准词元为功能单位的能耗—碳足迹核算框架，并据此界定了绿色词元、测算了减排路径、刻画了溢价机制与溯源制度。核心结论可归纳为六点。第一，现有公开能耗数据存在分母、边界与分布三重口径落差：权威测算的分母普遍是「一次查询」而非「一千枚词元」，综合口径与仅计活跃加速器的窄口径相差2.4倍，中位数与均值因长推理的厚尾分布而显著背离，我国更无数据中心用电量的官方统计。因此词元级能耗与碳排数值只能是换算与校准复算的结果，其可靠性来自内部一致性与锚点校准，不能表述为实测值。第二，能耗核算的基本恒等式把技术效率、组织效率与设施效率放进同一表达式：能耗强度与转化效率、有效效值利用率成反比，与电能利用效率成正比，这使得调度这类纯组织性改进第一次进入了碳账。</w:t>
      </w:r>
    </w:p>
    <w:p>
      <w:pPr>
        <w:spacing w:line="360" w:lineRule="auto" w:after="0"/>
        <w:ind w:firstLineChars="200" w:firstLine="480"/>
        <w:jc w:val="both"/>
      </w:pPr>
      <w:r>
        <w:rPr>
          <w:rFonts w:ascii="宋体" w:hAnsi="宋体" w:eastAsia="宋体"/>
          <w:sz w:val="24"/>
        </w:rPr>
        <w:t>第三，在量纲上，以千瓦时每百万标准词元乘千克二氧化碳每千瓦时恰得克二氧化碳当量每千标准词元，换算系数为1；据此测算的2026年用量加权平均碳强度为2.263（地理位置法口径），全绿电供电的理论下界为0.171。分档位碳排放高度集中：旗舰闭源级与推理增强级合计用量份额15%，碳排放贡献却达43.1%。更重要的是碳—效值弹性估计为1.181，显著大于1，说明效值提升的碳代价是超比例的——效值折算解决价值可比，碳核算解决环境可比，两套当量体系必须并行，政策抵扣系数应写成效值系数与碳强度的复合函数。第四，绿色词元阈值按碳预算法取1.0克二氧化碳当量每千标准词元，约为现状均值的44%；在能效不变时整体达标需绿电占比达60.4%，而纯能效路径则需能耗强度整体下降55.8%，两条路径构成一条可替代但不可取消的等碳强度曲线。</w:t>
      </w:r>
    </w:p>
    <w:p>
      <w:pPr>
        <w:spacing w:line="360" w:lineRule="auto" w:after="0"/>
        <w:ind w:firstLineChars="200" w:firstLine="480"/>
        <w:jc w:val="both"/>
      </w:pPr>
      <w:r>
        <w:rPr>
          <w:rFonts w:ascii="宋体" w:hAnsi="宋体" w:eastAsia="宋体"/>
          <w:sz w:val="24"/>
        </w:rPr>
        <w:t>第五，减排的三条路径——能效、配置与电力——是乘性而非加性关系，其中配置路径最容易被忽略却最具即期可行性：把第9章统一调度的效率改进（有效效值利用率由38%升至54%）代入达标条件，整体达标所需绿电占比由60.4%降至40.2%，已低于2026年44%的绿电占比现状。这意味着在不新增绿电、不等待硬件更替的条件下，仅凭调度组织的改进即可使平均碳强度跨过阈值——绿色词元首先是一个配置问题，其次才是一个能源问题。情景测算进一步显示，基准情景至2035年仍高于阈值，绿色情景与深度情景分别在2033年与2032年跨越阈值，说明达标并非趋势的自然结果。本章还以总量口径校验表明，「调用量×能耗强度」式的乘法核算因分母不一、边际不等于平均、统计边界未公开而不成立，这恰恰构成建立服务级计量制度的现实理由。</w:t>
      </w:r>
    </w:p>
    <w:p>
      <w:pPr>
        <w:spacing w:line="360" w:lineRule="auto" w:after="0"/>
        <w:ind w:firstLineChars="200" w:firstLine="480"/>
        <w:jc w:val="both"/>
      </w:pPr>
      <w:r>
        <w:rPr>
          <w:rFonts w:ascii="宋体" w:hAnsi="宋体" w:eastAsia="宋体"/>
          <w:sz w:val="24"/>
        </w:rPr>
        <w:t>第六，绿色词元的溢价为8.3%且在1%水平上显著，折算的隐含碳价为60.8元每吨二氧化碳当量，对应绿电相对电网电价的可承受度电价差上限约3.0分每千瓦时；这一夹逼条件说明绿色词元的自发供给区间相当狭窄，必须辅以消纳责任权重、绿电直连与政策抵扣。溢价的可占有性完全依赖凭证的可信性：在信任品结构下，没有凭证的绿色供给会被逆向选择淘汰，而凭证要满足参与约束与激励相容约束的夹逼，唯一可行的办法是让认证与计量同源、把认证成本压到趋近于零。制度层面，产品碳足迹的方法学已经齐备而功能单位缺失，欧盟碳边境调节机制尚不覆盖数字服务，人工智能服务碳足迹亦无可认证的国际标准，这一空白正是以标准词元为功能单位先行建立核算规则的窗口期。建设次序应为：先统一功能单位，再统一分摊规则，最后推进国际互认。本章的碳强度参数与绿色词元界定将作为约束条件进入第12章的增长核算与第14章的政策设计，而其溯源体系与第10章的「五个统一」共用同一套计量基础设施。</w:t>
      </w:r>
    </w:p>
    <w:p>
      <w:r>
        <w:br w:type="page"/>
      </w:r>
    </w:p>
    <w:p>
      <w:pPr>
        <w:keepNext/>
        <w:spacing w:before="240" w:after="160" w:line="360" w:lineRule="auto"/>
        <w:jc w:val="center"/>
        <w:outlineLvl w:val="0"/>
      </w:pPr>
      <w:r>
        <w:rPr>
          <w:rFonts w:ascii="黑体" w:hAnsi="黑体" w:eastAsia="黑体"/>
          <w:b/>
          <w:sz w:val="30"/>
        </w:rPr>
        <w:t>第12章  词元经济的增长贡献测度</w:t>
      </w:r>
    </w:p>
    <w:p>
      <w:pPr>
        <w:spacing w:line="360" w:lineRule="auto" w:after="0"/>
        <w:ind w:firstLineChars="200" w:firstLine="480"/>
        <w:jc w:val="both"/>
      </w:pPr>
      <w:r>
        <w:rPr>
          <w:rFonts w:ascii="宋体" w:hAnsi="宋体" w:eastAsia="宋体"/>
          <w:sz w:val="24"/>
        </w:rPr>
        <w:t>全书的论证至此已经走完计量、定价与配置三大模块：第5章以四条公理构造了效值折算函数，把异质的物理词元变换为可比、可加的标准词元；第6至8章解决了标准词元的价值实现、价格形成与市场均衡；第9至11章处理了算力—词元的转化效率、城市运营中心的机制设计与绿色词元的碳足迹核算。这些工作共同服务于一个尚未兑现的承诺：标准词元应当承担价值尺度、定价基准、配置信号与增长核算变量四重经济职能。前三重职能已在前述各章分别落实，第四重职能——作为增长核算变量——是本章的任务，也是本书理论体系的最后一块拼图。这块拼图之所以关键，在于它是全部计量努力的终极检验：一个计量单位若不能进入国民经济核算体系、不能把某种经济活动的贡献从「无法解释的部分」中分离出来，它就仍然只是一个技术参数，而不是一个经济变量。</w:t>
      </w:r>
    </w:p>
    <w:p>
      <w:pPr>
        <w:spacing w:line="360" w:lineRule="auto" w:after="0"/>
        <w:ind w:firstLineChars="200" w:firstLine="480"/>
        <w:jc w:val="both"/>
      </w:pPr>
      <w:r>
        <w:rPr>
          <w:rFonts w:ascii="宋体" w:hAnsi="宋体" w:eastAsia="宋体"/>
          <w:sz w:val="24"/>
        </w:rPr>
        <w:t>本章要回答的问题可以表述得非常朴素：人工智能究竟对经济增长贡献了多少？这一问题在既有文献中长期无解，不是因为缺少估计，而是因为缺少可观测、可加总、可归属的中间变量。悲观者与乐观者各执一词，其分歧很大程度上并非来自经济学判断的差异，而来自各自所用口径的不可通约。词元流量的出现改变了这一局面：它每日可计数、随场景可分、随主体可归、随模型可分档，是人工智能扩散过程的直接观测量。本章的核心主张是，一旦把经效值折算的标准词元流量作为独立要素引入生产函数，人工智能的增长贡献就可以从索洛残差中显性分离，增长核算由此从「事后残差推断」转向「事中过程观测」。本章安排如下：12.1节梳理索洛生产率悖论在人工智能时代的再现及其口径辨析；12.2节剖析传统增长核算的三重遗漏，说明人工智能为何必然沉入残差；12.3节构建引入词元流量的智能经济生产函数并给出可估计式；12.4节完成从残差测度到过程观测的转换，给出贡献分离、配置判据与动态滞后结构；12.5节报告基于城市—年度面板的估计与贡献分解；12.6节与资本服务测度传统对话并检验稳健性；12.7节为本章小结。</w:t>
      </w:r>
    </w:p>
    <w:p>
      <w:pPr>
        <w:keepNext/>
        <w:spacing w:before="160" w:after="120" w:line="360" w:lineRule="auto"/>
        <w:outlineLvl w:val="1"/>
      </w:pPr>
      <w:r>
        <w:rPr>
          <w:rFonts w:ascii="黑体" w:hAnsi="黑体" w:eastAsia="黑体"/>
          <w:sz w:val="28"/>
        </w:rPr>
        <w:t>12.1  索洛生产率悖论在人工智能时代的再现</w:t>
      </w:r>
    </w:p>
    <w:p>
      <w:pPr>
        <w:keepNext/>
        <w:spacing w:before="160" w:after="120" w:line="360" w:lineRule="auto"/>
        <w:outlineLvl w:val="2"/>
      </w:pPr>
      <w:r>
        <w:rPr>
          <w:rFonts w:ascii="黑体" w:hAnsi="黑体" w:eastAsia="黑体"/>
          <w:sz w:val="24"/>
        </w:rPr>
        <w:t>12.1.1  「到处都是大模型，唯独生产率统计里看不见」</w:t>
      </w:r>
    </w:p>
    <w:p>
      <w:pPr>
        <w:spacing w:line="360" w:lineRule="auto" w:after="0"/>
        <w:ind w:firstLineChars="200" w:firstLine="480"/>
        <w:jc w:val="both"/>
      </w:pPr>
      <w:r>
        <w:rPr>
          <w:rFonts w:ascii="宋体" w:hAnsi="宋体" w:eastAsia="宋体"/>
          <w:sz w:val="24"/>
        </w:rPr>
        <w:t>一九八七年，索洛在评论信息技术的经济效应时留下一句被反复引用的判断：计算机时代的痕迹到处可见，唯独在生产率统计中看不见。将近四十年之后，同一句判断几乎可以原样移植到大模型身上。通用目的技术的理论传统早已预言了这种时滞：通用目的技术的特征是普遍适用性、持续改进性与创新互补性，其宏观效应必须经由下游部门的互补创新才能释放，因而在扩散早期往往表现为「投入已发生而产出未显现」（Bresnahan和Trajtenberg，1995）；对人工智能作为通用目的技术的专门评估同样指出，其增长效应的实现取决于互补性投资的规模与速度（Crafts，2021）；从增长理论看，人工智能既可能通过扩大自动化任务集提升产出，也可能通过改变研究生产函数改变增长率本身，两条渠道的量级差异极大（Aghion等，2019）；而机器学习作为一种发明方法的发明，其价值更多体现在对创新过程的加速上，这类效应在短期统计中几乎无从捕捉（Goldfarb等，2023）。</w:t>
      </w:r>
    </w:p>
    <w:p>
      <w:pPr>
        <w:spacing w:line="360" w:lineRule="auto" w:after="0"/>
        <w:ind w:firstLineChars="200" w:firstLine="480"/>
        <w:jc w:val="both"/>
      </w:pPr>
      <w:r>
        <w:rPr>
          <w:rFonts w:ascii="宋体" w:hAnsi="宋体" w:eastAsia="宋体"/>
          <w:sz w:val="24"/>
        </w:rPr>
        <w:t>悖论的现实反差在我国表现得尤为尖锐。按国家数据局公开发布的口径，我国日均词元调用量由2024年初的1000亿枚，增至2025年6月底突破30万亿枚、2025年底的100万亿枚，2026年3月突破140万亿枚，两年增长约1400倍。与此同时，苏州、嘉兴、温州、广州、上海等地在一周之内密集设立城市级词元运营中心或将词元纳入技改补贴，词元从模型服务的计价单位变为城市公共基础设施。可是在国民经济核算的报表上，这一量级的扩张几乎没有留下可识别的独立痕迹：它既不在资本形成的分类目录中，也不在中间投入的分类目录中，最终只能以两种方式被间接吸收——一部分作为信息服务业的增加值进入产业统计，另一部分作为无法解释的效率改善进入全要素生产率残差。前者只记录了词元的销售额，后者则把词元的使用效应与其他一切未观测因素混为一谈。</w:t>
      </w:r>
    </w:p>
    <w:p>
      <w:pPr>
        <w:spacing w:line="360" w:lineRule="auto" w:after="0"/>
        <w:ind w:firstLineChars="200" w:firstLine="480"/>
        <w:jc w:val="both"/>
      </w:pPr>
      <w:r>
        <w:rPr>
          <w:rFonts w:ascii="宋体" w:hAnsi="宋体" w:eastAsia="宋体"/>
          <w:sz w:val="24"/>
        </w:rPr>
        <w:t>国际经验同样提示我们对宏观数字保持审慎。美国劳工统计局的口径显示，2025年全年非农商业部门劳动生产率增长约2.1%，低于2024年的3.0%，季度值则波动剧烈。这里需要特别指出一处广为流传但与官方统计相矛盾的说法：有论者称美国2025年劳动生产率增长约2.7%、接近此前十年年均水平的两倍，并据此宣称人工智能已推动生产率跃升。经与美国劳工统计局公布的年度值核对，该数字既不等于官方全年值，其所隐含的「2025年生产率加速」叙事更与官方「全年增速较2024年回落」的事实方向相反；且劳动生产率与全要素生产率分属两个指标，不可交叉引用。本书不采用该数字。这一处校核本身即说明了本章的必要性：在缺乏过程观测变量的条件下，关于人工智能增长效应的讨论极易退化为对宏观时间序列的事后附会，而任何一个方向相反的季度波动都足以推翻整套叙事。</w:t>
      </w:r>
    </w:p>
    <w:p>
      <w:pPr>
        <w:keepNext/>
        <w:spacing w:before="160" w:after="120" w:line="360" w:lineRule="auto"/>
        <w:outlineLvl w:val="2"/>
      </w:pPr>
      <w:r>
        <w:rPr>
          <w:rFonts w:ascii="黑体" w:hAnsi="黑体" w:eastAsia="黑体"/>
          <w:sz w:val="24"/>
        </w:rPr>
        <w:t>12.1.2  悲观与乐观：两侧估计及其口径边界</w:t>
      </w:r>
    </w:p>
    <w:p>
      <w:pPr>
        <w:spacing w:line="360" w:lineRule="auto" w:after="0"/>
        <w:ind w:firstLineChars="200" w:firstLine="480"/>
        <w:jc w:val="both"/>
      </w:pPr>
      <w:r>
        <w:rPr>
          <w:rFonts w:ascii="宋体" w:hAnsi="宋体" w:eastAsia="宋体"/>
          <w:sz w:val="24"/>
        </w:rPr>
        <w:t>悲观侧最具影响力的测算来自对人工智能宏观效应的简明分析。其方法建立在希尔滕定理之上：一项技术带来的国内生产总值与生产率收益，取决于受其影响的任务占比与每项任务的平均成本节约。据此设定约20%的劳动任务暴露于人工智能、其中仅约23%可被有利可图地自动化、每项任务平均劳动成本节约约27%，得到的结论是人工智能在未来十年最多带来约0.66%的全要素生产率增幅；作者随后进一步收紧至低于0.53%，理由是早期证据多来自易学任务，而未来效应更多依赖情境判断类难学任务（Acemoglu，2025）。乐观侧的代表性框架则是生产率J曲线：通用目的技术需要流程再造、组织重构与员工再培训等互补性无形投资，这些投入在会计上被费用化而非资本化，因而被系统性错误计量，使可测生产率呈现先降后升的J形轨迹（Brynjolfsson等，2021）；对人工智能与现代生产率悖论的系统梳理进一步把「技术潜力巨大」与「统计尚未显现」这两个看似矛盾的事实统一在实施滞后的解释之下（Brynjolfsson等，2019）。基于美国普查局企业微观数据的最新研究支持了这一模式：工业人工智能采用的早期出现生产流程与组织扰动导致的产出损失，多数企业在中期出现绩效改善。</w:t>
      </w:r>
    </w:p>
    <w:p>
      <w:pPr>
        <w:spacing w:line="360" w:lineRule="auto" w:after="0"/>
        <w:ind w:firstLineChars="200" w:firstLine="480"/>
        <w:jc w:val="both"/>
      </w:pPr>
      <w:r>
        <w:rPr>
          <w:rFonts w:ascii="宋体" w:hAnsi="宋体" w:eastAsia="宋体"/>
          <w:sz w:val="24"/>
        </w:rPr>
        <w:t>两侧之间还散布着大量机构测算与微观实验证据。经济合作与发展组织对七国集团的评估认为，人工智能可为高暴露度国家的年度总体劳动生产率增长贡献0.4至1.3个百分点（「OECD，2024」）；国际货币基金组织的研究指出全球约40%的就业岗位暴露于人工智能、发达经济体约60%，其中约一半有望受益于生产率提升、另一半面临替代风险（「Cazzaniga等，2024」）；人工智能指数报告的经济章测算，到2026年初美国由人工智能带来的消费者剩余达到每年1720亿美元，上年同期为1120亿美元，同时70%的组织已在至少一项业务职能中使用生成式人工智能，按职能测得的生产率提升分别为客户支持14%至15%、软件开发26%、营销产出73%（「Stanford HAI，2026」）；咨询机构对生成式人工智能经济潜力的测算则给出了更大的总量口径（「Chui等，2023」）。微观实验与准实验研究的结论亦相当一致：写作类任务的完成时间显著缩短而质量不降（Noy和Zhang，2023），客服坐席的产出提升在低技能员工中最为明显（Brynjolfsson等，2025），任务层面的暴露度测算表明相当比例的工作任务可被显著加速（Eloundou等，2024），企业层面的证据显示人工智能采用与生产率之间存在正向关联但异质性极强（Czarnitzki等，2023），采用速度快于历史上任何一项通用技术（Bick等，2024），而采用行为在人群与企业之间高度不均（Humlum和Vestergaard，2025）。</w:t>
      </w:r>
    </w:p>
    <w:p>
      <w:pPr>
        <w:spacing w:line="360" w:lineRule="auto" w:after="0"/>
        <w:ind w:firstLineChars="200" w:firstLine="480"/>
        <w:jc w:val="both"/>
      </w:pPr>
      <w:r>
        <w:rPr>
          <w:rFonts w:ascii="宋体" w:hAnsi="宋体" w:eastAsia="宋体"/>
          <w:sz w:val="24"/>
        </w:rPr>
        <w:t>把这些数字并置阅读时，最容易犯的错误是把量纲与期限不同的估计直接比较。本书在此重申三条口径纪律。其一，全要素生产率与劳动生产率是两个指标，前者刻画要素综合效率，后者刻画每小时产出，二者的驱动机制与统计来源均不相同，不可交叉引用。其二，十年累计增幅与年度增量百分点是两种期限口径，0.66%的十年累计全要素生产率增幅与0.4至1.3个百分点的年度劳动生产率增量之间相差的约二十倍纯属口径差异，绝不能据此得出某一方比另一方乐观二十倍的结论。其三，任务级生产率提升是特定任务的微观实验结果，不能外推为宏观生产率增速；消费者剩余是福利口径，既不是国内生产总值口径，也不是产值或市场规模口径，不可与后者并列或相加。悲观侧与乐观侧的所谓「对立」，有相当一部分正是在违反这三条纪律的比较中被人为制造出来的。</w:t>
      </w:r>
    </w:p>
    <w:p>
      <w:pPr>
        <w:keepNext/>
        <w:spacing w:before="160" w:after="120" w:line="360" w:lineRule="auto"/>
        <w:outlineLvl w:val="2"/>
      </w:pPr>
      <w:r>
        <w:rPr>
          <w:rFonts w:ascii="黑体" w:hAnsi="黑体" w:eastAsia="黑体"/>
          <w:sz w:val="24"/>
        </w:rPr>
        <w:t>12.1.3  悖论的四类解释与本书的诊断</w:t>
      </w:r>
    </w:p>
    <w:p>
      <w:pPr>
        <w:spacing w:line="360" w:lineRule="auto" w:after="0"/>
        <w:ind w:firstLineChars="200" w:firstLine="480"/>
        <w:jc w:val="both"/>
      </w:pPr>
      <w:r>
        <w:rPr>
          <w:rFonts w:ascii="宋体" w:hAnsi="宋体" w:eastAsia="宋体"/>
          <w:sz w:val="24"/>
        </w:rPr>
        <w:t>对生产率悖论的经典解释可归纳为四类：虚假期望，即技术的潜力被高估；错误计量，即收益真实存在但未被统计捕捉；再分配与租金消散，即技术带来的是份额转移而非总量增加；实施滞后与转型成本，即互补性投资尚未完成（Brynjolfsson等，2019）。围绕错误计量一支的检验最为充分：对错误计量能否解释生产率放缓的系统性检验表明，单靠错误计量不足以完全解释缺口，但计量改进的空间确实存在（Syverson，2017）；云计算的价格测度困难导致相关投入的实物量增长被低估（Byrne等，2018）；跨境数据流与云服务对国内生产总值测度提出了新的挑战（Coyle和Nguyen，2019）；而企业层面的证据显示云计算采用确实带来了可观的增长效应（DeStefano等，2025）。这些研究共同勾勒出一条经验规律：每当一种新的中间性生产服务以急剧下降的价格与快速上升的质量被大规模使用时，现行核算体系总是先低估其实物量，再把差额留给残差。</w:t>
      </w:r>
    </w:p>
    <w:p>
      <w:pPr>
        <w:spacing w:line="360" w:lineRule="auto" w:after="0"/>
        <w:ind w:firstLineChars="200" w:firstLine="480"/>
        <w:jc w:val="both"/>
      </w:pPr>
      <w:r>
        <w:rPr>
          <w:rFonts w:ascii="宋体" w:hAnsi="宋体" w:eastAsia="宋体"/>
          <w:sz w:val="24"/>
        </w:rPr>
        <w:t>本书的诊断在四类解释之外增加了第五类，并认为它才是当下最具约束力的一类：过程量缺失。人工智能的投入端与产出端各自都有统计，唯独连接二者的使用过程没有可加的计量单位。算力规模只说明产能存在，不说明产能被使用；数据体量只说明资源存在，不说明资源被调用；人工智能产业收入只说明服务被购买，不说明服务在多大强度上参与了买方的生产。这一空缺使得核算者面对人工智能时只有两条路可走：要么把它当作一项普通的中间投入按支出额计入，从而完全丧失结构信息；要么把它留在残差里，从而完全丧失归因能力。词元流量恰好位于这一空缺的位置上——它是投入被实际使用的直接计数，是产出被实际生产的直接凭据。但要让这一变量真正进入核算，前提仍然是可加，即必须先完成折算：物理词元不可加，标准词元才可加。第5章的折算体系与本章的核算框架，由此构成一条完整的方法链条。</w:t>
      </w:r>
    </w:p>
    <w:p>
      <w:pPr>
        <w:keepNext/>
        <w:spacing w:before="160" w:after="120" w:line="360" w:lineRule="auto"/>
        <w:outlineLvl w:val="1"/>
      </w:pPr>
      <w:r>
        <w:rPr>
          <w:rFonts w:ascii="黑体" w:hAnsi="黑体" w:eastAsia="黑体"/>
          <w:sz w:val="28"/>
        </w:rPr>
        <w:t>12.2  传统增长核算的局限：人工智能为何沉入残差</w:t>
      </w:r>
    </w:p>
    <w:p>
      <w:pPr>
        <w:keepNext/>
        <w:spacing w:before="160" w:after="120" w:line="360" w:lineRule="auto"/>
        <w:outlineLvl w:val="2"/>
      </w:pPr>
      <w:r>
        <w:rPr>
          <w:rFonts w:ascii="黑体" w:hAnsi="黑体" w:eastAsia="黑体"/>
          <w:sz w:val="24"/>
        </w:rPr>
        <w:t>12.2.1  残差的性质与「我们无知的度量」</w:t>
      </w:r>
    </w:p>
    <w:p>
      <w:pPr>
        <w:spacing w:line="360" w:lineRule="auto" w:after="0"/>
        <w:ind w:firstLineChars="200" w:firstLine="480"/>
        <w:jc w:val="both"/>
      </w:pPr>
      <w:r>
        <w:rPr>
          <w:rFonts w:ascii="宋体" w:hAnsi="宋体" w:eastAsia="宋体"/>
          <w:sz w:val="24"/>
        </w:rPr>
        <w:t>增长核算的基本操作是把产出增长分解为要素投入的贡献与一个无法由投入解释的余项。以最简的两要素设定为例，记产出增长率为</w:t>
      </w:r>
      <m:oMath>
        <m:sSub>
          <m:e>
            <m:r>
              <m:t>g</m:t>
            </m:r>
          </m:e>
          <m:sub>
            <m:r>
              <m:t>Y</m:t>
            </m:r>
          </m:sub>
        </m:sSub>
      </m:oMath>
      <w:r>
        <w:rPr>
          <w:rFonts w:ascii="宋体" w:hAnsi="宋体" w:eastAsia="宋体"/>
          <w:sz w:val="24"/>
        </w:rPr>
        <w:t>、资本与劳动的增长率为</w:t>
      </w:r>
      <m:oMath>
        <m:sSub>
          <m:e>
            <m:r>
              <m:t>g</m:t>
            </m:r>
          </m:e>
          <m:sub>
            <m:r>
              <m:t>K</m:t>
            </m:r>
          </m:sub>
        </m:sSub>
      </m:oMath>
      <w:r>
        <w:rPr>
          <w:rFonts w:ascii="宋体" w:hAnsi="宋体" w:eastAsia="宋体"/>
          <w:sz w:val="24"/>
        </w:rPr>
        <w:t>与</w:t>
      </w:r>
      <m:oMath>
        <m:sSub>
          <m:e>
            <m:r>
              <m:t>g</m:t>
            </m:r>
          </m:e>
          <m:sub>
            <m:r>
              <m:t>L</m:t>
            </m:r>
          </m:sub>
        </m:sSub>
      </m:oMath>
      <w:r>
        <w:rPr>
          <w:rFonts w:ascii="宋体" w:hAnsi="宋体" w:eastAsia="宋体"/>
          <w:sz w:val="24"/>
        </w:rPr>
        <w:t>，核算者所采用的（通常取自要素收入份额的）弹性为</w:t>
      </w:r>
      <m:oMath>
        <m:sSubSup>
          <m:e>
            <m:r>
              <m:t>α</m:t>
            </m:r>
          </m:e>
          <m:sub>
            <m:r>
              <m:t>K</m:t>
            </m:r>
          </m:sub>
          <m:sup>
            <m:d>
              <m:dPr>
                <m:begChr m:val="("/>
                <m:endChr m:val=")"/>
                <m:grow/>
              </m:dPr>
              <m:e>
                <m:r>
                  <m:t>0</m:t>
                </m:r>
              </m:e>
            </m:d>
          </m:sup>
        </m:sSubSup>
      </m:oMath>
      <w:r>
        <w:rPr>
          <w:rFonts w:ascii="宋体" w:hAnsi="宋体" w:eastAsia="宋体"/>
          <w:sz w:val="24"/>
        </w:rPr>
        <w:t>与</w:t>
      </w:r>
      <m:oMath>
        <m:sSubSup>
          <m:e>
            <m:r>
              <m:t>α</m:t>
            </m:r>
          </m:e>
          <m:sub>
            <m:r>
              <m:t>L</m:t>
            </m:r>
          </m:sub>
          <m:sup>
            <m:d>
              <m:dPr>
                <m:begChr m:val="("/>
                <m:endChr m:val=")"/>
                <m:grow/>
              </m:dPr>
              <m:e>
                <m:r>
                  <m:t>0</m:t>
                </m:r>
              </m:e>
            </m:d>
          </m:sup>
        </m:sSubSup>
      </m:oMath>
      <w:r>
        <w:rPr>
          <w:rFonts w:ascii="宋体" w:hAnsi="宋体" w:eastAsia="宋体"/>
          <w:sz w:val="24"/>
        </w:rPr>
        <w:t>，则传统索洛残差为：</w:t>
      </w:r>
    </w:p>
    <w:p>
      <w:pPr>
        <w:tabs>
          <w:tab w:pos="4252" w:val="center"/>
          <w:tab w:pos="8504" w:val="right"/>
        </w:tabs>
        <w:spacing w:line="360" w:lineRule="auto" w:before="80" w:after="80"/>
      </w:pPr>
      <w:r>
        <w:tab/>
      </w:r>
      <m:oMath>
        <m:sSubSup>
          <m:e>
            <m:r>
              <m:t>g</m:t>
            </m:r>
          </m:e>
          <m:sub>
            <m:r>
              <m:t>A</m:t>
            </m:r>
          </m:sub>
          <m:sup>
            <m:d>
              <m:dPr>
                <m:begChr m:val="("/>
                <m:endChr m:val=")"/>
                <m:grow/>
              </m:dPr>
              <m:e>
                <m:r>
                  <m:t>0</m:t>
                </m:r>
              </m:e>
            </m:d>
          </m:sup>
        </m:sSubSup>
        <m:r>
          <m:rPr>
            <m:sty m:val="p"/>
          </m:rPr>
          <m:t>=</m:t>
        </m:r>
        <m:sSub>
          <m:e>
            <m:r>
              <m:t>g</m:t>
            </m:r>
          </m:e>
          <m:sub>
            <m:r>
              <m:t>Y</m:t>
            </m:r>
          </m:sub>
        </m:sSub>
        <m:r>
          <m:rPr>
            <m:sty m:val="p"/>
          </m:rPr>
          <m:t>−</m:t>
        </m:r>
        <m:sSubSup>
          <m:e>
            <m:r>
              <m:t>α</m:t>
            </m:r>
          </m:e>
          <m:sub>
            <m:r>
              <m:t>K</m:t>
            </m:r>
          </m:sub>
          <m:sup>
            <m:d>
              <m:dPr>
                <m:begChr m:val="("/>
                <m:endChr m:val=")"/>
                <m:grow/>
              </m:dPr>
              <m:e>
                <m:r>
                  <m:t>0</m:t>
                </m:r>
              </m:e>
            </m:d>
          </m:sup>
        </m:sSubSup>
        <m:sSub>
          <m:e>
            <m:r>
              <m:t>g</m:t>
            </m:r>
          </m:e>
          <m:sub>
            <m:r>
              <m:t>K</m:t>
            </m:r>
          </m:sub>
        </m:sSub>
        <m:r>
          <m:rPr>
            <m:sty m:val="p"/>
          </m:rPr>
          <m:t>−</m:t>
        </m:r>
        <m:sSubSup>
          <m:e>
            <m:r>
              <m:t>α</m:t>
            </m:r>
          </m:e>
          <m:sub>
            <m:r>
              <m:t>L</m:t>
            </m:r>
          </m:sub>
          <m:sup>
            <m:d>
              <m:dPr>
                <m:begChr m:val="("/>
                <m:endChr m:val=")"/>
                <m:grow/>
              </m:dPr>
              <m:e>
                <m:r>
                  <m:t>0</m:t>
                </m:r>
              </m:e>
            </m:d>
          </m:sup>
        </m:sSubSup>
        <m:sSub>
          <m:e>
            <m:r>
              <m:t>g</m:t>
            </m:r>
          </m:e>
          <m:sub>
            <m:r>
              <m:t>L</m:t>
            </m:r>
          </m:sub>
        </m:sSub>
      </m:oMath>
      <w:r>
        <w:tab/>
      </w:r>
      <w:r>
        <w:rPr>
          <w:rFonts w:ascii="Times New Roman" w:hAnsi="Times New Roman" w:eastAsia="宋体"/>
          <w:sz w:val="24"/>
        </w:rPr>
        <w:t>(12-1)</w:t>
      </w:r>
    </w:p>
    <w:p>
      <w:pPr>
        <w:spacing w:line="360" w:lineRule="auto" w:after="0"/>
        <w:jc w:val="both"/>
      </w:pPr>
      <w:r>
        <w:rPr>
          <w:rFonts w:ascii="宋体" w:hAnsi="宋体" w:eastAsia="宋体"/>
          <w:sz w:val="24"/>
        </w:rPr>
        <w:t>其中，上标(0)表示传统两要素核算口径，</w:t>
      </w:r>
      <m:oMath>
        <m:sSubSup>
          <m:e>
            <m:r>
              <m:t>g</m:t>
            </m:r>
          </m:e>
          <m:sub>
            <m:r>
              <m:t>A</m:t>
            </m:r>
          </m:sub>
          <m:sup>
            <m:d>
              <m:dPr>
                <m:begChr m:val="("/>
                <m:endChr m:val=")"/>
                <m:grow/>
              </m:dPr>
              <m:e>
                <m:r>
                  <m:t>0</m:t>
                </m:r>
              </m:e>
            </m:d>
          </m:sup>
        </m:sSubSup>
      </m:oMath>
      <w:r>
        <w:rPr>
          <w:rFonts w:ascii="宋体" w:hAnsi="宋体" w:eastAsia="宋体"/>
          <w:sz w:val="24"/>
        </w:rPr>
        <w:t>即该口径下的全要素生产率增长率。</w:t>
      </w:r>
    </w:p>
    <w:p>
      <w:pPr>
        <w:spacing w:line="360" w:lineRule="auto" w:after="0"/>
        <w:ind w:firstLineChars="200" w:firstLine="480"/>
        <w:jc w:val="both"/>
      </w:pPr>
      <w:r>
        <w:rPr>
          <w:rFonts w:ascii="宋体" w:hAnsi="宋体" w:eastAsia="宋体"/>
          <w:sz w:val="24"/>
        </w:rPr>
        <w:t>式(12-1)的形式极为简洁，其经济含义却始终含混。残差既包含真正意义上的技术进步，也包含配置效率改善、规模经济、要素质量变动、测度误差乃至一切被遗漏的投入，因而被恰当地称作「我们无知的度量」。此后半个多世纪的增长核算史，本质上是一部不断把残差中可解释部分显性化的历史：以资本服务流量代替资本存量、按资产类别与使用者成本加权、以质量调整的劳动投入代替人头数、把研发与软件等无形资产资本化——每一次改进，都是把原本落入残差的贡献归还给某项可观测的投入。乔根森开创的资本服务测度传统正是其中影响最深远的一支，它所确立的方法论原则可以概括为一句话：残差的缩小不是技术的退步，而是认识的进步。本章正是沿着这一原则展开——把标准词元流量确立为智能经济核算中新的可观测投入，从而把此前落入残差的人工智能贡献归还给它。</w:t>
      </w:r>
    </w:p>
    <w:p>
      <w:pPr>
        <w:keepNext/>
        <w:spacing w:before="160" w:after="120" w:line="360" w:lineRule="auto"/>
        <w:outlineLvl w:val="2"/>
      </w:pPr>
      <w:r>
        <w:rPr>
          <w:rFonts w:ascii="黑体" w:hAnsi="黑体" w:eastAsia="黑体"/>
          <w:sz w:val="24"/>
        </w:rPr>
        <w:t>12.2.2  三重遗漏与偏误的方向</w:t>
      </w:r>
    </w:p>
    <w:p>
      <w:pPr>
        <w:spacing w:line="360" w:lineRule="auto" w:after="0"/>
        <w:ind w:firstLineChars="200" w:firstLine="480"/>
        <w:jc w:val="both"/>
      </w:pPr>
      <w:r>
        <w:rPr>
          <w:rFonts w:ascii="宋体" w:hAnsi="宋体" w:eastAsia="宋体"/>
          <w:sz w:val="24"/>
        </w:rPr>
        <w:t>人工智能在现行核算中面临的遗漏是三重的。第一重是投入侧的质量遗漏：智能算力设施虽以固定资产投资的形式被记录，但其提供的服务流并未按质量调整，一台训练卡与一台通用服务器在核算中被同等对待，而二者单位时间所能支撑的认知产出相差数十倍。第二重是无形投资的费用化遗漏：企业为采用人工智能所投入的流程再造、提示工程、数据治理与员工培训，在会计上被计为当期费用而非资本形成，既压低了当期测得的产出，又使后续的产出改善失去对应的投入项——这正是J曲线机制的会计根源（Brynjolfsson等，2021）。第三重、也是本书最为关注的一重，是过程量的完全缺失：即便前两重遗漏被完美修正，核算体系中仍然没有一个变量记录「人工智能在多大强度上被实际使用」。</w:t>
      </w:r>
    </w:p>
    <w:p>
      <w:pPr>
        <w:spacing w:line="360" w:lineRule="auto" w:after="0"/>
        <w:ind w:firstLineChars="200" w:firstLine="480"/>
        <w:jc w:val="both"/>
      </w:pPr>
      <w:r>
        <w:rPr>
          <w:rFonts w:ascii="宋体" w:hAnsi="宋体" w:eastAsia="宋体"/>
          <w:sz w:val="24"/>
        </w:rPr>
        <w:t>三重遗漏的后果可以形式化地表述出来。设真实的数据生成过程中，数据要素</w:t>
      </w:r>
      <m:oMath>
        <m:r>
          <m:t>D</m:t>
        </m:r>
      </m:oMath>
      <w:r>
        <w:rPr>
          <w:rFonts w:ascii="宋体" w:hAnsi="宋体" w:eastAsia="宋体"/>
          <w:sz w:val="24"/>
        </w:rPr>
        <w:t>与标准词元流量</w:t>
      </w:r>
      <m:oMath>
        <m:acc>
          <m:accPr>
            <m:chr m:val="̃"/>
          </m:accPr>
          <m:e>
            <m:r>
              <m:t>T</m:t>
            </m:r>
          </m:e>
        </m:acc>
      </m:oMath>
      <w:r>
        <w:rPr>
          <w:rFonts w:ascii="宋体" w:hAnsi="宋体" w:eastAsia="宋体"/>
          <w:sz w:val="24"/>
        </w:rPr>
        <w:t>均具有正的产出弹性</w:t>
      </w:r>
      <m:oMath>
        <m:sSub>
          <m:e>
            <m:r>
              <m:t>α</m:t>
            </m:r>
          </m:e>
          <m:sub>
            <m:r>
              <m:t>D</m:t>
            </m:r>
          </m:sub>
        </m:sSub>
      </m:oMath>
      <w:r>
        <w:rPr>
          <w:rFonts w:ascii="宋体" w:hAnsi="宋体" w:eastAsia="宋体"/>
          <w:sz w:val="24"/>
        </w:rPr>
        <w:t>与</w:t>
      </w:r>
      <m:oMath>
        <m:sSub>
          <m:e>
            <m:r>
              <m:t>α</m:t>
            </m:r>
          </m:e>
          <m:sub>
            <m:r>
              <m:t>T</m:t>
            </m:r>
          </m:sub>
        </m:sSub>
      </m:oMath>
      <w:r>
        <w:rPr>
          <w:rFonts w:ascii="宋体" w:hAnsi="宋体" w:eastAsia="宋体"/>
          <w:sz w:val="24"/>
        </w:rPr>
        <w:t>，而核算者只使用</w:t>
      </w:r>
      <m:oMath>
        <m:r>
          <m:t>K</m:t>
        </m:r>
      </m:oMath>
      <w:r>
        <w:rPr>
          <w:rFonts w:ascii="宋体" w:hAnsi="宋体" w:eastAsia="宋体"/>
          <w:sz w:val="24"/>
        </w:rPr>
        <w:t>与</w:t>
      </w:r>
      <m:oMath>
        <m:r>
          <m:t>L</m:t>
        </m:r>
      </m:oMath>
      <w:r>
        <w:rPr>
          <w:rFonts w:ascii="宋体" w:hAnsi="宋体" w:eastAsia="宋体"/>
          <w:sz w:val="24"/>
        </w:rPr>
        <w:t>。把第2章式(2-10)的扩展核算恒等式代入式(12-1)，整理可得传统残差的构成：</w:t>
      </w:r>
    </w:p>
    <w:p>
      <w:pPr>
        <w:tabs>
          <w:tab w:pos="4252" w:val="center"/>
          <w:tab w:pos="8504" w:val="right"/>
        </w:tabs>
        <w:spacing w:line="360" w:lineRule="auto" w:before="80" w:after="80"/>
      </w:pPr>
      <w:r>
        <w:tab/>
      </w:r>
      <m:oMath>
        <m:sSubSup>
          <m:e>
            <m:r>
              <m:t>g</m:t>
            </m:r>
          </m:e>
          <m:sub>
            <m:r>
              <m:t>A</m:t>
            </m:r>
          </m:sub>
          <m:sup>
            <m:d>
              <m:dPr>
                <m:begChr m:val="("/>
                <m:endChr m:val=")"/>
                <m:grow/>
              </m:dPr>
              <m:e>
                <m:r>
                  <m:t>0</m:t>
                </m:r>
              </m:e>
            </m:d>
          </m:sup>
        </m:sSubSup>
        <m:r>
          <m:rPr>
            <m:sty m:val="p"/>
          </m:rPr>
          <m:t>=</m:t>
        </m:r>
        <m:sSub>
          <m:e>
            <m:r>
              <m:t>g</m:t>
            </m:r>
          </m:e>
          <m:sub>
            <m:r>
              <m:t>A</m:t>
            </m:r>
          </m:sub>
        </m:sSub>
        <m:r>
          <m:rPr>
            <m:sty m:val="p"/>
          </m:rPr>
          <m:t>+</m:t>
        </m:r>
        <m:sSub>
          <m:e>
            <m:r>
              <m:t>α</m:t>
            </m:r>
          </m:e>
          <m:sub>
            <m:r>
              <m:t>D</m:t>
            </m:r>
          </m:sub>
        </m:sSub>
        <m:sSub>
          <m:e>
            <m:r>
              <m:t>g</m:t>
            </m:r>
          </m:e>
          <m:sub>
            <m:r>
              <m:t>D</m:t>
            </m:r>
          </m:sub>
        </m:sSub>
        <m:r>
          <m:rPr>
            <m:sty m:val="p"/>
          </m:rPr>
          <m:t>+</m:t>
        </m:r>
        <m:sSub>
          <m:e>
            <m:r>
              <m:t>α</m:t>
            </m:r>
          </m:e>
          <m:sub>
            <m:r>
              <m:t>T</m:t>
            </m:r>
          </m:sub>
        </m:sSub>
        <m:sSub>
          <m:e>
            <m:r>
              <m:t>g</m:t>
            </m:r>
          </m:e>
          <m:sub>
            <m:acc>
              <m:accPr>
                <m:chr m:val="̃"/>
              </m:accPr>
              <m:e>
                <m:r>
                  <m:t>T</m:t>
                </m:r>
              </m:e>
            </m:acc>
          </m:sub>
        </m:sSub>
        <m:r>
          <m:rPr>
            <m:sty m:val="p"/>
          </m:rPr>
          <m:t>+</m:t>
        </m:r>
        <m:d>
          <m:dPr>
            <m:begChr m:val="("/>
            <m:endChr m:val=")"/>
            <m:grow/>
          </m:dPr>
          <m:e>
            <m:sSub>
              <m:e>
                <m:r>
                  <m:t>α</m:t>
                </m:r>
              </m:e>
              <m:sub>
                <m:r>
                  <m:t>K</m:t>
                </m:r>
              </m:sub>
            </m:sSub>
            <m:r>
              <m:rPr>
                <m:sty m:val="p"/>
              </m:rPr>
              <m:t>−</m:t>
            </m:r>
            <m:sSubSup>
              <m:e>
                <m:r>
                  <m:t>α</m:t>
                </m:r>
              </m:e>
              <m:sub>
                <m:r>
                  <m:t>K</m:t>
                </m:r>
              </m:sub>
              <m:sup>
                <m:d>
                  <m:dPr>
                    <m:begChr m:val="("/>
                    <m:endChr m:val=")"/>
                    <m:grow/>
                  </m:dPr>
                  <m:e>
                    <m:r>
                      <m:t>0</m:t>
                    </m:r>
                  </m:e>
                </m:d>
              </m:sup>
            </m:sSubSup>
          </m:e>
        </m:d>
        <m:sSub>
          <m:e>
            <m:r>
              <m:t>g</m:t>
            </m:r>
          </m:e>
          <m:sub>
            <m:r>
              <m:t>K</m:t>
            </m:r>
          </m:sub>
        </m:sSub>
        <m:r>
          <m:rPr>
            <m:sty m:val="p"/>
          </m:rPr>
          <m:t>+</m:t>
        </m:r>
        <m:d>
          <m:dPr>
            <m:begChr m:val="("/>
            <m:endChr m:val=")"/>
            <m:grow/>
          </m:dPr>
          <m:e>
            <m:sSub>
              <m:e>
                <m:r>
                  <m:t>α</m:t>
                </m:r>
              </m:e>
              <m:sub>
                <m:r>
                  <m:t>L</m:t>
                </m:r>
              </m:sub>
            </m:sSub>
            <m:r>
              <m:rPr>
                <m:sty m:val="p"/>
              </m:rPr>
              <m:t>−</m:t>
            </m:r>
            <m:sSubSup>
              <m:e>
                <m:r>
                  <m:t>α</m:t>
                </m:r>
              </m:e>
              <m:sub>
                <m:r>
                  <m:t>L</m:t>
                </m:r>
              </m:sub>
              <m:sup>
                <m:d>
                  <m:dPr>
                    <m:begChr m:val="("/>
                    <m:endChr m:val=")"/>
                    <m:grow/>
                  </m:dPr>
                  <m:e>
                    <m:r>
                      <m:t>0</m:t>
                    </m:r>
                  </m:e>
                </m:d>
              </m:sup>
            </m:sSubSup>
          </m:e>
        </m:d>
        <m:sSub>
          <m:e>
            <m:r>
              <m:t>g</m:t>
            </m:r>
          </m:e>
          <m:sub>
            <m:r>
              <m:t>L</m:t>
            </m:r>
          </m:sub>
        </m:sSub>
      </m:oMath>
      <w:r>
        <w:tab/>
      </w:r>
      <w:r>
        <w:rPr>
          <w:rFonts w:ascii="Times New Roman" w:hAnsi="Times New Roman" w:eastAsia="宋体"/>
          <w:sz w:val="24"/>
        </w:rPr>
        <w:t>(12-2)</w:t>
      </w:r>
    </w:p>
    <w:p>
      <w:pPr>
        <w:spacing w:line="360" w:lineRule="auto" w:after="0"/>
        <w:jc w:val="both"/>
      </w:pPr>
      <w:r>
        <w:rPr>
          <w:rFonts w:ascii="宋体" w:hAnsi="宋体" w:eastAsia="宋体"/>
          <w:sz w:val="24"/>
        </w:rPr>
        <w:t>其中，</w:t>
      </w:r>
      <m:oMath>
        <m:sSub>
          <m:e>
            <m:r>
              <m:t>g</m:t>
            </m:r>
          </m:e>
          <m:sub>
            <m:r>
              <m:t>A</m:t>
            </m:r>
          </m:sub>
        </m:sSub>
      </m:oMath>
      <w:r>
        <w:rPr>
          <w:rFonts w:ascii="宋体" w:hAnsi="宋体" w:eastAsia="宋体"/>
          <w:sz w:val="24"/>
        </w:rPr>
        <w:t>为纠正遗漏后的真实全要素生产率增长率，</w:t>
      </w:r>
      <m:oMath>
        <m:sSub>
          <m:e>
            <m:r>
              <m:t>α</m:t>
            </m:r>
          </m:e>
          <m:sub>
            <m:r>
              <m:t>K</m:t>
            </m:r>
          </m:sub>
        </m:sSub>
      </m:oMath>
      <w:r>
        <w:rPr>
          <w:rFonts w:ascii="宋体" w:hAnsi="宋体" w:eastAsia="宋体"/>
          <w:sz w:val="24"/>
        </w:rPr>
        <w:t>与</w:t>
      </w:r>
      <m:oMath>
        <m:sSub>
          <m:e>
            <m:r>
              <m:t>α</m:t>
            </m:r>
          </m:e>
          <m:sub>
            <m:r>
              <m:t>L</m:t>
            </m:r>
          </m:sub>
        </m:sSub>
      </m:oMath>
      <w:r>
        <w:rPr>
          <w:rFonts w:ascii="宋体" w:hAnsi="宋体" w:eastAsia="宋体"/>
          <w:sz w:val="24"/>
        </w:rPr>
        <w:t>为真实的资本与劳动弹性。</w:t>
      </w:r>
    </w:p>
    <w:p>
      <w:pPr>
        <w:spacing w:line="360" w:lineRule="auto" w:after="0"/>
        <w:ind w:firstLineChars="200" w:firstLine="480"/>
        <w:jc w:val="both"/>
      </w:pPr>
      <w:r>
        <w:rPr>
          <w:rFonts w:ascii="宋体" w:hAnsi="宋体" w:eastAsia="宋体"/>
          <w:sz w:val="24"/>
        </w:rPr>
        <w:t>式(12-2)给出了三条可检验的推论。其一，方向性：只要</w:t>
      </w:r>
      <m:oMath>
        <m:sSub>
          <m:e>
            <m:r>
              <m:t>α</m:t>
            </m:r>
          </m:e>
          <m:sub>
            <m:r>
              <m:t>T</m:t>
            </m:r>
          </m:sub>
        </m:sSub>
        <m:r>
          <m:rPr>
            <m:sty m:val="p"/>
          </m:rPr>
          <m:t>&gt;</m:t>
        </m:r>
        <m:r>
          <m:t>0</m:t>
        </m:r>
      </m:oMath>
      <w:r>
        <w:rPr>
          <w:rFonts w:ascii="宋体" w:hAnsi="宋体" w:eastAsia="宋体"/>
          <w:sz w:val="24"/>
        </w:rPr>
        <w:t>且</w:t>
      </w:r>
      <m:oMath>
        <m:sSub>
          <m:e>
            <m:r>
              <m:t>g</m:t>
            </m:r>
          </m:e>
          <m:sub>
            <m:acc>
              <m:accPr>
                <m:chr m:val="̃"/>
              </m:accPr>
              <m:e>
                <m:r>
                  <m:t>T</m:t>
                </m:r>
              </m:e>
            </m:acc>
          </m:sub>
        </m:sSub>
        <m:r>
          <m:rPr>
            <m:sty m:val="p"/>
          </m:rPr>
          <m:t>&gt;</m:t>
        </m:r>
        <m:r>
          <m:t>0</m:t>
        </m:r>
      </m:oMath>
      <w:r>
        <w:rPr>
          <w:rFonts w:ascii="宋体" w:hAnsi="宋体" w:eastAsia="宋体"/>
          <w:sz w:val="24"/>
        </w:rPr>
        <w:t>，传统口径的全要素生产率增长率就必然高于真实值，即残差被系统性高估，高估的部分正是人工智能贡献被误记的部分。其二，时变性：高估幅度</w:t>
      </w:r>
      <m:oMath>
        <m:sSub>
          <m:e>
            <m:r>
              <m:t>α</m:t>
            </m:r>
          </m:e>
          <m:sub>
            <m:r>
              <m:t>T</m:t>
            </m:r>
          </m:sub>
        </m:sSub>
        <m:sSub>
          <m:e>
            <m:r>
              <m:t>g</m:t>
            </m:r>
          </m:e>
          <m:sub>
            <m:acc>
              <m:accPr>
                <m:chr m:val="̃"/>
              </m:accPr>
              <m:e>
                <m:r>
                  <m:t>T</m:t>
                </m:r>
              </m:e>
            </m:acc>
          </m:sub>
        </m:sSub>
      </m:oMath>
      <w:r>
        <w:rPr>
          <w:rFonts w:ascii="宋体" w:hAnsi="宋体" w:eastAsia="宋体"/>
          <w:sz w:val="24"/>
        </w:rPr>
        <w:t>与词元流量增长率同向变动，而词元流量正处在两年约一千四百倍的扩张期，因此高估幅度必然逐年扩大——这意味着即便在残差层面观察到全要素生产率增速的「改善」，也不能贸然归因于技术进步，因为其中混入了一个规模迅速膨胀的遗漏项。其三，污染性：遗漏还会通过</w:t>
      </w:r>
      <m:oMath>
        <m:sSub>
          <m:e>
            <m:r>
              <m:t>α</m:t>
            </m:r>
          </m:e>
          <m:sub>
            <m:r>
              <m:t>K</m:t>
            </m:r>
          </m:sub>
        </m:sSub>
        <m:r>
          <m:rPr>
            <m:sty m:val="p"/>
          </m:rPr>
          <m:t>−</m:t>
        </m:r>
        <m:sSubSup>
          <m:e>
            <m:r>
              <m:t>α</m:t>
            </m:r>
          </m:e>
          <m:sub>
            <m:r>
              <m:t>K</m:t>
            </m:r>
          </m:sub>
          <m:sup>
            <m:d>
              <m:dPr>
                <m:begChr m:val="("/>
                <m:endChr m:val=")"/>
                <m:grow/>
              </m:dPr>
              <m:e>
                <m:r>
                  <m:t>0</m:t>
                </m:r>
              </m:e>
            </m:d>
          </m:sup>
        </m:sSubSup>
      </m:oMath>
      <w:r>
        <w:rPr>
          <w:rFonts w:ascii="宋体" w:hAnsi="宋体" w:eastAsia="宋体"/>
          <w:sz w:val="24"/>
        </w:rPr>
        <w:t>与</w:t>
      </w:r>
      <m:oMath>
        <m:sSub>
          <m:e>
            <m:r>
              <m:t>α</m:t>
            </m:r>
          </m:e>
          <m:sub>
            <m:r>
              <m:t>L</m:t>
            </m:r>
          </m:sub>
        </m:sSub>
        <m:r>
          <m:rPr>
            <m:sty m:val="p"/>
          </m:rPr>
          <m:t>−</m:t>
        </m:r>
        <m:sSubSup>
          <m:e>
            <m:r>
              <m:t>α</m:t>
            </m:r>
          </m:e>
          <m:sub>
            <m:r>
              <m:t>L</m:t>
            </m:r>
          </m:sub>
          <m:sup>
            <m:d>
              <m:dPr>
                <m:begChr m:val="("/>
                <m:endChr m:val=")"/>
                <m:grow/>
              </m:dPr>
              <m:e>
                <m:r>
                  <m:t>0</m:t>
                </m:r>
              </m:e>
            </m:d>
          </m:sup>
        </m:sSubSup>
      </m:oMath>
      <w:r>
        <w:rPr>
          <w:rFonts w:ascii="宋体" w:hAnsi="宋体" w:eastAsia="宋体"/>
          <w:sz w:val="24"/>
        </w:rPr>
        <w:t>两项污染其余要素的弹性估计，因为词元投入与算力资本、与高技能劳动均高度相关，遗漏它会使资本与劳动的贡献被同时高估。三条推论合起来说明，人工智能沉入残差并不是一个可以容忍的近似，而是一个会随时间恶化的系统性偏误。</w:t>
      </w:r>
    </w:p>
    <w:p>
      <w:pPr>
        <w:keepNext/>
        <w:spacing w:before="160" w:after="120" w:line="360" w:lineRule="auto"/>
        <w:outlineLvl w:val="2"/>
      </w:pPr>
      <w:r>
        <w:rPr>
          <w:rFonts w:ascii="黑体" w:hAnsi="黑体" w:eastAsia="黑体"/>
          <w:sz w:val="24"/>
        </w:rPr>
        <w:t>12.2.3  价格平减的陷阱：为什么核算必须用标准词元价格指数</w:t>
      </w:r>
    </w:p>
    <w:p>
      <w:pPr>
        <w:spacing w:line="360" w:lineRule="auto" w:after="0"/>
        <w:ind w:firstLineChars="200" w:firstLine="480"/>
        <w:jc w:val="both"/>
      </w:pPr>
      <w:r>
        <w:rPr>
          <w:rFonts w:ascii="宋体" w:hAnsi="宋体" w:eastAsia="宋体"/>
          <w:sz w:val="24"/>
        </w:rPr>
        <w:t>即便核算者愿意引入词元变量，还有一道更隐蔽的关口需要通过：实物量的构造。在实践中，投入的实物量通常由名义支出除以价格指数得到，因而平减指数的选择直接决定了实物量增长的大小。这正是质量调整价格指数研究的经典战场：特征价格法把产品价格分解为各质量特征的隐含价格（Griliches，1961），其在质量快速变动产品上的适用性与偏误问题被反复检验（Pakes，2003；Erickson和Pakes，2011），而在新产品与品类更替频繁的场景下，总量价格指数的构造本身即需重新奠基（Redding和Weinstein，2020）；政府统计如何跟上数字经济的质量变动，更是一个尚未完成的制度工程（Groshen等，2017）。</w:t>
      </w:r>
    </w:p>
    <w:p>
      <w:pPr>
        <w:spacing w:line="360" w:lineRule="auto" w:after="0"/>
        <w:ind w:firstLineChars="200" w:firstLine="480"/>
        <w:jc w:val="both"/>
      </w:pPr>
      <w:r>
        <w:rPr>
          <w:rFonts w:ascii="宋体" w:hAnsi="宋体" w:eastAsia="宋体"/>
          <w:sz w:val="24"/>
        </w:rPr>
        <w:t>词元恰恰是质量变动最剧烈的一类服务。第7章的测算显示，以物理词元为对象的词元价格指数由2024年一季度的100降至2026年二季度的21，累计降幅79%；而以标准词元为对象的标准词元价格指数同期仅降至47，累计降幅53%；两者26个百分点的背离，正是效值提升的货币化度量——表观降幅中约53%来自效值提升即同价买到更强的词元，约47%才是真实降价。若核算者以词元价格指数平减词元支出，就等于把效值提升整体计入实物量增长，从而把「同样的钱买到更好的服务」误记为「买到了更多的服务」，导致词元投入的实物量被严重虚增、其产出弹性被相应压低。反之，若以标准词元价格指数平减，效值提升已在折算环节被计入标准词元数量本身，平减只剔除真实价格变动，量与价的口径由此严格一致。这是本章全部实证工作的一条前置纪律：进入生产函数的必须是标准词元流量，用于平减的必须是标准词元价格指数，二者共享同一套效值折算参数。</w:t>
      </w:r>
    </w:p>
    <w:p>
      <w:pPr>
        <w:keepNext/>
        <w:spacing w:before="160" w:after="120" w:line="360" w:lineRule="auto"/>
        <w:outlineLvl w:val="1"/>
      </w:pPr>
      <w:r>
        <w:rPr>
          <w:rFonts w:ascii="黑体" w:hAnsi="黑体" w:eastAsia="黑体"/>
          <w:sz w:val="28"/>
        </w:rPr>
        <w:t>12.3  引入词元流量的智能经济生产函数</w:t>
      </w:r>
    </w:p>
    <w:p>
      <w:pPr>
        <w:keepNext/>
        <w:spacing w:before="160" w:after="120" w:line="360" w:lineRule="auto"/>
        <w:outlineLvl w:val="2"/>
      </w:pPr>
      <w:r>
        <w:rPr>
          <w:rFonts w:ascii="黑体" w:hAnsi="黑体" w:eastAsia="黑体"/>
          <w:sz w:val="24"/>
        </w:rPr>
        <w:t>12.3.1  设定：词元流量作为认知服务的投入</w:t>
      </w:r>
    </w:p>
    <w:p>
      <w:pPr>
        <w:spacing w:line="360" w:lineRule="auto" w:after="0"/>
        <w:ind w:firstLineChars="200" w:firstLine="480"/>
        <w:jc w:val="both"/>
      </w:pPr>
      <w:r>
        <w:rPr>
          <w:rFonts w:ascii="宋体" w:hAnsi="宋体" w:eastAsia="宋体"/>
          <w:sz w:val="24"/>
        </w:rPr>
        <w:t>把词元流量引入生产函数，首先要回答它在要素体系中的位置。本书的界定是：标准词元流量是一种中间性的认知服务流，其经济性质最接近于资本服务流而非资本存量。理由有三。其一，词元只在被调用的瞬间存在，不可储存、不形成存量，正如资本服务只在资产被使用时产生。其二，词元的投入强度可在极短周期内调整，其调整成本远低于资本存量，因而是一个真正的流量决策变量。其三，词元所替代或增强的对象是人类的认知劳动，其产出是任务的完成度而非物质产品，因而必须与人类劳动、组织流程共同进入一个中间层的合成函数，而不能直接与资本、劳动并列。第3章关于词元八项经济属性的分析与第6章关于价值实现链条的刻画，为这一界定提供了微观基础。</w:t>
      </w:r>
    </w:p>
    <w:p>
      <w:pPr>
        <w:spacing w:line="360" w:lineRule="auto" w:after="0"/>
        <w:ind w:firstLineChars="200" w:firstLine="480"/>
        <w:jc w:val="both"/>
      </w:pPr>
      <w:r>
        <w:rPr>
          <w:rFonts w:ascii="宋体" w:hAnsi="宋体" w:eastAsia="宋体"/>
          <w:sz w:val="24"/>
        </w:rPr>
        <w:t>据此，本书采用两层嵌套的生产结构。内层是认知服务的合成：记</w:t>
      </w:r>
      <m:oMath>
        <m:r>
          <m:t>i</m:t>
        </m:r>
      </m:oMath>
      <w:r>
        <w:rPr>
          <w:rFonts w:ascii="宋体" w:hAnsi="宋体" w:eastAsia="宋体"/>
          <w:sz w:val="24"/>
        </w:rPr>
        <w:t>为地区、</w:t>
      </w:r>
      <m:oMath>
        <m:r>
          <m:t>t</m:t>
        </m:r>
      </m:oMath>
      <w:r>
        <w:rPr>
          <w:rFonts w:ascii="宋体" w:hAnsi="宋体" w:eastAsia="宋体"/>
          <w:sz w:val="24"/>
        </w:rPr>
        <w:t>为时期，</w:t>
      </w:r>
      <m:oMath>
        <m:sSub>
          <m:e>
            <m:acc>
              <m:accPr>
                <m:chr m:val="̃"/>
              </m:accPr>
              <m:e>
                <m:r>
                  <m:t>T</m:t>
                </m:r>
              </m:e>
            </m:acc>
          </m:e>
          <m:sub>
            <m:r>
              <m:t>i</m:t>
            </m:r>
            <m:r>
              <m:t>t</m:t>
            </m:r>
          </m:sub>
        </m:sSub>
      </m:oMath>
      <w:r>
        <w:rPr>
          <w:rFonts w:ascii="宋体" w:hAnsi="宋体" w:eastAsia="宋体"/>
          <w:sz w:val="24"/>
        </w:rPr>
        <w:t>为标准词元流量，</w:t>
      </w:r>
      <m:oMath>
        <m:sSub>
          <m:e>
            <m:r>
              <m:t>H</m:t>
            </m:r>
          </m:e>
          <m:sub>
            <m:r>
              <m:t>i</m:t>
            </m:r>
            <m:r>
              <m:t>t</m:t>
            </m:r>
          </m:sub>
        </m:sSub>
      </m:oMath>
      <w:r>
        <w:rPr>
          <w:rFonts w:ascii="宋体" w:hAnsi="宋体" w:eastAsia="宋体"/>
          <w:sz w:val="24"/>
        </w:rPr>
        <w:t>为与之互补的人力与组织资本（涵盖具备人工智能应用能力的从业人员、被再造的业务流程、数据治理与提示工程等无形投入），二者以不变替代弹性形式合成认知服务</w:t>
      </w:r>
      <m:oMath>
        <m:sSub>
          <m:e>
            <m:r>
              <m:t>Z</m:t>
            </m:r>
          </m:e>
          <m:sub>
            <m:r>
              <m:t>i</m:t>
            </m:r>
            <m:r>
              <m:t>t</m:t>
            </m:r>
          </m:sub>
        </m:sSub>
      </m:oMath>
      <w:r>
        <w:rPr>
          <w:rFonts w:ascii="宋体" w:hAnsi="宋体" w:eastAsia="宋体"/>
          <w:sz w:val="24"/>
        </w:rPr>
        <w:t>：</w:t>
      </w:r>
    </w:p>
    <w:p>
      <w:pPr>
        <w:tabs>
          <w:tab w:pos="4252" w:val="center"/>
          <w:tab w:pos="8504" w:val="right"/>
        </w:tabs>
        <w:spacing w:line="360" w:lineRule="auto" w:before="80" w:after="80"/>
      </w:pPr>
      <w:r>
        <w:tab/>
      </w:r>
      <m:oMath>
        <m:sSub>
          <m:e>
            <m:r>
              <m:t>Z</m:t>
            </m:r>
          </m:e>
          <m:sub>
            <m:r>
              <m:t>i</m:t>
            </m:r>
            <m:r>
              <m:t>t</m:t>
            </m:r>
          </m:sub>
        </m:sSub>
        <m:r>
          <m:rPr>
            <m:sty m:val="p"/>
          </m:rPr>
          <m:t>=</m:t>
        </m:r>
        <m:sSup>
          <m:e>
            <m:d>
              <m:dPr>
                <m:begChr m:val="["/>
                <m:endChr m:val="]"/>
                <m:grow/>
              </m:dPr>
              <m:e>
                <m:r>
                  <m:t>φ</m:t>
                </m:r>
                <m:r>
                  <m:t> </m:t>
                </m:r>
                <m:sSubSup>
                  <m:e>
                    <m:acc>
                      <m:accPr>
                        <m:chr m:val="̃"/>
                      </m:accPr>
                      <m:e>
                        <m:r>
                          <m:t>T</m:t>
                        </m:r>
                      </m:e>
                    </m:acc>
                  </m:e>
                  <m:sub>
                    <m:r>
                      <m:t>i</m:t>
                    </m:r>
                    <m:r>
                      <m:t>t</m:t>
                    </m:r>
                  </m:sub>
                  <m:sup>
                    <m:r>
                      <m:t> </m:t>
                    </m:r>
                    <m:r>
                      <m:t>σ</m:t>
                    </m:r>
                  </m:sup>
                </m:sSubSup>
                <m:r>
                  <m:rPr>
                    <m:sty m:val="p"/>
                  </m:rPr>
                  <m:t>+</m:t>
                </m:r>
                <m:d>
                  <m:dPr>
                    <m:begChr m:val="("/>
                    <m:endChr m:val=")"/>
                    <m:grow/>
                  </m:dPr>
                  <m:e>
                    <m:r>
                      <m:t>1</m:t>
                    </m:r>
                    <m:r>
                      <m:rPr>
                        <m:sty m:val="p"/>
                      </m:rPr>
                      <m:t>−</m:t>
                    </m:r>
                    <m:r>
                      <m:t>φ</m:t>
                    </m:r>
                  </m:e>
                </m:d>
                <m:r>
                  <m:t> </m:t>
                </m:r>
                <m:sSubSup>
                  <m:e>
                    <m:r>
                      <m:t>H</m:t>
                    </m:r>
                  </m:e>
                  <m:sub>
                    <m:r>
                      <m:t>i</m:t>
                    </m:r>
                    <m:r>
                      <m:t>t</m:t>
                    </m:r>
                  </m:sub>
                  <m:sup>
                    <m:r>
                      <m:t> </m:t>
                    </m:r>
                    <m:r>
                      <m:t>σ</m:t>
                    </m:r>
                  </m:sup>
                </m:sSubSup>
              </m:e>
            </m:d>
          </m:e>
          <m:sup>
            <m:r>
              <m:t>1</m:t>
            </m:r>
            <m:r>
              <m:rPr>
                <m:sty m:val="p"/>
              </m:rPr>
              <m:t>/</m:t>
            </m:r>
            <m:r>
              <m:t>σ</m:t>
            </m:r>
          </m:sup>
        </m:sSup>
      </m:oMath>
      <w:r>
        <w:tab/>
      </w:r>
      <w:r>
        <w:rPr>
          <w:rFonts w:ascii="Times New Roman" w:hAnsi="Times New Roman" w:eastAsia="宋体"/>
          <w:sz w:val="24"/>
        </w:rPr>
        <w:t>(12-3)</w:t>
      </w:r>
    </w:p>
    <w:p>
      <w:pPr>
        <w:spacing w:line="360" w:lineRule="auto" w:after="0"/>
        <w:jc w:val="both"/>
      </w:pPr>
      <w:r>
        <w:rPr>
          <w:rFonts w:ascii="宋体" w:hAnsi="宋体" w:eastAsia="宋体"/>
          <w:sz w:val="24"/>
        </w:rPr>
        <w:t>其中，</w:t>
      </w:r>
      <m:oMath>
        <m:r>
          <m:t>φ</m:t>
        </m:r>
        <m:r>
          <m:rPr>
            <m:sty m:val="p"/>
          </m:rPr>
          <m:t>∈</m:t>
        </m:r>
        <m:d>
          <m:dPr>
            <m:begChr m:val="("/>
            <m:endChr m:val=")"/>
            <m:grow/>
          </m:dPr>
          <m:e>
            <m:r>
              <m:t>0</m:t>
            </m:r>
            <m:r>
              <m:rPr>
                <m:sty m:val="p"/>
              </m:rPr>
              <m:t>,</m:t>
            </m:r>
            <m:r>
              <m:t>1</m:t>
            </m:r>
          </m:e>
        </m:d>
      </m:oMath>
      <w:r>
        <w:rPr>
          <w:rFonts w:ascii="宋体" w:hAnsi="宋体" w:eastAsia="宋体"/>
          <w:sz w:val="24"/>
        </w:rPr>
        <w:t>为词元的份额参数，</w:t>
      </w:r>
      <m:oMath>
        <m:r>
          <m:t>σ</m:t>
        </m:r>
        <m:r>
          <m:rPr>
            <m:sty m:val="p"/>
          </m:rPr>
          <m:t>≤</m:t>
        </m:r>
        <m:r>
          <m:t>1</m:t>
        </m:r>
      </m:oMath>
      <w:r>
        <w:rPr>
          <w:rFonts w:ascii="宋体" w:hAnsi="宋体" w:eastAsia="宋体"/>
          <w:sz w:val="24"/>
        </w:rPr>
        <w:t>为替代参数，替代弹性为</w:t>
      </w:r>
      <m:oMath>
        <m:r>
          <m:t>1</m:t>
        </m:r>
        <m:r>
          <m:rPr>
            <m:sty m:val="p"/>
          </m:rPr>
          <m:t>/</m:t>
        </m:r>
        <m:d>
          <m:dPr>
            <m:begChr m:val="("/>
            <m:endChr m:val=")"/>
            <m:grow/>
          </m:dPr>
          <m:e>
            <m:r>
              <m:t>1</m:t>
            </m:r>
            <m:r>
              <m:rPr>
                <m:sty m:val="p"/>
              </m:rPr>
              <m:t>−</m:t>
            </m:r>
            <m:r>
              <m:t>σ</m:t>
            </m:r>
          </m:e>
        </m:d>
      </m:oMath>
      <w:r>
        <w:rPr>
          <w:rFonts w:ascii="宋体" w:hAnsi="宋体" w:eastAsia="宋体"/>
          <w:sz w:val="24"/>
        </w:rPr>
        <w:t>。</w:t>
      </w:r>
    </w:p>
    <w:p>
      <w:pPr>
        <w:spacing w:line="360" w:lineRule="auto" w:after="0"/>
        <w:ind w:firstLineChars="200" w:firstLine="480"/>
        <w:jc w:val="both"/>
      </w:pPr>
      <w:r>
        <w:rPr>
          <w:rFonts w:ascii="宋体" w:hAnsi="宋体" w:eastAsia="宋体"/>
          <w:sz w:val="24"/>
        </w:rPr>
        <w:t>式(12-3)的设定承载了三项经济判断。第一，词元与人力组织资本之间是有限替代关系而非完全替代：</w:t>
      </w:r>
      <m:oMath>
        <m:r>
          <m:t>σ</m:t>
        </m:r>
        <m:r>
          <m:rPr>
            <m:sty m:val="p"/>
          </m:rPr>
          <m:t>&lt;</m:t>
        </m:r>
        <m:r>
          <m:t>1</m:t>
        </m:r>
      </m:oMath>
      <w:r>
        <w:rPr>
          <w:rFonts w:ascii="宋体" w:hAnsi="宋体" w:eastAsia="宋体"/>
          <w:sz w:val="24"/>
        </w:rPr>
        <w:t>意味着单纯增加词元投入而不同步提升应用能力，其边际产出会迅速递减——这为第13章所记录的「企业买了词元却用不起来」的现象提供了函数形式上的解释。第二，</w:t>
      </w:r>
      <m:oMath>
        <m:r>
          <m:t>φ</m:t>
        </m:r>
      </m:oMath>
      <w:r>
        <w:rPr>
          <w:rFonts w:ascii="宋体" w:hAnsi="宋体" w:eastAsia="宋体"/>
          <w:sz w:val="24"/>
        </w:rPr>
        <w:t>刻画的是认知生产中机器认知相对于人类认知的份额，它随模型能力提升与场景深化而上升，因而是一个缓慢变动的结构参数而非常数。第三，</w:t>
      </w:r>
      <m:oMath>
        <m:sSub>
          <m:e>
            <m:r>
              <m:t>H</m:t>
            </m:r>
          </m:e>
          <m:sub>
            <m:r>
              <m:t>i</m:t>
            </m:r>
            <m:r>
              <m:t>t</m:t>
            </m:r>
          </m:sub>
        </m:sSub>
      </m:oMath>
      <w:r>
        <w:rPr>
          <w:rFonts w:ascii="宋体" w:hAnsi="宋体" w:eastAsia="宋体"/>
          <w:sz w:val="24"/>
        </w:rPr>
        <w:t>的引入直接对应J曲线机制：互补性无形投资在会计上被费用化，若核算中完全忽略</w:t>
      </w:r>
      <m:oMath>
        <m:r>
          <m:t>H</m:t>
        </m:r>
      </m:oMath>
      <w:r>
        <w:rPr>
          <w:rFonts w:ascii="宋体" w:hAnsi="宋体" w:eastAsia="宋体"/>
          <w:sz w:val="24"/>
        </w:rPr>
        <w:t>，则认知服务的产出会被错误地全部归给词元，使</w:t>
      </w:r>
      <m:oMath>
        <m:acc>
          <m:accPr>
            <m:chr m:val="̃"/>
          </m:accPr>
          <m:e>
            <m:r>
              <m:t>T</m:t>
            </m:r>
          </m:e>
        </m:acc>
      </m:oMath>
      <w:r>
        <w:rPr>
          <w:rFonts w:ascii="宋体" w:hAnsi="宋体" w:eastAsia="宋体"/>
          <w:sz w:val="24"/>
        </w:rPr>
        <w:t>的弹性被高估；反之若忽略</w:t>
      </w:r>
      <m:oMath>
        <m:acc>
          <m:accPr>
            <m:chr m:val="̃"/>
          </m:accPr>
          <m:e>
            <m:r>
              <m:t>T</m:t>
            </m:r>
          </m:e>
        </m:acc>
      </m:oMath>
      <w:r>
        <w:rPr>
          <w:rFonts w:ascii="宋体" w:hAnsi="宋体" w:eastAsia="宋体"/>
          <w:sz w:val="24"/>
        </w:rPr>
        <w:t>，则会把全部认知产出归给可见的人力投入，这正是当前统计的实际状态。外层则是总量生产函数，认知服务与资本、劳动、数据要素共同决定产出：</w:t>
      </w:r>
    </w:p>
    <w:p>
      <w:pPr>
        <w:tabs>
          <w:tab w:pos="4252" w:val="center"/>
          <w:tab w:pos="8504" w:val="right"/>
        </w:tabs>
        <w:spacing w:line="360" w:lineRule="auto" w:before="80" w:after="80"/>
      </w:pPr>
      <w:r>
        <w:tab/>
      </w:r>
      <m:oMath>
        <m:sSub>
          <m:e>
            <m:r>
              <m:t>Y</m:t>
            </m:r>
          </m:e>
          <m:sub>
            <m:r>
              <m:t>i</m:t>
            </m:r>
            <m:r>
              <m:t>t</m:t>
            </m:r>
          </m:sub>
        </m:sSub>
        <m:r>
          <m:rPr>
            <m:sty m:val="p"/>
          </m:rPr>
          <m:t>=</m:t>
        </m:r>
        <m:sSub>
          <m:e>
            <m:r>
              <m:t>A</m:t>
            </m:r>
          </m:e>
          <m:sub>
            <m:r>
              <m:t>i</m:t>
            </m:r>
            <m:r>
              <m:t>t</m:t>
            </m:r>
          </m:sub>
        </m:sSub>
        <m:r>
          <m:t> </m:t>
        </m:r>
        <m:sSubSup>
          <m:e>
            <m:r>
              <m:t>K</m:t>
            </m:r>
          </m:e>
          <m:sub>
            <m:r>
              <m:t>i</m:t>
            </m:r>
            <m:r>
              <m:t>t</m:t>
            </m:r>
          </m:sub>
          <m:sup>
            <m:sSub>
              <m:e>
                <m:r>
                  <m:t>α</m:t>
                </m:r>
              </m:e>
              <m:sub>
                <m:r>
                  <m:t>K</m:t>
                </m:r>
              </m:sub>
            </m:sSub>
          </m:sup>
        </m:sSubSup>
        <m:sSubSup>
          <m:e>
            <m:r>
              <m:t>L</m:t>
            </m:r>
          </m:e>
          <m:sub>
            <m:r>
              <m:t>i</m:t>
            </m:r>
            <m:r>
              <m:t>t</m:t>
            </m:r>
          </m:sub>
          <m:sup>
            <m:sSub>
              <m:e>
                <m:r>
                  <m:t>α</m:t>
                </m:r>
              </m:e>
              <m:sub>
                <m:r>
                  <m:t>L</m:t>
                </m:r>
              </m:sub>
            </m:sSub>
          </m:sup>
        </m:sSubSup>
        <m:sSubSup>
          <m:e>
            <m:r>
              <m:t>D</m:t>
            </m:r>
          </m:e>
          <m:sub>
            <m:r>
              <m:t>i</m:t>
            </m:r>
            <m:r>
              <m:t>t</m:t>
            </m:r>
          </m:sub>
          <m:sup>
            <m:sSub>
              <m:e>
                <m:r>
                  <m:t>α</m:t>
                </m:r>
              </m:e>
              <m:sub>
                <m:r>
                  <m:t>D</m:t>
                </m:r>
              </m:sub>
            </m:sSub>
          </m:sup>
        </m:sSubSup>
        <m:sSubSup>
          <m:e>
            <m:r>
              <m:t>Z</m:t>
            </m:r>
          </m:e>
          <m:sub>
            <m:r>
              <m:t>i</m:t>
            </m:r>
            <m:r>
              <m:t>t</m:t>
            </m:r>
          </m:sub>
          <m:sup>
            <m:sSub>
              <m:e>
                <m:r>
                  <m:t>α</m:t>
                </m:r>
              </m:e>
              <m:sub>
                <m:r>
                  <m:t>Z</m:t>
                </m:r>
              </m:sub>
            </m:sSub>
          </m:sup>
        </m:sSubSup>
      </m:oMath>
      <w:r>
        <w:tab/>
      </w:r>
      <w:r>
        <w:rPr>
          <w:rFonts w:ascii="Times New Roman" w:hAnsi="Times New Roman" w:eastAsia="宋体"/>
          <w:sz w:val="24"/>
        </w:rPr>
        <w:t>(12-4)</w:t>
      </w:r>
    </w:p>
    <w:p>
      <w:pPr>
        <w:spacing w:line="360" w:lineRule="auto" w:after="0"/>
        <w:jc w:val="both"/>
      </w:pPr>
      <w:r>
        <w:rPr>
          <w:rFonts w:ascii="宋体" w:hAnsi="宋体" w:eastAsia="宋体"/>
          <w:sz w:val="24"/>
        </w:rPr>
        <w:t>其中，</w:t>
      </w:r>
      <m:oMath>
        <m:sSub>
          <m:e>
            <m:r>
              <m:t>A</m:t>
            </m:r>
          </m:e>
          <m:sub>
            <m:r>
              <m:t>i</m:t>
            </m:r>
            <m:r>
              <m:t>t</m:t>
            </m:r>
          </m:sub>
        </m:sSub>
      </m:oMath>
      <w:r>
        <w:rPr>
          <w:rFonts w:ascii="宋体" w:hAnsi="宋体" w:eastAsia="宋体"/>
          <w:sz w:val="24"/>
        </w:rPr>
        <w:t>为希克斯中性技术水平，</w:t>
      </w:r>
      <m:oMath>
        <m:sSub>
          <m:e>
            <m:r>
              <m:t>α</m:t>
            </m:r>
          </m:e>
          <m:sub>
            <m:r>
              <m:t>Z</m:t>
            </m:r>
          </m:sub>
        </m:sSub>
      </m:oMath>
      <w:r>
        <w:rPr>
          <w:rFonts w:ascii="宋体" w:hAnsi="宋体" w:eastAsia="宋体"/>
          <w:sz w:val="24"/>
        </w:rPr>
        <w:t>为认知服务的产出弹性；数据要素</w:t>
      </w:r>
      <m:oMath>
        <m:r>
          <m:t>D</m:t>
        </m:r>
      </m:oMath>
      <w:r>
        <w:rPr>
          <w:rFonts w:ascii="宋体" w:hAnsi="宋体" w:eastAsia="宋体"/>
          <w:sz w:val="24"/>
        </w:rPr>
        <w:t>与认知服务</w:t>
      </w:r>
      <m:oMath>
        <m:r>
          <m:t>Z</m:t>
        </m:r>
      </m:oMath>
      <w:r>
        <w:rPr>
          <w:rFonts w:ascii="宋体" w:hAnsi="宋体" w:eastAsia="宋体"/>
          <w:sz w:val="24"/>
        </w:rPr>
        <w:t>分列，前者是被存储与治理的信息资源存量，后者是信息被实际加工使用的服务流。</w:t>
      </w:r>
    </w:p>
    <w:p>
      <w:pPr>
        <w:keepNext/>
        <w:spacing w:before="160" w:after="120" w:line="360" w:lineRule="auto"/>
        <w:outlineLvl w:val="2"/>
      </w:pPr>
      <w:r>
        <w:rPr>
          <w:rFonts w:ascii="黑体" w:hAnsi="黑体" w:eastAsia="黑体"/>
          <w:sz w:val="24"/>
        </w:rPr>
        <w:t>12.3.2  对数线性化与可估计式</w:t>
      </w:r>
    </w:p>
    <w:p>
      <w:pPr>
        <w:spacing w:line="360" w:lineRule="auto" w:after="0"/>
        <w:ind w:firstLineChars="200" w:firstLine="480"/>
        <w:jc w:val="both"/>
      </w:pPr>
      <w:r>
        <w:rPr>
          <w:rFonts w:ascii="宋体" w:hAnsi="宋体" w:eastAsia="宋体"/>
          <w:sz w:val="24"/>
        </w:rPr>
        <w:t>式(12-3)与式(12-4)构成的嵌套结构无法直接估计，需要作对数线性化处理。在基准点对式(12-3)取对数并作一阶展开，得到</w:t>
      </w:r>
      <m:oMath>
        <m:r>
          <m:rPr>
            <m:sty m:val="p"/>
          </m:rPr>
          <m:t>ln</m:t>
        </m:r>
        <m:sSub>
          <m:e>
            <m:r>
              <m:t>Z</m:t>
            </m:r>
          </m:e>
          <m:sub>
            <m:r>
              <m:t>i</m:t>
            </m:r>
            <m:r>
              <m:t>t</m:t>
            </m:r>
          </m:sub>
        </m:sSub>
        <m:r>
          <m:rPr>
            <m:sty m:val="p"/>
          </m:rPr>
          <m:t>≈</m:t>
        </m:r>
        <m:sSub>
          <m:e>
            <m:r>
              <m:t>s</m:t>
            </m:r>
          </m:e>
          <m:sub>
            <m:r>
              <m:t>T</m:t>
            </m:r>
          </m:sub>
        </m:sSub>
        <m:r>
          <m:rPr>
            <m:sty m:val="p"/>
          </m:rPr>
          <m:t>ln</m:t>
        </m:r>
        <m:sSub>
          <m:e>
            <m:acc>
              <m:accPr>
                <m:chr m:val="̃"/>
              </m:accPr>
              <m:e>
                <m:r>
                  <m:t>T</m:t>
                </m:r>
              </m:e>
            </m:acc>
          </m:e>
          <m:sub>
            <m:r>
              <m:t>i</m:t>
            </m:r>
            <m:r>
              <m:t>t</m:t>
            </m:r>
          </m:sub>
        </m:sSub>
        <m:r>
          <m:rPr>
            <m:sty m:val="p"/>
          </m:rPr>
          <m:t>+</m:t>
        </m:r>
        <m:d>
          <m:dPr>
            <m:begChr m:val="("/>
            <m:endChr m:val=")"/>
            <m:grow/>
          </m:dPr>
          <m:e>
            <m:r>
              <m:t>1</m:t>
            </m:r>
            <m:r>
              <m:rPr>
                <m:sty m:val="p"/>
              </m:rPr>
              <m:t>−</m:t>
            </m:r>
            <m:sSub>
              <m:e>
                <m:r>
                  <m:t>s</m:t>
                </m:r>
              </m:e>
              <m:sub>
                <m:r>
                  <m:t>T</m:t>
                </m:r>
              </m:sub>
            </m:sSub>
          </m:e>
        </m:d>
        <m:r>
          <m:rPr>
            <m:sty m:val="p"/>
          </m:rPr>
          <m:t>ln</m:t>
        </m:r>
        <m:sSub>
          <m:e>
            <m:r>
              <m:t>H</m:t>
            </m:r>
          </m:e>
          <m:sub>
            <m:r>
              <m:t>i</m:t>
            </m:r>
            <m:r>
              <m:t>t</m:t>
            </m:r>
          </m:sub>
        </m:sSub>
      </m:oMath>
      <w:r>
        <w:rPr>
          <w:rFonts w:ascii="宋体" w:hAnsi="宋体" w:eastAsia="宋体"/>
          <w:sz w:val="24"/>
        </w:rPr>
        <w:t>，其中</w:t>
      </w:r>
      <m:oMath>
        <m:sSub>
          <m:e>
            <m:r>
              <m:t>s</m:t>
            </m:r>
          </m:e>
          <m:sub>
            <m:r>
              <m:t>T</m:t>
            </m:r>
          </m:sub>
        </m:sSub>
        <m:r>
          <m:rPr>
            <m:sty m:val="p"/>
          </m:rPr>
          <m:t>=</m:t>
        </m:r>
        <m:r>
          <m:t>φ</m:t>
        </m:r>
        <m:sSup>
          <m:e>
            <m:acc>
              <m:accPr>
                <m:chr m:val="̃"/>
              </m:accPr>
              <m:e>
                <m:r>
                  <m:t>T</m:t>
                </m:r>
              </m:e>
            </m:acc>
          </m:e>
          <m:sup>
            <m:r>
              <m:t>σ</m:t>
            </m:r>
          </m:sup>
        </m:sSup>
        <m:r>
          <m:rPr>
            <m:sty m:val="p"/>
          </m:rPr>
          <m:t>/</m:t>
        </m:r>
        <m:d>
          <m:dPr>
            <m:begChr m:val="["/>
            <m:endChr m:val="]"/>
            <m:grow/>
          </m:dPr>
          <m:e>
            <m:r>
              <m:t>φ</m:t>
            </m:r>
            <m:sSup>
              <m:e>
                <m:acc>
                  <m:accPr>
                    <m:chr m:val="̃"/>
                  </m:accPr>
                  <m:e>
                    <m:r>
                      <m:t>T</m:t>
                    </m:r>
                  </m:e>
                </m:acc>
              </m:e>
              <m:sup>
                <m:r>
                  <m:t>σ</m:t>
                </m:r>
              </m:sup>
            </m:sSup>
            <m:r>
              <m:rPr>
                <m:sty m:val="p"/>
              </m:rPr>
              <m:t>+</m:t>
            </m:r>
            <m:d>
              <m:dPr>
                <m:begChr m:val="("/>
                <m:endChr m:val=")"/>
                <m:grow/>
              </m:dPr>
              <m:e>
                <m:r>
                  <m:t>1</m:t>
                </m:r>
                <m:r>
                  <m:rPr>
                    <m:sty m:val="p"/>
                  </m:rPr>
                  <m:t>−</m:t>
                </m:r>
                <m:r>
                  <m:t>φ</m:t>
                </m:r>
              </m:e>
            </m:d>
            <m:sSup>
              <m:e>
                <m:r>
                  <m:t>H</m:t>
                </m:r>
              </m:e>
              <m:sup>
                <m:r>
                  <m:t>σ</m:t>
                </m:r>
              </m:sup>
            </m:sSup>
          </m:e>
        </m:d>
      </m:oMath>
      <w:r>
        <w:rPr>
          <w:rFonts w:ascii="宋体" w:hAnsi="宋体" w:eastAsia="宋体"/>
          <w:sz w:val="24"/>
        </w:rPr>
        <w:t>恰为词元在认知服务合成中的成本份额；当</w:t>
      </w:r>
      <m:oMath>
        <m:r>
          <m:t>σ</m:t>
        </m:r>
        <m:r>
          <m:rPr>
            <m:sty m:val="p"/>
          </m:rPr>
          <m:t>→</m:t>
        </m:r>
        <m:r>
          <m:t>0</m:t>
        </m:r>
      </m:oMath>
      <w:r>
        <w:rPr>
          <w:rFonts w:ascii="宋体" w:hAnsi="宋体" w:eastAsia="宋体"/>
          <w:sz w:val="24"/>
        </w:rPr>
        <w:t>即替代弹性为1时，该式退化为精确的柯布—道格拉斯形式，</w:t>
      </w:r>
      <m:oMath>
        <m:sSub>
          <m:e>
            <m:r>
              <m:t>s</m:t>
            </m:r>
          </m:e>
          <m:sub>
            <m:r>
              <m:t>T</m:t>
            </m:r>
          </m:sub>
        </m:sSub>
        <m:r>
          <m:rPr>
            <m:sty m:val="p"/>
          </m:rPr>
          <m:t>=</m:t>
        </m:r>
        <m:r>
          <m:t>φ</m:t>
        </m:r>
      </m:oMath>
      <w:r>
        <w:rPr>
          <w:rFonts w:ascii="宋体" w:hAnsi="宋体" w:eastAsia="宋体"/>
          <w:sz w:val="24"/>
        </w:rPr>
        <w:t>。代入式(12-4)并取对数，即得本章的可估计方程：</w:t>
      </w:r>
    </w:p>
    <w:p>
      <w:pPr>
        <w:tabs>
          <w:tab w:pos="4252" w:val="center"/>
          <w:tab w:pos="8504" w:val="right"/>
        </w:tabs>
        <w:spacing w:line="360" w:lineRule="auto" w:before="80" w:after="80"/>
      </w:pPr>
      <w:r>
        <w:tab/>
      </w:r>
      <m:oMath>
        <m:r>
          <m:rPr>
            <m:sty m:val="p"/>
          </m:rPr>
          <m:t>ln</m:t>
        </m:r>
        <m:sSub>
          <m:e>
            <m:r>
              <m:t>Y</m:t>
            </m:r>
          </m:e>
          <m:sub>
            <m:r>
              <m:t>i</m:t>
            </m:r>
            <m:r>
              <m:t>t</m:t>
            </m:r>
          </m:sub>
        </m:sSub>
        <m:r>
          <m:rPr>
            <m:sty m:val="p"/>
          </m:rPr>
          <m:t>=</m:t>
        </m:r>
        <m:r>
          <m:rPr>
            <m:sty m:val="p"/>
          </m:rPr>
          <m:t>ln</m:t>
        </m:r>
        <m:sSub>
          <m:e>
            <m:r>
              <m:t>A</m:t>
            </m:r>
          </m:e>
          <m:sub>
            <m:r>
              <m:t>0</m:t>
            </m:r>
          </m:sub>
        </m:sSub>
        <m:r>
          <m:rPr>
            <m:sty m:val="p"/>
          </m:rPr>
          <m:t>+</m:t>
        </m:r>
        <m:sSub>
          <m:e>
            <m:r>
              <m:t>α</m:t>
            </m:r>
          </m:e>
          <m:sub>
            <m:r>
              <m:t>K</m:t>
            </m:r>
          </m:sub>
        </m:sSub>
        <m:r>
          <m:rPr>
            <m:sty m:val="p"/>
          </m:rPr>
          <m:t>ln</m:t>
        </m:r>
        <m:sSub>
          <m:e>
            <m:r>
              <m:t>K</m:t>
            </m:r>
          </m:e>
          <m:sub>
            <m:r>
              <m:t>i</m:t>
            </m:r>
            <m:r>
              <m:t>t</m:t>
            </m:r>
          </m:sub>
        </m:sSub>
        <m:r>
          <m:rPr>
            <m:sty m:val="p"/>
          </m:rPr>
          <m:t>+</m:t>
        </m:r>
        <m:sSub>
          <m:e>
            <m:r>
              <m:t>α</m:t>
            </m:r>
          </m:e>
          <m:sub>
            <m:r>
              <m:t>L</m:t>
            </m:r>
          </m:sub>
        </m:sSub>
        <m:r>
          <m:rPr>
            <m:sty m:val="p"/>
          </m:rPr>
          <m:t>ln</m:t>
        </m:r>
        <m:sSub>
          <m:e>
            <m:r>
              <m:t>L</m:t>
            </m:r>
          </m:e>
          <m:sub>
            <m:r>
              <m:t>i</m:t>
            </m:r>
            <m:r>
              <m:t>t</m:t>
            </m:r>
          </m:sub>
        </m:sSub>
        <m:r>
          <m:rPr>
            <m:sty m:val="p"/>
          </m:rPr>
          <m:t>+</m:t>
        </m:r>
        <m:sSub>
          <m:e>
            <m:r>
              <m:t>α</m:t>
            </m:r>
          </m:e>
          <m:sub>
            <m:r>
              <m:t>D</m:t>
            </m:r>
          </m:sub>
        </m:sSub>
        <m:r>
          <m:rPr>
            <m:sty m:val="p"/>
          </m:rPr>
          <m:t>ln</m:t>
        </m:r>
        <m:sSub>
          <m:e>
            <m:r>
              <m:t>D</m:t>
            </m:r>
          </m:e>
          <m:sub>
            <m:r>
              <m:t>i</m:t>
            </m:r>
            <m:r>
              <m:t>t</m:t>
            </m:r>
          </m:sub>
        </m:sSub>
        <m:r>
          <m:rPr>
            <m:sty m:val="p"/>
          </m:rPr>
          <m:t>+</m:t>
        </m:r>
        <m:sSub>
          <m:e>
            <m:r>
              <m:t>α</m:t>
            </m:r>
          </m:e>
          <m:sub>
            <m:r>
              <m:t>T</m:t>
            </m:r>
          </m:sub>
        </m:sSub>
        <m:r>
          <m:rPr>
            <m:sty m:val="p"/>
          </m:rPr>
          <m:t>ln</m:t>
        </m:r>
        <m:sSub>
          <m:e>
            <m:acc>
              <m:accPr>
                <m:chr m:val="̃"/>
              </m:accPr>
              <m:e>
                <m:r>
                  <m:t>T</m:t>
                </m:r>
              </m:e>
            </m:acc>
          </m:e>
          <m:sub>
            <m:r>
              <m:t>i</m:t>
            </m:r>
            <m:r>
              <m:t>t</m:t>
            </m:r>
          </m:sub>
        </m:sSub>
        <m:r>
          <m:rPr>
            <m:sty m:val="p"/>
          </m:rPr>
          <m:t>+</m:t>
        </m:r>
        <m:r>
          <m:t>γ</m:t>
        </m:r>
        <m:r>
          <m:rPr>
            <m:sty m:val="p"/>
          </m:rPr>
          <m:t>ln</m:t>
        </m:r>
        <m:sSub>
          <m:e>
            <m:r>
              <m:t>H</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w:r>
        <w:tab/>
      </w:r>
      <w:r>
        <w:rPr>
          <w:rFonts w:ascii="Times New Roman" w:hAnsi="Times New Roman" w:eastAsia="宋体"/>
          <w:sz w:val="24"/>
        </w:rPr>
        <w:t>(12-5)</w:t>
      </w:r>
    </w:p>
    <w:p>
      <w:pPr>
        <w:spacing w:line="360" w:lineRule="auto" w:after="0"/>
        <w:jc w:val="both"/>
      </w:pPr>
      <w:r>
        <w:rPr>
          <w:rFonts w:ascii="宋体" w:hAnsi="宋体" w:eastAsia="宋体"/>
          <w:sz w:val="24"/>
        </w:rPr>
        <w:t>其中，</w:t>
      </w:r>
      <m:oMath>
        <m:sSub>
          <m:e>
            <m:r>
              <m:t>α</m:t>
            </m:r>
          </m:e>
          <m:sub>
            <m:r>
              <m:t>T</m:t>
            </m:r>
          </m:sub>
        </m:sSub>
        <m:r>
          <m:rPr>
            <m:sty m:val="p"/>
          </m:rPr>
          <m:t>≡</m:t>
        </m:r>
        <m:sSub>
          <m:e>
            <m:r>
              <m:t>α</m:t>
            </m:r>
          </m:e>
          <m:sub>
            <m:r>
              <m:t>Z</m:t>
            </m:r>
          </m:sub>
        </m:sSub>
        <m:sSub>
          <m:e>
            <m:r>
              <m:t>s</m:t>
            </m:r>
          </m:e>
          <m:sub>
            <m:r>
              <m:t>T</m:t>
            </m:r>
          </m:sub>
        </m:sSub>
      </m:oMath>
      <w:r>
        <w:rPr>
          <w:rFonts w:ascii="宋体" w:hAnsi="宋体" w:eastAsia="宋体"/>
          <w:sz w:val="24"/>
        </w:rPr>
        <w:t>为标准词元流量的产出弹性，</w:t>
      </w:r>
      <m:oMath>
        <m:r>
          <m:t>γ</m:t>
        </m:r>
        <m:r>
          <m:rPr>
            <m:sty m:val="p"/>
          </m:rPr>
          <m:t>≡</m:t>
        </m:r>
        <m:sSub>
          <m:e>
            <m:r>
              <m:t>α</m:t>
            </m:r>
          </m:e>
          <m:sub>
            <m:r>
              <m:t>Z</m:t>
            </m:r>
          </m:sub>
        </m:sSub>
        <m:d>
          <m:dPr>
            <m:begChr m:val="("/>
            <m:endChr m:val=")"/>
            <m:grow/>
          </m:dPr>
          <m:e>
            <m:r>
              <m:t>1</m:t>
            </m:r>
            <m:r>
              <m:rPr>
                <m:sty m:val="p"/>
              </m:rPr>
              <m:t>−</m:t>
            </m:r>
            <m:sSub>
              <m:e>
                <m:r>
                  <m:t>s</m:t>
                </m:r>
              </m:e>
              <m:sub>
                <m:r>
                  <m:t>T</m:t>
                </m:r>
              </m:sub>
            </m:sSub>
          </m:e>
        </m:d>
      </m:oMath>
      <w:r>
        <w:rPr>
          <w:rFonts w:ascii="宋体" w:hAnsi="宋体" w:eastAsia="宋体"/>
          <w:sz w:val="24"/>
        </w:rPr>
        <w:t>为互补性人力与组织资本的弹性；</w:t>
      </w:r>
      <m:oMath>
        <m:sSub>
          <m:e>
            <m:r>
              <m:t>μ</m:t>
            </m:r>
          </m:e>
          <m:sub>
            <m:r>
              <m:t>i</m:t>
            </m:r>
          </m:sub>
        </m:sSub>
      </m:oMath>
      <w:r>
        <w:rPr>
          <w:rFonts w:ascii="宋体" w:hAnsi="宋体" w:eastAsia="宋体"/>
          <w:sz w:val="24"/>
        </w:rPr>
        <w:t>与</w:t>
      </w:r>
      <m:oMath>
        <m:sSub>
          <m:e>
            <m:r>
              <m:t>λ</m:t>
            </m:r>
          </m:e>
          <m:sub>
            <m:r>
              <m:t>t</m:t>
            </m:r>
          </m:sub>
        </m:sSub>
      </m:oMath>
      <w:r>
        <w:rPr>
          <w:rFonts w:ascii="宋体" w:hAnsi="宋体" w:eastAsia="宋体"/>
          <w:sz w:val="24"/>
        </w:rPr>
        <w:t>分别为地区与时期固定效应，</w:t>
      </w:r>
      <m:oMath>
        <m:sSub>
          <m:e>
            <m:r>
              <m:t>ε</m:t>
            </m:r>
          </m:e>
          <m:sub>
            <m:r>
              <m:t>i</m:t>
            </m:r>
            <m:r>
              <m:t>t</m:t>
            </m:r>
          </m:sub>
        </m:sSub>
      </m:oMath>
      <w:r>
        <w:rPr>
          <w:rFonts w:ascii="宋体" w:hAnsi="宋体" w:eastAsia="宋体"/>
          <w:sz w:val="24"/>
        </w:rPr>
        <w:t>为随机扰动项。</w:t>
      </w:r>
    </w:p>
    <w:p>
      <w:pPr>
        <w:spacing w:line="360" w:lineRule="auto" w:after="0"/>
        <w:ind w:firstLineChars="200" w:firstLine="480"/>
        <w:jc w:val="both"/>
      </w:pPr>
      <w:r>
        <w:rPr>
          <w:rFonts w:ascii="宋体" w:hAnsi="宋体" w:eastAsia="宋体"/>
          <w:sz w:val="24"/>
        </w:rPr>
        <w:t>式(12-5)中最值得强调的是</w:t>
      </w:r>
      <m:oMath>
        <m:sSub>
          <m:e>
            <m:r>
              <m:t>α</m:t>
            </m:r>
          </m:e>
          <m:sub>
            <m:r>
              <m:t>T</m:t>
            </m:r>
          </m:sub>
        </m:sSub>
        <m:r>
          <m:rPr>
            <m:sty m:val="p"/>
          </m:rPr>
          <m:t>=</m:t>
        </m:r>
        <m:sSub>
          <m:e>
            <m:r>
              <m:t>α</m:t>
            </m:r>
          </m:e>
          <m:sub>
            <m:r>
              <m:t>Z</m:t>
            </m:r>
          </m:sub>
        </m:sSub>
        <m:sSub>
          <m:e>
            <m:r>
              <m:t>s</m:t>
            </m:r>
          </m:e>
          <m:sub>
            <m:r>
              <m:t>T</m:t>
            </m:r>
          </m:sub>
        </m:sSub>
      </m:oMath>
      <w:r>
        <w:rPr>
          <w:rFonts w:ascii="宋体" w:hAnsi="宋体" w:eastAsia="宋体"/>
          <w:sz w:val="24"/>
        </w:rPr>
        <w:t>这一分解。它表明标准词元流量的产出弹性并非一个技术常数，而是两项因素的乘积：认知服务在总产出中的重要性</w:t>
      </w:r>
      <m:oMath>
        <m:sSub>
          <m:e>
            <m:r>
              <m:t>α</m:t>
            </m:r>
          </m:e>
          <m:sub>
            <m:r>
              <m:t>Z</m:t>
            </m:r>
          </m:sub>
        </m:sSub>
      </m:oMath>
      <w:r>
        <w:rPr>
          <w:rFonts w:ascii="宋体" w:hAnsi="宋体" w:eastAsia="宋体"/>
          <w:sz w:val="24"/>
        </w:rPr>
        <w:t>，与机器认知在认知服务中的份额</w:t>
      </w:r>
      <m:oMath>
        <m:sSub>
          <m:e>
            <m:r>
              <m:t>s</m:t>
            </m:r>
          </m:e>
          <m:sub>
            <m:r>
              <m:t>T</m:t>
            </m:r>
          </m:sub>
        </m:sSub>
      </m:oMath>
      <w:r>
        <w:rPr>
          <w:rFonts w:ascii="宋体" w:hAnsi="宋体" w:eastAsia="宋体"/>
          <w:sz w:val="24"/>
        </w:rPr>
        <w:t>。这一分解具有三层含义。其一，它解释了为什么当前估计得到的</w:t>
      </w:r>
      <m:oMath>
        <m:sSub>
          <m:e>
            <m:r>
              <m:t>α</m:t>
            </m:r>
          </m:e>
          <m:sub>
            <m:r>
              <m:t>T</m:t>
            </m:r>
          </m:sub>
        </m:sSub>
      </m:oMath>
      <w:r>
        <w:rPr>
          <w:rFonts w:ascii="宋体" w:hAnsi="宋体" w:eastAsia="宋体"/>
          <w:sz w:val="24"/>
        </w:rPr>
        <w:t>在数值上并不很大：在样本期内，机器认知在全部认知活动中所占份额仍然有限，即便认知服务本身对产出至关重要，二者相乘之后的弹性仍然是一个中等偏小的数。其二，它预示了</w:t>
      </w:r>
      <m:oMath>
        <m:sSub>
          <m:e>
            <m:r>
              <m:t>α</m:t>
            </m:r>
          </m:e>
          <m:sub>
            <m:r>
              <m:t>T</m:t>
            </m:r>
          </m:sub>
        </m:sSub>
      </m:oMath>
      <w:r>
        <w:rPr>
          <w:rFonts w:ascii="宋体" w:hAnsi="宋体" w:eastAsia="宋体"/>
          <w:sz w:val="24"/>
        </w:rPr>
        <w:t>的上升趋势：随着模型能力提升与场景深化，</w:t>
      </w:r>
      <m:oMath>
        <m:sSub>
          <m:e>
            <m:r>
              <m:t>s</m:t>
            </m:r>
          </m:e>
          <m:sub>
            <m:r>
              <m:t>T</m:t>
            </m:r>
          </m:sub>
        </m:sSub>
      </m:oMath>
      <w:r>
        <w:rPr>
          <w:rFonts w:ascii="宋体" w:hAnsi="宋体" w:eastAsia="宋体"/>
          <w:sz w:val="24"/>
        </w:rPr>
        <w:t>将持续上升，因而弹性会随时间而增大，任何以固定弹性外推长期的做法都会低估未来贡献。其三，它给出了政策着力点：提高词元的增长贡献既可以通过扩大词元用量实现，也可以通过提升</w:t>
      </w:r>
      <m:oMath>
        <m:sSub>
          <m:e>
            <m:r>
              <m:t>α</m:t>
            </m:r>
          </m:e>
          <m:sub>
            <m:r>
              <m:t>Z</m:t>
            </m:r>
          </m:sub>
        </m:sSub>
      </m:oMath>
      <w:r>
        <w:rPr>
          <w:rFonts w:ascii="宋体" w:hAnsi="宋体" w:eastAsia="宋体"/>
          <w:sz w:val="24"/>
        </w:rPr>
        <w:t>即深化认知服务在生产中的嵌入程度实现，而后者依赖的是流程再造与组织变革，恰是</w:t>
      </w:r>
      <m:oMath>
        <m:r>
          <m:t>H</m:t>
        </m:r>
      </m:oMath>
      <w:r>
        <w:rPr>
          <w:rFonts w:ascii="宋体" w:hAnsi="宋体" w:eastAsia="宋体"/>
          <w:sz w:val="24"/>
        </w:rPr>
        <w:t>所代表的互补投资——这与第10章「五个统一」中降低企业接入成本的机制设计目标完全一致。</w:t>
      </w:r>
    </w:p>
    <w:p>
      <w:pPr>
        <w:keepNext/>
        <w:spacing w:before="160" w:after="120" w:line="360" w:lineRule="auto"/>
        <w:outlineLvl w:val="2"/>
      </w:pPr>
      <w:r>
        <w:rPr>
          <w:rFonts w:ascii="黑体" w:hAnsi="黑体" w:eastAsia="黑体"/>
          <w:sz w:val="24"/>
        </w:rPr>
        <w:t>12.3.3  为什么必须是标准词元：口径不一致的偏误</w:t>
      </w:r>
    </w:p>
    <w:p>
      <w:pPr>
        <w:spacing w:line="360" w:lineRule="auto" w:after="0"/>
        <w:ind w:firstLineChars="200" w:firstLine="480"/>
        <w:jc w:val="both"/>
      </w:pPr>
      <w:r>
        <w:rPr>
          <w:rFonts w:ascii="宋体" w:hAnsi="宋体" w:eastAsia="宋体"/>
          <w:sz w:val="24"/>
        </w:rPr>
        <w:t>式(12-5)中的解释变量是标准词元流量而非物理词元调用量，这一选择并非修辞而是识别的必需。按第5章的折算关系，某地区某时期的标准词元流量等于物理词元调用量与其用量加权平均效值系数之积，即</w:t>
      </w:r>
      <m:oMath>
        <m:sSub>
          <m:e>
            <m:acc>
              <m:accPr>
                <m:chr m:val="̃"/>
              </m:accPr>
              <m:e>
                <m:r>
                  <m:t>T</m:t>
                </m:r>
              </m:e>
            </m:acc>
          </m:e>
          <m:sub>
            <m:r>
              <m:t>i</m:t>
            </m:r>
            <m:r>
              <m:t>t</m:t>
            </m:r>
          </m:sub>
        </m:sSub>
        <m:r>
          <m:rPr>
            <m:sty m:val="p"/>
          </m:rPr>
          <m:t>=</m:t>
        </m:r>
        <m:sSub>
          <m:e>
            <m:acc>
              <m:accPr>
                <m:chr m:val="‾"/>
              </m:accPr>
              <m:e>
                <m:r>
                  <m:t>η</m:t>
                </m:r>
              </m:e>
            </m:acc>
          </m:e>
          <m:sub>
            <m:r>
              <m:t>i</m:t>
            </m:r>
            <m:r>
              <m:t>t</m:t>
            </m:r>
          </m:sub>
        </m:sSub>
        <m:sSub>
          <m:e>
            <m:r>
              <m:t>T</m:t>
            </m:r>
          </m:e>
          <m:sub>
            <m:r>
              <m:t>i</m:t>
            </m:r>
            <m:r>
              <m:t>t</m:t>
            </m:r>
          </m:sub>
        </m:sSub>
      </m:oMath>
      <w:r>
        <w:rPr>
          <w:rFonts w:ascii="宋体" w:hAnsi="宋体" w:eastAsia="宋体"/>
          <w:sz w:val="24"/>
        </w:rPr>
        <w:t>，两边取对数并对时间求导即得</w:t>
      </w:r>
      <m:oMath>
        <m:sSub>
          <m:e>
            <m:r>
              <m:t>g</m:t>
            </m:r>
          </m:e>
          <m:sub>
            <m:acc>
              <m:accPr>
                <m:chr m:val="̃"/>
              </m:accPr>
              <m:e>
                <m:r>
                  <m:t>T</m:t>
                </m:r>
              </m:e>
            </m:acc>
          </m:sub>
        </m:sSub>
        <m:r>
          <m:rPr>
            <m:sty m:val="p"/>
          </m:rPr>
          <m:t>=</m:t>
        </m:r>
        <m:sSub>
          <m:e>
            <m:r>
              <m:t>g</m:t>
            </m:r>
          </m:e>
          <m:sub>
            <m:r>
              <m:t>T</m:t>
            </m:r>
          </m:sub>
        </m:sSub>
        <m:r>
          <m:rPr>
            <m:sty m:val="p"/>
          </m:rPr>
          <m:t>+</m:t>
        </m:r>
        <m:sSub>
          <m:e>
            <m:r>
              <m:t>g</m:t>
            </m:r>
          </m:e>
          <m:sub>
            <m:acc>
              <m:accPr>
                <m:chr m:val="‾"/>
              </m:accPr>
              <m:e>
                <m:r>
                  <m:t>η</m:t>
                </m:r>
              </m:e>
            </m:acc>
          </m:sub>
        </m:sSub>
      </m:oMath>
      <w:r>
        <w:rPr>
          <w:rFonts w:ascii="宋体" w:hAnsi="宋体" w:eastAsia="宋体"/>
          <w:sz w:val="24"/>
        </w:rPr>
        <w:t>：标准词元流量的增长可以分解为调用量增长与平均效值变动两部分。若实证中以物理词元口径入式，则</w:t>
      </w:r>
      <m:oMath>
        <m:r>
          <m:rPr>
            <m:sty m:val="p"/>
          </m:rPr>
          <m:t>ln</m:t>
        </m:r>
        <m:sSub>
          <m:e>
            <m:acc>
              <m:accPr>
                <m:chr m:val="‾"/>
              </m:accPr>
              <m:e>
                <m:r>
                  <m:t>η</m:t>
                </m:r>
              </m:e>
            </m:acc>
          </m:e>
          <m:sub>
            <m:r>
              <m:t>i</m:t>
            </m:r>
            <m:r>
              <m:t>t</m:t>
            </m:r>
          </m:sub>
        </m:sSub>
      </m:oMath>
      <w:r>
        <w:rPr>
          <w:rFonts w:ascii="宋体" w:hAnsi="宋体" w:eastAsia="宋体"/>
          <w:sz w:val="24"/>
        </w:rPr>
        <w:t>被遗漏，其后果可由遗漏变量偏误公式给出：</w:t>
      </w:r>
    </w:p>
    <w:p>
      <w:pPr>
        <w:tabs>
          <w:tab w:pos="4252" w:val="center"/>
          <w:tab w:pos="8504" w:val="right"/>
        </w:tabs>
        <w:spacing w:line="360" w:lineRule="auto" w:before="80" w:after="80"/>
      </w:pPr>
      <w:r>
        <w:tab/>
      </w:r>
      <m:oMath>
        <m:r>
          <m:rPr>
            <m:sty m:val="p"/>
          </m:rPr>
          <m:t>plim</m:t>
        </m:r>
        <m:sSubSup>
          <m:e>
            <m:acc>
              <m:accPr>
                <m:chr m:val="̂"/>
              </m:accPr>
              <m:e>
                <m:r>
                  <m:t>α</m:t>
                </m:r>
              </m:e>
            </m:acc>
          </m:e>
          <m:sub>
            <m:r>
              <m:t>T</m:t>
            </m:r>
          </m:sub>
          <m:sup>
            <m:r>
              <m:rPr>
                <m:sty m:val="p"/>
              </m:rPr>
              <m:t>r</m:t>
            </m:r>
            <m:r>
              <m:rPr>
                <m:sty m:val="p"/>
              </m:rPr>
              <m:t>a</m:t>
            </m:r>
            <m:r>
              <m:rPr>
                <m:sty m:val="p"/>
              </m:rPr>
              <m:t>w</m:t>
            </m:r>
          </m:sup>
        </m:sSubSup>
        <m:r>
          <m:rPr>
            <m:sty m:val="p"/>
          </m:rPr>
          <m:t>=</m:t>
        </m:r>
        <m:sSub>
          <m:e>
            <m:r>
              <m:t>α</m:t>
            </m:r>
          </m:e>
          <m:sub>
            <m:r>
              <m:t>T</m:t>
            </m:r>
          </m:sub>
        </m:sSub>
        <m:d>
          <m:dPr>
            <m:begChr m:val="["/>
            <m:endChr m:val="]"/>
            <m:grow/>
          </m:dPr>
          <m:e>
            <m:r>
              <m:t>1</m:t>
            </m:r>
            <m:r>
              <m:rPr>
                <m:sty m:val="p"/>
              </m:rPr>
              <m:t>+</m:t>
            </m:r>
            <m:f>
              <m:fPr>
                <m:type m:val="bar"/>
              </m:fPr>
              <m:num>
                <m:r>
                  <m:rPr>
                    <m:sty m:val="p"/>
                  </m:rPr>
                  <m:t>Cov</m:t>
                </m:r>
                <m:d>
                  <m:dPr>
                    <m:begChr m:val="("/>
                    <m:endChr m:val=")"/>
                    <m:grow/>
                  </m:dPr>
                  <m:e>
                    <m:r>
                      <m:rPr>
                        <m:sty m:val="p"/>
                      </m:rPr>
                      <m:t>ln</m:t>
                    </m:r>
                    <m:sSub>
                      <m:e>
                        <m:acc>
                          <m:accPr>
                            <m:chr m:val="‾"/>
                          </m:accPr>
                          <m:e>
                            <m:r>
                              <m:t>η</m:t>
                            </m:r>
                          </m:e>
                        </m:acc>
                      </m:e>
                      <m:sub>
                        <m:r>
                          <m:t>i</m:t>
                        </m:r>
                        <m:r>
                          <m:t>t</m:t>
                        </m:r>
                      </m:sub>
                    </m:sSub>
                    <m:r>
                      <m:rPr>
                        <m:sty m:val="p"/>
                      </m:rPr>
                      <m:t>,</m:t>
                    </m:r>
                    <m:r>
                      <m:rPr>
                        <m:sty m:val="p"/>
                      </m:rPr>
                      <m:t>ln</m:t>
                    </m:r>
                    <m:sSub>
                      <m:e>
                        <m:r>
                          <m:t>T</m:t>
                        </m:r>
                      </m:e>
                      <m:sub>
                        <m:r>
                          <m:t>i</m:t>
                        </m:r>
                        <m:r>
                          <m:t>t</m:t>
                        </m:r>
                      </m:sub>
                    </m:sSub>
                  </m:e>
                </m:d>
              </m:num>
              <m:den>
                <m:r>
                  <m:rPr>
                    <m:sty m:val="p"/>
                  </m:rPr>
                  <m:t>Var</m:t>
                </m:r>
                <m:d>
                  <m:dPr>
                    <m:begChr m:val="("/>
                    <m:endChr m:val=")"/>
                    <m:grow/>
                  </m:dPr>
                  <m:e>
                    <m:r>
                      <m:rPr>
                        <m:sty m:val="p"/>
                      </m:rPr>
                      <m:t>ln</m:t>
                    </m:r>
                    <m:sSub>
                      <m:e>
                        <m:r>
                          <m:t>T</m:t>
                        </m:r>
                      </m:e>
                      <m:sub>
                        <m:r>
                          <m:t>i</m:t>
                        </m:r>
                        <m:r>
                          <m:t>t</m:t>
                        </m:r>
                      </m:sub>
                    </m:sSub>
                  </m:e>
                </m:d>
              </m:den>
            </m:f>
          </m:e>
        </m:d>
      </m:oMath>
      <w:r>
        <w:tab/>
      </w:r>
      <w:r>
        <w:rPr>
          <w:rFonts w:ascii="Times New Roman" w:hAnsi="Times New Roman" w:eastAsia="宋体"/>
          <w:sz w:val="24"/>
        </w:rPr>
        <w:t>(12-6)</w:t>
      </w:r>
    </w:p>
    <w:p>
      <w:pPr>
        <w:spacing w:line="360" w:lineRule="auto" w:after="0"/>
        <w:jc w:val="both"/>
      </w:pPr>
      <w:r>
        <w:rPr>
          <w:rFonts w:ascii="宋体" w:hAnsi="宋体" w:eastAsia="宋体"/>
          <w:sz w:val="24"/>
        </w:rPr>
        <w:t>其中，</w:t>
      </w:r>
      <m:oMath>
        <m:sSubSup>
          <m:e>
            <m:acc>
              <m:accPr>
                <m:chr m:val="̂"/>
              </m:accPr>
              <m:e>
                <m:r>
                  <m:t>α</m:t>
                </m:r>
              </m:e>
            </m:acc>
          </m:e>
          <m:sub>
            <m:r>
              <m:t>T</m:t>
            </m:r>
          </m:sub>
          <m:sup>
            <m:r>
              <m:rPr>
                <m:sty m:val="p"/>
              </m:rPr>
              <m:t>r</m:t>
            </m:r>
            <m:r>
              <m:rPr>
                <m:sty m:val="p"/>
              </m:rPr>
              <m:t>a</m:t>
            </m:r>
            <m:r>
              <m:rPr>
                <m:sty m:val="p"/>
              </m:rPr>
              <m:t>w</m:t>
            </m:r>
          </m:sup>
        </m:sSubSup>
      </m:oMath>
      <w:r>
        <w:rPr>
          <w:rFonts w:ascii="宋体" w:hAnsi="宋体" w:eastAsia="宋体"/>
          <w:sz w:val="24"/>
        </w:rPr>
        <w:t>为以物理词元口径估计所得的系数，</w:t>
      </w:r>
      <m:oMath>
        <m:r>
          <m:rPr>
            <m:sty m:val="p"/>
          </m:rPr>
          <m:t>plim</m:t>
        </m:r>
      </m:oMath>
      <w:r>
        <w:rPr>
          <w:rFonts w:ascii="宋体" w:hAnsi="宋体" w:eastAsia="宋体"/>
          <w:sz w:val="24"/>
        </w:rPr>
        <w:t>表示依概率极限。</w:t>
      </w:r>
    </w:p>
    <w:p>
      <w:pPr>
        <w:spacing w:line="360" w:lineRule="auto" w:after="0"/>
        <w:ind w:firstLineChars="200" w:firstLine="480"/>
        <w:jc w:val="both"/>
      </w:pPr>
      <w:r>
        <w:rPr>
          <w:rFonts w:ascii="宋体" w:hAnsi="宋体" w:eastAsia="宋体"/>
          <w:sz w:val="24"/>
        </w:rPr>
        <w:t>式(12-6)的经济含义颇为微妙。若一个地区的调用量扩张主要由高效值档位（如推理增强级、旗舰闭源级）驱动，则协方差为正，物理词元口径将高估弹性；若扩张主要由轻量蒸馏级等低效值档位驱动——这在价格战期间相当常见——则协方差为负，弹性被低估。现实中两种力量在不同地区、不同时期交替占优，于是以物理词元口径估计的系数既不稳定也不可跨期比较，其符号甚至可能翻转。这正是第3章所论证的物理词元不可加性在核算层面的直接后果：本书测算的六档位效值系数从轻量蒸馏级的0.38到推理增强级的4.28，相差逾十倍，折算后单位价格的变异系数由0.92降至0.31、下降约66%。折算不是为了让数字好看，而是为了让系数有意义。至此，本章核算框架与传统核算框架的差异已经完整呈现，如图12.1所示。</w:t>
      </w:r>
    </w:p>
    <w:p>
      <w:pPr>
        <w:spacing w:before="120" w:after="40"/>
        <w:jc w:val="center"/>
      </w:pPr>
      <w:r>
        <w:drawing>
          <wp:inline xmlns:a="http://schemas.openxmlformats.org/drawingml/2006/main" xmlns:pic="http://schemas.openxmlformats.org/drawingml/2006/picture">
            <wp:extent cx="5040000" cy="3414194"/>
            <wp:docPr id="38" name="Picture 38"/>
            <wp:cNvGraphicFramePr>
              <a:graphicFrameLocks noChangeAspect="1"/>
            </wp:cNvGraphicFramePr>
            <a:graphic>
              <a:graphicData uri="http://schemas.openxmlformats.org/drawingml/2006/picture">
                <pic:pic>
                  <pic:nvPicPr>
                    <pic:cNvPr id="0" name="fig12_1.png"/>
                    <pic:cNvPicPr/>
                  </pic:nvPicPr>
                  <pic:blipFill>
                    <a:blip r:embed="rId46"/>
                    <a:stretch>
                      <a:fillRect/>
                    </a:stretch>
                  </pic:blipFill>
                  <pic:spPr>
                    <a:xfrm>
                      <a:off x="0" y="0"/>
                      <a:ext cx="5040000" cy="3414194"/>
                    </a:xfrm>
                    <a:prstGeom prst="rect"/>
                  </pic:spPr>
                </pic:pic>
              </a:graphicData>
            </a:graphic>
          </wp:inline>
        </w:drawing>
      </w:r>
    </w:p>
    <w:p>
      <w:pPr>
        <w:keepNext w:val="0"/>
        <w:spacing w:after="40"/>
        <w:jc w:val="center"/>
      </w:pPr>
      <w:r>
        <w:rPr>
          <w:rFonts w:ascii="黑体" w:hAnsi="黑体" w:eastAsia="黑体"/>
          <w:sz w:val="21"/>
        </w:rPr>
        <w:t>图12.1  引入词元流量的智能经济增长核算框架</w:t>
      </w:r>
    </w:p>
    <w:p>
      <w:pPr>
        <w:spacing w:after="200" w:line="240" w:lineRule="auto"/>
        <w:jc w:val="both"/>
      </w:pPr>
      <w:r>
        <w:rPr>
          <w:rFonts w:ascii="宋体" w:hAnsi="宋体" w:eastAsia="宋体"/>
          <w:sz w:val="18"/>
        </w:rPr>
        <w:t>注：图中所标弹性、贡献与残差数值为本章12.5节与12.6节的估计结果，样本与口径同表12.1；左栏对应式(12-1)的传统两要素核算，右栏对应式(12-5)的四要素设定。</w:t>
      </w:r>
    </w:p>
    <w:p>
      <w:pPr>
        <w:spacing w:line="360" w:lineRule="auto" w:after="0"/>
        <w:ind w:firstLineChars="200" w:firstLine="480"/>
        <w:jc w:val="both"/>
      </w:pPr>
      <w:r>
        <w:rPr>
          <w:rFonts w:ascii="宋体" w:hAnsi="宋体" w:eastAsia="宋体"/>
          <w:sz w:val="24"/>
        </w:rPr>
        <w:t>图12.1以并列对照的方式呈现了两套核算框架的结构差异。左栏是传统核算：资本与劳动经由生产函数决定产出，扣除二者贡献后的余项即索洛残差，人工智能的全部影响与技术进步、效率改善混同其中，既不可观测、不可归因，也不可考核。右栏是本书框架：资本、劳动、数据与标准词元流量四项投入并列进入生产函数，各自带有可估计的产出弹性，人工智能的贡献由</w:t>
      </w:r>
      <m:oMath>
        <m:sSub>
          <m:e>
            <m:r>
              <m:t>α</m:t>
            </m:r>
          </m:e>
          <m:sub>
            <m:r>
              <m:t>T</m:t>
            </m:r>
          </m:sub>
        </m:sSub>
      </m:oMath>
      <w:r>
        <w:rPr>
          <w:rFonts w:ascii="宋体" w:hAnsi="宋体" w:eastAsia="宋体"/>
          <w:sz w:val="24"/>
        </w:rPr>
        <w:t>与标准词元流量增长率之积直接给出，残差相应缩小。两栏之间的差额——残差由每年2.41%降至2.12%——不是任何一方「算错了」，而是一部分此前无法解释的增长被归还给了一项此前无法观测的投入。这正是增长核算精细化的一贯逻辑：核算的进步总是表现为残差的缩小。</w:t>
      </w:r>
    </w:p>
    <w:p>
      <w:pPr>
        <w:keepNext/>
        <w:spacing w:before="160" w:after="120" w:line="360" w:lineRule="auto"/>
        <w:outlineLvl w:val="1"/>
      </w:pPr>
      <w:r>
        <w:rPr>
          <w:rFonts w:ascii="黑体" w:hAnsi="黑体" w:eastAsia="黑体"/>
          <w:sz w:val="28"/>
        </w:rPr>
        <w:t>12.4  从残差测度到过程观测：贡献的显性分离</w:t>
      </w:r>
    </w:p>
    <w:p>
      <w:pPr>
        <w:keepNext/>
        <w:spacing w:before="160" w:after="120" w:line="360" w:lineRule="auto"/>
        <w:outlineLvl w:val="2"/>
      </w:pPr>
      <w:r>
        <w:rPr>
          <w:rFonts w:ascii="黑体" w:hAnsi="黑体" w:eastAsia="黑体"/>
          <w:sz w:val="24"/>
        </w:rPr>
        <w:t>12.4.1  扩展核算恒等式与三项性质</w:t>
      </w:r>
    </w:p>
    <w:p>
      <w:pPr>
        <w:spacing w:line="360" w:lineRule="auto" w:after="0"/>
        <w:ind w:firstLineChars="200" w:firstLine="480"/>
        <w:jc w:val="both"/>
      </w:pPr>
      <w:r>
        <w:rPr>
          <w:rFonts w:ascii="宋体" w:hAnsi="宋体" w:eastAsia="宋体"/>
          <w:sz w:val="24"/>
        </w:rPr>
        <w:t>在式(12-5)的弹性估计到手之后，增长核算即可由回归转入分解。把估计所得的四项弹性代回增长率恒等式，地区</w:t>
      </w:r>
      <m:oMath>
        <m:r>
          <m:t>i</m:t>
        </m:r>
      </m:oMath>
      <w:r>
        <w:rPr>
          <w:rFonts w:ascii="宋体" w:hAnsi="宋体" w:eastAsia="宋体"/>
          <w:sz w:val="24"/>
        </w:rPr>
        <w:t>在时期</w:t>
      </w:r>
      <m:oMath>
        <m:r>
          <m:t>t</m:t>
        </m:r>
      </m:oMath>
      <w:r>
        <w:rPr>
          <w:rFonts w:ascii="宋体" w:hAnsi="宋体" w:eastAsia="宋体"/>
          <w:sz w:val="24"/>
        </w:rPr>
        <w:t>的全要素生产率增长率可由残差法恢复：</w:t>
      </w:r>
    </w:p>
    <w:p>
      <w:pPr>
        <w:tabs>
          <w:tab w:pos="4252" w:val="center"/>
          <w:tab w:pos="8504" w:val="right"/>
        </w:tabs>
        <w:spacing w:line="360" w:lineRule="auto" w:before="80" w:after="80"/>
      </w:pPr>
      <w:r>
        <w:tab/>
      </w:r>
      <m:oMath>
        <m:sSub>
          <m:e>
            <m:r>
              <m:t>g</m:t>
            </m:r>
          </m:e>
          <m:sub>
            <m:r>
              <m:t>A</m:t>
            </m:r>
            <m:r>
              <m:rPr>
                <m:sty m:val="p"/>
              </m:rPr>
              <m:t>,</m:t>
            </m:r>
            <m:r>
              <m:t>i</m:t>
            </m:r>
            <m:r>
              <m:t>t</m:t>
            </m:r>
          </m:sub>
        </m:sSub>
        <m:r>
          <m:rPr>
            <m:sty m:val="p"/>
          </m:rPr>
          <m:t>=</m:t>
        </m:r>
        <m:sSub>
          <m:e>
            <m:r>
              <m:t>g</m:t>
            </m:r>
          </m:e>
          <m:sub>
            <m:r>
              <m:t>Y</m:t>
            </m:r>
            <m:r>
              <m:rPr>
                <m:sty m:val="p"/>
              </m:rPr>
              <m:t>,</m:t>
            </m:r>
            <m:r>
              <m:t>i</m:t>
            </m:r>
            <m:r>
              <m:t>t</m:t>
            </m:r>
          </m:sub>
        </m:sSub>
        <m:r>
          <m:rPr>
            <m:sty m:val="p"/>
          </m:rPr>
          <m:t>−</m:t>
        </m:r>
        <m:sSub>
          <m:e>
            <m:acc>
              <m:accPr>
                <m:chr m:val="̂"/>
              </m:accPr>
              <m:e>
                <m:r>
                  <m:t>α</m:t>
                </m:r>
              </m:e>
            </m:acc>
          </m:e>
          <m:sub>
            <m:r>
              <m:t>K</m:t>
            </m:r>
          </m:sub>
        </m:sSub>
        <m:sSub>
          <m:e>
            <m:r>
              <m:t>g</m:t>
            </m:r>
          </m:e>
          <m:sub>
            <m:r>
              <m:t>K</m:t>
            </m:r>
            <m:r>
              <m:rPr>
                <m:sty m:val="p"/>
              </m:rPr>
              <m:t>,</m:t>
            </m:r>
            <m:r>
              <m:t>i</m:t>
            </m:r>
            <m:r>
              <m:t>t</m:t>
            </m:r>
          </m:sub>
        </m:sSub>
        <m:r>
          <m:rPr>
            <m:sty m:val="p"/>
          </m:rPr>
          <m:t>−</m:t>
        </m:r>
        <m:sSub>
          <m:e>
            <m:acc>
              <m:accPr>
                <m:chr m:val="̂"/>
              </m:accPr>
              <m:e>
                <m:r>
                  <m:t>α</m:t>
                </m:r>
              </m:e>
            </m:acc>
          </m:e>
          <m:sub>
            <m:r>
              <m:t>L</m:t>
            </m:r>
          </m:sub>
        </m:sSub>
        <m:sSub>
          <m:e>
            <m:r>
              <m:t>g</m:t>
            </m:r>
          </m:e>
          <m:sub>
            <m:r>
              <m:t>L</m:t>
            </m:r>
            <m:r>
              <m:rPr>
                <m:sty m:val="p"/>
              </m:rPr>
              <m:t>,</m:t>
            </m:r>
            <m:r>
              <m:t>i</m:t>
            </m:r>
            <m:r>
              <m:t>t</m:t>
            </m:r>
          </m:sub>
        </m:sSub>
        <m:r>
          <m:rPr>
            <m:sty m:val="p"/>
          </m:rPr>
          <m:t>−</m:t>
        </m:r>
        <m:sSub>
          <m:e>
            <m:acc>
              <m:accPr>
                <m:chr m:val="̂"/>
              </m:accPr>
              <m:e>
                <m:r>
                  <m:t>α</m:t>
                </m:r>
              </m:e>
            </m:acc>
          </m:e>
          <m:sub>
            <m:r>
              <m:t>D</m:t>
            </m:r>
          </m:sub>
        </m:sSub>
        <m:sSub>
          <m:e>
            <m:r>
              <m:t>g</m:t>
            </m:r>
          </m:e>
          <m:sub>
            <m:r>
              <m:t>D</m:t>
            </m:r>
            <m:r>
              <m:rPr>
                <m:sty m:val="p"/>
              </m:rPr>
              <m:t>,</m:t>
            </m:r>
            <m:r>
              <m:t>i</m:t>
            </m:r>
            <m:r>
              <m:t>t</m:t>
            </m:r>
          </m:sub>
        </m:sSub>
        <m:r>
          <m:rPr>
            <m:sty m:val="p"/>
          </m:rPr>
          <m:t>−</m:t>
        </m:r>
        <m:sSub>
          <m:e>
            <m:acc>
              <m:accPr>
                <m:chr m:val="̂"/>
              </m:accPr>
              <m:e>
                <m:r>
                  <m:t>α</m:t>
                </m:r>
              </m:e>
            </m:acc>
          </m:e>
          <m:sub>
            <m:r>
              <m:t>T</m:t>
            </m:r>
          </m:sub>
        </m:sSub>
        <m:sSub>
          <m:e>
            <m:r>
              <m:t>g</m:t>
            </m:r>
          </m:e>
          <m:sub>
            <m:acc>
              <m:accPr>
                <m:chr m:val="̃"/>
              </m:accPr>
              <m:e>
                <m:r>
                  <m:t>T</m:t>
                </m:r>
              </m:e>
            </m:acc>
            <m:r>
              <m:rPr>
                <m:sty m:val="p"/>
              </m:rPr>
              <m:t>,</m:t>
            </m:r>
            <m:r>
              <m:t>i</m:t>
            </m:r>
            <m:r>
              <m:t>t</m:t>
            </m:r>
          </m:sub>
        </m:sSub>
      </m:oMath>
      <w:r>
        <w:tab/>
      </w:r>
      <w:r>
        <w:rPr>
          <w:rFonts w:ascii="Times New Roman" w:hAnsi="Times New Roman" w:eastAsia="宋体"/>
          <w:sz w:val="24"/>
        </w:rPr>
        <w:t>(12-7)</w:t>
      </w:r>
    </w:p>
    <w:p>
      <w:pPr>
        <w:spacing w:line="360" w:lineRule="auto" w:after="0"/>
        <w:jc w:val="both"/>
      </w:pPr>
      <w:r>
        <w:rPr>
          <w:rFonts w:ascii="宋体" w:hAnsi="宋体" w:eastAsia="宋体"/>
          <w:sz w:val="24"/>
        </w:rPr>
        <w:t>其中，</w:t>
      </w:r>
      <m:oMath>
        <m:sSub>
          <m:e>
            <m:r>
              <m:t>g</m:t>
            </m:r>
          </m:e>
          <m:sub>
            <m:r>
              <m:t>X</m:t>
            </m:r>
            <m:r>
              <m:rPr>
                <m:sty m:val="p"/>
              </m:rPr>
              <m:t>,</m:t>
            </m:r>
            <m:r>
              <m:t>i</m:t>
            </m:r>
            <m:r>
              <m:t>t</m:t>
            </m:r>
          </m:sub>
        </m:sSub>
      </m:oMath>
      <w:r>
        <w:rPr>
          <w:rFonts w:ascii="宋体" w:hAnsi="宋体" w:eastAsia="宋体"/>
          <w:sz w:val="24"/>
        </w:rPr>
        <w:t>表示变量</w:t>
      </w:r>
      <m:oMath>
        <m:r>
          <m:t>X</m:t>
        </m:r>
      </m:oMath>
      <w:r>
        <w:rPr>
          <w:rFonts w:ascii="宋体" w:hAnsi="宋体" w:eastAsia="宋体"/>
          <w:sz w:val="24"/>
        </w:rPr>
        <w:t>在地区</w:t>
      </w:r>
      <m:oMath>
        <m:r>
          <m:t>i</m:t>
        </m:r>
      </m:oMath>
      <w:r>
        <w:rPr>
          <w:rFonts w:ascii="宋体" w:hAnsi="宋体" w:eastAsia="宋体"/>
          <w:sz w:val="24"/>
        </w:rPr>
        <w:t>、时期</w:t>
      </w:r>
      <m:oMath>
        <m:r>
          <m:t>t</m:t>
        </m:r>
      </m:oMath>
      <w:r>
        <w:rPr>
          <w:rFonts w:ascii="宋体" w:hAnsi="宋体" w:eastAsia="宋体"/>
          <w:sz w:val="24"/>
        </w:rPr>
        <w:t>的增长率，</w:t>
      </w:r>
      <m:oMath>
        <m:acc>
          <m:accPr>
            <m:chr m:val="̂"/>
          </m:accPr>
          <m:e>
            <m:r>
              <m:t>α</m:t>
            </m:r>
          </m:e>
        </m:acc>
      </m:oMath>
      <w:r>
        <w:rPr>
          <w:rFonts w:ascii="宋体" w:hAnsi="宋体" w:eastAsia="宋体"/>
          <w:sz w:val="24"/>
        </w:rPr>
        <w:t>为式(12-5)的估计值。</w:t>
      </w:r>
    </w:p>
    <w:p>
      <w:pPr>
        <w:spacing w:line="360" w:lineRule="auto" w:after="0"/>
        <w:ind w:firstLineChars="200" w:firstLine="480"/>
        <w:jc w:val="both"/>
      </w:pPr>
      <w:r>
        <w:rPr>
          <w:rFonts w:ascii="宋体" w:hAnsi="宋体" w:eastAsia="宋体"/>
          <w:sz w:val="24"/>
        </w:rPr>
        <w:t>式(12-7)与传统核算式(12-1)的差别只在于多减去了两项，但这两项带来的是核算能力的质变，可归纳为三项性质。第一是可加性：由于标准词元经效值折算后满足可加公理，不同模型档位、不同任务类型的词元用量可以直接相加，因而</w:t>
      </w:r>
      <m:oMath>
        <m:sSub>
          <m:e>
            <m:r>
              <m:t>g</m:t>
            </m:r>
          </m:e>
          <m:sub>
            <m:acc>
              <m:accPr>
                <m:chr m:val="̃"/>
              </m:accPr>
              <m:e>
                <m:r>
                  <m:t>T</m:t>
                </m:r>
              </m:e>
            </m:acc>
            <m:r>
              <m:rPr>
                <m:sty m:val="p"/>
              </m:rPr>
              <m:t>,</m:t>
            </m:r>
            <m:r>
              <m:t>i</m:t>
            </m:r>
            <m:r>
              <m:t>t</m:t>
            </m:r>
          </m:sub>
        </m:sSub>
      </m:oMath>
      <w:r>
        <w:rPr>
          <w:rFonts w:ascii="宋体" w:hAnsi="宋体" w:eastAsia="宋体"/>
          <w:sz w:val="24"/>
        </w:rPr>
        <w:t>可以自下而上从企业、行业、城市逐级加总，也可以自上而下分解，这是任何多维评价得分向量都不具备的性质。第二是可归属性：每一次词元调用都绑定主体、时刻、模型与场景，因而贡献可以被归属到具体地区、具体行业乃至具体企业，使增长核算第一次具备了与微观管理对接的粒度。第三是高频性：词元调用量是日度可观测的，其核算频率远高于以年度为主的传统要素统计，这意味着人工智能的增长贡献可以被按季甚至按月监测，从事后评估变为事中观测。</w:t>
      </w:r>
    </w:p>
    <w:p>
      <w:pPr>
        <w:spacing w:line="360" w:lineRule="auto" w:after="0"/>
        <w:ind w:firstLineChars="200" w:firstLine="480"/>
        <w:jc w:val="both"/>
      </w:pPr>
      <w:r>
        <w:rPr>
          <w:rFonts w:ascii="宋体" w:hAnsi="宋体" w:eastAsia="宋体"/>
          <w:sz w:val="24"/>
        </w:rPr>
        <w:t>这三项性质合起来，为把词元纳入正式统计口径提供了技术可行性，而制度条件亦已初步具备。全国科学技术名词审定委员会2026年3月25日发布公告，优先推荐并面向全社会发布试用 token 的中文名「词元」，将在常态化审定中最终确认；同月，国家数据局局长在中国发展高层论坛2026年年会上使用并推介该译名，提出词元「可计量、可定价、可交易」。术语的统一与经济属性的确认，是任何一个变量进入核算体系的前置条件——正如标准煤之于能源统计、标准箱之于航运统计。已有研究表明，标准化本身即具有可观测的生产率效应，物流标准化显著提升了企业全要素生产率（何凡等，2025），其机制正是交易费用的节约与计量口径的统一。本书主张，词元计量标准的建立同样具有这一性质：它不只是统计工作的便利，其本身即是一项生产性的制度投资。</w:t>
      </w:r>
    </w:p>
    <w:p>
      <w:pPr>
        <w:keepNext/>
        <w:spacing w:before="160" w:after="120" w:line="360" w:lineRule="auto"/>
        <w:outlineLvl w:val="2"/>
      </w:pPr>
      <w:r>
        <w:rPr>
          <w:rFonts w:ascii="黑体" w:hAnsi="黑体" w:eastAsia="黑体"/>
          <w:sz w:val="24"/>
        </w:rPr>
        <w:t>12.4.2  贡献率、残差纠偏与两条测算路径的对话</w:t>
      </w:r>
    </w:p>
    <w:p>
      <w:pPr>
        <w:spacing w:line="360" w:lineRule="auto" w:after="0"/>
        <w:ind w:firstLineChars="200" w:firstLine="480"/>
        <w:jc w:val="both"/>
      </w:pPr>
      <w:r>
        <w:rPr>
          <w:rFonts w:ascii="宋体" w:hAnsi="宋体" w:eastAsia="宋体"/>
          <w:sz w:val="24"/>
        </w:rPr>
        <w:t>在式(12-7)的基础上，可以定义两个便于政策解读的指标。其一是标准词元流量对产出增长的贡献率，即词元贡献占实际增长率的比重；其二是遗漏词元变量所导致的残差高估幅度：</w:t>
      </w:r>
    </w:p>
    <w:p>
      <w:pPr>
        <w:tabs>
          <w:tab w:pos="4252" w:val="center"/>
          <w:tab w:pos="8504" w:val="right"/>
        </w:tabs>
        <w:spacing w:line="360" w:lineRule="auto" w:before="80" w:after="80"/>
      </w:pPr>
      <w:r>
        <w:tab/>
      </w:r>
      <m:oMath>
        <m:sSub>
          <m:e>
            <m:r>
              <m:t>s</m:t>
            </m:r>
          </m:e>
          <m:sub>
            <m:r>
              <m:t>T</m:t>
            </m:r>
            <m:r>
              <m:rPr>
                <m:sty m:val="p"/>
              </m:rPr>
              <m:t>,</m:t>
            </m:r>
            <m:r>
              <m:t>i</m:t>
            </m:r>
            <m:r>
              <m:t>t</m:t>
            </m:r>
          </m:sub>
        </m:sSub>
        <m:r>
          <m:rPr>
            <m:sty m:val="p"/>
          </m:rPr>
          <m:t>=</m:t>
        </m:r>
        <m:f>
          <m:fPr>
            <m:type m:val="bar"/>
          </m:fPr>
          <m:num>
            <m:sSub>
              <m:e>
                <m:acc>
                  <m:accPr>
                    <m:chr m:val="̂"/>
                  </m:accPr>
                  <m:e>
                    <m:r>
                      <m:t>α</m:t>
                    </m:r>
                  </m:e>
                </m:acc>
              </m:e>
              <m:sub>
                <m:r>
                  <m:t>T</m:t>
                </m:r>
              </m:sub>
            </m:sSub>
            <m:sSub>
              <m:e>
                <m:r>
                  <m:t>g</m:t>
                </m:r>
              </m:e>
              <m:sub>
                <m:acc>
                  <m:accPr>
                    <m:chr m:val="̃"/>
                  </m:accPr>
                  <m:e>
                    <m:r>
                      <m:t>T</m:t>
                    </m:r>
                  </m:e>
                </m:acc>
                <m:r>
                  <m:rPr>
                    <m:sty m:val="p"/>
                  </m:rPr>
                  <m:t>,</m:t>
                </m:r>
                <m:r>
                  <m:t>i</m:t>
                </m:r>
                <m:r>
                  <m:t>t</m:t>
                </m:r>
              </m:sub>
            </m:sSub>
          </m:num>
          <m:den>
            <m:sSub>
              <m:e>
                <m:r>
                  <m:t>g</m:t>
                </m:r>
              </m:e>
              <m:sub>
                <m:r>
                  <m:t>Y</m:t>
                </m:r>
                <m:r>
                  <m:rPr>
                    <m:sty m:val="p"/>
                  </m:rPr>
                  <m:t>,</m:t>
                </m:r>
                <m:r>
                  <m:t>i</m:t>
                </m:r>
                <m:r>
                  <m:t>t</m:t>
                </m:r>
              </m:sub>
            </m:sSub>
          </m:den>
        </m:f>
        <m:r>
          <m:rPr>
            <m:sty m:val="p"/>
          </m:rPr>
          <m:t>,</m:t>
        </m:r>
        <m:r>
          <m:t>  </m:t>
        </m:r>
        <m:sSub>
          <m:e>
            <m:r>
              <m:t>Δ</m:t>
            </m:r>
          </m:e>
          <m:sub>
            <m:r>
              <m:t>i</m:t>
            </m:r>
            <m:r>
              <m:t>t</m:t>
            </m:r>
          </m:sub>
        </m:sSub>
        <m:r>
          <m:rPr>
            <m:sty m:val="p"/>
          </m:rPr>
          <m:t>=</m:t>
        </m:r>
        <m:sSubSup>
          <m:e>
            <m:r>
              <m:t>g</m:t>
            </m:r>
          </m:e>
          <m:sub>
            <m:r>
              <m:t>A</m:t>
            </m:r>
            <m:r>
              <m:rPr>
                <m:sty m:val="p"/>
              </m:rPr>
              <m:t>,</m:t>
            </m:r>
            <m:r>
              <m:t>i</m:t>
            </m:r>
            <m:r>
              <m:t>t</m:t>
            </m:r>
          </m:sub>
          <m:sup>
            <m:d>
              <m:dPr>
                <m:begChr m:val="("/>
                <m:endChr m:val=")"/>
                <m:grow/>
              </m:dPr>
              <m:e>
                <m:r>
                  <m:t>0</m:t>
                </m:r>
              </m:e>
            </m:d>
          </m:sup>
        </m:sSubSup>
        <m:r>
          <m:rPr>
            <m:sty m:val="p"/>
          </m:rPr>
          <m:t>−</m:t>
        </m:r>
        <m:sSub>
          <m:e>
            <m:r>
              <m:t>g</m:t>
            </m:r>
          </m:e>
          <m:sub>
            <m:r>
              <m:t>A</m:t>
            </m:r>
            <m:r>
              <m:rPr>
                <m:sty m:val="p"/>
              </m:rPr>
              <m:t>,</m:t>
            </m:r>
            <m:r>
              <m:t>i</m:t>
            </m:r>
            <m:r>
              <m:t>t</m:t>
            </m:r>
          </m:sub>
        </m:sSub>
      </m:oMath>
      <w:r>
        <w:tab/>
      </w:r>
      <w:r>
        <w:rPr>
          <w:rFonts w:ascii="Times New Roman" w:hAnsi="Times New Roman" w:eastAsia="宋体"/>
          <w:sz w:val="24"/>
        </w:rPr>
        <w:t>(12-8)</w:t>
      </w:r>
    </w:p>
    <w:p>
      <w:pPr>
        <w:spacing w:line="360" w:lineRule="auto" w:after="0"/>
        <w:jc w:val="both"/>
      </w:pPr>
      <w:r>
        <w:rPr>
          <w:rFonts w:ascii="宋体" w:hAnsi="宋体" w:eastAsia="宋体"/>
          <w:sz w:val="24"/>
        </w:rPr>
        <w:t>其中，</w:t>
      </w:r>
      <m:oMath>
        <m:sSub>
          <m:e>
            <m:r>
              <m:t>s</m:t>
            </m:r>
          </m:e>
          <m:sub>
            <m:r>
              <m:t>T</m:t>
            </m:r>
            <m:r>
              <m:rPr>
                <m:sty m:val="p"/>
              </m:rPr>
              <m:t>,</m:t>
            </m:r>
            <m:r>
              <m:t>i</m:t>
            </m:r>
            <m:r>
              <m:t>t</m:t>
            </m:r>
          </m:sub>
        </m:sSub>
      </m:oMath>
      <w:r>
        <w:rPr>
          <w:rFonts w:ascii="宋体" w:hAnsi="宋体" w:eastAsia="宋体"/>
          <w:sz w:val="24"/>
        </w:rPr>
        <w:t>为词元贡献率，</w:t>
      </w:r>
      <m:oMath>
        <m:sSub>
          <m:e>
            <m:r>
              <m:t>Δ</m:t>
            </m:r>
          </m:e>
          <m:sub>
            <m:r>
              <m:t>i</m:t>
            </m:r>
            <m:r>
              <m:t>t</m:t>
            </m:r>
          </m:sub>
        </m:sSub>
      </m:oMath>
      <w:r>
        <w:rPr>
          <w:rFonts w:ascii="宋体" w:hAnsi="宋体" w:eastAsia="宋体"/>
          <w:sz w:val="24"/>
        </w:rPr>
        <w:t>为残差高估幅度，上标(0)仍表示传统两要素核算口径。</w:t>
      </w:r>
    </w:p>
    <w:p>
      <w:pPr>
        <w:spacing w:line="360" w:lineRule="auto" w:after="0"/>
        <w:ind w:firstLineChars="200" w:firstLine="480"/>
        <w:jc w:val="both"/>
      </w:pPr>
      <w:r>
        <w:rPr>
          <w:rFonts w:ascii="宋体" w:hAnsi="宋体" w:eastAsia="宋体"/>
          <w:sz w:val="24"/>
        </w:rPr>
        <w:t>这两个指标使本书的测算能够与既有文献展开实质性对话，但对话必须建立在口径对齐的前提上。悲观侧的经典测算走的是「事前推算」路径：以希尔滕定理为工具，由任务暴露比例、可自动化比例与单位成本节约三项参数推算全要素生产率的上限（Acemoglu，2025）。这条路径的优点是逻辑闭合、参数透明，缺点是三项参数均须外生设定，且其结论是十年累计的全要素生产率增幅。本书走的是「事后核算」路径：由可观测的过程量与估计的产出弹性直接计算要素贡献，其结论是当期产出增长中的要素贡献份额。两条路径在量纲上并不重合——一个是全要素生产率渠道的十年累计效应，一个是要素投入渠道的年度贡献——因此绝不能把二者的数值直接相减或相比。恰当的对话方式是承认二者的互补性：事前推算给出人工智能经由任务替代影响效率的潜在上限，事后核算给出人工智能作为一种被实际购买和使用的生产性服务所贡献的现实份额；前者回答「最多能有多少」，后者回答「已经发生了多少」。</w:t>
      </w:r>
    </w:p>
    <w:p>
      <w:pPr>
        <w:keepNext/>
        <w:spacing w:before="160" w:after="120" w:line="360" w:lineRule="auto"/>
        <w:outlineLvl w:val="2"/>
      </w:pPr>
      <w:r>
        <w:rPr>
          <w:rFonts w:ascii="黑体" w:hAnsi="黑体" w:eastAsia="黑体"/>
          <w:sz w:val="24"/>
        </w:rPr>
        <w:t>12.4.3  配置判据：边际产出与市场价格的比较</w:t>
      </w:r>
    </w:p>
    <w:p>
      <w:pPr>
        <w:spacing w:line="360" w:lineRule="auto" w:after="0"/>
        <w:ind w:firstLineChars="200" w:firstLine="480"/>
        <w:jc w:val="both"/>
      </w:pPr>
      <w:r>
        <w:rPr>
          <w:rFonts w:ascii="宋体" w:hAnsi="宋体" w:eastAsia="宋体"/>
          <w:sz w:val="24"/>
        </w:rPr>
        <w:t>增长核算的框架还提供了一个此前各章未曾使用的分析工具。在式(12-5)的设定下，标准词元流量的边际产出为</w:t>
      </w:r>
      <m:oMath>
        <m:sSub>
          <m:e>
            <m:r>
              <m:t>α</m:t>
            </m:r>
          </m:e>
          <m:sub>
            <m:r>
              <m:t>T</m:t>
            </m:r>
          </m:sub>
        </m:sSub>
        <m:sSub>
          <m:e>
            <m:r>
              <m:t>Y</m:t>
            </m:r>
          </m:e>
          <m:sub>
            <m:r>
              <m:t>i</m:t>
            </m:r>
            <m:r>
              <m:t>t</m:t>
            </m:r>
          </m:sub>
        </m:sSub>
        <m:r>
          <m:rPr>
            <m:sty m:val="p"/>
          </m:rPr>
          <m:t>/</m:t>
        </m:r>
        <m:sSub>
          <m:e>
            <m:acc>
              <m:accPr>
                <m:chr m:val="̃"/>
              </m:accPr>
              <m:e>
                <m:r>
                  <m:t>T</m:t>
                </m:r>
              </m:e>
            </m:acc>
          </m:e>
          <m:sub>
            <m:r>
              <m:t>i</m:t>
            </m:r>
            <m:r>
              <m:t>t</m:t>
            </m:r>
          </m:sub>
        </m:sSub>
      </m:oMath>
      <w:r>
        <w:rPr>
          <w:rFonts w:ascii="宋体" w:hAnsi="宋体" w:eastAsia="宋体"/>
          <w:sz w:val="24"/>
        </w:rPr>
        <w:t>，而其市场价格即第7章编制的标准词元价格</w:t>
      </w:r>
      <m:oMath>
        <m:sSub>
          <m:e>
            <m:acc>
              <m:accPr>
                <m:chr m:val="̃"/>
              </m:accPr>
              <m:e>
                <m:r>
                  <m:t>p</m:t>
                </m:r>
              </m:e>
            </m:acc>
          </m:e>
          <m:sub>
            <m:r>
              <m:t>t</m:t>
            </m:r>
          </m:sub>
        </m:sSub>
      </m:oMath>
      <w:r>
        <w:rPr>
          <w:rFonts w:ascii="宋体" w:hAnsi="宋体" w:eastAsia="宋体"/>
          <w:sz w:val="24"/>
        </w:rPr>
        <w:t>。定义二者之比为词元配置比：</w:t>
      </w:r>
    </w:p>
    <w:p>
      <w:pPr>
        <w:tabs>
          <w:tab w:pos="4252" w:val="center"/>
          <w:tab w:pos="8504" w:val="right"/>
        </w:tabs>
        <w:spacing w:line="360" w:lineRule="auto" w:before="80" w:after="80"/>
      </w:pPr>
      <w:r>
        <w:tab/>
      </w:r>
      <m:oMath>
        <m:sSub>
          <m:e>
            <m:r>
              <m:rPr>
                <m:sty m:val="p"/>
              </m:rPr>
              <m:t>R</m:t>
            </m:r>
            <m:r>
              <m:rPr>
                <m:sty m:val="p"/>
              </m:rPr>
              <m:t>T</m:t>
            </m:r>
            <m:r>
              <m:rPr>
                <m:sty m:val="p"/>
              </m:rPr>
              <m:t>C</m:t>
            </m:r>
          </m:e>
          <m:sub>
            <m:r>
              <m:t>i</m:t>
            </m:r>
            <m:r>
              <m:t>t</m:t>
            </m:r>
          </m:sub>
        </m:sSub>
        <m:r>
          <m:rPr>
            <m:sty m:val="p"/>
          </m:rPr>
          <m:t>≡</m:t>
        </m:r>
        <m:f>
          <m:fPr>
            <m:type m:val="bar"/>
          </m:fPr>
          <m:num>
            <m:sSub>
              <m:e>
                <m:acc>
                  <m:accPr>
                    <m:chr m:val="̂"/>
                  </m:accPr>
                  <m:e>
                    <m:r>
                      <m:t>α</m:t>
                    </m:r>
                  </m:e>
                </m:acc>
              </m:e>
              <m:sub>
                <m:r>
                  <m:t>T</m:t>
                </m:r>
              </m:sub>
            </m:sSub>
            <m:sSub>
              <m:e>
                <m:r>
                  <m:t>Y</m:t>
                </m:r>
              </m:e>
              <m:sub>
                <m:r>
                  <m:t>i</m:t>
                </m:r>
                <m:r>
                  <m:t>t</m:t>
                </m:r>
              </m:sub>
            </m:sSub>
          </m:num>
          <m:den>
            <m:sSub>
              <m:e>
                <m:acc>
                  <m:accPr>
                    <m:chr m:val="̃"/>
                  </m:accPr>
                  <m:e>
                    <m:r>
                      <m:t>p</m:t>
                    </m:r>
                  </m:e>
                </m:acc>
              </m:e>
              <m:sub>
                <m:r>
                  <m:t>t</m:t>
                </m:r>
              </m:sub>
            </m:sSub>
            <m:sSub>
              <m:e>
                <m:acc>
                  <m:accPr>
                    <m:chr m:val="̃"/>
                  </m:accPr>
                  <m:e>
                    <m:r>
                      <m:t>T</m:t>
                    </m:r>
                  </m:e>
                </m:acc>
              </m:e>
              <m:sub>
                <m:r>
                  <m:t>i</m:t>
                </m:r>
                <m:r>
                  <m:t>t</m:t>
                </m:r>
              </m:sub>
            </m:sSub>
          </m:den>
        </m:f>
      </m:oMath>
      <w:r>
        <w:tab/>
      </w:r>
      <w:r>
        <w:rPr>
          <w:rFonts w:ascii="Times New Roman" w:hAnsi="Times New Roman" w:eastAsia="宋体"/>
          <w:sz w:val="24"/>
        </w:rPr>
        <w:t>(12-9)</w:t>
      </w:r>
    </w:p>
    <w:p>
      <w:pPr>
        <w:spacing w:line="360" w:lineRule="auto" w:after="0"/>
        <w:jc w:val="both"/>
      </w:pPr>
      <w:r>
        <w:rPr>
          <w:rFonts w:ascii="宋体" w:hAnsi="宋体" w:eastAsia="宋体"/>
          <w:sz w:val="24"/>
        </w:rPr>
        <w:t>其中，</w:t>
      </w:r>
      <m:oMath>
        <m:sSub>
          <m:e>
            <m:acc>
              <m:accPr>
                <m:chr m:val="̃"/>
              </m:accPr>
              <m:e>
                <m:r>
                  <m:t>p</m:t>
                </m:r>
              </m:e>
            </m:acc>
          </m:e>
          <m:sub>
            <m:r>
              <m:t>t</m:t>
            </m:r>
          </m:sub>
        </m:sSub>
      </m:oMath>
      <w:r>
        <w:rPr>
          <w:rFonts w:ascii="宋体" w:hAnsi="宋体" w:eastAsia="宋体"/>
          <w:sz w:val="24"/>
        </w:rPr>
        <w:t>为标准词元价格，</w:t>
      </w:r>
      <m:oMath>
        <m:r>
          <m:rPr>
            <m:sty m:val="p"/>
          </m:rPr>
          <m:t>R</m:t>
        </m:r>
        <m:r>
          <m:rPr>
            <m:sty m:val="p"/>
          </m:rPr>
          <m:t>T</m:t>
        </m:r>
        <m:r>
          <m:rPr>
            <m:sty m:val="p"/>
          </m:rPr>
          <m:t>C</m:t>
        </m:r>
      </m:oMath>
      <w:r>
        <w:rPr>
          <w:rFonts w:ascii="宋体" w:hAnsi="宋体" w:eastAsia="宋体"/>
          <w:sz w:val="24"/>
        </w:rPr>
        <w:t>取自「词元配置比」的英文缩写，衡量边际产出与要素价格之比。</w:t>
      </w:r>
    </w:p>
    <w:p>
      <w:pPr>
        <w:spacing w:line="360" w:lineRule="auto" w:after="0"/>
        <w:ind w:firstLineChars="200" w:firstLine="480"/>
        <w:jc w:val="both"/>
      </w:pPr>
      <w:r>
        <w:rPr>
          <w:rFonts w:ascii="宋体" w:hAnsi="宋体" w:eastAsia="宋体"/>
          <w:sz w:val="24"/>
        </w:rPr>
        <w:t>在完全竞争且无调整成本的最优配置下，要素使用应满足边际产出等于要素价格，即</w:t>
      </w:r>
      <m:oMath>
        <m:sSub>
          <m:e>
            <m:r>
              <m:rPr>
                <m:sty m:val="p"/>
              </m:rPr>
              <m:t>R</m:t>
            </m:r>
            <m:r>
              <m:rPr>
                <m:sty m:val="p"/>
              </m:rPr>
              <m:t>T</m:t>
            </m:r>
            <m:r>
              <m:rPr>
                <m:sty m:val="p"/>
              </m:rPr>
              <m:t>C</m:t>
            </m:r>
          </m:e>
          <m:sub>
            <m:r>
              <m:t>i</m:t>
            </m:r>
            <m:r>
              <m:t>t</m:t>
            </m:r>
          </m:sub>
        </m:sSub>
        <m:r>
          <m:rPr>
            <m:sty m:val="p"/>
          </m:rPr>
          <m:t>=</m:t>
        </m:r>
        <m:r>
          <m:t>1</m:t>
        </m:r>
      </m:oMath>
      <w:r>
        <w:rPr>
          <w:rFonts w:ascii="宋体" w:hAnsi="宋体" w:eastAsia="宋体"/>
          <w:sz w:val="24"/>
        </w:rPr>
        <w:t>。</w:t>
      </w:r>
      <m:oMath>
        <m:sSub>
          <m:e>
            <m:r>
              <m:rPr>
                <m:sty m:val="p"/>
              </m:rPr>
              <m:t>R</m:t>
            </m:r>
            <m:r>
              <m:rPr>
                <m:sty m:val="p"/>
              </m:rPr>
              <m:t>T</m:t>
            </m:r>
            <m:r>
              <m:rPr>
                <m:sty m:val="p"/>
              </m:rPr>
              <m:t>C</m:t>
            </m:r>
          </m:e>
          <m:sub>
            <m:r>
              <m:t>i</m:t>
            </m:r>
            <m:r>
              <m:t>t</m:t>
            </m:r>
          </m:sub>
        </m:sSub>
        <m:r>
          <m:rPr>
            <m:sty m:val="p"/>
          </m:rPr>
          <m:t>&gt;</m:t>
        </m:r>
        <m:r>
          <m:t>1</m:t>
        </m:r>
      </m:oMath>
      <w:r>
        <w:rPr>
          <w:rFonts w:ascii="宋体" w:hAnsi="宋体" w:eastAsia="宋体"/>
          <w:sz w:val="24"/>
        </w:rPr>
        <w:t>意味着边际产出高于价格，词元投入不足，扩大使用可以提高产出；</w:t>
      </w:r>
      <m:oMath>
        <m:sSub>
          <m:e>
            <m:r>
              <m:rPr>
                <m:sty m:val="p"/>
              </m:rPr>
              <m:t>R</m:t>
            </m:r>
            <m:r>
              <m:rPr>
                <m:sty m:val="p"/>
              </m:rPr>
              <m:t>T</m:t>
            </m:r>
            <m:r>
              <m:rPr>
                <m:sty m:val="p"/>
              </m:rPr>
              <m:t>C</m:t>
            </m:r>
          </m:e>
          <m:sub>
            <m:r>
              <m:t>i</m:t>
            </m:r>
            <m:r>
              <m:t>t</m:t>
            </m:r>
          </m:sub>
        </m:sSub>
        <m:r>
          <m:rPr>
            <m:sty m:val="p"/>
          </m:rPr>
          <m:t>&lt;</m:t>
        </m:r>
        <m:r>
          <m:t>1</m:t>
        </m:r>
      </m:oMath>
      <w:r>
        <w:rPr>
          <w:rFonts w:ascii="宋体" w:hAnsi="宋体" w:eastAsia="宋体"/>
          <w:sz w:val="24"/>
        </w:rPr>
        <w:t>则意味着过度采购，边际产出已低于所付价格。这一判据把本章的增长核算与第8、9章的配置分析接通：第8章测得企业对所购词元效值的认知偏差均值为0.44、由此导致低效值档位过度采购的份额为0.27，第9章测得有效效值利用率仅为38%、统一调度后可升至54%——这些结论在本章的语言中可以统一表述为：配置比在地区间与企业间高度离散，既存在</w:t>
      </w:r>
      <m:oMath>
        <m:r>
          <m:rPr>
            <m:sty m:val="p"/>
          </m:rPr>
          <m:t>R</m:t>
        </m:r>
        <m:r>
          <m:rPr>
            <m:sty m:val="p"/>
          </m:rPr>
          <m:t>T</m:t>
        </m:r>
        <m:r>
          <m:rPr>
            <m:sty m:val="p"/>
          </m:rPr>
          <m:t>C</m:t>
        </m:r>
      </m:oMath>
      <w:r>
        <w:rPr>
          <w:rFonts w:ascii="宋体" w:hAnsi="宋体" w:eastAsia="宋体"/>
          <w:sz w:val="24"/>
        </w:rPr>
        <w:t>显著大于1的投入不足群体（多为中西部地区与中小企业），也存在</w:t>
      </w:r>
      <m:oMath>
        <m:r>
          <m:rPr>
            <m:sty m:val="p"/>
          </m:rPr>
          <m:t>R</m:t>
        </m:r>
        <m:r>
          <m:rPr>
            <m:sty m:val="p"/>
          </m:rPr>
          <m:t>T</m:t>
        </m:r>
        <m:r>
          <m:rPr>
            <m:sty m:val="p"/>
          </m:rPr>
          <m:t>C</m:t>
        </m:r>
      </m:oMath>
      <w:r>
        <w:rPr>
          <w:rFonts w:ascii="宋体" w:hAnsi="宋体" w:eastAsia="宋体"/>
          <w:sz w:val="24"/>
        </w:rPr>
        <w:t>小于1的过度采购群体（多为受效值信息不对称误导的采购方）。政策含义随之明确：普惠包与技改补贴的合理边界，正是那些</w:t>
      </w:r>
      <m:oMath>
        <m:r>
          <m:rPr>
            <m:sty m:val="p"/>
          </m:rPr>
          <m:t>R</m:t>
        </m:r>
        <m:r>
          <m:rPr>
            <m:sty m:val="p"/>
          </m:rPr>
          <m:t>T</m:t>
        </m:r>
        <m:r>
          <m:rPr>
            <m:sty m:val="p"/>
          </m:rPr>
          <m:t>C</m:t>
        </m:r>
      </m:oMath>
      <w:r>
        <w:rPr>
          <w:rFonts w:ascii="宋体" w:hAnsi="宋体" w:eastAsia="宋体"/>
          <w:sz w:val="24"/>
        </w:rPr>
        <w:t>显著大于1而受制于预算约束或能力约束的主体；对于</w:t>
      </w:r>
      <m:oMath>
        <m:r>
          <m:rPr>
            <m:sty m:val="p"/>
          </m:rPr>
          <m:t>R</m:t>
        </m:r>
        <m:r>
          <m:rPr>
            <m:sty m:val="p"/>
          </m:rPr>
          <m:t>T</m:t>
        </m:r>
        <m:r>
          <m:rPr>
            <m:sty m:val="p"/>
          </m:rPr>
          <m:t>C</m:t>
        </m:r>
      </m:oMath>
      <w:r>
        <w:rPr>
          <w:rFonts w:ascii="宋体" w:hAnsi="宋体" w:eastAsia="宋体"/>
          <w:sz w:val="24"/>
        </w:rPr>
        <w:t>小于1的主体，正确的政策工具不是补贴而是效值披露。</w:t>
      </w:r>
    </w:p>
    <w:p>
      <w:pPr>
        <w:keepNext/>
        <w:spacing w:before="160" w:after="120" w:line="360" w:lineRule="auto"/>
        <w:outlineLvl w:val="2"/>
      </w:pPr>
      <w:r>
        <w:rPr>
          <w:rFonts w:ascii="黑体" w:hAnsi="黑体" w:eastAsia="黑体"/>
          <w:sz w:val="24"/>
        </w:rPr>
        <w:t>12.4.4  动态结构：J曲线与当期弹性的下界性质</w:t>
      </w:r>
    </w:p>
    <w:p>
      <w:pPr>
        <w:spacing w:line="360" w:lineRule="auto" w:after="0"/>
        <w:ind w:firstLineChars="200" w:firstLine="480"/>
        <w:jc w:val="both"/>
      </w:pPr>
      <w:r>
        <w:rPr>
          <w:rFonts w:ascii="宋体" w:hAnsi="宋体" w:eastAsia="宋体"/>
          <w:sz w:val="24"/>
        </w:rPr>
        <w:t>最后需要处理的是时间维度。互补性无形投资的时滞意味着词元投入的产出效应不会在当期完全释放，当期弹性只是全部效应的一部分。把式(12-5)推广为分布滞后形式：</w:t>
      </w:r>
    </w:p>
    <w:p>
      <w:pPr>
        <w:tabs>
          <w:tab w:pos="4252" w:val="center"/>
          <w:tab w:pos="8504" w:val="right"/>
        </w:tabs>
        <w:spacing w:line="360" w:lineRule="auto" w:before="80" w:after="80"/>
      </w:pPr>
      <w:r>
        <w:tab/>
      </w:r>
      <m:oMath>
        <m:sSub>
          <m:e>
            <m:r>
              <m:t>g</m:t>
            </m:r>
          </m:e>
          <m:sub>
            <m:r>
              <m:t>Y</m:t>
            </m:r>
            <m:r>
              <m:rPr>
                <m:sty m:val="p"/>
              </m:rPr>
              <m:t>,</m:t>
            </m:r>
            <m:r>
              <m:t>i</m:t>
            </m:r>
            <m:r>
              <m:t>t</m:t>
            </m:r>
          </m:sub>
        </m:sSub>
        <m:r>
          <m:rPr>
            <m:sty m:val="p"/>
          </m:rPr>
          <m:t>=</m:t>
        </m:r>
        <m:nary>
          <m:naryPr>
            <m:chr m:val="∑"/>
            <m:limLoc m:val="undOvr"/>
            <m:subHide m:val="off"/>
            <m:supHide m:val="off"/>
          </m:naryPr>
          <m:sub>
            <m:r>
              <m:t>k</m:t>
            </m:r>
            <m:r>
              <m:rPr>
                <m:sty m:val="p"/>
              </m:rPr>
              <m:t>=</m:t>
            </m:r>
            <m:r>
              <m:t>0</m:t>
            </m:r>
          </m:sub>
          <m:sup>
            <m:r>
              <m:t>K</m:t>
            </m:r>
          </m:sup>
          <m:e>
            <m:sSubSup>
              <m:e>
                <m:r>
                  <m:t>α</m:t>
                </m:r>
              </m:e>
              <m:sub>
                <m:r>
                  <m:t>T</m:t>
                </m:r>
              </m:sub>
              <m:sup>
                <m:d>
                  <m:dPr>
                    <m:begChr m:val="("/>
                    <m:endChr m:val=")"/>
                    <m:grow/>
                  </m:dPr>
                  <m:e>
                    <m:r>
                      <m:t>k</m:t>
                    </m:r>
                  </m:e>
                </m:d>
              </m:sup>
            </m:sSubSup>
          </m:e>
        </m:nary>
        <m:sSub>
          <m:e>
            <m:r>
              <m:t>g</m:t>
            </m:r>
          </m:e>
          <m:sub>
            <m:acc>
              <m:accPr>
                <m:chr m:val="̃"/>
              </m:accPr>
              <m:e>
                <m:r>
                  <m:t>T</m:t>
                </m:r>
              </m:e>
            </m:acc>
            <m:r>
              <m:rPr>
                <m:sty m:val="p"/>
              </m:rPr>
              <m:t>,</m:t>
            </m:r>
            <m:r>
              <m:t>i</m:t>
            </m:r>
            <m:r>
              <m:rPr>
                <m:sty m:val="p"/>
              </m:rPr>
              <m:t>,</m:t>
            </m:r>
            <m:r>
              <m:t>t</m:t>
            </m:r>
            <m:r>
              <m:rPr>
                <m:sty m:val="p"/>
              </m:rPr>
              <m:t>−</m:t>
            </m:r>
            <m:r>
              <m:t>k</m:t>
            </m:r>
          </m:sub>
        </m:sSub>
        <m:r>
          <m:rPr>
            <m:sty m:val="p"/>
          </m:rPr>
          <m:t>+</m:t>
        </m:r>
        <m:sSub>
          <m:e>
            <m:r>
              <m:t>α</m:t>
            </m:r>
          </m:e>
          <m:sub>
            <m:r>
              <m:t>K</m:t>
            </m:r>
          </m:sub>
        </m:sSub>
        <m:sSub>
          <m:e>
            <m:r>
              <m:t>g</m:t>
            </m:r>
          </m:e>
          <m:sub>
            <m:r>
              <m:t>K</m:t>
            </m:r>
            <m:r>
              <m:rPr>
                <m:sty m:val="p"/>
              </m:rPr>
              <m:t>,</m:t>
            </m:r>
            <m:r>
              <m:t>i</m:t>
            </m:r>
            <m:r>
              <m:t>t</m:t>
            </m:r>
          </m:sub>
        </m:sSub>
        <m:r>
          <m:rPr>
            <m:sty m:val="p"/>
          </m:rPr>
          <m:t>+</m:t>
        </m:r>
        <m:sSub>
          <m:e>
            <m:r>
              <m:t>α</m:t>
            </m:r>
          </m:e>
          <m:sub>
            <m:r>
              <m:t>L</m:t>
            </m:r>
          </m:sub>
        </m:sSub>
        <m:sSub>
          <m:e>
            <m:r>
              <m:t>g</m:t>
            </m:r>
          </m:e>
          <m:sub>
            <m:r>
              <m:t>L</m:t>
            </m:r>
            <m:r>
              <m:rPr>
                <m:sty m:val="p"/>
              </m:rPr>
              <m:t>,</m:t>
            </m:r>
            <m:r>
              <m:t>i</m:t>
            </m:r>
            <m:r>
              <m:t>t</m:t>
            </m:r>
          </m:sub>
        </m:sSub>
        <m:r>
          <m:rPr>
            <m:sty m:val="p"/>
          </m:rPr>
          <m:t>+</m:t>
        </m:r>
        <m:sSub>
          <m:e>
            <m:r>
              <m:t>α</m:t>
            </m:r>
          </m:e>
          <m:sub>
            <m:r>
              <m:t>D</m:t>
            </m:r>
          </m:sub>
        </m:sSub>
        <m:sSub>
          <m:e>
            <m:r>
              <m:t>g</m:t>
            </m:r>
          </m:e>
          <m:sub>
            <m:r>
              <m:t>D</m:t>
            </m:r>
            <m:r>
              <m:rPr>
                <m:sty m:val="p"/>
              </m:rPr>
              <m:t>,</m:t>
            </m:r>
            <m:r>
              <m:t>i</m:t>
            </m:r>
            <m:r>
              <m:t>t</m:t>
            </m:r>
          </m:sub>
        </m:sSub>
        <m:r>
          <m:rPr>
            <m:sty m:val="p"/>
          </m:rPr>
          <m:t>+</m:t>
        </m:r>
        <m:sSub>
          <m:e>
            <m:r>
              <m:t>g</m:t>
            </m:r>
          </m:e>
          <m:sub>
            <m:r>
              <m:t>A</m:t>
            </m:r>
            <m:r>
              <m:rPr>
                <m:sty m:val="p"/>
              </m:rPr>
              <m:t>,</m:t>
            </m:r>
            <m:r>
              <m:t>i</m:t>
            </m:r>
            <m:r>
              <m:t>t</m:t>
            </m:r>
          </m:sub>
        </m:sSub>
      </m:oMath>
      <w:r>
        <w:tab/>
      </w:r>
      <w:r>
        <w:rPr>
          <w:rFonts w:ascii="Times New Roman" w:hAnsi="Times New Roman" w:eastAsia="宋体"/>
          <w:sz w:val="24"/>
        </w:rPr>
        <w:t>(12-10)</w:t>
      </w:r>
    </w:p>
    <w:p>
      <w:pPr>
        <w:spacing w:line="360" w:lineRule="auto" w:after="0"/>
        <w:jc w:val="both"/>
      </w:pPr>
      <w:r>
        <w:rPr>
          <w:rFonts w:ascii="宋体" w:hAnsi="宋体" w:eastAsia="宋体"/>
          <w:sz w:val="24"/>
        </w:rPr>
        <w:t>其中，</w:t>
      </w:r>
      <m:oMath>
        <m:sSubSup>
          <m:e>
            <m:r>
              <m:t>α</m:t>
            </m:r>
          </m:e>
          <m:sub>
            <m:r>
              <m:t>T</m:t>
            </m:r>
          </m:sub>
          <m:sup>
            <m:d>
              <m:dPr>
                <m:begChr m:val="("/>
                <m:endChr m:val=")"/>
                <m:grow/>
              </m:dPr>
              <m:e>
                <m:r>
                  <m:t>k</m:t>
                </m:r>
              </m:e>
            </m:d>
          </m:sup>
        </m:sSubSup>
      </m:oMath>
      <w:r>
        <w:rPr>
          <w:rFonts w:ascii="宋体" w:hAnsi="宋体" w:eastAsia="宋体"/>
          <w:sz w:val="24"/>
        </w:rPr>
        <w:t>为滞后</w:t>
      </w:r>
      <m:oMath>
        <m:r>
          <m:t>k</m:t>
        </m:r>
      </m:oMath>
      <w:r>
        <w:rPr>
          <w:rFonts w:ascii="宋体" w:hAnsi="宋体" w:eastAsia="宋体"/>
          <w:sz w:val="24"/>
        </w:rPr>
        <w:t>期的词元流量弹性，累积弹性</w:t>
      </w:r>
      <m:oMath>
        <m:sSubSup>
          <m:e>
            <m:r>
              <m:t>α</m:t>
            </m:r>
          </m:e>
          <m:sub>
            <m:r>
              <m:t>T</m:t>
            </m:r>
          </m:sub>
          <m:sup>
            <m:r>
              <m:rPr>
                <m:sty m:val="p"/>
              </m:rPr>
              <m:t>c</m:t>
            </m:r>
            <m:r>
              <m:rPr>
                <m:sty m:val="p"/>
              </m:rPr>
              <m:t>u</m:t>
            </m:r>
            <m:r>
              <m:rPr>
                <m:sty m:val="p"/>
              </m:rPr>
              <m:t>m</m:t>
            </m:r>
          </m:sup>
        </m:sSubSup>
        <m:r>
          <m:rPr>
            <m:sty m:val="p"/>
          </m:rPr>
          <m:t>=</m:t>
        </m:r>
        <m:nary>
          <m:naryPr>
            <m:chr m:val="∑"/>
            <m:limLoc m:val="undOvr"/>
            <m:subHide m:val="off"/>
            <m:supHide m:val="off"/>
          </m:naryPr>
          <m:sub>
            <m:r>
              <m:t>k</m:t>
            </m:r>
            <m:r>
              <m:rPr>
                <m:sty m:val="p"/>
              </m:rPr>
              <m:t>=</m:t>
            </m:r>
            <m:r>
              <m:t>0</m:t>
            </m:r>
          </m:sub>
          <m:sup>
            <m:r>
              <m:t>K</m:t>
            </m:r>
          </m:sup>
          <m:e>
            <m:sSubSup>
              <m:e>
                <m:r>
                  <m:t>α</m:t>
                </m:r>
              </m:e>
              <m:sub>
                <m:r>
                  <m:t>T</m:t>
                </m:r>
              </m:sub>
              <m:sup>
                <m:d>
                  <m:dPr>
                    <m:begChr m:val="("/>
                    <m:endChr m:val=")"/>
                    <m:grow/>
                  </m:dPr>
                  <m:e>
                    <m:r>
                      <m:t>k</m:t>
                    </m:r>
                  </m:e>
                </m:d>
              </m:sup>
            </m:sSubSup>
          </m:e>
        </m:nary>
      </m:oMath>
      <w:r>
        <w:rPr>
          <w:rFonts w:ascii="宋体" w:hAnsi="宋体" w:eastAsia="宋体"/>
          <w:sz w:val="24"/>
        </w:rPr>
        <w:t>。</w:t>
      </w:r>
    </w:p>
    <w:p>
      <w:pPr>
        <w:spacing w:line="360" w:lineRule="auto" w:after="0"/>
        <w:ind w:firstLineChars="200" w:firstLine="480"/>
        <w:jc w:val="both"/>
      </w:pPr>
      <w:r>
        <w:rPr>
          <w:rFonts w:ascii="宋体" w:hAnsi="宋体" w:eastAsia="宋体"/>
          <w:sz w:val="24"/>
        </w:rPr>
        <w:t>式(12-10)给出了两点重要判断。第一，在J曲线机制成立的条件下，</w:t>
      </w:r>
      <m:oMath>
        <m:sSubSup>
          <m:e>
            <m:r>
              <m:t>α</m:t>
            </m:r>
          </m:e>
          <m:sub>
            <m:r>
              <m:t>T</m:t>
            </m:r>
          </m:sub>
          <m:sup>
            <m:d>
              <m:dPr>
                <m:begChr m:val="("/>
                <m:endChr m:val=")"/>
                <m:grow/>
              </m:dPr>
              <m:e>
                <m:r>
                  <m:t>0</m:t>
                </m:r>
              </m:e>
            </m:d>
          </m:sup>
        </m:sSubSup>
      </m:oMath>
      <w:r>
        <w:rPr>
          <w:rFonts w:ascii="宋体" w:hAnsi="宋体" w:eastAsia="宋体"/>
          <w:sz w:val="24"/>
        </w:rPr>
        <w:t>通常小于</w:t>
      </w:r>
      <m:oMath>
        <m:sSubSup>
          <m:e>
            <m:r>
              <m:t>α</m:t>
            </m:r>
          </m:e>
          <m:sub>
            <m:r>
              <m:t>T</m:t>
            </m:r>
          </m:sub>
          <m:sup>
            <m:r>
              <m:rPr>
                <m:sty m:val="p"/>
              </m:rPr>
              <m:t>c</m:t>
            </m:r>
            <m:r>
              <m:rPr>
                <m:sty m:val="p"/>
              </m:rPr>
              <m:t>u</m:t>
            </m:r>
            <m:r>
              <m:rPr>
                <m:sty m:val="p"/>
              </m:rPr>
              <m:t>m</m:t>
            </m:r>
          </m:sup>
        </m:sSubSup>
      </m:oMath>
      <w:r>
        <w:rPr>
          <w:rFonts w:ascii="宋体" w:hAnsi="宋体" w:eastAsia="宋体"/>
          <w:sz w:val="24"/>
        </w:rPr>
        <w:t>，甚至在采用初期可能为负——企业刚刚接入词元服务时，流程尚未适配、员工尚在学习、旧流程与新工具并行，短期内确实可能出现产出扰动，这与基于美国普查局企业微观数据所观察到的模式一致。因此本章报告的当期弹性应当被读作全部效应的一个保守下界，而非全部效应本身。第二，样本期的长度构成了识别累积效应的硬约束：我国词元调用量的规模化扩张始于2024年，可用于估计长滞后结构的时间跨度尚不足以支撑对</w:t>
      </w:r>
      <m:oMath>
        <m:sSubSup>
          <m:e>
            <m:r>
              <m:t>α</m:t>
            </m:r>
          </m:e>
          <m:sub>
            <m:r>
              <m:t>T</m:t>
            </m:r>
          </m:sub>
          <m:sup>
            <m:r>
              <m:rPr>
                <m:sty m:val="p"/>
              </m:rPr>
              <m:t>c</m:t>
            </m:r>
            <m:r>
              <m:rPr>
                <m:sty m:val="p"/>
              </m:rPr>
              <m:t>u</m:t>
            </m:r>
            <m:r>
              <m:rPr>
                <m:sty m:val="p"/>
              </m:rPr>
              <m:t>m</m:t>
            </m:r>
          </m:sup>
        </m:sSubSup>
      </m:oMath>
      <w:r>
        <w:rPr>
          <w:rFonts w:ascii="宋体" w:hAnsi="宋体" w:eastAsia="宋体"/>
          <w:sz w:val="24"/>
        </w:rPr>
        <w:t>的稳健识别。本章因此选择只报告当期设定的估计结果，并在解释时始终强调其下界性质；随着样本期延长，滞后结构的识别将成为后续研究最有价值的推进方向之一。</w:t>
      </w:r>
    </w:p>
    <w:p>
      <w:pPr>
        <w:keepNext/>
        <w:spacing w:before="160" w:after="120" w:line="360" w:lineRule="auto"/>
        <w:outlineLvl w:val="1"/>
      </w:pPr>
      <w:r>
        <w:rPr>
          <w:rFonts w:ascii="黑体" w:hAnsi="黑体" w:eastAsia="黑体"/>
          <w:sz w:val="28"/>
        </w:rPr>
        <w:t>12.5  增长核算实证：区域面板的估计与贡献分解</w:t>
      </w:r>
    </w:p>
    <w:p>
      <w:pPr>
        <w:keepNext/>
        <w:spacing w:before="160" w:after="120" w:line="360" w:lineRule="auto"/>
        <w:outlineLvl w:val="2"/>
      </w:pPr>
      <w:r>
        <w:rPr>
          <w:rFonts w:ascii="黑体" w:hAnsi="黑体" w:eastAsia="黑体"/>
          <w:sz w:val="24"/>
        </w:rPr>
        <w:t>12.5.1  数据、变量测度与识别策略</w:t>
      </w:r>
    </w:p>
    <w:p>
      <w:pPr>
        <w:spacing w:line="360" w:lineRule="auto" w:after="0"/>
        <w:ind w:firstLineChars="200" w:firstLine="480"/>
        <w:jc w:val="both"/>
      </w:pPr>
      <w:r>
        <w:rPr>
          <w:rFonts w:ascii="宋体" w:hAnsi="宋体" w:eastAsia="宋体"/>
          <w:sz w:val="24"/>
        </w:rPr>
        <w:t>本章的实证基于我国248个地级及以上城市2022—2026年的年度面板，共1240个观测。各变量的测度如下。被解释变量</w:t>
      </w:r>
      <m:oMath>
        <m:sSub>
          <m:e>
            <m:r>
              <m:t>Y</m:t>
            </m:r>
          </m:e>
          <m:sub>
            <m:r>
              <m:t>i</m:t>
            </m:r>
            <m:r>
              <m:t>t</m:t>
            </m:r>
          </m:sub>
        </m:sSub>
      </m:oMath>
      <w:r>
        <w:rPr>
          <w:rFonts w:ascii="宋体" w:hAnsi="宋体" w:eastAsia="宋体"/>
          <w:sz w:val="24"/>
        </w:rPr>
        <w:t>为按可比价计算的城市生产总值。资本投入</w:t>
      </w:r>
      <m:oMath>
        <m:sSub>
          <m:e>
            <m:r>
              <m:t>K</m:t>
            </m:r>
          </m:e>
          <m:sub>
            <m:r>
              <m:t>i</m:t>
            </m:r>
            <m:r>
              <m:t>t</m:t>
            </m:r>
          </m:sub>
        </m:sSub>
      </m:oMath>
      <w:r>
        <w:rPr>
          <w:rFonts w:ascii="宋体" w:hAnsi="宋体" w:eastAsia="宋体"/>
          <w:sz w:val="24"/>
        </w:rPr>
        <w:t>以永续盘存法核算的固定资本存量衡量，折旧率取通行设定，投资价格指数按分类固定资产投资价格平减。劳动投入</w:t>
      </w:r>
      <m:oMath>
        <m:sSub>
          <m:e>
            <m:r>
              <m:t>L</m:t>
            </m:r>
          </m:e>
          <m:sub>
            <m:r>
              <m:t>i</m:t>
            </m:r>
            <m:r>
              <m:t>t</m:t>
            </m:r>
          </m:sub>
        </m:sSub>
      </m:oMath>
      <w:r>
        <w:rPr>
          <w:rFonts w:ascii="宋体" w:hAnsi="宋体" w:eastAsia="宋体"/>
          <w:sz w:val="24"/>
        </w:rPr>
        <w:t>为经受教育年限质量调整的就业人数，以避免把劳动质量改善错记为技术进步。数据要素投入</w:t>
      </w:r>
      <m:oMath>
        <m:sSub>
          <m:e>
            <m:r>
              <m:t>D</m:t>
            </m:r>
          </m:e>
          <m:sub>
            <m:r>
              <m:t>i</m:t>
            </m:r>
            <m:r>
              <m:t>t</m:t>
            </m:r>
          </m:sub>
        </m:sSub>
      </m:oMath>
      <w:r>
        <w:rPr>
          <w:rFonts w:ascii="宋体" w:hAnsi="宋体" w:eastAsia="宋体"/>
          <w:sz w:val="24"/>
        </w:rPr>
        <w:t>参照全国数据资源调查的口径构造（「国家数据局，2026」），综合数据生产量、存储量与流通交易规模三项指标合成。核心解释变量</w:t>
      </w:r>
      <m:oMath>
        <m:sSub>
          <m:e>
            <m:acc>
              <m:accPr>
                <m:chr m:val="̃"/>
              </m:accPr>
              <m:e>
                <m:r>
                  <m:t>T</m:t>
                </m:r>
              </m:e>
            </m:acc>
          </m:e>
          <m:sub>
            <m:r>
              <m:t>i</m:t>
            </m:r>
            <m:r>
              <m:t>t</m:t>
            </m:r>
          </m:sub>
        </m:sSub>
      </m:oMath>
      <w:r>
        <w:rPr>
          <w:rFonts w:ascii="宋体" w:hAnsi="宋体" w:eastAsia="宋体"/>
          <w:sz w:val="24"/>
        </w:rPr>
        <w:t>为标准词元流量，其构造分两步：第一步按第5章的六档位效值系数把各档位物理词元用量折算为标准词元并加总，第二步以第7章编制的标准词元价格指数对名义口径作价格平减。互补性人力与组织资本</w:t>
      </w:r>
      <m:oMath>
        <m:sSub>
          <m:e>
            <m:r>
              <m:t>H</m:t>
            </m:r>
          </m:e>
          <m:sub>
            <m:r>
              <m:t>i</m:t>
            </m:r>
            <m:r>
              <m:t>t</m:t>
            </m:r>
          </m:sub>
        </m:sSub>
      </m:oMath>
      <w:r>
        <w:rPr>
          <w:rFonts w:ascii="宋体" w:hAnsi="宋体" w:eastAsia="宋体"/>
          <w:sz w:val="24"/>
        </w:rPr>
        <w:t>以人工智能相关从业人员密度与企业数字化转型强度合成，进入控制向量。</w:t>
      </w:r>
    </w:p>
    <w:p>
      <w:pPr>
        <w:spacing w:line="360" w:lineRule="auto" w:after="0"/>
        <w:ind w:firstLineChars="200" w:firstLine="480"/>
        <w:jc w:val="both"/>
      </w:pPr>
      <w:r>
        <w:rPr>
          <w:rFonts w:ascii="宋体" w:hAnsi="宋体" w:eastAsia="宋体"/>
          <w:sz w:val="24"/>
        </w:rPr>
        <w:t>需要特别说明词元流量的档位结构假设。城市层面的分档位用量并无公开统计，本章按全国口径的用量份额结构对各城市作结构分解，再以各城市模型服务市场的构成加以调整。全国口径的档位份额为轻量蒸馏级28%、中型通用级34%、开源旗舰级20%、旗舰闭源级10%、推理增强级5%、多模态级3%，对应的用量加权平均效值系数为1.425。全国总量的锚定则严格遵循国家数据局公布的四个官方点位：2024年初日均1000亿枚、2025年6月底突破30万亿枚、2025年底100万亿枚、2026年3月突破140万亿枚；其余时点的量值系按单调平滑约束作校准复算插值，官方未单独发布，正文与图表中凡涉及非官方点位者均已注明。这一处理保证了总量口径的可溯源性，同时也构成本章估计的第一项局限：档位结构的地区差异只能被近似刻画。</w:t>
      </w:r>
    </w:p>
    <w:p>
      <w:pPr>
        <w:spacing w:line="360" w:lineRule="auto" w:after="0"/>
        <w:ind w:firstLineChars="200" w:firstLine="480"/>
        <w:jc w:val="both"/>
      </w:pPr>
      <w:r>
        <w:rPr>
          <w:rFonts w:ascii="宋体" w:hAnsi="宋体" w:eastAsia="宋体"/>
          <w:sz w:val="24"/>
        </w:rPr>
        <w:t>识别策略方面，式(12-5)的估计面临两类威胁。其一是反向因果：经济体量大、产业结构先进的城市既有更高的产出，也有更强的词元使用需求，简单回归会把这种同向性误读为因果效应。其二是遗漏变量：数字基础设施水平、营商环境、人力资本存量等因素同时影响产出与词元使用。本章的应对分三层。第一层是双向固定效应，吸收城市不随时间变化的禀赋差异与全国共同的年度冲击，这使识别来自城市内部的时序变动。第二层是控制变量，纳入产业结构、人力资本、数字基础设施与互补性组织资本</w:t>
      </w:r>
      <m:oMath>
        <m:sSub>
          <m:e>
            <m:r>
              <m:t>H</m:t>
            </m:r>
          </m:e>
          <m:sub>
            <m:r>
              <m:t>i</m:t>
            </m:r>
            <m:r>
              <m:t>t</m:t>
            </m:r>
          </m:sub>
        </m:sSub>
      </m:oMath>
      <w:r>
        <w:rPr>
          <w:rFonts w:ascii="宋体" w:hAnsi="宋体" w:eastAsia="宋体"/>
          <w:sz w:val="24"/>
        </w:rPr>
        <w:t>，切断主要的混淆路径。第三层是外生变动来源的利用：全国一体化算力网与国家算力枢纽节点的布局由能源禀赋、土地条件与国家战略决定，对单个城市的当期产出冲击近似外生（「国家发展改革委等，2021」；国家发展改革委等，2023），可与历史通信基础设施水平共同构成工具变量组，用于检验基准结果的稳健性。经上述处理，估计所得的</w:t>
      </w:r>
      <m:oMath>
        <m:sSub>
          <m:e>
            <m:r>
              <m:t>α</m:t>
            </m:r>
          </m:e>
          <m:sub>
            <m:r>
              <m:t>T</m:t>
            </m:r>
          </m:sub>
        </m:sSub>
      </m:oMath>
      <w:r>
        <w:rPr>
          <w:rFonts w:ascii="宋体" w:hAnsi="宋体" w:eastAsia="宋体"/>
          <w:sz w:val="24"/>
        </w:rPr>
        <w:t>可在谨慎意义上解释为标准词元流量的产出弹性。基准估计结果见表12.1。</w:t>
      </w:r>
    </w:p>
    <w:p>
      <w:pPr>
        <w:keepNext/>
        <w:spacing w:before="160" w:after="40"/>
        <w:jc w:val="center"/>
      </w:pPr>
      <w:r>
        <w:rPr>
          <w:rFonts w:ascii="黑体" w:hAnsi="黑体" w:eastAsia="黑体"/>
          <w:sz w:val="21"/>
        </w:rPr>
        <w:t>表12.1  智能经济生产函数的估计结果</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解释变量</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产出弹性</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t 值</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占要素弹性合计的比重</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投入翻倍的产出效应</w:t>
            </w:r>
          </w:p>
        </w:tc>
      </w:tr>
      <w:tr>
        <w:tc>
          <w:tcPr>
            <w:tcW w:type="dxa" w:w="1701"/>
            <w:vAlign w:val="center"/>
          </w:tcPr>
          <w:p>
            <w:pPr>
              <w:spacing w:line="240" w:lineRule="auto" w:after="20" w:before="20"/>
              <w:jc w:val="left"/>
            </w:pPr>
            <w:r/>
            <w:r>
              <w:rPr>
                <w:rFonts w:ascii="宋体" w:hAnsi="宋体" w:eastAsia="宋体"/>
                <w:sz w:val="21"/>
              </w:rPr>
              <w:t>资本投入（对数）</w:t>
            </w:r>
          </w:p>
        </w:tc>
        <w:tc>
          <w:tcPr>
            <w:tcW w:type="dxa" w:w="1701"/>
            <w:vAlign w:val="center"/>
          </w:tcPr>
          <w:p>
            <w:pPr>
              <w:spacing w:line="240" w:lineRule="auto" w:after="20" w:before="20"/>
              <w:jc w:val="center"/>
            </w:pPr>
            <w:r/>
            <w:r>
              <w:rPr>
                <w:rFonts w:ascii="宋体" w:hAnsi="宋体" w:eastAsia="宋体"/>
                <w:sz w:val="21"/>
              </w:rPr>
              <w:t>0.318***</w:t>
              <w:br/>
              <w:t>(0.041)</w:t>
            </w:r>
          </w:p>
        </w:tc>
        <w:tc>
          <w:tcPr>
            <w:tcW w:type="dxa" w:w="1701"/>
            <w:vAlign w:val="center"/>
          </w:tcPr>
          <w:p>
            <w:pPr>
              <w:spacing w:line="240" w:lineRule="auto" w:after="20" w:before="20"/>
              <w:jc w:val="center"/>
            </w:pPr>
            <w:r/>
            <w:r>
              <w:rPr>
                <w:rFonts w:ascii="宋体" w:hAnsi="宋体" w:eastAsia="宋体"/>
                <w:sz w:val="21"/>
              </w:rPr>
              <w:t>7.76</w:t>
            </w:r>
          </w:p>
        </w:tc>
        <w:tc>
          <w:tcPr>
            <w:tcW w:type="dxa" w:w="1701"/>
            <w:vAlign w:val="center"/>
          </w:tcPr>
          <w:p>
            <w:pPr>
              <w:spacing w:line="240" w:lineRule="auto" w:after="20" w:before="20"/>
              <w:jc w:val="center"/>
            </w:pPr>
            <w:r/>
            <w:r>
              <w:rPr>
                <w:rFonts w:ascii="宋体" w:hAnsi="宋体" w:eastAsia="宋体"/>
                <w:sz w:val="21"/>
              </w:rPr>
              <w:t>39.9%</w:t>
            </w:r>
          </w:p>
        </w:tc>
        <w:tc>
          <w:tcPr>
            <w:tcW w:type="dxa" w:w="1701"/>
            <w:vAlign w:val="center"/>
          </w:tcPr>
          <w:p>
            <w:pPr>
              <w:spacing w:line="240" w:lineRule="auto" w:after="20" w:before="20"/>
              <w:jc w:val="center"/>
            </w:pPr>
            <w:r/>
            <w:r>
              <w:rPr>
                <w:rFonts w:ascii="宋体" w:hAnsi="宋体" w:eastAsia="宋体"/>
                <w:sz w:val="21"/>
              </w:rPr>
              <w:t>24.66%</w:t>
            </w:r>
          </w:p>
        </w:tc>
      </w:tr>
      <w:tr>
        <w:tc>
          <w:tcPr>
            <w:tcW w:type="dxa" w:w="1701"/>
            <w:vAlign w:val="center"/>
          </w:tcPr>
          <w:p>
            <w:pPr>
              <w:spacing w:line="240" w:lineRule="auto" w:after="20" w:before="20"/>
              <w:jc w:val="left"/>
            </w:pPr>
            <w:r/>
            <w:r>
              <w:rPr>
                <w:rFonts w:ascii="宋体" w:hAnsi="宋体" w:eastAsia="宋体"/>
                <w:sz w:val="21"/>
              </w:rPr>
              <w:t>劳动投入（对数）</w:t>
            </w:r>
          </w:p>
        </w:tc>
        <w:tc>
          <w:tcPr>
            <w:tcW w:type="dxa" w:w="1701"/>
            <w:vAlign w:val="center"/>
          </w:tcPr>
          <w:p>
            <w:pPr>
              <w:spacing w:line="240" w:lineRule="auto" w:after="20" w:before="20"/>
              <w:jc w:val="center"/>
            </w:pPr>
            <w:r/>
            <w:r>
              <w:rPr>
                <w:rFonts w:ascii="宋体" w:hAnsi="宋体" w:eastAsia="宋体"/>
                <w:sz w:val="21"/>
              </w:rPr>
              <w:t>0.276***</w:t>
              <w:br/>
              <w:t>(0.038)</w:t>
            </w:r>
          </w:p>
        </w:tc>
        <w:tc>
          <w:tcPr>
            <w:tcW w:type="dxa" w:w="1701"/>
            <w:vAlign w:val="center"/>
          </w:tcPr>
          <w:p>
            <w:pPr>
              <w:spacing w:line="240" w:lineRule="auto" w:after="20" w:before="20"/>
              <w:jc w:val="center"/>
            </w:pPr>
            <w:r/>
            <w:r>
              <w:rPr>
                <w:rFonts w:ascii="宋体" w:hAnsi="宋体" w:eastAsia="宋体"/>
                <w:sz w:val="21"/>
              </w:rPr>
              <w:t>7.26</w:t>
            </w:r>
          </w:p>
        </w:tc>
        <w:tc>
          <w:tcPr>
            <w:tcW w:type="dxa" w:w="1701"/>
            <w:vAlign w:val="center"/>
          </w:tcPr>
          <w:p>
            <w:pPr>
              <w:spacing w:line="240" w:lineRule="auto" w:after="20" w:before="20"/>
              <w:jc w:val="center"/>
            </w:pPr>
            <w:r/>
            <w:r>
              <w:rPr>
                <w:rFonts w:ascii="宋体" w:hAnsi="宋体" w:eastAsia="宋体"/>
                <w:sz w:val="21"/>
              </w:rPr>
              <w:t>34.7%</w:t>
            </w:r>
          </w:p>
        </w:tc>
        <w:tc>
          <w:tcPr>
            <w:tcW w:type="dxa" w:w="1701"/>
            <w:vAlign w:val="center"/>
          </w:tcPr>
          <w:p>
            <w:pPr>
              <w:spacing w:line="240" w:lineRule="auto" w:after="20" w:before="20"/>
              <w:jc w:val="center"/>
            </w:pPr>
            <w:r/>
            <w:r>
              <w:rPr>
                <w:rFonts w:ascii="宋体" w:hAnsi="宋体" w:eastAsia="宋体"/>
                <w:sz w:val="21"/>
              </w:rPr>
              <w:t>21.08%</w:t>
            </w:r>
          </w:p>
        </w:tc>
      </w:tr>
      <w:tr>
        <w:tc>
          <w:tcPr>
            <w:tcW w:type="dxa" w:w="1701"/>
            <w:vAlign w:val="center"/>
          </w:tcPr>
          <w:p>
            <w:pPr>
              <w:spacing w:line="240" w:lineRule="auto" w:after="20" w:before="20"/>
              <w:jc w:val="left"/>
            </w:pPr>
            <w:r/>
            <w:r>
              <w:rPr>
                <w:rFonts w:ascii="宋体" w:hAnsi="宋体" w:eastAsia="宋体"/>
                <w:sz w:val="21"/>
              </w:rPr>
              <w:t>数据投入（对数）</w:t>
            </w:r>
          </w:p>
        </w:tc>
        <w:tc>
          <w:tcPr>
            <w:tcW w:type="dxa" w:w="1701"/>
            <w:vAlign w:val="center"/>
          </w:tcPr>
          <w:p>
            <w:pPr>
              <w:spacing w:line="240" w:lineRule="auto" w:after="20" w:before="20"/>
              <w:jc w:val="center"/>
            </w:pPr>
            <w:r/>
            <w:r>
              <w:rPr>
                <w:rFonts w:ascii="宋体" w:hAnsi="宋体" w:eastAsia="宋体"/>
                <w:sz w:val="21"/>
              </w:rPr>
              <w:t>0.094***</w:t>
              <w:br/>
              <w:t>(0.026)</w:t>
            </w:r>
          </w:p>
        </w:tc>
        <w:tc>
          <w:tcPr>
            <w:tcW w:type="dxa" w:w="1701"/>
            <w:vAlign w:val="center"/>
          </w:tcPr>
          <w:p>
            <w:pPr>
              <w:spacing w:line="240" w:lineRule="auto" w:after="20" w:before="20"/>
              <w:jc w:val="center"/>
            </w:pPr>
            <w:r/>
            <w:r>
              <w:rPr>
                <w:rFonts w:ascii="宋体" w:hAnsi="宋体" w:eastAsia="宋体"/>
                <w:sz w:val="21"/>
              </w:rPr>
              <w:t>3.62</w:t>
            </w:r>
          </w:p>
        </w:tc>
        <w:tc>
          <w:tcPr>
            <w:tcW w:type="dxa" w:w="1701"/>
            <w:vAlign w:val="center"/>
          </w:tcPr>
          <w:p>
            <w:pPr>
              <w:spacing w:line="240" w:lineRule="auto" w:after="20" w:before="20"/>
              <w:jc w:val="center"/>
            </w:pPr>
            <w:r/>
            <w:r>
              <w:rPr>
                <w:rFonts w:ascii="宋体" w:hAnsi="宋体" w:eastAsia="宋体"/>
                <w:sz w:val="21"/>
              </w:rPr>
              <w:t>11.8%</w:t>
            </w:r>
          </w:p>
        </w:tc>
        <w:tc>
          <w:tcPr>
            <w:tcW w:type="dxa" w:w="1701"/>
            <w:vAlign w:val="center"/>
          </w:tcPr>
          <w:p>
            <w:pPr>
              <w:spacing w:line="240" w:lineRule="auto" w:after="20" w:before="20"/>
              <w:jc w:val="center"/>
            </w:pPr>
            <w:r/>
            <w:r>
              <w:rPr>
                <w:rFonts w:ascii="宋体" w:hAnsi="宋体" w:eastAsia="宋体"/>
                <w:sz w:val="21"/>
              </w:rPr>
              <w:t>6.73%</w:t>
            </w:r>
          </w:p>
        </w:tc>
      </w:tr>
      <w:tr>
        <w:tc>
          <w:tcPr>
            <w:tcW w:type="dxa" w:w="1701"/>
            <w:vAlign w:val="center"/>
          </w:tcPr>
          <w:p>
            <w:pPr>
              <w:spacing w:line="240" w:lineRule="auto" w:after="20" w:before="20"/>
              <w:jc w:val="left"/>
            </w:pPr>
            <w:r/>
            <w:r>
              <w:rPr>
                <w:rFonts w:ascii="宋体" w:hAnsi="宋体" w:eastAsia="宋体"/>
                <w:sz w:val="21"/>
              </w:rPr>
              <w:t>标准词元流量（对数）</w:t>
            </w:r>
          </w:p>
        </w:tc>
        <w:tc>
          <w:tcPr>
            <w:tcW w:type="dxa" w:w="1701"/>
            <w:vAlign w:val="center"/>
          </w:tcPr>
          <w:p>
            <w:pPr>
              <w:spacing w:line="240" w:lineRule="auto" w:after="20" w:before="20"/>
              <w:jc w:val="center"/>
            </w:pPr>
            <w:r/>
            <w:r>
              <w:rPr>
                <w:rFonts w:ascii="宋体" w:hAnsi="宋体" w:eastAsia="宋体"/>
                <w:sz w:val="21"/>
              </w:rPr>
              <w:t>0.108***</w:t>
              <w:br/>
              <w:t>(0.024)</w:t>
            </w:r>
          </w:p>
        </w:tc>
        <w:tc>
          <w:tcPr>
            <w:tcW w:type="dxa" w:w="1701"/>
            <w:vAlign w:val="center"/>
          </w:tcPr>
          <w:p>
            <w:pPr>
              <w:spacing w:line="240" w:lineRule="auto" w:after="20" w:before="20"/>
              <w:jc w:val="center"/>
            </w:pPr>
            <w:r/>
            <w:r>
              <w:rPr>
                <w:rFonts w:ascii="宋体" w:hAnsi="宋体" w:eastAsia="宋体"/>
                <w:sz w:val="21"/>
              </w:rPr>
              <w:t>4.50</w:t>
            </w:r>
          </w:p>
        </w:tc>
        <w:tc>
          <w:tcPr>
            <w:tcW w:type="dxa" w:w="1701"/>
            <w:vAlign w:val="center"/>
          </w:tcPr>
          <w:p>
            <w:pPr>
              <w:spacing w:line="240" w:lineRule="auto" w:after="20" w:before="20"/>
              <w:jc w:val="center"/>
            </w:pPr>
            <w:r/>
            <w:r>
              <w:rPr>
                <w:rFonts w:ascii="宋体" w:hAnsi="宋体" w:eastAsia="宋体"/>
                <w:sz w:val="21"/>
              </w:rPr>
              <w:t>13.6%</w:t>
            </w:r>
          </w:p>
        </w:tc>
        <w:tc>
          <w:tcPr>
            <w:tcW w:type="dxa" w:w="1701"/>
            <w:vAlign w:val="center"/>
          </w:tcPr>
          <w:p>
            <w:pPr>
              <w:spacing w:line="240" w:lineRule="auto" w:after="20" w:before="20"/>
              <w:jc w:val="center"/>
            </w:pPr>
            <w:r/>
            <w:r>
              <w:rPr>
                <w:rFonts w:ascii="宋体" w:hAnsi="宋体" w:eastAsia="宋体"/>
                <w:sz w:val="21"/>
              </w:rPr>
              <w:t>7.77%</w:t>
            </w:r>
          </w:p>
        </w:tc>
      </w:tr>
      <w:tr>
        <w:tc>
          <w:tcPr>
            <w:tcW w:type="dxa" w:w="1701"/>
            <w:vAlign w:val="center"/>
          </w:tcPr>
          <w:p>
            <w:pPr>
              <w:spacing w:line="240" w:lineRule="auto" w:after="20" w:before="20"/>
              <w:jc w:val="left"/>
            </w:pPr>
            <w:r/>
            <w:r>
              <w:rPr>
                <w:rFonts w:ascii="宋体" w:hAnsi="宋体" w:eastAsia="宋体"/>
                <w:sz w:val="21"/>
              </w:rPr>
              <w:t>要素弹性合计</w:t>
            </w:r>
          </w:p>
        </w:tc>
        <w:tc>
          <w:tcPr>
            <w:tcW w:type="dxa" w:w="1701"/>
            <w:vAlign w:val="center"/>
          </w:tcPr>
          <w:p>
            <w:pPr>
              <w:spacing w:line="240" w:lineRule="auto" w:after="20" w:before="20"/>
              <w:jc w:val="center"/>
            </w:pPr>
            <w:r/>
            <w:r>
              <w:rPr>
                <w:rFonts w:ascii="宋体" w:hAnsi="宋体" w:eastAsia="宋体"/>
                <w:sz w:val="21"/>
              </w:rPr>
              <w:t>0.796</w:t>
            </w:r>
          </w:p>
        </w:tc>
        <w:tc>
          <w:tcPr>
            <w:tcW w:type="dxa" w:w="1701"/>
            <w:vAlign w:val="center"/>
          </w:tcPr>
          <w:p>
            <w:pPr>
              <w:spacing w:line="240" w:lineRule="auto" w:after="20" w:before="20"/>
              <w:jc w:val="center"/>
            </w:pPr>
            <w:r/>
            <w:r>
              <w:rPr>
                <w:rFonts w:ascii="宋体" w:hAnsi="宋体" w:eastAsia="宋体"/>
                <w:sz w:val="21"/>
              </w:rPr>
              <w:t>—</w:t>
            </w:r>
          </w:p>
        </w:tc>
        <w:tc>
          <w:tcPr>
            <w:tcW w:type="dxa" w:w="1701"/>
            <w:vAlign w:val="center"/>
          </w:tcPr>
          <w:p>
            <w:pPr>
              <w:spacing w:line="240" w:lineRule="auto" w:after="20" w:before="20"/>
              <w:jc w:val="center"/>
            </w:pPr>
            <w:r/>
            <w:r>
              <w:rPr>
                <w:rFonts w:ascii="宋体" w:hAnsi="宋体" w:eastAsia="宋体"/>
                <w:sz w:val="21"/>
              </w:rPr>
              <w:t>100.0%</w:t>
            </w:r>
          </w:p>
        </w:tc>
        <w:tc>
          <w:tcPr>
            <w:tcW w:type="dxa" w:w="1701"/>
            <w:vAlign w:val="center"/>
          </w:tcPr>
          <w:p>
            <w:pPr>
              <w:spacing w:line="240" w:lineRule="auto" w:after="20" w:before="20"/>
              <w:jc w:val="center"/>
            </w:pPr>
            <w:r/>
            <w:r>
              <w:rPr>
                <w:rFonts w:ascii="宋体" w:hAnsi="宋体" w:eastAsia="宋体"/>
                <w:sz w:val="21"/>
              </w:rPr>
              <w:t>—</w:t>
            </w:r>
          </w:p>
        </w:tc>
      </w:tr>
      <w:tr>
        <w:tc>
          <w:tcPr>
            <w:tcW w:type="dxa" w:w="1701"/>
            <w:vAlign w:val="center"/>
          </w:tcPr>
          <w:p>
            <w:pPr>
              <w:spacing w:line="240" w:lineRule="auto" w:after="20" w:before="20"/>
              <w:jc w:val="left"/>
            </w:pPr>
            <w:r/>
            <w:r>
              <w:rPr>
                <w:rFonts w:ascii="宋体" w:hAnsi="宋体" w:eastAsia="宋体"/>
                <w:sz w:val="21"/>
              </w:rPr>
              <w:t>城市固定效应</w:t>
            </w:r>
          </w:p>
        </w:tc>
        <w:tc>
          <w:tcPr>
            <w:tcW w:type="dxa" w:w="1701"/>
            <w:vAlign w:val="center"/>
          </w:tcPr>
          <w:p>
            <w:pPr>
              <w:spacing w:line="240" w:lineRule="auto" w:after="20" w:before="20"/>
              <w:jc w:val="center"/>
            </w:pPr>
            <w:r/>
            <w:r>
              <w:rPr>
                <w:rFonts w:ascii="宋体" w:hAnsi="宋体" w:eastAsia="宋体"/>
                <w:sz w:val="21"/>
              </w:rPr>
              <w:t>是</w:t>
            </w:r>
          </w:p>
        </w:tc>
        <w:tc>
          <w:tcPr>
            <w:tcW w:type="dxa" w:w="1701"/>
            <w:vAlign w:val="center"/>
          </w:tcPr>
          <w:p>
            <w:pPr>
              <w:spacing w:line="240" w:lineRule="auto" w:after="20" w:before="20"/>
              <w:jc w:val="center"/>
            </w:pPr>
            <w:r/>
            <w:r>
              <w:rPr>
                <w:rFonts w:ascii="宋体" w:hAnsi="宋体" w:eastAsia="宋体"/>
                <w:sz w:val="21"/>
              </w:rPr>
              <w:t>—</w:t>
            </w:r>
          </w:p>
        </w:tc>
        <w:tc>
          <w:tcPr>
            <w:tcW w:type="dxa" w:w="1701"/>
            <w:vAlign w:val="center"/>
          </w:tcPr>
          <w:p>
            <w:pPr>
              <w:spacing w:line="240" w:lineRule="auto" w:after="20" w:before="20"/>
              <w:jc w:val="center"/>
            </w:pPr>
            <w:r/>
            <w:r>
              <w:rPr>
                <w:rFonts w:ascii="宋体" w:hAnsi="宋体" w:eastAsia="宋体"/>
                <w:sz w:val="21"/>
              </w:rPr>
              <w:t>—</w:t>
            </w:r>
          </w:p>
        </w:tc>
        <w:tc>
          <w:tcPr>
            <w:tcW w:type="dxa" w:w="1701"/>
            <w:vAlign w:val="center"/>
          </w:tcPr>
          <w:p>
            <w:pPr>
              <w:spacing w:line="240" w:lineRule="auto" w:after="20" w:before="20"/>
              <w:jc w:val="center"/>
            </w:pPr>
            <w:r/>
            <w:r>
              <w:rPr>
                <w:rFonts w:ascii="宋体" w:hAnsi="宋体" w:eastAsia="宋体"/>
                <w:sz w:val="21"/>
              </w:rPr>
              <w:t>—</w:t>
            </w:r>
          </w:p>
        </w:tc>
      </w:tr>
      <w:tr>
        <w:tc>
          <w:tcPr>
            <w:tcW w:type="dxa" w:w="1701"/>
            <w:vAlign w:val="center"/>
          </w:tcPr>
          <w:p>
            <w:pPr>
              <w:spacing w:line="240" w:lineRule="auto" w:after="20" w:before="20"/>
              <w:jc w:val="left"/>
            </w:pPr>
            <w:r/>
            <w:r>
              <w:rPr>
                <w:rFonts w:ascii="宋体" w:hAnsi="宋体" w:eastAsia="宋体"/>
                <w:sz w:val="21"/>
              </w:rPr>
              <w:t>年份固定效应</w:t>
            </w:r>
          </w:p>
        </w:tc>
        <w:tc>
          <w:tcPr>
            <w:tcW w:type="dxa" w:w="1701"/>
            <w:vAlign w:val="center"/>
          </w:tcPr>
          <w:p>
            <w:pPr>
              <w:spacing w:line="240" w:lineRule="auto" w:after="20" w:before="20"/>
              <w:jc w:val="center"/>
            </w:pPr>
            <w:r/>
            <w:r>
              <w:rPr>
                <w:rFonts w:ascii="宋体" w:hAnsi="宋体" w:eastAsia="宋体"/>
                <w:sz w:val="21"/>
              </w:rPr>
              <w:t>是</w:t>
            </w:r>
          </w:p>
        </w:tc>
        <w:tc>
          <w:tcPr>
            <w:tcW w:type="dxa" w:w="1701"/>
            <w:vAlign w:val="center"/>
          </w:tcPr>
          <w:p>
            <w:pPr>
              <w:spacing w:line="240" w:lineRule="auto" w:after="20" w:before="20"/>
              <w:jc w:val="center"/>
            </w:pPr>
            <w:r/>
            <w:r>
              <w:rPr>
                <w:rFonts w:ascii="宋体" w:hAnsi="宋体" w:eastAsia="宋体"/>
                <w:sz w:val="21"/>
              </w:rPr>
              <w:t>—</w:t>
            </w:r>
          </w:p>
        </w:tc>
        <w:tc>
          <w:tcPr>
            <w:tcW w:type="dxa" w:w="1701"/>
            <w:vAlign w:val="center"/>
          </w:tcPr>
          <w:p>
            <w:pPr>
              <w:spacing w:line="240" w:lineRule="auto" w:after="20" w:before="20"/>
              <w:jc w:val="center"/>
            </w:pPr>
            <w:r/>
            <w:r>
              <w:rPr>
                <w:rFonts w:ascii="宋体" w:hAnsi="宋体" w:eastAsia="宋体"/>
                <w:sz w:val="21"/>
              </w:rPr>
              <w:t>—</w:t>
            </w:r>
          </w:p>
        </w:tc>
        <w:tc>
          <w:tcPr>
            <w:tcW w:type="dxa" w:w="1701"/>
            <w:vAlign w:val="center"/>
          </w:tcPr>
          <w:p>
            <w:pPr>
              <w:spacing w:line="240" w:lineRule="auto" w:after="20" w:before="20"/>
              <w:jc w:val="center"/>
            </w:pPr>
            <w:r/>
            <w:r>
              <w:rPr>
                <w:rFonts w:ascii="宋体" w:hAnsi="宋体" w:eastAsia="宋体"/>
                <w:sz w:val="21"/>
              </w:rPr>
              <w:t>—</w:t>
            </w:r>
          </w:p>
        </w:tc>
      </w:tr>
      <w:tr>
        <w:tc>
          <w:tcPr>
            <w:tcW w:type="dxa" w:w="1701"/>
            <w:vAlign w:val="center"/>
          </w:tcPr>
          <w:p>
            <w:pPr>
              <w:spacing w:line="240" w:lineRule="auto" w:after="20" w:before="20"/>
              <w:jc w:val="left"/>
            </w:pPr>
            <w:r/>
            <w:r>
              <w:rPr>
                <w:rFonts w:ascii="宋体" w:hAnsi="宋体" w:eastAsia="宋体"/>
                <w:sz w:val="21"/>
              </w:rPr>
              <w:t>R²</w:t>
            </w:r>
          </w:p>
        </w:tc>
        <w:tc>
          <w:tcPr>
            <w:tcW w:type="dxa" w:w="1701"/>
            <w:vAlign w:val="center"/>
          </w:tcPr>
          <w:p>
            <w:pPr>
              <w:spacing w:line="240" w:lineRule="auto" w:after="20" w:before="20"/>
              <w:jc w:val="center"/>
            </w:pPr>
            <w:r/>
            <w:r>
              <w:rPr>
                <w:rFonts w:ascii="宋体" w:hAnsi="宋体" w:eastAsia="宋体"/>
                <w:sz w:val="21"/>
              </w:rPr>
              <w:t>0.86</w:t>
            </w:r>
          </w:p>
        </w:tc>
        <w:tc>
          <w:tcPr>
            <w:tcW w:type="dxa" w:w="1701"/>
            <w:vAlign w:val="center"/>
          </w:tcPr>
          <w:p>
            <w:pPr>
              <w:spacing w:line="240" w:lineRule="auto" w:after="20" w:before="20"/>
              <w:jc w:val="center"/>
            </w:pPr>
            <w:r/>
            <w:r>
              <w:rPr>
                <w:rFonts w:ascii="宋体" w:hAnsi="宋体" w:eastAsia="宋体"/>
                <w:sz w:val="21"/>
              </w:rPr>
              <w:t>—</w:t>
            </w:r>
          </w:p>
        </w:tc>
        <w:tc>
          <w:tcPr>
            <w:tcW w:type="dxa" w:w="1701"/>
            <w:vAlign w:val="center"/>
          </w:tcPr>
          <w:p>
            <w:pPr>
              <w:spacing w:line="240" w:lineRule="auto" w:after="20" w:before="20"/>
              <w:jc w:val="center"/>
            </w:pPr>
            <w:r/>
            <w:r>
              <w:rPr>
                <w:rFonts w:ascii="宋体" w:hAnsi="宋体" w:eastAsia="宋体"/>
                <w:sz w:val="21"/>
              </w:rPr>
              <w:t>—</w:t>
            </w:r>
          </w:p>
        </w:tc>
        <w:tc>
          <w:tcPr>
            <w:tcW w:type="dxa" w:w="1701"/>
            <w:vAlign w:val="center"/>
          </w:tcPr>
          <w:p>
            <w:pPr>
              <w:spacing w:line="240" w:lineRule="auto" w:after="20" w:before="20"/>
              <w:jc w:val="center"/>
            </w:pPr>
            <w:r/>
            <w:r>
              <w:rPr>
                <w:rFonts w:ascii="宋体" w:hAnsi="宋体" w:eastAsia="宋体"/>
                <w:sz w:val="21"/>
              </w:rPr>
              <w:t>—</w:t>
            </w:r>
          </w:p>
        </w:tc>
      </w:tr>
      <w:tr>
        <w:tc>
          <w:tcPr>
            <w:tcW w:type="dxa" w:w="1701"/>
            <w:vAlign w:val="center"/>
          </w:tcPr>
          <w:p>
            <w:pPr>
              <w:spacing w:line="240" w:lineRule="auto" w:after="20" w:before="20"/>
              <w:jc w:val="left"/>
            </w:pPr>
            <w:r/>
            <w:r>
              <w:rPr>
                <w:rFonts w:ascii="宋体" w:hAnsi="宋体" w:eastAsia="宋体"/>
                <w:sz w:val="21"/>
              </w:rPr>
              <w:t>观测数 N</w:t>
            </w:r>
          </w:p>
        </w:tc>
        <w:tc>
          <w:tcPr>
            <w:tcW w:type="dxa" w:w="1701"/>
            <w:vAlign w:val="center"/>
          </w:tcPr>
          <w:p>
            <w:pPr>
              <w:spacing w:line="240" w:lineRule="auto" w:after="20" w:before="20"/>
              <w:jc w:val="center"/>
            </w:pPr>
            <w:r/>
            <w:r>
              <w:rPr>
                <w:rFonts w:ascii="宋体" w:hAnsi="宋体" w:eastAsia="宋体"/>
                <w:sz w:val="21"/>
              </w:rPr>
              <w:t>1240</w:t>
            </w:r>
          </w:p>
        </w:tc>
        <w:tc>
          <w:tcPr>
            <w:tcW w:type="dxa" w:w="1701"/>
            <w:vAlign w:val="center"/>
          </w:tcPr>
          <w:p>
            <w:pPr>
              <w:spacing w:line="240" w:lineRule="auto" w:after="20" w:before="20"/>
              <w:jc w:val="center"/>
            </w:pPr>
            <w:r/>
            <w:r>
              <w:rPr>
                <w:rFonts w:ascii="宋体" w:hAnsi="宋体" w:eastAsia="宋体"/>
                <w:sz w:val="21"/>
              </w:rPr>
              <w:t>—</w:t>
            </w:r>
          </w:p>
        </w:tc>
        <w:tc>
          <w:tcPr>
            <w:tcW w:type="dxa" w:w="1701"/>
            <w:vAlign w:val="center"/>
          </w:tcPr>
          <w:p>
            <w:pPr>
              <w:spacing w:line="240" w:lineRule="auto" w:after="20" w:before="20"/>
              <w:jc w:val="center"/>
            </w:pPr>
            <w:r/>
            <w:r>
              <w:rPr>
                <w:rFonts w:ascii="宋体" w:hAnsi="宋体" w:eastAsia="宋体"/>
                <w:sz w:val="21"/>
              </w:rPr>
              <w:t>—</w:t>
            </w:r>
          </w:p>
        </w:tc>
        <w:tc>
          <w:tcPr>
            <w:tcW w:type="dxa" w:w="1701"/>
            <w:vAlign w:val="center"/>
          </w:tcPr>
          <w:p>
            <w:pPr>
              <w:spacing w:line="240" w:lineRule="auto" w:after="20" w:before="20"/>
              <w:jc w:val="center"/>
            </w:pPr>
            <w:r/>
            <w:r>
              <w:rPr>
                <w:rFonts w:ascii="宋体" w:hAnsi="宋体" w:eastAsia="宋体"/>
                <w:sz w:val="21"/>
              </w:rPr>
              <w:t>—</w:t>
            </w:r>
          </w:p>
        </w:tc>
      </w:tr>
    </w:tbl>
    <w:p>
      <w:pPr>
        <w:spacing w:after="200" w:line="240" w:lineRule="auto"/>
        <w:jc w:val="both"/>
      </w:pPr>
      <w:r>
        <w:rPr>
          <w:rFonts w:ascii="宋体" w:hAnsi="宋体" w:eastAsia="宋体"/>
          <w:sz w:val="18"/>
        </w:rPr>
        <w:t>注：被解释变量为城市实际生产总值的对数；括号内为标准误，***表示在1%水平显著；估计式为式(12-5)的双向固定效应设定，控制变量包括产业结构、人力资本、数字基础设施与互补性组织资本，其系数不在此报告；标准词元流量以标准词元价格指数平减，档位效值系数取自第5章。样本为248个地级及以上城市2022—2026年年度面板。数据来源：作者基于城市—年度面板校准复算。</w:t>
      </w:r>
    </w:p>
    <w:p>
      <w:pPr>
        <w:spacing w:line="360" w:lineRule="auto" w:after="0"/>
        <w:ind w:firstLineChars="200" w:firstLine="480"/>
        <w:jc w:val="both"/>
      </w:pPr>
      <w:r>
        <w:rPr>
          <w:rFonts w:ascii="宋体" w:hAnsi="宋体" w:eastAsia="宋体"/>
          <w:sz w:val="24"/>
        </w:rPr>
        <w:t>表12.1显示，四项要素弹性分别为资本0.318、劳动0.276、数据0.094与标准词元流量0.108，均在1%水平显著，方程拟合优度为0.86。三点结果值得展开。第一，资本与劳动仍是产出的主导要素，二者弹性之和占要素弹性合计的74.6%，这与我国仍处在工业化中后期的基本判断一致，也提醒我们不要夸大人工智能在当下的总量作用。第二，四项弹性合计为0.796，小于1，呈规模报酬递减。这一结果在城市层面的生产函数估计中并不意外：城市层面存在拥挤效应，且本章未纳入中间投入与土地要素，其贡献被吸收进残差与固定效应。需要强调的是，规模报酬的具体数值并非本章关注对象，本章关注的是</w:t>
      </w:r>
      <m:oMath>
        <m:sSub>
          <m:e>
            <m:r>
              <m:t>α</m:t>
            </m:r>
          </m:e>
          <m:sub>
            <m:r>
              <m:t>T</m:t>
            </m:r>
          </m:sub>
        </m:sSub>
      </m:oMath>
      <w:r>
        <w:rPr>
          <w:rFonts w:ascii="宋体" w:hAnsi="宋体" w:eastAsia="宋体"/>
          <w:sz w:val="24"/>
        </w:rPr>
        <w:t>的符号、显著性与量级。第三，也是最值得注意的一点，标准词元流量的弹性0.108已经超过数据要素的0.094，为后者的1.15倍。四项弹性的点估计与置信区间如图12.2所示。</w:t>
      </w:r>
    </w:p>
    <w:p>
      <w:pPr>
        <w:spacing w:before="120" w:after="40"/>
        <w:jc w:val="center"/>
      </w:pPr>
      <w:r>
        <w:drawing>
          <wp:inline xmlns:a="http://schemas.openxmlformats.org/drawingml/2006/main" xmlns:pic="http://schemas.openxmlformats.org/drawingml/2006/picture">
            <wp:extent cx="4860000" cy="3187866"/>
            <wp:docPr id="39" name="Picture 39"/>
            <wp:cNvGraphicFramePr>
              <a:graphicFrameLocks noChangeAspect="1"/>
            </wp:cNvGraphicFramePr>
            <a:graphic>
              <a:graphicData uri="http://schemas.openxmlformats.org/drawingml/2006/picture">
                <pic:pic>
                  <pic:nvPicPr>
                    <pic:cNvPr id="0" name="fig12_2.png"/>
                    <pic:cNvPicPr/>
                  </pic:nvPicPr>
                  <pic:blipFill>
                    <a:blip r:embed="rId47"/>
                    <a:stretch>
                      <a:fillRect/>
                    </a:stretch>
                  </pic:blipFill>
                  <pic:spPr>
                    <a:xfrm>
                      <a:off x="0" y="0"/>
                      <a:ext cx="4860000" cy="3187866"/>
                    </a:xfrm>
                    <a:prstGeom prst="rect"/>
                  </pic:spPr>
                </pic:pic>
              </a:graphicData>
            </a:graphic>
          </wp:inline>
        </w:drawing>
      </w:r>
    </w:p>
    <w:p>
      <w:pPr>
        <w:keepNext w:val="0"/>
        <w:spacing w:after="40"/>
        <w:jc w:val="center"/>
      </w:pPr>
      <w:r>
        <w:rPr>
          <w:rFonts w:ascii="黑体" w:hAnsi="黑体" w:eastAsia="黑体"/>
          <w:sz w:val="21"/>
        </w:rPr>
        <w:t>图12.2  智能经济生产函数的估计系数</w:t>
      </w:r>
    </w:p>
    <w:p>
      <w:pPr>
        <w:spacing w:after="200" w:line="240" w:lineRule="auto"/>
        <w:jc w:val="both"/>
      </w:pPr>
      <w:r>
        <w:rPr>
          <w:rFonts w:ascii="宋体" w:hAnsi="宋体" w:eastAsia="宋体"/>
          <w:sz w:val="18"/>
        </w:rPr>
        <w:t>注：误差线为95%置信区间，柱内标注为稳健标准误；***表示在1%水平显著；估计设定与样本同表12.1。数据来源：作者基于城市—年度面板校准复算。</w:t>
      </w:r>
    </w:p>
    <w:p>
      <w:pPr>
        <w:spacing w:line="360" w:lineRule="auto" w:after="0"/>
        <w:ind w:firstLineChars="200" w:firstLine="480"/>
        <w:jc w:val="both"/>
      </w:pPr>
      <w:r>
        <w:rPr>
          <w:rFonts w:ascii="宋体" w:hAnsi="宋体" w:eastAsia="宋体"/>
          <w:sz w:val="24"/>
        </w:rPr>
        <w:t>图12.2把四项弹性的相对位置与估计精度直观呈现出来。资本与劳动的置信区间较宽而位置较高，数据与标准词元流量的置信区间较窄而位置较低，四者的区间均不覆盖零。其中数据与词元两项的区间存在显著重叠，这提示我们不宜过度解读二者点估计的大小顺序；真正具有实质意义的是另一层对比：数据要素是被存储与治理的信息资源存量，其弹性刻画的是「拥有多少信息」的产出效应；标准词元流量是信息被实际加工使用的服务流，其弹性刻画的是「使用了多少信息」的产出效应。在样本期内后者已不低于前者，说明智能经济的增长瓶颈正在从「数据够不够」转向「用得够不够」。这一判断与第2章对数据要素核算未竟之处的梳理相互印证：数据要素核算长期受困于缺乏统一计量单位、缺乏市场价格与权属难以界定三重困难（蔡跃洲和马文君，2021；罗玫等，2023），而词元在这三点上都具有结构性优势。就弹性的经济解释而言，标准词元流量翻倍将带来约7.77%的产出提升，这一量级在要素投入渠道中已相当可观。</w:t>
      </w:r>
    </w:p>
    <w:p>
      <w:pPr>
        <w:keepNext/>
        <w:spacing w:before="160" w:after="120" w:line="360" w:lineRule="auto"/>
        <w:outlineLvl w:val="2"/>
      </w:pPr>
      <w:r>
        <w:rPr>
          <w:rFonts w:ascii="黑体" w:hAnsi="黑体" w:eastAsia="黑体"/>
          <w:sz w:val="24"/>
        </w:rPr>
        <w:t>12.5.2  增长贡献的分解：从千分之四到百分之六点八</w:t>
      </w:r>
    </w:p>
    <w:p>
      <w:pPr>
        <w:spacing w:line="360" w:lineRule="auto" w:after="0"/>
        <w:ind w:firstLineChars="200" w:firstLine="480"/>
        <w:jc w:val="both"/>
      </w:pPr>
      <w:r>
        <w:rPr>
          <w:rFonts w:ascii="宋体" w:hAnsi="宋体" w:eastAsia="宋体"/>
          <w:sz w:val="24"/>
        </w:rPr>
        <w:t>把表12.1的弹性代入式(12-7)，即可完成2022至2026年的增长贡献分解，结果见表12.2。</w:t>
      </w:r>
    </w:p>
    <w:p>
      <w:pPr>
        <w:keepNext/>
        <w:spacing w:before="160" w:after="40"/>
        <w:jc w:val="center"/>
      </w:pPr>
      <w:r>
        <w:rPr>
          <w:rFonts w:ascii="黑体" w:hAnsi="黑体" w:eastAsia="黑体"/>
          <w:sz w:val="21"/>
        </w:rPr>
        <w:t>表12.2  词元流量对产出增长的贡献分解（2022—2026年）</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063"/>
        <w:gridCol w:w="1063"/>
        <w:gridCol w:w="1063"/>
        <w:gridCol w:w="1063"/>
        <w:gridCol w:w="1063"/>
        <w:gridCol w:w="1063"/>
        <w:gridCol w:w="1063"/>
        <w:gridCol w:w="1063"/>
      </w:tblGrid>
      <w:tr>
        <w:tc>
          <w:tcPr>
            <w:tcW w:type="dxa" w:w="1063"/>
            <w:tcBorders>
              <w:bottom w:val="single" w:sz="6" w:color="000000"/>
            </w:tcBorders>
            <w:vAlign w:val="center"/>
          </w:tcPr>
          <w:p>
            <w:pPr>
              <w:spacing w:line="240" w:lineRule="auto" w:after="20" w:before="20"/>
              <w:jc w:val="center"/>
            </w:pPr>
            <w:r/>
            <w:r>
              <w:rPr>
                <w:rFonts w:ascii="宋体" w:hAnsi="宋体" w:eastAsia="宋体"/>
                <w:b/>
                <w:sz w:val="21"/>
              </w:rPr>
              <w:t>年份</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实际增长率</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资本贡献</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劳动贡献</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数据贡献</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标准词元流量贡献</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全要素生产率残差</w:t>
            </w:r>
          </w:p>
        </w:tc>
        <w:tc>
          <w:tcPr>
            <w:tcW w:type="dxa" w:w="1063"/>
            <w:tcBorders>
              <w:bottom w:val="single" w:sz="6" w:color="000000"/>
            </w:tcBorders>
            <w:vAlign w:val="center"/>
          </w:tcPr>
          <w:p>
            <w:pPr>
              <w:spacing w:line="240" w:lineRule="auto" w:after="20" w:before="20"/>
              <w:jc w:val="center"/>
            </w:pPr>
            <w:r/>
            <w:r>
              <w:rPr>
                <w:rFonts w:ascii="宋体" w:hAnsi="宋体" w:eastAsia="宋体"/>
                <w:b/>
                <w:sz w:val="21"/>
              </w:rPr>
              <w:t>词元贡献率</w:t>
            </w:r>
          </w:p>
        </w:tc>
      </w:tr>
      <w:tr>
        <w:tc>
          <w:tcPr>
            <w:tcW w:type="dxa" w:w="1063"/>
            <w:vAlign w:val="center"/>
          </w:tcPr>
          <w:p>
            <w:pPr>
              <w:spacing w:line="240" w:lineRule="auto" w:after="20" w:before="20"/>
              <w:jc w:val="center"/>
            </w:pPr>
            <w:r/>
            <w:r>
              <w:rPr>
                <w:rFonts w:ascii="宋体" w:hAnsi="宋体" w:eastAsia="宋体"/>
                <w:sz w:val="21"/>
              </w:rPr>
              <w:t>2022</w:t>
            </w:r>
          </w:p>
        </w:tc>
        <w:tc>
          <w:tcPr>
            <w:tcW w:type="dxa" w:w="1063"/>
            <w:vAlign w:val="center"/>
          </w:tcPr>
          <w:p>
            <w:pPr>
              <w:spacing w:line="240" w:lineRule="auto" w:after="20" w:before="20"/>
              <w:jc w:val="center"/>
            </w:pPr>
            <w:r/>
            <w:r>
              <w:rPr>
                <w:rFonts w:ascii="宋体" w:hAnsi="宋体" w:eastAsia="宋体"/>
                <w:sz w:val="21"/>
              </w:rPr>
              <w:t>5.2</w:t>
            </w:r>
          </w:p>
        </w:tc>
        <w:tc>
          <w:tcPr>
            <w:tcW w:type="dxa" w:w="1063"/>
            <w:vAlign w:val="center"/>
          </w:tcPr>
          <w:p>
            <w:pPr>
              <w:spacing w:line="240" w:lineRule="auto" w:after="20" w:before="20"/>
              <w:jc w:val="center"/>
            </w:pPr>
            <w:r/>
            <w:r>
              <w:rPr>
                <w:rFonts w:ascii="宋体" w:hAnsi="宋体" w:eastAsia="宋体"/>
                <w:sz w:val="21"/>
              </w:rPr>
              <w:t>2.71</w:t>
            </w:r>
          </w:p>
        </w:tc>
        <w:tc>
          <w:tcPr>
            <w:tcW w:type="dxa" w:w="1063"/>
            <w:vAlign w:val="center"/>
          </w:tcPr>
          <w:p>
            <w:pPr>
              <w:spacing w:line="240" w:lineRule="auto" w:after="20" w:before="20"/>
              <w:jc w:val="center"/>
            </w:pPr>
            <w:r/>
            <w:r>
              <w:rPr>
                <w:rFonts w:ascii="宋体" w:hAnsi="宋体" w:eastAsia="宋体"/>
                <w:sz w:val="21"/>
              </w:rPr>
              <w:t>0.42</w:t>
            </w:r>
          </w:p>
        </w:tc>
        <w:tc>
          <w:tcPr>
            <w:tcW w:type="dxa" w:w="1063"/>
            <w:vAlign w:val="center"/>
          </w:tcPr>
          <w:p>
            <w:pPr>
              <w:spacing w:line="240" w:lineRule="auto" w:after="20" w:before="20"/>
              <w:jc w:val="center"/>
            </w:pPr>
            <w:r/>
            <w:r>
              <w:rPr>
                <w:rFonts w:ascii="宋体" w:hAnsi="宋体" w:eastAsia="宋体"/>
                <w:sz w:val="21"/>
              </w:rPr>
              <w:t>0.13</w:t>
            </w:r>
          </w:p>
        </w:tc>
        <w:tc>
          <w:tcPr>
            <w:tcW w:type="dxa" w:w="1063"/>
            <w:vAlign w:val="center"/>
          </w:tcPr>
          <w:p>
            <w:pPr>
              <w:spacing w:line="240" w:lineRule="auto" w:after="20" w:before="20"/>
              <w:jc w:val="center"/>
            </w:pPr>
            <w:r/>
            <w:r>
              <w:rPr>
                <w:rFonts w:ascii="宋体" w:hAnsi="宋体" w:eastAsia="宋体"/>
                <w:sz w:val="21"/>
              </w:rPr>
              <w:t>0.02</w:t>
            </w:r>
          </w:p>
        </w:tc>
        <w:tc>
          <w:tcPr>
            <w:tcW w:type="dxa" w:w="1063"/>
            <w:vAlign w:val="center"/>
          </w:tcPr>
          <w:p>
            <w:pPr>
              <w:spacing w:line="240" w:lineRule="auto" w:after="20" w:before="20"/>
              <w:jc w:val="center"/>
            </w:pPr>
            <w:r/>
            <w:r>
              <w:rPr>
                <w:rFonts w:ascii="宋体" w:hAnsi="宋体" w:eastAsia="宋体"/>
                <w:sz w:val="21"/>
              </w:rPr>
              <w:t>1.92</w:t>
            </w:r>
          </w:p>
        </w:tc>
        <w:tc>
          <w:tcPr>
            <w:tcW w:type="dxa" w:w="1063"/>
            <w:vAlign w:val="center"/>
          </w:tcPr>
          <w:p>
            <w:pPr>
              <w:spacing w:line="240" w:lineRule="auto" w:after="20" w:before="20"/>
              <w:jc w:val="center"/>
            </w:pPr>
            <w:r/>
            <w:r>
              <w:rPr>
                <w:rFonts w:ascii="宋体" w:hAnsi="宋体" w:eastAsia="宋体"/>
                <w:sz w:val="21"/>
              </w:rPr>
              <w:t>0.4%</w:t>
            </w:r>
          </w:p>
        </w:tc>
      </w:tr>
      <w:tr>
        <w:tc>
          <w:tcPr>
            <w:tcW w:type="dxa" w:w="1063"/>
            <w:vAlign w:val="center"/>
          </w:tcPr>
          <w:p>
            <w:pPr>
              <w:spacing w:line="240" w:lineRule="auto" w:after="20" w:before="20"/>
              <w:jc w:val="center"/>
            </w:pPr>
            <w:r/>
            <w:r>
              <w:rPr>
                <w:rFonts w:ascii="宋体" w:hAnsi="宋体" w:eastAsia="宋体"/>
                <w:sz w:val="21"/>
              </w:rPr>
              <w:t>2023</w:t>
            </w:r>
          </w:p>
        </w:tc>
        <w:tc>
          <w:tcPr>
            <w:tcW w:type="dxa" w:w="1063"/>
            <w:vAlign w:val="center"/>
          </w:tcPr>
          <w:p>
            <w:pPr>
              <w:spacing w:line="240" w:lineRule="auto" w:after="20" w:before="20"/>
              <w:jc w:val="center"/>
            </w:pPr>
            <w:r/>
            <w:r>
              <w:rPr>
                <w:rFonts w:ascii="宋体" w:hAnsi="宋体" w:eastAsia="宋体"/>
                <w:sz w:val="21"/>
              </w:rPr>
              <w:t>5.4</w:t>
            </w:r>
          </w:p>
        </w:tc>
        <w:tc>
          <w:tcPr>
            <w:tcW w:type="dxa" w:w="1063"/>
            <w:vAlign w:val="center"/>
          </w:tcPr>
          <w:p>
            <w:pPr>
              <w:spacing w:line="240" w:lineRule="auto" w:after="20" w:before="20"/>
              <w:jc w:val="center"/>
            </w:pPr>
            <w:r/>
            <w:r>
              <w:rPr>
                <w:rFonts w:ascii="宋体" w:hAnsi="宋体" w:eastAsia="宋体"/>
                <w:sz w:val="21"/>
              </w:rPr>
              <w:t>2.66</w:t>
            </w:r>
          </w:p>
        </w:tc>
        <w:tc>
          <w:tcPr>
            <w:tcW w:type="dxa" w:w="1063"/>
            <w:vAlign w:val="center"/>
          </w:tcPr>
          <w:p>
            <w:pPr>
              <w:spacing w:line="240" w:lineRule="auto" w:after="20" w:before="20"/>
              <w:jc w:val="center"/>
            </w:pPr>
            <w:r/>
            <w:r>
              <w:rPr>
                <w:rFonts w:ascii="宋体" w:hAnsi="宋体" w:eastAsia="宋体"/>
                <w:sz w:val="21"/>
              </w:rPr>
              <w:t>0.38</w:t>
            </w:r>
          </w:p>
        </w:tc>
        <w:tc>
          <w:tcPr>
            <w:tcW w:type="dxa" w:w="1063"/>
            <w:vAlign w:val="center"/>
          </w:tcPr>
          <w:p>
            <w:pPr>
              <w:spacing w:line="240" w:lineRule="auto" w:after="20" w:before="20"/>
              <w:jc w:val="center"/>
            </w:pPr>
            <w:r/>
            <w:r>
              <w:rPr>
                <w:rFonts w:ascii="宋体" w:hAnsi="宋体" w:eastAsia="宋体"/>
                <w:sz w:val="21"/>
              </w:rPr>
              <w:t>0.19</w:t>
            </w:r>
          </w:p>
        </w:tc>
        <w:tc>
          <w:tcPr>
            <w:tcW w:type="dxa" w:w="1063"/>
            <w:vAlign w:val="center"/>
          </w:tcPr>
          <w:p>
            <w:pPr>
              <w:spacing w:line="240" w:lineRule="auto" w:after="20" w:before="20"/>
              <w:jc w:val="center"/>
            </w:pPr>
            <w:r/>
            <w:r>
              <w:rPr>
                <w:rFonts w:ascii="宋体" w:hAnsi="宋体" w:eastAsia="宋体"/>
                <w:sz w:val="21"/>
              </w:rPr>
              <w:t>0.04</w:t>
            </w:r>
          </w:p>
        </w:tc>
        <w:tc>
          <w:tcPr>
            <w:tcW w:type="dxa" w:w="1063"/>
            <w:vAlign w:val="center"/>
          </w:tcPr>
          <w:p>
            <w:pPr>
              <w:spacing w:line="240" w:lineRule="auto" w:after="20" w:before="20"/>
              <w:jc w:val="center"/>
            </w:pPr>
            <w:r/>
            <w:r>
              <w:rPr>
                <w:rFonts w:ascii="宋体" w:hAnsi="宋体" w:eastAsia="宋体"/>
                <w:sz w:val="21"/>
              </w:rPr>
              <w:t>2.13</w:t>
            </w:r>
          </w:p>
        </w:tc>
        <w:tc>
          <w:tcPr>
            <w:tcW w:type="dxa" w:w="1063"/>
            <w:vAlign w:val="center"/>
          </w:tcPr>
          <w:p>
            <w:pPr>
              <w:spacing w:line="240" w:lineRule="auto" w:after="20" w:before="20"/>
              <w:jc w:val="center"/>
            </w:pPr>
            <w:r/>
            <w:r>
              <w:rPr>
                <w:rFonts w:ascii="宋体" w:hAnsi="宋体" w:eastAsia="宋体"/>
                <w:sz w:val="21"/>
              </w:rPr>
              <w:t>0.7%</w:t>
            </w:r>
          </w:p>
        </w:tc>
      </w:tr>
      <w:tr>
        <w:tc>
          <w:tcPr>
            <w:tcW w:type="dxa" w:w="1063"/>
            <w:vAlign w:val="center"/>
          </w:tcPr>
          <w:p>
            <w:pPr>
              <w:spacing w:line="240" w:lineRule="auto" w:after="20" w:before="20"/>
              <w:jc w:val="center"/>
            </w:pPr>
            <w:r/>
            <w:r>
              <w:rPr>
                <w:rFonts w:ascii="宋体" w:hAnsi="宋体" w:eastAsia="宋体"/>
                <w:sz w:val="21"/>
              </w:rPr>
              <w:t>2024</w:t>
            </w:r>
          </w:p>
        </w:tc>
        <w:tc>
          <w:tcPr>
            <w:tcW w:type="dxa" w:w="1063"/>
            <w:vAlign w:val="center"/>
          </w:tcPr>
          <w:p>
            <w:pPr>
              <w:spacing w:line="240" w:lineRule="auto" w:after="20" w:before="20"/>
              <w:jc w:val="center"/>
            </w:pPr>
            <w:r/>
            <w:r>
              <w:rPr>
                <w:rFonts w:ascii="宋体" w:hAnsi="宋体" w:eastAsia="宋体"/>
                <w:sz w:val="21"/>
              </w:rPr>
              <w:t>5.0</w:t>
            </w:r>
          </w:p>
        </w:tc>
        <w:tc>
          <w:tcPr>
            <w:tcW w:type="dxa" w:w="1063"/>
            <w:vAlign w:val="center"/>
          </w:tcPr>
          <w:p>
            <w:pPr>
              <w:spacing w:line="240" w:lineRule="auto" w:after="20" w:before="20"/>
              <w:jc w:val="center"/>
            </w:pPr>
            <w:r/>
            <w:r>
              <w:rPr>
                <w:rFonts w:ascii="宋体" w:hAnsi="宋体" w:eastAsia="宋体"/>
                <w:sz w:val="21"/>
              </w:rPr>
              <w:t>2.44</w:t>
            </w:r>
          </w:p>
        </w:tc>
        <w:tc>
          <w:tcPr>
            <w:tcW w:type="dxa" w:w="1063"/>
            <w:vAlign w:val="center"/>
          </w:tcPr>
          <w:p>
            <w:pPr>
              <w:spacing w:line="240" w:lineRule="auto" w:after="20" w:before="20"/>
              <w:jc w:val="center"/>
            </w:pPr>
            <w:r/>
            <w:r>
              <w:rPr>
                <w:rFonts w:ascii="宋体" w:hAnsi="宋体" w:eastAsia="宋体"/>
                <w:sz w:val="21"/>
              </w:rPr>
              <w:t>0.31</w:t>
            </w:r>
          </w:p>
        </w:tc>
        <w:tc>
          <w:tcPr>
            <w:tcW w:type="dxa" w:w="1063"/>
            <w:vAlign w:val="center"/>
          </w:tcPr>
          <w:p>
            <w:pPr>
              <w:spacing w:line="240" w:lineRule="auto" w:after="20" w:before="20"/>
              <w:jc w:val="center"/>
            </w:pPr>
            <w:r/>
            <w:r>
              <w:rPr>
                <w:rFonts w:ascii="宋体" w:hAnsi="宋体" w:eastAsia="宋体"/>
                <w:sz w:val="21"/>
              </w:rPr>
              <w:t>0.24</w:t>
            </w:r>
          </w:p>
        </w:tc>
        <w:tc>
          <w:tcPr>
            <w:tcW w:type="dxa" w:w="1063"/>
            <w:vAlign w:val="center"/>
          </w:tcPr>
          <w:p>
            <w:pPr>
              <w:spacing w:line="240" w:lineRule="auto" w:after="20" w:before="20"/>
              <w:jc w:val="center"/>
            </w:pPr>
            <w:r/>
            <w:r>
              <w:rPr>
                <w:rFonts w:ascii="宋体" w:hAnsi="宋体" w:eastAsia="宋体"/>
                <w:sz w:val="21"/>
              </w:rPr>
              <w:t>0.06</w:t>
            </w:r>
          </w:p>
        </w:tc>
        <w:tc>
          <w:tcPr>
            <w:tcW w:type="dxa" w:w="1063"/>
            <w:vAlign w:val="center"/>
          </w:tcPr>
          <w:p>
            <w:pPr>
              <w:spacing w:line="240" w:lineRule="auto" w:after="20" w:before="20"/>
              <w:jc w:val="center"/>
            </w:pPr>
            <w:r/>
            <w:r>
              <w:rPr>
                <w:rFonts w:ascii="宋体" w:hAnsi="宋体" w:eastAsia="宋体"/>
                <w:sz w:val="21"/>
              </w:rPr>
              <w:t>1.95</w:t>
            </w:r>
          </w:p>
        </w:tc>
        <w:tc>
          <w:tcPr>
            <w:tcW w:type="dxa" w:w="1063"/>
            <w:vAlign w:val="center"/>
          </w:tcPr>
          <w:p>
            <w:pPr>
              <w:spacing w:line="240" w:lineRule="auto" w:after="20" w:before="20"/>
              <w:jc w:val="center"/>
            </w:pPr>
            <w:r/>
            <w:r>
              <w:rPr>
                <w:rFonts w:ascii="宋体" w:hAnsi="宋体" w:eastAsia="宋体"/>
                <w:sz w:val="21"/>
              </w:rPr>
              <w:t>1.2%</w:t>
            </w:r>
          </w:p>
        </w:tc>
      </w:tr>
      <w:tr>
        <w:tc>
          <w:tcPr>
            <w:tcW w:type="dxa" w:w="1063"/>
            <w:vAlign w:val="center"/>
          </w:tcPr>
          <w:p>
            <w:pPr>
              <w:spacing w:line="240" w:lineRule="auto" w:after="20" w:before="20"/>
              <w:jc w:val="center"/>
            </w:pPr>
            <w:r/>
            <w:r>
              <w:rPr>
                <w:rFonts w:ascii="宋体" w:hAnsi="宋体" w:eastAsia="宋体"/>
                <w:sz w:val="21"/>
              </w:rPr>
              <w:t>2025</w:t>
            </w:r>
          </w:p>
        </w:tc>
        <w:tc>
          <w:tcPr>
            <w:tcW w:type="dxa" w:w="1063"/>
            <w:vAlign w:val="center"/>
          </w:tcPr>
          <w:p>
            <w:pPr>
              <w:spacing w:line="240" w:lineRule="auto" w:after="20" w:before="20"/>
              <w:jc w:val="center"/>
            </w:pPr>
            <w:r/>
            <w:r>
              <w:rPr>
                <w:rFonts w:ascii="宋体" w:hAnsi="宋体" w:eastAsia="宋体"/>
                <w:sz w:val="21"/>
              </w:rPr>
              <w:t>5.1</w:t>
            </w:r>
          </w:p>
        </w:tc>
        <w:tc>
          <w:tcPr>
            <w:tcW w:type="dxa" w:w="1063"/>
            <w:vAlign w:val="center"/>
          </w:tcPr>
          <w:p>
            <w:pPr>
              <w:spacing w:line="240" w:lineRule="auto" w:after="20" w:before="20"/>
              <w:jc w:val="center"/>
            </w:pPr>
            <w:r/>
            <w:r>
              <w:rPr>
                <w:rFonts w:ascii="宋体" w:hAnsi="宋体" w:eastAsia="宋体"/>
                <w:sz w:val="21"/>
              </w:rPr>
              <w:t>2.36</w:t>
            </w:r>
          </w:p>
        </w:tc>
        <w:tc>
          <w:tcPr>
            <w:tcW w:type="dxa" w:w="1063"/>
            <w:vAlign w:val="center"/>
          </w:tcPr>
          <w:p>
            <w:pPr>
              <w:spacing w:line="240" w:lineRule="auto" w:after="20" w:before="20"/>
              <w:jc w:val="center"/>
            </w:pPr>
            <w:r/>
            <w:r>
              <w:rPr>
                <w:rFonts w:ascii="宋体" w:hAnsi="宋体" w:eastAsia="宋体"/>
                <w:sz w:val="21"/>
              </w:rPr>
              <w:t>0.28</w:t>
            </w:r>
          </w:p>
        </w:tc>
        <w:tc>
          <w:tcPr>
            <w:tcW w:type="dxa" w:w="1063"/>
            <w:vAlign w:val="center"/>
          </w:tcPr>
          <w:p>
            <w:pPr>
              <w:spacing w:line="240" w:lineRule="auto" w:after="20" w:before="20"/>
              <w:jc w:val="center"/>
            </w:pPr>
            <w:r/>
            <w:r>
              <w:rPr>
                <w:rFonts w:ascii="宋体" w:hAnsi="宋体" w:eastAsia="宋体"/>
                <w:sz w:val="21"/>
              </w:rPr>
              <w:t>0.31</w:t>
            </w:r>
          </w:p>
        </w:tc>
        <w:tc>
          <w:tcPr>
            <w:tcW w:type="dxa" w:w="1063"/>
            <w:vAlign w:val="center"/>
          </w:tcPr>
          <w:p>
            <w:pPr>
              <w:spacing w:line="240" w:lineRule="auto" w:after="20" w:before="20"/>
              <w:jc w:val="center"/>
            </w:pPr>
            <w:r/>
            <w:r>
              <w:rPr>
                <w:rFonts w:ascii="宋体" w:hAnsi="宋体" w:eastAsia="宋体"/>
                <w:sz w:val="21"/>
              </w:rPr>
              <w:t>0.18</w:t>
            </w:r>
          </w:p>
        </w:tc>
        <w:tc>
          <w:tcPr>
            <w:tcW w:type="dxa" w:w="1063"/>
            <w:vAlign w:val="center"/>
          </w:tcPr>
          <w:p>
            <w:pPr>
              <w:spacing w:line="240" w:lineRule="auto" w:after="20" w:before="20"/>
              <w:jc w:val="center"/>
            </w:pPr>
            <w:r/>
            <w:r>
              <w:rPr>
                <w:rFonts w:ascii="宋体" w:hAnsi="宋体" w:eastAsia="宋体"/>
                <w:sz w:val="21"/>
              </w:rPr>
              <w:t>1.97</w:t>
            </w:r>
          </w:p>
        </w:tc>
        <w:tc>
          <w:tcPr>
            <w:tcW w:type="dxa" w:w="1063"/>
            <w:vAlign w:val="center"/>
          </w:tcPr>
          <w:p>
            <w:pPr>
              <w:spacing w:line="240" w:lineRule="auto" w:after="20" w:before="20"/>
              <w:jc w:val="center"/>
            </w:pPr>
            <w:r/>
            <w:r>
              <w:rPr>
                <w:rFonts w:ascii="宋体" w:hAnsi="宋体" w:eastAsia="宋体"/>
                <w:sz w:val="21"/>
              </w:rPr>
              <w:t>3.5%</w:t>
            </w:r>
          </w:p>
        </w:tc>
      </w:tr>
      <w:tr>
        <w:tc>
          <w:tcPr>
            <w:tcW w:type="dxa" w:w="1063"/>
            <w:vAlign w:val="center"/>
          </w:tcPr>
          <w:p>
            <w:pPr>
              <w:spacing w:line="240" w:lineRule="auto" w:after="20" w:before="20"/>
              <w:jc w:val="center"/>
            </w:pPr>
            <w:r/>
            <w:r>
              <w:rPr>
                <w:rFonts w:ascii="宋体" w:hAnsi="宋体" w:eastAsia="宋体"/>
                <w:sz w:val="21"/>
              </w:rPr>
              <w:t>2026</w:t>
            </w:r>
          </w:p>
        </w:tc>
        <w:tc>
          <w:tcPr>
            <w:tcW w:type="dxa" w:w="1063"/>
            <w:vAlign w:val="center"/>
          </w:tcPr>
          <w:p>
            <w:pPr>
              <w:spacing w:line="240" w:lineRule="auto" w:after="20" w:before="20"/>
              <w:jc w:val="center"/>
            </w:pPr>
            <w:r/>
            <w:r>
              <w:rPr>
                <w:rFonts w:ascii="宋体" w:hAnsi="宋体" w:eastAsia="宋体"/>
                <w:sz w:val="21"/>
              </w:rPr>
              <w:t>5.0</w:t>
            </w:r>
          </w:p>
        </w:tc>
        <w:tc>
          <w:tcPr>
            <w:tcW w:type="dxa" w:w="1063"/>
            <w:vAlign w:val="center"/>
          </w:tcPr>
          <w:p>
            <w:pPr>
              <w:spacing w:line="240" w:lineRule="auto" w:after="20" w:before="20"/>
              <w:jc w:val="center"/>
            </w:pPr>
            <w:r/>
            <w:r>
              <w:rPr>
                <w:rFonts w:ascii="宋体" w:hAnsi="宋体" w:eastAsia="宋体"/>
                <w:sz w:val="21"/>
              </w:rPr>
              <w:t>2.22</w:t>
            </w:r>
          </w:p>
        </w:tc>
        <w:tc>
          <w:tcPr>
            <w:tcW w:type="dxa" w:w="1063"/>
            <w:vAlign w:val="center"/>
          </w:tcPr>
          <w:p>
            <w:pPr>
              <w:spacing w:line="240" w:lineRule="auto" w:after="20" w:before="20"/>
              <w:jc w:val="center"/>
            </w:pPr>
            <w:r/>
            <w:r>
              <w:rPr>
                <w:rFonts w:ascii="宋体" w:hAnsi="宋体" w:eastAsia="宋体"/>
                <w:sz w:val="21"/>
              </w:rPr>
              <w:t>0.24</w:t>
            </w:r>
          </w:p>
        </w:tc>
        <w:tc>
          <w:tcPr>
            <w:tcW w:type="dxa" w:w="1063"/>
            <w:vAlign w:val="center"/>
          </w:tcPr>
          <w:p>
            <w:pPr>
              <w:spacing w:line="240" w:lineRule="auto" w:after="20" w:before="20"/>
              <w:jc w:val="center"/>
            </w:pPr>
            <w:r/>
            <w:r>
              <w:rPr>
                <w:rFonts w:ascii="宋体" w:hAnsi="宋体" w:eastAsia="宋体"/>
                <w:sz w:val="21"/>
              </w:rPr>
              <w:t>0.38</w:t>
            </w:r>
          </w:p>
        </w:tc>
        <w:tc>
          <w:tcPr>
            <w:tcW w:type="dxa" w:w="1063"/>
            <w:vAlign w:val="center"/>
          </w:tcPr>
          <w:p>
            <w:pPr>
              <w:spacing w:line="240" w:lineRule="auto" w:after="20" w:before="20"/>
              <w:jc w:val="center"/>
            </w:pPr>
            <w:r/>
            <w:r>
              <w:rPr>
                <w:rFonts w:ascii="宋体" w:hAnsi="宋体" w:eastAsia="宋体"/>
                <w:sz w:val="21"/>
              </w:rPr>
              <w:t>0.34</w:t>
            </w:r>
          </w:p>
        </w:tc>
        <w:tc>
          <w:tcPr>
            <w:tcW w:type="dxa" w:w="1063"/>
            <w:vAlign w:val="center"/>
          </w:tcPr>
          <w:p>
            <w:pPr>
              <w:spacing w:line="240" w:lineRule="auto" w:after="20" w:before="20"/>
              <w:jc w:val="center"/>
            </w:pPr>
            <w:r/>
            <w:r>
              <w:rPr>
                <w:rFonts w:ascii="宋体" w:hAnsi="宋体" w:eastAsia="宋体"/>
                <w:sz w:val="21"/>
              </w:rPr>
              <w:t>1.82</w:t>
            </w:r>
          </w:p>
        </w:tc>
        <w:tc>
          <w:tcPr>
            <w:tcW w:type="dxa" w:w="1063"/>
            <w:vAlign w:val="center"/>
          </w:tcPr>
          <w:p>
            <w:pPr>
              <w:spacing w:line="240" w:lineRule="auto" w:after="20" w:before="20"/>
              <w:jc w:val="center"/>
            </w:pPr>
            <w:r/>
            <w:r>
              <w:rPr>
                <w:rFonts w:ascii="宋体" w:hAnsi="宋体" w:eastAsia="宋体"/>
                <w:sz w:val="21"/>
              </w:rPr>
              <w:t>6.8%</w:t>
            </w:r>
          </w:p>
        </w:tc>
      </w:tr>
    </w:tbl>
    <w:p>
      <w:pPr>
        <w:spacing w:after="200" w:line="240" w:lineRule="auto"/>
        <w:jc w:val="both"/>
      </w:pPr>
      <w:r>
        <w:rPr>
          <w:rFonts w:ascii="宋体" w:hAnsi="宋体" w:eastAsia="宋体"/>
          <w:sz w:val="18"/>
        </w:rPr>
        <w:t>注：实际增长率与各项贡献的单位为百分点，各年五项贡献之和等于当年实际增长率，尾差为四舍五入所致；词元贡献率为标准词元流量贡献占实际增长率的比重，即式(12-8)的</w:t>
      </w:r>
      <m:oMath>
        <m:sSub>
          <m:e>
            <m:r>
              <m:t>s</m:t>
            </m:r>
          </m:e>
          <m:sub>
            <m:r>
              <m:t>T</m:t>
            </m:r>
          </m:sub>
        </m:sSub>
      </m:oMath>
      <w:r>
        <w:rPr>
          <w:rFonts w:ascii="宋体" w:hAnsi="宋体" w:eastAsia="宋体"/>
          <w:sz w:val="18"/>
        </w:rPr>
        <w:t>；2026年为按前三季度进度年化的校准复算值。数据来源：作者基于城市—年度面板校准复算，词元流量总量锚定国家数据局公布的四个官方点位。</w:t>
      </w:r>
    </w:p>
    <w:p>
      <w:pPr>
        <w:spacing w:line="360" w:lineRule="auto" w:after="0"/>
        <w:ind w:firstLineChars="200" w:firstLine="480"/>
        <w:jc w:val="both"/>
      </w:pPr>
      <w:r>
        <w:rPr>
          <w:rFonts w:ascii="宋体" w:hAnsi="宋体" w:eastAsia="宋体"/>
          <w:sz w:val="24"/>
        </w:rPr>
        <w:t>表12.2呈现的是一条陡峭的上升轨迹。标准词元流量对产出增长的直接贡献由2022年的0.02个百分点升至2026年的0.34个百分点，五年扩大17倍、绝对增加0.32个百分点；词元贡献率由0.4%升至6.8%。把这条轨迹与其他要素并置观察，可以读出更完整的结构变化。资本贡献由2.71个百分点降至2.22个百分点，占实际增长率的比重由52.1%降至44.4%；劳动贡献由0.42降至0.24个百分点，反映人口结构变动的长期趋势；与此相对，数据与标准词元流量两项新要素的合计贡献由0.15个百分点升至0.72个百分点，占实际增长率的比重由2.9%升至14.4%。这一「旧要素退、新要素进」的结构切换，正是数字经济与智能经济相关文献所反复论证的增长动能转换在核算层面的直接呈现（蔡跃洲和陈楠，2019；陈彦斌等，2019；任英华等，2023）。</w:t>
      </w:r>
    </w:p>
    <w:p>
      <w:pPr>
        <w:spacing w:line="360" w:lineRule="auto" w:after="0"/>
        <w:ind w:firstLineChars="200" w:firstLine="480"/>
        <w:jc w:val="both"/>
      </w:pPr>
      <w:r>
        <w:rPr>
          <w:rFonts w:ascii="宋体" w:hAnsi="宋体" w:eastAsia="宋体"/>
          <w:sz w:val="24"/>
        </w:rPr>
        <w:t>贡献率的跃升还提供了一次有价值的内部一致性检验。由式(12-8)反解，2026年词元贡献0.34个百分点对应的标准词元流量增长率约为315%，2025年对应约167%。这一量级与国家数据局公布的官方序列相互吻合：2025年底日均调用量100万亿枚，2026年3月突破140万亿枚，三个月增长四成以上。需要说明的是，标准词元流量的增长率与物理调用量的增长率并不相等，二者之差恰为用量加权平均效值系数的变动率，即</w:t>
      </w:r>
      <m:oMath>
        <m:sSub>
          <m:e>
            <m:r>
              <m:t>g</m:t>
            </m:r>
          </m:e>
          <m:sub>
            <m:acc>
              <m:accPr>
                <m:chr m:val="̃"/>
              </m:accPr>
              <m:e>
                <m:r>
                  <m:t>T</m:t>
                </m:r>
              </m:e>
            </m:acc>
          </m:sub>
        </m:sSub>
        <m:r>
          <m:rPr>
            <m:sty m:val="p"/>
          </m:rPr>
          <m:t>=</m:t>
        </m:r>
        <m:sSub>
          <m:e>
            <m:r>
              <m:t>g</m:t>
            </m:r>
          </m:e>
          <m:sub>
            <m:r>
              <m:t>T</m:t>
            </m:r>
          </m:sub>
        </m:sSub>
        <m:r>
          <m:rPr>
            <m:sty m:val="p"/>
          </m:rPr>
          <m:t>+</m:t>
        </m:r>
        <m:sSub>
          <m:e>
            <m:r>
              <m:t>g</m:t>
            </m:r>
          </m:e>
          <m:sub>
            <m:acc>
              <m:accPr>
                <m:chr m:val="‾"/>
              </m:accPr>
              <m:e>
                <m:r>
                  <m:t>η</m:t>
                </m:r>
              </m:e>
            </m:acc>
          </m:sub>
        </m:sSub>
      </m:oMath>
      <w:r>
        <w:rPr>
          <w:rFonts w:ascii="宋体" w:hAnsi="宋体" w:eastAsia="宋体"/>
          <w:sz w:val="24"/>
        </w:rPr>
        <w:t>。在样本期内，高效值档位的用量占比上升与低价轻量档位的普及同时发生，两股力量部分抵消，使平均效值的变动幅度小于调用量本身的变动幅度。这一恒等式也提示了一个政策观测点：若某一时期调用量高速增长而标准词元流量增长明显滞后，说明用量扩张主要来自低效值档位的替代，其增长含金量应当被打折看待。各要素贡献的完整结构如图12.3所示。</w:t>
      </w:r>
    </w:p>
    <w:p>
      <w:pPr>
        <w:spacing w:before="120" w:after="40"/>
        <w:jc w:val="center"/>
      </w:pPr>
      <w:r>
        <w:drawing>
          <wp:inline xmlns:a="http://schemas.openxmlformats.org/drawingml/2006/main" xmlns:pic="http://schemas.openxmlformats.org/drawingml/2006/picture">
            <wp:extent cx="4860000" cy="2905306"/>
            <wp:docPr id="40" name="Picture 40"/>
            <wp:cNvGraphicFramePr>
              <a:graphicFrameLocks noChangeAspect="1"/>
            </wp:cNvGraphicFramePr>
            <a:graphic>
              <a:graphicData uri="http://schemas.openxmlformats.org/drawingml/2006/picture">
                <pic:pic>
                  <pic:nvPicPr>
                    <pic:cNvPr id="0" name="fig12_3.png"/>
                    <pic:cNvPicPr/>
                  </pic:nvPicPr>
                  <pic:blipFill>
                    <a:blip r:embed="rId48"/>
                    <a:stretch>
                      <a:fillRect/>
                    </a:stretch>
                  </pic:blipFill>
                  <pic:spPr>
                    <a:xfrm>
                      <a:off x="0" y="0"/>
                      <a:ext cx="4860000" cy="2905306"/>
                    </a:xfrm>
                    <a:prstGeom prst="rect"/>
                  </pic:spPr>
                </pic:pic>
              </a:graphicData>
            </a:graphic>
          </wp:inline>
        </w:drawing>
      </w:r>
    </w:p>
    <w:p>
      <w:pPr>
        <w:keepNext w:val="0"/>
        <w:spacing w:after="40"/>
        <w:jc w:val="center"/>
      </w:pPr>
      <w:r>
        <w:rPr>
          <w:rFonts w:ascii="黑体" w:hAnsi="黑体" w:eastAsia="黑体"/>
          <w:sz w:val="21"/>
        </w:rPr>
        <w:t>图12.3  词元流量对产出增长的贡献分解（2022—2026年）</w:t>
      </w:r>
    </w:p>
    <w:p>
      <w:pPr>
        <w:spacing w:after="200" w:line="240" w:lineRule="auto"/>
        <w:jc w:val="both"/>
      </w:pPr>
      <w:r>
        <w:rPr>
          <w:rFonts w:ascii="宋体" w:hAnsi="宋体" w:eastAsia="宋体"/>
          <w:sz w:val="18"/>
        </w:rPr>
        <w:t>注：左轴为各要素对产出增长率的贡献（百分点），柱顶标注为当年实际增长率；右轴折线为标准词元流量贡献占实际增长率的比重。数据来源：同表12.2。</w:t>
      </w:r>
    </w:p>
    <w:p>
      <w:pPr>
        <w:spacing w:line="360" w:lineRule="auto" w:after="0"/>
        <w:ind w:firstLineChars="200" w:firstLine="480"/>
        <w:jc w:val="both"/>
      </w:pPr>
      <w:r>
        <w:rPr>
          <w:rFonts w:ascii="宋体" w:hAnsi="宋体" w:eastAsia="宋体"/>
          <w:sz w:val="24"/>
        </w:rPr>
        <w:t>图12.3的堆叠结构清晰显示了三个层次的变化。最下层的资本贡献带逐年变薄，劳动贡献带持续收窄，二者共同构成传统动能的收缩；中间的数据贡献带与标准词元贡献带逐年增厚，且后者的加速明显快于前者，2025年之后成为增量最快的一层；最上层的全要素生产率残差带则保持相对稳定，并未因新要素的引入而出现结构性变化——这一点尤其重要，它说明词元变量所吸收的并非残差的全部，而只是其中可由过程量解释的那一部分。右轴折线的形状则揭示了本章最核心的定量事实：词元贡献率从2022年的0.4%起步，2024年仍仅1.2%，2025年跃至3.5%，2026年达到6.8%。曲线在2024至2025年间的斜率突变，与调用量在同期由日均个位数万亿枚跃升至百万亿枚量级的时点高度对应（其间各季度点位系校准复算插值，官方未单独发布），说明贡献率的跃升并非估计伪像，而是使用强度真实扩张的核算映射。</w:t>
      </w:r>
    </w:p>
    <w:p>
      <w:pPr>
        <w:keepNext/>
        <w:spacing w:before="160" w:after="120" w:line="360" w:lineRule="auto"/>
        <w:outlineLvl w:val="1"/>
      </w:pPr>
      <w:r>
        <w:rPr>
          <w:rFonts w:ascii="黑体" w:hAnsi="黑体" w:eastAsia="黑体"/>
          <w:sz w:val="28"/>
        </w:rPr>
        <w:t>12.6  与资本服务测度传统的对话与稳健性</w:t>
      </w:r>
    </w:p>
    <w:p>
      <w:pPr>
        <w:keepNext/>
        <w:spacing w:before="160" w:after="120" w:line="360" w:lineRule="auto"/>
        <w:outlineLvl w:val="2"/>
      </w:pPr>
      <w:r>
        <w:rPr>
          <w:rFonts w:ascii="黑体" w:hAnsi="黑体" w:eastAsia="黑体"/>
          <w:sz w:val="24"/>
        </w:rPr>
        <w:t>12.6.1  四种核算传统的比较与本书的定位</w:t>
      </w:r>
    </w:p>
    <w:p>
      <w:pPr>
        <w:spacing w:line="360" w:lineRule="auto" w:after="0"/>
        <w:ind w:firstLineChars="200" w:firstLine="480"/>
        <w:jc w:val="both"/>
      </w:pPr>
      <w:r>
        <w:rPr>
          <w:rFonts w:ascii="宋体" w:hAnsi="宋体" w:eastAsia="宋体"/>
          <w:sz w:val="24"/>
        </w:rPr>
        <w:t>本章的方法论并非无源之水。把增长核算史上四次重要的口径扩展并置比较，可以清楚地看到本书工作在其中的位置，如表12.3所示。</w:t>
      </w:r>
    </w:p>
    <w:p>
      <w:pPr>
        <w:keepNext/>
        <w:spacing w:before="160" w:after="40"/>
        <w:jc w:val="center"/>
      </w:pPr>
      <w:r>
        <w:rPr>
          <w:rFonts w:ascii="黑体" w:hAnsi="黑体" w:eastAsia="黑体"/>
          <w:sz w:val="21"/>
        </w:rPr>
        <w:t>表12.3  四种增长核算传统的比较与本书的定位</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核算传统</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被显性化的遗漏</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关键可观测变量与权重</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残差含义的变化</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主要局限</w:t>
            </w:r>
          </w:p>
        </w:tc>
      </w:tr>
      <w:tr>
        <w:tc>
          <w:tcPr>
            <w:tcW w:type="dxa" w:w="1701"/>
            <w:vAlign w:val="center"/>
          </w:tcPr>
          <w:p>
            <w:pPr>
              <w:spacing w:line="240" w:lineRule="auto" w:after="20" w:before="20"/>
              <w:jc w:val="left"/>
            </w:pPr>
            <w:r/>
            <w:r>
              <w:rPr>
                <w:rFonts w:ascii="宋体" w:hAnsi="宋体" w:eastAsia="宋体"/>
                <w:sz w:val="21"/>
              </w:rPr>
              <w:t>索洛残差核算</w:t>
            </w:r>
          </w:p>
        </w:tc>
        <w:tc>
          <w:tcPr>
            <w:tcW w:type="dxa" w:w="1701"/>
            <w:vAlign w:val="center"/>
          </w:tcPr>
          <w:p>
            <w:pPr>
              <w:spacing w:line="240" w:lineRule="auto" w:after="20" w:before="20"/>
              <w:jc w:val="left"/>
            </w:pPr>
            <w:r/>
            <w:r>
              <w:rPr>
                <w:rFonts w:ascii="宋体" w:hAnsi="宋体" w:eastAsia="宋体"/>
                <w:sz w:val="21"/>
              </w:rPr>
              <w:t>无（残差为技术进步的代理）</w:t>
            </w:r>
          </w:p>
        </w:tc>
        <w:tc>
          <w:tcPr>
            <w:tcW w:type="dxa" w:w="1701"/>
            <w:vAlign w:val="center"/>
          </w:tcPr>
          <w:p>
            <w:pPr>
              <w:spacing w:line="240" w:lineRule="auto" w:after="20" w:before="20"/>
              <w:jc w:val="left"/>
            </w:pPr>
            <w:r/>
            <w:r>
              <w:rPr>
                <w:rFonts w:ascii="宋体" w:hAnsi="宋体" w:eastAsia="宋体"/>
                <w:sz w:val="21"/>
              </w:rPr>
              <w:t>资本存量、劳动人数；要素收入份额为权重</w:t>
            </w:r>
          </w:p>
        </w:tc>
        <w:tc>
          <w:tcPr>
            <w:tcW w:type="dxa" w:w="1701"/>
            <w:vAlign w:val="center"/>
          </w:tcPr>
          <w:p>
            <w:pPr>
              <w:spacing w:line="240" w:lineRule="auto" w:after="20" w:before="20"/>
              <w:jc w:val="left"/>
            </w:pPr>
            <w:r/>
            <w:r>
              <w:rPr>
                <w:rFonts w:ascii="宋体" w:hAnsi="宋体" w:eastAsia="宋体"/>
                <w:sz w:val="21"/>
              </w:rPr>
              <w:t>残差＝技术进步＋一切未观测因素</w:t>
            </w:r>
          </w:p>
        </w:tc>
        <w:tc>
          <w:tcPr>
            <w:tcW w:type="dxa" w:w="1701"/>
            <w:vAlign w:val="center"/>
          </w:tcPr>
          <w:p>
            <w:pPr>
              <w:spacing w:line="240" w:lineRule="auto" w:after="20" w:before="20"/>
              <w:jc w:val="left"/>
            </w:pPr>
            <w:r/>
            <w:r>
              <w:rPr>
                <w:rFonts w:ascii="宋体" w:hAnsi="宋体" w:eastAsia="宋体"/>
                <w:sz w:val="21"/>
              </w:rPr>
              <w:t>残差含义含混，不可归因、不可考核</w:t>
            </w:r>
          </w:p>
        </w:tc>
      </w:tr>
      <w:tr>
        <w:tc>
          <w:tcPr>
            <w:tcW w:type="dxa" w:w="1701"/>
            <w:vAlign w:val="center"/>
          </w:tcPr>
          <w:p>
            <w:pPr>
              <w:spacing w:line="240" w:lineRule="auto" w:after="20" w:before="20"/>
              <w:jc w:val="left"/>
            </w:pPr>
            <w:r/>
            <w:r>
              <w:rPr>
                <w:rFonts w:ascii="宋体" w:hAnsi="宋体" w:eastAsia="宋体"/>
                <w:sz w:val="21"/>
              </w:rPr>
              <w:t>乔根森资本服务核算</w:t>
            </w:r>
          </w:p>
        </w:tc>
        <w:tc>
          <w:tcPr>
            <w:tcW w:type="dxa" w:w="1701"/>
            <w:vAlign w:val="center"/>
          </w:tcPr>
          <w:p>
            <w:pPr>
              <w:spacing w:line="240" w:lineRule="auto" w:after="20" w:before="20"/>
              <w:jc w:val="left"/>
            </w:pPr>
            <w:r/>
            <w:r>
              <w:rPr>
                <w:rFonts w:ascii="宋体" w:hAnsi="宋体" w:eastAsia="宋体"/>
                <w:sz w:val="21"/>
              </w:rPr>
              <w:t>资本的质量异质性与使用强度</w:t>
            </w:r>
          </w:p>
        </w:tc>
        <w:tc>
          <w:tcPr>
            <w:tcW w:type="dxa" w:w="1701"/>
            <w:vAlign w:val="center"/>
          </w:tcPr>
          <w:p>
            <w:pPr>
              <w:spacing w:line="240" w:lineRule="auto" w:after="20" w:before="20"/>
              <w:jc w:val="left"/>
            </w:pPr>
            <w:r/>
            <w:r>
              <w:rPr>
                <w:rFonts w:ascii="宋体" w:hAnsi="宋体" w:eastAsia="宋体"/>
                <w:sz w:val="21"/>
              </w:rPr>
              <w:t>分资产类别的资本服务流；使用者成本为权重</w:t>
            </w:r>
          </w:p>
        </w:tc>
        <w:tc>
          <w:tcPr>
            <w:tcW w:type="dxa" w:w="1701"/>
            <w:vAlign w:val="center"/>
          </w:tcPr>
          <w:p>
            <w:pPr>
              <w:spacing w:line="240" w:lineRule="auto" w:after="20" w:before="20"/>
              <w:jc w:val="left"/>
            </w:pPr>
            <w:r/>
            <w:r>
              <w:rPr>
                <w:rFonts w:ascii="宋体" w:hAnsi="宋体" w:eastAsia="宋体"/>
                <w:sz w:val="21"/>
              </w:rPr>
              <w:t>残差缩小，资本贡献显性化</w:t>
            </w:r>
          </w:p>
        </w:tc>
        <w:tc>
          <w:tcPr>
            <w:tcW w:type="dxa" w:w="1701"/>
            <w:vAlign w:val="center"/>
          </w:tcPr>
          <w:p>
            <w:pPr>
              <w:spacing w:line="240" w:lineRule="auto" w:after="20" w:before="20"/>
              <w:jc w:val="left"/>
            </w:pPr>
            <w:r/>
            <w:r>
              <w:rPr>
                <w:rFonts w:ascii="宋体" w:hAnsi="宋体" w:eastAsia="宋体"/>
                <w:sz w:val="21"/>
              </w:rPr>
              <w:t>依赖资产市场租金率，服务流不可直接观测</w:t>
            </w:r>
          </w:p>
        </w:tc>
      </w:tr>
      <w:tr>
        <w:tc>
          <w:tcPr>
            <w:tcW w:type="dxa" w:w="1701"/>
            <w:vAlign w:val="center"/>
          </w:tcPr>
          <w:p>
            <w:pPr>
              <w:spacing w:line="240" w:lineRule="auto" w:after="20" w:before="20"/>
              <w:jc w:val="left"/>
            </w:pPr>
            <w:r/>
            <w:r>
              <w:rPr>
                <w:rFonts w:ascii="宋体" w:hAnsi="宋体" w:eastAsia="宋体"/>
                <w:sz w:val="21"/>
              </w:rPr>
              <w:t>无形资产资本化核算</w:t>
            </w:r>
          </w:p>
        </w:tc>
        <w:tc>
          <w:tcPr>
            <w:tcW w:type="dxa" w:w="1701"/>
            <w:vAlign w:val="center"/>
          </w:tcPr>
          <w:p>
            <w:pPr>
              <w:spacing w:line="240" w:lineRule="auto" w:after="20" w:before="20"/>
              <w:jc w:val="left"/>
            </w:pPr>
            <w:r/>
            <w:r>
              <w:rPr>
                <w:rFonts w:ascii="宋体" w:hAnsi="宋体" w:eastAsia="宋体"/>
                <w:sz w:val="21"/>
              </w:rPr>
              <w:t>研发、软件与组织资本等无形投入</w:t>
            </w:r>
          </w:p>
        </w:tc>
        <w:tc>
          <w:tcPr>
            <w:tcW w:type="dxa" w:w="1701"/>
            <w:vAlign w:val="center"/>
          </w:tcPr>
          <w:p>
            <w:pPr>
              <w:spacing w:line="240" w:lineRule="auto" w:after="20" w:before="20"/>
              <w:jc w:val="left"/>
            </w:pPr>
            <w:r/>
            <w:r>
              <w:rPr>
                <w:rFonts w:ascii="宋体" w:hAnsi="宋体" w:eastAsia="宋体"/>
                <w:sz w:val="21"/>
              </w:rPr>
              <w:t>无形投资支出；折旧率与资本化率为参数</w:t>
            </w:r>
          </w:p>
        </w:tc>
        <w:tc>
          <w:tcPr>
            <w:tcW w:type="dxa" w:w="1701"/>
            <w:vAlign w:val="center"/>
          </w:tcPr>
          <w:p>
            <w:pPr>
              <w:spacing w:line="240" w:lineRule="auto" w:after="20" w:before="20"/>
              <w:jc w:val="left"/>
            </w:pPr>
            <w:r/>
            <w:r>
              <w:rPr>
                <w:rFonts w:ascii="宋体" w:hAnsi="宋体" w:eastAsia="宋体"/>
                <w:sz w:val="21"/>
              </w:rPr>
              <w:t>残差进一步缩小，J曲线的下沉段得到解释</w:t>
            </w:r>
          </w:p>
        </w:tc>
        <w:tc>
          <w:tcPr>
            <w:tcW w:type="dxa" w:w="1701"/>
            <w:vAlign w:val="center"/>
          </w:tcPr>
          <w:p>
            <w:pPr>
              <w:spacing w:line="240" w:lineRule="auto" w:after="20" w:before="20"/>
              <w:jc w:val="left"/>
            </w:pPr>
            <w:r/>
            <w:r>
              <w:rPr>
                <w:rFonts w:ascii="宋体" w:hAnsi="宋体" w:eastAsia="宋体"/>
                <w:sz w:val="21"/>
              </w:rPr>
              <w:t>互补性组织投资难以从费用中剥离，参数敏感</w:t>
            </w:r>
          </w:p>
        </w:tc>
      </w:tr>
      <w:tr>
        <w:tc>
          <w:tcPr>
            <w:tcW w:type="dxa" w:w="1701"/>
            <w:vAlign w:val="center"/>
          </w:tcPr>
          <w:p>
            <w:pPr>
              <w:spacing w:line="240" w:lineRule="auto" w:after="20" w:before="20"/>
              <w:jc w:val="left"/>
            </w:pPr>
            <w:r/>
            <w:r>
              <w:rPr>
                <w:rFonts w:ascii="宋体" w:hAnsi="宋体" w:eastAsia="宋体"/>
                <w:sz w:val="21"/>
              </w:rPr>
              <w:t>数据要素与数字经济卫星账户</w:t>
            </w:r>
          </w:p>
        </w:tc>
        <w:tc>
          <w:tcPr>
            <w:tcW w:type="dxa" w:w="1701"/>
            <w:vAlign w:val="center"/>
          </w:tcPr>
          <w:p>
            <w:pPr>
              <w:spacing w:line="240" w:lineRule="auto" w:after="20" w:before="20"/>
              <w:jc w:val="left"/>
            </w:pPr>
            <w:r/>
            <w:r>
              <w:rPr>
                <w:rFonts w:ascii="宋体" w:hAnsi="宋体" w:eastAsia="宋体"/>
                <w:sz w:val="21"/>
              </w:rPr>
              <w:t>数据资源的生产、流通与使用</w:t>
            </w:r>
          </w:p>
        </w:tc>
        <w:tc>
          <w:tcPr>
            <w:tcW w:type="dxa" w:w="1701"/>
            <w:vAlign w:val="center"/>
          </w:tcPr>
          <w:p>
            <w:pPr>
              <w:spacing w:line="240" w:lineRule="auto" w:after="20" w:before="20"/>
              <w:jc w:val="left"/>
            </w:pPr>
            <w:r/>
            <w:r>
              <w:rPr>
                <w:rFonts w:ascii="宋体" w:hAnsi="宋体" w:eastAsia="宋体"/>
                <w:sz w:val="21"/>
              </w:rPr>
              <w:t>数据生产量、存储量与交易额；成本法或收益法估值</w:t>
            </w:r>
          </w:p>
        </w:tc>
        <w:tc>
          <w:tcPr>
            <w:tcW w:type="dxa" w:w="1701"/>
            <w:vAlign w:val="center"/>
          </w:tcPr>
          <w:p>
            <w:pPr>
              <w:spacing w:line="240" w:lineRule="auto" w:after="20" w:before="20"/>
              <w:jc w:val="left"/>
            </w:pPr>
            <w:r/>
            <w:r>
              <w:rPr>
                <w:rFonts w:ascii="宋体" w:hAnsi="宋体" w:eastAsia="宋体"/>
                <w:sz w:val="21"/>
              </w:rPr>
              <w:t>残差中的数字化部分被部分归因</w:t>
            </w:r>
          </w:p>
        </w:tc>
        <w:tc>
          <w:tcPr>
            <w:tcW w:type="dxa" w:w="1701"/>
            <w:vAlign w:val="center"/>
          </w:tcPr>
          <w:p>
            <w:pPr>
              <w:spacing w:line="240" w:lineRule="auto" w:after="20" w:before="20"/>
              <w:jc w:val="left"/>
            </w:pPr>
            <w:r/>
            <w:r>
              <w:rPr>
                <w:rFonts w:ascii="宋体" w:hAnsi="宋体" w:eastAsia="宋体"/>
                <w:sz w:val="21"/>
              </w:rPr>
              <w:t>缺统一计量单位、缺市场价格、权属难界定</w:t>
            </w:r>
          </w:p>
        </w:tc>
      </w:tr>
      <w:tr>
        <w:tc>
          <w:tcPr>
            <w:tcW w:type="dxa" w:w="1701"/>
            <w:vAlign w:val="center"/>
          </w:tcPr>
          <w:p>
            <w:pPr>
              <w:spacing w:line="240" w:lineRule="auto" w:after="20" w:before="20"/>
              <w:jc w:val="left"/>
            </w:pPr>
            <w:r/>
            <w:r>
              <w:rPr>
                <w:rFonts w:ascii="宋体" w:hAnsi="宋体" w:eastAsia="宋体"/>
                <w:sz w:val="21"/>
              </w:rPr>
              <w:t>本书标准词元核算</w:t>
            </w:r>
          </w:p>
        </w:tc>
        <w:tc>
          <w:tcPr>
            <w:tcW w:type="dxa" w:w="1701"/>
            <w:vAlign w:val="center"/>
          </w:tcPr>
          <w:p>
            <w:pPr>
              <w:spacing w:line="240" w:lineRule="auto" w:after="20" w:before="20"/>
              <w:jc w:val="left"/>
            </w:pPr>
            <w:r/>
            <w:r>
              <w:rPr>
                <w:rFonts w:ascii="宋体" w:hAnsi="宋体" w:eastAsia="宋体"/>
                <w:sz w:val="21"/>
              </w:rPr>
              <w:t>认知服务的实际使用强度</w:t>
            </w:r>
          </w:p>
        </w:tc>
        <w:tc>
          <w:tcPr>
            <w:tcW w:type="dxa" w:w="1701"/>
            <w:vAlign w:val="center"/>
          </w:tcPr>
          <w:p>
            <w:pPr>
              <w:spacing w:line="240" w:lineRule="auto" w:after="20" w:before="20"/>
              <w:jc w:val="left"/>
            </w:pPr>
            <w:r/>
            <w:r>
              <w:rPr>
                <w:rFonts w:ascii="宋体" w:hAnsi="宋体" w:eastAsia="宋体"/>
                <w:sz w:val="21"/>
              </w:rPr>
              <w:t>标准词元流量；效值系数折算、标准词元价格指数平减</w:t>
            </w:r>
          </w:p>
        </w:tc>
        <w:tc>
          <w:tcPr>
            <w:tcW w:type="dxa" w:w="1701"/>
            <w:vAlign w:val="center"/>
          </w:tcPr>
          <w:p>
            <w:pPr>
              <w:spacing w:line="240" w:lineRule="auto" w:after="20" w:before="20"/>
              <w:jc w:val="left"/>
            </w:pPr>
            <w:r/>
            <w:r>
              <w:rPr>
                <w:rFonts w:ascii="宋体" w:hAnsi="宋体" w:eastAsia="宋体"/>
                <w:sz w:val="21"/>
              </w:rPr>
              <w:t>人工智能贡献由残差中显性分离，残差再缩小</w:t>
            </w:r>
          </w:p>
        </w:tc>
        <w:tc>
          <w:tcPr>
            <w:tcW w:type="dxa" w:w="1701"/>
            <w:vAlign w:val="center"/>
          </w:tcPr>
          <w:p>
            <w:pPr>
              <w:spacing w:line="240" w:lineRule="auto" w:after="20" w:before="20"/>
              <w:jc w:val="left"/>
            </w:pPr>
            <w:r/>
            <w:r>
              <w:rPr>
                <w:rFonts w:ascii="宋体" w:hAnsi="宋体" w:eastAsia="宋体"/>
                <w:sz w:val="21"/>
              </w:rPr>
              <w:t>档位结构须近似、样本期短、滞后效应未识别</w:t>
            </w:r>
          </w:p>
        </w:tc>
      </w:tr>
    </w:tbl>
    <w:p>
      <w:pPr>
        <w:spacing w:after="200" w:line="240" w:lineRule="auto"/>
        <w:jc w:val="both"/>
      </w:pPr>
      <w:r>
        <w:rPr>
          <w:rFonts w:ascii="宋体" w:hAnsi="宋体" w:eastAsia="宋体"/>
          <w:sz w:val="18"/>
        </w:rPr>
        <w:t>注：资料来源为作者据增长核算与数据要素核算相关文献整理，其中数据要素与卫星账户一行综合了数字经济增加值测算、数字化转型统计创新与卫星账户编制方案的既有工作（杨仲山和张美慧，2019；许宪春等，2021；蔡跃洲和牛新星，2021），无形资产资本化一行的机制表述参照生产率J曲线框架（Brynjolfsson等，2021）。</w:t>
      </w:r>
    </w:p>
    <w:p>
      <w:pPr>
        <w:spacing w:line="360" w:lineRule="auto" w:after="0"/>
        <w:ind w:firstLineChars="200" w:firstLine="480"/>
        <w:jc w:val="both"/>
      </w:pPr>
      <w:r>
        <w:rPr>
          <w:rFonts w:ascii="宋体" w:hAnsi="宋体" w:eastAsia="宋体"/>
          <w:sz w:val="24"/>
        </w:rPr>
        <w:t>表12.3揭示出一条贯穿百年的方法论主线：每一次核算进步，都是把某类此前只能沉入残差的贡献，通过发现合适的可观测变量与合适的权重，归还给一项具体的投入。乔根森传统解决的是「资本的质与量如何区分」，其关键在于使用者成本提供了加总异质资产的价格权重；无形资产资本化解决的是「费用与投资如何区分」；数据要素核算试图解决「信息资源如何入账」，但受阻于计量单位、价格与权属三重困难。本书的工作与乔根森传统在方法论上最为同构：资本服务的加总需要使用者成本作为权重，标准词元的加总需要效值系数作为权重；前者把不同资产折算为同质的资本服务流，后者把不同模型、不同任务的词元折算为同质的标准词元流。二者的差别在于，资本服务的权重可由资产市场的租金率间接推断，而词元服务缺乏成熟的租赁市场，其权重必须由公理化的折算函数构造——这正是第5章全部工作的意义所在。就这一点而言，本书对既有传统的推进不在于提出了新的核算恒等式，而在于为一类此前无法加总的新型投入构造了可用的加总权重。</w:t>
      </w:r>
    </w:p>
    <w:p>
      <w:pPr>
        <w:keepNext/>
        <w:spacing w:before="160" w:after="120" w:line="360" w:lineRule="auto"/>
        <w:outlineLvl w:val="2"/>
      </w:pPr>
      <w:r>
        <w:rPr>
          <w:rFonts w:ascii="黑体" w:hAnsi="黑体" w:eastAsia="黑体"/>
          <w:sz w:val="24"/>
        </w:rPr>
        <w:t>12.6.2  残差纠偏的量级与区域异质性</w:t>
      </w:r>
    </w:p>
    <w:p>
      <w:pPr>
        <w:spacing w:line="360" w:lineRule="auto" w:after="0"/>
        <w:ind w:firstLineChars="200" w:firstLine="480"/>
        <w:jc w:val="both"/>
      </w:pPr>
      <w:r>
        <w:rPr>
          <w:rFonts w:ascii="宋体" w:hAnsi="宋体" w:eastAsia="宋体"/>
          <w:sz w:val="24"/>
        </w:rPr>
        <w:t>本书框架相对传统核算的净效果，集中体现在残差的纠偏上。将同一样本分别按传统两要素口径与本书四要素口径核算，结果如图12.4所示。</w:t>
      </w:r>
    </w:p>
    <w:p>
      <w:pPr>
        <w:spacing w:before="120" w:after="40"/>
        <w:jc w:val="center"/>
      </w:pPr>
      <w:r>
        <w:drawing>
          <wp:inline xmlns:a="http://schemas.openxmlformats.org/drawingml/2006/main" xmlns:pic="http://schemas.openxmlformats.org/drawingml/2006/picture">
            <wp:extent cx="5040000" cy="2275058"/>
            <wp:docPr id="41" name="Picture 41"/>
            <wp:cNvGraphicFramePr>
              <a:graphicFrameLocks noChangeAspect="1"/>
            </wp:cNvGraphicFramePr>
            <a:graphic>
              <a:graphicData uri="http://schemas.openxmlformats.org/drawingml/2006/picture">
                <pic:pic>
                  <pic:nvPicPr>
                    <pic:cNvPr id="0" name="fig12_4.png"/>
                    <pic:cNvPicPr/>
                  </pic:nvPicPr>
                  <pic:blipFill>
                    <a:blip r:embed="rId49"/>
                    <a:stretch>
                      <a:fillRect/>
                    </a:stretch>
                  </pic:blipFill>
                  <pic:spPr>
                    <a:xfrm>
                      <a:off x="0" y="0"/>
                      <a:ext cx="5040000" cy="2275058"/>
                    </a:xfrm>
                    <a:prstGeom prst="rect"/>
                  </pic:spPr>
                </pic:pic>
              </a:graphicData>
            </a:graphic>
          </wp:inline>
        </w:drawing>
      </w:r>
    </w:p>
    <w:p>
      <w:pPr>
        <w:keepNext w:val="0"/>
        <w:spacing w:after="40"/>
        <w:jc w:val="center"/>
      </w:pPr>
      <w:r>
        <w:rPr>
          <w:rFonts w:ascii="黑体" w:hAnsi="黑体" w:eastAsia="黑体"/>
          <w:sz w:val="21"/>
        </w:rPr>
        <w:t>图12.4  引入词元前后全要素生产率残差的对照</w:t>
      </w:r>
    </w:p>
    <w:p>
      <w:pPr>
        <w:spacing w:after="200" w:line="240" w:lineRule="auto"/>
        <w:jc w:val="both"/>
      </w:pPr>
      <w:r>
        <w:rPr>
          <w:rFonts w:ascii="宋体" w:hAnsi="宋体" w:eastAsia="宋体"/>
          <w:sz w:val="18"/>
        </w:rPr>
        <w:t>注：(a) 两根柱分别为遗漏与纳入标准词元流量两种设定下2022—2026年的年均全要素生产率增长率；(b) 为2026年分区域标准词元流量对产出增长的贡献率。数据来源：作者基于城市—年度面板校准复算。</w:t>
      </w:r>
    </w:p>
    <w:p>
      <w:pPr>
        <w:spacing w:line="360" w:lineRule="auto" w:after="0"/>
        <w:ind w:firstLineChars="200" w:firstLine="480"/>
        <w:jc w:val="both"/>
      </w:pPr>
      <w:r>
        <w:rPr>
          <w:rFonts w:ascii="宋体" w:hAnsi="宋体" w:eastAsia="宋体"/>
          <w:sz w:val="24"/>
        </w:rPr>
        <w:t>图12.4(a)显示，不引入词元变量时全要素生产率残差为2.41%，引入后降至2.12%，残差高估0.29个百分点，相对高估幅度达13.7%。这一数值的解读需要两点谨慎。其一，0.29个百分点并不等于各年词元直接贡献的简单平均，因为遗漏还会通过式(12-2)的后两项污染资本与劳动的弹性估计，纠偏效果包含了这部分间接影响。其二，残差的缩小不应被理解为「技术进步变慢了」，而应理解为「我们对增长来源的无知减少了」——原本被记作无法解释的每年0.29个百分点，现在有了明确的归属对象、可观测的载体与可追溯的凭据。按本章的推断，随着词元流量继续扩张，若核算口径不作调整，这一高估幅度还将逐年扩大，传统口径的全要素生产率将越来越成为一个被人工智能使用强度所污染的指标。</w:t>
      </w:r>
    </w:p>
    <w:p>
      <w:pPr>
        <w:spacing w:line="360" w:lineRule="auto" w:after="0"/>
        <w:ind w:firstLineChars="200" w:firstLine="480"/>
        <w:jc w:val="both"/>
      </w:pPr>
      <w:r>
        <w:rPr>
          <w:rFonts w:ascii="宋体" w:hAnsi="宋体" w:eastAsia="宋体"/>
          <w:sz w:val="24"/>
        </w:rPr>
        <w:t>图12.4(b)的区域结构则揭示了一个初看反直觉的事实：2026年标准词元流量对产出增长的贡献率，东部为8.4%、中部为5.1%、西部为3.6%，东部约为西部的2.33倍、为中部的1.65倍。反直觉之处在于，在「东数西算」工程的推动下，新增智能算力的相当部分布局在西部枢纽节点，算力产能明显西移，而词元的增长贡献却高度集中在东部。这一背离恰恰印证了本书的核心命题：增长贡献不产生于算力产能，而产生于词元的实际使用与场景落地。西部拥有的是生产端的产能，东部拥有的是需求端的场景密度与效值结构——东部产业体系对高效值档位与高场景效用任务的需求更为集中，其单位词元所承载的价值密度更高。这一发现为区域政策提供了明确指向：西部枢纽的价值实现不能停留在算力出租，必须依托跨区域的统一计量与统一结算把产能转化为可计价、可入账的标准词元流量，这正是第10章「五个统一」机制设计的核算依据；同时，算力共享与算力市场培育的需求侧研究亦表明，配置效率的改善高度依赖于需求信息的有效传导（许诺等，2025；王勇等，2025）。</w:t>
      </w:r>
    </w:p>
    <w:p>
      <w:pPr>
        <w:keepNext/>
        <w:spacing w:before="160" w:after="120" w:line="360" w:lineRule="auto"/>
        <w:outlineLvl w:val="2"/>
      </w:pPr>
      <w:r>
        <w:rPr>
          <w:rFonts w:ascii="黑体" w:hAnsi="黑体" w:eastAsia="黑体"/>
          <w:sz w:val="24"/>
        </w:rPr>
        <w:t>12.6.3  稳健性检验与研究局限</w:t>
      </w:r>
    </w:p>
    <w:p>
      <w:pPr>
        <w:spacing w:line="360" w:lineRule="auto" w:after="0"/>
        <w:ind w:firstLineChars="200" w:firstLine="480"/>
        <w:jc w:val="both"/>
      </w:pPr>
      <w:r>
        <w:rPr>
          <w:rFonts w:ascii="宋体" w:hAnsi="宋体" w:eastAsia="宋体"/>
          <w:sz w:val="24"/>
        </w:rPr>
        <w:t>本章围绕四个方向设计了稳健性检验。第一，口径替换：以物理词元调用量替代标准词元流量重新估计。按式(12-6)的预期，该设定下的系数将随各期档位结构的变动而漂移，且不同子样本间缺乏可比性，检验的目的正是展示口径不一致所导致的不稳定，而非提供一个竞争性估计。第二，平减指数替换：以词元价格指数代替标准词元价格指数平减，用以量化第12.2.3节所述的实物量虚增效应。第三，样本调整：剔除2026年这一年化推算年份，以及剔除词元用量占比极端的少数城市，检验结果是否由个别观测驱动。第四，识别策略替换：以国家算力枢纽节点布局与历史通信基础设施水平构造工具变量组重新估计。上述检验的共同目的是确认</w:t>
      </w:r>
      <m:oMath>
        <m:sSub>
          <m:e>
            <m:r>
              <m:t>α</m:t>
            </m:r>
          </m:e>
          <m:sub>
            <m:r>
              <m:t>T</m:t>
            </m:r>
          </m:sub>
        </m:sSub>
      </m:oMath>
      <w:r>
        <w:rPr>
          <w:rFonts w:ascii="宋体" w:hAnsi="宋体" w:eastAsia="宋体"/>
          <w:sz w:val="24"/>
        </w:rPr>
        <w:t>的符号与显著性不依赖于特定设定，而其点估计的具体数值应被理解为一个受口径选择影响的区间中心，而非精确常数。</w:t>
      </w:r>
    </w:p>
    <w:p>
      <w:pPr>
        <w:spacing w:line="360" w:lineRule="auto" w:after="0"/>
        <w:ind w:firstLineChars="200" w:firstLine="480"/>
        <w:jc w:val="both"/>
      </w:pPr>
      <w:r>
        <w:rPr>
          <w:rFonts w:ascii="宋体" w:hAnsi="宋体" w:eastAsia="宋体"/>
          <w:sz w:val="24"/>
        </w:rPr>
        <w:t>本章的局限同样需要如实交代，共有四点。其一，测度局限：城市层面的分档位词元用量并无公开统计，本章的档位结构分解依赖全国口径的近似，若地区间档位结构差异远大于本章设定，标准词元流量的地区离散度将被低估，</w:t>
      </w:r>
      <m:oMath>
        <m:sSub>
          <m:e>
            <m:r>
              <m:t>α</m:t>
            </m:r>
          </m:e>
          <m:sub>
            <m:r>
              <m:t>T</m:t>
            </m:r>
          </m:sub>
        </m:sSub>
      </m:oMath>
      <w:r>
        <w:rPr>
          <w:rFonts w:ascii="宋体" w:hAnsi="宋体" w:eastAsia="宋体"/>
          <w:sz w:val="24"/>
        </w:rPr>
        <w:t>的估计随之受到影响。其二，期限局限：样本期仅覆盖词元规模化扩张的最初数年，式(12-10)所刻画的滞后结构与累积弹性尚无法稳健识别，本章报告的当期弹性只是全部效应的下界。其三，内生性局限：词元价格与用量在市场层面同时决定，本章虽以固定效应与工具变量缓解，但未建立价格与用量的联立方程系统，第8章的需求侧估计与本章的生产侧估计尚未在同一框架内整合。其四，边界局限：跨境词元服务的进出口未单列核算，词元出海所形成的对外服务贸易及其增长贡献尚未纳入，这在词元服务出海快速推进的背景下是一处实质性的口径缺口。这四点局限也构成了后续研究的自然议程。</w:t>
      </w:r>
    </w:p>
    <w:p>
      <w:pPr>
        <w:keepNext/>
        <w:spacing w:before="160" w:after="120" w:line="360" w:lineRule="auto"/>
        <w:outlineLvl w:val="1"/>
      </w:pPr>
      <w:r>
        <w:rPr>
          <w:rFonts w:ascii="黑体" w:hAnsi="黑体" w:eastAsia="黑体"/>
          <w:sz w:val="28"/>
        </w:rPr>
        <w:t>12.7  本章小结</w:t>
      </w:r>
    </w:p>
    <w:p>
      <w:pPr>
        <w:spacing w:line="360" w:lineRule="auto" w:after="0"/>
        <w:ind w:firstLineChars="200" w:firstLine="480"/>
        <w:jc w:val="both"/>
      </w:pPr>
      <w:r>
        <w:rPr>
          <w:rFonts w:ascii="宋体" w:hAnsi="宋体" w:eastAsia="宋体"/>
          <w:sz w:val="24"/>
        </w:rPr>
        <w:t>本章完成了标准词元第四重经济职能的兑现：作为增长核算变量，把人工智能的增长贡献从索洛残差中显性分离出来。全章的论证可归纳为四个层次。第一层是问题的诊断。索洛生产率悖论在人工智能时代再现，围绕其成因的争论中，悲观侧以希尔滕定理推算十年累计全要素生产率增幅的上限，乐观侧以生产率J曲线解释统计的暂时沉默，而大量机构测算与微观实验在两侧之间形成密集的证据带。本章首先厘清了三条口径纪律——全要素生产率不同于劳动生产率、十年累计不同于年度增量、任务级实验不同于宏观统计——并指出所谓「相差数十倍的对立」有相当部分是违反这些纪律的比较人为制造的。在四类经典解释之外，本章提出第五类也是当下最具约束力的一类解释：过程量缺失。人工智能的投入端与产出端各有统计，唯独连接二者的使用过程缺乏可加的计量单位，这使核算者只能在「按支出额记入」与「留在残差里」之间二选一。</w:t>
      </w:r>
    </w:p>
    <w:p>
      <w:pPr>
        <w:spacing w:line="360" w:lineRule="auto" w:after="0"/>
        <w:ind w:firstLineChars="200" w:firstLine="480"/>
        <w:jc w:val="both"/>
      </w:pPr>
      <w:r>
        <w:rPr>
          <w:rFonts w:ascii="宋体" w:hAnsi="宋体" w:eastAsia="宋体"/>
          <w:sz w:val="24"/>
        </w:rPr>
        <w:t>第二层是框架的构建。本章把标准词元流量界定为一种中间性的认知服务流，其经济性质最接近资本服务流；以不变替代弹性形式刻画词元与互补性人力组织资本合成认知服务的内层结构，再与资本、劳动、数据要素共同构成外层总量生产函数；经对数线性化得到可估计式(12-5)，并给出关键分解</w:t>
      </w:r>
      <m:oMath>
        <m:sSub>
          <m:e>
            <m:r>
              <m:t>α</m:t>
            </m:r>
          </m:e>
          <m:sub>
            <m:r>
              <m:t>T</m:t>
            </m:r>
          </m:sub>
        </m:sSub>
        <m:r>
          <m:rPr>
            <m:sty m:val="p"/>
          </m:rPr>
          <m:t>=</m:t>
        </m:r>
        <m:sSub>
          <m:e>
            <m:r>
              <m:t>α</m:t>
            </m:r>
          </m:e>
          <m:sub>
            <m:r>
              <m:t>Z</m:t>
            </m:r>
          </m:sub>
        </m:sSub>
        <m:sSub>
          <m:e>
            <m:r>
              <m:t>s</m:t>
            </m:r>
          </m:e>
          <m:sub>
            <m:r>
              <m:t>T</m:t>
            </m:r>
          </m:sub>
        </m:sSub>
      </m:oMath>
      <w:r>
        <w:rPr>
          <w:rFonts w:ascii="宋体" w:hAnsi="宋体" w:eastAsia="宋体"/>
          <w:sz w:val="24"/>
        </w:rPr>
        <w:t>——标准词元流量的产出弹性等于认知服务的产出弹性与机器认知份额之积。这一分解解释了当前弹性何以中等偏小，也预示了它必将随机器认知份额上升而增大。本章还以式(12-6)的遗漏变量偏误公式证明，若以物理词元口径入式，系数将随档位结构变动而漂移、符号甚至可能翻转，从而在核算层面重申了第5章折算体系的必要性：折算不是为了让数字好看，而是为了让系数有意义。在此基础上，本章给出了三项工具：式(12-7)的残差恢复式及其可加、可归属、高频三项性质，式(12-8)的贡献率与残差纠偏指标，以及式(12-9)的词元配置比判据——后者把增长核算与第8、9章的配置分析接通，并明确了补贴与效值披露两类政策工具的适用边界。</w:t>
      </w:r>
    </w:p>
    <w:p>
      <w:pPr>
        <w:spacing w:line="360" w:lineRule="auto" w:after="0"/>
        <w:ind w:firstLineChars="200" w:firstLine="480"/>
        <w:jc w:val="both"/>
      </w:pPr>
      <w:r>
        <w:rPr>
          <w:rFonts w:ascii="宋体" w:hAnsi="宋体" w:eastAsia="宋体"/>
          <w:sz w:val="24"/>
        </w:rPr>
        <w:t>第三层是实证的结果。基于248个地级及以上城市2022—2026年的年度面板（1240个观测），四项要素弹性分别为资本0.318、劳动0.276、数据0.094与标准词元流量0.108，均在1%水平显著。标准词元流量的弹性已达数据要素的1.15倍，意味着智能经济的增长瓶颈正由「数据够不够」转向「用得够不够」。增长贡献分解显示，标准词元流量对产出增长的直接贡献由2022年的0.02个百分点升至2026年的0.34个百分点，贡献率由0.4%升至6.8%；同期数据与词元两项新要素的合计贡献占实际增长率的比重由2.9%升至14.4%，而资本贡献占比由52.1%降至44.4%，增长动能的切换在核算层面清晰可见。残差纠偏方面，不引入词元变量时全要素生产率残差为2.41%，引入后降至2.12%，高估0.29个百分点、相对高估13.7%。区域结构上，2026年东部、中部、西部的词元贡献率分别为8.4%、5.1%与3.6%，东部约为西部的2.33倍——在算力产能明显西移的背景下，这一背离有力地印证了增长贡献产生于词元的实际使用而非算力产能本身。</w:t>
      </w:r>
    </w:p>
    <w:p>
      <w:pPr>
        <w:spacing w:line="360" w:lineRule="auto" w:after="0"/>
        <w:ind w:firstLineChars="200" w:firstLine="480"/>
        <w:jc w:val="both"/>
      </w:pPr>
      <w:r>
        <w:rPr>
          <w:rFonts w:ascii="宋体" w:hAnsi="宋体" w:eastAsia="宋体"/>
          <w:sz w:val="24"/>
        </w:rPr>
        <w:t>第四层是方法论的定位与限度。把本书工作放回增长核算史，其与乔根森资本服务传统在方法论上最为同构：资本服务的加总需要使用者成本作为价格权重，标准词元的加总需要效值系数作为折算权重；差别在于前者可由资产市场租金率间接推断，后者因缺乏成熟租赁市场而必须由公理化折算函数构造。因此本书对核算理论的推进不在于提出新的恒等式，而在于为一类此前无法加总的新型投入构造了可用的加总权重。同时必须承认四点局限：档位结构的地区分解依赖近似、样本期过短使滞后结构与累积弹性无法稳健识别、价格与用量的联立性尚未在统一框架内处理、跨境词元服务的进出口尚未纳入核算边界。就政策含义而言，本章的结论指向一个明确方向：把标准词元流量纳入常态化统计，与全国数据资源调查等既有制度衔接，是使人工智能的增长贡献从「事后推断」变为「事中观测」的前提；而计量口径的统一本身即是一项生产性的制度投资。本章的核算结论将与第13章的多案例证据作三角验证，并在第14章转化为具体的统计与政策建议。</w:t>
      </w:r>
    </w:p>
    <w:p>
      <w:r>
        <w:br w:type="page"/>
      </w:r>
    </w:p>
    <w:p>
      <w:pPr>
        <w:keepNext/>
        <w:spacing w:before="240" w:after="160" w:line="360" w:lineRule="auto"/>
        <w:jc w:val="center"/>
        <w:outlineLvl w:val="0"/>
      </w:pPr>
      <w:r>
        <w:rPr>
          <w:rFonts w:ascii="黑体" w:hAnsi="黑体" w:eastAsia="黑体"/>
          <w:b/>
          <w:sz w:val="30"/>
        </w:rPr>
        <w:t>第13章  区域实践与多案例研究</w:t>
      </w:r>
    </w:p>
    <w:p>
      <w:pPr>
        <w:spacing w:line="360" w:lineRule="auto" w:after="0"/>
        <w:ind w:firstLineChars="200" w:firstLine="480"/>
        <w:jc w:val="both"/>
      </w:pPr>
      <w:r>
        <w:rPr>
          <w:rFonts w:ascii="宋体" w:hAnsi="宋体" w:eastAsia="宋体"/>
          <w:sz w:val="24"/>
        </w:rPr>
        <w:t>前十二章沿计量、定价、配置三条线索完成了理论建构与定量检验：第5章给出标准词元的公理化折算体系，证明折算后单位价格的变异系数由0.92降至0.31；第7章把词元价格分解为成本底价、效值溢价与场景租金三层，编制了物理词元价格指数与标准词元价格指数；第9章把利用率悖论分解为空转、批次、匹配与效值四项损失，测得统一调度可把有效效值利用率由0.38提升至0.54；第10章以比较制度分析与三方演化博弈刻画城市词元运营中心的组织模式，解出企业深度采纳的临界红利1.55；第12章把标准词元流量引入生产函数，测得其产出弹性0.108、2026年对产出增长的贡献率6.8%。这些结论建立在校准复算的总量数据与形式化模型之上，其解释力究竟能否在具体的城市、平台与企业中得到印证，模型未曾言明的边界又在哪里，需要一类不同性质的证据来回答。本章的任务正在于此。</w:t>
      </w:r>
    </w:p>
    <w:p>
      <w:pPr>
        <w:spacing w:line="360" w:lineRule="auto" w:after="0"/>
        <w:ind w:firstLineChars="200" w:firstLine="480"/>
        <w:jc w:val="both"/>
      </w:pPr>
      <w:r>
        <w:rPr>
          <w:rFonts w:ascii="宋体" w:hAnsi="宋体" w:eastAsia="宋体"/>
          <w:sz w:val="24"/>
        </w:rPr>
        <w:t>本章选择多案例研究而非单一案例，理由有三。其一，词元运营中心的出现具有罕见的同时性：2026年7月15日至8月11日不到一个月之内，温州、嘉兴、广州、苏州先后启动词元运营或交易服务机构，上海市经济和信息化委员会于同期印发《上海市软件和信息服务业发展「十五五」规划》，提出「探索将词元、数据治理、大模型部署及再训练等投入，纳入企业技术改造支持方向」（「上海市经济和信息化委员会，2026」）。同一制度任务在几乎相同的时点由五类性质迥异的主体分别承担，构成了一次难得的天然比较实验，单一案例无法利用这一结构性变异。其二，本书的核心命题是计量单位的经济职能，而计量制度的效力恰恰体现在跨主体、跨地域的可比性上；只考察一地，无从判断所观察到的机制是普遍的还是特异的。其三，第10章已给出资产禀赋—职能匹配的理论预测，理论预测的检验需要多个观测点，复制逻辑要求案例之间既有理论上的相似复制，也有理论上的差别复制。</w:t>
      </w:r>
    </w:p>
    <w:p>
      <w:pPr>
        <w:spacing w:line="360" w:lineRule="auto" w:after="0"/>
        <w:ind w:firstLineChars="200" w:firstLine="480"/>
        <w:jc w:val="both"/>
      </w:pPr>
      <w:r>
        <w:rPr>
          <w:rFonts w:ascii="宋体" w:hAnsi="宋体" w:eastAsia="宋体"/>
          <w:sz w:val="24"/>
        </w:rPr>
        <w:t>与前几章相比，本章面对的证据环境更为复杂。词元经济的公共信息高度媒体化，大量数字经由转述、聚合与二次加工进入公共视野，其原始出处、统计口径与时点常常不可回溯；企业方发布的效率倍数缺乏第三方测评背书；不同城市自定的能力清单条目数被媒体径直用于横向比较。若不加甄别地把这些材料并列排版，读者会默认它们具有同等的可信度，案例研究反而会成为错误结论的放大器。因此本章把「证据分级」明确列为方法的组成部分：先界定证据类型与可信度层级，再规定各层级证据的使用规则，凡未获第三方证实的流传数字一律不予采信，仅在必要时作为待检验的行业传闻列示。这一处理本身也构成本章的一项方法论贡献。</w:t>
      </w:r>
    </w:p>
    <w:p>
      <w:pPr>
        <w:spacing w:line="360" w:lineRule="auto" w:after="0"/>
        <w:ind w:firstLineChars="200" w:firstLine="480"/>
        <w:jc w:val="both"/>
      </w:pPr>
      <w:r>
        <w:rPr>
          <w:rFonts w:ascii="宋体" w:hAnsi="宋体" w:eastAsia="宋体"/>
          <w:sz w:val="24"/>
        </w:rPr>
        <w:t>本章安排如下：13.1节说明案例选择逻辑、分析框架与资料来源，给出证据分级规则；13.2节以长三角（嘉兴）词元运营中心为深度案例，考察其算力禀赋、组织形态、职能设计与机制落地；13.3节把五个案例纳入统一的能力画像框架作跨案例比较，给出能力合成指数与短板判据；13.4节转向企业侧，考察供给侧的词元优化工厂与需求侧的若干应用场景，并说明一则未获采信的案例及其方法论意义；13.5节以扎根理论程序对深度访谈资料编码，识别企业采纳词元服务的障碍结构并测度其集中度；13.6节把案例证据与前述定量结论逐条对照，构造三角验证的一致性指数；13.7节为本章小结。</w:t>
      </w:r>
    </w:p>
    <w:p>
      <w:pPr>
        <w:keepNext/>
        <w:spacing w:before="160" w:after="120" w:line="360" w:lineRule="auto"/>
        <w:outlineLvl w:val="1"/>
      </w:pPr>
      <w:r>
        <w:rPr>
          <w:rFonts w:ascii="黑体" w:hAnsi="黑体" w:eastAsia="黑体"/>
          <w:sz w:val="28"/>
        </w:rPr>
        <w:t>13.1  案例设计、分析框架与资料来源</w:t>
      </w:r>
    </w:p>
    <w:p>
      <w:pPr>
        <w:keepNext/>
        <w:spacing w:before="160" w:after="120" w:line="360" w:lineRule="auto"/>
        <w:outlineLvl w:val="2"/>
      </w:pPr>
      <w:r>
        <w:rPr>
          <w:rFonts w:ascii="黑体" w:hAnsi="黑体" w:eastAsia="黑体"/>
          <w:sz w:val="24"/>
        </w:rPr>
        <w:t>13.1.1  研究问题与案例选择逻辑</w:t>
      </w:r>
    </w:p>
    <w:p>
      <w:pPr>
        <w:spacing w:line="360" w:lineRule="auto" w:after="0"/>
        <w:ind w:firstLineChars="200" w:firstLine="480"/>
        <w:jc w:val="both"/>
      </w:pPr>
      <w:r>
        <w:rPr>
          <w:rFonts w:ascii="宋体" w:hAnsi="宋体" w:eastAsia="宋体"/>
          <w:sz w:val="24"/>
        </w:rPr>
        <w:t>本章要回答三个层层递进的问题。第一，五类主体在承担同一制度任务时，其能力结构是否如第10章所预测的那样，沿资产禀赋的方向系统分化？第二，若分化确实存在，它对企业的接入决策意味着什么——五项能力之间是可以相互替代的，还是互补的？第三，企业侧观察到的采纳障碍，与前几章从总量数据与形式化模型得到的结论是否指向同一组机制？三个问题分别对应跨案例比较、能力合成与三角验证三项工作。</w:t>
      </w:r>
    </w:p>
    <w:p>
      <w:pPr>
        <w:spacing w:line="360" w:lineRule="auto" w:after="0"/>
        <w:ind w:firstLineChars="200" w:firstLine="480"/>
        <w:jc w:val="both"/>
      </w:pPr>
      <w:r>
        <w:rPr>
          <w:rFonts w:ascii="宋体" w:hAnsi="宋体" w:eastAsia="宋体"/>
          <w:sz w:val="24"/>
        </w:rPr>
        <w:t>案例的选择遵循理论抽样而非统计抽样，判据有三条。第一条是主体类型的互异性：入选案例的运营主体必须分属第10章界定的五类主体之一，且不重复，以最大化跨案例的结构性变异。第二条是时点的可比性：入选案例的启动或印发时点须集中于同一制度窗口，以尽量排除宏观环境差异对能力表现的干扰。第三条是信息的可核验性：入选案例须具备可回溯到权威媒体或政府部门的公开报道，且关键职能表述在两个以上独立来源中一致。按此三条判据，长三角（嘉兴）Token 运营中心（城投集团）、中国电信（江苏）Token 运营中心（基础电信运营商，落址苏州）、东南 Token 运营中心（数据集团，温州）、广东词元交易和服务中心（数据交易所，广州南沙）与上海的政策工具路径（政策制定者）共五例入选。</w:t>
      </w:r>
    </w:p>
    <w:p>
      <w:pPr>
        <w:spacing w:line="360" w:lineRule="auto" w:after="0"/>
        <w:ind w:firstLineChars="200" w:firstLine="480"/>
        <w:jc w:val="both"/>
      </w:pPr>
      <w:r>
        <w:rPr>
          <w:rFonts w:ascii="宋体" w:hAnsi="宋体" w:eastAsia="宋体"/>
          <w:sz w:val="24"/>
        </w:rPr>
        <w:t>同一制度窗口内还有若干实践未进入主案例序列，其理由须予说明，否则会造成选择性取样的印象。北京于2026年7月发布国资背景的标准化词元工厂，另有企业方于同年6月在亦庄建成一期日产能1.4万亿枚词元的词元工厂；扬州于2026年7月成为江苏省首个推出词元券专项政策的城市，此前已于2024年5月推出算力券补贴。这些实践重要，但属于不同的产业环节：词元工厂位于推理产能的供给侧，其绩效语言是日产能；词元运营中心位于流通服务侧，其绩效语言是接入模型条目数与服务企业数；交易中心则属交易场所侧，其绩效语言是场内成交与凭证出具。三类主体的「首个」称号各带限定语，若混同排列会出现多个「全国首个」互相冲突的窘境。因此本章把词元工厂与券类政策作为对照性旁证纳入13.4节讨论，不进入五案例的能力比较，以保证比较对象在产业环节上同质。这一处理也提示了区域实践研究的一条基本纪律：跨案例比较的前提是环节同质，环节不同则指标不可比。</w:t>
      </w:r>
    </w:p>
    <w:p>
      <w:pPr>
        <w:spacing w:line="360" w:lineRule="auto" w:after="0"/>
        <w:ind w:firstLineChars="200" w:firstLine="480"/>
        <w:jc w:val="both"/>
      </w:pPr>
      <w:r>
        <w:rPr>
          <w:rFonts w:ascii="宋体" w:hAnsi="宋体" w:eastAsia="宋体"/>
          <w:sz w:val="24"/>
        </w:rPr>
        <w:t>五个案例在理论上兼具相似复制与差别复制。相似复制体现于：五地无一例外把「计量」置于核心职能位置——嘉兴门户以「统一词元计量」为五项治理能力之一，广东中心牵头构建全省统一词元计量规则并出具交易凭证，温州以「用能可证」作为绿色词元认证的三项可证之一，苏州中心设指标监测服务。若理论预测「计量是词元流通的第一约束」为真，则五案例应当共同显示这一点，事实确实如此。差别复制体现于：五类主体的资产禀赋不同，理论预测其能力短板应沿禀赋的反方向出现，这一预测在13.3节将被逐一检验。</w:t>
      </w:r>
    </w:p>
    <w:p>
      <w:pPr>
        <w:keepNext/>
        <w:spacing w:before="160" w:after="120" w:line="360" w:lineRule="auto"/>
        <w:outlineLvl w:val="2"/>
      </w:pPr>
      <w:r>
        <w:rPr>
          <w:rFonts w:ascii="黑体" w:hAnsi="黑体" w:eastAsia="黑体"/>
          <w:sz w:val="24"/>
        </w:rPr>
        <w:t>13.1.2  分析框架：案例—能力矩阵与三角验证</w:t>
      </w:r>
    </w:p>
    <w:p>
      <w:pPr>
        <w:spacing w:line="360" w:lineRule="auto" w:after="0"/>
        <w:ind w:firstLineChars="200" w:firstLine="480"/>
        <w:jc w:val="both"/>
      </w:pPr>
      <w:r>
        <w:rPr>
          <w:rFonts w:ascii="宋体" w:hAnsi="宋体" w:eastAsia="宋体"/>
          <w:sz w:val="24"/>
        </w:rPr>
        <w:t>为使五个案例可比，本章建立统一的分析框架。框架的第一层是案例—能力矩阵：以五个案例为列、五项能力维度为行，矩阵元素为该案例在该维度上的证据编码。五项能力维度的选取直接对应企业接入词元服务时依次遭遇的五道关口——能不能便捷接入（接入便利）、用了多少能否说清（计量透明）、花费是否可预期（成本可控）、合规与安全能否交代（合规可信）、可用的模型与应用是否丰富（生态丰度）。五项维度既覆盖了第10章「五个统一」所针对的交易费用类型，也覆盖了13.5节扎根编码所得的四个核心范畴，从而使案例证据、制度设计与企业感知三者落在同一坐标系内。框架的第二层是跨案例比较：先在维度内作模式求同，识别复制逻辑所预测的共性；再在案例间作差异归因，把能力差异回溯到资产禀赋条件与机制组合。框架的第三层是三角验证：把案例证据与定量结论、理论预期三者对照，检验结论的收敛性与稳健性。完整框架如图13.1所示。</w:t>
      </w:r>
    </w:p>
    <w:p>
      <w:pPr>
        <w:spacing w:before="120" w:after="40"/>
        <w:jc w:val="center"/>
      </w:pPr>
      <w:r>
        <w:drawing>
          <wp:inline xmlns:a="http://schemas.openxmlformats.org/drawingml/2006/main" xmlns:pic="http://schemas.openxmlformats.org/drawingml/2006/picture">
            <wp:extent cx="4860000" cy="3938276"/>
            <wp:docPr id="42" name="Picture 42"/>
            <wp:cNvGraphicFramePr>
              <a:graphicFrameLocks noChangeAspect="1"/>
            </wp:cNvGraphicFramePr>
            <a:graphic>
              <a:graphicData uri="http://schemas.openxmlformats.org/drawingml/2006/picture">
                <pic:pic>
                  <pic:nvPicPr>
                    <pic:cNvPr id="0" name="fig13_1.png"/>
                    <pic:cNvPicPr/>
                  </pic:nvPicPr>
                  <pic:blipFill>
                    <a:blip r:embed="rId50"/>
                    <a:stretch>
                      <a:fillRect/>
                    </a:stretch>
                  </pic:blipFill>
                  <pic:spPr>
                    <a:xfrm>
                      <a:off x="0" y="0"/>
                      <a:ext cx="4860000" cy="3938276"/>
                    </a:xfrm>
                    <a:prstGeom prst="rect"/>
                  </pic:spPr>
                </pic:pic>
              </a:graphicData>
            </a:graphic>
          </wp:inline>
        </w:drawing>
      </w:r>
    </w:p>
    <w:p>
      <w:pPr>
        <w:keepNext w:val="0"/>
        <w:spacing w:after="200"/>
        <w:jc w:val="center"/>
      </w:pPr>
      <w:r>
        <w:rPr>
          <w:rFonts w:ascii="黑体" w:hAnsi="黑体" w:eastAsia="黑体"/>
          <w:sz w:val="21"/>
        </w:rPr>
        <w:t>图13.1  多案例研究的分析框架</w:t>
      </w:r>
    </w:p>
    <w:p>
      <w:pPr>
        <w:spacing w:line="360" w:lineRule="auto" w:after="0"/>
        <w:ind w:firstLineChars="200" w:firstLine="480"/>
        <w:jc w:val="both"/>
      </w:pPr>
      <w:r>
        <w:rPr>
          <w:rFonts w:ascii="宋体" w:hAnsi="宋体" w:eastAsia="宋体"/>
          <w:sz w:val="24"/>
        </w:rPr>
        <w:t>图13.1的结构隐含了三项方法论承诺，需要在此说明。第一，矩阵元素是「证据编码」而非「打分」：每个单元格首先要求深度访谈、政策文件与实地观察三源互证，只有在三源不冲突时才进入后续的量化处理，任何单一来源的表述都不足以支撑一个单元格。第二，跨案例比较分为求同与归因两步，顺序不可颠倒：先确认哪些特征是五案例共有的，才能判断哪些差异是真正需要解释的；若一开始就聚焦差异，很容易把共性误认为某一案例的独有优势。第三，三角验证的三个来源在认识论上并不对称：定量结论提供总量层面的规律，理论预期提供机制层面的方向，案例证据提供情境层面的具体形态；三者一致只能提高结论的可信度，不能替代因果识别。本章在13.6节将明确这一限度。</w:t>
      </w:r>
    </w:p>
    <w:p>
      <w:pPr>
        <w:keepNext/>
        <w:spacing w:before="160" w:after="120" w:line="360" w:lineRule="auto"/>
        <w:outlineLvl w:val="2"/>
      </w:pPr>
      <w:r>
        <w:rPr>
          <w:rFonts w:ascii="黑体" w:hAnsi="黑体" w:eastAsia="黑体"/>
          <w:sz w:val="24"/>
        </w:rPr>
        <w:t>13.1.3  资料来源、证据分级与效度保障</w:t>
      </w:r>
    </w:p>
    <w:p>
      <w:pPr>
        <w:spacing w:line="360" w:lineRule="auto" w:after="0"/>
        <w:ind w:firstLineChars="200" w:firstLine="480"/>
        <w:jc w:val="both"/>
      </w:pPr>
      <w:r>
        <w:rPr>
          <w:rFonts w:ascii="宋体" w:hAnsi="宋体" w:eastAsia="宋体"/>
          <w:sz w:val="24"/>
        </w:rPr>
        <w:t>本章的资料由七类构成，其可信度层级与使用规则须事先规定。政策文件与规划文本、政府部门发布的统计与产业数据属一手官方来源，是可信度最高的一类，本章直接引用并照录原文措辞——例如上海的表述是「探索将……纳入」，属探索性安排，本章不得改写为「已纳入」。权威媒体报道属第二层级，其内容多为对发布会与揭牌仪式的转述，本章引用时标注报道口径与日期。企业方与平台方的自述属第三层级，包括产品性能、兼容硬件数量与效率倍数等，此类数字缺乏第三方测评背书，本章仅作机制性佐证，逐条标注「企业方口径」，且不与官方统计并列排版。深度访谈与实地观察属本章自采资料，经三源互证后进入编码。最后一类是未获第三方证实的流传数字，本章不予采信。各类资料的来源、规模与使用规则见表13.1。</w:t>
      </w:r>
    </w:p>
    <w:p>
      <w:pPr>
        <w:keepNext/>
        <w:spacing w:before="160" w:after="40"/>
        <w:jc w:val="center"/>
      </w:pPr>
      <w:r>
        <w:rPr>
          <w:rFonts w:ascii="黑体" w:hAnsi="黑体" w:eastAsia="黑体"/>
          <w:sz w:val="21"/>
        </w:rPr>
        <w:t>表13.1  案例资料的来源、证据层级与使用规则</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证据类型</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主要来源</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规模或范围</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层级</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本章使用规则</w:t>
            </w:r>
          </w:p>
        </w:tc>
      </w:tr>
      <w:tr>
        <w:tc>
          <w:tcPr>
            <w:tcW w:type="dxa" w:w="1701"/>
            <w:vAlign w:val="center"/>
          </w:tcPr>
          <w:p>
            <w:pPr>
              <w:spacing w:line="240" w:lineRule="auto" w:after="20" w:before="20"/>
              <w:jc w:val="left"/>
            </w:pPr>
            <w:r/>
            <w:r>
              <w:rPr>
                <w:rFonts w:ascii="宋体" w:hAnsi="宋体" w:eastAsia="宋体"/>
                <w:sz w:val="21"/>
              </w:rPr>
              <w:t>政策文件与规划文本</w:t>
            </w:r>
          </w:p>
        </w:tc>
        <w:tc>
          <w:tcPr>
            <w:tcW w:type="dxa" w:w="1701"/>
            <w:vAlign w:val="center"/>
          </w:tcPr>
          <w:p>
            <w:pPr>
              <w:spacing w:line="240" w:lineRule="auto" w:after="20" w:before="20"/>
              <w:jc w:val="left"/>
            </w:pPr>
            <w:r/>
            <w:r>
              <w:rPr>
                <w:rFonts w:ascii="宋体" w:hAnsi="宋体" w:eastAsia="宋体"/>
                <w:sz w:val="21"/>
              </w:rPr>
              <w:t>省市级五年规划纲要、省级词元经济专项政策、算力枢纽与一体化算力网实施文件</w:t>
            </w:r>
          </w:p>
        </w:tc>
        <w:tc>
          <w:tcPr>
            <w:tcW w:type="dxa" w:w="1701"/>
            <w:vAlign w:val="center"/>
          </w:tcPr>
          <w:p>
            <w:pPr>
              <w:spacing w:line="240" w:lineRule="auto" w:after="20" w:before="20"/>
              <w:jc w:val="left"/>
            </w:pPr>
            <w:r/>
            <w:r>
              <w:rPr>
                <w:rFonts w:ascii="宋体" w:hAnsi="宋体" w:eastAsia="宋体"/>
                <w:sz w:val="21"/>
              </w:rPr>
              <w:t>国家级4件、省市级5件</w:t>
            </w:r>
          </w:p>
        </w:tc>
        <w:tc>
          <w:tcPr>
            <w:tcW w:type="dxa" w:w="1701"/>
            <w:vAlign w:val="center"/>
          </w:tcPr>
          <w:p>
            <w:pPr>
              <w:spacing w:line="240" w:lineRule="auto" w:after="20" w:before="20"/>
              <w:jc w:val="center"/>
            </w:pPr>
            <w:r/>
            <w:r>
              <w:rPr>
                <w:rFonts w:ascii="宋体" w:hAnsi="宋体" w:eastAsia="宋体"/>
                <w:sz w:val="21"/>
              </w:rPr>
              <w:t>A</w:t>
            </w:r>
          </w:p>
        </w:tc>
        <w:tc>
          <w:tcPr>
            <w:tcW w:type="dxa" w:w="1701"/>
            <w:vAlign w:val="center"/>
          </w:tcPr>
          <w:p>
            <w:pPr>
              <w:spacing w:line="240" w:lineRule="auto" w:after="20" w:before="20"/>
              <w:jc w:val="left"/>
            </w:pPr>
            <w:r/>
            <w:r>
              <w:rPr>
                <w:rFonts w:ascii="宋体" w:hAnsi="宋体" w:eastAsia="宋体"/>
                <w:sz w:val="21"/>
              </w:rPr>
              <w:t>直接引用并照录原文措辞，不作程度上的改写</w:t>
            </w:r>
          </w:p>
        </w:tc>
      </w:tr>
      <w:tr>
        <w:tc>
          <w:tcPr>
            <w:tcW w:type="dxa" w:w="1701"/>
            <w:vAlign w:val="center"/>
          </w:tcPr>
          <w:p>
            <w:pPr>
              <w:spacing w:line="240" w:lineRule="auto" w:after="20" w:before="20"/>
              <w:jc w:val="left"/>
            </w:pPr>
            <w:r/>
            <w:r>
              <w:rPr>
                <w:rFonts w:ascii="宋体" w:hAnsi="宋体" w:eastAsia="宋体"/>
                <w:sz w:val="21"/>
              </w:rPr>
              <w:t>官方统计与部门发布</w:t>
            </w:r>
          </w:p>
        </w:tc>
        <w:tc>
          <w:tcPr>
            <w:tcW w:type="dxa" w:w="1701"/>
            <w:vAlign w:val="center"/>
          </w:tcPr>
          <w:p>
            <w:pPr>
              <w:spacing w:line="240" w:lineRule="auto" w:after="20" w:before="20"/>
              <w:jc w:val="left"/>
            </w:pPr>
            <w:r/>
            <w:r>
              <w:rPr>
                <w:rFonts w:ascii="宋体" w:hAnsi="宋体" w:eastAsia="宋体"/>
                <w:sz w:val="21"/>
              </w:rPr>
              <w:t>国家数据局调用量口径、省经信部门产业数据、市发展改革部门能源实施计划</w:t>
            </w:r>
          </w:p>
        </w:tc>
        <w:tc>
          <w:tcPr>
            <w:tcW w:type="dxa" w:w="1701"/>
            <w:vAlign w:val="center"/>
          </w:tcPr>
          <w:p>
            <w:pPr>
              <w:spacing w:line="240" w:lineRule="auto" w:after="20" w:before="20"/>
              <w:jc w:val="left"/>
            </w:pPr>
            <w:r/>
            <w:r>
              <w:rPr>
                <w:rFonts w:ascii="宋体" w:hAnsi="宋体" w:eastAsia="宋体"/>
                <w:sz w:val="21"/>
              </w:rPr>
              <w:t>涉及3省市、5个统计口径</w:t>
            </w:r>
          </w:p>
        </w:tc>
        <w:tc>
          <w:tcPr>
            <w:tcW w:type="dxa" w:w="1701"/>
            <w:vAlign w:val="center"/>
          </w:tcPr>
          <w:p>
            <w:pPr>
              <w:spacing w:line="240" w:lineRule="auto" w:after="20" w:before="20"/>
              <w:jc w:val="center"/>
            </w:pPr>
            <w:r/>
            <w:r>
              <w:rPr>
                <w:rFonts w:ascii="宋体" w:hAnsi="宋体" w:eastAsia="宋体"/>
                <w:sz w:val="21"/>
              </w:rPr>
              <w:t>A</w:t>
            </w:r>
          </w:p>
        </w:tc>
        <w:tc>
          <w:tcPr>
            <w:tcW w:type="dxa" w:w="1701"/>
            <w:vAlign w:val="center"/>
          </w:tcPr>
          <w:p>
            <w:pPr>
              <w:spacing w:line="240" w:lineRule="auto" w:after="20" w:before="20"/>
              <w:jc w:val="left"/>
            </w:pPr>
            <w:r/>
            <w:r>
              <w:rPr>
                <w:rFonts w:ascii="宋体" w:hAnsi="宋体" w:eastAsia="宋体"/>
                <w:sz w:val="21"/>
              </w:rPr>
              <w:t>引用须同时标注发布主体、口径与时点，不同口径不作同比</w:t>
            </w:r>
          </w:p>
        </w:tc>
      </w:tr>
      <w:tr>
        <w:tc>
          <w:tcPr>
            <w:tcW w:type="dxa" w:w="1701"/>
            <w:vAlign w:val="center"/>
          </w:tcPr>
          <w:p>
            <w:pPr>
              <w:spacing w:line="240" w:lineRule="auto" w:after="20" w:before="20"/>
              <w:jc w:val="left"/>
            </w:pPr>
            <w:r/>
            <w:r>
              <w:rPr>
                <w:rFonts w:ascii="宋体" w:hAnsi="宋体" w:eastAsia="宋体"/>
                <w:sz w:val="21"/>
              </w:rPr>
              <w:t>权威媒体报道</w:t>
            </w:r>
          </w:p>
        </w:tc>
        <w:tc>
          <w:tcPr>
            <w:tcW w:type="dxa" w:w="1701"/>
            <w:vAlign w:val="center"/>
          </w:tcPr>
          <w:p>
            <w:pPr>
              <w:spacing w:line="240" w:lineRule="auto" w:after="20" w:before="20"/>
              <w:jc w:val="left"/>
            </w:pPr>
            <w:r/>
            <w:r>
              <w:rPr>
                <w:rFonts w:ascii="宋体" w:hAnsi="宋体" w:eastAsia="宋体"/>
                <w:sz w:val="21"/>
              </w:rPr>
              <w:t>通讯社、党报、行业主管部门主办媒体与主流财经媒体对启动仪式与职能的报道</w:t>
            </w:r>
          </w:p>
        </w:tc>
        <w:tc>
          <w:tcPr>
            <w:tcW w:type="dxa" w:w="1701"/>
            <w:vAlign w:val="center"/>
          </w:tcPr>
          <w:p>
            <w:pPr>
              <w:spacing w:line="240" w:lineRule="auto" w:after="20" w:before="20"/>
              <w:jc w:val="left"/>
            </w:pPr>
            <w:r/>
            <w:r>
              <w:rPr>
                <w:rFonts w:ascii="宋体" w:hAnsi="宋体" w:eastAsia="宋体"/>
                <w:sz w:val="21"/>
              </w:rPr>
              <w:t>五案例合计不少于两个独立来源</w:t>
            </w:r>
          </w:p>
        </w:tc>
        <w:tc>
          <w:tcPr>
            <w:tcW w:type="dxa" w:w="1701"/>
            <w:vAlign w:val="center"/>
          </w:tcPr>
          <w:p>
            <w:pPr>
              <w:spacing w:line="240" w:lineRule="auto" w:after="20" w:before="20"/>
              <w:jc w:val="center"/>
            </w:pPr>
            <w:r/>
            <w:r>
              <w:rPr>
                <w:rFonts w:ascii="宋体" w:hAnsi="宋体" w:eastAsia="宋体"/>
                <w:sz w:val="21"/>
              </w:rPr>
              <w:t>B</w:t>
            </w:r>
          </w:p>
        </w:tc>
        <w:tc>
          <w:tcPr>
            <w:tcW w:type="dxa" w:w="1701"/>
            <w:vAlign w:val="center"/>
          </w:tcPr>
          <w:p>
            <w:pPr>
              <w:spacing w:line="240" w:lineRule="auto" w:after="20" w:before="20"/>
              <w:jc w:val="left"/>
            </w:pPr>
            <w:r/>
            <w:r>
              <w:rPr>
                <w:rFonts w:ascii="宋体" w:hAnsi="宋体" w:eastAsia="宋体"/>
                <w:sz w:val="21"/>
              </w:rPr>
              <w:t>标注报道口径与日期；关键表述须两源以上一致方予采用</w:t>
            </w:r>
          </w:p>
        </w:tc>
      </w:tr>
      <w:tr>
        <w:tc>
          <w:tcPr>
            <w:tcW w:type="dxa" w:w="1701"/>
            <w:vAlign w:val="center"/>
          </w:tcPr>
          <w:p>
            <w:pPr>
              <w:spacing w:line="240" w:lineRule="auto" w:after="20" w:before="20"/>
              <w:jc w:val="left"/>
            </w:pPr>
            <w:r/>
            <w:r>
              <w:rPr>
                <w:rFonts w:ascii="宋体" w:hAnsi="宋体" w:eastAsia="宋体"/>
                <w:sz w:val="21"/>
              </w:rPr>
              <w:t>平台公开界面与功能清单</w:t>
            </w:r>
          </w:p>
        </w:tc>
        <w:tc>
          <w:tcPr>
            <w:tcW w:type="dxa" w:w="1701"/>
            <w:vAlign w:val="center"/>
          </w:tcPr>
          <w:p>
            <w:pPr>
              <w:spacing w:line="240" w:lineRule="auto" w:after="20" w:before="20"/>
              <w:jc w:val="left"/>
            </w:pPr>
            <w:r/>
            <w:r>
              <w:rPr>
                <w:rFonts w:ascii="宋体" w:hAnsi="宋体" w:eastAsia="宋体"/>
                <w:sz w:val="21"/>
              </w:rPr>
              <w:t>门户网站的服务菜单、可调用模型条目数、专区与凭证设置</w:t>
            </w:r>
          </w:p>
        </w:tc>
        <w:tc>
          <w:tcPr>
            <w:tcW w:type="dxa" w:w="1701"/>
            <w:vAlign w:val="center"/>
          </w:tcPr>
          <w:p>
            <w:pPr>
              <w:spacing w:line="240" w:lineRule="auto" w:after="20" w:before="20"/>
              <w:jc w:val="left"/>
            </w:pPr>
            <w:r/>
            <w:r>
              <w:rPr>
                <w:rFonts w:ascii="宋体" w:hAnsi="宋体" w:eastAsia="宋体"/>
                <w:sz w:val="21"/>
              </w:rPr>
              <w:t>5个平台门户</w:t>
            </w:r>
          </w:p>
        </w:tc>
        <w:tc>
          <w:tcPr>
            <w:tcW w:type="dxa" w:w="1701"/>
            <w:vAlign w:val="center"/>
          </w:tcPr>
          <w:p>
            <w:pPr>
              <w:spacing w:line="240" w:lineRule="auto" w:after="20" w:before="20"/>
              <w:jc w:val="center"/>
            </w:pPr>
            <w:r/>
            <w:r>
              <w:rPr>
                <w:rFonts w:ascii="宋体" w:hAnsi="宋体" w:eastAsia="宋体"/>
                <w:sz w:val="21"/>
              </w:rPr>
              <w:t>B</w:t>
            </w:r>
          </w:p>
        </w:tc>
        <w:tc>
          <w:tcPr>
            <w:tcW w:type="dxa" w:w="1701"/>
            <w:vAlign w:val="center"/>
          </w:tcPr>
          <w:p>
            <w:pPr>
              <w:spacing w:line="240" w:lineRule="auto" w:after="20" w:before="20"/>
              <w:jc w:val="left"/>
            </w:pPr>
            <w:r/>
            <w:r>
              <w:rPr>
                <w:rFonts w:ascii="宋体" w:hAnsi="宋体" w:eastAsia="宋体"/>
                <w:sz w:val="21"/>
              </w:rPr>
              <w:t>仅用于识别职能类型，不用于跨城的条目数量比较</w:t>
            </w:r>
          </w:p>
        </w:tc>
      </w:tr>
      <w:tr>
        <w:tc>
          <w:tcPr>
            <w:tcW w:type="dxa" w:w="1701"/>
            <w:vAlign w:val="center"/>
          </w:tcPr>
          <w:p>
            <w:pPr>
              <w:spacing w:line="240" w:lineRule="auto" w:after="20" w:before="20"/>
              <w:jc w:val="left"/>
            </w:pPr>
            <w:r/>
            <w:r>
              <w:rPr>
                <w:rFonts w:ascii="宋体" w:hAnsi="宋体" w:eastAsia="宋体"/>
                <w:sz w:val="21"/>
              </w:rPr>
              <w:t>深度访谈</w:t>
            </w:r>
          </w:p>
        </w:tc>
        <w:tc>
          <w:tcPr>
            <w:tcW w:type="dxa" w:w="1701"/>
            <w:vAlign w:val="center"/>
          </w:tcPr>
          <w:p>
            <w:pPr>
              <w:spacing w:line="240" w:lineRule="auto" w:after="20" w:before="20"/>
              <w:jc w:val="left"/>
            </w:pPr>
            <w:r/>
            <w:r>
              <w:rPr>
                <w:rFonts w:ascii="宋体" w:hAnsi="宋体" w:eastAsia="宋体"/>
                <w:sz w:val="21"/>
              </w:rPr>
              <w:t>平台方、企业方、政府方与服务商四类受访者的半结构化访谈</w:t>
            </w:r>
          </w:p>
        </w:tc>
        <w:tc>
          <w:tcPr>
            <w:tcW w:type="dxa" w:w="1701"/>
            <w:vAlign w:val="center"/>
          </w:tcPr>
          <w:p>
            <w:pPr>
              <w:spacing w:line="240" w:lineRule="auto" w:after="20" w:before="20"/>
              <w:jc w:val="left"/>
            </w:pPr>
            <w:r/>
            <w:r>
              <w:rPr>
                <w:rFonts w:ascii="宋体" w:hAnsi="宋体" w:eastAsia="宋体"/>
                <w:sz w:val="21"/>
              </w:rPr>
              <w:t>47份（平台方12、企业方18、政府方9、服务商8）</w:t>
            </w:r>
          </w:p>
        </w:tc>
        <w:tc>
          <w:tcPr>
            <w:tcW w:type="dxa" w:w="1701"/>
            <w:vAlign w:val="center"/>
          </w:tcPr>
          <w:p>
            <w:pPr>
              <w:spacing w:line="240" w:lineRule="auto" w:after="20" w:before="20"/>
              <w:jc w:val="center"/>
            </w:pPr>
            <w:r/>
            <w:r>
              <w:rPr>
                <w:rFonts w:ascii="宋体" w:hAnsi="宋体" w:eastAsia="宋体"/>
                <w:sz w:val="21"/>
              </w:rPr>
              <w:t>B</w:t>
            </w:r>
          </w:p>
        </w:tc>
        <w:tc>
          <w:tcPr>
            <w:tcW w:type="dxa" w:w="1701"/>
            <w:vAlign w:val="center"/>
          </w:tcPr>
          <w:p>
            <w:pPr>
              <w:spacing w:line="240" w:lineRule="auto" w:after="20" w:before="20"/>
              <w:jc w:val="left"/>
            </w:pPr>
            <w:r/>
            <w:r>
              <w:rPr>
                <w:rFonts w:ascii="宋体" w:hAnsi="宋体" w:eastAsia="宋体"/>
                <w:sz w:val="21"/>
              </w:rPr>
              <w:t>三源互证后进入开放编码；引述一律匿名化处理</w:t>
            </w:r>
          </w:p>
        </w:tc>
      </w:tr>
      <w:tr>
        <w:tc>
          <w:tcPr>
            <w:tcW w:type="dxa" w:w="1701"/>
            <w:vAlign w:val="center"/>
          </w:tcPr>
          <w:p>
            <w:pPr>
              <w:spacing w:line="240" w:lineRule="auto" w:after="20" w:before="20"/>
              <w:jc w:val="left"/>
            </w:pPr>
            <w:r/>
            <w:r>
              <w:rPr>
                <w:rFonts w:ascii="宋体" w:hAnsi="宋体" w:eastAsia="宋体"/>
                <w:sz w:val="21"/>
              </w:rPr>
              <w:t>企业方与平台方自述</w:t>
            </w:r>
          </w:p>
        </w:tc>
        <w:tc>
          <w:tcPr>
            <w:tcW w:type="dxa" w:w="1701"/>
            <w:vAlign w:val="center"/>
          </w:tcPr>
          <w:p>
            <w:pPr>
              <w:spacing w:line="240" w:lineRule="auto" w:after="20" w:before="20"/>
              <w:jc w:val="left"/>
            </w:pPr>
            <w:r/>
            <w:r>
              <w:rPr>
                <w:rFonts w:ascii="宋体" w:hAnsi="宋体" w:eastAsia="宋体"/>
                <w:sz w:val="21"/>
              </w:rPr>
              <w:t>产品发布材料所载的吞吐能力、兼容硬件与适配模型数量、效率提升倍数</w:t>
            </w:r>
          </w:p>
        </w:tc>
        <w:tc>
          <w:tcPr>
            <w:tcW w:type="dxa" w:w="1701"/>
            <w:vAlign w:val="center"/>
          </w:tcPr>
          <w:p>
            <w:pPr>
              <w:spacing w:line="240" w:lineRule="auto" w:after="20" w:before="20"/>
              <w:jc w:val="left"/>
            </w:pPr>
            <w:r/>
            <w:r>
              <w:rPr>
                <w:rFonts w:ascii="宋体" w:hAnsi="宋体" w:eastAsia="宋体"/>
                <w:sz w:val="21"/>
              </w:rPr>
              <w:t>涉及3类主体</w:t>
            </w:r>
          </w:p>
        </w:tc>
        <w:tc>
          <w:tcPr>
            <w:tcW w:type="dxa" w:w="1701"/>
            <w:vAlign w:val="center"/>
          </w:tcPr>
          <w:p>
            <w:pPr>
              <w:spacing w:line="240" w:lineRule="auto" w:after="20" w:before="20"/>
              <w:jc w:val="center"/>
            </w:pPr>
            <w:r/>
            <w:r>
              <w:rPr>
                <w:rFonts w:ascii="宋体" w:hAnsi="宋体" w:eastAsia="宋体"/>
                <w:sz w:val="21"/>
              </w:rPr>
              <w:t>C</w:t>
            </w:r>
          </w:p>
        </w:tc>
        <w:tc>
          <w:tcPr>
            <w:tcW w:type="dxa" w:w="1701"/>
            <w:vAlign w:val="center"/>
          </w:tcPr>
          <w:p>
            <w:pPr>
              <w:spacing w:line="240" w:lineRule="auto" w:after="20" w:before="20"/>
              <w:jc w:val="left"/>
            </w:pPr>
            <w:r/>
            <w:r>
              <w:rPr>
                <w:rFonts w:ascii="宋体" w:hAnsi="宋体" w:eastAsia="宋体"/>
                <w:sz w:val="21"/>
              </w:rPr>
              <w:t>仅作机制性佐证，逐条标注「企业方口径」，不与官方统计并列</w:t>
            </w:r>
          </w:p>
        </w:tc>
      </w:tr>
      <w:tr>
        <w:tc>
          <w:tcPr>
            <w:tcW w:type="dxa" w:w="1701"/>
            <w:vAlign w:val="center"/>
          </w:tcPr>
          <w:p>
            <w:pPr>
              <w:spacing w:line="240" w:lineRule="auto" w:after="20" w:before="20"/>
              <w:jc w:val="left"/>
            </w:pPr>
            <w:r/>
            <w:r>
              <w:rPr>
                <w:rFonts w:ascii="宋体" w:hAnsi="宋体" w:eastAsia="宋体"/>
                <w:sz w:val="21"/>
              </w:rPr>
              <w:t>未获证实的流传数字</w:t>
            </w:r>
          </w:p>
        </w:tc>
        <w:tc>
          <w:tcPr>
            <w:tcW w:type="dxa" w:w="1701"/>
            <w:vAlign w:val="center"/>
          </w:tcPr>
          <w:p>
            <w:pPr>
              <w:spacing w:line="240" w:lineRule="auto" w:after="20" w:before="20"/>
              <w:jc w:val="left"/>
            </w:pPr>
            <w:r/>
            <w:r>
              <w:rPr>
                <w:rFonts w:ascii="宋体" w:hAnsi="宋体" w:eastAsia="宋体"/>
                <w:sz w:val="21"/>
              </w:rPr>
              <w:t>媒体或自媒体转述而无法回溯到一手来源的企业效率倍数、平台上架数量等</w:t>
            </w:r>
          </w:p>
        </w:tc>
        <w:tc>
          <w:tcPr>
            <w:tcW w:type="dxa" w:w="1701"/>
            <w:vAlign w:val="center"/>
          </w:tcPr>
          <w:p>
            <w:pPr>
              <w:spacing w:line="240" w:lineRule="auto" w:after="20" w:before="20"/>
              <w:jc w:val="left"/>
            </w:pPr>
            <w:r/>
            <w:r>
              <w:rPr>
                <w:rFonts w:ascii="宋体" w:hAnsi="宋体" w:eastAsia="宋体"/>
                <w:sz w:val="21"/>
              </w:rPr>
              <w:t>识别出5项</w:t>
            </w:r>
          </w:p>
        </w:tc>
        <w:tc>
          <w:tcPr>
            <w:tcW w:type="dxa" w:w="1701"/>
            <w:vAlign w:val="center"/>
          </w:tcPr>
          <w:p>
            <w:pPr>
              <w:spacing w:line="240" w:lineRule="auto" w:after="20" w:before="20"/>
              <w:jc w:val="center"/>
            </w:pPr>
            <w:r/>
            <w:r>
              <w:rPr>
                <w:rFonts w:ascii="宋体" w:hAnsi="宋体" w:eastAsia="宋体"/>
                <w:sz w:val="21"/>
              </w:rPr>
              <w:t>D</w:t>
            </w:r>
          </w:p>
        </w:tc>
        <w:tc>
          <w:tcPr>
            <w:tcW w:type="dxa" w:w="1701"/>
            <w:vAlign w:val="center"/>
          </w:tcPr>
          <w:p>
            <w:pPr>
              <w:spacing w:line="240" w:lineRule="auto" w:after="20" w:before="20"/>
              <w:jc w:val="left"/>
            </w:pPr>
            <w:r/>
            <w:r>
              <w:rPr>
                <w:rFonts w:ascii="宋体" w:hAnsi="宋体" w:eastAsia="宋体"/>
                <w:sz w:val="21"/>
              </w:rPr>
              <w:t>不予采信，必要时仅作为待检验的行业传闻列示并说明理由</w:t>
            </w:r>
          </w:p>
        </w:tc>
      </w:tr>
    </w:tbl>
    <w:p>
      <w:pPr>
        <w:spacing w:after="200" w:line="240" w:lineRule="auto"/>
        <w:jc w:val="both"/>
      </w:pPr>
      <w:r>
        <w:rPr>
          <w:rFonts w:ascii="宋体" w:hAnsi="宋体" w:eastAsia="宋体"/>
          <w:sz w:val="18"/>
        </w:rPr>
        <w:t>注：层级A为一手官方来源，B为可交叉核验的公开与自采资料，C为主体自述，D为不可回溯来源；公开资料的检索与交叉核验截至2026年8月中旬。访谈份数与编码结果为本章质性研究的自采口径。</w:t>
      </w:r>
    </w:p>
    <w:p>
      <w:pPr>
        <w:spacing w:line="360" w:lineRule="auto" w:after="0"/>
        <w:ind w:firstLineChars="200" w:firstLine="480"/>
        <w:jc w:val="both"/>
      </w:pPr>
      <w:r>
        <w:rPr>
          <w:rFonts w:ascii="宋体" w:hAnsi="宋体" w:eastAsia="宋体"/>
          <w:sz w:val="24"/>
        </w:rPr>
        <w:t>表13.1的分级规则在本章有直接而具体的后果，至少体现在四处。其一，某地词元运营中心「已上架若干技能工具与智能体」的表述在多组检索中均未命中可回溯的来源，本章不予采用，改以该中心启动会集中发布的生态平台作为生态建设的证据。其二，某地海上风电「装机量全省第一」的说法与现有来源不符，可核验的口径是规划容量占浙江全省一半以上、2025年清洁能源装机占比超过45%，本章按可核验口径表述。其三，某市规上工业企业数与人工智能企业数在流传版本与权威口径之间存在出入，本章一律采用省级经济和信息化部门与权威媒体披露的口径并标注年份。其四，某企业智能设计平台的三项效率数字全部无法回溯，本章不作为案例证据使用，其处理方式详见13.4.4节。这四处处理并非吹毛求疵：区域实践研究的最大风险恰恰在于，看似丰富的公开材料实际上大量互相转述、层层放大，若不设分级门槛，案例研究的经验基础便无从谈起。</w:t>
      </w:r>
    </w:p>
    <w:p>
      <w:pPr>
        <w:spacing w:line="360" w:lineRule="auto" w:after="0"/>
        <w:ind w:firstLineChars="200" w:firstLine="480"/>
        <w:jc w:val="both"/>
      </w:pPr>
      <w:r>
        <w:rPr>
          <w:rFonts w:ascii="宋体" w:hAnsi="宋体" w:eastAsia="宋体"/>
          <w:sz w:val="24"/>
        </w:rPr>
        <w:t>效度保障还包括三项常规安排。构念效度方面，五项能力维度的操作化定义在编码前固定，编码过程中不再调整，避免为迁就材料而改动构念。内部效度方面，本章对每一项因果性表述都要求给出机制链条，而非仅给出相关性；凡机制链条不完整者，一律降格为描述性发现。外部效度方面，本章的结论适用范围限定于产业密度较高、已具备一定算力基础的城市，第10章式(10-5)已经指出统一入口存在规模门槛，低于门槛的中小城市的正确选择是接入区域平台而非自建，本章的能力比较不宜外推至该类城市。</w:t>
      </w:r>
    </w:p>
    <w:p>
      <w:pPr>
        <w:keepNext/>
        <w:spacing w:before="160" w:after="120" w:line="360" w:lineRule="auto"/>
        <w:outlineLvl w:val="1"/>
      </w:pPr>
      <w:r>
        <w:rPr>
          <w:rFonts w:ascii="黑体" w:hAnsi="黑体" w:eastAsia="黑体"/>
          <w:sz w:val="28"/>
        </w:rPr>
        <w:t>13.2  长三角（嘉兴）词元运营中心深度案例</w:t>
      </w:r>
    </w:p>
    <w:p>
      <w:pPr>
        <w:keepNext/>
        <w:spacing w:before="160" w:after="120" w:line="360" w:lineRule="auto"/>
        <w:outlineLvl w:val="2"/>
      </w:pPr>
      <w:r>
        <w:rPr>
          <w:rFonts w:ascii="黑体" w:hAnsi="黑体" w:eastAsia="黑体"/>
          <w:sz w:val="24"/>
        </w:rPr>
        <w:t>13.2.1  案例背景：算力禀赋、产业底数与制度条件</w:t>
      </w:r>
    </w:p>
    <w:p>
      <w:pPr>
        <w:spacing w:line="360" w:lineRule="auto" w:after="0"/>
        <w:ind w:firstLineChars="200" w:firstLine="480"/>
        <w:jc w:val="both"/>
      </w:pPr>
      <w:r>
        <w:rPr>
          <w:rFonts w:ascii="宋体" w:hAnsi="宋体" w:eastAsia="宋体"/>
          <w:sz w:val="24"/>
        </w:rPr>
        <w:t>选择嘉兴作为深度案例，首先因为它同时具备三项条件：厚实的算力禀赋、密集的制造业需求与明确的省级制度接口，三者恰好对应词元运营中心成立所需的供给、需求与治理三方面前提。就算力禀赋而言，嘉兴的位置由国家层面的枢纽布局决定。2022年国家发展改革委等部门同意长三角地区启动建设全国一体化算力网络国家枢纽节点，规划设立长三角生态绿色一体化发展示范区数据中心集群与另一处集群，其中示范区集群的起步区落在上海青浦、江苏苏州吴江与浙江嘉兴嘉善三地。严谨的表述是嘉兴（嘉善）属于长三角国家枢纽节点的起步区，而非单独获批为一个国家枢纽节点，媒体常见的简化说法应予校正。此后国家层面进一步部署全国一体化算力网建设（国家发展改革委等，2023），为跨域调度提供了制度框架，也为城市级平台的接入预留了通道（「国家发展改革委等，2021」）。</w:t>
      </w:r>
    </w:p>
    <w:p>
      <w:pPr>
        <w:spacing w:line="360" w:lineRule="auto" w:after="0"/>
        <w:ind w:firstLineChars="200" w:firstLine="480"/>
        <w:jc w:val="both"/>
      </w:pPr>
      <w:r>
        <w:rPr>
          <w:rFonts w:ascii="宋体" w:hAnsi="宋体" w:eastAsia="宋体"/>
          <w:sz w:val="24"/>
        </w:rPr>
        <w:t>在此框架下，嘉兴形成了以嘉善、平湖、桐乡三地为支点的算力集聚格局：嘉善重点培育三个万卡级智算中心，其中一家运营商的智算中心总投资约50亿元、规划智算规模15000P；平湖的国际信息港已投用两栋智算楼，算力规模3.2万PFLOPS；桐乡的国家超算中心浮点运算峰值为每秒18亿亿次，是全国第14个、浙江唯一的国家超算中心。这里必须强调一条计量纪律：超算中心的每秒18亿亿次是超算峰值算力，通常按双精度理论峰值计；而3.2万PFLOPS等数字是智算规模，业内多按半精度或更低精度折算。两者的精度基准不同，既不可相加，也不可换算，把二者放在同一句话里做加法是区域算力叙事中最常见的错误。就总量而言，公开报道对嘉兴已投运算力的表述随时点与口径变化，可核验的区间是约8.5万至11.8万PFLOPS，长期占浙江省已投运或已建算力规模的50%至60%，居全省首位；已投运万卡集群11个，按规划全部建成后算力规模将达27.6万PFLOPS。占比的分子分母都在变动——「已投运」与「在建加投运」是两条不同的曲线，而浙江省提出的全省智算规模目标又在扩张分母——因此不同年份的占比不宜连读为趋势。</w:t>
      </w:r>
    </w:p>
    <w:p>
      <w:pPr>
        <w:spacing w:line="360" w:lineRule="auto" w:after="0"/>
        <w:ind w:firstLineChars="200" w:firstLine="480"/>
        <w:jc w:val="both"/>
      </w:pPr>
      <w:r>
        <w:rPr>
          <w:rFonts w:ascii="宋体" w:hAnsi="宋体" w:eastAsia="宋体"/>
          <w:sz w:val="24"/>
        </w:rPr>
        <w:t>就产业底数而言，嘉兴的特征是制造业规模大、研发组织化程度高，这决定了其词元需求的结构。可核验的权威口径显示，2023年嘉兴规上工业企业6714家，规上工业产值1.46万亿元、增加值2933.6亿元，三项指标均列浙江省第三；至2026年，全市规上工业企业中已有5065家设立研发机构，设置率74.3%，连续五年居全省首位。人工智能领域的口径需要单独交代：智能物联规上企业441家，其中人工智能企业188家（2023年口径）；另有表述为规上人工智能产业企业近200家，人工智能产业年营收767.7亿元、居浙江第三。需要提醒的是，规上工业企业数出自统计部门的工业统计制度，人工智能企业数出自经济和信息化部门的产业口径，两者统计制度不同，相除得出的所谓「人工智能渗透率」在方法上是无效的。本章因此只把这两组数字分别用于刻画需求规模与需求密度，不作比值运算。</w:t>
      </w:r>
    </w:p>
    <w:p>
      <w:pPr>
        <w:spacing w:line="360" w:lineRule="auto" w:after="0"/>
        <w:ind w:firstLineChars="200" w:firstLine="480"/>
        <w:jc w:val="both"/>
      </w:pPr>
      <w:r>
        <w:rPr>
          <w:rFonts w:ascii="宋体" w:hAnsi="宋体" w:eastAsia="宋体"/>
          <w:sz w:val="24"/>
        </w:rPr>
        <w:t>就制度条件而言，浙江省的第十五个五年规划纲要在「构建新型算力体系」部分明确提出「建立全省一体化算力监测调度平台」，同时要求推动算电协同布局与就地消纳（「浙江省人民代表大会，2026」）。这一条款为城市级词元运营中心提供了上位的制度接口，但也带来一个必须厘清的层级问题：全国一体化算力网、省级一体化算力监测调度平台与城市级词元运营平台分属三个层级、三套接入范围，各平台上报的算力规模之间存在重复计算，不可加总。能源条件同样构成嘉兴的比较优势：其海上风电送出工程已于2024年11月在平湖投运，若干海上风电项目合计188台风机构成长三角地区最大的海上风电集群；2025年新增光伏装机80万千瓦以上。算电协同的可行性由此获得物理基础，也为第11章讨论的绿色词元凭证提供了产地条件（中国信息通信研究院，2025）。</w:t>
      </w:r>
    </w:p>
    <w:p>
      <w:pPr>
        <w:keepNext/>
        <w:spacing w:before="160" w:after="120" w:line="360" w:lineRule="auto"/>
        <w:outlineLvl w:val="2"/>
      </w:pPr>
      <w:r>
        <w:rPr>
          <w:rFonts w:ascii="黑体" w:hAnsi="黑体" w:eastAsia="黑体"/>
          <w:sz w:val="24"/>
        </w:rPr>
        <w:t>13.2.2  组织形态：运营边界与多方共建结构</w:t>
      </w:r>
    </w:p>
    <w:p>
      <w:pPr>
        <w:spacing w:line="360" w:lineRule="auto" w:after="0"/>
        <w:ind w:firstLineChars="200" w:firstLine="480"/>
        <w:jc w:val="both"/>
      </w:pPr>
      <w:r>
        <w:rPr>
          <w:rFonts w:ascii="宋体" w:hAnsi="宋体" w:eastAsia="宋体"/>
          <w:sz w:val="24"/>
        </w:rPr>
        <w:t>该中心的正式名称为长三角（嘉兴）Token 运营中心，2026年7月30日下午启动。此处须作一项名称说明：四家机构中有三家在设立时沿用英文 Token 命名，仅广东一家采用中文「词元」，这一并存状态恰是术语定名处于发布试用阶段的直接反映；本书正文一律使用「词元」，涉及具体机构时则照录其对外公布的名称，不作追溯性改写。案例研究首先要厘清的是运营边界，这一点在公开报道中极易被简化。准确的表述是：嘉兴市城市投资发展集团有限公司是运营中心面向市场的统一服务窗口即门户网站的运营主体，而运营中心本身由嘉兴市层面统筹、多方共建——一家基础电信运营商的嘉兴分公司作为词元经济战略合作伙伴投放核心算力，另一家运营商同步参与生态共建。把「门户运营主体」与「运营中心主办方」混为一谈，会得出「城投独家设立并运营」的错误印象，进而误判其资产逻辑与激励结构。中心的定位表述为「立足嘉兴、服务长三角、链接全国资源」，三大职能依次为打造普惠服务入口、构建资源调度枢纽、探索绿色可信服务。</w:t>
      </w:r>
    </w:p>
    <w:p>
      <w:pPr>
        <w:spacing w:line="360" w:lineRule="auto" w:after="0"/>
        <w:ind w:firstLineChars="200" w:firstLine="480"/>
        <w:jc w:val="both"/>
      </w:pPr>
      <w:r>
        <w:rPr>
          <w:rFonts w:ascii="宋体" w:hAnsi="宋体" w:eastAsia="宋体"/>
          <w:sz w:val="24"/>
        </w:rPr>
        <w:t>这一组织形态在制度经济学上有明确含义。第10章曾论证，词元运营中心必然是「商业能力加公共职能」的混合体：底层的算力组织与场景组织具有私人品性质，市场主体有充分激励；上层的统一计量、统一审计与政策抵扣具有公共品性质，其收益弥散于所有参与者，任何单一商业主体既缺乏提供的激励，也缺乏被各方接受的中立性。嘉兴的安排恰是这一论断的具体实现：算力由运营商投放，属私人品部分，交由最具成本优势的主体承担；门户与治理规则由城投运营，属公共品部分，交由具备属地公共信用的主体承担；而全局统筹由市级层面完成，为跨主体协调提供权威。兼容性标准与质量披露制度的供给通常需要超越单个企业的协调机制（Farrell和Saloner，1985；Dranove和Jin，2010；Simcoe，2012），标准化对生产率的提升效应在中国情境下亦有直接的经验证据（何凡等，2025），嘉兴的三方分工正是把这一理论要求转译为可操作的组织结构。</w:t>
      </w:r>
    </w:p>
    <w:p>
      <w:pPr>
        <w:spacing w:line="360" w:lineRule="auto" w:after="0"/>
        <w:ind w:firstLineChars="200" w:firstLine="480"/>
        <w:jc w:val="both"/>
      </w:pPr>
      <w:r>
        <w:rPr>
          <w:rFonts w:ascii="宋体" w:hAnsi="宋体" w:eastAsia="宋体"/>
          <w:sz w:val="24"/>
        </w:rPr>
        <w:t>需要进一步指出的是，这一结构解决了城投转型中的一个真实难题。第10章10.3节把城投的资产逻辑概括为「存量基础设施资产的再打包」：土地、电力接入、机房与带宽是城投的长期沉淀资产，其单独变现能力弱，但一旦与算力、模型与计量规则组合成可交易的服务，就获得了新的现金流入口。嘉兴案例显示，城投并不需要自己成为算力供应商或模型供应商——它需要成为的是「规则与入口的持有者」。这一定位的经济性在于，规则与入口具有强网络外部性，其价值随接入企业数与可选模型条目数的增加而上升（Katz和Shapiro，1985；Armstrong，2006；Jullien等，2021），而这恰是城投所擅长的属地组织能力可以发挥作用的领域；反之，若城投直接下场采购显卡、自建模型，则是以自身最弱的能力去对抗市场上最强的竞争者。案例中城投的角色边界，为其他城市提供了一个可复制的组织模板。</w:t>
      </w:r>
    </w:p>
    <w:p>
      <w:pPr>
        <w:keepNext/>
        <w:spacing w:before="160" w:after="120" w:line="360" w:lineRule="auto"/>
        <w:outlineLvl w:val="2"/>
      </w:pPr>
      <w:r>
        <w:rPr>
          <w:rFonts w:ascii="黑体" w:hAnsi="黑体" w:eastAsia="黑体"/>
          <w:sz w:val="24"/>
        </w:rPr>
        <w:t>13.2.3  「五个统一」的落地形态与交易费用证据</w:t>
      </w:r>
    </w:p>
    <w:p>
      <w:pPr>
        <w:spacing w:line="360" w:lineRule="auto" w:after="0"/>
        <w:ind w:firstLineChars="200" w:firstLine="480"/>
        <w:jc w:val="both"/>
      </w:pPr>
      <w:r>
        <w:rPr>
          <w:rFonts w:ascii="宋体" w:hAnsi="宋体" w:eastAsia="宋体"/>
          <w:sz w:val="24"/>
        </w:rPr>
        <w:t>嘉兴门户的治理框架被概括为「五个统一」：统一API入口、统一词元计量、统一费用结算、统一政策抵扣、统一安全审计。第10章已对这五项作过机制设计层面的分析，指出它们并非五项便民服务，而是对五类交易费用的针对性消解，并把统一入口的交易费用节约率校准为0.35。本节的任务不是重复这一分析，而是提供案例层面的落地证据，并指出理论与实践之间尚存的缝隙。</w:t>
      </w:r>
    </w:p>
    <w:p>
      <w:pPr>
        <w:spacing w:line="360" w:lineRule="auto" w:after="0"/>
        <w:ind w:firstLineChars="200" w:firstLine="480"/>
        <w:jc w:val="both"/>
      </w:pPr>
      <w:r>
        <w:rPr>
          <w:rFonts w:ascii="宋体" w:hAnsi="宋体" w:eastAsia="宋体"/>
          <w:sz w:val="24"/>
        </w:rPr>
        <w:t>统一入口的落地形态最为直观：企业一次接入即可按需调用100余款主流大模型条目，平台可按任务类型自动匹配成本最优模型。此处必须坚持口径纪律：100余款是平台可接入的模型条目数，同一厂商的多个版本会分别计数，它既不等于接入了100余家模型厂商，也不等于已产生实际调用量的模型数。厘清这一点之所以重要，是因为第10章式(10-5)所刻画的交易费用节约率对可选模型条目数是递增的，若把条目数误读为厂商数，就会高估平台的比选价值。即便按条目数计，其经济含义也已足够可观：一家中型企业若要自行完成同等规模的比选、适配、对账与合同管理，其内部成本将远超其全年词元支出，这正是统一入口得以存在的经济基础。自动匹配成本最优模型的功能，则直接对应第9章的匹配损失——该损失在四项损失分解中占0.12，是四项中仅次于空转损失的一项，也是最适合由平台层统一化解的一项。</w:t>
      </w:r>
    </w:p>
    <w:p>
      <w:pPr>
        <w:spacing w:line="360" w:lineRule="auto" w:after="0"/>
        <w:ind w:firstLineChars="200" w:firstLine="480"/>
        <w:jc w:val="both"/>
      </w:pPr>
      <w:r>
        <w:rPr>
          <w:rFonts w:ascii="宋体" w:hAnsi="宋体" w:eastAsia="宋体"/>
          <w:sz w:val="24"/>
        </w:rPr>
        <w:t>统一计量与统一结算的落地则显示出理论与实践的缝隙。案例可以确认的是，门户把计量与结算作为独立的治理能力列出，这与第10章层次分析法测得的制度权重排序一致——在五项制度要件中，统一计量的组合权重最高，为0.271，统一结算次之，为0.223。但案例无法确认的是，统一计量究竟统一到哪一层：是统一了物理词元的计数口径与账单格式，还是进一步统一了效值折算的系数与核验规则？就公开信息判断，目前各地的统一计量主要落在前者。这一缝隙的意义不容低估：若只统一物理词元的计数，则平台解决的是「用了多少枚」的问题，尚未解决「这些枚各值多少」的问题；而第5章已经证明，物理词元的单位价格离散度极高，最高与最低档位的单价相差12.6倍，折算后方降至2.4倍。换言之，仅有物理计量的统一，价格的可比性依然缺失，第8章所刻画的效值信息不对称仍将存在。这是本案例给出的最重要的一条改进指向。</w:t>
      </w:r>
    </w:p>
    <w:p>
      <w:pPr>
        <w:spacing w:line="360" w:lineRule="auto" w:after="0"/>
        <w:ind w:firstLineChars="200" w:firstLine="480"/>
        <w:jc w:val="both"/>
      </w:pPr>
      <w:r>
        <w:rPr>
          <w:rFonts w:ascii="宋体" w:hAnsi="宋体" w:eastAsia="宋体"/>
          <w:sz w:val="24"/>
        </w:rPr>
        <w:t>统一政策抵扣与统一安全审计的落地形态则与地方财政工具直接相关。政策抵扣把词元支出与地方产业政策的申报流程打通，使企业的政策申报费用大幅下降；安全审计把调用日志、数据流向与责任界定纳入统一留痕，回应了企业最关切的合规风险。首批生态伙伴20家，覆盖制造业龙头与科技文化企业，制造业龙头中包括玻纤新材料领域的头部企业。这一名单结构值得注意：它说明该中心的客户结构并非偏向内容行业，而是以制造业为基本盘，与嘉兴的产业底数相一致。同时须提醒，20家是签约入驻数，不等于付费客户数，更不等于已产生词元消费的企业数——生态伙伴数与实际消费企业数之间的差额，恰恰是13.5节所要解释的采纳障碍所在。</w:t>
      </w:r>
    </w:p>
    <w:p>
      <w:pPr>
        <w:keepNext/>
        <w:spacing w:before="160" w:after="120" w:line="360" w:lineRule="auto"/>
        <w:outlineLvl w:val="2"/>
      </w:pPr>
      <w:r>
        <w:rPr>
          <w:rFonts w:ascii="黑体" w:hAnsi="黑体" w:eastAsia="黑体"/>
          <w:sz w:val="24"/>
        </w:rPr>
        <w:t>13.2.4  案例的理论意涵与未决问题</w:t>
      </w:r>
    </w:p>
    <w:p>
      <w:pPr>
        <w:spacing w:line="360" w:lineRule="auto" w:after="0"/>
        <w:ind w:firstLineChars="200" w:firstLine="480"/>
        <w:jc w:val="both"/>
      </w:pPr>
      <w:r>
        <w:rPr>
          <w:rFonts w:ascii="宋体" w:hAnsi="宋体" w:eastAsia="宋体"/>
          <w:sz w:val="24"/>
        </w:rPr>
        <w:t>把嘉兴案例放回全书框架，可以提炼三点理论意涵。第一，词元运营中心的核心资产不是算力而是规则。嘉兴拥有全省首位的算力规模，却仍需要专门设立运营中心把产能转化为使用，这本身就说明产能与使用之间存在制度性阻隔；能够消解这一阻隔的，是计量、结算与审计等规则性安排，而非更多的机柜。这一判断与第12章的核算结果相互印证：词元的增长贡献产生于实际使用而非算力产能，因而2026年东部、中部、西部的词元贡献率分别为8.4%、5.1%与3.6%，与算力产能的区域分布并不重合。第二，公共品职能必须由具备中立性的主体承担，但中立性不等于行政化。嘉兴把门户交给城投而非政府部门直接运营，保留了市场化的响应速度，同时借助国资背景提供中立信用，这一折中在制度设计上具有普遍参考价值。第三，绿色可信服务从一开始就被列为三大职能之一，说明绿色属性并非事后附加的合规负担，而是被作为服务的质量维度来经营——这与第11章绿色词元溢价的实证结果一致，出海导向企业对绿色凭证的支付意愿溢价系数为0.083。</w:t>
      </w:r>
    </w:p>
    <w:p>
      <w:pPr>
        <w:spacing w:line="360" w:lineRule="auto" w:after="0"/>
        <w:ind w:firstLineChars="200" w:firstLine="480"/>
        <w:jc w:val="both"/>
      </w:pPr>
      <w:r>
        <w:rPr>
          <w:rFonts w:ascii="宋体" w:hAnsi="宋体" w:eastAsia="宋体"/>
          <w:sz w:val="24"/>
        </w:rPr>
        <w:t>案例同时留下三个未决问题。其一，效值折算尚未进入统一计量的实际内容，平台的「成本最优匹配」在没有公开效值系数的条件下，其优化目标究竟是单位物理词元价格最低还是单位标准词元价格最低，外部无法核验；若是前者，则平台的自动匹配有可能系统性地把任务导向低效值档位，反而放大第8章所刻画的逆向选择——该章测得企业对所购词元效值的认知偏差均值为0.44，低效值档位的过度采购份额为0.27。其二，交易费用节约率0.35是第10章的校准参数，案例层面尚无独立的核验途径，其检验需要企业侧的对账数据，属后续研究方向。其三，生态丰度是该案例五项能力中的相对短板，其成因是启动时点最近、生态积累时间最短，还是城投主体在开发者社群组织上存在结构性劣势，现有证据不足以判定，需要更长的观察窗口。</w:t>
      </w:r>
    </w:p>
    <w:p>
      <w:pPr>
        <w:keepNext/>
        <w:spacing w:before="160" w:after="120" w:line="360" w:lineRule="auto"/>
        <w:outlineLvl w:val="1"/>
      </w:pPr>
      <w:r>
        <w:rPr>
          <w:rFonts w:ascii="黑体" w:hAnsi="黑体" w:eastAsia="黑体"/>
          <w:sz w:val="28"/>
        </w:rPr>
        <w:t>13.3  五城模式的跨案例比较</w:t>
      </w:r>
    </w:p>
    <w:p>
      <w:pPr>
        <w:keepNext/>
        <w:spacing w:before="160" w:after="120" w:line="360" w:lineRule="auto"/>
        <w:outlineLvl w:val="2"/>
      </w:pPr>
      <w:r>
        <w:rPr>
          <w:rFonts w:ascii="黑体" w:hAnsi="黑体" w:eastAsia="黑体"/>
          <w:sz w:val="24"/>
        </w:rPr>
        <w:t>13.3.1  能力画像的合成：替代弹性与短板判据</w:t>
      </w:r>
    </w:p>
    <w:p>
      <w:pPr>
        <w:spacing w:line="360" w:lineRule="auto" w:after="0"/>
        <w:ind w:firstLineChars="200" w:firstLine="480"/>
        <w:jc w:val="both"/>
      </w:pPr>
      <w:r>
        <w:rPr>
          <w:rFonts w:ascii="宋体" w:hAnsi="宋体" w:eastAsia="宋体"/>
          <w:sz w:val="24"/>
        </w:rPr>
        <w:t xml:space="preserve">跨案例比较需要把五个维度的证据编码合成为可排序的指数，而合成方式本身即蕴含着关于能力之间关系的实质性假设。若采用简单算术平均，等于假设五项能力完全可替代——计量透明的不足可以由生态丰度的富余来补偿；若采用短板判据，等于假设五项能力完全互补——任何一项不达标都会使整体失效。两种极端假设都不合理，本章因此采用可以连续调节替代程度的幂平均族。设案例 </w:t>
      </w:r>
      <m:oMath>
        <m:r>
          <m:t>r</m:t>
        </m:r>
      </m:oMath>
      <w:r>
        <w:rPr>
          <w:rFonts w:ascii="宋体" w:hAnsi="宋体" w:eastAsia="宋体"/>
          <w:sz w:val="24"/>
        </w:rPr>
        <w:t xml:space="preserve"> 在能力维度 </w:t>
      </w:r>
      <m:oMath>
        <m:r>
          <m:t>k</m:t>
        </m:r>
      </m:oMath>
      <w:r>
        <w:rPr>
          <w:rFonts w:ascii="宋体" w:hAnsi="宋体" w:eastAsia="宋体"/>
          <w:sz w:val="24"/>
        </w:rPr>
        <w:t xml:space="preserve"> 上的证据评分为 </w:t>
      </w:r>
      <m:oMath>
        <m:sSub>
          <m:e>
            <m:r>
              <m:t>s</m:t>
            </m:r>
          </m:e>
          <m:sub>
            <m:r>
              <m:t>r</m:t>
            </m:r>
            <m:r>
              <m:t>k</m:t>
            </m:r>
          </m:sub>
        </m:sSub>
        <m:r>
          <m:rPr>
            <m:sty m:val="p"/>
          </m:rPr>
          <m:t>∈</m:t>
        </m:r>
        <m:d>
          <m:dPr>
            <m:begChr m:val="("/>
            <m:endChr m:val="]"/>
            <m:grow/>
          </m:dPr>
          <m:e>
            <m:r>
              <m:t>0</m:t>
            </m:r>
            <m:r>
              <m:rPr>
                <m:sty m:val="p"/>
              </m:rPr>
              <m:t>,</m:t>
            </m:r>
            <m:r>
              <m:t>1</m:t>
            </m:r>
          </m:e>
        </m:d>
      </m:oMath>
      <w:r>
        <w:rPr>
          <w:rFonts w:ascii="宋体" w:hAnsi="宋体" w:eastAsia="宋体"/>
          <w:sz w:val="24"/>
        </w:rPr>
        <w:t xml:space="preserve">，维度权重为 </w:t>
      </w:r>
      <m:oMath>
        <m:sSub>
          <m:e>
            <m:r>
              <m:t>w</m:t>
            </m:r>
          </m:e>
          <m:sub>
            <m:r>
              <m:t>k</m:t>
            </m:r>
          </m:sub>
        </m:sSub>
        <m:r>
          <m:rPr>
            <m:sty m:val="p"/>
          </m:rPr>
          <m:t>&gt;</m:t>
        </m:r>
        <m:r>
          <m:t>0</m:t>
        </m:r>
      </m:oMath>
      <w:r>
        <w:rPr>
          <w:rFonts w:ascii="宋体" w:hAnsi="宋体" w:eastAsia="宋体"/>
          <w:sz w:val="24"/>
        </w:rPr>
        <w:t xml:space="preserve"> 且 </w:t>
      </w:r>
      <m:oMath>
        <m:nary>
          <m:naryPr>
            <m:chr m:val="∑"/>
            <m:limLoc m:val="undOvr"/>
            <m:subHide m:val="off"/>
            <m:supHide m:val="on"/>
          </m:naryPr>
          <m:sub>
            <m:r>
              <m:t>k</m:t>
            </m:r>
          </m:sub>
          <m:sup>
            <m:r>
              <m:t>​</m:t>
            </m:r>
          </m:sup>
          <m:e>
            <m:sSub>
              <m:e>
                <m:r>
                  <m:t>w</m:t>
                </m:r>
              </m:e>
              <m:sub>
                <m:r>
                  <m:t>k</m:t>
                </m:r>
              </m:sub>
            </m:sSub>
          </m:e>
        </m:nary>
        <m:r>
          <m:rPr>
            <m:sty m:val="p"/>
          </m:rPr>
          <m:t>=</m:t>
        </m:r>
        <m:r>
          <m:t>1</m:t>
        </m:r>
      </m:oMath>
      <w:r>
        <w:rPr>
          <w:rFonts w:ascii="宋体" w:hAnsi="宋体" w:eastAsia="宋体"/>
          <w:sz w:val="24"/>
        </w:rPr>
        <w:t>，定义能力合成指数：</w:t>
      </w:r>
    </w:p>
    <w:p>
      <w:pPr>
        <w:tabs>
          <w:tab w:pos="4252" w:val="center"/>
          <w:tab w:pos="8504" w:val="right"/>
        </w:tabs>
        <w:spacing w:line="360" w:lineRule="auto" w:before="80" w:after="80"/>
      </w:pPr>
      <w:r>
        <w:tab/>
      </w:r>
      <m:oMath>
        <m:sSub>
          <m:e>
            <m:r>
              <m:t>Φ</m:t>
            </m:r>
          </m:e>
          <m:sub>
            <m:r>
              <m:t>r</m:t>
            </m:r>
          </m:sub>
        </m:sSub>
        <m:d>
          <m:dPr>
            <m:begChr m:val="("/>
            <m:endChr m:val=")"/>
            <m:grow/>
          </m:dPr>
          <m:e>
            <m:r>
              <m:t>σ</m:t>
            </m:r>
          </m:e>
        </m:d>
        <m:r>
          <m:rPr>
            <m:sty m:val="p"/>
          </m:rPr>
          <m:t>=</m:t>
        </m:r>
        <m:sSup>
          <m:e>
            <m:d>
              <m:dPr>
                <m:begChr m:val="("/>
                <m:endChr m:val=")"/>
                <m:grow/>
              </m:dPr>
              <m:e>
                <m:nary>
                  <m:naryPr>
                    <m:chr m:val="∑"/>
                    <m:limLoc m:val="undOvr"/>
                    <m:subHide m:val="off"/>
                    <m:supHide m:val="off"/>
                  </m:naryPr>
                  <m:sub>
                    <m:r>
                      <m:t>k</m:t>
                    </m:r>
                    <m:r>
                      <m:rPr>
                        <m:sty m:val="p"/>
                      </m:rPr>
                      <m:t>=</m:t>
                    </m:r>
                    <m:r>
                      <m:t>1</m:t>
                    </m:r>
                  </m:sub>
                  <m:sup>
                    <m:r>
                      <m:t>K</m:t>
                    </m:r>
                  </m:sup>
                  <m:e>
                    <m:sSub>
                      <m:e>
                        <m:r>
                          <m:t>w</m:t>
                        </m:r>
                      </m:e>
                      <m:sub>
                        <m:r>
                          <m:t>k</m:t>
                        </m:r>
                      </m:sub>
                    </m:sSub>
                  </m:e>
                </m:nary>
                <m:r>
                  <m:t> </m:t>
                </m:r>
                <m:sSubSup>
                  <m:e>
                    <m:r>
                      <m:t>s</m:t>
                    </m:r>
                  </m:e>
                  <m:sub>
                    <m:r>
                      <m:t>r</m:t>
                    </m:r>
                    <m:r>
                      <m:t>k</m:t>
                    </m:r>
                  </m:sub>
                  <m:sup>
                    <m:r>
                      <m:t>σ</m:t>
                    </m:r>
                  </m:sup>
                </m:sSubSup>
              </m:e>
            </m:d>
          </m:e>
          <m:sup>
            <m:r>
              <m:t>1</m:t>
            </m:r>
            <m:r>
              <m:rPr>
                <m:sty m:val="p"/>
              </m:rPr>
              <m:t>/</m:t>
            </m:r>
            <m:r>
              <m:t>σ</m:t>
            </m:r>
          </m:sup>
        </m:sSup>
        <m:r>
          <m:rPr>
            <m:sty m:val="p"/>
          </m:rPr>
          <m:t>,</m:t>
        </m:r>
        <m:r>
          <m:t> </m:t>
        </m:r>
        <m:r>
          <m:t>σ</m:t>
        </m:r>
        <m:r>
          <m:rPr>
            <m:sty m:val="p"/>
          </m:rPr>
          <m:t>≤</m:t>
        </m:r>
        <m:r>
          <m:t>1</m:t>
        </m:r>
        <m:r>
          <m:rPr>
            <m:sty m:val="p"/>
          </m:rPr>
          <m:t>,</m:t>
        </m:r>
        <m:r>
          <m:t> </m:t>
        </m:r>
        <m:r>
          <m:t>σ</m:t>
        </m:r>
        <m:r>
          <m:rPr>
            <m:sty m:val="p"/>
          </m:rPr>
          <m:t>≠</m:t>
        </m:r>
        <m:r>
          <m:t>0</m:t>
        </m:r>
        <m:r>
          <m:rPr>
            <m:sty m:val="p"/>
          </m:rPr>
          <m:t>;</m:t>
        </m:r>
        <m:r>
          <m:t>  </m:t>
        </m:r>
        <m:sSub>
          <m:e>
            <m:r>
              <m:t>Φ</m:t>
            </m:r>
          </m:e>
          <m:sub>
            <m:r>
              <m:t>r</m:t>
            </m:r>
          </m:sub>
        </m:sSub>
        <m:d>
          <m:dPr>
            <m:begChr m:val="("/>
            <m:endChr m:val=")"/>
            <m:grow/>
          </m:dPr>
          <m:e>
            <m:r>
              <m:t>0</m:t>
            </m:r>
          </m:e>
        </m:d>
        <m:r>
          <m:rPr>
            <m:sty m:val="p"/>
          </m:rPr>
          <m:t>=</m:t>
        </m:r>
        <m:nary>
          <m:naryPr>
            <m:chr m:val="∏"/>
            <m:limLoc m:val="undOvr"/>
            <m:subHide m:val="off"/>
            <m:supHide m:val="off"/>
          </m:naryPr>
          <m:sub>
            <m:r>
              <m:t>k</m:t>
            </m:r>
            <m:r>
              <m:rPr>
                <m:sty m:val="p"/>
              </m:rPr>
              <m:t>=</m:t>
            </m:r>
            <m:r>
              <m:t>1</m:t>
            </m:r>
          </m:sub>
          <m:sup>
            <m:r>
              <m:t>K</m:t>
            </m:r>
          </m:sup>
          <m:e>
            <m:sSubSup>
              <m:e>
                <m:r>
                  <m:t>s</m:t>
                </m:r>
              </m:e>
              <m:sub>
                <m:r>
                  <m:t>r</m:t>
                </m:r>
                <m:r>
                  <m:t>k</m:t>
                </m:r>
              </m:sub>
              <m:sup>
                <m:sSub>
                  <m:e>
                    <m:r>
                      <m:t>w</m:t>
                    </m:r>
                  </m:e>
                  <m:sub>
                    <m:r>
                      <m:t>k</m:t>
                    </m:r>
                  </m:sub>
                </m:sSub>
              </m:sup>
            </m:sSubSup>
          </m:e>
        </m:nary>
      </m:oMath>
      <w:r>
        <w:tab/>
      </w:r>
      <w:r>
        <w:rPr>
          <w:rFonts w:ascii="Times New Roman" w:hAnsi="Times New Roman" w:eastAsia="宋体"/>
          <w:sz w:val="24"/>
        </w:rPr>
        <w:t>(13-1)</w:t>
      </w:r>
    </w:p>
    <w:p>
      <w:pPr>
        <w:spacing w:line="360" w:lineRule="auto" w:after="0"/>
        <w:jc w:val="both"/>
      </w:pPr>
      <w:r>
        <w:rPr>
          <w:rFonts w:ascii="宋体" w:hAnsi="宋体" w:eastAsia="宋体"/>
          <w:sz w:val="24"/>
        </w:rPr>
        <w:t>其中，</w:t>
      </w:r>
      <m:oMath>
        <m:r>
          <m:t>σ</m:t>
        </m:r>
      </m:oMath>
      <w:r>
        <w:rPr>
          <w:rFonts w:ascii="宋体" w:hAnsi="宋体" w:eastAsia="宋体"/>
          <w:sz w:val="24"/>
        </w:rPr>
        <w:t>为替代参数，对应的维度间替代弹性为</w:t>
      </w:r>
      <m:oMath>
        <m:r>
          <m:rPr>
            <m:sty m:val="p"/>
          </m:rPr>
          <m:t>𝜍</m:t>
        </m:r>
        <m:r>
          <m:rPr>
            <m:sty m:val="p"/>
          </m:rPr>
          <m:t>=</m:t>
        </m:r>
        <m:r>
          <m:t>1</m:t>
        </m:r>
        <m:r>
          <m:rPr>
            <m:sty m:val="p"/>
          </m:rPr>
          <m:t>/</m:t>
        </m:r>
        <m:d>
          <m:dPr>
            <m:begChr m:val="("/>
            <m:endChr m:val=")"/>
            <m:grow/>
          </m:dPr>
          <m:e>
            <m:r>
              <m:t>1</m:t>
            </m:r>
            <m:r>
              <m:rPr>
                <m:sty m:val="p"/>
              </m:rPr>
              <m:t>−</m:t>
            </m:r>
            <m:r>
              <m:t>σ</m:t>
            </m:r>
          </m:e>
        </m:d>
      </m:oMath>
      <w:r>
        <w:rPr>
          <w:rFonts w:ascii="宋体" w:hAnsi="宋体" w:eastAsia="宋体"/>
          <w:sz w:val="24"/>
        </w:rPr>
        <w:t>；</w:t>
      </w:r>
      <m:oMath>
        <m:r>
          <m:t>K</m:t>
        </m:r>
        <m:r>
          <m:rPr>
            <m:sty m:val="p"/>
          </m:rPr>
          <m:t>=</m:t>
        </m:r>
        <m:r>
          <m:t>5</m:t>
        </m:r>
      </m:oMath>
      <w:r>
        <w:rPr>
          <w:rFonts w:ascii="宋体" w:hAnsi="宋体" w:eastAsia="宋体"/>
          <w:sz w:val="24"/>
        </w:rPr>
        <w:t>为能力维度数；基准设定取等权重</w:t>
      </w:r>
      <m:oMath>
        <m:sSub>
          <m:e>
            <m:r>
              <m:t>w</m:t>
            </m:r>
          </m:e>
          <m:sub>
            <m:r>
              <m:t>k</m:t>
            </m:r>
          </m:sub>
        </m:sSub>
        <m:r>
          <m:rPr>
            <m:sty m:val="p"/>
          </m:rPr>
          <m:t>=</m:t>
        </m:r>
        <m:r>
          <m:t>1</m:t>
        </m:r>
        <m:r>
          <m:rPr>
            <m:sty m:val="p"/>
          </m:rPr>
          <m:t>/</m:t>
        </m:r>
        <m:r>
          <m:t>K</m:t>
        </m:r>
      </m:oMath>
      <w:r>
        <w:rPr>
          <w:rFonts w:ascii="宋体" w:hAnsi="宋体" w:eastAsia="宋体"/>
          <w:sz w:val="24"/>
        </w:rPr>
        <w:t>，因五项能力对应企业接入时依次遭遇的五道关口，缺乏赋予其中某一项系统性更高权重的先验依据。</w:t>
      </w:r>
    </w:p>
    <w:p>
      <w:pPr>
        <w:spacing w:line="360" w:lineRule="auto" w:after="0"/>
        <w:ind w:firstLineChars="200" w:firstLine="480"/>
        <w:jc w:val="both"/>
      </w:pPr>
      <w:r>
        <w:rPr>
          <w:rFonts w:ascii="宋体" w:hAnsi="宋体" w:eastAsia="宋体"/>
          <w:sz w:val="24"/>
        </w:rPr>
        <w:t>式(13-1)具有四项性质，构成本节比较的方法论基础。第一，它把若干常用的合成方式纳入同一族：</w:t>
      </w:r>
      <m:oMath>
        <m:r>
          <m:t>σ</m:t>
        </m:r>
        <m:r>
          <m:rPr>
            <m:sty m:val="p"/>
          </m:rPr>
          <m:t>=</m:t>
        </m:r>
        <m:r>
          <m:t>1</m:t>
        </m:r>
      </m:oMath>
      <w:r>
        <w:rPr>
          <w:rFonts w:ascii="宋体" w:hAnsi="宋体" w:eastAsia="宋体"/>
          <w:sz w:val="24"/>
        </w:rPr>
        <w:t>退化为加权算术平均，替代弹性为无穷大，对应完全替代；</w:t>
      </w:r>
      <m:oMath>
        <m:r>
          <m:t>σ</m:t>
        </m:r>
        <m:r>
          <m:rPr>
            <m:sty m:val="p"/>
          </m:rPr>
          <m:t>→</m:t>
        </m:r>
        <m:r>
          <m:t>0</m:t>
        </m:r>
      </m:oMath>
      <w:r>
        <w:rPr>
          <w:rFonts w:ascii="宋体" w:hAnsi="宋体" w:eastAsia="宋体"/>
          <w:sz w:val="24"/>
        </w:rPr>
        <w:t>退化为加权几何平均，替代弹性为1；</w:t>
      </w:r>
      <m:oMath>
        <m:r>
          <m:t>σ</m:t>
        </m:r>
        <m:r>
          <m:rPr>
            <m:sty m:val="p"/>
          </m:rPr>
          <m:t>=</m:t>
        </m:r>
        <m:r>
          <m:rPr>
            <m:sty m:val="p"/>
          </m:rPr>
          <m:t>−</m:t>
        </m:r>
        <m:r>
          <m:t>1</m:t>
        </m:r>
      </m:oMath>
      <w:r>
        <w:rPr>
          <w:rFonts w:ascii="宋体" w:hAnsi="宋体" w:eastAsia="宋体"/>
          <w:sz w:val="24"/>
        </w:rPr>
        <w:t>为调和平均；</w:t>
      </w:r>
      <m:oMath>
        <m:r>
          <m:t>σ</m:t>
        </m:r>
        <m:r>
          <m:rPr>
            <m:sty m:val="p"/>
          </m:rPr>
          <m:t>→</m:t>
        </m:r>
        <m:r>
          <m:rPr>
            <m:sty m:val="p"/>
          </m:rPr>
          <m:t>−</m:t>
        </m:r>
        <m:r>
          <m:rPr>
            <m:sty m:val="p"/>
          </m:rPr>
          <m:t>∞</m:t>
        </m:r>
      </m:oMath>
      <w:r>
        <w:rPr>
          <w:rFonts w:ascii="宋体" w:hAnsi="宋体" w:eastAsia="宋体"/>
          <w:sz w:val="24"/>
        </w:rPr>
        <w:t>时</w:t>
      </w:r>
      <m:oMath>
        <m:sSub>
          <m:e>
            <m:r>
              <m:t>Φ</m:t>
            </m:r>
          </m:e>
          <m:sub>
            <m:r>
              <m:t>r</m:t>
            </m:r>
          </m:sub>
        </m:sSub>
        <m:r>
          <m:rPr>
            <m:sty m:val="p"/>
          </m:rPr>
          <m:t>→</m:t>
        </m:r>
        <m:sSub>
          <m:e>
            <m:r>
              <m:rPr>
                <m:sty m:val="p"/>
              </m:rPr>
              <m:t>min</m:t>
            </m:r>
          </m:e>
          <m:sub>
            <m:r>
              <m:t>k</m:t>
            </m:r>
          </m:sub>
        </m:sSub>
        <m:sSub>
          <m:e>
            <m:r>
              <m:t>s</m:t>
            </m:r>
          </m:e>
          <m:sub>
            <m:r>
              <m:t>r</m:t>
            </m:r>
            <m:r>
              <m:t>k</m:t>
            </m:r>
          </m:sub>
        </m:sSub>
      </m:oMath>
      <w:r>
        <w:rPr>
          <w:rFonts w:ascii="宋体" w:hAnsi="宋体" w:eastAsia="宋体"/>
          <w:sz w:val="24"/>
        </w:rPr>
        <w:t>，即短板判据，对应完全互补。第二，由幂平均不等式，</w:t>
      </w:r>
      <m:oMath>
        <m:sSub>
          <m:e>
            <m:r>
              <m:t>Φ</m:t>
            </m:r>
          </m:e>
          <m:sub>
            <m:r>
              <m:t>r</m:t>
            </m:r>
          </m:sub>
        </m:sSub>
        <m:d>
          <m:dPr>
            <m:begChr m:val="("/>
            <m:endChr m:val=")"/>
            <m:grow/>
          </m:dPr>
          <m:e>
            <m:r>
              <m:t>σ</m:t>
            </m:r>
          </m:e>
        </m:d>
      </m:oMath>
      <w:r>
        <w:rPr>
          <w:rFonts w:ascii="宋体" w:hAnsi="宋体" w:eastAsia="宋体"/>
          <w:sz w:val="24"/>
        </w:rPr>
        <w:t>关于</w:t>
      </w:r>
      <m:oMath>
        <m:r>
          <m:t>σ</m:t>
        </m:r>
      </m:oMath>
      <w:r>
        <w:rPr>
          <w:rFonts w:ascii="宋体" w:hAnsi="宋体" w:eastAsia="宋体"/>
          <w:sz w:val="24"/>
        </w:rPr>
        <w:t>单调不减，因而</w:t>
      </w:r>
      <m:oMath>
        <m:sSub>
          <m:e>
            <m:r>
              <m:rPr>
                <m:sty m:val="p"/>
              </m:rPr>
              <m:t>min</m:t>
            </m:r>
          </m:e>
          <m:sub>
            <m:r>
              <m:t>k</m:t>
            </m:r>
          </m:sub>
        </m:sSub>
        <m:sSub>
          <m:e>
            <m:r>
              <m:t>s</m:t>
            </m:r>
          </m:e>
          <m:sub>
            <m:r>
              <m:t>r</m:t>
            </m:r>
            <m:r>
              <m:t>k</m:t>
            </m:r>
          </m:sub>
        </m:sSub>
        <m:r>
          <m:rPr>
            <m:sty m:val="p"/>
          </m:rPr>
          <m:t>≤</m:t>
        </m:r>
        <m:sSub>
          <m:e>
            <m:r>
              <m:t>Φ</m:t>
            </m:r>
          </m:e>
          <m:sub>
            <m:r>
              <m:t>r</m:t>
            </m:r>
          </m:sub>
        </m:sSub>
        <m:d>
          <m:dPr>
            <m:begChr m:val="("/>
            <m:endChr m:val=")"/>
            <m:grow/>
          </m:dPr>
          <m:e>
            <m:r>
              <m:t>0</m:t>
            </m:r>
          </m:e>
        </m:d>
        <m:r>
          <m:rPr>
            <m:sty m:val="p"/>
          </m:rPr>
          <m:t>≤</m:t>
        </m:r>
        <m:sSub>
          <m:e>
            <m:r>
              <m:t>Φ</m:t>
            </m:r>
          </m:e>
          <m:sub>
            <m:r>
              <m:t>r</m:t>
            </m:r>
          </m:sub>
        </m:sSub>
        <m:d>
          <m:dPr>
            <m:begChr m:val="("/>
            <m:endChr m:val=")"/>
            <m:grow/>
          </m:dPr>
          <m:e>
            <m:r>
              <m:t>1</m:t>
            </m:r>
          </m:e>
        </m:d>
        <m:r>
          <m:rPr>
            <m:sty m:val="p"/>
          </m:rPr>
          <m:t>≤</m:t>
        </m:r>
        <m:sSub>
          <m:e>
            <m:r>
              <m:rPr>
                <m:sty m:val="p"/>
              </m:rPr>
              <m:t>max</m:t>
            </m:r>
          </m:e>
          <m:sub>
            <m:r>
              <m:t>k</m:t>
            </m:r>
          </m:sub>
        </m:sSub>
        <m:sSub>
          <m:e>
            <m:r>
              <m:t>s</m:t>
            </m:r>
          </m:e>
          <m:sub>
            <m:r>
              <m:t>r</m:t>
            </m:r>
            <m:r>
              <m:t>k</m:t>
            </m:r>
          </m:sub>
        </m:sSub>
      </m:oMath>
      <w:r>
        <w:rPr>
          <w:rFonts w:ascii="宋体" w:hAnsi="宋体" w:eastAsia="宋体"/>
          <w:sz w:val="24"/>
        </w:rPr>
        <w:t>，合成指数被严格夹在短板与长板之间。第三，</w:t>
      </w:r>
      <m:oMath>
        <m:r>
          <m:t>σ</m:t>
        </m:r>
      </m:oMath>
      <w:r>
        <w:rPr>
          <w:rFonts w:ascii="宋体" w:hAnsi="宋体" w:eastAsia="宋体"/>
          <w:sz w:val="24"/>
        </w:rPr>
        <w:t>越小，指数对低分维度越敏感：对</w:t>
      </w:r>
      <m:oMath>
        <m:sSub>
          <m:e>
            <m:r>
              <m:t>Φ</m:t>
            </m:r>
          </m:e>
          <m:sub>
            <m:r>
              <m:t>r</m:t>
            </m:r>
          </m:sub>
        </m:sSub>
      </m:oMath>
      <w:r>
        <w:rPr>
          <w:rFonts w:ascii="宋体" w:hAnsi="宋体" w:eastAsia="宋体"/>
          <w:sz w:val="24"/>
        </w:rPr>
        <w:t>取对数后求偏导可得</w:t>
      </w:r>
      <m:oMath>
        <m:r>
          <m:rPr>
            <m:sty m:val="p"/>
          </m:rPr>
          <m:t>∂</m:t>
        </m:r>
        <m:r>
          <m:rPr>
            <m:sty m:val="p"/>
          </m:rPr>
          <m:t>ln</m:t>
        </m:r>
        <m:sSub>
          <m:e>
            <m:r>
              <m:t>Φ</m:t>
            </m:r>
          </m:e>
          <m:sub>
            <m:r>
              <m:t>r</m:t>
            </m:r>
          </m:sub>
        </m:sSub>
        <m:r>
          <m:rPr>
            <m:sty m:val="p"/>
          </m:rPr>
          <m:t>/</m:t>
        </m:r>
        <m:r>
          <m:rPr>
            <m:sty m:val="p"/>
          </m:rPr>
          <m:t>∂</m:t>
        </m:r>
        <m:r>
          <m:rPr>
            <m:sty m:val="p"/>
          </m:rPr>
          <m:t>ln</m:t>
        </m:r>
        <m:sSub>
          <m:e>
            <m:r>
              <m:t>s</m:t>
            </m:r>
          </m:e>
          <m:sub>
            <m:r>
              <m:t>r</m:t>
            </m:r>
            <m:r>
              <m:t>k</m:t>
            </m:r>
          </m:sub>
        </m:sSub>
        <m:r>
          <m:rPr>
            <m:sty m:val="p"/>
          </m:rPr>
          <m:t>=</m:t>
        </m:r>
        <m:sSub>
          <m:e>
            <m:r>
              <m:t>w</m:t>
            </m:r>
          </m:e>
          <m:sub>
            <m:r>
              <m:t>k</m:t>
            </m:r>
          </m:sub>
        </m:sSub>
        <m:sSubSup>
          <m:e>
            <m:r>
              <m:t>s</m:t>
            </m:r>
          </m:e>
          <m:sub>
            <m:r>
              <m:t>r</m:t>
            </m:r>
            <m:r>
              <m:t>k</m:t>
            </m:r>
          </m:sub>
          <m:sup>
            <m:r>
              <m:t>σ</m:t>
            </m:r>
          </m:sup>
        </m:sSubSup>
        <m:r>
          <m:rPr>
            <m:sty m:val="p"/>
          </m:rPr>
          <m:t>/</m:t>
        </m:r>
        <m:nary>
          <m:naryPr>
            <m:chr m:val="∑"/>
            <m:limLoc m:val="undOvr"/>
            <m:subHide m:val="off"/>
            <m:supHide m:val="on"/>
          </m:naryPr>
          <m:sub>
            <m:sSup>
              <m:e>
                <m:r>
                  <m:t>k</m:t>
                </m:r>
              </m:e>
              <m:sup>
                <m:r>
                  <m:rPr>
                    <m:sty m:val="p"/>
                  </m:rPr>
                  <m:t>′</m:t>
                </m:r>
              </m:sup>
            </m:sSup>
          </m:sub>
          <m:sup>
            <m:r>
              <m:t>​</m:t>
            </m:r>
          </m:sup>
          <m:e>
            <m:sSub>
              <m:e>
                <m:r>
                  <m:t>w</m:t>
                </m:r>
              </m:e>
              <m:sub>
                <m:sSup>
                  <m:e>
                    <m:r>
                      <m:t>k</m:t>
                    </m:r>
                  </m:e>
                  <m:sup>
                    <m:r>
                      <m:rPr>
                        <m:sty m:val="p"/>
                      </m:rPr>
                      <m:t>′</m:t>
                    </m:r>
                  </m:sup>
                </m:sSup>
              </m:sub>
            </m:sSub>
          </m:e>
        </m:nary>
        <m:sSubSup>
          <m:e>
            <m:r>
              <m:t>s</m:t>
            </m:r>
          </m:e>
          <m:sub>
            <m:r>
              <m:t>r</m:t>
            </m:r>
            <m:sSup>
              <m:e>
                <m:r>
                  <m:t>k</m:t>
                </m:r>
              </m:e>
              <m:sup>
                <m:r>
                  <m:rPr>
                    <m:sty m:val="p"/>
                  </m:rPr>
                  <m:t>′</m:t>
                </m:r>
              </m:sup>
            </m:sSup>
          </m:sub>
          <m:sup>
            <m:r>
              <m:t>σ</m:t>
            </m:r>
          </m:sup>
        </m:sSubSup>
      </m:oMath>
      <w:r>
        <w:rPr>
          <w:rFonts w:ascii="宋体" w:hAnsi="宋体" w:eastAsia="宋体"/>
          <w:sz w:val="24"/>
        </w:rPr>
        <w:t>，该弹性随</w:t>
      </w:r>
      <m:oMath>
        <m:sSub>
          <m:e>
            <m:r>
              <m:t>s</m:t>
            </m:r>
          </m:e>
          <m:sub>
            <m:r>
              <m:t>r</m:t>
            </m:r>
            <m:r>
              <m:t>k</m:t>
            </m:r>
          </m:sub>
        </m:sSub>
      </m:oMath>
      <w:r>
        <w:rPr>
          <w:rFonts w:ascii="宋体" w:hAnsi="宋体" w:eastAsia="宋体"/>
          <w:sz w:val="24"/>
        </w:rPr>
        <w:t>的下降而上升，且上升速度由</w:t>
      </w:r>
      <m:oMath>
        <m:d>
          <m:dPr>
            <m:begChr m:val="|"/>
            <m:endChr m:val="|"/>
            <m:grow/>
          </m:dPr>
          <m:e>
            <m:r>
              <m:t>σ</m:t>
            </m:r>
          </m:e>
        </m:d>
      </m:oMath>
      <w:r>
        <w:rPr>
          <w:rFonts w:ascii="宋体" w:hAnsi="宋体" w:eastAsia="宋体"/>
          <w:sz w:val="24"/>
        </w:rPr>
        <w:t>决定。第四，也是比较研究中最关键的一点：当两个案例的评分向量呈「均值—离散度」反向配置时，即一者均值较高但维度间离散较大、另一者均值较低但分布较均匀，必存在临界替代参数</w:t>
      </w:r>
      <m:oMath>
        <m:sSup>
          <m:e>
            <m:r>
              <m:t>σ</m:t>
            </m:r>
          </m:e>
          <m:sup>
            <m:r>
              <m:rPr>
                <m:sty m:val="p"/>
              </m:rPr>
              <m:t>∗</m:t>
            </m:r>
          </m:sup>
        </m:sSup>
      </m:oMath>
      <w:r>
        <w:rPr>
          <w:rFonts w:ascii="宋体" w:hAnsi="宋体" w:eastAsia="宋体"/>
          <w:sz w:val="24"/>
        </w:rPr>
        <w:t>使二者的排序发生换位。这意味着案例排序并非客观事实，而是依赖于研究者关于能力互补程度的判断——诚实的做法是把这一判断显式化并报告其敏感性。</w:t>
      </w:r>
    </w:p>
    <w:p>
      <w:pPr>
        <w:spacing w:line="360" w:lineRule="auto" w:after="0"/>
        <w:ind w:firstLineChars="200" w:firstLine="480"/>
        <w:jc w:val="both"/>
      </w:pPr>
      <w:r>
        <w:rPr>
          <w:rFonts w:ascii="宋体" w:hAnsi="宋体" w:eastAsia="宋体"/>
          <w:sz w:val="24"/>
        </w:rPr>
        <w:t>就本章的研究对象而言，有充分理由认为五项能力偏向互补而非替代。企业访谈中反复出现的表述是：若无法核验用量与效值，则接入再便利也不会把词元嵌入主业务流；若合规责任界定不清，则成本再低也不敢在核心业务中使用。这类表述的逻辑结构是典型的互补——某一维度的不足会直接抵消其他维度的优势，而非被其部分补偿。第10章把「五个统一」作为一个整体提出而非分项推行，其制度直觉与此一致。因此本章的基准设定取</w:t>
      </w:r>
      <m:oMath>
        <m:r>
          <m:t>σ</m:t>
        </m:r>
        <m:r>
          <m:rPr>
            <m:sty m:val="p"/>
          </m:rPr>
          <m:t>=</m:t>
        </m:r>
        <m:r>
          <m:t>0</m:t>
        </m:r>
      </m:oMath>
      <w:r>
        <w:rPr>
          <w:rFonts w:ascii="宋体" w:hAnsi="宋体" w:eastAsia="宋体"/>
          <w:sz w:val="24"/>
        </w:rPr>
        <w:t>，即加权几何平均，替代弹性为1，处在完全替代与完全互补之间且计算上具有尺度不变性；同时在</w:t>
      </w:r>
      <m:oMath>
        <m:r>
          <m:t>σ</m:t>
        </m:r>
        <m:r>
          <m:rPr>
            <m:sty m:val="p"/>
          </m:rPr>
          <m:t>∈</m:t>
        </m:r>
        <m:d>
          <m:dPr>
            <m:begChr m:val="["/>
            <m:endChr m:val="]"/>
            <m:grow/>
          </m:dPr>
          <m:e>
            <m:r>
              <m:rPr>
                <m:sty m:val="p"/>
              </m:rPr>
              <m:t>−</m:t>
            </m:r>
            <m:r>
              <m:t>20</m:t>
            </m:r>
            <m:r>
              <m:rPr>
                <m:sty m:val="p"/>
              </m:rPr>
              <m:t>,</m:t>
            </m:r>
            <m:r>
              <m:t>1</m:t>
            </m:r>
          </m:e>
        </m:d>
      </m:oMath>
      <w:r>
        <w:rPr>
          <w:rFonts w:ascii="宋体" w:hAnsi="宋体" w:eastAsia="宋体"/>
          <w:sz w:val="24"/>
        </w:rPr>
        <w:t>区间内报告排序的敏感性。五城的能力画像如图13.2所示。</w:t>
      </w:r>
    </w:p>
    <w:p>
      <w:pPr>
        <w:spacing w:before="120" w:after="40"/>
        <w:jc w:val="center"/>
      </w:pPr>
      <w:r>
        <w:drawing>
          <wp:inline xmlns:a="http://schemas.openxmlformats.org/drawingml/2006/main" xmlns:pic="http://schemas.openxmlformats.org/drawingml/2006/picture">
            <wp:extent cx="4680000" cy="4823338"/>
            <wp:docPr id="43" name="Picture 43"/>
            <wp:cNvGraphicFramePr>
              <a:graphicFrameLocks noChangeAspect="1"/>
            </wp:cNvGraphicFramePr>
            <a:graphic>
              <a:graphicData uri="http://schemas.openxmlformats.org/drawingml/2006/picture">
                <pic:pic>
                  <pic:nvPicPr>
                    <pic:cNvPr id="0" name="fig13_2.png"/>
                    <pic:cNvPicPr/>
                  </pic:nvPicPr>
                  <pic:blipFill>
                    <a:blip r:embed="rId51"/>
                    <a:stretch>
                      <a:fillRect/>
                    </a:stretch>
                  </pic:blipFill>
                  <pic:spPr>
                    <a:xfrm>
                      <a:off x="0" y="0"/>
                      <a:ext cx="4680000" cy="4823338"/>
                    </a:xfrm>
                    <a:prstGeom prst="rect"/>
                  </pic:spPr>
                </pic:pic>
              </a:graphicData>
            </a:graphic>
          </wp:inline>
        </w:drawing>
      </w:r>
    </w:p>
    <w:p>
      <w:pPr>
        <w:keepNext w:val="0"/>
        <w:spacing w:after="40"/>
        <w:jc w:val="center"/>
      </w:pPr>
      <w:r>
        <w:rPr>
          <w:rFonts w:ascii="黑体" w:hAnsi="黑体" w:eastAsia="黑体"/>
          <w:sz w:val="21"/>
        </w:rPr>
        <w:t>图13.2  五城词元运营中心的能力画像</w:t>
      </w:r>
    </w:p>
    <w:p>
      <w:pPr>
        <w:spacing w:after="200" w:line="240" w:lineRule="auto"/>
        <w:jc w:val="both"/>
      </w:pPr>
      <w:r>
        <w:rPr>
          <w:rFonts w:ascii="宋体" w:hAnsi="宋体" w:eastAsia="宋体"/>
          <w:sz w:val="18"/>
        </w:rPr>
        <w:t>注：五项能力维度的评分取值区间为0—1，由深度访谈、政策文件与平台公开界面三源互证后按统一锚定规则赋值，属作者校准复算结果，不代表任何机构的官方评估或排名；括号内为各案例的运营主体类型。径向刻度自内向外由0.6递增至0.9。数据来源：作者据多源案例证据评分。</w:t>
      </w:r>
    </w:p>
    <w:p>
      <w:pPr>
        <w:spacing w:line="360" w:lineRule="auto" w:after="0"/>
        <w:ind w:firstLineChars="200" w:firstLine="480"/>
        <w:jc w:val="both"/>
      </w:pPr>
      <w:r>
        <w:rPr>
          <w:rFonts w:ascii="宋体" w:hAnsi="宋体" w:eastAsia="宋体"/>
          <w:sz w:val="24"/>
        </w:rPr>
        <w:t>图13.2显示的第一项特征是「各有所长、无一全能」。五个案例的长板分别落在不同维度：嘉兴的长板是计量透明（0.88），苏州与温州的长板同为合规可信（0.86与0.88），广州的长板是计量透明（0.85），上海的长板是生态丰度（0.90）。长板的分布方向与第10章的资产禀赋—职能匹配预测高度吻合：城投持有属地公共信用与结算通道，故在计量与结算上见长；运营商持有网络与跨境通道，数据集团持有绿电禀赋与凭证能力，故二者在合规可信上见长；数据交易所持有确权登记与规则制定职能，故在计量透明上见长；政策制定者以财政工具与集群工程切入，故在生态丰度与成本可控上见长。第二项特征是短板同样分化：五个案例的短板依次为生态丰度、成本可控、生态丰度、成本可控与计量透明，恰好落在各自禀赋的反方向。这一「长板沿禀赋、短板沿禀赋反方向」的对称格局，是资产禀赋决定能力结构这一命题最直接的案例证据。</w:t>
      </w:r>
    </w:p>
    <w:p>
      <w:pPr>
        <w:spacing w:line="360" w:lineRule="auto" w:after="0"/>
        <w:ind w:firstLineChars="200" w:firstLine="480"/>
        <w:jc w:val="both"/>
      </w:pPr>
      <w:r>
        <w:rPr>
          <w:rFonts w:ascii="宋体" w:hAnsi="宋体" w:eastAsia="宋体"/>
          <w:sz w:val="24"/>
        </w:rPr>
        <w:t>若把视角由案例转向维度，可以得到第三项特征：维度之间的城际分化程度差异显著。以各维度评分在五案例间的变异系数衡量，合规可信的分化最小（0.051），生态丰度的分化最大（0.110），成本可控次之（0.101）。这一排序具有清晰的经济解释：合规可信在很大程度上由国家层面的统一制度环境决定，地方自主空间小，故各地趋同；生态丰度取决于本地开发者社群、应用企业密度与平台运营时长，属典型的路径依赖变量，故各地分化最大；成本可控则取决于地方财政工具的力度与算力自给能力，介于两者之间。对政策制定而言，这一排序意味着：合规维度的改进主要依赖国家层面的标准供给，地方发力的边际收益有限；生态维度的改进则高度依赖地方的持续投入与时间积累，不可能通过一次性补贴迅速拉平。</w:t>
      </w:r>
    </w:p>
    <w:p>
      <w:pPr>
        <w:keepNext/>
        <w:spacing w:before="160" w:after="120" w:line="360" w:lineRule="auto"/>
        <w:outlineLvl w:val="2"/>
      </w:pPr>
      <w:r>
        <w:rPr>
          <w:rFonts w:ascii="黑体" w:hAnsi="黑体" w:eastAsia="黑体"/>
          <w:sz w:val="24"/>
        </w:rPr>
        <w:t>13.3.2  跨案例比较：模式、机制与合成指数</w:t>
      </w:r>
    </w:p>
    <w:p>
      <w:pPr>
        <w:spacing w:line="360" w:lineRule="auto" w:after="0"/>
        <w:ind w:firstLineChars="200" w:firstLine="480"/>
        <w:jc w:val="both"/>
      </w:pPr>
      <w:r>
        <w:rPr>
          <w:rFonts w:ascii="宋体" w:hAnsi="宋体" w:eastAsia="宋体"/>
          <w:sz w:val="24"/>
        </w:rPr>
        <w:t>把案例的组织特征、标志性机制与合成指数并置，可以得到完整的跨案例比较，见表13.2。表中的合成指数按式(13-1)在基准设定</w:t>
      </w:r>
      <m:oMath>
        <m:r>
          <m:t>σ</m:t>
        </m:r>
        <m:r>
          <m:rPr>
            <m:sty m:val="p"/>
          </m:rPr>
          <m:t>=</m:t>
        </m:r>
        <m:r>
          <m:t>0</m:t>
        </m:r>
      </m:oMath>
      <w:r>
        <w:rPr>
          <w:rFonts w:ascii="宋体" w:hAnsi="宋体" w:eastAsia="宋体"/>
          <w:sz w:val="24"/>
        </w:rPr>
        <w:t>下计算，短板维度取评分最低的维度及其取值。</w:t>
      </w:r>
    </w:p>
    <w:p>
      <w:pPr>
        <w:keepNext/>
        <w:spacing w:before="160" w:after="40"/>
        <w:jc w:val="center"/>
      </w:pPr>
      <w:r>
        <w:rPr>
          <w:rFonts w:ascii="黑体" w:hAnsi="黑体" w:eastAsia="黑体"/>
          <w:sz w:val="21"/>
        </w:rPr>
        <w:t>表13.2  五城词元运营与交易服务机构的跨案例比较</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案例与机构</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运营主体类型</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启动或印发时点</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标志性机制</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合成指数</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短板维度</w:t>
            </w:r>
          </w:p>
        </w:tc>
      </w:tr>
      <w:tr>
        <w:tc>
          <w:tcPr>
            <w:tcW w:type="dxa" w:w="1417"/>
            <w:vAlign w:val="center"/>
          </w:tcPr>
          <w:p>
            <w:pPr>
              <w:spacing w:line="240" w:lineRule="auto" w:after="20" w:before="20"/>
              <w:jc w:val="left"/>
            </w:pPr>
            <w:r/>
            <w:r>
              <w:rPr>
                <w:rFonts w:ascii="宋体" w:hAnsi="宋体" w:eastAsia="宋体"/>
                <w:sz w:val="21"/>
              </w:rPr>
              <w:t>长三角（嘉兴）Token 运营中心</w:t>
            </w:r>
          </w:p>
        </w:tc>
        <w:tc>
          <w:tcPr>
            <w:tcW w:type="dxa" w:w="1417"/>
            <w:vAlign w:val="center"/>
          </w:tcPr>
          <w:p>
            <w:pPr>
              <w:spacing w:line="240" w:lineRule="auto" w:after="20" w:before="20"/>
              <w:jc w:val="left"/>
            </w:pPr>
            <w:r/>
            <w:r>
              <w:rPr>
                <w:rFonts w:ascii="宋体" w:hAnsi="宋体" w:eastAsia="宋体"/>
                <w:sz w:val="21"/>
              </w:rPr>
              <w:t>城投集团</w:t>
            </w:r>
          </w:p>
        </w:tc>
        <w:tc>
          <w:tcPr>
            <w:tcW w:type="dxa" w:w="1417"/>
            <w:vAlign w:val="center"/>
          </w:tcPr>
          <w:p>
            <w:pPr>
              <w:spacing w:line="240" w:lineRule="auto" w:after="20" w:before="20"/>
              <w:jc w:val="center"/>
            </w:pPr>
            <w:r/>
            <w:r>
              <w:rPr>
                <w:rFonts w:ascii="宋体" w:hAnsi="宋体" w:eastAsia="宋体"/>
                <w:sz w:val="21"/>
              </w:rPr>
              <w:t>2026-07-30</w:t>
            </w:r>
          </w:p>
        </w:tc>
        <w:tc>
          <w:tcPr>
            <w:tcW w:type="dxa" w:w="1417"/>
            <w:vAlign w:val="center"/>
          </w:tcPr>
          <w:p>
            <w:pPr>
              <w:spacing w:line="240" w:lineRule="auto" w:after="20" w:before="20"/>
              <w:jc w:val="left"/>
            </w:pPr>
            <w:r/>
            <w:r>
              <w:rPr>
                <w:rFonts w:ascii="宋体" w:hAnsi="宋体" w:eastAsia="宋体"/>
                <w:sz w:val="21"/>
              </w:rPr>
              <w:t>「五个统一」治理框架；普惠入口、调度枢纽与绿色可信三大职能；首批生态伙伴20家</w:t>
            </w:r>
          </w:p>
        </w:tc>
        <w:tc>
          <w:tcPr>
            <w:tcW w:type="dxa" w:w="1417"/>
            <w:vAlign w:val="center"/>
          </w:tcPr>
          <w:p>
            <w:pPr>
              <w:spacing w:line="240" w:lineRule="auto" w:after="20" w:before="20"/>
              <w:jc w:val="center"/>
            </w:pPr>
            <w:r/>
            <w:r>
              <w:rPr>
                <w:rFonts w:ascii="宋体" w:hAnsi="宋体" w:eastAsia="宋体"/>
                <w:sz w:val="21"/>
              </w:rPr>
              <w:t>0.816</w:t>
            </w:r>
          </w:p>
        </w:tc>
        <w:tc>
          <w:tcPr>
            <w:tcW w:type="dxa" w:w="1417"/>
            <w:vAlign w:val="center"/>
          </w:tcPr>
          <w:p>
            <w:pPr>
              <w:spacing w:line="240" w:lineRule="auto" w:after="20" w:before="20"/>
              <w:jc w:val="center"/>
            </w:pPr>
            <w:r/>
            <w:r>
              <w:rPr>
                <w:rFonts w:ascii="宋体" w:hAnsi="宋体" w:eastAsia="宋体"/>
                <w:sz w:val="21"/>
              </w:rPr>
              <w:t>生态丰度（0.72）</w:t>
            </w:r>
          </w:p>
        </w:tc>
      </w:tr>
      <w:tr>
        <w:tc>
          <w:tcPr>
            <w:tcW w:type="dxa" w:w="1417"/>
            <w:vAlign w:val="center"/>
          </w:tcPr>
          <w:p>
            <w:pPr>
              <w:spacing w:line="240" w:lineRule="auto" w:after="20" w:before="20"/>
              <w:jc w:val="left"/>
            </w:pPr>
            <w:r/>
            <w:r>
              <w:rPr>
                <w:rFonts w:ascii="宋体" w:hAnsi="宋体" w:eastAsia="宋体"/>
                <w:sz w:val="21"/>
              </w:rPr>
              <w:t>中国电信（江苏）Token 运营中心（苏州）</w:t>
            </w:r>
          </w:p>
        </w:tc>
        <w:tc>
          <w:tcPr>
            <w:tcW w:type="dxa" w:w="1417"/>
            <w:vAlign w:val="center"/>
          </w:tcPr>
          <w:p>
            <w:pPr>
              <w:spacing w:line="240" w:lineRule="auto" w:after="20" w:before="20"/>
              <w:jc w:val="left"/>
            </w:pPr>
            <w:r/>
            <w:r>
              <w:rPr>
                <w:rFonts w:ascii="宋体" w:hAnsi="宋体" w:eastAsia="宋体"/>
                <w:sz w:val="21"/>
              </w:rPr>
              <w:t>基础电信运营商</w:t>
            </w:r>
          </w:p>
        </w:tc>
        <w:tc>
          <w:tcPr>
            <w:tcW w:type="dxa" w:w="1417"/>
            <w:vAlign w:val="center"/>
          </w:tcPr>
          <w:p>
            <w:pPr>
              <w:spacing w:line="240" w:lineRule="auto" w:after="20" w:before="20"/>
              <w:jc w:val="center"/>
            </w:pPr>
            <w:r/>
            <w:r>
              <w:rPr>
                <w:rFonts w:ascii="宋体" w:hAnsi="宋体" w:eastAsia="宋体"/>
                <w:sz w:val="21"/>
              </w:rPr>
              <w:t>2026-08-11</w:t>
            </w:r>
          </w:p>
        </w:tc>
        <w:tc>
          <w:tcPr>
            <w:tcW w:type="dxa" w:w="1417"/>
            <w:vAlign w:val="center"/>
          </w:tcPr>
          <w:p>
            <w:pPr>
              <w:spacing w:line="240" w:lineRule="auto" w:after="20" w:before="20"/>
              <w:jc w:val="left"/>
            </w:pPr>
            <w:r/>
            <w:r>
              <w:rPr>
                <w:rFonts w:ascii="宋体" w:hAnsi="宋体" w:eastAsia="宋体"/>
                <w:sz w:val="21"/>
              </w:rPr>
              <w:t>六大类服务菜单；依托自有云底座与运营服务平台；同日成立词元出海服务联盟，首批15家成员</w:t>
            </w:r>
          </w:p>
        </w:tc>
        <w:tc>
          <w:tcPr>
            <w:tcW w:type="dxa" w:w="1417"/>
            <w:vAlign w:val="center"/>
          </w:tcPr>
          <w:p>
            <w:pPr>
              <w:spacing w:line="240" w:lineRule="auto" w:after="20" w:before="20"/>
              <w:jc w:val="center"/>
            </w:pPr>
            <w:r/>
            <w:r>
              <w:rPr>
                <w:rFonts w:ascii="宋体" w:hAnsi="宋体" w:eastAsia="宋体"/>
                <w:sz w:val="21"/>
              </w:rPr>
              <w:t>0.796</w:t>
            </w:r>
          </w:p>
        </w:tc>
        <w:tc>
          <w:tcPr>
            <w:tcW w:type="dxa" w:w="1417"/>
            <w:vAlign w:val="center"/>
          </w:tcPr>
          <w:p>
            <w:pPr>
              <w:spacing w:line="240" w:lineRule="auto" w:after="20" w:before="20"/>
              <w:jc w:val="center"/>
            </w:pPr>
            <w:r/>
            <w:r>
              <w:rPr>
                <w:rFonts w:ascii="宋体" w:hAnsi="宋体" w:eastAsia="宋体"/>
                <w:sz w:val="21"/>
              </w:rPr>
              <w:t>成本可控（0.71）</w:t>
            </w:r>
          </w:p>
        </w:tc>
      </w:tr>
      <w:tr>
        <w:tc>
          <w:tcPr>
            <w:tcW w:type="dxa" w:w="1417"/>
            <w:vAlign w:val="center"/>
          </w:tcPr>
          <w:p>
            <w:pPr>
              <w:spacing w:line="240" w:lineRule="auto" w:after="20" w:before="20"/>
              <w:jc w:val="left"/>
            </w:pPr>
            <w:r/>
            <w:r>
              <w:rPr>
                <w:rFonts w:ascii="宋体" w:hAnsi="宋体" w:eastAsia="宋体"/>
                <w:sz w:val="21"/>
              </w:rPr>
              <w:t>东南 Token 运营中心（温州）</w:t>
            </w:r>
          </w:p>
        </w:tc>
        <w:tc>
          <w:tcPr>
            <w:tcW w:type="dxa" w:w="1417"/>
            <w:vAlign w:val="center"/>
          </w:tcPr>
          <w:p>
            <w:pPr>
              <w:spacing w:line="240" w:lineRule="auto" w:after="20" w:before="20"/>
              <w:jc w:val="left"/>
            </w:pPr>
            <w:r/>
            <w:r>
              <w:rPr>
                <w:rFonts w:ascii="宋体" w:hAnsi="宋体" w:eastAsia="宋体"/>
                <w:sz w:val="21"/>
              </w:rPr>
              <w:t>数据集团（国资控股运营公司）</w:t>
            </w:r>
          </w:p>
        </w:tc>
        <w:tc>
          <w:tcPr>
            <w:tcW w:type="dxa" w:w="1417"/>
            <w:vAlign w:val="center"/>
          </w:tcPr>
          <w:p>
            <w:pPr>
              <w:spacing w:line="240" w:lineRule="auto" w:after="20" w:before="20"/>
              <w:jc w:val="center"/>
            </w:pPr>
            <w:r/>
            <w:r>
              <w:rPr>
                <w:rFonts w:ascii="宋体" w:hAnsi="宋体" w:eastAsia="宋体"/>
                <w:sz w:val="21"/>
              </w:rPr>
              <w:t>2026-07-15</w:t>
            </w:r>
          </w:p>
        </w:tc>
        <w:tc>
          <w:tcPr>
            <w:tcW w:type="dxa" w:w="1417"/>
            <w:vAlign w:val="center"/>
          </w:tcPr>
          <w:p>
            <w:pPr>
              <w:spacing w:line="240" w:lineRule="auto" w:after="20" w:before="20"/>
              <w:jc w:val="left"/>
            </w:pPr>
            <w:r/>
            <w:r>
              <w:rPr>
                <w:rFonts w:ascii="宋体" w:hAnsi="宋体" w:eastAsia="宋体"/>
                <w:sz w:val="21"/>
              </w:rPr>
              <w:t>绿色词元认证的三项可证：来源可溯、用能可证、碳排可算；门户与区域词元工厂同日启用</w:t>
            </w:r>
          </w:p>
        </w:tc>
        <w:tc>
          <w:tcPr>
            <w:tcW w:type="dxa" w:w="1417"/>
            <w:vAlign w:val="center"/>
          </w:tcPr>
          <w:p>
            <w:pPr>
              <w:spacing w:line="240" w:lineRule="auto" w:after="20" w:before="20"/>
              <w:jc w:val="center"/>
            </w:pPr>
            <w:r/>
            <w:r>
              <w:rPr>
                <w:rFonts w:ascii="宋体" w:hAnsi="宋体" w:eastAsia="宋体"/>
                <w:sz w:val="21"/>
              </w:rPr>
              <w:t>0.772</w:t>
            </w:r>
          </w:p>
        </w:tc>
        <w:tc>
          <w:tcPr>
            <w:tcW w:type="dxa" w:w="1417"/>
            <w:vAlign w:val="center"/>
          </w:tcPr>
          <w:p>
            <w:pPr>
              <w:spacing w:line="240" w:lineRule="auto" w:after="20" w:before="20"/>
              <w:jc w:val="center"/>
            </w:pPr>
            <w:r/>
            <w:r>
              <w:rPr>
                <w:rFonts w:ascii="宋体" w:hAnsi="宋体" w:eastAsia="宋体"/>
                <w:sz w:val="21"/>
              </w:rPr>
              <w:t>生态丰度（0.66）</w:t>
            </w:r>
          </w:p>
        </w:tc>
      </w:tr>
      <w:tr>
        <w:tc>
          <w:tcPr>
            <w:tcW w:type="dxa" w:w="1417"/>
            <w:vAlign w:val="center"/>
          </w:tcPr>
          <w:p>
            <w:pPr>
              <w:spacing w:line="240" w:lineRule="auto" w:after="20" w:before="20"/>
              <w:jc w:val="left"/>
            </w:pPr>
            <w:r/>
            <w:r>
              <w:rPr>
                <w:rFonts w:ascii="宋体" w:hAnsi="宋体" w:eastAsia="宋体"/>
                <w:sz w:val="21"/>
              </w:rPr>
              <w:t>广东词元交易和服务中心（广州南沙）</w:t>
            </w:r>
          </w:p>
        </w:tc>
        <w:tc>
          <w:tcPr>
            <w:tcW w:type="dxa" w:w="1417"/>
            <w:vAlign w:val="center"/>
          </w:tcPr>
          <w:p>
            <w:pPr>
              <w:spacing w:line="240" w:lineRule="auto" w:after="20" w:before="20"/>
              <w:jc w:val="left"/>
            </w:pPr>
            <w:r/>
            <w:r>
              <w:rPr>
                <w:rFonts w:ascii="宋体" w:hAnsi="宋体" w:eastAsia="宋体"/>
                <w:sz w:val="21"/>
              </w:rPr>
              <w:t>数据交易所</w:t>
            </w:r>
          </w:p>
        </w:tc>
        <w:tc>
          <w:tcPr>
            <w:tcW w:type="dxa" w:w="1417"/>
            <w:vAlign w:val="center"/>
          </w:tcPr>
          <w:p>
            <w:pPr>
              <w:spacing w:line="240" w:lineRule="auto" w:after="20" w:before="20"/>
              <w:jc w:val="center"/>
            </w:pPr>
            <w:r/>
            <w:r>
              <w:rPr>
                <w:rFonts w:ascii="宋体" w:hAnsi="宋体" w:eastAsia="宋体"/>
                <w:sz w:val="21"/>
              </w:rPr>
              <w:t>2026-07-30</w:t>
            </w:r>
          </w:p>
        </w:tc>
        <w:tc>
          <w:tcPr>
            <w:tcW w:type="dxa" w:w="1417"/>
            <w:vAlign w:val="center"/>
          </w:tcPr>
          <w:p>
            <w:pPr>
              <w:spacing w:line="240" w:lineRule="auto" w:after="20" w:before="20"/>
              <w:jc w:val="left"/>
            </w:pPr>
            <w:r/>
            <w:r>
              <w:rPr>
                <w:rFonts w:ascii="宋体" w:hAnsi="宋体" w:eastAsia="宋体"/>
                <w:sz w:val="21"/>
              </w:rPr>
              <w:t>牵头构建全省统一词元计量规则并出具交易凭证；设普惠、行业、跨境三大交易专区</w:t>
            </w:r>
          </w:p>
        </w:tc>
        <w:tc>
          <w:tcPr>
            <w:tcW w:type="dxa" w:w="1417"/>
            <w:vAlign w:val="center"/>
          </w:tcPr>
          <w:p>
            <w:pPr>
              <w:spacing w:line="240" w:lineRule="auto" w:after="20" w:before="20"/>
              <w:jc w:val="center"/>
            </w:pPr>
            <w:r/>
            <w:r>
              <w:rPr>
                <w:rFonts w:ascii="宋体" w:hAnsi="宋体" w:eastAsia="宋体"/>
                <w:sz w:val="21"/>
              </w:rPr>
              <w:t>0.763</w:t>
            </w:r>
          </w:p>
        </w:tc>
        <w:tc>
          <w:tcPr>
            <w:tcW w:type="dxa" w:w="1417"/>
            <w:vAlign w:val="center"/>
          </w:tcPr>
          <w:p>
            <w:pPr>
              <w:spacing w:line="240" w:lineRule="auto" w:after="20" w:before="20"/>
              <w:jc w:val="center"/>
            </w:pPr>
            <w:r/>
            <w:r>
              <w:rPr>
                <w:rFonts w:ascii="宋体" w:hAnsi="宋体" w:eastAsia="宋体"/>
                <w:sz w:val="21"/>
              </w:rPr>
              <w:t>成本可控（0.68）</w:t>
            </w:r>
          </w:p>
        </w:tc>
      </w:tr>
      <w:tr>
        <w:tc>
          <w:tcPr>
            <w:tcW w:type="dxa" w:w="1417"/>
            <w:vAlign w:val="center"/>
          </w:tcPr>
          <w:p>
            <w:pPr>
              <w:spacing w:line="240" w:lineRule="auto" w:after="20" w:before="20"/>
              <w:jc w:val="left"/>
            </w:pPr>
            <w:r/>
            <w:r>
              <w:rPr>
                <w:rFonts w:ascii="宋体" w:hAnsi="宋体" w:eastAsia="宋体"/>
                <w:sz w:val="21"/>
              </w:rPr>
              <w:t>上海：软件和信息服务业「十五五」规划</w:t>
            </w:r>
          </w:p>
        </w:tc>
        <w:tc>
          <w:tcPr>
            <w:tcW w:type="dxa" w:w="1417"/>
            <w:vAlign w:val="center"/>
          </w:tcPr>
          <w:p>
            <w:pPr>
              <w:spacing w:line="240" w:lineRule="auto" w:after="20" w:before="20"/>
              <w:jc w:val="left"/>
            </w:pPr>
            <w:r/>
            <w:r>
              <w:rPr>
                <w:rFonts w:ascii="宋体" w:hAnsi="宋体" w:eastAsia="宋体"/>
                <w:sz w:val="21"/>
              </w:rPr>
              <w:t>政策制定者</w:t>
            </w:r>
          </w:p>
        </w:tc>
        <w:tc>
          <w:tcPr>
            <w:tcW w:type="dxa" w:w="1417"/>
            <w:vAlign w:val="center"/>
          </w:tcPr>
          <w:p>
            <w:pPr>
              <w:spacing w:line="240" w:lineRule="auto" w:after="20" w:before="20"/>
              <w:jc w:val="center"/>
            </w:pPr>
            <w:r/>
            <w:r>
              <w:rPr>
                <w:rFonts w:ascii="宋体" w:hAnsi="宋体" w:eastAsia="宋体"/>
                <w:sz w:val="21"/>
              </w:rPr>
              <w:t>2026-08-11</w:t>
            </w:r>
          </w:p>
        </w:tc>
        <w:tc>
          <w:tcPr>
            <w:tcW w:type="dxa" w:w="1417"/>
            <w:vAlign w:val="center"/>
          </w:tcPr>
          <w:p>
            <w:pPr>
              <w:spacing w:line="240" w:lineRule="auto" w:after="20" w:before="20"/>
              <w:jc w:val="left"/>
            </w:pPr>
            <w:r/>
            <w:r>
              <w:rPr>
                <w:rFonts w:ascii="宋体" w:hAnsi="宋体" w:eastAsia="宋体"/>
                <w:sz w:val="21"/>
              </w:rPr>
              <w:t>探索将词元、数据治理、大模型部署及再训练等投入纳入企业技术改造支持方向；「百千万」智算集群工程</w:t>
            </w:r>
          </w:p>
        </w:tc>
        <w:tc>
          <w:tcPr>
            <w:tcW w:type="dxa" w:w="1417"/>
            <w:vAlign w:val="center"/>
          </w:tcPr>
          <w:p>
            <w:pPr>
              <w:spacing w:line="240" w:lineRule="auto" w:after="20" w:before="20"/>
              <w:jc w:val="center"/>
            </w:pPr>
            <w:r/>
            <w:r>
              <w:rPr>
                <w:rFonts w:ascii="宋体" w:hAnsi="宋体" w:eastAsia="宋体"/>
                <w:sz w:val="21"/>
              </w:rPr>
              <w:t>0.805</w:t>
            </w:r>
          </w:p>
        </w:tc>
        <w:tc>
          <w:tcPr>
            <w:tcW w:type="dxa" w:w="1417"/>
            <w:vAlign w:val="center"/>
          </w:tcPr>
          <w:p>
            <w:pPr>
              <w:spacing w:line="240" w:lineRule="auto" w:after="20" w:before="20"/>
              <w:jc w:val="center"/>
            </w:pPr>
            <w:r/>
            <w:r>
              <w:rPr>
                <w:rFonts w:ascii="宋体" w:hAnsi="宋体" w:eastAsia="宋体"/>
                <w:sz w:val="21"/>
              </w:rPr>
              <w:t>计量透明（0.72）</w:t>
            </w:r>
          </w:p>
        </w:tc>
      </w:tr>
    </w:tbl>
    <w:p>
      <w:pPr>
        <w:spacing w:after="200" w:line="240" w:lineRule="auto"/>
        <w:jc w:val="both"/>
      </w:pPr>
      <w:r>
        <w:rPr>
          <w:rFonts w:ascii="宋体" w:hAnsi="宋体" w:eastAsia="宋体"/>
          <w:sz w:val="18"/>
        </w:rPr>
        <w:t>注：机构名称、主体类型与时点依公开报道与政策文本，其中嘉兴一栏的主体特指面向市场的统一服务窗口运营主体，运营中心本身由市级统筹、多方共建；温州一栏的具体运营主体为国资控股的专业运营公司，其负责人由市数据集团高管兼任。各地自定的能力清单（嘉兴「五个统一」、温州「六个统一」、苏州「六大类服务」、广东五大服务能力）分属平台治理能力、服务菜单与交易场所职能三种不同性质，条目数不构成可比的能力评分。合成指数按式(13-1)在</w:t>
      </w:r>
      <m:oMath>
        <m:r>
          <m:t>σ</m:t>
        </m:r>
        <m:r>
          <m:rPr>
            <m:sty m:val="p"/>
          </m:rPr>
          <m:t>=</m:t>
        </m:r>
        <m:r>
          <m:t>0</m:t>
        </m:r>
      </m:oMath>
      <w:r>
        <w:rPr>
          <w:rFonts w:ascii="宋体" w:hAnsi="宋体" w:eastAsia="宋体"/>
          <w:sz w:val="18"/>
        </w:rPr>
        <w:t>下计算，评分口径同图13.2，为作者校准复算结果。</w:t>
      </w:r>
    </w:p>
    <w:p>
      <w:pPr>
        <w:spacing w:line="360" w:lineRule="auto" w:after="0"/>
        <w:ind w:firstLineChars="200" w:firstLine="480"/>
        <w:jc w:val="both"/>
      </w:pPr>
      <w:r>
        <w:rPr>
          <w:rFonts w:ascii="宋体" w:hAnsi="宋体" w:eastAsia="宋体"/>
          <w:sz w:val="24"/>
        </w:rPr>
        <w:t>表13.2给出的基准排序为：嘉兴、上海、苏州、温州、广州，合成指数依次为0.816、0.805、0.796、0.772与0.763，首尾差距约6.9%。这一排序需要三点限定。第一，排序反映的是启动初期的能力状态而非长期潜力，五个案例的启动时点集中在一个月内，其中最早与最晚相差不足一个月，各案例的生态积累几乎都从零起步，排序在很大程度上反映的是禀赋转化为能力的初始效率，而非稳态水平。第二，排序对合成方式敏感。在完全替代设定（</w:t>
      </w:r>
      <m:oMath>
        <m:r>
          <m:t>σ</m:t>
        </m:r>
        <m:r>
          <m:rPr>
            <m:sty m:val="p"/>
          </m:rPr>
          <m:t>=</m:t>
        </m:r>
        <m:r>
          <m:t>1</m:t>
        </m:r>
      </m:oMath>
      <w:r>
        <w:rPr>
          <w:rFonts w:ascii="宋体" w:hAnsi="宋体" w:eastAsia="宋体"/>
          <w:sz w:val="24"/>
        </w:rPr>
        <w:t>）下，排序为嘉兴0.818、上海0.808、苏州0.798、温州0.776、广州0.766，与基准一致；但当</w:t>
      </w:r>
      <m:oMath>
        <m:r>
          <m:t>σ</m:t>
        </m:r>
      </m:oMath>
      <w:r>
        <w:rPr>
          <w:rFonts w:ascii="宋体" w:hAnsi="宋体" w:eastAsia="宋体"/>
          <w:sz w:val="24"/>
        </w:rPr>
        <w:t>降至约-9.7以下，即互补性强到接近短板判据时，温州与广州发生换位——在纯短板口径下，广州的最低维度为0.68，高于温州的0.66。这一换位不是计算噪声，而是实质性的经济信息：温州的评分均值高于广州，但其生态丰度维度明显落后，一旦认为能力之间高度互补，这一短板就足以抵消其在合规与成本维度上的优势。第三，指数本身不是绩效评价，五个案例在制度切入点上并不同质——上海以政策工具切入而非实体机构，广州属交易场所属性而非运营服务属性，把它们放在同一坐标系内比较的价值在于揭示能力结构的分化模式，而不在于排出名次。</w:t>
      </w:r>
    </w:p>
    <w:p>
      <w:pPr>
        <w:spacing w:line="360" w:lineRule="auto" w:after="0"/>
        <w:ind w:firstLineChars="200" w:firstLine="480"/>
        <w:jc w:val="both"/>
      </w:pPr>
      <w:r>
        <w:rPr>
          <w:rFonts w:ascii="宋体" w:hAnsi="宋体" w:eastAsia="宋体"/>
          <w:sz w:val="24"/>
        </w:rPr>
        <w:t>排序之外，更值得关注的是差异的成因。第一类成因是资产禀赋，前已详述。第二类成因是制度切入点：嘉兴、苏州、温州以实体机构切入，广州以交易场所切入，上海以财政与产业政策工具切入。切入点决定了各案例最先解决的问题——实体机构最先解决接入与调度，交易场所最先解决凭证与规则，政策工具最先解决成本分担。第三类成因是产业需求结构：嘉兴的需求以制造业为基本盘，温州的需求以中小企业、跨境电商与内容创作为特色，苏州兼具制造与出海需求，广州与上海则以服务业与平台经济为主。需求结构不同，能力建设的优先序自然不同，把不同优先序解读为能力高下是一种误读。第四类成因是政策层级：广东于2026年6月印发全国首份省级词元经济专项政策，提出到2027年底基本形成全省一盘棋统筹、差异化布局、一体化协同的发展格局，广州中心是这一省级部署的落地载体；此后北京、四川、海南、江苏、湖北、贵州等地密集布局，北京于2026年8月初发布全市首个聚焦词元全产业链的专项政策，每年发放亿元级券金。这意味着城市级实践的差异在相当程度上是省级制度供给差异的投影，脱离省级政策环境孤立评价城市能力并不恰当。</w:t>
      </w:r>
    </w:p>
    <w:p>
      <w:pPr>
        <w:spacing w:line="360" w:lineRule="auto" w:after="0"/>
        <w:ind w:firstLineChars="200" w:firstLine="480"/>
        <w:jc w:val="both"/>
      </w:pPr>
      <w:r>
        <w:rPr>
          <w:rFonts w:ascii="宋体" w:hAnsi="宋体" w:eastAsia="宋体"/>
          <w:sz w:val="24"/>
        </w:rPr>
        <w:t>跨案例比较还揭示了一项共性，其重要性甚至超过差异本身：五个案例全部把出海或跨境服务列入职能清单。苏州同日成立词元出海服务联盟，广东把词元出海与跨境流通列入五大服务能力并设立跨境交易专区，温州以绿色词元认证为出海企业提供可信、可计量、可追溯的服务凭证，嘉兴把绿色可信服务的目标客户明确指向出海企业，上海的规划则以参与全球竞争的桥头堡为定位表述之一。这一共性说明，地方实践者对词元经济的判断具有高度一致性：词元计量规则的国际互认，是词元出海能否带动规则输出的关键。绿色金融统计标准的国际比较经验表明，标准的国际互认往往先于资金与产品的跨境流动，且互认程度直接决定市场的可及性（陈丹丹等，2025）；跨境碳规制的实践也显示，缺少互认的核算体系会迅速转化为事实性的贸易壁垒（「European Parliament和Council，2023」）。这一共性证据将在第14章转化为具体的政策建议。</w:t>
      </w:r>
    </w:p>
    <w:p>
      <w:pPr>
        <w:keepNext/>
        <w:spacing w:before="160" w:after="120" w:line="360" w:lineRule="auto"/>
        <w:outlineLvl w:val="1"/>
      </w:pPr>
      <w:r>
        <w:rPr>
          <w:rFonts w:ascii="黑体" w:hAnsi="黑体" w:eastAsia="黑体"/>
          <w:sz w:val="28"/>
        </w:rPr>
        <w:t>13.4  企业侧案例：供给侧优化与需求侧应用</w:t>
      </w:r>
    </w:p>
    <w:p>
      <w:pPr>
        <w:spacing w:line="360" w:lineRule="auto" w:after="0"/>
        <w:ind w:firstLineChars="200" w:firstLine="480"/>
        <w:jc w:val="both"/>
      </w:pPr>
      <w:r>
        <w:rPr>
          <w:rFonts w:ascii="宋体" w:hAnsi="宋体" w:eastAsia="宋体"/>
          <w:sz w:val="24"/>
        </w:rPr>
        <w:t>前两节考察的是城市层面的制度供给，本节转向企业层面的实际使用。体例上需先作一项说明：本章对政府部门、公共平台与运营机构实名表述，因其职能与文件均属公共信息；对企业则一律以类型、所在地与业务特征描述而不点名，理由有二。其一，本章使用的企业信息大量来自匿名化访谈，若在同一节内对部分企业实名、对另一部分匿名，读者会据上下文反推匿名受访者的身份，破坏访谈承诺。其二，公开报道中若干企业主体的法人登记信息与发布主体是否同一尚存疑问，实名叙述会把工商登记层面的不确定性带入学术文本。以类型描述并不损失信息：本节关心的是「哪一类企业、在哪一类场景中、以何种方式消费词元」这一结构性问题，而非任何具体企业的经营绩效。</w:t>
      </w:r>
    </w:p>
    <w:p>
      <w:pPr>
        <w:keepNext/>
        <w:spacing w:before="160" w:after="120" w:line="360" w:lineRule="auto"/>
        <w:outlineLvl w:val="2"/>
      </w:pPr>
      <w:r>
        <w:rPr>
          <w:rFonts w:ascii="黑体" w:hAnsi="黑体" w:eastAsia="黑体"/>
          <w:sz w:val="24"/>
        </w:rPr>
        <w:t>13.4.1  供给侧：词元优化工厂与转化效率的技术边界</w:t>
      </w:r>
    </w:p>
    <w:p>
      <w:pPr>
        <w:spacing w:line="360" w:lineRule="auto" w:after="0"/>
        <w:ind w:firstLineChars="200" w:firstLine="480"/>
        <w:jc w:val="both"/>
      </w:pPr>
      <w:r>
        <w:rPr>
          <w:rFonts w:ascii="宋体" w:hAnsi="宋体" w:eastAsia="宋体"/>
          <w:sz w:val="24"/>
        </w:rPr>
        <w:t>词元运营中心处理的是流通环节的制度问题，而转化效率的改进最终仍要落在技术环节。2026年7月，一家企业在世界人工智能大会上发布了国产词元优化工厂产品，其定位被表述为「把每一份算力变成稳定、高效的词元」，具体目标为同等算力投入产出更多有效词元、同等模型部署实现更快推理响应、同等显存硬件更稳定地运行超长上下文。其技术路线包括结果感知驱动的键值缓存压缩、全模态推理的词元压缩、长上下文后训练优化、深度推理优化与智能体长程任务记忆机制。据企业方与媒体口径，该产品兼容10余种国产算力硬件、适配20余款主流模型，日吞吐达千亿枚词元量级；创始团队具备高校计算机学科与国家级超算中心背景，并于2025年9月完成近亿元Pre-A轮融资。上述数字均属企业方口径，无第三方测评背书，本章仅将其作为机制性佐证。</w:t>
      </w:r>
    </w:p>
    <w:p>
      <w:pPr>
        <w:spacing w:line="360" w:lineRule="auto" w:after="0"/>
        <w:ind w:firstLineChars="200" w:firstLine="480"/>
        <w:jc w:val="both"/>
      </w:pPr>
      <w:r>
        <w:rPr>
          <w:rFonts w:ascii="宋体" w:hAnsi="宋体" w:eastAsia="宋体"/>
          <w:sz w:val="24"/>
        </w:rPr>
        <w:t>这一案例在技术脉络上并非孤例，而是近年推理系统研究工业化落地的一个断面。键值缓存的分页管理显著提升了显存利用率与并发吞吐（Kwon等，2023），连续批处理把请求级调度细化到迭代级（Yu等，2022），注意力算子的输入输出感知实现降低了访存瓶颈（Dao等，2022），预填充与解码阶段的分离部署缓解了两阶段资源特性冲突（Agrawal等，2024；Zhong等，2024），大模型推理的分区与并行策略则给出了成本与时延的系统性权衡框架（Pope等，2023）。真实生产负载的分析同样表明，推理集群的资源利用具有显著的时变性与长尾特征，调度策略对有效产出的影响不亚于硬件本身（Weng等，2022）。把这些工作放在本书的框架内，其共同指向是第9章的转化函数：它们提升的是单位算力可产出的有效标准词元数，即效率参数</w:t>
      </w:r>
      <m:oMath>
        <m:r>
          <m:t>θ</m:t>
        </m:r>
      </m:oMath>
      <w:r>
        <w:rPr>
          <w:rFonts w:ascii="宋体" w:hAnsi="宋体" w:eastAsia="宋体"/>
          <w:sz w:val="24"/>
        </w:rPr>
        <w:t>。案例的意义在于，它显示这类系统级优化已从论文走向可交付的商品，从而使算力—词元转化效率成为一个可以被购买的生产要素，而不只是各家自建团队的内部能力。</w:t>
      </w:r>
    </w:p>
    <w:p>
      <w:pPr>
        <w:spacing w:line="360" w:lineRule="auto" w:after="0"/>
        <w:ind w:firstLineChars="200" w:firstLine="480"/>
        <w:jc w:val="both"/>
      </w:pPr>
      <w:r>
        <w:rPr>
          <w:rFonts w:ascii="宋体" w:hAnsi="宋体" w:eastAsia="宋体"/>
          <w:sz w:val="24"/>
        </w:rPr>
        <w:t>这一案例还暴露了本书折算体系的一处理论边界，值得专门讨论。第5章把算力强度</w:t>
      </w:r>
      <m:oMath>
        <m:r>
          <m:t>P</m:t>
        </m:r>
      </m:oMath>
      <w:r>
        <w:rPr>
          <w:rFonts w:ascii="宋体" w:hAnsi="宋体" w:eastAsia="宋体"/>
          <w:sz w:val="24"/>
        </w:rPr>
        <w:t>界定为生成单枚词元所耗浮点运算量相对基准的倍数，并以之作为效值的投入侧维度；其隐含前提是，在同一技术前沿下，算力投入与能力产出正相关，故</w:t>
      </w:r>
      <m:oMath>
        <m:r>
          <m:t>P</m:t>
        </m:r>
      </m:oMath>
      <w:r>
        <w:rPr>
          <w:rFonts w:ascii="宋体" w:hAnsi="宋体" w:eastAsia="宋体"/>
          <w:sz w:val="24"/>
        </w:rPr>
        <w:t>可以作为能力的代理变量。但推理优化技术恰恰打破了这一前提：优化工厂使给定能力的模型在生成同样输出时消耗更少的算力，若机械套用折算公式，</w:t>
      </w:r>
      <m:oMath>
        <m:r>
          <m:t>P</m:t>
        </m:r>
      </m:oMath>
      <w:r>
        <w:rPr>
          <w:rFonts w:ascii="宋体" w:hAnsi="宋体" w:eastAsia="宋体"/>
          <w:sz w:val="24"/>
        </w:rPr>
        <w:t>下降而</w:t>
      </w:r>
      <m:oMath>
        <m:r>
          <m:t>R</m:t>
        </m:r>
      </m:oMath>
      <w:r>
        <w:rPr>
          <w:rFonts w:ascii="宋体" w:hAnsi="宋体" w:eastAsia="宋体"/>
          <w:sz w:val="24"/>
        </w:rPr>
        <w:t>、</w:t>
      </w:r>
      <m:oMath>
        <m:r>
          <m:t>S</m:t>
        </m:r>
      </m:oMath>
      <w:r>
        <w:rPr>
          <w:rFonts w:ascii="宋体" w:hAnsi="宋体" w:eastAsia="宋体"/>
          <w:sz w:val="24"/>
        </w:rPr>
        <w:t>不变，将导致效值系数</w:t>
      </w:r>
      <m:oMath>
        <m:r>
          <m:t>η</m:t>
        </m:r>
        <m:r>
          <m:rPr>
            <m:sty m:val="p"/>
          </m:rPr>
          <m:t>=</m:t>
        </m:r>
        <m:sSup>
          <m:e>
            <m:r>
              <m:t>P</m:t>
            </m:r>
          </m:e>
          <m:sup>
            <m:r>
              <m:t>0.4383</m:t>
            </m:r>
          </m:sup>
        </m:sSup>
        <m:sSup>
          <m:e>
            <m:r>
              <m:t>R</m:t>
            </m:r>
          </m:e>
          <m:sup>
            <m:r>
              <m:t>0.2964</m:t>
            </m:r>
          </m:sup>
        </m:sSup>
        <m:sSup>
          <m:e>
            <m:r>
              <m:t>S</m:t>
            </m:r>
          </m:e>
          <m:sup>
            <m:r>
              <m:t>0.2653</m:t>
            </m:r>
          </m:sup>
        </m:sSup>
      </m:oMath>
      <w:r>
        <w:rPr>
          <w:rFonts w:ascii="宋体" w:hAnsi="宋体" w:eastAsia="宋体"/>
          <w:sz w:val="24"/>
        </w:rPr>
        <w:t>下降——技术效率的改进反而被记为效值的降低，这显然违背经济直觉。化解之道有二：其一，严格执行第5章所定的同时点测度纪律，即</w:t>
      </w:r>
      <m:oMath>
        <m:r>
          <m:t>P</m:t>
        </m:r>
      </m:oMath>
      <w:r>
        <w:rPr>
          <w:rFonts w:ascii="宋体" w:hAnsi="宋体" w:eastAsia="宋体"/>
          <w:sz w:val="24"/>
        </w:rPr>
        <w:t>必须在同一技术条件下的基准任务集上测得，跨期比较须以基准年技术条件重新锚定；其二，把推理优化的收益记入成本侧而非效值侧，即优化工厂降低的是标准词元的单位生产成本，对应第7章三层结构中的成本底价层下移，而不改变效值溢价层。本章倾向于第二种处理，因为它同时保持了效值的产出侧含义与价格结构的可解释性。这一边界条件是案例研究对理论框架的直接反馈，也应列为第14章研究展望的一项内容。</w:t>
      </w:r>
    </w:p>
    <w:p>
      <w:pPr>
        <w:spacing w:line="360" w:lineRule="auto" w:after="0"/>
        <w:ind w:firstLineChars="200" w:firstLine="480"/>
        <w:jc w:val="both"/>
      </w:pPr>
      <w:r>
        <w:rPr>
          <w:rFonts w:ascii="宋体" w:hAnsi="宋体" w:eastAsia="宋体"/>
          <w:sz w:val="24"/>
        </w:rPr>
        <w:t>供给侧还有另一类主体值得对照，即词元工厂。2026年，北京先后出现两座标准化词元工厂：一座由市属国资旗下企业于7月在全球数字经济大会上发布，被称为全国首个国资背景、全流程合规标准化的词元基础设施，具备预填充与解码分离的智能调度架构、全栈推理加速框架、异构算力统一调度、国产模型生态适配、灵活计费与标准化接口零门槛接入等能力；另一座由企业于6月在亦庄建成，一期日产能1.4万亿枚词元。必须强调，「日吞吐千亿枚」（优化引擎的实测吞吐，企业方口径）与「日产能1.4万亿枚」（工厂的设计产能）不是同类指标，二者既未说明模型规模、上下文长度与精度，也未说明输入与输出词元是否合并计数，在任何情况下都不可直接比大小或排名。本章列出二者，是为了说明供给侧已经形成「产能建设」与「效率优化」两条并行的技术路线，而非为了比较其规模。</w:t>
      </w:r>
    </w:p>
    <w:p>
      <w:pPr>
        <w:keepNext/>
        <w:spacing w:before="160" w:after="120" w:line="360" w:lineRule="auto"/>
        <w:outlineLvl w:val="2"/>
      </w:pPr>
      <w:r>
        <w:rPr>
          <w:rFonts w:ascii="黑体" w:hAnsi="黑体" w:eastAsia="黑体"/>
          <w:sz w:val="24"/>
        </w:rPr>
        <w:t>13.4.2  需求侧：制造业与新材料场景</w:t>
      </w:r>
    </w:p>
    <w:p>
      <w:pPr>
        <w:spacing w:line="360" w:lineRule="auto" w:after="0"/>
        <w:ind w:firstLineChars="200" w:firstLine="480"/>
        <w:jc w:val="both"/>
      </w:pPr>
      <w:r>
        <w:rPr>
          <w:rFonts w:ascii="宋体" w:hAnsi="宋体" w:eastAsia="宋体"/>
          <w:sz w:val="24"/>
        </w:rPr>
        <w:t>需求侧的第一类场景是制造业。嘉兴首批生态伙伴中包含玻纤新材料等领域的制造业龙头，这类企业的词元消费具有三项区别于互联网企业的技术特征，而这三项特征直接决定了适配的定价与调度安排。其一，任务的时延容忍度高：配方优化、工艺参数寻优、质量文档生成等任务多为离线或准实时，允许排队与批量处理。按第9章的分析，时延容忍度高意味着可以采用更大的批大小，从而压缩批次损失——该损失在四项损失中占0.09，是唯一可以通过需求侧任务属性直接缓解的一项。其二，上下文长度大而调用频次低：单次任务往往需要载入长篇的工艺文档、标准规范与历史记录，缓存命中率的经济价值因而显著高于短对话场景。其三，任务的价值密度高：第6章测得质检与识别、合规审查等制造相关场景的单位价值密度分别为6.4与9.1，均显著高于文案生成的1.9，即同量标准词元在制造场景中承载的价值更大。</w:t>
      </w:r>
    </w:p>
    <w:p>
      <w:pPr>
        <w:spacing w:line="360" w:lineRule="auto" w:after="0"/>
        <w:ind w:firstLineChars="200" w:firstLine="480"/>
        <w:jc w:val="both"/>
      </w:pPr>
      <w:r>
        <w:rPr>
          <w:rFonts w:ascii="宋体" w:hAnsi="宋体" w:eastAsia="宋体"/>
          <w:sz w:val="24"/>
        </w:rPr>
        <w:t>三项特征合起来给出一个明确的政策与商业含义：制造业客户是词元运营中心最合适的基本盘，但服务方式必须与互联网客户区别对待。互联网客户要的是低时延与高并发，制造业客户要的是可预期的预算与稳定的批处理窗口。对应到第7章的三级服务定价，制造业客户更适合以普惠包或预算包的形式承接——该章测得普惠包用户占比62.0%而收入占比仅21.0%，专属定制用户占比7.0%却贡献41.0%的收入，二级价格歧视的结构已经清晰。嘉兴案例中生态伙伴以制造业龙头为主的名单结构，与这一判断相互印证。需要如实说明的是，本节所依据的场景价值密度来自第6章的校准复算，案例层面尚无企业逐笔的词元账单可供核验，因而上述判断属机制层面的一致性，而非严格意义上的经验检验。</w:t>
      </w:r>
    </w:p>
    <w:p>
      <w:pPr>
        <w:keepNext/>
        <w:spacing w:before="160" w:after="120" w:line="360" w:lineRule="auto"/>
        <w:outlineLvl w:val="2"/>
      </w:pPr>
      <w:r>
        <w:rPr>
          <w:rFonts w:ascii="黑体" w:hAnsi="黑体" w:eastAsia="黑体"/>
          <w:sz w:val="24"/>
        </w:rPr>
        <w:t>13.4.3  需求侧：跨境电商、内容创作与「一人公司」场景</w:t>
      </w:r>
    </w:p>
    <w:p>
      <w:pPr>
        <w:spacing w:line="360" w:lineRule="auto" w:after="0"/>
        <w:ind w:firstLineChars="200" w:firstLine="480"/>
        <w:jc w:val="both"/>
      </w:pPr>
      <w:r>
        <w:rPr>
          <w:rFonts w:ascii="宋体" w:hAnsi="宋体" w:eastAsia="宋体"/>
          <w:sz w:val="24"/>
        </w:rPr>
        <w:t>需求侧的第二类场景以温州为代表，其结构与制造业几乎相反。该市词元运营中心启动时集中发布了跨境电商智能运营、互动影游创作、数字内容资产保护与贸易等一批生态平台，平台已兼容100多款主流大模型条目。这类场景的技术特征是：任务碎片化、时延敏感、单次上下文短但调用频次极高，且高度依赖多模态生成能力。按第9章的分析，这类负载的批次损失难以压缩，空转损失则因潮汐效应而放大——该损失占四项损失的0.18，是四项中最大的一项。这正是区域统一调度的价值所在：把制造业的离线批处理负载与内容创作的实时交互负载放在同一算力池中错峰调度，可以同时降低两类负载的空转与批次损失，这是单一企业自建推理集群无法实现的。</w:t>
      </w:r>
    </w:p>
    <w:p>
      <w:pPr>
        <w:spacing w:line="360" w:lineRule="auto" w:after="0"/>
        <w:ind w:firstLineChars="200" w:firstLine="480"/>
        <w:jc w:val="both"/>
      </w:pPr>
      <w:r>
        <w:rPr>
          <w:rFonts w:ascii="宋体" w:hAnsi="宋体" w:eastAsia="宋体"/>
          <w:sz w:val="24"/>
        </w:rPr>
        <w:t>该市的词元消费增速被媒体广泛引用：2026年一季度制造业词元消费环比增长2261%，电商直播领域同期环比增长1110%，「一人公司」增长706%。本章引用这组数字时必须完整交代三点。第一，它们是环比而非同比，且属于典型的低基数高增速，基数与统计范围——哪些企业、哪些模型、按词元枚数还是按消费金额——均未公开。第二，三个数字分属并列的子行业口径，分母不同，既不能相加，也不能取平均。第三，这组数字属媒体报道口径，严禁与其他城市的调用量或交易额数字作横向比较；尤其需要警惕的是，交易场所的词元交易额（场内成交金额）与运营平台的词元调用量（技术调用规模）是两个完全不同的计量对象，二者之间不存在换算关系。在满足上述限定的前提下，这组数字仍有其价值：它显示在计量口径统一之前，区域层面的词元统计已经出现了增速数字大量涌现而口径普遍缺失的局面，这恰恰从反面论证了统一计量的紧迫性——若无统一口径，越是高速增长的领域，其统计越可能失真，而政策越是依赖这些数字，误配的风险越大。</w:t>
      </w:r>
    </w:p>
    <w:p>
      <w:pPr>
        <w:spacing w:line="360" w:lineRule="auto" w:after="0"/>
        <w:ind w:firstLineChars="200" w:firstLine="480"/>
        <w:jc w:val="both"/>
      </w:pPr>
      <w:r>
        <w:rPr>
          <w:rFonts w:ascii="宋体" w:hAnsi="宋体" w:eastAsia="宋体"/>
          <w:sz w:val="24"/>
        </w:rPr>
        <w:t>「一人公司」这一形态尤其值得从理论上多说一句。它指以极少数人（甚至一人）借助大模型与智能体完成过去需要团队协作的业务闭环，其经济意义是把组织内部的协调成本替换为词元支出。生成式人工智能对个体产出效率的提升在实验与实地研究中已被反复证实（Noy和Zhang，2023；Brynjolfsson等，2025），其采纳速度在成年人群中亦快于以往历次通用技术（Bick等，2024），但采纳的分布高度不均，企业内部的组织调整往往滞后于工具的可得性（Czarnitzki等，2023；Humlum和Vestergaard，2025）。云计算的历史经验同样显示，基础设施的可得性本身并不自动转化为企业绩效，配套的组织与技能投入才是关键（Byrne等，2018；DeStefano等，2025）。这些文献与本章的案例观察互为印证：温州「一人公司」的高增速固然引人注目，但706%的环比增速背后，是一个极小的基数与极少数具备工具驾驭能力的经营者；把这类高增速理解为普遍的采纳浪潮，会严重高估当前的渗透深度。13.5节的扎根编码将从企业侧给出更为审慎的图景。</w:t>
      </w:r>
    </w:p>
    <w:p>
      <w:pPr>
        <w:keepNext/>
        <w:spacing w:before="160" w:after="120" w:line="360" w:lineRule="auto"/>
        <w:outlineLvl w:val="2"/>
      </w:pPr>
      <w:r>
        <w:rPr>
          <w:rFonts w:ascii="黑体" w:hAnsi="黑体" w:eastAsia="黑体"/>
          <w:sz w:val="24"/>
        </w:rPr>
        <w:t>13.4.4  一则未采信案例及其方法论意义</w:t>
      </w:r>
    </w:p>
    <w:p>
      <w:pPr>
        <w:spacing w:line="360" w:lineRule="auto" w:after="0"/>
        <w:ind w:firstLineChars="200" w:firstLine="480"/>
        <w:jc w:val="both"/>
      </w:pPr>
      <w:r>
        <w:rPr>
          <w:rFonts w:ascii="宋体" w:hAnsi="宋体" w:eastAsia="宋体"/>
          <w:sz w:val="24"/>
        </w:rPr>
        <w:t>本章原拟纳入一则智能设计领域的企业案例，其在流传材料中被描述为通过智能设计平台把设计周期由周级压缩至小时级、开发效率最高提升30倍、出图成本降低至少50%。经六组关键词的系统检索，既未找到该企业主体的官方发布、政府通稿或主流媒体报道，也未找到三项效率数字的任何一手来源；检索命中的同名产品均为其他厂商的同名异主产品。行业内可查到的类比数据全部出自服务商自身的营销材料，不能作为该案例的替代证据。按表13.1的分级规则，该案例属D层级，本章不予采信。</w:t>
      </w:r>
    </w:p>
    <w:p>
      <w:pPr>
        <w:spacing w:line="360" w:lineRule="auto" w:after="0"/>
        <w:ind w:firstLineChars="200" w:firstLine="480"/>
        <w:jc w:val="both"/>
      </w:pPr>
      <w:r>
        <w:rPr>
          <w:rFonts w:ascii="宋体" w:hAnsi="宋体" w:eastAsia="宋体"/>
          <w:sz w:val="24"/>
        </w:rPr>
        <w:t>之所以要把这一处理写入正文而非默默删除，是因为它触及区域实践研究的一个共性风险。词元经济正处在叙事供给远快于统计供给的阶段：一项技术尚未形成可核验的测度，关于它的效率倍数已经在媒体、路演材料与政策解读中广泛流传；这些数字往往起源于单一企业的内部测算，经多次转述后脱离了原有的样本、对照基线与统计时点，最终以「行业共识」的面貌出现。案例研究若不设门槛，就会成为这一放大链条的最后一环，且因其学术外观而使传闻获得不应有的可信度。更值得警惕的是，定性描述与定量声称的混排会进一步强化这种错觉：「周级压缩至小时级」是定性描述，「30倍」与「50%」是定量声称，二者并列时读者会默认三者出自同一次测算。本章的处理规则因此是：凡定量声称，须给出测算样本、对照基线与统计时点，三者缺一即降格为定性描述；凡无法回溯到一手来源者，不进入证据体系。</w:t>
      </w:r>
    </w:p>
    <w:p>
      <w:pPr>
        <w:spacing w:line="360" w:lineRule="auto" w:after="0"/>
        <w:ind w:firstLineChars="200" w:firstLine="480"/>
        <w:jc w:val="both"/>
      </w:pPr>
      <w:r>
        <w:rPr>
          <w:rFonts w:ascii="宋体" w:hAnsi="宋体" w:eastAsia="宋体"/>
          <w:sz w:val="24"/>
        </w:rPr>
        <w:t>这一处理也提示了智能设计场景在本书框架中的正确讨论方式。该场景在第6章的价值密度测算中位居前列（7.2），其经济逻辑是清楚的：设计任务所替代的是高价值的人类认知劳动，故场景效用</w:t>
      </w:r>
      <m:oMath>
        <m:r>
          <m:t>S</m:t>
        </m:r>
      </m:oMath>
      <w:r>
        <w:rPr>
          <w:rFonts w:ascii="宋体" w:hAnsi="宋体" w:eastAsia="宋体"/>
          <w:sz w:val="24"/>
        </w:rPr>
        <w:t>高；同时设计任务通常需要多模态生成，故算力强度</w:t>
      </w:r>
      <m:oMath>
        <m:r>
          <m:t>P</m:t>
        </m:r>
      </m:oMath>
      <w:r>
        <w:rPr>
          <w:rFonts w:ascii="宋体" w:hAnsi="宋体" w:eastAsia="宋体"/>
          <w:sz w:val="24"/>
        </w:rPr>
        <w:t>亦高。二者共同抬高效值系数，使该场景成为高效值词元的天然需求方。但「效值高」与「效率提升多少倍」是两个不同的命题：前者是本书折算体系内的结构性判断，可由基准任务集测得；后者是关于生产率改进幅度的经验命题，必须由带对照组的实地实验或企业微观数据来回答。把二者混同，正是当前大量效率倍数叙事的方法论病灶所在。</w:t>
      </w:r>
    </w:p>
    <w:p>
      <w:pPr>
        <w:keepNext/>
        <w:spacing w:before="160" w:after="120" w:line="360" w:lineRule="auto"/>
        <w:outlineLvl w:val="1"/>
      </w:pPr>
      <w:r>
        <w:rPr>
          <w:rFonts w:ascii="黑体" w:hAnsi="黑体" w:eastAsia="黑体"/>
          <w:sz w:val="28"/>
        </w:rPr>
        <w:t>13.5  企业采纳词元服务的障碍：扎根理论分析</w:t>
      </w:r>
    </w:p>
    <w:p>
      <w:pPr>
        <w:keepNext/>
        <w:spacing w:before="160" w:after="120" w:line="360" w:lineRule="auto"/>
        <w:outlineLvl w:val="2"/>
      </w:pPr>
      <w:r>
        <w:rPr>
          <w:rFonts w:ascii="黑体" w:hAnsi="黑体" w:eastAsia="黑体"/>
          <w:sz w:val="24"/>
        </w:rPr>
        <w:t>13.5.1  资料、编码程序与理论饱和</w:t>
      </w:r>
    </w:p>
    <w:p>
      <w:pPr>
        <w:spacing w:line="360" w:lineRule="auto" w:after="0"/>
        <w:ind w:firstLineChars="200" w:firstLine="480"/>
        <w:jc w:val="both"/>
      </w:pPr>
      <w:r>
        <w:rPr>
          <w:rFonts w:ascii="宋体" w:hAnsi="宋体" w:eastAsia="宋体"/>
          <w:sz w:val="24"/>
        </w:rPr>
        <w:t>为识别企业采纳词元服务的障碍结构，本章对47份半结构化深度访谈资料实施扎根理论编码。受访者由四类构成：平台方12人（运营中心与门户运营方的产品与运营负责人）、企业方18人（已接入或正在评估接入的企业信息化与业务负责人）、政府方9人（数据、经信与发展改革部门的相关工作人员）、服务商8人（模型服务商、系统集成商与优化工具提供方）。四类受访者的设置遵循的是立场对冲原则：平台方倾向于强调接入的便利，企业方倾向于强调成本与合规的顾虑，政府方倾向于强调政策工具的到位，服务商倾向于强调技术能力的差距；只有让四类立场同时进入语料，才能避免单一视角主导编码结果。访谈提纲围绕接入决策的全过程展开，覆盖需求识别、比选、试点、扩展与复盘五个阶段，且在每一阶段追问「什么使你停下来」这一核心问题。</w:t>
      </w:r>
    </w:p>
    <w:p>
      <w:pPr>
        <w:spacing w:line="360" w:lineRule="auto" w:after="0"/>
        <w:ind w:firstLineChars="200" w:firstLine="480"/>
        <w:jc w:val="both"/>
      </w:pPr>
      <w:r>
        <w:rPr>
          <w:rFonts w:ascii="宋体" w:hAnsi="宋体" w:eastAsia="宋体"/>
          <w:sz w:val="24"/>
        </w:rPr>
        <w:t>编码分三级推进。开放编码阶段逐句概念化，得到412个初始概念；主轴编码阶段按现象、条件、行动与结果的关系归并聚类，得到23个副范畴；选择性编码阶段进一步提炼出4个核心范畴，分别是计量不透明、成本不确定、能力缺口与合规及安全顾虑。四个核心范畴下的编码参考点合计434个，多于初始概念数412，差额22个来自跨范畴的双重归属——例如「账单与调用日志对不齐」这一概念既指向计量口径，也指向成本的可预期性，按编码规则在两个范畴下各记一次参考点。理论饱和的检验采用后续访谈不再涌现新范畴这一常规判据：在完成既定样本的编码后，追加访谈未再产生新的副范畴，亦未改变核心范畴的结构，据以判定编码达到理论饱和。编码结构与改进路径如图13.3所示。</w:t>
      </w:r>
    </w:p>
    <w:p>
      <w:pPr>
        <w:spacing w:before="120" w:after="40"/>
        <w:jc w:val="center"/>
      </w:pPr>
      <w:r>
        <w:drawing>
          <wp:inline xmlns:a="http://schemas.openxmlformats.org/drawingml/2006/main" xmlns:pic="http://schemas.openxmlformats.org/drawingml/2006/picture">
            <wp:extent cx="4860000" cy="3686897"/>
            <wp:docPr id="44" name="Picture 44"/>
            <wp:cNvGraphicFramePr>
              <a:graphicFrameLocks noChangeAspect="1"/>
            </wp:cNvGraphicFramePr>
            <a:graphic>
              <a:graphicData uri="http://schemas.openxmlformats.org/drawingml/2006/picture">
                <pic:pic>
                  <pic:nvPicPr>
                    <pic:cNvPr id="0" name="fig13_3.png"/>
                    <pic:cNvPicPr/>
                  </pic:nvPicPr>
                  <pic:blipFill>
                    <a:blip r:embed="rId52"/>
                    <a:stretch>
                      <a:fillRect/>
                    </a:stretch>
                  </pic:blipFill>
                  <pic:spPr>
                    <a:xfrm>
                      <a:off x="0" y="0"/>
                      <a:ext cx="4860000" cy="3686897"/>
                    </a:xfrm>
                    <a:prstGeom prst="rect"/>
                  </pic:spPr>
                </pic:pic>
              </a:graphicData>
            </a:graphic>
          </wp:inline>
        </w:drawing>
      </w:r>
    </w:p>
    <w:p>
      <w:pPr>
        <w:keepNext w:val="0"/>
        <w:spacing w:after="40"/>
        <w:jc w:val="center"/>
      </w:pPr>
      <w:r>
        <w:rPr>
          <w:rFonts w:ascii="黑体" w:hAnsi="黑体" w:eastAsia="黑体"/>
          <w:sz w:val="21"/>
        </w:rPr>
        <w:t>图13.3  企业采纳词元服务的障碍因素编码结构</w:t>
      </w:r>
    </w:p>
    <w:p>
      <w:pPr>
        <w:spacing w:after="200" w:line="240" w:lineRule="auto"/>
        <w:jc w:val="both"/>
      </w:pPr>
      <w:r>
        <w:rPr>
          <w:rFonts w:ascii="宋体" w:hAnsi="宋体" w:eastAsia="宋体"/>
          <w:sz w:val="18"/>
        </w:rPr>
        <w:t>注：参考点指被归入某一核心范畴的编码片段数，同一概念跨范畴归属时在各范畴分别计数，故四个核心范畴的参考点合计多于初始概念数；访谈样本与编码结果为本章质性研究的自采口径，受访者与所属机构均作匿名化处理。数据来源：作者访谈与编码。</w:t>
      </w:r>
    </w:p>
    <w:p>
      <w:pPr>
        <w:spacing w:line="360" w:lineRule="auto" w:after="0"/>
        <w:ind w:firstLineChars="200" w:firstLine="480"/>
        <w:jc w:val="both"/>
      </w:pPr>
      <w:r>
        <w:rPr>
          <w:rFonts w:ascii="宋体" w:hAnsi="宋体" w:eastAsia="宋体"/>
          <w:sz w:val="24"/>
        </w:rPr>
        <w:t>图13.3显示的编码链条有两处值得特别说明。第一，四个核心范畴并非并列的困难清单，而是按企业决策的时序依次显现：计量不透明出现在比选阶段——企业无法核验不同供给方所报单价背后的实际所得；成本不确定出现在试点阶段——试点期的实际支出与预算频繁背离；能力缺口出现在扩展阶段——把试点成果推广到主业务流时，提示工程与系统集成的能力短板集中暴露；合规与安全顾虑贯穿始终但在扩展阶段最为尖锐——数据出境、审计留痕与责任界定的问题必须在正式投产前有明确答案。这一时序结构意味着，四类障碍不是可以任选其一加以解决的，而是必须依次通过的关口。第二，图中每一核心范畴都对应一条改进路径，这些路径并非本章的凭空设计，而是从受访者自述的应对办法中归纳而来，并与第10章「五个统一」的机制设计逐项对应。</w:t>
      </w:r>
    </w:p>
    <w:p>
      <w:pPr>
        <w:keepNext/>
        <w:spacing w:before="160" w:after="120" w:line="360" w:lineRule="auto"/>
        <w:outlineLvl w:val="2"/>
      </w:pPr>
      <w:r>
        <w:rPr>
          <w:rFonts w:ascii="黑体" w:hAnsi="黑体" w:eastAsia="黑体"/>
          <w:sz w:val="24"/>
        </w:rPr>
        <w:t>13.5.2  四个核心范畴与定量结论的对应</w:t>
      </w:r>
    </w:p>
    <w:p>
      <w:pPr>
        <w:spacing w:line="360" w:lineRule="auto" w:after="0"/>
        <w:ind w:firstLineChars="200" w:firstLine="480"/>
        <w:jc w:val="both"/>
      </w:pPr>
      <w:r>
        <w:rPr>
          <w:rFonts w:ascii="宋体" w:hAnsi="宋体" w:eastAsia="宋体"/>
          <w:sz w:val="24"/>
        </w:rPr>
        <w:t>四个核心范畴的参考点分布、代表性副范畴及其与前章定量结论的对应关系，见表13.3。</w:t>
      </w:r>
    </w:p>
    <w:p>
      <w:pPr>
        <w:keepNext/>
        <w:spacing w:before="160" w:after="40"/>
        <w:jc w:val="center"/>
      </w:pPr>
      <w:r>
        <w:rPr>
          <w:rFonts w:ascii="黑体" w:hAnsi="黑体" w:eastAsia="黑体"/>
          <w:sz w:val="21"/>
        </w:rPr>
        <w:t>表13.3  企业采纳障碍的核心范畴、频次分布与定量对应</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417"/>
        <w:gridCol w:w="1417"/>
        <w:gridCol w:w="1417"/>
        <w:gridCol w:w="1417"/>
        <w:gridCol w:w="1417"/>
        <w:gridCol w:w="1417"/>
      </w:tblGrid>
      <w:tr>
        <w:tc>
          <w:tcPr>
            <w:tcW w:type="dxa" w:w="1417"/>
            <w:tcBorders>
              <w:bottom w:val="single" w:sz="6" w:color="000000"/>
            </w:tcBorders>
            <w:vAlign w:val="center"/>
          </w:tcPr>
          <w:p>
            <w:pPr>
              <w:spacing w:line="240" w:lineRule="auto" w:after="20" w:before="20"/>
              <w:jc w:val="center"/>
            </w:pPr>
            <w:r/>
            <w:r>
              <w:rPr>
                <w:rFonts w:ascii="宋体" w:hAnsi="宋体" w:eastAsia="宋体"/>
                <w:b/>
                <w:sz w:val="21"/>
              </w:rPr>
              <w:t>核心范畴</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代表性副范畴</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参考点</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占比</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对应的定量结论</w:t>
            </w:r>
          </w:p>
        </w:tc>
        <w:tc>
          <w:tcPr>
            <w:tcW w:type="dxa" w:w="1417"/>
            <w:tcBorders>
              <w:bottom w:val="single" w:sz="6" w:color="000000"/>
            </w:tcBorders>
            <w:vAlign w:val="center"/>
          </w:tcPr>
          <w:p>
            <w:pPr>
              <w:spacing w:line="240" w:lineRule="auto" w:after="20" w:before="20"/>
              <w:jc w:val="center"/>
            </w:pPr>
            <w:r/>
            <w:r>
              <w:rPr>
                <w:rFonts w:ascii="宋体" w:hAnsi="宋体" w:eastAsia="宋体"/>
                <w:b/>
                <w:sz w:val="21"/>
              </w:rPr>
              <w:t>改进路径</w:t>
            </w:r>
          </w:p>
        </w:tc>
      </w:tr>
      <w:tr>
        <w:tc>
          <w:tcPr>
            <w:tcW w:type="dxa" w:w="1417"/>
            <w:vAlign w:val="center"/>
          </w:tcPr>
          <w:p>
            <w:pPr>
              <w:spacing w:line="240" w:lineRule="auto" w:after="20" w:before="20"/>
              <w:jc w:val="left"/>
            </w:pPr>
            <w:r/>
            <w:r>
              <w:rPr>
                <w:rFonts w:ascii="宋体" w:hAnsi="宋体" w:eastAsia="宋体"/>
                <w:sz w:val="21"/>
              </w:rPr>
              <w:t>计量不透明</w:t>
            </w:r>
          </w:p>
        </w:tc>
        <w:tc>
          <w:tcPr>
            <w:tcW w:type="dxa" w:w="1417"/>
            <w:vAlign w:val="center"/>
          </w:tcPr>
          <w:p>
            <w:pPr>
              <w:spacing w:line="240" w:lineRule="auto" w:after="20" w:before="20"/>
              <w:jc w:val="left"/>
            </w:pPr>
            <w:r/>
            <w:r>
              <w:rPr>
                <w:rFonts w:ascii="宋体" w:hAnsi="宋体" w:eastAsia="宋体"/>
                <w:sz w:val="21"/>
              </w:rPr>
              <w:t>用量口径不一；效值不可核验；账单与调用日志对不齐</w:t>
            </w:r>
          </w:p>
        </w:tc>
        <w:tc>
          <w:tcPr>
            <w:tcW w:type="dxa" w:w="1417"/>
            <w:vAlign w:val="center"/>
          </w:tcPr>
          <w:p>
            <w:pPr>
              <w:spacing w:line="240" w:lineRule="auto" w:after="20" w:before="20"/>
              <w:jc w:val="center"/>
            </w:pPr>
            <w:r/>
            <w:r>
              <w:rPr>
                <w:rFonts w:ascii="宋体" w:hAnsi="宋体" w:eastAsia="宋体"/>
                <w:sz w:val="21"/>
              </w:rPr>
              <w:t>143</w:t>
            </w:r>
          </w:p>
        </w:tc>
        <w:tc>
          <w:tcPr>
            <w:tcW w:type="dxa" w:w="1417"/>
            <w:vAlign w:val="center"/>
          </w:tcPr>
          <w:p>
            <w:pPr>
              <w:spacing w:line="240" w:lineRule="auto" w:after="20" w:before="20"/>
              <w:jc w:val="center"/>
            </w:pPr>
            <w:r/>
            <w:r>
              <w:rPr>
                <w:rFonts w:ascii="宋体" w:hAnsi="宋体" w:eastAsia="宋体"/>
                <w:sz w:val="21"/>
              </w:rPr>
              <w:t>32.9%</w:t>
            </w:r>
          </w:p>
        </w:tc>
        <w:tc>
          <w:tcPr>
            <w:tcW w:type="dxa" w:w="1417"/>
            <w:vAlign w:val="center"/>
          </w:tcPr>
          <w:p>
            <w:pPr>
              <w:spacing w:line="240" w:lineRule="auto" w:after="20" w:before="20"/>
              <w:jc w:val="left"/>
            </w:pPr>
            <w:r/>
            <w:r>
              <w:rPr>
                <w:rFonts w:ascii="宋体" w:hAnsi="宋体" w:eastAsia="宋体"/>
                <w:sz w:val="21"/>
              </w:rPr>
              <w:t>折算体系与离散度收敛（第5章）；效值信息不对称（第8章）</w:t>
            </w:r>
          </w:p>
        </w:tc>
        <w:tc>
          <w:tcPr>
            <w:tcW w:type="dxa" w:w="1417"/>
            <w:vAlign w:val="center"/>
          </w:tcPr>
          <w:p>
            <w:pPr>
              <w:spacing w:line="240" w:lineRule="auto" w:after="20" w:before="20"/>
              <w:jc w:val="left"/>
            </w:pPr>
            <w:r/>
            <w:r>
              <w:rPr>
                <w:rFonts w:ascii="宋体" w:hAnsi="宋体" w:eastAsia="宋体"/>
                <w:sz w:val="21"/>
              </w:rPr>
              <w:t>统一计量与用量可视；效值系数公示与第三方核验</w:t>
            </w:r>
          </w:p>
        </w:tc>
      </w:tr>
      <w:tr>
        <w:tc>
          <w:tcPr>
            <w:tcW w:type="dxa" w:w="1417"/>
            <w:vAlign w:val="center"/>
          </w:tcPr>
          <w:p>
            <w:pPr>
              <w:spacing w:line="240" w:lineRule="auto" w:after="20" w:before="20"/>
              <w:jc w:val="left"/>
            </w:pPr>
            <w:r/>
            <w:r>
              <w:rPr>
                <w:rFonts w:ascii="宋体" w:hAnsi="宋体" w:eastAsia="宋体"/>
                <w:sz w:val="21"/>
              </w:rPr>
              <w:t>成本不确定</w:t>
            </w:r>
          </w:p>
        </w:tc>
        <w:tc>
          <w:tcPr>
            <w:tcW w:type="dxa" w:w="1417"/>
            <w:vAlign w:val="center"/>
          </w:tcPr>
          <w:p>
            <w:pPr>
              <w:spacing w:line="240" w:lineRule="auto" w:after="20" w:before="20"/>
              <w:jc w:val="left"/>
            </w:pPr>
            <w:r/>
            <w:r>
              <w:rPr>
                <w:rFonts w:ascii="宋体" w:hAnsi="宋体" w:eastAsia="宋体"/>
                <w:sz w:val="21"/>
              </w:rPr>
              <w:t>价格波动频繁；年度预算不可控；峰值调用超支</w:t>
            </w:r>
          </w:p>
        </w:tc>
        <w:tc>
          <w:tcPr>
            <w:tcW w:type="dxa" w:w="1417"/>
            <w:vAlign w:val="center"/>
          </w:tcPr>
          <w:p>
            <w:pPr>
              <w:spacing w:line="240" w:lineRule="auto" w:after="20" w:before="20"/>
              <w:jc w:val="center"/>
            </w:pPr>
            <w:r/>
            <w:r>
              <w:rPr>
                <w:rFonts w:ascii="宋体" w:hAnsi="宋体" w:eastAsia="宋体"/>
                <w:sz w:val="21"/>
              </w:rPr>
              <w:t>118</w:t>
            </w:r>
          </w:p>
        </w:tc>
        <w:tc>
          <w:tcPr>
            <w:tcW w:type="dxa" w:w="1417"/>
            <w:vAlign w:val="center"/>
          </w:tcPr>
          <w:p>
            <w:pPr>
              <w:spacing w:line="240" w:lineRule="auto" w:after="20" w:before="20"/>
              <w:jc w:val="center"/>
            </w:pPr>
            <w:r/>
            <w:r>
              <w:rPr>
                <w:rFonts w:ascii="宋体" w:hAnsi="宋体" w:eastAsia="宋体"/>
                <w:sz w:val="21"/>
              </w:rPr>
              <w:t>27.2%</w:t>
            </w:r>
          </w:p>
        </w:tc>
        <w:tc>
          <w:tcPr>
            <w:tcW w:type="dxa" w:w="1417"/>
            <w:vAlign w:val="center"/>
          </w:tcPr>
          <w:p>
            <w:pPr>
              <w:spacing w:line="240" w:lineRule="auto" w:after="20" w:before="20"/>
              <w:jc w:val="left"/>
            </w:pPr>
            <w:r/>
            <w:r>
              <w:rPr>
                <w:rFonts w:ascii="宋体" w:hAnsi="宋体" w:eastAsia="宋体"/>
                <w:sz w:val="21"/>
              </w:rPr>
              <w:t>三层价格结构与两类价格指数的背离（第7章）</w:t>
            </w:r>
          </w:p>
        </w:tc>
        <w:tc>
          <w:tcPr>
            <w:tcW w:type="dxa" w:w="1417"/>
            <w:vAlign w:val="center"/>
          </w:tcPr>
          <w:p>
            <w:pPr>
              <w:spacing w:line="240" w:lineRule="auto" w:after="20" w:before="20"/>
              <w:jc w:val="left"/>
            </w:pPr>
            <w:r/>
            <w:r>
              <w:rPr>
                <w:rFonts w:ascii="宋体" w:hAnsi="宋体" w:eastAsia="宋体"/>
                <w:sz w:val="21"/>
              </w:rPr>
              <w:t>发布标准词元价格指数；阶梯报价与预算包</w:t>
            </w:r>
          </w:p>
        </w:tc>
      </w:tr>
      <w:tr>
        <w:tc>
          <w:tcPr>
            <w:tcW w:type="dxa" w:w="1417"/>
            <w:vAlign w:val="center"/>
          </w:tcPr>
          <w:p>
            <w:pPr>
              <w:spacing w:line="240" w:lineRule="auto" w:after="20" w:before="20"/>
              <w:jc w:val="left"/>
            </w:pPr>
            <w:r/>
            <w:r>
              <w:rPr>
                <w:rFonts w:ascii="宋体" w:hAnsi="宋体" w:eastAsia="宋体"/>
                <w:sz w:val="21"/>
              </w:rPr>
              <w:t>能力缺口</w:t>
            </w:r>
          </w:p>
        </w:tc>
        <w:tc>
          <w:tcPr>
            <w:tcW w:type="dxa" w:w="1417"/>
            <w:vAlign w:val="center"/>
          </w:tcPr>
          <w:p>
            <w:pPr>
              <w:spacing w:line="240" w:lineRule="auto" w:after="20" w:before="20"/>
              <w:jc w:val="left"/>
            </w:pPr>
            <w:r/>
            <w:r>
              <w:rPr>
                <w:rFonts w:ascii="宋体" w:hAnsi="宋体" w:eastAsia="宋体"/>
                <w:sz w:val="21"/>
              </w:rPr>
              <w:t>提示工程能力不足；系统集成无模板；业务流改造无参照</w:t>
            </w:r>
          </w:p>
        </w:tc>
        <w:tc>
          <w:tcPr>
            <w:tcW w:type="dxa" w:w="1417"/>
            <w:vAlign w:val="center"/>
          </w:tcPr>
          <w:p>
            <w:pPr>
              <w:spacing w:line="240" w:lineRule="auto" w:after="20" w:before="20"/>
              <w:jc w:val="center"/>
            </w:pPr>
            <w:r/>
            <w:r>
              <w:rPr>
                <w:rFonts w:ascii="宋体" w:hAnsi="宋体" w:eastAsia="宋体"/>
                <w:sz w:val="21"/>
              </w:rPr>
              <w:t>97</w:t>
            </w:r>
          </w:p>
        </w:tc>
        <w:tc>
          <w:tcPr>
            <w:tcW w:type="dxa" w:w="1417"/>
            <w:vAlign w:val="center"/>
          </w:tcPr>
          <w:p>
            <w:pPr>
              <w:spacing w:line="240" w:lineRule="auto" w:after="20" w:before="20"/>
              <w:jc w:val="center"/>
            </w:pPr>
            <w:r/>
            <w:r>
              <w:rPr>
                <w:rFonts w:ascii="宋体" w:hAnsi="宋体" w:eastAsia="宋体"/>
                <w:sz w:val="21"/>
              </w:rPr>
              <w:t>22.4%</w:t>
            </w:r>
          </w:p>
        </w:tc>
        <w:tc>
          <w:tcPr>
            <w:tcW w:type="dxa" w:w="1417"/>
            <w:vAlign w:val="center"/>
          </w:tcPr>
          <w:p>
            <w:pPr>
              <w:spacing w:line="240" w:lineRule="auto" w:after="20" w:before="20"/>
              <w:jc w:val="left"/>
            </w:pPr>
            <w:r/>
            <w:r>
              <w:rPr>
                <w:rFonts w:ascii="宋体" w:hAnsi="宋体" w:eastAsia="宋体"/>
                <w:sz w:val="21"/>
              </w:rPr>
              <w:t>匹配损失与统一调度的效率改进（第9章）</w:t>
            </w:r>
          </w:p>
        </w:tc>
        <w:tc>
          <w:tcPr>
            <w:tcW w:type="dxa" w:w="1417"/>
            <w:vAlign w:val="center"/>
          </w:tcPr>
          <w:p>
            <w:pPr>
              <w:spacing w:line="240" w:lineRule="auto" w:after="20" w:before="20"/>
              <w:jc w:val="left"/>
            </w:pPr>
            <w:r/>
            <w:r>
              <w:rPr>
                <w:rFonts w:ascii="宋体" w:hAnsi="宋体" w:eastAsia="宋体"/>
                <w:sz w:val="21"/>
              </w:rPr>
              <w:t>场景模板与集成服务包；陪跑式培训与咨询</w:t>
            </w:r>
          </w:p>
        </w:tc>
      </w:tr>
      <w:tr>
        <w:tc>
          <w:tcPr>
            <w:tcW w:type="dxa" w:w="1417"/>
            <w:vAlign w:val="center"/>
          </w:tcPr>
          <w:p>
            <w:pPr>
              <w:spacing w:line="240" w:lineRule="auto" w:after="20" w:before="20"/>
              <w:jc w:val="left"/>
            </w:pPr>
            <w:r/>
            <w:r>
              <w:rPr>
                <w:rFonts w:ascii="宋体" w:hAnsi="宋体" w:eastAsia="宋体"/>
                <w:sz w:val="21"/>
              </w:rPr>
              <w:t>合规与安全顾虑</w:t>
            </w:r>
          </w:p>
        </w:tc>
        <w:tc>
          <w:tcPr>
            <w:tcW w:type="dxa" w:w="1417"/>
            <w:vAlign w:val="center"/>
          </w:tcPr>
          <w:p>
            <w:pPr>
              <w:spacing w:line="240" w:lineRule="auto" w:after="20" w:before="20"/>
              <w:jc w:val="left"/>
            </w:pPr>
            <w:r/>
            <w:r>
              <w:rPr>
                <w:rFonts w:ascii="宋体" w:hAnsi="宋体" w:eastAsia="宋体"/>
                <w:sz w:val="21"/>
              </w:rPr>
              <w:t>数据出境顾虑；审计留痕缺失；责任界定模糊</w:t>
            </w:r>
          </w:p>
        </w:tc>
        <w:tc>
          <w:tcPr>
            <w:tcW w:type="dxa" w:w="1417"/>
            <w:vAlign w:val="center"/>
          </w:tcPr>
          <w:p>
            <w:pPr>
              <w:spacing w:line="240" w:lineRule="auto" w:after="20" w:before="20"/>
              <w:jc w:val="center"/>
            </w:pPr>
            <w:r/>
            <w:r>
              <w:rPr>
                <w:rFonts w:ascii="宋体" w:hAnsi="宋体" w:eastAsia="宋体"/>
                <w:sz w:val="21"/>
              </w:rPr>
              <w:t>76</w:t>
            </w:r>
          </w:p>
        </w:tc>
        <w:tc>
          <w:tcPr>
            <w:tcW w:type="dxa" w:w="1417"/>
            <w:vAlign w:val="center"/>
          </w:tcPr>
          <w:p>
            <w:pPr>
              <w:spacing w:line="240" w:lineRule="auto" w:after="20" w:before="20"/>
              <w:jc w:val="center"/>
            </w:pPr>
            <w:r/>
            <w:r>
              <w:rPr>
                <w:rFonts w:ascii="宋体" w:hAnsi="宋体" w:eastAsia="宋体"/>
                <w:sz w:val="21"/>
              </w:rPr>
              <w:t>17.5%</w:t>
            </w:r>
          </w:p>
        </w:tc>
        <w:tc>
          <w:tcPr>
            <w:tcW w:type="dxa" w:w="1417"/>
            <w:vAlign w:val="center"/>
          </w:tcPr>
          <w:p>
            <w:pPr>
              <w:spacing w:line="240" w:lineRule="auto" w:after="20" w:before="20"/>
              <w:jc w:val="left"/>
            </w:pPr>
            <w:r/>
            <w:r>
              <w:rPr>
                <w:rFonts w:ascii="宋体" w:hAnsi="宋体" w:eastAsia="宋体"/>
                <w:sz w:val="21"/>
              </w:rPr>
              <w:t>绿色凭证溢价与可信溯源体系（第11章）</w:t>
            </w:r>
          </w:p>
        </w:tc>
        <w:tc>
          <w:tcPr>
            <w:tcW w:type="dxa" w:w="1417"/>
            <w:vAlign w:val="center"/>
          </w:tcPr>
          <w:p>
            <w:pPr>
              <w:spacing w:line="240" w:lineRule="auto" w:after="20" w:before="20"/>
              <w:jc w:val="left"/>
            </w:pPr>
            <w:r/>
            <w:r>
              <w:rPr>
                <w:rFonts w:ascii="宋体" w:hAnsi="宋体" w:eastAsia="宋体"/>
                <w:sz w:val="21"/>
              </w:rPr>
              <w:t>统一安全审计；可信溯源凭证与责任条款标准化</w:t>
            </w:r>
          </w:p>
        </w:tc>
      </w:tr>
      <w:tr>
        <w:tc>
          <w:tcPr>
            <w:tcW w:type="dxa" w:w="1417"/>
            <w:vAlign w:val="center"/>
          </w:tcPr>
          <w:p>
            <w:pPr>
              <w:spacing w:line="240" w:lineRule="auto" w:after="20" w:before="20"/>
              <w:jc w:val="left"/>
            </w:pPr>
            <w:r/>
            <w:r>
              <w:rPr>
                <w:rFonts w:ascii="宋体" w:hAnsi="宋体" w:eastAsia="宋体"/>
                <w:sz w:val="21"/>
              </w:rPr>
              <w:t>合计</w:t>
            </w:r>
          </w:p>
        </w:tc>
        <w:tc>
          <w:tcPr>
            <w:tcW w:type="dxa" w:w="1417"/>
            <w:vAlign w:val="center"/>
          </w:tcPr>
          <w:p>
            <w:pPr>
              <w:spacing w:line="240" w:lineRule="auto" w:after="20" w:before="20"/>
              <w:jc w:val="left"/>
            </w:pPr>
            <w:r/>
            <w:r>
              <w:rPr>
                <w:rFonts w:ascii="宋体" w:hAnsi="宋体" w:eastAsia="宋体"/>
                <w:sz w:val="21"/>
              </w:rPr>
              <w:t>—</w:t>
            </w:r>
          </w:p>
        </w:tc>
        <w:tc>
          <w:tcPr>
            <w:tcW w:type="dxa" w:w="1417"/>
            <w:vAlign w:val="center"/>
          </w:tcPr>
          <w:p>
            <w:pPr>
              <w:spacing w:line="240" w:lineRule="auto" w:after="20" w:before="20"/>
              <w:jc w:val="center"/>
            </w:pPr>
            <w:r/>
            <w:r>
              <w:rPr>
                <w:rFonts w:ascii="宋体" w:hAnsi="宋体" w:eastAsia="宋体"/>
                <w:sz w:val="21"/>
              </w:rPr>
              <w:t>434</w:t>
            </w:r>
          </w:p>
        </w:tc>
        <w:tc>
          <w:tcPr>
            <w:tcW w:type="dxa" w:w="1417"/>
            <w:vAlign w:val="center"/>
          </w:tcPr>
          <w:p>
            <w:pPr>
              <w:spacing w:line="240" w:lineRule="auto" w:after="20" w:before="20"/>
              <w:jc w:val="center"/>
            </w:pPr>
            <w:r/>
            <w:r>
              <w:rPr>
                <w:rFonts w:ascii="宋体" w:hAnsi="宋体" w:eastAsia="宋体"/>
                <w:sz w:val="21"/>
              </w:rPr>
              <w:t>100.0%</w:t>
            </w:r>
          </w:p>
        </w:tc>
        <w:tc>
          <w:tcPr>
            <w:tcW w:type="dxa" w:w="1417"/>
            <w:vAlign w:val="center"/>
          </w:tcPr>
          <w:p>
            <w:pPr>
              <w:spacing w:line="240" w:lineRule="auto" w:after="20" w:before="20"/>
              <w:jc w:val="left"/>
            </w:pPr>
            <w:r/>
            <w:r>
              <w:rPr>
                <w:rFonts w:ascii="宋体" w:hAnsi="宋体" w:eastAsia="宋体"/>
                <w:sz w:val="21"/>
              </w:rPr>
              <w:t>—</w:t>
            </w:r>
          </w:p>
        </w:tc>
        <w:tc>
          <w:tcPr>
            <w:tcW w:type="dxa" w:w="1417"/>
            <w:vAlign w:val="center"/>
          </w:tcPr>
          <w:p>
            <w:pPr>
              <w:spacing w:line="240" w:lineRule="auto" w:after="20" w:before="20"/>
              <w:jc w:val="left"/>
            </w:pPr>
            <w:r/>
            <w:r>
              <w:rPr>
                <w:rFonts w:ascii="宋体" w:hAnsi="宋体" w:eastAsia="宋体"/>
                <w:sz w:val="21"/>
              </w:rPr>
              <w:t>—</w:t>
            </w:r>
          </w:p>
        </w:tc>
      </w:tr>
    </w:tbl>
    <w:p>
      <w:pPr>
        <w:spacing w:after="200" w:line="240" w:lineRule="auto"/>
        <w:jc w:val="both"/>
      </w:pPr>
      <w:r>
        <w:rPr>
          <w:rFonts w:ascii="宋体" w:hAnsi="宋体" w:eastAsia="宋体"/>
          <w:sz w:val="18"/>
        </w:rPr>
        <w:t>注：参考点为归入该核心范畴的编码片段数，占比以四个范畴的参考点合计为分母；因存在跨范畴双重归属，合计参考点多于开放编码所得的初始概念数。「对应的定量结论」为作者依本书前章结果归纳，非受访者表述。数据来源：作者访谈与编码。</w:t>
      </w:r>
    </w:p>
    <w:p>
      <w:pPr>
        <w:spacing w:line="360" w:lineRule="auto" w:after="0"/>
        <w:ind w:firstLineChars="200" w:firstLine="480"/>
        <w:jc w:val="both"/>
      </w:pPr>
      <w:r>
        <w:rPr>
          <w:rFonts w:ascii="宋体" w:hAnsi="宋体" w:eastAsia="宋体"/>
          <w:sz w:val="24"/>
        </w:rPr>
        <w:t>表13.3最值得注意的一项结果是计量不透明位居首位，占全部参考点的32.9%。这一发现在质性研究中具有直接的理论意义：它表明企业在采纳词元服务时最先遇到、也最难自行化解的，不是价格高低，也不是技术难度，而是「买到的究竟是什么」这一计量问题。受访者的典型表述可以概括为三类：一是不同供给方对输入与输出词元的计数方式、缓存命中的计费方式不一致，使跨供给方的报价无法直接比较；二是同一枚词元在不同模型下的实际效用相差悬殊，而效值没有任何可核验的披露；三是平台账单与自身调用日志的口径存在系统性差异，对账成本高。三类表述恰好对应质量不可观测条件下的经典市场失灵机制：买方无法在事前分辨质量，只能按平均质量出价，高质量供给被逐出市场（Akerlof，1970）；而破解之道在于建立可信的质量披露与认证制度（Dranove和Jin，2010）。第8章已测得企业对所购词元效值的认知偏差均值为0.44，低效值档位的过度采购份额为0.27，与本章的编码结果指向同一机制。</w:t>
      </w:r>
    </w:p>
    <w:p>
      <w:pPr>
        <w:spacing w:line="360" w:lineRule="auto" w:after="0"/>
        <w:ind w:firstLineChars="200" w:firstLine="480"/>
        <w:jc w:val="both"/>
      </w:pPr>
      <w:r>
        <w:rPr>
          <w:rFonts w:ascii="宋体" w:hAnsi="宋体" w:eastAsia="宋体"/>
          <w:sz w:val="24"/>
        </w:rPr>
        <w:t>成本不确定位居第二，占27.2%。受访者的表述集中于「单价在降、账单在涨」这一看似矛盾的体验。本书前章已给出解释：第7章测得2024年一季度至2026年二季度物理词元价格指数由100降至21，累计降幅79%；但标准词元价格指数同期仅降至47，表观降幅中约53%来自效值提升（同价买到更强的词元），仅约47%为真实降价。企业感受到的单价下行是真实的，但其消费结构同时在向高效值档位迁移，且任务复杂度上升带来的词元用量增长远快于单价下行，于是总支出不降反升。这一解释的政策含义是明确的：仅公布单价的下降幅度无助于缓解企业的预算焦虑，真正有用的是发布口径统一的标准词元价格指数，使企业能够把「买得更多」与「买得更贵」区分开来。</w:t>
      </w:r>
    </w:p>
    <w:p>
      <w:pPr>
        <w:spacing w:line="360" w:lineRule="auto" w:after="0"/>
        <w:ind w:firstLineChars="200" w:firstLine="480"/>
        <w:jc w:val="both"/>
      </w:pPr>
      <w:r>
        <w:rPr>
          <w:rFonts w:ascii="宋体" w:hAnsi="宋体" w:eastAsia="宋体"/>
          <w:sz w:val="24"/>
        </w:rPr>
        <w:t>能力缺口占22.4%，其内容是提示工程、系统集成与业务流改造三类能力的不足。这一范畴与第9章的匹配损失形成呼应但并不等同：匹配损失刻画的是任务与模型档位之间的错配，属技术性的配置问题；能力缺口刻画的是企业内部把词元能力嵌入业务流的组织性障碍。两者的关系是，前者可以通过平台层的自动匹配大幅缓解，后者则必须由企业自身的组织学习完成，平台至多提供模板与陪跑。合规与安全顾虑占17.5%，看似最低，但受访者普遍指出它具有「一票否决」性质——只要责任界定不清，其他三项改进得再好也无法进入核心业务。这提示我们，参考点频次度量的是「被提及的频繁程度」而非「阻碍的严重程度」，两者不可等同，这也是下一节要引入结构性指标的原因。</w:t>
      </w:r>
    </w:p>
    <w:p>
      <w:pPr>
        <w:keepNext/>
        <w:spacing w:before="160" w:after="120" w:line="360" w:lineRule="auto"/>
        <w:outlineLvl w:val="2"/>
      </w:pPr>
      <w:r>
        <w:rPr>
          <w:rFonts w:ascii="黑体" w:hAnsi="黑体" w:eastAsia="黑体"/>
          <w:sz w:val="24"/>
        </w:rPr>
        <w:t>13.5.3  障碍结构的集中度与政策含义</w:t>
      </w:r>
    </w:p>
    <w:p>
      <w:pPr>
        <w:spacing w:line="360" w:lineRule="auto" w:after="0"/>
        <w:ind w:firstLineChars="200" w:firstLine="480"/>
        <w:jc w:val="both"/>
      </w:pPr>
      <w:r>
        <w:rPr>
          <w:rFonts w:ascii="宋体" w:hAnsi="宋体" w:eastAsia="宋体"/>
          <w:sz w:val="24"/>
        </w:rPr>
        <w:t xml:space="preserve">若四类障碍的频次高度集中于某一项，则单点突破的政策具有较高的期望收益；若四类障碍大体均匀分布，则任何单点政策的效果都会被其余三项摊薄，必须系统配套。这一判断需要结构性指标而非简单排序。设核心范畴 </w:t>
      </w:r>
      <m:oMath>
        <m:r>
          <m:t>g</m:t>
        </m:r>
        <m:r>
          <m:rPr>
            <m:sty m:val="p"/>
          </m:rPr>
          <m:t>=</m:t>
        </m:r>
        <m:r>
          <m:t>1</m:t>
        </m:r>
        <m:r>
          <m:rPr>
            <m:sty m:val="p"/>
          </m:rPr>
          <m:t>,</m:t>
        </m:r>
        <m:r>
          <m:rPr>
            <m:sty m:val="p"/>
          </m:rPr>
          <m:t>…</m:t>
        </m:r>
        <m:r>
          <m:rPr>
            <m:sty m:val="p"/>
          </m:rPr>
          <m:t>,</m:t>
        </m:r>
        <m:r>
          <m:t>G</m:t>
        </m:r>
      </m:oMath>
      <w:r>
        <w:rPr>
          <w:rFonts w:ascii="宋体" w:hAnsi="宋体" w:eastAsia="宋体"/>
          <w:sz w:val="24"/>
        </w:rPr>
        <w:t xml:space="preserve"> 的参考点频次为 </w:t>
      </w:r>
      <m:oMath>
        <m:sSub>
          <m:e>
            <m:r>
              <m:t>f</m:t>
            </m:r>
          </m:e>
          <m:sub>
            <m:r>
              <m:t>g</m:t>
            </m:r>
          </m:sub>
        </m:sSub>
      </m:oMath>
      <w:r>
        <w:rPr>
          <w:rFonts w:ascii="宋体" w:hAnsi="宋体" w:eastAsia="宋体"/>
          <w:sz w:val="24"/>
        </w:rPr>
        <w:t>，其份额为</w:t>
      </w:r>
      <m:oMath>
        <m:sSub>
          <m:e>
            <m:r>
              <m:t>π</m:t>
            </m:r>
          </m:e>
          <m:sub>
            <m:r>
              <m:t>g</m:t>
            </m:r>
          </m:sub>
        </m:sSub>
        <m:r>
          <m:rPr>
            <m:sty m:val="p"/>
          </m:rPr>
          <m:t>=</m:t>
        </m:r>
        <m:sSub>
          <m:e>
            <m:r>
              <m:t>f</m:t>
            </m:r>
          </m:e>
          <m:sub>
            <m:r>
              <m:t>g</m:t>
            </m:r>
          </m:sub>
        </m:sSub>
        <m:r>
          <m:rPr>
            <m:sty m:val="p"/>
          </m:rPr>
          <m:t>/</m:t>
        </m:r>
        <m:nary>
          <m:naryPr>
            <m:chr m:val="∑"/>
            <m:limLoc m:val="undOvr"/>
            <m:subHide m:val="off"/>
            <m:supHide m:val="on"/>
          </m:naryPr>
          <m:sub>
            <m:sSup>
              <m:e>
                <m:r>
                  <m:t>g</m:t>
                </m:r>
              </m:e>
              <m:sup>
                <m:r>
                  <m:rPr>
                    <m:sty m:val="p"/>
                  </m:rPr>
                  <m:t>′</m:t>
                </m:r>
              </m:sup>
            </m:sSup>
          </m:sub>
          <m:sup>
            <m:r>
              <m:t>​</m:t>
            </m:r>
          </m:sup>
          <m:e>
            <m:sSub>
              <m:e>
                <m:r>
                  <m:t>f</m:t>
                </m:r>
              </m:e>
              <m:sub>
                <m:sSup>
                  <m:e>
                    <m:r>
                      <m:t>g</m:t>
                    </m:r>
                  </m:e>
                  <m:sup>
                    <m:r>
                      <m:rPr>
                        <m:sty m:val="p"/>
                      </m:rPr>
                      <m:t>′</m:t>
                    </m:r>
                  </m:sup>
                </m:sSup>
              </m:sub>
            </m:sSub>
          </m:e>
        </m:nary>
      </m:oMath>
      <w:r>
        <w:rPr>
          <w:rFonts w:ascii="宋体" w:hAnsi="宋体" w:eastAsia="宋体"/>
          <w:sz w:val="24"/>
        </w:rPr>
        <w:t>，定义障碍结构的集中度指数与弥散度指数：</w:t>
      </w:r>
    </w:p>
    <w:p>
      <w:pPr>
        <w:tabs>
          <w:tab w:pos="4252" w:val="center"/>
          <w:tab w:pos="8504" w:val="right"/>
        </w:tabs>
        <w:spacing w:line="360" w:lineRule="auto" w:before="80" w:after="80"/>
      </w:pPr>
      <w:r>
        <w:tab/>
      </w:r>
      <m:oMath>
        <m:r>
          <m:t>H</m:t>
        </m:r>
        <m:r>
          <m:rPr>
            <m:sty m:val="p"/>
          </m:rPr>
          <m:t>=</m:t>
        </m:r>
        <m:nary>
          <m:naryPr>
            <m:chr m:val="∑"/>
            <m:limLoc m:val="undOvr"/>
            <m:subHide m:val="off"/>
            <m:supHide m:val="off"/>
          </m:naryPr>
          <m:sub>
            <m:r>
              <m:t>g</m:t>
            </m:r>
            <m:r>
              <m:rPr>
                <m:sty m:val="p"/>
              </m:rPr>
              <m:t>=</m:t>
            </m:r>
            <m:r>
              <m:t>1</m:t>
            </m:r>
          </m:sub>
          <m:sup>
            <m:r>
              <m:t>G</m:t>
            </m:r>
          </m:sup>
          <m:e>
            <m:sSubSup>
              <m:e>
                <m:r>
                  <m:t>π</m:t>
                </m:r>
              </m:e>
              <m:sub>
                <m:r>
                  <m:t>g</m:t>
                </m:r>
              </m:sub>
              <m:sup>
                <m:r>
                  <m:t>2</m:t>
                </m:r>
              </m:sup>
            </m:sSubSup>
          </m:e>
        </m:nary>
        <m:r>
          <m:rPr>
            <m:sty m:val="p"/>
          </m:rPr>
          <m:t>,</m:t>
        </m:r>
        <m:r>
          <m:t>  </m:t>
        </m:r>
        <m:r>
          <m:t>E</m:t>
        </m:r>
        <m:r>
          <m:rPr>
            <m:sty m:val="p"/>
          </m:rPr>
          <m:t>=</m:t>
        </m:r>
        <m:r>
          <m:rPr>
            <m:sty m:val="p"/>
          </m:rPr>
          <m:t>−</m:t>
        </m:r>
        <m:f>
          <m:fPr>
            <m:type m:val="bar"/>
          </m:fPr>
          <m:num>
            <m:r>
              <m:t>1</m:t>
            </m:r>
          </m:num>
          <m:den>
            <m:r>
              <m:rPr>
                <m:sty m:val="p"/>
              </m:rPr>
              <m:t>ln</m:t>
            </m:r>
            <m:r>
              <m:t>G</m:t>
            </m:r>
          </m:den>
        </m:f>
        <m:nary>
          <m:naryPr>
            <m:chr m:val="∑"/>
            <m:limLoc m:val="undOvr"/>
            <m:subHide m:val="off"/>
            <m:supHide m:val="off"/>
          </m:naryPr>
          <m:sub>
            <m:r>
              <m:t>g</m:t>
            </m:r>
            <m:r>
              <m:rPr>
                <m:sty m:val="p"/>
              </m:rPr>
              <m:t>=</m:t>
            </m:r>
            <m:r>
              <m:t>1</m:t>
            </m:r>
          </m:sub>
          <m:sup>
            <m:r>
              <m:t>G</m:t>
            </m:r>
          </m:sup>
          <m:e>
            <m:sSub>
              <m:e>
                <m:r>
                  <m:t>π</m:t>
                </m:r>
              </m:e>
              <m:sub>
                <m:r>
                  <m:t>g</m:t>
                </m:r>
              </m:sub>
            </m:sSub>
          </m:e>
        </m:nary>
        <m:r>
          <m:rPr>
            <m:sty m:val="p"/>
          </m:rPr>
          <m:t>ln</m:t>
        </m:r>
        <m:sSub>
          <m:e>
            <m:r>
              <m:t>π</m:t>
            </m:r>
          </m:e>
          <m:sub>
            <m:r>
              <m:t>g</m:t>
            </m:r>
          </m:sub>
        </m:sSub>
      </m:oMath>
      <w:r>
        <w:tab/>
      </w:r>
      <w:r>
        <w:rPr>
          <w:rFonts w:ascii="Times New Roman" w:hAnsi="Times New Roman" w:eastAsia="宋体"/>
          <w:sz w:val="24"/>
        </w:rPr>
        <w:t>(13-2)</w:t>
      </w:r>
    </w:p>
    <w:p>
      <w:pPr>
        <w:spacing w:line="360" w:lineRule="auto" w:after="0"/>
        <w:jc w:val="both"/>
      </w:pPr>
      <w:r>
        <w:rPr>
          <w:rFonts w:ascii="宋体" w:hAnsi="宋体" w:eastAsia="宋体"/>
          <w:sz w:val="24"/>
        </w:rPr>
        <w:t>其中，</w:t>
      </w:r>
      <m:oMath>
        <m:r>
          <m:t>H</m:t>
        </m:r>
      </m:oMath>
      <w:r>
        <w:rPr>
          <w:rFonts w:ascii="宋体" w:hAnsi="宋体" w:eastAsia="宋体"/>
          <w:sz w:val="24"/>
        </w:rPr>
        <w:t>为赫芬达尔型集中度指数，</w:t>
      </w:r>
      <m:oMath>
        <m:r>
          <m:t>E</m:t>
        </m:r>
      </m:oMath>
      <w:r>
        <w:rPr>
          <w:rFonts w:ascii="宋体" w:hAnsi="宋体" w:eastAsia="宋体"/>
          <w:sz w:val="24"/>
        </w:rPr>
        <w:t>为以</w:t>
      </w:r>
      <m:oMath>
        <m:r>
          <m:rPr>
            <m:sty m:val="p"/>
          </m:rPr>
          <m:t>ln</m:t>
        </m:r>
        <m:r>
          <m:t>G</m:t>
        </m:r>
      </m:oMath>
      <w:r>
        <w:rPr>
          <w:rFonts w:ascii="宋体" w:hAnsi="宋体" w:eastAsia="宋体"/>
          <w:sz w:val="24"/>
        </w:rPr>
        <w:t>标准化的信息熵；</w:t>
      </w:r>
      <m:oMath>
        <m:r>
          <m:t>G</m:t>
        </m:r>
      </m:oMath>
      <w:r>
        <w:rPr>
          <w:rFonts w:ascii="宋体" w:hAnsi="宋体" w:eastAsia="宋体"/>
          <w:sz w:val="24"/>
        </w:rPr>
        <w:t>为核心范畴数。</w:t>
      </w:r>
    </w:p>
    <w:p>
      <w:pPr>
        <w:spacing w:line="360" w:lineRule="auto" w:after="0"/>
        <w:ind w:firstLineChars="200" w:firstLine="480"/>
        <w:jc w:val="both"/>
      </w:pPr>
      <w:r>
        <w:rPr>
          <w:rFonts w:ascii="宋体" w:hAnsi="宋体" w:eastAsia="宋体"/>
          <w:sz w:val="24"/>
        </w:rPr>
        <w:t>式(13-2)的两项指标互为反向：</w:t>
      </w:r>
      <m:oMath>
        <m:r>
          <m:t>H</m:t>
        </m:r>
        <m:r>
          <m:rPr>
            <m:sty m:val="p"/>
          </m:rPr>
          <m:t>∈</m:t>
        </m:r>
        <m:d>
          <m:dPr>
            <m:begChr m:val="["/>
            <m:endChr m:val="]"/>
            <m:grow/>
          </m:dPr>
          <m:e>
            <m:r>
              <m:t>1</m:t>
            </m:r>
            <m:r>
              <m:rPr>
                <m:sty m:val="p"/>
              </m:rPr>
              <m:t>/</m:t>
            </m:r>
            <m:r>
              <m:t>G</m:t>
            </m:r>
            <m:r>
              <m:rPr>
                <m:sty m:val="p"/>
              </m:rPr>
              <m:t>,</m:t>
            </m:r>
            <m:r>
              <m:t>1</m:t>
            </m:r>
          </m:e>
        </m:d>
      </m:oMath>
      <w:r>
        <w:rPr>
          <w:rFonts w:ascii="宋体" w:hAnsi="宋体" w:eastAsia="宋体"/>
          <w:sz w:val="24"/>
        </w:rPr>
        <w:t>，取下界</w:t>
      </w:r>
      <m:oMath>
        <m:r>
          <m:t>1</m:t>
        </m:r>
        <m:r>
          <m:rPr>
            <m:sty m:val="p"/>
          </m:rPr>
          <m:t>/</m:t>
        </m:r>
        <m:r>
          <m:t>G</m:t>
        </m:r>
      </m:oMath>
      <w:r>
        <w:rPr>
          <w:rFonts w:ascii="宋体" w:hAnsi="宋体" w:eastAsia="宋体"/>
          <w:sz w:val="24"/>
        </w:rPr>
        <w:t>时四类障碍完全均匀分布，取上界1时全部参考点集中于单一范畴；</w:t>
      </w:r>
      <m:oMath>
        <m:r>
          <m:t>E</m:t>
        </m:r>
        <m:r>
          <m:rPr>
            <m:sty m:val="p"/>
          </m:rPr>
          <m:t>∈</m:t>
        </m:r>
        <m:d>
          <m:dPr>
            <m:begChr m:val="["/>
            <m:endChr m:val="]"/>
            <m:grow/>
          </m:dPr>
          <m:e>
            <m:r>
              <m:t>0</m:t>
            </m:r>
            <m:r>
              <m:rPr>
                <m:sty m:val="p"/>
              </m:rPr>
              <m:t>,</m:t>
            </m:r>
            <m:r>
              <m:t>1</m:t>
            </m:r>
          </m:e>
        </m:d>
      </m:oMath>
      <w:r>
        <w:rPr>
          <w:rFonts w:ascii="宋体" w:hAnsi="宋体" w:eastAsia="宋体"/>
          <w:sz w:val="24"/>
        </w:rPr>
        <w:t>，取1时完全均匀，取0时完全集中。两项指标同时报告的理由是，</w:t>
      </w:r>
      <m:oMath>
        <m:r>
          <m:t>H</m:t>
        </m:r>
      </m:oMath>
      <w:r>
        <w:rPr>
          <w:rFonts w:ascii="宋体" w:hAnsi="宋体" w:eastAsia="宋体"/>
          <w:sz w:val="24"/>
        </w:rPr>
        <w:t>对高份额范畴更敏感、</w:t>
      </w:r>
      <m:oMath>
        <m:r>
          <m:t>E</m:t>
        </m:r>
      </m:oMath>
      <w:r>
        <w:rPr>
          <w:rFonts w:ascii="宋体" w:hAnsi="宋体" w:eastAsia="宋体"/>
          <w:sz w:val="24"/>
        </w:rPr>
        <w:t>对低份额范畴更敏感，二者的组合可以避免单一指标的盲区。就本章的编码结果而言，</w:t>
      </w:r>
      <m:oMath>
        <m:r>
          <m:t>G</m:t>
        </m:r>
        <m:r>
          <m:rPr>
            <m:sty m:val="p"/>
          </m:rPr>
          <m:t>=</m:t>
        </m:r>
        <m:r>
          <m:t>4</m:t>
        </m:r>
      </m:oMath>
      <w:r>
        <w:rPr>
          <w:rFonts w:ascii="宋体" w:hAnsi="宋体" w:eastAsia="宋体"/>
          <w:sz w:val="24"/>
        </w:rPr>
        <w:t>，四类障碍的份额依次为32.9%、27.2%、22.4%与17.5%，代入式(13-2)得</w:t>
      </w:r>
      <m:oMath>
        <m:r>
          <m:t>H</m:t>
        </m:r>
        <m:r>
          <m:rPr>
            <m:sty m:val="p"/>
          </m:rPr>
          <m:t>=</m:t>
        </m:r>
        <m:r>
          <m:t>0.2631</m:t>
        </m:r>
      </m:oMath>
      <w:r>
        <w:rPr>
          <w:rFonts w:ascii="宋体" w:hAnsi="宋体" w:eastAsia="宋体"/>
          <w:sz w:val="24"/>
        </w:rPr>
        <w:t>、</w:t>
      </w:r>
      <m:oMath>
        <m:r>
          <m:t>E</m:t>
        </m:r>
        <m:r>
          <m:rPr>
            <m:sty m:val="p"/>
          </m:rPr>
          <m:t>=</m:t>
        </m:r>
        <m:r>
          <m:t>0.9810</m:t>
        </m:r>
      </m:oMath>
      <w:r>
        <w:rPr>
          <w:rFonts w:ascii="宋体" w:hAnsi="宋体" w:eastAsia="宋体"/>
          <w:sz w:val="24"/>
        </w:rPr>
        <w:t>。集中度指数仅比完全均匀分布的下界0.25高出5.2%，弥散度指数则高达0.981，距上界1不足两个百分点。这是一个结构性的结论：企业采纳词元服务面临的不是一个主导瓶颈，而是四个量级相当的关口。</w:t>
      </w:r>
    </w:p>
    <w:p>
      <w:pPr>
        <w:spacing w:line="360" w:lineRule="auto" w:after="0"/>
        <w:ind w:firstLineChars="200" w:firstLine="480"/>
        <w:jc w:val="both"/>
      </w:pPr>
      <w:r>
        <w:rPr>
          <w:rFonts w:ascii="宋体" w:hAnsi="宋体" w:eastAsia="宋体"/>
          <w:sz w:val="24"/>
        </w:rPr>
        <w:t>这一结论有三层政策含义。第一层是直接的：任何单点政策——只补贴价格、或只统一计量、或只做培训——都无法把企业的深度采纳净收益推过临界值。第10章的三方演化博弈已经给出这一临界值的精确刻画：企业深度采纳成为演化稳定策略的临界红利为</w:t>
      </w:r>
      <m:oMath>
        <m:sSubSup>
          <m:e>
            <m:r>
              <m:t>R</m:t>
            </m:r>
          </m:e>
          <m:sub>
            <m:r>
              <m:t>F</m:t>
            </m:r>
          </m:sub>
          <m:sup>
            <m:r>
              <m:t>c</m:t>
            </m:r>
          </m:sup>
        </m:sSubSup>
        <m:r>
          <m:rPr>
            <m:sty m:val="p"/>
          </m:rPr>
          <m:t>=</m:t>
        </m:r>
        <m:r>
          <m:t>1.55</m:t>
        </m:r>
      </m:oMath>
      <w:r>
        <w:rPr>
          <w:rFonts w:ascii="宋体" w:hAnsi="宋体" w:eastAsia="宋体"/>
          <w:sz w:val="24"/>
        </w:rPr>
        <w:t>，而基准情景下的企业红利为1.5，仅比临界值低约3%，却导致完全不同的均衡——系统收敛于「平台热、企业冷」，政府被锁定在强激励挡位而无法退出补贴。本章的集中度测度解释了这一「差之毫厘」为何难以跨越：由于四类障碍量级相当，单项改进对</w:t>
      </w:r>
      <m:oMath>
        <m:sSub>
          <m:e>
            <m:r>
              <m:t>R</m:t>
            </m:r>
          </m:e>
          <m:sub>
            <m:r>
              <m:t>F</m:t>
            </m:r>
          </m:sub>
        </m:sSub>
      </m:oMath>
      <w:r>
        <w:rPr>
          <w:rFonts w:ascii="宋体" w:hAnsi="宋体" w:eastAsia="宋体"/>
          <w:sz w:val="24"/>
        </w:rPr>
        <w:t>的提升幅度大约只有全部改进的四分之一，远不足以跨过阈值；只有四项同时推进，才可能实现质变。第二层含义关乎政策工具的组合方式：既然四项障碍量级相当，则「五个统一」应当作为一揽子制度安排整体推行，分项试点的效果会显著低于其加总。这为第10章把五项统一作为整体机制设计提供了来自企业侧的独立证据。</w:t>
      </w:r>
    </w:p>
    <w:p>
      <w:pPr>
        <w:spacing w:line="360" w:lineRule="auto" w:after="0"/>
        <w:ind w:firstLineChars="200" w:firstLine="480"/>
        <w:jc w:val="both"/>
      </w:pPr>
      <w:r>
        <w:rPr>
          <w:rFonts w:ascii="宋体" w:hAnsi="宋体" w:eastAsia="宋体"/>
          <w:sz w:val="24"/>
        </w:rPr>
        <w:t>第三层含义关乎政策的优先序。集中度低并不意味着四项完全等价——在四项量级相当的条件下，应当优先推进那些具有基础设施性质、能够降低其余三项改进成本的措施。统一计量正是这样一项措施：计量口径统一后，价格指数才有编制基础，成本的可预期性随之提升；计量与效值可核验后，平台的自动匹配才具备可验证的优化目标，能力缺口的改进也才有客观的效果度量；计量数据的标准化留痕本身即是安全审计的基础。换言之，统一计量对其余三项具有正的交叉效应，其社会收益大于其直接收益。这一判断与第10章层次分析法的测算结果高度一致——在五项制度要件中，统一计量的组合权重最高（0.271），统一结算次之（0.223），统一入口第三（0.196），统一安全审计第四（0.166），统一政策抵扣最末（0.144），判断矩阵的一致性比率为0.038，通过一致性检验。</w:t>
      </w:r>
    </w:p>
    <w:p>
      <w:pPr>
        <w:spacing w:line="360" w:lineRule="auto" w:after="0"/>
        <w:ind w:firstLineChars="200" w:firstLine="480"/>
        <w:jc w:val="both"/>
      </w:pPr>
      <w:r>
        <w:rPr>
          <w:rFonts w:ascii="宋体" w:hAnsi="宋体" w:eastAsia="宋体"/>
          <w:sz w:val="24"/>
        </w:rPr>
        <w:t>两套结果的一致性值得专门核验，因为它们来自完全独立的方法与数据：层次分析法的权重来自26位专家的两轮咨询，度量的是制度要件的重要性判断；扎根编码的频次来自企业侧访谈语料，度量的是障碍被提及的频繁程度。若把四个核心范畴与四项制度要件按机制对应关系配对——计量不透明对应统一计量、成本不确定对应统一结算、能力缺口对应统一入口、合规与安全顾虑对应统一安全审计——则两套排序的斯皮尔曼秩相关系数为1.00。在四个配对下，两组排序完全一致的随机概率为</w:t>
      </w:r>
      <m:oMath>
        <m:r>
          <m:t>1</m:t>
        </m:r>
        <m:r>
          <m:rPr>
            <m:sty m:val="p"/>
          </m:rPr>
          <m:t>/</m:t>
        </m:r>
        <m:r>
          <m:t>4</m:t>
        </m:r>
        <m:r>
          <m:rPr>
            <m:sty m:val="p"/>
          </m:rPr>
          <m:t>!</m:t>
        </m:r>
        <m:r>
          <m:rPr>
            <m:sty m:val="p"/>
          </m:rPr>
          <m:t>≈</m:t>
        </m:r>
        <m:r>
          <m:t>4.2</m:t>
        </m:r>
        <m:r>
          <m:rPr>
            <m:sty m:val="p"/>
          </m:rPr>
          <m:t>%</m:t>
        </m:r>
      </m:oMath>
      <w:r>
        <w:rPr>
          <w:rFonts w:ascii="宋体" w:hAnsi="宋体" w:eastAsia="宋体"/>
          <w:sz w:val="24"/>
        </w:rPr>
        <w:t>，故这一吻合不大可能出于偶然。第五项制度要件统一政策抵扣（权重0.144）在企业侧的核心范畴中没有对应项，原因也是清楚的：政策抵扣是政府侧的激励工具而非企业侧的障碍来源，企业只会抱怨申报麻烦，不会把「没有补贴」表述为采纳障碍。这一非对称性本身构成了对配对逻辑的一项旁证。</w:t>
      </w:r>
    </w:p>
    <w:p>
      <w:pPr>
        <w:keepNext/>
        <w:spacing w:before="160" w:after="120" w:line="360" w:lineRule="auto"/>
        <w:outlineLvl w:val="1"/>
      </w:pPr>
      <w:r>
        <w:rPr>
          <w:rFonts w:ascii="黑体" w:hAnsi="黑体" w:eastAsia="黑体"/>
          <w:sz w:val="28"/>
        </w:rPr>
        <w:t>13.6  与定量结论的三角验证</w:t>
      </w:r>
    </w:p>
    <w:p>
      <w:pPr>
        <w:spacing w:line="360" w:lineRule="auto" w:after="0"/>
        <w:ind w:firstLineChars="200" w:firstLine="480"/>
        <w:jc w:val="both"/>
      </w:pPr>
      <w:r>
        <w:rPr>
          <w:rFonts w:ascii="宋体" w:hAnsi="宋体" w:eastAsia="宋体"/>
          <w:sz w:val="24"/>
        </w:rPr>
        <w:t xml:space="preserve">案例证据的最终价值，在于它能否与定量结论相互印证或相互纠正。混合方法研究通常以收敛效度作为判据，但收敛效度不能仅凭印象宣称，需要一个可复核的记账方式。为此，本章从前章的定量结果中提炼出若干条可由案例证据检验的命题，逐条判定案例证据对该命题是支持、不足以判定还是相悖，并据以构造一致性指数。设第 </w:t>
      </w:r>
      <m:oMath>
        <m:r>
          <m:t>q</m:t>
        </m:r>
      </m:oMath>
      <w:r>
        <w:rPr>
          <w:rFonts w:ascii="宋体" w:hAnsi="宋体" w:eastAsia="宋体"/>
          <w:sz w:val="24"/>
        </w:rPr>
        <w:t xml:space="preserve"> 条命题的判定结果为 </w:t>
      </w:r>
      <m:oMath>
        <m:sSub>
          <m:e>
            <m:r>
              <m:t>δ</m:t>
            </m:r>
          </m:e>
          <m:sub>
            <m:r>
              <m:t>q</m:t>
            </m:r>
          </m:sub>
        </m:sSub>
        <m:r>
          <m:rPr>
            <m:sty m:val="p"/>
          </m:rPr>
          <m:t>∈</m:t>
        </m:r>
        <m:r>
          <m:rPr>
            <m:sty m:val="p"/>
          </m:rPr>
          <m:t>{</m:t>
        </m:r>
        <m:r>
          <m:t>1</m:t>
        </m:r>
        <m:r>
          <m:rPr>
            <m:sty m:val="p"/>
          </m:rPr>
          <m:t>,</m:t>
        </m:r>
        <m:r>
          <m:t>0</m:t>
        </m:r>
        <m:r>
          <m:rPr>
            <m:sty m:val="p"/>
          </m:rPr>
          <m:t>,</m:t>
        </m:r>
        <m:r>
          <m:rPr>
            <m:sty m:val="p"/>
          </m:rPr>
          <m:t>−</m:t>
        </m:r>
        <m:r>
          <m:t>1</m:t>
        </m:r>
        <m:r>
          <m:rPr>
            <m:sty m:val="p"/>
          </m:rPr>
          <m:t>}</m:t>
        </m:r>
      </m:oMath>
      <w:r>
        <w:rPr>
          <w:rFonts w:ascii="宋体" w:hAnsi="宋体" w:eastAsia="宋体"/>
          <w:sz w:val="24"/>
        </w:rPr>
        <w:t xml:space="preserve">，权重为 </w:t>
      </w:r>
      <m:oMath>
        <m:sSub>
          <m:e>
            <m:r>
              <m:t>ω</m:t>
            </m:r>
          </m:e>
          <m:sub>
            <m:r>
              <m:t>q</m:t>
            </m:r>
          </m:sub>
        </m:sSub>
        <m:r>
          <m:rPr>
            <m:sty m:val="p"/>
          </m:rPr>
          <m:t>≥</m:t>
        </m:r>
        <m:r>
          <m:t>0</m:t>
        </m:r>
      </m:oMath>
      <w:r>
        <w:rPr>
          <w:rFonts w:ascii="宋体" w:hAnsi="宋体" w:eastAsia="宋体"/>
          <w:sz w:val="24"/>
        </w:rPr>
        <w:t xml:space="preserve"> 且 </w:t>
      </w:r>
      <m:oMath>
        <m:nary>
          <m:naryPr>
            <m:chr m:val="∑"/>
            <m:limLoc m:val="undOvr"/>
            <m:subHide m:val="off"/>
            <m:supHide m:val="on"/>
          </m:naryPr>
          <m:sub>
            <m:r>
              <m:t>q</m:t>
            </m:r>
          </m:sub>
          <m:sup>
            <m:r>
              <m:t>​</m:t>
            </m:r>
          </m:sup>
          <m:e>
            <m:sSub>
              <m:e>
                <m:r>
                  <m:t>ω</m:t>
                </m:r>
              </m:e>
              <m:sub>
                <m:r>
                  <m:t>q</m:t>
                </m:r>
              </m:sub>
            </m:sSub>
          </m:e>
        </m:nary>
        <m:r>
          <m:rPr>
            <m:sty m:val="p"/>
          </m:rPr>
          <m:t>=</m:t>
        </m:r>
        <m:r>
          <m:t>1</m:t>
        </m:r>
      </m:oMath>
      <w:r>
        <w:rPr>
          <w:rFonts w:ascii="宋体" w:hAnsi="宋体" w:eastAsia="宋体"/>
          <w:sz w:val="24"/>
        </w:rPr>
        <w:t>，定义：</w:t>
      </w:r>
    </w:p>
    <w:p>
      <w:pPr>
        <w:tabs>
          <w:tab w:pos="4252" w:val="center"/>
          <w:tab w:pos="8504" w:val="right"/>
        </w:tabs>
        <w:spacing w:line="360" w:lineRule="auto" w:before="80" w:after="80"/>
      </w:pPr>
      <w:r>
        <w:tab/>
      </w:r>
      <m:oMath>
        <m:r>
          <m:t>Λ</m:t>
        </m:r>
        <m:r>
          <m:rPr>
            <m:sty m:val="p"/>
          </m:rPr>
          <m:t>=</m:t>
        </m:r>
        <m:nary>
          <m:naryPr>
            <m:chr m:val="∑"/>
            <m:limLoc m:val="undOvr"/>
            <m:subHide m:val="off"/>
            <m:supHide m:val="off"/>
          </m:naryPr>
          <m:sub>
            <m:r>
              <m:t>q</m:t>
            </m:r>
            <m:r>
              <m:rPr>
                <m:sty m:val="p"/>
              </m:rPr>
              <m:t>=</m:t>
            </m:r>
            <m:r>
              <m:t>1</m:t>
            </m:r>
          </m:sub>
          <m:sup>
            <m:r>
              <m:t>Q</m:t>
            </m:r>
          </m:sup>
          <m:e>
            <m:sSub>
              <m:e>
                <m:r>
                  <m:t>ω</m:t>
                </m:r>
              </m:e>
              <m:sub>
                <m:r>
                  <m:t>q</m:t>
                </m:r>
              </m:sub>
            </m:sSub>
          </m:e>
        </m:nary>
        <m:r>
          <m:t> </m:t>
        </m:r>
        <m:sSub>
          <m:e>
            <m:r>
              <m:t>δ</m:t>
            </m:r>
          </m:e>
          <m:sub>
            <m:r>
              <m:t>q</m:t>
            </m:r>
          </m:sub>
        </m:sSub>
        <m:r>
          <m:rPr>
            <m:sty m:val="p"/>
          </m:rPr>
          <m:t>,</m:t>
        </m:r>
        <m:r>
          <m:t>  </m:t>
        </m:r>
        <m:sSup>
          <m:e>
            <m:r>
              <m:t>Λ</m:t>
            </m:r>
          </m:e>
          <m:sup>
            <m:r>
              <m:rPr>
                <m:sty m:val="p"/>
              </m:rPr>
              <m:t>−</m:t>
            </m:r>
          </m:sup>
        </m:sSup>
        <m:r>
          <m:rPr>
            <m:sty m:val="p"/>
          </m:rPr>
          <m:t>=</m:t>
        </m:r>
        <m:nary>
          <m:naryPr>
            <m:chr m:val="∑"/>
            <m:limLoc m:val="undOvr"/>
            <m:subHide m:val="off"/>
            <m:supHide m:val="off"/>
          </m:naryPr>
          <m:sub>
            <m:r>
              <m:t>q</m:t>
            </m:r>
            <m:r>
              <m:rPr>
                <m:sty m:val="p"/>
              </m:rPr>
              <m:t>=</m:t>
            </m:r>
            <m:r>
              <m:t>1</m:t>
            </m:r>
          </m:sub>
          <m:sup>
            <m:r>
              <m:t>Q</m:t>
            </m:r>
          </m:sup>
          <m:e>
            <m:sSub>
              <m:e>
                <m:r>
                  <m:t>ω</m:t>
                </m:r>
              </m:e>
              <m:sub>
                <m:r>
                  <m:t>q</m:t>
                </m:r>
              </m:sub>
            </m:sSub>
          </m:e>
        </m:nary>
        <m:r>
          <m:t> </m:t>
        </m:r>
        <m:r>
          <m:rPr>
            <m:sty m:val="b"/>
          </m:rPr>
          <m:t>1</m:t>
        </m:r>
        <m:r>
          <m:rPr>
            <m:sty m:val="p"/>
          </m:rPr>
          <m:t>{</m:t>
        </m:r>
        <m:sSub>
          <m:e>
            <m:r>
              <m:t>δ</m:t>
            </m:r>
          </m:e>
          <m:sub>
            <m:r>
              <m:t>q</m:t>
            </m:r>
          </m:sub>
        </m:sSub>
        <m:r>
          <m:rPr>
            <m:sty m:val="p"/>
          </m:rPr>
          <m:t>=</m:t>
        </m:r>
        <m:r>
          <m:rPr>
            <m:sty m:val="p"/>
          </m:rPr>
          <m:t>−</m:t>
        </m:r>
        <m:r>
          <m:t>1</m:t>
        </m:r>
        <m:r>
          <m:rPr>
            <m:sty m:val="p"/>
          </m:rPr>
          <m:t>}</m:t>
        </m:r>
      </m:oMath>
      <w:r>
        <w:tab/>
      </w:r>
      <w:r>
        <w:rPr>
          <w:rFonts w:ascii="Times New Roman" w:hAnsi="Times New Roman" w:eastAsia="宋体"/>
          <w:sz w:val="24"/>
        </w:rPr>
        <w:t>(13-3)</w:t>
      </w:r>
    </w:p>
    <w:p>
      <w:pPr>
        <w:spacing w:line="360" w:lineRule="auto" w:after="0"/>
        <w:jc w:val="both"/>
      </w:pPr>
      <w:r>
        <w:rPr>
          <w:rFonts w:ascii="宋体" w:hAnsi="宋体" w:eastAsia="宋体"/>
          <w:sz w:val="24"/>
        </w:rPr>
        <w:t>其中，</w:t>
      </w:r>
      <m:oMath>
        <m:r>
          <m:t>Λ</m:t>
        </m:r>
      </m:oMath>
      <w:r>
        <w:rPr>
          <w:rFonts w:ascii="宋体" w:hAnsi="宋体" w:eastAsia="宋体"/>
          <w:sz w:val="24"/>
        </w:rPr>
        <w:t>为一致性指数，</w:t>
      </w:r>
      <m:oMath>
        <m:sSup>
          <m:e>
            <m:r>
              <m:t>Λ</m:t>
            </m:r>
          </m:e>
          <m:sup>
            <m:r>
              <m:rPr>
                <m:sty m:val="p"/>
              </m:rPr>
              <m:t>−</m:t>
            </m:r>
          </m:sup>
        </m:sSup>
      </m:oMath>
      <w:r>
        <w:rPr>
          <w:rFonts w:ascii="宋体" w:hAnsi="宋体" w:eastAsia="宋体"/>
          <w:sz w:val="24"/>
        </w:rPr>
        <w:t>为证伪率，</w:t>
      </w:r>
      <m:oMath>
        <m:r>
          <m:rPr>
            <m:sty m:val="b"/>
          </m:rPr>
          <m:t>1</m:t>
        </m:r>
        <m:r>
          <m:rPr>
            <m:sty m:val="p"/>
          </m:rPr>
          <m:t>{</m:t>
        </m:r>
        <m:r>
          <m:rPr>
            <m:sty m:val="p"/>
          </m:rPr>
          <m:t>⋅</m:t>
        </m:r>
        <m:r>
          <m:rPr>
            <m:sty m:val="p"/>
          </m:rPr>
          <m:t>}</m:t>
        </m:r>
      </m:oMath>
      <w:r>
        <w:rPr>
          <w:rFonts w:ascii="宋体" w:hAnsi="宋体" w:eastAsia="宋体"/>
          <w:sz w:val="24"/>
        </w:rPr>
        <w:t>为示性函数；等权设定下</w:t>
      </w:r>
      <m:oMath>
        <m:r>
          <m:t>Λ</m:t>
        </m:r>
        <m:r>
          <m:rPr>
            <m:sty m:val="p"/>
          </m:rPr>
          <m:t>=</m:t>
        </m:r>
        <m:d>
          <m:dPr>
            <m:begChr m:val="("/>
            <m:endChr m:val=")"/>
            <m:grow/>
          </m:dPr>
          <m:e>
            <m:sSub>
              <m:e>
                <m:r>
                  <m:t>n</m:t>
                </m:r>
              </m:e>
              <m:sub>
                <m:r>
                  <m:t>s</m:t>
                </m:r>
              </m:sub>
            </m:sSub>
            <m:r>
              <m:rPr>
                <m:sty m:val="p"/>
              </m:rPr>
              <m:t>−</m:t>
            </m:r>
            <m:sSub>
              <m:e>
                <m:r>
                  <m:t>n</m:t>
                </m:r>
              </m:e>
              <m:sub>
                <m:r>
                  <m:t>r</m:t>
                </m:r>
              </m:sub>
            </m:sSub>
          </m:e>
        </m:d>
        <m:r>
          <m:rPr>
            <m:sty m:val="p"/>
          </m:rPr>
          <m:t>/</m:t>
        </m:r>
        <m:r>
          <m:t>Q</m:t>
        </m:r>
      </m:oMath>
      <w:r>
        <w:rPr>
          <w:rFonts w:ascii="宋体" w:hAnsi="宋体" w:eastAsia="宋体"/>
          <w:sz w:val="24"/>
        </w:rPr>
        <w:t>，</w:t>
      </w:r>
      <m:oMath>
        <m:sSub>
          <m:e>
            <m:r>
              <m:t>n</m:t>
            </m:r>
          </m:e>
          <m:sub>
            <m:r>
              <m:t>s</m:t>
            </m:r>
          </m:sub>
        </m:sSub>
      </m:oMath>
      <w:r>
        <w:rPr>
          <w:rFonts w:ascii="宋体" w:hAnsi="宋体" w:eastAsia="宋体"/>
          <w:sz w:val="24"/>
        </w:rPr>
        <w:t>与</w:t>
      </w:r>
      <m:oMath>
        <m:sSub>
          <m:e>
            <m:r>
              <m:t>n</m:t>
            </m:r>
          </m:e>
          <m:sub>
            <m:r>
              <m:t>r</m:t>
            </m:r>
          </m:sub>
        </m:sSub>
      </m:oMath>
      <w:r>
        <w:rPr>
          <w:rFonts w:ascii="宋体" w:hAnsi="宋体" w:eastAsia="宋体"/>
          <w:sz w:val="24"/>
        </w:rPr>
        <w:t>分别为判定为支持与相悖的命题数。</w:t>
      </w:r>
    </w:p>
    <w:p>
      <w:pPr>
        <w:spacing w:line="360" w:lineRule="auto" w:after="0"/>
        <w:ind w:firstLineChars="200" w:firstLine="480"/>
        <w:jc w:val="both"/>
      </w:pPr>
      <w:r>
        <w:rPr>
          <w:rFonts w:ascii="宋体" w:hAnsi="宋体" w:eastAsia="宋体"/>
          <w:sz w:val="24"/>
        </w:rPr>
        <w:t>式(13-3)有三项性质需要说明，它们决定了这一指数应当如何被解读。第一，</w:t>
      </w:r>
      <m:oMath>
        <m:r>
          <m:t>Λ</m:t>
        </m:r>
        <m:r>
          <m:rPr>
            <m:sty m:val="p"/>
          </m:rPr>
          <m:t>∈</m:t>
        </m:r>
        <m:d>
          <m:dPr>
            <m:begChr m:val="["/>
            <m:endChr m:val="]"/>
            <m:grow/>
          </m:dPr>
          <m:e>
            <m:r>
              <m:rPr>
                <m:sty m:val="p"/>
              </m:rPr>
              <m:t>−</m:t>
            </m:r>
            <m:r>
              <m:t>1</m:t>
            </m:r>
            <m:r>
              <m:rPr>
                <m:sty m:val="p"/>
              </m:rPr>
              <m:t>,</m:t>
            </m:r>
            <m:r>
              <m:t>1</m:t>
            </m:r>
          </m:e>
        </m:d>
      </m:oMath>
      <w:r>
        <w:rPr>
          <w:rFonts w:ascii="宋体" w:hAnsi="宋体" w:eastAsia="宋体"/>
          <w:sz w:val="24"/>
        </w:rPr>
        <w:t>，取1表示全部命题获得案例支持，取</w:t>
      </w:r>
      <m:oMath>
        <m:r>
          <m:rPr>
            <m:sty m:val="p"/>
          </m:rPr>
          <m:t>−</m:t>
        </m:r>
        <m:r>
          <m:t>1</m:t>
        </m:r>
      </m:oMath>
      <w:r>
        <w:rPr>
          <w:rFonts w:ascii="宋体" w:hAnsi="宋体" w:eastAsia="宋体"/>
          <w:sz w:val="24"/>
        </w:rPr>
        <w:t>表示全部命题被案例证伪。第二，</w:t>
      </w:r>
      <m:oMath>
        <m:r>
          <m:t>Λ</m:t>
        </m:r>
      </m:oMath>
      <w:r>
        <w:rPr>
          <w:rFonts w:ascii="宋体" w:hAnsi="宋体" w:eastAsia="宋体"/>
          <w:sz w:val="24"/>
        </w:rPr>
        <w:t>与</w:t>
      </w:r>
      <m:oMath>
        <m:sSup>
          <m:e>
            <m:r>
              <m:t>Λ</m:t>
            </m:r>
          </m:e>
          <m:sup>
            <m:r>
              <m:rPr>
                <m:sty m:val="p"/>
              </m:rPr>
              <m:t>−</m:t>
            </m:r>
          </m:sup>
        </m:sSup>
      </m:oMath>
      <w:r>
        <w:rPr>
          <w:rFonts w:ascii="宋体" w:hAnsi="宋体" w:eastAsia="宋体"/>
          <w:sz w:val="24"/>
        </w:rPr>
        <w:t>必须同时报告，且后者是更严格的判据：在理论检验中，一条稳健的证伪比若干条支持更具信息量，一个</w:t>
      </w:r>
      <m:oMath>
        <m:r>
          <m:t>Λ</m:t>
        </m:r>
      </m:oMath>
      <w:r>
        <w:rPr>
          <w:rFonts w:ascii="宋体" w:hAnsi="宋体" w:eastAsia="宋体"/>
          <w:sz w:val="24"/>
        </w:rPr>
        <w:t>较高但</w:t>
      </w:r>
      <m:oMath>
        <m:sSup>
          <m:e>
            <m:r>
              <m:t>Λ</m:t>
            </m:r>
          </m:e>
          <m:sup>
            <m:r>
              <m:rPr>
                <m:sty m:val="p"/>
              </m:rPr>
              <m:t>−</m:t>
            </m:r>
          </m:sup>
        </m:sSup>
        <m:r>
          <m:rPr>
            <m:sty m:val="p"/>
          </m:rPr>
          <m:t>&gt;</m:t>
        </m:r>
        <m:r>
          <m:t>0</m:t>
        </m:r>
      </m:oMath>
      <w:r>
        <w:rPr>
          <w:rFonts w:ascii="宋体" w:hAnsi="宋体" w:eastAsia="宋体"/>
          <w:sz w:val="24"/>
        </w:rPr>
        <w:t>的结果，其含义与</w:t>
      </w:r>
      <m:oMath>
        <m:r>
          <m:t>Λ</m:t>
        </m:r>
      </m:oMath>
      <w:r>
        <w:rPr>
          <w:rFonts w:ascii="宋体" w:hAnsi="宋体" w:eastAsia="宋体"/>
          <w:sz w:val="24"/>
        </w:rPr>
        <w:t>略低但</w:t>
      </w:r>
      <m:oMath>
        <m:sSup>
          <m:e>
            <m:r>
              <m:t>Λ</m:t>
            </m:r>
          </m:e>
          <m:sup>
            <m:r>
              <m:rPr>
                <m:sty m:val="p"/>
              </m:rPr>
              <m:t>−</m:t>
            </m:r>
          </m:sup>
        </m:sSup>
        <m:r>
          <m:rPr>
            <m:sty m:val="p"/>
          </m:rPr>
          <m:t>=</m:t>
        </m:r>
        <m:r>
          <m:t>0</m:t>
        </m:r>
      </m:oMath>
      <w:r>
        <w:rPr>
          <w:rFonts w:ascii="宋体" w:hAnsi="宋体" w:eastAsia="宋体"/>
          <w:sz w:val="24"/>
        </w:rPr>
        <w:t>的结果完全不同。第三，判定为0的命题不是中性的噪声，而是标示了案例方法能力的边界——它们指出哪些定量结论在现有案例证据下根本无法被检验，这一信息对后续研究设计的价值不亚于支持性证据。基于这三项性质，本节采用等权设定，逐条报告判定理由。</w:t>
      </w:r>
    </w:p>
    <w:p>
      <w:pPr>
        <w:spacing w:line="360" w:lineRule="auto" w:after="0"/>
        <w:ind w:firstLineChars="200" w:firstLine="480"/>
        <w:jc w:val="both"/>
      </w:pPr>
      <w:r>
        <w:rPr>
          <w:rFonts w:ascii="宋体" w:hAnsi="宋体" w:eastAsia="宋体"/>
          <w:sz w:val="24"/>
        </w:rPr>
        <w:t>命题一（第3、5章）：物理词元不可加，异质词元承载的价值相差数倍，故计量是词元流通的第一约束。案例证据：五个案例无一例外把计量列为核心职能——嘉兴以统一词元计量为五项治理能力之一，广东牵头构建全省统一词元计量规则并出具交易凭证，温州以用能可证为绿色词元认证的三项可证之一，苏州设指标监测服务，上海的规划则把词元支出作为可核定的技改投入类别加以探索；企业侧编码中计量不透明为频次最高的核心范畴（143个参考点，占32.9%）。判定为支持。</w:t>
      </w:r>
    </w:p>
    <w:p>
      <w:pPr>
        <w:spacing w:line="360" w:lineRule="auto" w:after="0"/>
        <w:ind w:firstLineChars="200" w:firstLine="480"/>
        <w:jc w:val="both"/>
      </w:pPr>
      <w:r>
        <w:rPr>
          <w:rFonts w:ascii="宋体" w:hAnsi="宋体" w:eastAsia="宋体"/>
          <w:sz w:val="24"/>
        </w:rPr>
        <w:t>命题二（第5、8章）：效值信息不对称将诱发逆向选择，企业以单价而非效值比价，导致低效值档位被过度采购。案例证据：企业方受访者普遍描述「按最低单价比价」的采购惯例，并明确表示无法核验效值；平台提供「按任务类型自动匹配成本最优模型」功能这一事实本身，即是对企业无力自行判别效值的制度性回应。判定为支持。命题三（第5章）：折算后单位价格的离散度显著收敛，变异系数由0.92降至0.31，极差倍数由12.6降至2.4。案例证据：截至观察时点，尚无任何一地公布可核验的效值折算系数与折算后价格，案例层面无从直接检验离散度是否收敛。判定为不足以判定。这一判定同时指出了一条明确的研究与政策路径：折算体系的经验检验必须以平台侧公开折算系数为前提。</w:t>
      </w:r>
    </w:p>
    <w:p>
      <w:pPr>
        <w:spacing w:line="360" w:lineRule="auto" w:after="0"/>
        <w:ind w:firstLineChars="200" w:firstLine="480"/>
        <w:jc w:val="both"/>
      </w:pPr>
      <w:r>
        <w:rPr>
          <w:rFonts w:ascii="宋体" w:hAnsi="宋体" w:eastAsia="宋体"/>
          <w:sz w:val="24"/>
        </w:rPr>
        <w:t>命题四（第7章）：词元价格呈成本底价、效值溢价与场景租金三层结构，场景租金层解释纵向差异，并支持三级服务的二级价格歧视。案例证据：广东设普惠、行业、跨境三大交易专区，嘉兴门户在提供普惠入口的同时按任务类型匹配，苏州设补贴专区，三者均属按场景与支付能力分层的定价安排。判定为支持。命题五（第7章）：物理词元价格指数与标准词元价格指数背离，表观降价中约53%来自效值提升，故企业会体验到「单价在降、支出在涨」。案例证据：成本不确定为第二核心范畴（118个参考点，占27.2%），其副范畴集中于价格波动频繁与年度预算不可控，受访者的描述与该背离机制高度吻合。判定为支持。</w:t>
      </w:r>
    </w:p>
    <w:p>
      <w:pPr>
        <w:spacing w:line="360" w:lineRule="auto" w:after="0"/>
        <w:ind w:firstLineChars="200" w:firstLine="480"/>
        <w:jc w:val="both"/>
      </w:pPr>
      <w:r>
        <w:rPr>
          <w:rFonts w:ascii="宋体" w:hAnsi="宋体" w:eastAsia="宋体"/>
          <w:sz w:val="24"/>
        </w:rPr>
        <w:t>命题六（第9章）：名义利用率与有效效值利用率之间存在四项损失，其中匹配损失占0.12，统一调度可把有效利用率由0.38提升至0.54，理论上界为0.61。案例证据：嘉兴把资源调度枢纽列为三大职能之一，其表述为「让算力不闲置、需求不落空」；苏州中心以统一调度台为核心功能之一；两地平台均提供按任务类型自动匹配的能力。判定为支持。命题七（第10章）：在「五个统一」的五项制度要件中，统一计量的制度权重最高（0.271）、统一结算次之（0.223）。案例证据：企业侧编码频次的排序与专家权重的排序完全一致，斯皮尔曼秩相关系数为1.00，随机情形下完全一致的概率约4.2%。判定为支持，且属两种独立方法的交叉印证，证据强度高于其余各条。</w:t>
      </w:r>
    </w:p>
    <w:p>
      <w:pPr>
        <w:spacing w:line="360" w:lineRule="auto" w:after="0"/>
        <w:ind w:firstLineChars="200" w:firstLine="480"/>
        <w:jc w:val="both"/>
      </w:pPr>
      <w:r>
        <w:rPr>
          <w:rFonts w:ascii="宋体" w:hAnsi="宋体" w:eastAsia="宋体"/>
          <w:sz w:val="24"/>
        </w:rPr>
        <w:t>命题八（第10章）：当企业深度采纳红利低于临界值1.55时，系统收敛于「平台热、企业冷」，政府被锁定在强激励挡位而无法退出补贴。案例证据：五地启动期均以政府侧强激励开局——词元券、补贴专区、政策抵扣、技改支持方向，而企业侧把词元嵌入主业务流的深度采纳尚处早期，生态伙伴签约数与实际付费消费企业数之间存在明显落差。判定为支持，但须注明这是启动期的阶段性观察，观察窗口仅一个月量级，不能据以判断长期均衡。命题九（第11章）：绿色词元凭证具有可识别的溢价，出海合规是其主要驱动，出海导向企业的支付意愿溢价系数为0.083。案例证据：温州以来源可溯、用能可证、碳排可算三项可证构建绿色词元认证并明确面向出海企业；苏州同日成立词元出海服务联盟；广东把词元出海与跨境流通列入五大服务能力并设跨境专区；嘉兴把绿色可信服务列为三大职能之一并指向出海客户。判定为支持。</w:t>
      </w:r>
    </w:p>
    <w:p>
      <w:pPr>
        <w:spacing w:line="360" w:lineRule="auto" w:after="0"/>
        <w:ind w:firstLineChars="200" w:firstLine="480"/>
        <w:jc w:val="both"/>
      </w:pPr>
      <w:r>
        <w:rPr>
          <w:rFonts w:ascii="宋体" w:hAnsi="宋体" w:eastAsia="宋体"/>
          <w:sz w:val="24"/>
        </w:rPr>
        <w:t>命题十（第12章）：词元的增长贡献产生于实际使用而非算力产能，故词元贡献率的区域格局与算力产能的区域格局并不重合，2026年东部、中部、西部的贡献率分别为8.4%、5.1%与3.6%。案例证据：嘉兴算力规模居浙江首位却仍需专设运营中心把产能转化为使用，方向与命题一致；但案例层面缺乏可比的分地区词元使用强度统计，且各地公布的增速数字口径不一，无法据以检验区域贡献率的具体数值。判定为不足以判定。</w:t>
      </w:r>
    </w:p>
    <w:p>
      <w:pPr>
        <w:spacing w:line="360" w:lineRule="auto" w:after="0"/>
        <w:ind w:firstLineChars="200" w:firstLine="480"/>
        <w:jc w:val="both"/>
      </w:pPr>
      <w:r>
        <w:rPr>
          <w:rFonts w:ascii="宋体" w:hAnsi="宋体" w:eastAsia="宋体"/>
          <w:sz w:val="24"/>
        </w:rPr>
        <w:t>汇总以上10条命题：判定为支持者8条，不足以判定者2条，相悖者0条。按式(13-3)在等权设定下计算，一致性指数</w:t>
      </w:r>
      <m:oMath>
        <m:r>
          <m:t>Λ</m:t>
        </m:r>
        <m:r>
          <m:rPr>
            <m:sty m:val="p"/>
          </m:rPr>
          <m:t>=</m:t>
        </m:r>
        <m:r>
          <m:t>0.80</m:t>
        </m:r>
      </m:oMath>
      <w:r>
        <w:rPr>
          <w:rFonts w:ascii="宋体" w:hAnsi="宋体" w:eastAsia="宋体"/>
          <w:sz w:val="24"/>
        </w:rPr>
        <w:t>，证伪率</w:t>
      </w:r>
      <m:oMath>
        <m:sSup>
          <m:e>
            <m:r>
              <m:t>Λ</m:t>
            </m:r>
          </m:e>
          <m:sup>
            <m:r>
              <m:rPr>
                <m:sty m:val="p"/>
              </m:rPr>
              <m:t>−</m:t>
            </m:r>
          </m:sup>
        </m:sSup>
        <m:r>
          <m:rPr>
            <m:sty m:val="p"/>
          </m:rPr>
          <m:t>=</m:t>
        </m:r>
        <m:r>
          <m:t>0.00</m:t>
        </m:r>
      </m:oMath>
      <w:r>
        <w:rPr>
          <w:rFonts w:ascii="宋体" w:hAnsi="宋体" w:eastAsia="宋体"/>
          <w:sz w:val="24"/>
        </w:rPr>
        <w:t>。两项指标合起来给出的判断是：本书定量部分的核心结论在案例层面获得了广泛的收敛性支持，且没有任何一条被案例证据证伪；两条无法判定的命题分别指向折算系数的公开披露与分地区词元使用强度的统计缺失，其共同点是都需要目前尚不存在的公开数据基础设施。这一结果本身即是一项发现：制约词元经济研究的主要瓶颈已经不是理论工具，而是计量与统计的公共品供给。</w:t>
      </w:r>
    </w:p>
    <w:p>
      <w:pPr>
        <w:spacing w:line="360" w:lineRule="auto" w:after="0"/>
        <w:ind w:firstLineChars="200" w:firstLine="480"/>
        <w:jc w:val="both"/>
      </w:pPr>
      <w:r>
        <w:rPr>
          <w:rFonts w:ascii="宋体" w:hAnsi="宋体" w:eastAsia="宋体"/>
          <w:sz w:val="24"/>
        </w:rPr>
        <w:t>在肯定收敛性的同时，必须严格界定这一结论的效力。第一，</w:t>
      </w:r>
      <m:oMath>
        <m:r>
          <m:t>Λ</m:t>
        </m:r>
      </m:oMath>
      <w:r>
        <w:rPr>
          <w:rFonts w:ascii="宋体" w:hAnsi="宋体" w:eastAsia="宋体"/>
          <w:sz w:val="24"/>
        </w:rPr>
        <w:t>度量的是收敛效度而非因果识别，案例证据与定量结论指向同一机制，并不排除二者共享同一遗漏变量的可能；本章所有因果性表述均已给出机制链条，但机制链条不能替代反事实推断。第二，命题的选取与判定由研究者完成，存在确认偏误的风险，本章的对冲办法是在样本设计上引入四类立场对冲的受访者、在判定上保留不足以判定的类别并如实报告、在证据使用上执行表13.1的分级规则；但这些安排只能降低偏误而不能消除偏误。第三，观察窗口过短是本章最实质的局限：五个案例的启动时点集中在一个月之内，所有关于稳态与长期均衡的判断都只能是推测。较为稳妥的表述是，本章验证的是「机制是否在起作用」，而非「机制的长期效果有多大」。生产率J曲线的研究经验提醒我们，通用技术的产出效应往往在互补性无形资产积累完成之前长期被低估（Brynjolfsson等，2021），而宏观测算亦显示短期内可归因于人工智能的全要素生产率改进幅度相当有限（Acemoglu，2025）；就词元经济而言，当前观察到的主要是制度基础设施的搭建过程，其产出效应的显现尚需时日。</w:t>
      </w:r>
    </w:p>
    <w:p>
      <w:pPr>
        <w:keepNext/>
        <w:spacing w:before="160" w:after="120" w:line="360" w:lineRule="auto"/>
        <w:outlineLvl w:val="1"/>
      </w:pPr>
      <w:r>
        <w:rPr>
          <w:rFonts w:ascii="黑体" w:hAnsi="黑体" w:eastAsia="黑体"/>
          <w:sz w:val="28"/>
        </w:rPr>
        <w:t>13.7  本章小结</w:t>
      </w:r>
    </w:p>
    <w:p>
      <w:pPr>
        <w:spacing w:line="360" w:lineRule="auto" w:after="0"/>
        <w:ind w:firstLineChars="200" w:firstLine="480"/>
        <w:jc w:val="both"/>
      </w:pPr>
      <w:r>
        <w:rPr>
          <w:rFonts w:ascii="宋体" w:hAnsi="宋体" w:eastAsia="宋体"/>
          <w:sz w:val="24"/>
        </w:rPr>
        <w:t>本章把全书的理论建构与定量结论放回真实的区域实践与企业情境中加以检验，完成了从模型到现场的往返。在方法上，本章的首要工作是建立证据纪律：面对一个叙事供给远快于统计供给的领域，案例研究必须先解决「什么可以算作证据」的问题。本章据此建立了七类资料的四级可信度分级与相应的使用规则，明确规定一手官方来源照录原文措辞、权威媒体报道标注口径与日期、主体自述仅作机制性佐证且不与官方统计并列、不可回溯的流传数字一律不予采信。这一规则在本章有四处具体应用，其中包括对一则智能设计案例的整体排除。把排除的理由写入正文，是为了说明区域实践研究的最大风险在于成为传闻放大链条的最后一环。</w:t>
      </w:r>
    </w:p>
    <w:p>
      <w:pPr>
        <w:spacing w:line="360" w:lineRule="auto" w:after="0"/>
        <w:ind w:firstLineChars="200" w:firstLine="480"/>
        <w:jc w:val="both"/>
      </w:pPr>
      <w:r>
        <w:rPr>
          <w:rFonts w:ascii="宋体" w:hAnsi="宋体" w:eastAsia="宋体"/>
          <w:sz w:val="24"/>
        </w:rPr>
        <w:t>在跨案例比较上，本章建立了案例—能力矩阵与幂平均族合成指数。式(13-1)把完全替代、几何平均与短板判据纳入同一函数族，使「能力之间是替代还是互补」这一实质性判断显式化并可作敏感性分析。基准设定下五个案例的合成指数依次为嘉兴0.816、上海0.805、苏州0.796、温州0.772、广州0.763；当替代参数降至约-9.7以下即互补性接近完全时，温州与广州因短板差异而发生排序换位。更具理论意义的发现是能力结构的对称格局：五个案例的长板一致落在其资产禀赋的方向上，短板则一致落在禀赋的反方向，这为第10章资产禀赋—职能匹配的理论预测提供了直接的案例证据。维度层面的分化程度亦有规律——合规可信的城际分化最小、生态丰度最大，分别对应国家统一制度供给与地方路径依赖两种不同的形成机制。五案例还共享一项重要共性：全部把出海或跨境服务列入职能清单，说明地方实践者对词元计量规则国际互认的紧迫性判断高度一致。</w:t>
      </w:r>
    </w:p>
    <w:p>
      <w:pPr>
        <w:spacing w:line="360" w:lineRule="auto" w:after="0"/>
        <w:ind w:firstLineChars="200" w:firstLine="480"/>
        <w:jc w:val="both"/>
      </w:pPr>
      <w:r>
        <w:rPr>
          <w:rFonts w:ascii="宋体" w:hAnsi="宋体" w:eastAsia="宋体"/>
          <w:sz w:val="24"/>
        </w:rPr>
        <w:t>在企业侧，本章以扎根理论程序对四类立场对冲的深度访谈资料编码，识别出计量不透明、成本不确定、能力缺口与合规及安全顾虑四个核心范畴，其参考点占比依次为32.9%、27.2%、22.4%与17.5%。式(13-2)给出的集中度指数</w:t>
      </w:r>
      <m:oMath>
        <m:r>
          <m:t>H</m:t>
        </m:r>
        <m:r>
          <m:rPr>
            <m:sty m:val="p"/>
          </m:rPr>
          <m:t>=</m:t>
        </m:r>
        <m:r>
          <m:t>0.2631</m:t>
        </m:r>
      </m:oMath>
      <w:r>
        <w:rPr>
          <w:rFonts w:ascii="宋体" w:hAnsi="宋体" w:eastAsia="宋体"/>
          <w:sz w:val="24"/>
        </w:rPr>
        <w:t>与弥散度指数</w:t>
      </w:r>
      <m:oMath>
        <m:r>
          <m:t>E</m:t>
        </m:r>
        <m:r>
          <m:rPr>
            <m:sty m:val="p"/>
          </m:rPr>
          <m:t>=</m:t>
        </m:r>
        <m:r>
          <m:t>0.981</m:t>
        </m:r>
      </m:oMath>
      <w:r>
        <w:rPr>
          <w:rFonts w:ascii="宋体" w:hAnsi="宋体" w:eastAsia="宋体"/>
          <w:sz w:val="24"/>
        </w:rPr>
        <w:t>表明，四类障碍量级相当、无单一主导瓶颈，因而任何单点政策的效果都会被其余三项摊薄——这为第10章把「五个统一」作为一揽子制度安排整体推行提供了来自企业侧的独立论据，也解释了第10章演化博弈中「差之毫厘、谬以千里」的阈值效应何以在现实中难以跨越。在四项量级相当的条件下，统一计量因对其余三项具有正的交叉效应而应居优先序之首；这一判断与第10章层次分析法的专家权重排序完全一致，两套独立方法的秩相关系数为1.00，随机吻合的概率约4.2%。</w:t>
      </w:r>
    </w:p>
    <w:p>
      <w:pPr>
        <w:spacing w:line="360" w:lineRule="auto" w:after="0"/>
        <w:ind w:firstLineChars="200" w:firstLine="480"/>
        <w:jc w:val="both"/>
      </w:pPr>
      <w:r>
        <w:rPr>
          <w:rFonts w:ascii="宋体" w:hAnsi="宋体" w:eastAsia="宋体"/>
          <w:sz w:val="24"/>
        </w:rPr>
        <w:t>在三角验证上，本章从前章定量结果中提炼10条可检验命题，逐条判定后得一致性指数</w:t>
      </w:r>
      <m:oMath>
        <m:r>
          <m:t>Λ</m:t>
        </m:r>
        <m:r>
          <m:rPr>
            <m:sty m:val="p"/>
          </m:rPr>
          <m:t>=</m:t>
        </m:r>
        <m:r>
          <m:t>0.80</m:t>
        </m:r>
      </m:oMath>
      <w:r>
        <w:rPr>
          <w:rFonts w:ascii="宋体" w:hAnsi="宋体" w:eastAsia="宋体"/>
          <w:sz w:val="24"/>
        </w:rPr>
        <w:t>、证伪率</w:t>
      </w:r>
      <m:oMath>
        <m:sSup>
          <m:e>
            <m:r>
              <m:t>Λ</m:t>
            </m:r>
          </m:e>
          <m:sup>
            <m:r>
              <m:rPr>
                <m:sty m:val="p"/>
              </m:rPr>
              <m:t>−</m:t>
            </m:r>
          </m:sup>
        </m:sSup>
        <m:r>
          <m:rPr>
            <m:sty m:val="p"/>
          </m:rPr>
          <m:t>=</m:t>
        </m:r>
        <m:r>
          <m:t>0.00</m:t>
        </m:r>
      </m:oMath>
      <w:r>
        <w:rPr>
          <w:rFonts w:ascii="宋体" w:hAnsi="宋体" w:eastAsia="宋体"/>
          <w:sz w:val="24"/>
        </w:rPr>
        <w:t>：核心结论获得广泛的收敛性支持，无一被案例证据证伪；两条无法判定的命题分别指向折算系数的公开披露与分地区词元使用强度的统计缺失，共同表明制约词元经济研究的主要瓶颈已由理论工具转为公共数据基础设施。本章同时向理论反馈了两处边界：其一，推理优化技术使给定能力的算力消耗系统性下降，若机械套用折算公式会把效率改进误记为效值下降，正确处理是把优化收益记入成本底价层而非效值溢价层，并严格执行同时点测度纪律；其二，各地的统一计量目前主要落在物理词元的计数与账单格式层面，尚未触及效值折算系数与核验规则，因而价格的可比性依然缺失，第8章所刻画的效值信息不对称仍将持续。这两处反馈将直接进入第14章的政策建议与研究展望。</w:t>
      </w:r>
    </w:p>
    <w:p>
      <w:pPr>
        <w:spacing w:line="360" w:lineRule="auto" w:after="0"/>
        <w:ind w:firstLineChars="200" w:firstLine="480"/>
        <w:jc w:val="both"/>
      </w:pPr>
      <w:r>
        <w:rPr>
          <w:rFonts w:ascii="宋体" w:hAnsi="宋体" w:eastAsia="宋体"/>
          <w:sz w:val="24"/>
        </w:rPr>
        <w:t>最后需要重申本章结论的效力边界。五个案例的启动时点集中在一个月之内，本章验证的是机制是否在起作用，而非机制的长期效果有多大；能力评分与合成指数反映的是启动初期禀赋转化为能力的初始效率，不宜读作绩效排名；一致性指数度量的是收敛效度而非因果识别。本章的结论适用于产业密度较高、已具备一定算力基础的城市，对低于规模门槛的中小城市，正确的选择是接入区域平台而非自建。承认这些限度并不削弱本章的价值：在一个制度正在生成、统计尚未成型的领域，把可核验的证据与不可核验的传闻分开、把已验证的机制与未验证的推测分开，本身就是研究所能提供的最重要的公共品。下一章将把全书的计量、定价与配置三线结论加以归纳，并转化为可操作的政策建议。</w:t>
      </w:r>
    </w:p>
    <w:p>
      <w:r>
        <w:br w:type="page"/>
      </w:r>
    </w:p>
    <w:p>
      <w:pPr>
        <w:keepNext/>
        <w:spacing w:before="240" w:after="160" w:line="360" w:lineRule="auto"/>
        <w:jc w:val="center"/>
        <w:outlineLvl w:val="0"/>
      </w:pPr>
      <w:r>
        <w:rPr>
          <w:rFonts w:ascii="黑体" w:hAnsi="黑体" w:eastAsia="黑体"/>
          <w:b/>
          <w:sz w:val="30"/>
        </w:rPr>
        <w:t>第14章  结论、政策建议与研究展望</w:t>
      </w:r>
    </w:p>
    <w:p>
      <w:pPr>
        <w:spacing w:line="360" w:lineRule="auto" w:after="0"/>
        <w:ind w:firstLineChars="200" w:firstLine="480"/>
        <w:jc w:val="both"/>
      </w:pPr>
      <w:r>
        <w:rPr>
          <w:rFonts w:ascii="宋体" w:hAnsi="宋体" w:eastAsia="宋体"/>
          <w:sz w:val="24"/>
        </w:rPr>
        <w:t>本书从一个看似技术性、实则关乎智能经济计量地基的事实出发：同样被称作「词元」的最小信息单元，在不同模型、不同任务下所耗算力、所载信息与所创价值可以相差数倍乃至数十倍。当一个计量单位内部如此不均质时，以它为分母的一切经济运算——单价比较、补贴核定、成本归集、产能考核、增长核算——都会在不同程度上失真。本书由此提出并论证了一个贯穿全篇的核心命题：词元是智能经济的计量单位，但物理词元不是合格的价值单位；只有经效值折算得到的标准词元，才能同时承担价值尺度、定价基准、配置信号与增长核算变量这四重经济职能。围绕这一命题，全书用十三章完成了从概念界定、事实刻画、折算体系构建，到定价机制、市场均衡、配置优化、组织设计、绿色治理、增长测度与区域案例的完整论证链条。</w:t>
      </w:r>
    </w:p>
    <w:p>
      <w:pPr>
        <w:spacing w:line="360" w:lineRule="auto" w:after="0"/>
        <w:ind w:firstLineChars="200" w:firstLine="480"/>
        <w:jc w:val="both"/>
      </w:pPr>
      <w:r>
        <w:rPr>
          <w:rFonts w:ascii="宋体" w:hAnsi="宋体" w:eastAsia="宋体"/>
          <w:sz w:val="24"/>
        </w:rPr>
        <w:t>这一论证的现实紧迫性由制度进程本身给出。全国科学技术名词审定委员会2026年3月25日发布公告，优先推荐并面向全社会发布试用 token 的中文名「词元」，将在常态化审定中最终确认；同月，国家发展改革委党组成员、国家数据局局长在中国发展高层论坛2026年年会上使用并推介这一译名，提出词元具有「可计量、可定价、可交易」的特征。术语的统一与经济属性的官方确认几乎同时发生，而按国家数据局公开发布的口径，我国日均词元调用量已由2024年初的1000亿枚，增至2025年6月底突破30万亿枚、2025年底的100万亿枚，2026年3月突破140万亿枚，两年增长约1400倍。规模的爆发与口径的空缺形成了一种典型的制度落差：计量对象已经具备国民经济意义，而计量规则尚停留在团体标准与机构评估层面。本章的任务，就是把前十三章的分析结论收束为可陈述的知识增量，并把这些增量转化为可操作的制度安排与可继续的研究议程。</w:t>
      </w:r>
    </w:p>
    <w:p>
      <w:pPr>
        <w:spacing w:line="360" w:lineRule="auto" w:after="0"/>
        <w:ind w:firstLineChars="200" w:firstLine="480"/>
        <w:jc w:val="both"/>
      </w:pPr>
      <w:r>
        <w:rPr>
          <w:rFonts w:ascii="宋体" w:hAnsi="宋体" w:eastAsia="宋体"/>
          <w:sz w:val="24"/>
        </w:rPr>
        <w:t>本章安排如下。14.1节按计量、定价、配置三条主线归纳九条主要研究结论，并给出一个把四重职能统一起来的枢纽恒等式；14.2节从社会计划者的配置问题出发推导政策工具的分工逻辑，提出计量侧、定价侧、配置侧三支柱与标准统计基础设施相配套的政策体系，并给出补贴退出的时间一致性条件与政策清单；14.3节陈述本书在理论、方法与实践三个层面的贡献；14.4节坦陈研究局限并展望未来议程；14.5节为本章小结。</w:t>
      </w:r>
    </w:p>
    <w:p>
      <w:pPr>
        <w:keepNext/>
        <w:spacing w:before="160" w:after="120" w:line="360" w:lineRule="auto"/>
        <w:outlineLvl w:val="1"/>
      </w:pPr>
      <w:r>
        <w:rPr>
          <w:rFonts w:ascii="黑体" w:hAnsi="黑体" w:eastAsia="黑体"/>
          <w:sz w:val="28"/>
        </w:rPr>
        <w:t>14.1  主要研究结论</w:t>
      </w:r>
    </w:p>
    <w:p>
      <w:pPr>
        <w:spacing w:line="360" w:lineRule="auto" w:after="0"/>
        <w:ind w:firstLineChars="200" w:firstLine="480"/>
        <w:jc w:val="both"/>
      </w:pPr>
      <w:r>
        <w:rPr>
          <w:rFonts w:ascii="宋体" w:hAnsi="宋体" w:eastAsia="宋体"/>
          <w:sz w:val="24"/>
        </w:rPr>
        <w:t>全书结论可以归纳为九条，分属计量、定价、配置三条主线。在逐条陈述之前，先把这九条结论所共同依托的形式结构写出来。本书的全部分析实际上围绕一组以标准词元</w:t>
      </w:r>
      <m:oMath>
        <m:acc>
          <m:accPr>
            <m:chr m:val="̃"/>
          </m:accPr>
          <m:e>
            <m:r>
              <m:t>T</m:t>
            </m:r>
          </m:e>
        </m:acc>
      </m:oMath>
      <w:r>
        <w:rPr>
          <w:rFonts w:ascii="宋体" w:hAnsi="宋体" w:eastAsia="宋体"/>
          <w:sz w:val="24"/>
        </w:rPr>
        <w:t xml:space="preserve"> 为公共变量的方程展开，它们把折算、计价、转化、碳核算与增长核算接在同一个变量上，构成本书所谓的枢纽恒等式组：</w:t>
      </w:r>
    </w:p>
    <w:p>
      <w:pPr>
        <w:tabs>
          <w:tab w:pos="4252" w:val="center"/>
          <w:tab w:pos="8504" w:val="right"/>
        </w:tabs>
        <w:spacing w:line="360" w:lineRule="auto" w:before="80" w:after="80"/>
      </w:pPr>
      <w:r>
        <w:tab/>
      </w:r>
      <m:oMath>
        <m:acc>
          <m:accPr>
            <m:chr m:val="̃"/>
          </m:accPr>
          <m:e>
            <m:r>
              <m:t>T</m:t>
            </m:r>
          </m:e>
        </m:acc>
        <m:r>
          <m:rPr>
            <m:sty m:val="p"/>
          </m:rPr>
          <m:t>=</m:t>
        </m:r>
        <m:r>
          <m:t>η</m:t>
        </m:r>
        <m:r>
          <m:t> </m:t>
        </m:r>
        <m:r>
          <m:t>T</m:t>
        </m:r>
        <m:r>
          <m:rPr>
            <m:sty m:val="p"/>
          </m:rPr>
          <m:t>,</m:t>
        </m:r>
        <m:r>
          <m:t> </m:t>
        </m:r>
        <m:r>
          <m:t>η</m:t>
        </m:r>
        <m:r>
          <m:rPr>
            <m:sty m:val="p"/>
          </m:rPr>
          <m:t>=</m:t>
        </m:r>
        <m:sSup>
          <m:e>
            <m:r>
              <m:t>P</m:t>
            </m:r>
          </m:e>
          <m:sup>
            <m:sSub>
              <m:e>
                <m:r>
                  <m:t>w</m:t>
                </m:r>
              </m:e>
              <m:sub>
                <m:r>
                  <m:t>P</m:t>
                </m:r>
              </m:sub>
            </m:sSub>
          </m:sup>
        </m:sSup>
        <m:sSup>
          <m:e>
            <m:r>
              <m:t>R</m:t>
            </m:r>
          </m:e>
          <m:sup>
            <m:sSub>
              <m:e>
                <m:r>
                  <m:t>w</m:t>
                </m:r>
              </m:e>
              <m:sub>
                <m:r>
                  <m:t>R</m:t>
                </m:r>
              </m:sub>
            </m:sSub>
          </m:sup>
        </m:sSup>
        <m:sSup>
          <m:e>
            <m:r>
              <m:t>S</m:t>
            </m:r>
          </m:e>
          <m:sup>
            <m:sSub>
              <m:e>
                <m:r>
                  <m:t>w</m:t>
                </m:r>
              </m:e>
              <m:sub>
                <m:r>
                  <m:t>S</m:t>
                </m:r>
              </m:sub>
            </m:sSub>
          </m:sup>
        </m:sSup>
        <m:r>
          <m:rPr>
            <m:sty m:val="p"/>
          </m:rPr>
          <m:t>,</m:t>
        </m:r>
        <m:r>
          <m:t> </m:t>
        </m:r>
        <m:acc>
          <m:accPr>
            <m:chr m:val="̃"/>
          </m:accPr>
          <m:e>
            <m:r>
              <m:t>p</m:t>
            </m:r>
          </m:e>
        </m:acc>
        <m:r>
          <m:rPr>
            <m:sty m:val="p"/>
          </m:rPr>
          <m:t>=</m:t>
        </m:r>
        <m:f>
          <m:fPr>
            <m:type m:val="bar"/>
          </m:fPr>
          <m:num>
            <m:r>
              <m:t>p</m:t>
            </m:r>
          </m:num>
          <m:den>
            <m:r>
              <m:t>η</m:t>
            </m:r>
          </m:den>
        </m:f>
        <m:r>
          <m:rPr>
            <m:sty m:val="p"/>
          </m:rPr>
          <m:t>,</m:t>
        </m:r>
        <m:r>
          <m:t> </m:t>
        </m:r>
        <m:acc>
          <m:accPr>
            <m:chr m:val="̃"/>
          </m:accPr>
          <m:e>
            <m:r>
              <m:t>T</m:t>
            </m:r>
          </m:e>
        </m:acc>
        <m:r>
          <m:rPr>
            <m:sty m:val="p"/>
          </m:rPr>
          <m:t>=</m:t>
        </m:r>
        <m:r>
          <m:t>θ</m:t>
        </m:r>
        <m:r>
          <m:t> </m:t>
        </m:r>
        <m:r>
          <m:t>C</m:t>
        </m:r>
        <m:r>
          <m:rPr>
            <m:sty m:val="p"/>
          </m:rPr>
          <m:t>,</m:t>
        </m:r>
        <m:r>
          <m:t> </m:t>
        </m:r>
        <m:r>
          <m:t>ι</m:t>
        </m:r>
        <m:r>
          <m:rPr>
            <m:sty m:val="p"/>
          </m:rPr>
          <m:t>=</m:t>
        </m:r>
        <m:r>
          <m:t>ε</m:t>
        </m:r>
        <m:r>
          <m:t> </m:t>
        </m:r>
        <m:r>
          <m:t>ϕ</m:t>
        </m:r>
        <m:r>
          <m:rPr>
            <m:sty m:val="p"/>
          </m:rPr>
          <m:t>,</m:t>
        </m:r>
        <m:r>
          <m:t> </m:t>
        </m:r>
        <m:sSub>
          <m:e>
            <m:r>
              <m:t>c</m:t>
            </m:r>
          </m:e>
          <m:sub>
            <m:r>
              <m:t>T</m:t>
            </m:r>
          </m:sub>
        </m:sSub>
        <m:r>
          <m:rPr>
            <m:sty m:val="p"/>
          </m:rPr>
          <m:t>=</m:t>
        </m:r>
        <m:sSub>
          <m:e>
            <m:r>
              <m:t>α</m:t>
            </m:r>
          </m:e>
          <m:sub>
            <m:r>
              <m:t>T</m:t>
            </m:r>
          </m:sub>
        </m:sSub>
        <m:r>
          <m:t> </m:t>
        </m:r>
        <m:sSub>
          <m:e>
            <m:r>
              <m:t>g</m:t>
            </m:r>
          </m:e>
          <m:sub>
            <m:acc>
              <m:accPr>
                <m:chr m:val="̃"/>
              </m:accPr>
              <m:e>
                <m:r>
                  <m:t>T</m:t>
                </m:r>
              </m:e>
            </m:acc>
          </m:sub>
        </m:sSub>
      </m:oMath>
      <w:r>
        <w:tab/>
      </w:r>
      <w:r>
        <w:rPr>
          <w:rFonts w:ascii="Times New Roman" w:hAnsi="Times New Roman" w:eastAsia="宋体"/>
          <w:sz w:val="24"/>
        </w:rPr>
        <w:t>(14-1)</w:t>
      </w:r>
    </w:p>
    <w:p>
      <w:pPr>
        <w:spacing w:line="360" w:lineRule="auto" w:after="0"/>
        <w:jc w:val="both"/>
      </w:pPr>
      <w:r>
        <w:rPr>
          <w:rFonts w:ascii="宋体" w:hAnsi="宋体" w:eastAsia="宋体"/>
          <w:sz w:val="24"/>
        </w:rPr>
        <w:t>其中，</w:t>
      </w:r>
      <m:oMath>
        <m:r>
          <m:t>T</m:t>
        </m:r>
      </m:oMath>
      <w:r>
        <w:rPr>
          <w:rFonts w:ascii="宋体" w:hAnsi="宋体" w:eastAsia="宋体"/>
          <w:sz w:val="24"/>
        </w:rPr>
        <w:t xml:space="preserve"> 为物理词元计数，</w:t>
      </w:r>
      <m:oMath>
        <m:r>
          <m:t>η</m:t>
        </m:r>
      </m:oMath>
      <w:r>
        <w:rPr>
          <w:rFonts w:ascii="宋体" w:hAnsi="宋体" w:eastAsia="宋体"/>
          <w:sz w:val="24"/>
        </w:rPr>
        <w:t xml:space="preserve"> 为效值系数，</w:t>
      </w:r>
      <m:oMath>
        <m:r>
          <m:t>P</m:t>
        </m:r>
      </m:oMath>
      <w:r>
        <w:rPr>
          <w:rFonts w:ascii="宋体" w:hAnsi="宋体" w:eastAsia="宋体"/>
          <w:sz w:val="24"/>
        </w:rPr>
        <w:t>、</w:t>
      </w:r>
      <m:oMath>
        <m:r>
          <m:t>R</m:t>
        </m:r>
      </m:oMath>
      <w:r>
        <w:rPr>
          <w:rFonts w:ascii="宋体" w:hAnsi="宋体" w:eastAsia="宋体"/>
          <w:sz w:val="24"/>
        </w:rPr>
        <w:t>、</w:t>
      </w:r>
      <m:oMath>
        <m:r>
          <m:t>S</m:t>
        </m:r>
      </m:oMath>
      <w:r>
        <w:rPr>
          <w:rFonts w:ascii="宋体" w:hAnsi="宋体" w:eastAsia="宋体"/>
          <w:sz w:val="24"/>
        </w:rPr>
        <w:t xml:space="preserve"> 依次为算力强度、推理质量与场景效用，</w:t>
      </w:r>
      <m:oMath>
        <m:sSub>
          <m:e>
            <m:r>
              <m:t>w</m:t>
            </m:r>
          </m:e>
          <m:sub>
            <m:r>
              <m:t>P</m:t>
            </m:r>
          </m:sub>
        </m:sSub>
      </m:oMath>
      <w:r>
        <w:rPr>
          <w:rFonts w:ascii="宋体" w:hAnsi="宋体" w:eastAsia="宋体"/>
          <w:sz w:val="24"/>
        </w:rPr>
        <w:t>、</w:t>
      </w:r>
      <m:oMath>
        <m:sSub>
          <m:e>
            <m:r>
              <m:t>w</m:t>
            </m:r>
          </m:e>
          <m:sub>
            <m:r>
              <m:t>R</m:t>
            </m:r>
          </m:sub>
        </m:sSub>
      </m:oMath>
      <w:r>
        <w:rPr>
          <w:rFonts w:ascii="宋体" w:hAnsi="宋体" w:eastAsia="宋体"/>
          <w:sz w:val="24"/>
        </w:rPr>
        <w:t>、</w:t>
      </w:r>
      <m:oMath>
        <m:sSub>
          <m:e>
            <m:r>
              <m:t>w</m:t>
            </m:r>
          </m:e>
          <m:sub>
            <m:r>
              <m:t>S</m:t>
            </m:r>
          </m:sub>
        </m:sSub>
      </m:oMath>
      <w:r>
        <w:rPr>
          <w:rFonts w:ascii="宋体" w:hAnsi="宋体" w:eastAsia="宋体"/>
          <w:sz w:val="24"/>
        </w:rPr>
        <w:t xml:space="preserve"> 为三维权重且和为 1；</w:t>
      </w:r>
      <m:oMath>
        <m:r>
          <m:t>p</m:t>
        </m:r>
      </m:oMath>
      <w:r>
        <w:rPr>
          <w:rFonts w:ascii="宋体" w:hAnsi="宋体" w:eastAsia="宋体"/>
          <w:sz w:val="24"/>
        </w:rPr>
        <w:t xml:space="preserve"> 与 </w:t>
      </w:r>
      <m:oMath>
        <m:acc>
          <m:accPr>
            <m:chr m:val="̃"/>
          </m:accPr>
          <m:e>
            <m:r>
              <m:t>p</m:t>
            </m:r>
          </m:e>
        </m:acc>
      </m:oMath>
      <w:r>
        <w:rPr>
          <w:rFonts w:ascii="宋体" w:hAnsi="宋体" w:eastAsia="宋体"/>
          <w:sz w:val="24"/>
        </w:rPr>
        <w:t xml:space="preserve"> 分别为物理词元与标准词元的单位价格；</w:t>
      </w:r>
      <m:oMath>
        <m:r>
          <m:t>θ</m:t>
        </m:r>
      </m:oMath>
      <w:r>
        <w:rPr>
          <w:rFonts w:ascii="宋体" w:hAnsi="宋体" w:eastAsia="宋体"/>
          <w:sz w:val="24"/>
        </w:rPr>
        <w:t xml:space="preserve"> 为单位算力的有效标准词元产出，</w:t>
      </w:r>
      <m:oMath>
        <m:r>
          <m:t>C</m:t>
        </m:r>
      </m:oMath>
      <w:r>
        <w:rPr>
          <w:rFonts w:ascii="宋体" w:hAnsi="宋体" w:eastAsia="宋体"/>
          <w:sz w:val="24"/>
        </w:rPr>
        <w:t xml:space="preserve"> 为投入算力；</w:t>
      </w:r>
      <m:oMath>
        <m:r>
          <m:t>ι</m:t>
        </m:r>
      </m:oMath>
      <w:r>
        <w:rPr>
          <w:rFonts w:ascii="宋体" w:hAnsi="宋体" w:eastAsia="宋体"/>
          <w:sz w:val="24"/>
        </w:rPr>
        <w:t xml:space="preserve"> 为单位标准词元碳强度，</w:t>
      </w:r>
      <m:oMath>
        <m:r>
          <m:t>ε</m:t>
        </m:r>
      </m:oMath>
      <w:r>
        <w:rPr>
          <w:rFonts w:ascii="宋体" w:hAnsi="宋体" w:eastAsia="宋体"/>
          <w:sz w:val="24"/>
        </w:rPr>
        <w:t xml:space="preserve"> 为单位标准词元耗电、</w:t>
      </w:r>
      <m:oMath>
        <m:r>
          <m:t>ϕ</m:t>
        </m:r>
      </m:oMath>
      <w:r>
        <w:rPr>
          <w:rFonts w:ascii="宋体" w:hAnsi="宋体" w:eastAsia="宋体"/>
          <w:sz w:val="24"/>
        </w:rPr>
        <w:t xml:space="preserve"> 为电力排放因子；</w:t>
      </w:r>
      <m:oMath>
        <m:sSub>
          <m:e>
            <m:r>
              <m:t>c</m:t>
            </m:r>
          </m:e>
          <m:sub>
            <m:r>
              <m:t>T</m:t>
            </m:r>
          </m:sub>
        </m:sSub>
      </m:oMath>
      <w:r>
        <w:rPr>
          <w:rFonts w:ascii="宋体" w:hAnsi="宋体" w:eastAsia="宋体"/>
          <w:sz w:val="24"/>
        </w:rPr>
        <w:t xml:space="preserve"> 为标准词元流量对产出增长的贡献，</w:t>
      </w:r>
      <m:oMath>
        <m:sSub>
          <m:e>
            <m:r>
              <m:t>α</m:t>
            </m:r>
          </m:e>
          <m:sub>
            <m:r>
              <m:t>T</m:t>
            </m:r>
          </m:sub>
        </m:sSub>
      </m:oMath>
      <w:r>
        <w:rPr>
          <w:rFonts w:ascii="宋体" w:hAnsi="宋体" w:eastAsia="宋体"/>
          <w:sz w:val="24"/>
        </w:rPr>
        <w:t xml:space="preserve"> 为其产出弹性，</w:t>
      </w:r>
      <m:oMath>
        <m:sSub>
          <m:e>
            <m:r>
              <m:t>g</m:t>
            </m:r>
          </m:e>
          <m:sub>
            <m:acc>
              <m:accPr>
                <m:chr m:val="̃"/>
              </m:accPr>
              <m:e>
                <m:r>
                  <m:t>T</m:t>
                </m:r>
              </m:e>
            </m:acc>
          </m:sub>
        </m:sSub>
      </m:oMath>
      <w:r>
        <w:rPr>
          <w:rFonts w:ascii="宋体" w:hAnsi="宋体" w:eastAsia="宋体"/>
          <w:sz w:val="24"/>
        </w:rPr>
        <w:t xml:space="preserve"> 为流量增长率。</w:t>
      </w:r>
    </w:p>
    <w:p>
      <w:pPr>
        <w:spacing w:line="360" w:lineRule="auto" w:after="0"/>
        <w:ind w:firstLineChars="200" w:firstLine="480"/>
        <w:jc w:val="both"/>
      </w:pPr>
      <w:r>
        <w:rPr>
          <w:rFonts w:ascii="宋体" w:hAnsi="宋体" w:eastAsia="宋体"/>
          <w:sz w:val="24"/>
        </w:rPr>
        <w:t xml:space="preserve">式(14-1)的六个式子分别来自第5、7、9、11、12章，把它们并置书写有三点用意。第一，它显示标准词元是一个枢纽变量而非一个附加指标：一旦 </w:t>
      </w:r>
      <m:oMath>
        <m:r>
          <m:t>η</m:t>
        </m:r>
      </m:oMath>
      <w:r>
        <w:rPr>
          <w:rFonts w:ascii="宋体" w:hAnsi="宋体" w:eastAsia="宋体"/>
          <w:sz w:val="24"/>
        </w:rPr>
        <w:t xml:space="preserve"> 的测算规则确定，价格、效率、碳强度与增长贡献四类量纲完全不同的经济量便获得了共同的分母，跨模型、跨场景、跨区域的加总与比较才在算术上成立。第二，它显示这六个式子共享同一个脆弱点：若 </w:t>
      </w:r>
      <m:oMath>
        <m:r>
          <m:t>η</m:t>
        </m:r>
      </m:oMath>
      <w:r>
        <w:rPr>
          <w:rFonts w:ascii="宋体" w:hAnsi="宋体" w:eastAsia="宋体"/>
          <w:sz w:val="24"/>
        </w:rPr>
        <w:t xml:space="preserve"> 的测算规则不统一或可被操纵，则价格指数会失真、效率考核会失效、碳凭证会失去可信度、增长核算的系数会随档位结构漂移，四类失真同源。第三，它显示政策的作用点具有唯一性：与其在四条战线上分别设计纠偏工具，不如把制度资源集中于折算规则的统一与公示，这是本章政策建议的基本判断。</w:t>
      </w:r>
    </w:p>
    <w:p>
      <w:pPr>
        <w:keepNext/>
        <w:spacing w:before="160" w:after="120" w:line="360" w:lineRule="auto"/>
        <w:outlineLvl w:val="2"/>
      </w:pPr>
      <w:r>
        <w:rPr>
          <w:rFonts w:ascii="黑体" w:hAnsi="黑体" w:eastAsia="黑体"/>
          <w:sz w:val="24"/>
        </w:rPr>
        <w:t>14.1.1  计量线：从多维评价到当量折算</w:t>
      </w:r>
    </w:p>
    <w:p>
      <w:pPr>
        <w:spacing w:line="360" w:lineRule="auto" w:after="0"/>
        <w:ind w:firstLineChars="200" w:firstLine="480"/>
        <w:jc w:val="both"/>
      </w:pPr>
      <w:r>
        <w:rPr>
          <w:rFonts w:ascii="宋体" w:hAnsi="宋体" w:eastAsia="宋体"/>
          <w:b/>
          <w:sz w:val="24"/>
        </w:rPr>
        <w:t>结论一：物理词元不是合格的价值单位。</w:t>
      </w:r>
      <w:r>
        <w:rPr>
          <w:rFonts w:ascii="宋体" w:hAnsi="宋体" w:eastAsia="宋体"/>
          <w:sz w:val="24"/>
        </w:rPr>
        <w:t xml:space="preserve">其内部离散度已达到使加总失去经济意义的程度。本书对六个档位模型的测算显示，生成单枚词元的算力强度 </w:t>
      </w:r>
      <m:oMath>
        <m:r>
          <m:t>P</m:t>
        </m:r>
      </m:oMath>
      <w:r>
        <w:rPr>
          <w:rFonts w:ascii="宋体" w:hAnsi="宋体" w:eastAsia="宋体"/>
          <w:sz w:val="24"/>
        </w:rPr>
        <w:t xml:space="preserve"> 在轻量蒸馏级与推理增强级之间相差38.2倍，推理质量 </w:t>
      </w:r>
      <m:oMath>
        <m:r>
          <m:t>R</m:t>
        </m:r>
      </m:oMath>
      <w:r>
        <w:rPr>
          <w:rFonts w:ascii="宋体" w:hAnsi="宋体" w:eastAsia="宋体"/>
          <w:sz w:val="24"/>
        </w:rPr>
        <w:t xml:space="preserve"> 相差6.7倍，合成效值系数 </w:t>
      </w:r>
      <m:oMath>
        <m:r>
          <m:t>η</m:t>
        </m:r>
      </m:oMath>
      <w:r>
        <w:rPr>
          <w:rFonts w:ascii="宋体" w:hAnsi="宋体" w:eastAsia="宋体"/>
          <w:sz w:val="24"/>
        </w:rPr>
        <w:t xml:space="preserve"> 相差11.3倍；对应地，折算前单位词元价格的变异系数达0.92、基尼系数0.47、最高与最低之比12.6倍。这一离散度并非统计噪声，而是技术结构的必然结果：分词器的切分粒度、上下文长度、缓存命中与推理路径长度共同决定了单位词元的资源含量，而分词效率在不同语言与不同文本类型之间本就存在系统性差异（Rust等，2021；Petrov等，2023；Ahia等，2023）。把这样一组异质对象直接相加并除以支出，得到的所谓「平均词元价格」在经济学上没有确定含义，正如把不同热值的燃料按吨相加不能得到有意义的能源价格一样。</w:t>
      </w:r>
    </w:p>
    <w:p>
      <w:pPr>
        <w:spacing w:line="360" w:lineRule="auto" w:after="0"/>
        <w:ind w:firstLineChars="200" w:firstLine="480"/>
        <w:jc w:val="both"/>
      </w:pPr>
      <w:r>
        <w:rPr>
          <w:rFonts w:ascii="宋体" w:hAnsi="宋体" w:eastAsia="宋体"/>
          <w:b/>
          <w:sz w:val="24"/>
        </w:rPr>
        <w:t>结论二：四条公理唯一确定了折算函数的幂积形式。</w:t>
      </w:r>
      <w:r>
        <w:rPr>
          <w:rFonts w:ascii="宋体" w:hAnsi="宋体" w:eastAsia="宋体"/>
          <w:sz w:val="24"/>
        </w:rPr>
        <w:t xml:space="preserve">实证标定与公理推论相互印证。本书证明，若折算函数连续、对各维严格单调递增、满足基准归一与链式一致，则必为 </w:t>
      </w:r>
      <m:oMath>
        <m:r>
          <m:t>η</m:t>
        </m:r>
        <m:r>
          <m:rPr>
            <m:sty m:val="p"/>
          </m:rPr>
          <m:t>=</m:t>
        </m:r>
        <m:sSup>
          <m:e>
            <m:r>
              <m:t>P</m:t>
            </m:r>
          </m:e>
          <m:sup>
            <m:sSub>
              <m:e>
                <m:r>
                  <m:t>w</m:t>
                </m:r>
              </m:e>
              <m:sub>
                <m:r>
                  <m:t>P</m:t>
                </m:r>
              </m:sub>
            </m:sSub>
          </m:sup>
        </m:sSup>
        <m:sSup>
          <m:e>
            <m:r>
              <m:t>R</m:t>
            </m:r>
          </m:e>
          <m:sup>
            <m:sSub>
              <m:e>
                <m:r>
                  <m:t>w</m:t>
                </m:r>
              </m:e>
              <m:sub>
                <m:r>
                  <m:t>R</m:t>
                </m:r>
              </m:sub>
            </m:sSub>
          </m:sup>
        </m:sSup>
        <m:sSup>
          <m:e>
            <m:r>
              <m:t>S</m:t>
            </m:r>
          </m:e>
          <m:sup>
            <m:sSub>
              <m:e>
                <m:r>
                  <m:t>w</m:t>
                </m:r>
              </m:e>
              <m:sub>
                <m:r>
                  <m:t>S</m:t>
                </m:r>
              </m:sub>
            </m:sSub>
          </m:sup>
        </m:sSup>
      </m:oMath>
      <w:r>
        <w:rPr>
          <w:rFonts w:ascii="宋体" w:hAnsi="宋体" w:eastAsia="宋体"/>
          <w:sz w:val="24"/>
        </w:rPr>
        <w:t xml:space="preserve"> 的幂积形式。以基准任务集实测数据标定得 </w:t>
      </w:r>
      <m:oMath>
        <m:sSub>
          <m:e>
            <m:r>
              <m:t>w</m:t>
            </m:r>
          </m:e>
          <m:sub>
            <m:r>
              <m:t>P</m:t>
            </m:r>
          </m:sub>
        </m:sSub>
      </m:oMath>
      <w:r>
        <w:rPr>
          <w:rFonts w:ascii="宋体" w:hAnsi="宋体" w:eastAsia="宋体"/>
          <w:sz w:val="24"/>
        </w:rPr>
        <w:t>＝0.4383、</w:t>
      </w:r>
      <m:oMath>
        <m:sSub>
          <m:e>
            <m:r>
              <m:t>w</m:t>
            </m:r>
          </m:e>
          <m:sub>
            <m:r>
              <m:t>R</m:t>
            </m:r>
          </m:sub>
        </m:sSub>
      </m:oMath>
      <w:r>
        <w:rPr>
          <w:rFonts w:ascii="宋体" w:hAnsi="宋体" w:eastAsia="宋体"/>
          <w:sz w:val="24"/>
        </w:rPr>
        <w:t>＝0.2964、</w:t>
      </w:r>
      <m:oMath>
        <m:sSub>
          <m:e>
            <m:r>
              <m:t>w</m:t>
            </m:r>
          </m:e>
          <m:sub>
            <m:r>
              <m:t>S</m:t>
            </m:r>
          </m:sub>
        </m:sSub>
      </m:oMath>
      <w:r>
        <w:rPr>
          <w:rFonts w:ascii="宋体" w:hAnsi="宋体" w:eastAsia="宋体"/>
          <w:sz w:val="24"/>
        </w:rPr>
        <w:t xml:space="preserve">＝0.2653，拟合优度 </w:t>
      </w:r>
      <m:oMath>
        <m:sSup>
          <m:e>
            <m:r>
              <m:t>R</m:t>
            </m:r>
          </m:e>
          <m:sup>
            <m:r>
              <m:t>2</m:t>
            </m:r>
          </m:sup>
        </m:sSup>
      </m:oMath>
      <w:r>
        <w:rPr>
          <w:rFonts w:ascii="宋体" w:hAnsi="宋体" w:eastAsia="宋体"/>
          <w:sz w:val="24"/>
        </w:rPr>
        <w:t xml:space="preserve">＝0.9996、均方根误差0.026；把函数形式放宽为不变替代弹性形式独立标定，得替代参数 </w:t>
      </w:r>
      <m:oMath>
        <m:acc>
          <m:accPr>
            <m:chr m:val="̂"/>
          </m:accPr>
          <m:e>
            <m:r>
              <m:t>ρ</m:t>
            </m:r>
          </m:e>
        </m:acc>
      </m:oMath>
      <w:r>
        <w:rPr>
          <w:rFonts w:ascii="宋体" w:hAnsi="宋体" w:eastAsia="宋体"/>
          <w:sz w:val="24"/>
        </w:rPr>
        <w:t xml:space="preserve">＝0.0794，统计上无法拒绝 </w:t>
      </w:r>
      <m:oMath>
        <m:r>
          <m:t>ρ</m:t>
        </m:r>
        <m:r>
          <m:rPr>
            <m:sty m:val="p"/>
          </m:rPr>
          <m:t>=</m:t>
        </m:r>
        <m:r>
          <m:t>0</m:t>
        </m:r>
      </m:oMath>
      <w:r>
        <w:rPr>
          <w:rFonts w:ascii="宋体" w:hAnsi="宋体" w:eastAsia="宋体"/>
          <w:sz w:val="24"/>
        </w:rPr>
        <w:t>，此时该形式恰好退化为加权几何平均；链式折算与直接折算之差为机器精度量级，可加性与传递一致性同时成立。这一结论的方法论意义在于，折算权重不是主观赋权的结果，而是公理约束下的函数形式加实测标定的联合产物，因而具备可复核、可争辩、可修订的公共品性质，这正是标准化制度得以运转的前提（Farrell和Saloner，1985；Simcoe，2012；何凡等，2025）。</w:t>
      </w:r>
    </w:p>
    <w:p>
      <w:pPr>
        <w:spacing w:line="360" w:lineRule="auto" w:after="0"/>
        <w:ind w:firstLineChars="200" w:firstLine="480"/>
        <w:jc w:val="both"/>
      </w:pPr>
      <w:r>
        <w:rPr>
          <w:rFonts w:ascii="宋体" w:hAnsi="宋体" w:eastAsia="宋体"/>
          <w:b/>
          <w:sz w:val="24"/>
        </w:rPr>
        <w:t>结论三：折算使价格离散度大幅收敛。</w:t>
      </w:r>
      <w:r>
        <w:rPr>
          <w:rFonts w:ascii="宋体" w:hAnsi="宋体" w:eastAsia="宋体"/>
          <w:sz w:val="24"/>
        </w:rPr>
        <w:t>可加性由此成为词元进入指数、账表与核算的资格条件。折算后单位标准词元价格的变异系数由0.92降至0.31、降幅66.3%，基尼系数由0.47降至0.17、降幅63.8%，最高与最低之比由12.6倍收敛至2.4倍，价格结构显著趋近一价定律。需要强调本书与既有工作的关系。在词元评价领域，目前真实存在且各有主体的成果至少有四套：中国信息通信研究院《人工智能 Token 服务质量能力要求》所依托的「可信 AI-Token 服务质量评估」，含模型服务能力、Token 服务性能、Token 服务可信、Token 服务运维、Token 服务用户体验、Token 计量计费六个维度；中国信息通信研究院于2026年6月16日发布并解读的「高质量 Token 服务标准体系」，含服务质量、运营能力、生产能力、安全能力四个维度；中国工业互联网研究院《Token 驱动智能经济研究报告（2026年）》提出的价值度量体系，含生产成本、生产效率、准确性、生态价值、安全五个维度；清华大学翟季冬团队联合清程极智于2026年5月发布的「开源模型 Token 服务性能榜」，以首词元时延（P90分位）、输出吞吐与缓存命中率三项实测指标为核心。四套体系的主体、维度数与用途各不相同，不可合并、平均或交叉引用其维度名称。它们的共同特征是多维评价：产出的是并列的维度得分或达标基线，可用于服务质量认证与选型参考，却无法把异质词元合成为可加总、可计价、可入账的单一当量。本书的增量正在于从多维评价推进到当量折算——给出公理化的合成函数，使不同模型、不同任务的词元获得可比、可加的共同尺度。这一步在计量史上有清晰的先例：综合能耗计算通则以标准煤当量统一异质能源（国家市场监督管理总局和国家标准化管理委员会，2020），产品碳足迹量化标准以二氧化碳当量统一异质温室气体（「ISO，2018」；国家市场监督管理总局和国家标准化管理委员会，2024），碳核算体系的国际演进亦表明当量化是跨主体可比的前置条件（陈红敏，2011；童庆蒙等，2018）。</w:t>
      </w:r>
    </w:p>
    <w:p>
      <w:pPr>
        <w:keepNext/>
        <w:spacing w:before="160" w:after="120" w:line="360" w:lineRule="auto"/>
        <w:outlineLvl w:val="2"/>
      </w:pPr>
      <w:r>
        <w:rPr>
          <w:rFonts w:ascii="黑体" w:hAnsi="黑体" w:eastAsia="黑体"/>
          <w:sz w:val="24"/>
        </w:rPr>
        <w:t>14.1.2  定价线：三层结构、双指数与信息不对称</w:t>
      </w:r>
    </w:p>
    <w:p>
      <w:pPr>
        <w:spacing w:line="360" w:lineRule="auto" w:after="0"/>
        <w:ind w:firstLineChars="200" w:firstLine="480"/>
        <w:jc w:val="both"/>
      </w:pPr>
      <w:r>
        <w:rPr>
          <w:rFonts w:ascii="宋体" w:hAnsi="宋体" w:eastAsia="宋体"/>
          <w:b/>
          <w:sz w:val="24"/>
        </w:rPr>
        <w:t>结论四：词元价格由成本底价、效值溢价与场景租金三层叠加而成。</w:t>
      </w:r>
      <w:r>
        <w:rPr>
          <w:rFonts w:ascii="宋体" w:hAnsi="宋体" w:eastAsia="宋体"/>
          <w:sz w:val="24"/>
        </w:rPr>
        <w:t>三层的相对权重随档位系统性变化，这是价格结构性分化的直接来源。本书的分解显示，成本底价占市场价的比重在轻量蒸馏级为45.0%，在推理增强级降至24.0%；与之相对，场景租金占比由32.5%升至44.4%。这意味着低档位词元的价格接近其边际成本，竞争性质接近同质品市场；高档位词元的价格则主要由可占有的场景价值份额决定，竞争性质接近纵向差异化产品市场。这一结构解释了一个常被误读的现象：通用词元价格持续下行与高效值词元溢价扩大并存，二者并不矛盾，而是同一价格结构在不同档位上的两个截面。纵向差异化产品的质量分层定价与版本化策略为此提供了成熟的理论参照（Mussa和Rosen，1978；Bhargava和Choudhary，2008），数据类产品的定价研究亦指出，价值实现高度依赖使用情境而非产品本身（熊巧琴和汤珂，2021；Pei，2022；欧阳日辉和杜青青，2022）。</w:t>
      </w:r>
    </w:p>
    <w:p>
      <w:pPr>
        <w:spacing w:line="360" w:lineRule="auto" w:after="0"/>
        <w:ind w:firstLineChars="200" w:firstLine="480"/>
        <w:jc w:val="both"/>
      </w:pPr>
      <w:r>
        <w:rPr>
          <w:rFonts w:ascii="宋体" w:hAnsi="宋体" w:eastAsia="宋体"/>
          <w:b/>
          <w:sz w:val="24"/>
        </w:rPr>
        <w:t>结论五：以物理词元计量的价格指数会系统性高估真实降价幅度。</w:t>
      </w:r>
      <w:r>
        <w:rPr>
          <w:rFonts w:ascii="宋体" w:hAnsi="宋体" w:eastAsia="宋体"/>
          <w:sz w:val="24"/>
        </w:rPr>
        <w:t>标准词元价格指数是更合适的政策观测量。本书编制的双指数显示，以2024年第一季度为100，物理词元价格指数至2026年第二季度降至21、累计降幅79%；同期标准词元价格指数降至47、累计降幅53%，两者相差26%个百分点。对总降幅作分解可知，表观降价中约53%来自效值提升（同样支出买到更强的词元），约47%为真实降价。这一背离具有直接的治理含义：若以物理单价的下降幅度作为普惠成效、补贴退坡或反垄断审查的依据，将把质量改进误记为价格让利，从而在政策评估中产生系统性偏差。质量调整型价格指数的编制传统早已给出应对之道——享乐价格法把质量特征显性纳入价格方程（Griliches，1961；Pakes，2003；Erickson和Pakes，2011），官方统计对新产品与质量变化的处理亦有成体系的方法学积累（Groshen等，2017；Redding和Weinstein，2020）。标准词元价格指数在方法论上正属于这一谱系，其特殊之处在于质量特征由公理化折算函数而非市场特征回归给出。</w:t>
      </w:r>
    </w:p>
    <w:p>
      <w:pPr>
        <w:spacing w:line="360" w:lineRule="auto" w:after="0"/>
        <w:ind w:firstLineChars="200" w:firstLine="480"/>
        <w:jc w:val="both"/>
      </w:pPr>
      <w:r>
        <w:rPr>
          <w:rFonts w:ascii="宋体" w:hAnsi="宋体" w:eastAsia="宋体"/>
          <w:b/>
          <w:sz w:val="24"/>
        </w:rPr>
        <w:t>结论六：效值信息不对称构成词元市场的首要失灵来源。</w:t>
      </w:r>
      <w:r>
        <w:rPr>
          <w:rFonts w:ascii="宋体" w:hAnsi="宋体" w:eastAsia="宋体"/>
          <w:sz w:val="24"/>
        </w:rPr>
        <w:t>词元需求总体富有弹性但行业异质极强。本书估计的需求价格弹性为-1.34（标准误0.19，观测数864），分行业看，文化传媒-1.71、制造-1.62、金融-0.94、政务-0.68，最富弹性行业与最缺乏弹性行业相差逾一倍半。这意味着单一的普降价格政策在不同行业的动员效果差异极大：在政务等低弹性场景，降价难以显著扩大调用，扩需的关键在于场景开发与合规工具供给。三级服务定价的分布同样值得注意，普惠包覆盖62%的用户却只贡献21%的收入，专属定制以7%的用户贡献41%的收入，这是典型的二级价格歧视结构，其福利性质取决于普惠档是否真正扩大了接入面（Dubé和Misra，2023）。更值得警惕的是效值维度的信息不对称：本书测得企业对所购词元效值的认知偏差均值达0.44，由此导致低效值档位的过度采购份额达27%。在质量不可观测而价格可观测的市场中，逆向选择会压低平均质量并抑制高质量供给（Akerlof，1970），而质量披露与第三方认证是被反复验证的纠偏工具（Dranove和Jin，2010）。与此同时，模型服务市场的集中度已由2024年的0.34降至2026年的0.21，竞争性在增强，这提示当前的政策重心应放在信息基础设施而非结构性干预（Armstrong，2006；Jullien等，2021；顾聪等，2023）。</w:t>
      </w:r>
    </w:p>
    <w:p>
      <w:pPr>
        <w:keepNext/>
        <w:spacing w:before="160" w:after="120" w:line="360" w:lineRule="auto"/>
        <w:outlineLvl w:val="2"/>
      </w:pPr>
      <w:r>
        <w:rPr>
          <w:rFonts w:ascii="黑体" w:hAnsi="黑体" w:eastAsia="黑体"/>
          <w:sz w:val="24"/>
        </w:rPr>
        <w:t>14.1.3  配置线：效率损失、制度阈值与增长贡献</w:t>
      </w:r>
    </w:p>
    <w:p>
      <w:pPr>
        <w:spacing w:line="360" w:lineRule="auto" w:after="0"/>
        <w:ind w:firstLineChars="200" w:firstLine="480"/>
        <w:jc w:val="both"/>
      </w:pPr>
      <w:r>
        <w:rPr>
          <w:rFonts w:ascii="宋体" w:hAnsi="宋体" w:eastAsia="宋体"/>
          <w:b/>
          <w:sz w:val="24"/>
        </w:rPr>
        <w:t>结论七：算力利用率悖论可分解为四项可干预的损失。</w:t>
      </w:r>
      <w:r>
        <w:rPr>
          <w:rFonts w:ascii="宋体" w:hAnsi="宋体" w:eastAsia="宋体"/>
          <w:sz w:val="24"/>
        </w:rPr>
        <w:t xml:space="preserve">统一调度的效率改进空间由此可被精确界定。本书的分解显示，名义算力利用率为62%，依次扣除空转损失18%、批次损失9%、匹配损失12%与效值损失7%后，有效效值利用率仅为38%；实施任务—模型最优匹配的统一调度后可升至54%，相对提升42%，理论上界为61%，仍留有7个百分点的剩余空间。四项损失的性质各不相同：空转与批次损失属于系统工程问题，可由连续批处理、分页注意力与预填充—解码分离等推理服务技术缓解（Yu等，2022；Kwon等，2023；Agrawal等，2024；Zhong等，2024）；匹配损失与效值损失则属于经济组织问题，其根源是任务与模型档位的错配，只能由跨主体的调度与计量制度解决。值得注意的是，各档位单位算力的标准词元产出 </w:t>
      </w:r>
      <m:oMath>
        <m:r>
          <m:t>θ</m:t>
        </m:r>
      </m:oMath>
      <w:r>
        <w:rPr>
          <w:rFonts w:ascii="宋体" w:hAnsi="宋体" w:eastAsia="宋体"/>
          <w:sz w:val="24"/>
        </w:rPr>
        <w:t xml:space="preserve"> 相差13.5倍，这意味着「用高档位模型做低价值任务」的错配同时浪费算力与效值，是四项损失中经济含义最重的一项。生产集群的负载分析（Weng等，2022）与智算中心、算力共享的经验研究（许诺等，2025；王勇等，2025）均支持这一判断。</w:t>
      </w:r>
    </w:p>
    <w:p>
      <w:pPr>
        <w:spacing w:line="360" w:lineRule="auto" w:after="0"/>
        <w:ind w:firstLineChars="200" w:firstLine="480"/>
        <w:jc w:val="both"/>
      </w:pPr>
      <w:r>
        <w:rPr>
          <w:rFonts w:ascii="宋体" w:hAnsi="宋体" w:eastAsia="宋体"/>
          <w:b/>
          <w:sz w:val="24"/>
        </w:rPr>
        <w:t>结论八：城市词元运营中心的成败取决于制度阈值而非投资规模。</w:t>
      </w:r>
      <w:r>
        <w:rPr>
          <w:rFonts w:ascii="宋体" w:hAnsi="宋体" w:eastAsia="宋体"/>
          <w:sz w:val="24"/>
        </w:rPr>
        <w:t xml:space="preserve">「五个统一」之中，统一计量的边际制度价值最高。本书以层次分析法对制度要件赋权，配置效率、计价公允与可持续运营三准则的权重依次为0.412、0.318与0.270（一致性比率0.031）；要件层中统一计量以0.271居首，其后依次为统一结算0.223、统一 API 入口0.196、统一安全审计0.166与统一政策抵扣0.144。三方演化博弈的结果更具警示意义：企业深度采纳成为演化稳定策略的临界红利为 </w:t>
      </w:r>
      <m:oMath>
        <m:sSubSup>
          <m:e>
            <m:r>
              <m:t>R</m:t>
            </m:r>
          </m:e>
          <m:sub>
            <m:r>
              <m:t>F</m:t>
            </m:r>
          </m:sub>
          <m:sup>
            <m:r>
              <m:t>c</m:t>
            </m:r>
          </m:sup>
        </m:sSubSup>
      </m:oMath>
      <w:r>
        <w:rPr>
          <w:rFonts w:ascii="宋体" w:hAnsi="宋体" w:eastAsia="宋体"/>
          <w:sz w:val="24"/>
        </w:rPr>
        <w:t>＝1.55，而基准情景的红利为1.5，仅低出约3%；就是这不足百分之四的差距，使系统收敛于「平台热、企业冷」的锁定均衡，政府被迫长期停留在强激励挡位（</w:t>
      </w:r>
      <m:oMath>
        <m:r>
          <m:t>z</m:t>
        </m:r>
        <m:r>
          <m:rPr>
            <m:sty m:val="p"/>
          </m:rPr>
          <m:t>→</m:t>
        </m:r>
        <m:r>
          <m:t>0.995</m:t>
        </m:r>
      </m:oMath>
      <w:r>
        <w:rPr>
          <w:rFonts w:ascii="宋体" w:hAnsi="宋体" w:eastAsia="宋体"/>
          <w:sz w:val="24"/>
        </w:rPr>
        <w:t>）而补贴无法退出。当效值透明与场景深化把红利提升至2.5时，系统在约41.7期收敛于融合均衡且补贴顺利退出；若同时以统一接入降低企业采纳成本，收敛期进一步缩短至23.5期，缩短44%。这提示政策的着力点不在于补贴规模，而在于把企业侧的采纳红利推过阈值，其中交易费用的节约（本书标定为35%）是最直接的杠杆。标准化与网络效应文献早已指出，兼容性与共同标准的确立会改变采纳博弈的均衡选择（Farrell和Saloner，1985；Katz和Shapiro，1985），平台通过价格与规则机制改善资源配置的作用亦得到经验支持（刘诚和夏杰长，2023；吴双和王勇，2024）。</w:t>
      </w:r>
    </w:p>
    <w:p>
      <w:pPr>
        <w:spacing w:line="360" w:lineRule="auto" w:after="0"/>
        <w:ind w:firstLineChars="200" w:firstLine="480"/>
        <w:jc w:val="both"/>
      </w:pPr>
      <w:r>
        <w:rPr>
          <w:rFonts w:ascii="宋体" w:hAnsi="宋体" w:eastAsia="宋体"/>
          <w:b/>
          <w:sz w:val="24"/>
        </w:rPr>
        <w:t>结论九：标准词元流量可作为独立要素进入生产函数。</w:t>
      </w:r>
      <w:r>
        <w:rPr>
          <w:rFonts w:ascii="宋体" w:hAnsi="宋体" w:eastAsia="宋体"/>
          <w:sz w:val="24"/>
        </w:rPr>
        <w:t>人工智能的增长贡献由此从索洛残差中显性分离，而碳约束构成这一增长路径的硬边界。基于城市—年度面板（观测数1240）的估计显示，资本、劳动、数据与标准词元流量的产出弹性依次为</w:t>
      </w:r>
      <m:oMath>
        <m:sSub>
          <m:e>
            <m:r>
              <m:t>α</m:t>
            </m:r>
          </m:e>
          <m:sub>
            <m:r>
              <m:t>K</m:t>
            </m:r>
          </m:sub>
        </m:sSub>
      </m:oMath>
      <w:r>
        <w:rPr>
          <w:rFonts w:ascii="宋体" w:hAnsi="宋体" w:eastAsia="宋体"/>
          <w:sz w:val="24"/>
        </w:rPr>
        <w:t>＝0.318、</w:t>
      </w:r>
      <m:oMath>
        <m:sSub>
          <m:e>
            <m:r>
              <m:t>α</m:t>
            </m:r>
          </m:e>
          <m:sub>
            <m:r>
              <m:t>L</m:t>
            </m:r>
          </m:sub>
        </m:sSub>
      </m:oMath>
      <w:r>
        <w:rPr>
          <w:rFonts w:ascii="宋体" w:hAnsi="宋体" w:eastAsia="宋体"/>
          <w:sz w:val="24"/>
        </w:rPr>
        <w:t>＝0.276、</w:t>
      </w:r>
      <m:oMath>
        <m:sSub>
          <m:e>
            <m:r>
              <m:t>α</m:t>
            </m:r>
          </m:e>
          <m:sub>
            <m:r>
              <m:t>D</m:t>
            </m:r>
          </m:sub>
        </m:sSub>
      </m:oMath>
      <w:r>
        <w:rPr>
          <w:rFonts w:ascii="宋体" w:hAnsi="宋体" w:eastAsia="宋体"/>
          <w:sz w:val="24"/>
        </w:rPr>
        <w:t xml:space="preserve">＝0.094与 </w:t>
      </w:r>
      <m:oMath>
        <m:sSub>
          <m:e>
            <m:r>
              <m:t>α</m:t>
            </m:r>
          </m:e>
          <m:sub>
            <m:r>
              <m:t>T</m:t>
            </m:r>
          </m:sub>
        </m:sSub>
      </m:oMath>
      <w:r>
        <w:rPr>
          <w:rFonts w:ascii="宋体" w:hAnsi="宋体" w:eastAsia="宋体"/>
          <w:sz w:val="24"/>
        </w:rPr>
        <w:t>＝0.108，均在1%水平显著；标准词元流量的弹性已达数据要素的1.15倍。2026年标准词元流量对产出增长的直接贡献为0.34个百分点、占实际增长率的6.8%；不引入词元变量时全要素生产率残差为2.41%，引入后降至2.12%，残差高估0.29个百分点、相对高估13.7%。区域上东部、中部、西部的贡献率分别为8.4%、5.1%与3.6%，东部约为西部的2.33倍——在算力产能明显西移的背景下，这一背离印证了增长贡献产生于词元的实际使用而非算力产能本身。这一结果既不支持人工智能增长效应的过度乐观叙事，也不支持其无效论：贡献是真实的、可测的，但仍处于通用目的技术扩散的早期，其量级受制于互补性投资的完成度（Bresnahan和Trajtenberg，1995；Aghion等，2019；Crafts，2021；Brynjolfsson等，2021），而任务暴露度与自动化可行性的约束意味着中期内不宜期待跃迁式的宏观效应（Acemoglu，2025）。与此同时，碳约束的边界已经清晰可见：本书测得2026年用量加权平均碳强度为2.263 gCO₂e／千标准词元，而绿色词元阈值为1.0 gCO₂e／千标准词元，达标需要碳强度下降55.8%；情景测算显示，至2035年基准情景仅降至1.30，绿色情景与深度情景分别降至0.62与0.34，只有后两者可跨越阈值。人工智能能耗的国际评估与生命周期测算亦提示，推理侧的累积能耗将成为约束的主要来源（Masanet等，2020；Patterson等，2022；IEA，2025）。</w:t>
      </w:r>
    </w:p>
    <w:p>
      <w:pPr>
        <w:keepNext/>
        <w:spacing w:before="160" w:after="120" w:line="360" w:lineRule="auto"/>
        <w:outlineLvl w:val="2"/>
      </w:pPr>
      <w:r>
        <w:rPr>
          <w:rFonts w:ascii="黑体" w:hAnsi="黑体" w:eastAsia="黑体"/>
          <w:sz w:val="24"/>
        </w:rPr>
        <w:t>14.1.4  九条结论的内在逻辑</w:t>
      </w:r>
    </w:p>
    <w:p>
      <w:pPr>
        <w:spacing w:line="360" w:lineRule="auto" w:after="0"/>
        <w:ind w:firstLineChars="200" w:firstLine="480"/>
        <w:jc w:val="both"/>
      </w:pPr>
      <w:r>
        <w:rPr>
          <w:rFonts w:ascii="宋体" w:hAnsi="宋体" w:eastAsia="宋体"/>
          <w:sz w:val="24"/>
        </w:rPr>
        <w:t>把九条结论连起来读，可以看到一条严格的递进关系，而非九个并列的发现。结论一确立了问题：物理词元不可加。结论二与结论三给出了解法并验证了解法的有效性：四公理约束下的幂积折算函数使异质词元获得共同尺度，离散度的收敛是这一解法有效的直接证据。结论四至结论六说明，一旦尺度统一，价格的结构、指数的口径与市场失灵的形态便都可以被清晰刻画：三层结构解释了分化，双指数分离了质量改进与真实降价，效值信息不对称被识别为首要失灵。结论七至结论九则说明，统一尺度进一步使配置效率可被分解与考核、制度阈值可被计算与跨越、增长贡献可被观测与归因，而碳强度为这一切设定了物理边界。九条结论共同支撑的判断是：词元经济当前面临的核心制度缺口不在算力供给、不在模型能力、也不在应用场景，而在计量规则；计量规则一旦确立，定价、配置、核算与绿色治理四类政策才可能建立在同一事实基础之上。</w:t>
      </w:r>
    </w:p>
    <w:p>
      <w:pPr>
        <w:spacing w:line="360" w:lineRule="auto" w:after="0"/>
        <w:ind w:firstLineChars="200" w:firstLine="480"/>
        <w:jc w:val="both"/>
      </w:pPr>
      <w:r>
        <w:rPr>
          <w:rFonts w:ascii="宋体" w:hAnsi="宋体" w:eastAsia="宋体"/>
          <w:sz w:val="24"/>
        </w:rPr>
        <w:t xml:space="preserve">这一判断也解释了本书何以把绿色词元与增长核算同置于第三条主线。碳强度 </w:t>
      </w:r>
      <m:oMath>
        <m:r>
          <m:t>ι</m:t>
        </m:r>
      </m:oMath>
      <w:r>
        <w:rPr>
          <w:rFonts w:ascii="宋体" w:hAnsi="宋体" w:eastAsia="宋体"/>
          <w:sz w:val="24"/>
        </w:rPr>
        <w:t xml:space="preserve"> 与产出弹性 </w:t>
      </w:r>
      <m:oMath>
        <m:sSub>
          <m:e>
            <m:r>
              <m:t>α</m:t>
            </m:r>
          </m:e>
          <m:sub>
            <m:r>
              <m:t>T</m:t>
            </m:r>
          </m:sub>
        </m:sSub>
      </m:oMath>
      <w:r>
        <w:rPr>
          <w:rFonts w:ascii="宋体" w:hAnsi="宋体" w:eastAsia="宋体"/>
          <w:sz w:val="24"/>
        </w:rPr>
        <w:t xml:space="preserve"> 看似分属环境与增长两个议题，但在式(14-1)中它们共享同一个分母：单位标准词元。缺少统一折算，则同一批词元在碳账上的排放与在增长账上的贡献会按不同口径被分别统计，二者既不可比也不可加，「以更低碳强度实现更高增长贡献」这一政策目标便无法被定义，更无从考核。第13章的多案例证据对此提供了来自实践的三角验证：47位受访者的访谈材料经开放编码得到412个概念、23个主轴范畴，最终凝练出4个核心范畴，其中「计量不透明」的参考点数以143居首，高于「成本不确定」的118、「能力缺口」的97与「合规与安全顾虑」的76。企业在实践中最先感受到的障碍，恰恰是本书在理论上识别出的首要缺口，这一定量与质性证据的相互印证，构成了下一节政策建议的经验基础。</w:t>
      </w:r>
    </w:p>
    <w:p>
      <w:pPr>
        <w:keepNext/>
        <w:spacing w:before="160" w:after="120" w:line="360" w:lineRule="auto"/>
        <w:outlineLvl w:val="1"/>
      </w:pPr>
      <w:r>
        <w:rPr>
          <w:rFonts w:ascii="黑体" w:hAnsi="黑体" w:eastAsia="黑体"/>
          <w:sz w:val="28"/>
        </w:rPr>
        <w:t>14.2  政策建议</w:t>
      </w:r>
    </w:p>
    <w:p>
      <w:pPr>
        <w:keepNext/>
        <w:spacing w:before="160" w:after="120" w:line="360" w:lineRule="auto"/>
        <w:outlineLvl w:val="2"/>
      </w:pPr>
      <w:r>
        <w:rPr>
          <w:rFonts w:ascii="黑体" w:hAnsi="黑体" w:eastAsia="黑体"/>
          <w:sz w:val="24"/>
        </w:rPr>
        <w:t>14.2.1  政策工具分工的经济学基础与三支柱框架</w:t>
      </w:r>
    </w:p>
    <w:p>
      <w:pPr>
        <w:spacing w:line="360" w:lineRule="auto" w:after="0"/>
        <w:ind w:firstLineChars="200" w:firstLine="480"/>
        <w:jc w:val="both"/>
      </w:pPr>
      <w:r>
        <w:rPr>
          <w:rFonts w:ascii="宋体" w:hAnsi="宋体" w:eastAsia="宋体"/>
          <w:sz w:val="24"/>
        </w:rPr>
        <w:t xml:space="preserve">政策建议若只是结论的祈使句式改写，便没有独立的分析价值。为使建议具备可推导性，本节先把词元经济的配置问题写成一个社会计划者问题，再由其一阶条件读出政策工具的分工。设场景集为 </w:t>
      </w:r>
      <m:oMath>
        <m:r>
          <m:rPr>
            <m:scr m:val="script"/>
            <m:sty m:val="p"/>
          </m:rPr>
          <m:t>J</m:t>
        </m:r>
      </m:oMath>
      <w:r>
        <w:rPr>
          <w:rFonts w:ascii="宋体" w:hAnsi="宋体" w:eastAsia="宋体"/>
          <w:sz w:val="24"/>
        </w:rPr>
        <w:t xml:space="preserve">、模型档位集为 </w:t>
      </w:r>
      <m:oMath>
        <m:r>
          <m:rPr>
            <m:scr m:val="script"/>
            <m:sty m:val="p"/>
          </m:rPr>
          <m:t>M</m:t>
        </m:r>
      </m:oMath>
      <w:r>
        <w:rPr>
          <w:rFonts w:ascii="宋体" w:hAnsi="宋体" w:eastAsia="宋体"/>
          <w:sz w:val="24"/>
        </w:rPr>
        <w:t xml:space="preserve">，档位 </w:t>
      </w:r>
      <m:oMath>
        <m:r>
          <m:t>m</m:t>
        </m:r>
      </m:oMath>
      <w:r>
        <w:rPr>
          <w:rFonts w:ascii="宋体" w:hAnsi="宋体" w:eastAsia="宋体"/>
          <w:sz w:val="24"/>
        </w:rPr>
        <w:t xml:space="preserve"> 为场景 </w:t>
      </w:r>
      <m:oMath>
        <m:r>
          <m:t>j</m:t>
        </m:r>
      </m:oMath>
      <w:r>
        <w:rPr>
          <w:rFonts w:ascii="宋体" w:hAnsi="宋体" w:eastAsia="宋体"/>
          <w:sz w:val="24"/>
        </w:rPr>
        <w:t xml:space="preserve"> 生成的物理词元数为 </w:t>
      </w:r>
      <m:oMath>
        <m:sSub>
          <m:e>
            <m:r>
              <m:t>T</m:t>
            </m:r>
          </m:e>
          <m:sub>
            <m:r>
              <m:t>m</m:t>
            </m:r>
            <m:r>
              <m:t>j</m:t>
            </m:r>
          </m:sub>
        </m:sSub>
      </m:oMath>
      <w:r>
        <w:rPr>
          <w:rFonts w:ascii="宋体" w:hAnsi="宋体" w:eastAsia="宋体"/>
          <w:sz w:val="24"/>
        </w:rPr>
        <w:t xml:space="preserve">，对应效值系数为 </w:t>
      </w:r>
      <m:oMath>
        <m:sSub>
          <m:e>
            <m:r>
              <m:t>η</m:t>
            </m:r>
          </m:e>
          <m:sub>
            <m:r>
              <m:t>m</m:t>
            </m:r>
            <m:r>
              <m:t>j</m:t>
            </m:r>
          </m:sub>
        </m:sSub>
      </m:oMath>
      <w:r>
        <w:rPr>
          <w:rFonts w:ascii="宋体" w:hAnsi="宋体" w:eastAsia="宋体"/>
          <w:sz w:val="24"/>
        </w:rPr>
        <w:t xml:space="preserve">，场景 </w:t>
      </w:r>
      <m:oMath>
        <m:r>
          <m:t>j</m:t>
        </m:r>
      </m:oMath>
      <w:r>
        <w:rPr>
          <w:rFonts w:ascii="宋体" w:hAnsi="宋体" w:eastAsia="宋体"/>
          <w:sz w:val="24"/>
        </w:rPr>
        <w:t xml:space="preserve"> 的价值函数 </w:t>
      </w:r>
      <m:oMath>
        <m:sSub>
          <m:e>
            <m:r>
              <m:t>V</m:t>
            </m:r>
          </m:e>
          <m:sub>
            <m:r>
              <m:t>j</m:t>
            </m:r>
          </m:sub>
        </m:sSub>
        <m:d>
          <m:dPr>
            <m:begChr m:val="("/>
            <m:endChr m:val=")"/>
            <m:grow/>
          </m:dPr>
          <m:e>
            <m:r>
              <m:rPr>
                <m:sty m:val="p"/>
              </m:rPr>
              <m:t>⋅</m:t>
            </m:r>
          </m:e>
        </m:d>
      </m:oMath>
      <w:r>
        <w:rPr>
          <w:rFonts w:ascii="宋体" w:hAnsi="宋体" w:eastAsia="宋体"/>
          <w:sz w:val="24"/>
        </w:rPr>
        <w:t xml:space="preserve"> 严格凹且以标准词元投入为自变量；档位 </w:t>
      </w:r>
      <m:oMath>
        <m:r>
          <m:t>m</m:t>
        </m:r>
      </m:oMath>
      <w:r>
        <w:rPr>
          <w:rFonts w:ascii="宋体" w:hAnsi="宋体" w:eastAsia="宋体"/>
          <w:sz w:val="24"/>
        </w:rPr>
        <w:t xml:space="preserve"> 的单位物理词元边际成本为 </w:t>
      </w:r>
      <m:oMath>
        <m:sSub>
          <m:e>
            <m:r>
              <m:t>c</m:t>
            </m:r>
          </m:e>
          <m:sub>
            <m:r>
              <m:t>m</m:t>
            </m:r>
          </m:sub>
        </m:sSub>
      </m:oMath>
      <w:r>
        <w:rPr>
          <w:rFonts w:ascii="宋体" w:hAnsi="宋体" w:eastAsia="宋体"/>
          <w:sz w:val="24"/>
        </w:rPr>
        <w:t xml:space="preserve">、单位算力占用为 </w:t>
      </w:r>
      <m:oMath>
        <m:sSub>
          <m:e>
            <m:r>
              <m:t>π</m:t>
            </m:r>
          </m:e>
          <m:sub>
            <m:r>
              <m:t>m</m:t>
            </m:r>
          </m:sub>
        </m:sSub>
      </m:oMath>
      <w:r>
        <w:rPr>
          <w:rFonts w:ascii="宋体" w:hAnsi="宋体" w:eastAsia="宋体"/>
          <w:sz w:val="24"/>
        </w:rPr>
        <w:t xml:space="preserve">、单位标准词元碳强度为 </w:t>
      </w:r>
      <m:oMath>
        <m:sSub>
          <m:e>
            <m:r>
              <m:t>ι</m:t>
            </m:r>
          </m:e>
          <m:sub>
            <m:r>
              <m:t>m</m:t>
            </m:r>
          </m:sub>
        </m:sSub>
      </m:oMath>
      <w:r>
        <w:rPr>
          <w:rFonts w:ascii="宋体" w:hAnsi="宋体" w:eastAsia="宋体"/>
          <w:sz w:val="24"/>
        </w:rPr>
        <w:t xml:space="preserve">，社会可用算力总量为 </w:t>
      </w:r>
      <m:oMath>
        <m:acc>
          <m:accPr>
            <m:chr m:val="‾"/>
          </m:accPr>
          <m:e>
            <m:r>
              <m:t>C</m:t>
            </m:r>
          </m:e>
        </m:acc>
      </m:oMath>
      <w:r>
        <w:rPr>
          <w:rFonts w:ascii="宋体" w:hAnsi="宋体" w:eastAsia="宋体"/>
          <w:sz w:val="24"/>
        </w:rPr>
        <w:t xml:space="preserve">，碳的社会影子价格为 </w:t>
      </w:r>
      <m:oMath>
        <m:r>
          <m:t>ψ</m:t>
        </m:r>
      </m:oMath>
      <w:r>
        <w:rPr>
          <w:rFonts w:ascii="宋体" w:hAnsi="宋体" w:eastAsia="宋体"/>
          <w:sz w:val="24"/>
        </w:rPr>
        <w:t>。社会计划者的问题是：</w:t>
      </w:r>
    </w:p>
    <w:p>
      <w:pPr>
        <w:tabs>
          <w:tab w:pos="4252" w:val="center"/>
          <w:tab w:pos="8504" w:val="right"/>
        </w:tabs>
        <w:spacing w:line="360" w:lineRule="auto" w:before="80" w:after="80"/>
      </w:pPr>
      <w:r>
        <w:tab/>
      </w:r>
      <m:oMath>
        <m:sSub>
          <m:e>
            <m:r>
              <m:rPr>
                <m:sty m:val="p"/>
              </m:rPr>
              <m:t>max</m:t>
            </m:r>
          </m:e>
          <m:sub>
            <m:r>
              <m:rPr>
                <m:sty m:val="p"/>
              </m:rPr>
              <m:t>{</m:t>
            </m:r>
            <m:sSub>
              <m:e>
                <m:r>
                  <m:t>T</m:t>
                </m:r>
              </m:e>
              <m:sub>
                <m:r>
                  <m:t>m</m:t>
                </m:r>
                <m:r>
                  <m:t>j</m:t>
                </m:r>
              </m:sub>
            </m:sSub>
            <m:r>
              <m:rPr>
                <m:sty m:val="p"/>
              </m:rPr>
              <m:t>≥</m:t>
            </m:r>
            <m:r>
              <m:t>0</m:t>
            </m:r>
            <m:r>
              <m:rPr>
                <m:sty m:val="p"/>
              </m:rPr>
              <m:t>}</m:t>
            </m:r>
          </m:sub>
        </m:sSub>
        <m:r>
          <m:t> </m:t>
        </m:r>
        <m:nary>
          <m:naryPr>
            <m:chr m:val="∑"/>
            <m:limLoc m:val="undOvr"/>
            <m:subHide m:val="off"/>
            <m:supHide m:val="on"/>
          </m:naryPr>
          <m:sub>
            <m:r>
              <m:t>j</m:t>
            </m:r>
          </m:sub>
          <m:sup>
            <m:r>
              <m:t>​</m:t>
            </m:r>
          </m:sup>
          <m:e>
            <m:sSub>
              <m:e>
                <m:r>
                  <m:t>V</m:t>
                </m:r>
              </m:e>
              <m:sub>
                <m:r>
                  <m:t>j</m:t>
                </m:r>
              </m:sub>
            </m:sSub>
          </m:e>
        </m:nary>
        <m:r>
          <m:t>​</m:t>
        </m:r>
        <m:d>
          <m:dPr>
            <m:begChr m:val="("/>
            <m:endChr m:val=")"/>
            <m:grow/>
          </m:dPr>
          <m:e>
            <m:nary>
              <m:naryPr>
                <m:chr m:val="∑"/>
                <m:limLoc m:val="undOvr"/>
                <m:subHide m:val="off"/>
                <m:supHide m:val="on"/>
              </m:naryPr>
              <m:sub>
                <m:r>
                  <m:t>m</m:t>
                </m:r>
              </m:sub>
              <m:sup>
                <m:r>
                  <m:t>​</m:t>
                </m:r>
              </m:sup>
              <m:e>
                <m:sSub>
                  <m:e>
                    <m:r>
                      <m:t>η</m:t>
                    </m:r>
                  </m:e>
                  <m:sub>
                    <m:r>
                      <m:t>m</m:t>
                    </m:r>
                    <m:r>
                      <m:t>j</m:t>
                    </m:r>
                  </m:sub>
                </m:sSub>
              </m:e>
            </m:nary>
            <m:sSub>
              <m:e>
                <m:r>
                  <m:t>T</m:t>
                </m:r>
              </m:e>
              <m:sub>
                <m:r>
                  <m:t>m</m:t>
                </m:r>
                <m:r>
                  <m:t>j</m:t>
                </m:r>
              </m:sub>
            </m:sSub>
          </m:e>
        </m:d>
        <m:r>
          <m:rPr>
            <m:sty m:val="p"/>
          </m:rPr>
          <m:t>−</m:t>
        </m:r>
        <m:nary>
          <m:naryPr>
            <m:chr m:val="∑"/>
            <m:limLoc m:val="undOvr"/>
            <m:subHide m:val="off"/>
            <m:supHide m:val="on"/>
          </m:naryPr>
          <m:sub>
            <m:r>
              <m:t>m</m:t>
            </m:r>
          </m:sub>
          <m:sup>
            <m:r>
              <m:t>​</m:t>
            </m:r>
          </m:sup>
          <m:e>
            <m:nary>
              <m:naryPr>
                <m:chr m:val="∑"/>
                <m:limLoc m:val="undOvr"/>
                <m:subHide m:val="off"/>
                <m:supHide m:val="on"/>
              </m:naryPr>
              <m:sub>
                <m:r>
                  <m:t>j</m:t>
                </m:r>
              </m:sub>
              <m:sup>
                <m:r>
                  <m:t>​</m:t>
                </m:r>
              </m:sup>
              <m:e>
                <m:sSub>
                  <m:e>
                    <m:r>
                      <m:t>c</m:t>
                    </m:r>
                  </m:e>
                  <m:sub>
                    <m:r>
                      <m:t>m</m:t>
                    </m:r>
                  </m:sub>
                </m:sSub>
              </m:e>
            </m:nary>
          </m:e>
        </m:nary>
        <m:sSub>
          <m:e>
            <m:r>
              <m:t>T</m:t>
            </m:r>
          </m:e>
          <m:sub>
            <m:r>
              <m:t>m</m:t>
            </m:r>
            <m:r>
              <m:t>j</m:t>
            </m:r>
          </m:sub>
        </m:sSub>
        <m:r>
          <m:rPr>
            <m:sty m:val="p"/>
          </m:rPr>
          <m:t>−</m:t>
        </m:r>
        <m:r>
          <m:t>ψ</m:t>
        </m:r>
        <m:nary>
          <m:naryPr>
            <m:chr m:val="∑"/>
            <m:limLoc m:val="undOvr"/>
            <m:subHide m:val="off"/>
            <m:supHide m:val="on"/>
          </m:naryPr>
          <m:sub>
            <m:r>
              <m:t>m</m:t>
            </m:r>
          </m:sub>
          <m:sup>
            <m:r>
              <m:t>​</m:t>
            </m:r>
          </m:sup>
          <m:e>
            <m:nary>
              <m:naryPr>
                <m:chr m:val="∑"/>
                <m:limLoc m:val="undOvr"/>
                <m:subHide m:val="off"/>
                <m:supHide m:val="on"/>
              </m:naryPr>
              <m:sub>
                <m:r>
                  <m:t>j</m:t>
                </m:r>
              </m:sub>
              <m:sup>
                <m:r>
                  <m:t>​</m:t>
                </m:r>
              </m:sup>
              <m:e>
                <m:sSub>
                  <m:e>
                    <m:r>
                      <m:t>ι</m:t>
                    </m:r>
                  </m:e>
                  <m:sub>
                    <m:r>
                      <m:t>m</m:t>
                    </m:r>
                  </m:sub>
                </m:sSub>
              </m:e>
            </m:nary>
          </m:e>
        </m:nary>
        <m:sSub>
          <m:e>
            <m:r>
              <m:t>η</m:t>
            </m:r>
          </m:e>
          <m:sub>
            <m:r>
              <m:t>m</m:t>
            </m:r>
            <m:r>
              <m:t>j</m:t>
            </m:r>
          </m:sub>
        </m:sSub>
        <m:sSub>
          <m:e>
            <m:r>
              <m:t>T</m:t>
            </m:r>
          </m:e>
          <m:sub>
            <m:r>
              <m:t>m</m:t>
            </m:r>
            <m:r>
              <m:t>j</m:t>
            </m:r>
          </m:sub>
        </m:sSub>
        <m:r>
          <m:t> </m:t>
        </m:r>
        <m:r>
          <m:rPr>
            <m:sty m:val="p"/>
          </m:rPr>
          <m:t>s</m:t>
        </m:r>
        <m:r>
          <m:rPr>
            <m:sty m:val="p"/>
          </m:rPr>
          <m:t>.</m:t>
        </m:r>
        <m:r>
          <m:rPr>
            <m:sty m:val="p"/>
          </m:rPr>
          <m:t>t</m:t>
        </m:r>
        <m:r>
          <m:rPr>
            <m:sty m:val="p"/>
          </m:rPr>
          <m:t>.</m:t>
        </m:r>
        <m:r>
          <m:t> </m:t>
        </m:r>
        <m:nary>
          <m:naryPr>
            <m:chr m:val="∑"/>
            <m:limLoc m:val="undOvr"/>
            <m:subHide m:val="off"/>
            <m:supHide m:val="on"/>
          </m:naryPr>
          <m:sub>
            <m:r>
              <m:t>m</m:t>
            </m:r>
          </m:sub>
          <m:sup>
            <m:r>
              <m:t>​</m:t>
            </m:r>
          </m:sup>
          <m:e>
            <m:nary>
              <m:naryPr>
                <m:chr m:val="∑"/>
                <m:limLoc m:val="undOvr"/>
                <m:subHide m:val="off"/>
                <m:supHide m:val="on"/>
              </m:naryPr>
              <m:sub>
                <m:r>
                  <m:t>j</m:t>
                </m:r>
              </m:sub>
              <m:sup>
                <m:r>
                  <m:t>​</m:t>
                </m:r>
              </m:sup>
              <m:e>
                <m:sSub>
                  <m:e>
                    <m:r>
                      <m:t>π</m:t>
                    </m:r>
                  </m:e>
                  <m:sub>
                    <m:r>
                      <m:t>m</m:t>
                    </m:r>
                  </m:sub>
                </m:sSub>
              </m:e>
            </m:nary>
          </m:e>
        </m:nary>
        <m:sSub>
          <m:e>
            <m:r>
              <m:t>T</m:t>
            </m:r>
          </m:e>
          <m:sub>
            <m:r>
              <m:t>m</m:t>
            </m:r>
            <m:r>
              <m:t>j</m:t>
            </m:r>
          </m:sub>
        </m:sSub>
        <m:r>
          <m:rPr>
            <m:sty m:val="p"/>
          </m:rPr>
          <m:t>≤</m:t>
        </m:r>
        <m:acc>
          <m:accPr>
            <m:chr m:val="‾"/>
          </m:accPr>
          <m:e>
            <m:r>
              <m:t>C</m:t>
            </m:r>
          </m:e>
        </m:acc>
      </m:oMath>
      <w:r>
        <w:tab/>
      </w:r>
      <w:r>
        <w:rPr>
          <w:rFonts w:ascii="Times New Roman" w:hAnsi="Times New Roman" w:eastAsia="宋体"/>
          <w:sz w:val="24"/>
        </w:rPr>
        <w:t>(14-2)</w:t>
      </w:r>
    </w:p>
    <w:p>
      <w:pPr>
        <w:spacing w:line="360" w:lineRule="auto" w:after="0"/>
        <w:jc w:val="both"/>
      </w:pPr>
      <w:r>
        <w:rPr>
          <w:rFonts w:ascii="宋体" w:hAnsi="宋体" w:eastAsia="宋体"/>
          <w:sz w:val="24"/>
        </w:rPr>
        <w:t xml:space="preserve">其中，目标函数的三项依次为场景价值、生产成本与碳的社会成本，约束为算力总量约束；记该约束的乘子为 </w:t>
      </w:r>
      <m:oMath>
        <m:r>
          <m:t>ω</m:t>
        </m:r>
      </m:oMath>
      <w:r>
        <w:rPr>
          <w:rFonts w:ascii="宋体" w:hAnsi="宋体" w:eastAsia="宋体"/>
          <w:sz w:val="24"/>
        </w:rPr>
        <w:t>，即单位算力的影子价格。</w:t>
      </w:r>
    </w:p>
    <w:p>
      <w:pPr>
        <w:spacing w:line="360" w:lineRule="auto" w:after="0"/>
        <w:ind w:firstLineChars="200" w:firstLine="480"/>
        <w:jc w:val="both"/>
      </w:pPr>
      <w:r>
        <w:rPr>
          <w:rFonts w:ascii="宋体" w:hAnsi="宋体" w:eastAsia="宋体"/>
          <w:sz w:val="24"/>
        </w:rPr>
        <w:t xml:space="preserve">对内点解求一阶条件，得 </w:t>
      </w:r>
      <m:oMath>
        <m:sSub>
          <m:e>
            <m:r>
              <m:t>η</m:t>
            </m:r>
          </m:e>
          <m:sub>
            <m:r>
              <m:t>m</m:t>
            </m:r>
            <m:r>
              <m:t>j</m:t>
            </m:r>
          </m:sub>
        </m:sSub>
        <m:sSubSup>
          <m:e>
            <m:r>
              <m:t>V</m:t>
            </m:r>
          </m:e>
          <m:sub>
            <m:r>
              <m:t>j</m:t>
            </m:r>
          </m:sub>
          <m:sup>
            <m:r>
              <m:rPr>
                <m:sty m:val="p"/>
              </m:rPr>
              <m:t>′</m:t>
            </m:r>
          </m:sup>
        </m:sSubSup>
        <m:r>
          <m:rPr>
            <m:sty m:val="p"/>
          </m:rPr>
          <m:t>=</m:t>
        </m:r>
        <m:sSub>
          <m:e>
            <m:r>
              <m:t>c</m:t>
            </m:r>
          </m:e>
          <m:sub>
            <m:r>
              <m:t>m</m:t>
            </m:r>
          </m:sub>
        </m:sSub>
        <m:r>
          <m:rPr>
            <m:sty m:val="p"/>
          </m:rPr>
          <m:t>+</m:t>
        </m:r>
        <m:r>
          <m:t>ψ</m:t>
        </m:r>
        <m:sSub>
          <m:e>
            <m:r>
              <m:t>ι</m:t>
            </m:r>
          </m:e>
          <m:sub>
            <m:r>
              <m:t>m</m:t>
            </m:r>
          </m:sub>
        </m:sSub>
        <m:sSub>
          <m:e>
            <m:r>
              <m:t>η</m:t>
            </m:r>
          </m:e>
          <m:sub>
            <m:r>
              <m:t>m</m:t>
            </m:r>
            <m:r>
              <m:t>j</m:t>
            </m:r>
          </m:sub>
        </m:sSub>
        <m:r>
          <m:rPr>
            <m:sty m:val="p"/>
          </m:rPr>
          <m:t>+</m:t>
        </m:r>
        <m:r>
          <m:t>ω</m:t>
        </m:r>
        <m:sSub>
          <m:e>
            <m:r>
              <m:t>π</m:t>
            </m:r>
          </m:e>
          <m:sub>
            <m:r>
              <m:t>m</m:t>
            </m:r>
          </m:sub>
        </m:sSub>
      </m:oMath>
      <w:r>
        <w:rPr>
          <w:rFonts w:ascii="宋体" w:hAnsi="宋体" w:eastAsia="宋体"/>
          <w:sz w:val="24"/>
        </w:rPr>
        <w:t xml:space="preserve">。这一条件可以读出三条彼此独立的边际法则，恰好对应三类性质不同的政策工具。其一，等式左端要求边际场景价值以效值系数加权，若 </w:t>
      </w:r>
      <m:oMath>
        <m:sSub>
          <m:e>
            <m:r>
              <m:t>η</m:t>
            </m:r>
          </m:e>
          <m:sub>
            <m:r>
              <m:t>m</m:t>
            </m:r>
            <m:r>
              <m:t>j</m:t>
            </m:r>
          </m:sub>
        </m:sSub>
      </m:oMath>
      <w:r>
        <w:rPr>
          <w:rFonts w:ascii="宋体" w:hAnsi="宋体" w:eastAsia="宋体"/>
          <w:sz w:val="24"/>
        </w:rPr>
        <w:t xml:space="preserve"> 不可观测或被虚报，则任何分散决策都无法达到该条件——这是信息问题，对应的工具是计量标准、效值披露与第三方认证，属计量侧。其二，等式右端第二项要求把碳的社会成本内部化进每一枚标准词元，若缺少可核证的碳强度凭证，</w:t>
      </w:r>
      <m:oMath>
        <m:r>
          <m:t>ψ</m:t>
        </m:r>
        <m:sSub>
          <m:e>
            <m:r>
              <m:t>ι</m:t>
            </m:r>
          </m:e>
          <m:sub>
            <m:r>
              <m:t>m</m:t>
            </m:r>
          </m:sub>
        </m:sSub>
      </m:oMath>
      <w:r>
        <w:rPr>
          <w:rFonts w:ascii="宋体" w:hAnsi="宋体" w:eastAsia="宋体"/>
          <w:sz w:val="24"/>
        </w:rPr>
        <w:t xml:space="preserve"> 便无从计入——这是外部性问题，对应的工具是碳足迹核算与绿色词元认证。其三，等式右端第三项要求同一影子价格 </w:t>
      </w:r>
      <m:oMath>
        <m:r>
          <m:t>ω</m:t>
        </m:r>
      </m:oMath>
      <w:r>
        <w:rPr>
          <w:rFonts w:ascii="宋体" w:hAnsi="宋体" w:eastAsia="宋体"/>
          <w:sz w:val="24"/>
        </w:rPr>
        <w:t xml:space="preserve"> 在所有档位与场景之间成立，若算力被分割在互不连通的孤岛中，则每个孤岛有各自的 </w:t>
      </w:r>
      <m:oMath>
        <m:r>
          <m:t>ω</m:t>
        </m:r>
      </m:oMath>
      <w:r>
        <w:rPr>
          <w:rFonts w:ascii="宋体" w:hAnsi="宋体" w:eastAsia="宋体"/>
          <w:sz w:val="24"/>
        </w:rPr>
        <w:t>，跨孤岛的边际产出无法均等——这是协调问题，对应的工具是统一调度、产能池化与互联互通，属配置侧。而定价侧的价格指数与披露规则，其作用在于使上述三类工具的效果可观测、可评估、可校准。由此，一个逻辑自洽的政策体系必然呈现为「三支柱＋一基础」的结构。</w:t>
      </w:r>
    </w:p>
    <w:p>
      <w:pPr>
        <w:spacing w:line="360" w:lineRule="auto" w:after="0"/>
        <w:ind w:firstLineChars="200" w:firstLine="480"/>
        <w:jc w:val="both"/>
      </w:pPr>
      <w:r>
        <w:rPr>
          <w:rFonts w:ascii="宋体" w:hAnsi="宋体" w:eastAsia="宋体"/>
          <w:sz w:val="24"/>
        </w:rPr>
        <w:t>需要补充的是，这三类工具之间存在明确的先后次序而非并列关系。信息问题的解决是另外两类工具生效的前提：碳的社会成本需按标准词元计入，若折算规则未定，碳凭证便无统一的功能单位；算力影子价格的均等化需以任务—模型匹配为载体，若效值不可比，调度器无从判断何为最优匹配。因此本书主张的政策次序是计量先行、定价与配置并进、绿色与开放随行，而非四线齐发。据此设计的政策体系框架如图14.1所示。</w:t>
      </w:r>
    </w:p>
    <w:p>
      <w:pPr>
        <w:spacing w:before="120" w:after="40"/>
        <w:jc w:val="center"/>
      </w:pPr>
      <w:r>
        <w:drawing>
          <wp:inline xmlns:a="http://schemas.openxmlformats.org/drawingml/2006/main" xmlns:pic="http://schemas.openxmlformats.org/drawingml/2006/picture">
            <wp:extent cx="5220000" cy="3981356"/>
            <wp:docPr id="45" name="Picture 45"/>
            <wp:cNvGraphicFramePr>
              <a:graphicFrameLocks noChangeAspect="1"/>
            </wp:cNvGraphicFramePr>
            <a:graphic>
              <a:graphicData uri="http://schemas.openxmlformats.org/drawingml/2006/picture">
                <pic:pic>
                  <pic:nvPicPr>
                    <pic:cNvPr id="0" name="fig14_1.png"/>
                    <pic:cNvPicPr/>
                  </pic:nvPicPr>
                  <pic:blipFill>
                    <a:blip r:embed="rId53"/>
                    <a:stretch>
                      <a:fillRect/>
                    </a:stretch>
                  </pic:blipFill>
                  <pic:spPr>
                    <a:xfrm>
                      <a:off x="0" y="0"/>
                      <a:ext cx="5220000" cy="3981356"/>
                    </a:xfrm>
                    <a:prstGeom prst="rect"/>
                  </pic:spPr>
                </pic:pic>
              </a:graphicData>
            </a:graphic>
          </wp:inline>
        </w:drawing>
      </w:r>
    </w:p>
    <w:p>
      <w:pPr>
        <w:keepNext w:val="0"/>
        <w:spacing w:after="200"/>
        <w:jc w:val="center"/>
      </w:pPr>
      <w:r>
        <w:rPr>
          <w:rFonts w:ascii="黑体" w:hAnsi="黑体" w:eastAsia="黑体"/>
          <w:sz w:val="21"/>
        </w:rPr>
        <w:t>图14.1  词元经济的政策体系框架</w:t>
      </w:r>
    </w:p>
    <w:p>
      <w:pPr>
        <w:spacing w:line="360" w:lineRule="auto" w:after="0"/>
        <w:ind w:firstLineChars="200" w:firstLine="480"/>
        <w:jc w:val="both"/>
      </w:pPr>
      <w:r>
        <w:rPr>
          <w:rFonts w:ascii="宋体" w:hAnsi="宋体" w:eastAsia="宋体"/>
          <w:sz w:val="24"/>
        </w:rPr>
        <w:t>图14.1的结构由上而下分为三层。顶层是「十五五」时期词元经济的治理目标：以标准词元为价值锚点，建成可计量、可定价、可配置、可核证的智能经济计量与治理体系。中层是三根支柱：计量侧以统一计量口径为纲，含计量国家标准、基准任务集与效值认证、用量与效值双口径统计、跨模型可比与跨境互认四项；定价侧以公允价格形成为纲，含双指数发布、三层价格结构披露、分级服务与普惠定价、效值虚标治理四项；配置侧以效率与绿色为纲，含统一调度平台、补贴由建算力转向用词元、有效利用率纳入考核、绿色词元认证与碳足迹凭证四项。底层是标准与统计基础设施，含计量国家标准与检测方法、价格指数发布与监测平台、调度效率与有效利用率考核体系、绿色词元认证与国际互认机制四项，其与三根支柱之间以双向箭头相连，表示基础设施既支撑政策实施，也接收实施反馈以完成动态校准。这一结构与式(14-2)的一阶条件严格对应：三根支柱分别处理信息、协调与外部性三类扭曲，底层基础设施则提供使三类工具可被观测与校准的公共信息。</w:t>
      </w:r>
    </w:p>
    <w:p>
      <w:pPr>
        <w:keepNext/>
        <w:spacing w:before="160" w:after="120" w:line="360" w:lineRule="auto"/>
        <w:outlineLvl w:val="2"/>
      </w:pPr>
      <w:r>
        <w:rPr>
          <w:rFonts w:ascii="黑体" w:hAnsi="黑体" w:eastAsia="黑体"/>
          <w:sz w:val="24"/>
        </w:rPr>
        <w:t>14.2.2  计量侧：以标准层级递进推动标准词元计量规则落地</w:t>
      </w:r>
    </w:p>
    <w:p>
      <w:pPr>
        <w:spacing w:line="360" w:lineRule="auto" w:after="0"/>
        <w:ind w:firstLineChars="200" w:firstLine="480"/>
        <w:jc w:val="both"/>
      </w:pPr>
      <w:r>
        <w:rPr>
          <w:rFonts w:ascii="宋体" w:hAnsi="宋体" w:eastAsia="宋体"/>
          <w:sz w:val="24"/>
        </w:rPr>
        <w:t>计量侧的首要任务是把折算规则从学术命题变为公共规则，路径是标准层级的递进。截至2026年8月，词元领域已发布的成果主要处于团体标准与机构评估层面：中国人工智能产业发展联盟归口的《人工智能词元（Token）运营管理能力要求》（AIIA/T 0308—2026）于2026年8月发布，中国信息通信研究院的「可信 AI-Token 服务质量评估」中含「Token 计量计费」维度，但二者的效力层级均低于行业标准与国家标准，且计量计费在其中只是评估体系的一个维度而非独立标准。与此同时，人工智能术语与大模型系列国家标准的制订工作归口于全国信息技术标准化技术委员会及其人工智能分技术委员会，尚未见专门以词元计量或词元计费为题的国家标准或行业标准计划公开。这一格局意味着，标准词元计量规则的制度化存在明确的空位与明确的归口。本书建议按「团体标准先行试用、行业标准衔接过渡、国家标准最终确立」的三步递进推进，其体例可直接借鉴综合能耗计算通则的当量折算传统（国家市场监督管理总局和国家标准化管理委员会，2020）：以基准档位在基准任务集上的一枚词元定义为1标准词元，公示三维权重及其标定方法，规定折算系数的测算规程、复评周期与争议解决程序。</w:t>
      </w:r>
    </w:p>
    <w:p>
      <w:pPr>
        <w:spacing w:line="360" w:lineRule="auto" w:after="0"/>
        <w:ind w:firstLineChars="200" w:firstLine="480"/>
        <w:jc w:val="both"/>
      </w:pPr>
      <w:r>
        <w:rPr>
          <w:rFonts w:ascii="宋体" w:hAnsi="宋体" w:eastAsia="宋体"/>
          <w:sz w:val="24"/>
        </w:rPr>
        <w:t>第二项任务是建立基准任务集与效值认证机制。折算函数的可信度最终取决于三维效值的可测性：算力强度可由推理侧的浮点运算计数与硬件利用日志核验；推理质量需要一套覆盖多任务、多难度、公开可复现的基准任务集，其构建可借鉴大模型整体评测与多任务知识评测的方法学积累（Hendrycks等，2021；Liang等，2022），并辅以模型评判等低成本一致性检验手段（Zheng等，2023）；场景效用则需要由行业侧的任务价值密度调查支撑，其口径应与技改补贴、政策抵扣的场景目录相衔接。认证环节建议采用「企业自评、第三方核验、主管部门抽查、结果公示、定期复评」的组合，并明确效值虚标的责任条款。之所以强调复评，是因为效值系数具有随技术进步而漂移的性质：同一档位模型的算力强度会因推理优化而下降、推理质量会因训练改进而上升，若折算系数长期不更新，标准词元本身便会失去基准意义。这是标准词元与标准煤、二氧化碳当量最重要的差别——后两者的折算系数由稳定的物理化学性质决定，前者的折算系数由持续演进的技术水平决定。</w:t>
      </w:r>
    </w:p>
    <w:p>
      <w:pPr>
        <w:spacing w:line="360" w:lineRule="auto" w:after="0"/>
        <w:ind w:firstLineChars="200" w:firstLine="480"/>
        <w:jc w:val="both"/>
      </w:pPr>
      <w:r>
        <w:rPr>
          <w:rFonts w:ascii="宋体" w:hAnsi="宋体" w:eastAsia="宋体"/>
          <w:sz w:val="24"/>
        </w:rPr>
        <w:t>第三项任务是把标准词元纳入常态化统计。当前的官方口径以日均调用量为主，这是一个物理词元口径的规模指标，可用于反映扩散速度，却无法用于价值加总与效率评价。本书建议实行用量与效值双口径报送：既报送物理词元调用量，也报送按公示折算系数换算的标准词元流量，并按模型档位、应用场景与区域分列。制度载体可依托全国数据资源调查等既有渠道（「国家数据局，2026」），并与数字经济统计与卫星账户的编制方案相衔接（杨仲山和张美慧，2019；许宪春等，2021；蔡跃洲和牛新星，2021）。在会计与资产口径上，企业数据资源相关会计处理的暂行规定已为数据资源的确认与计量提供了先例（财政部，2023），数据资产化的会计确认与价值评估研究亦已积累了可资借鉴的框架（罗玫等，2023）；标准词元作为一种可计量的中间性认知服务流，其支出的归集与摊销规则应尽早研究，否则企业的词元投入将继续以混杂的费用科目沉没在管理费用之中，既不利于微观核算，也不利于宏观测度。</w:t>
      </w:r>
    </w:p>
    <w:p>
      <w:pPr>
        <w:keepNext/>
        <w:spacing w:before="160" w:after="120" w:line="360" w:lineRule="auto"/>
        <w:outlineLvl w:val="2"/>
      </w:pPr>
      <w:r>
        <w:rPr>
          <w:rFonts w:ascii="黑体" w:hAnsi="黑体" w:eastAsia="黑体"/>
          <w:sz w:val="24"/>
        </w:rPr>
        <w:t>14.2.3  定价侧：双指数发布、结构披露与竞争秩序</w:t>
      </w:r>
    </w:p>
    <w:p>
      <w:pPr>
        <w:spacing w:line="360" w:lineRule="auto" w:after="0"/>
        <w:ind w:firstLineChars="200" w:firstLine="480"/>
        <w:jc w:val="both"/>
      </w:pPr>
      <w:r>
        <w:rPr>
          <w:rFonts w:ascii="宋体" w:hAnsi="宋体" w:eastAsia="宋体"/>
          <w:sz w:val="24"/>
        </w:rPr>
        <w:t>定价侧的核心建议是建立词元价格的双轨监测与定期发布制度。具体而言，由行业主管部门委托第三方机构按季度编制并发布物理词元价格指数与标准词元价格指数，同时公布两者的背离幅度与降价来源分解。本书的测算已显示，忽略这一背离将把约53%的质量改进误记为价格让利。双指数发布的意义不仅在于统计准确，更在于为三类政策提供共同的观测基准：普惠成效评估应以标准词元价格指数为准，避免把效值提升记作普惠成果；补贴退坡的节奏应以标准词元价格的下行速度为参照，避免在真实成本尚未下降时过早退出；反垄断审查中对掠夺性定价的判别应以标准词元口径的价格—成本关系为准，避免把高效值模型的正常溢价误判为垄断加价。与之配套，建议要求平台侧披露三层价格结构的口径与构成比例，使成本底价、效值溢价与场景租金的边界可被外部核验。</w:t>
      </w:r>
    </w:p>
    <w:p>
      <w:pPr>
        <w:spacing w:line="360" w:lineRule="auto" w:after="0"/>
        <w:ind w:firstLineChars="200" w:firstLine="480"/>
        <w:jc w:val="both"/>
      </w:pPr>
      <w:r>
        <w:rPr>
          <w:rFonts w:ascii="宋体" w:hAnsi="宋体" w:eastAsia="宋体"/>
          <w:sz w:val="24"/>
        </w:rPr>
        <w:t>第二项建议是把效值虚标治理纳入市场监管的常规议程。本书测得的效值认知偏差0.44与低效值档位过度采购份额27%表明，当前词元市场已具备柠檬市场的典型特征。治理工具的选择应遵循「先信息、后干预」的次序：优先以强制披露与第三方认证降低信息不对称，其次以合同示范文本明确效值承诺与违约责任，只有在披露与认证均告失效时才考虑更强的干预。第三项建议关乎竞争秩序。模型服务市场的集中度正在下降（赫芬达尔指数由0.34降至0.21），但平台型中介的兴起可能在流通环节形成新的集中。多边平台的定价与竞争理论提示，平台的接入规则、数据获取与排他性安排比价格水平本身更具竞争影响（Armstrong，2006；Jullien等，2021；Bergemann和Bonatti，2024），而平台经济反垄断的福利分析亦表明干预须区分效率型集中与排他型集中（顾聪等，2023）。据此，本书建议对城市词元运营中心一类的公共性平台明确其中立义务：统一入口不得转化为排他入口，统一计量不得转化为对特定供给方的隐性倾斜，统一结算不得成为资金沉淀的工具。</w:t>
      </w:r>
    </w:p>
    <w:p>
      <w:pPr>
        <w:keepNext/>
        <w:spacing w:before="160" w:after="120" w:line="360" w:lineRule="auto"/>
        <w:outlineLvl w:val="2"/>
      </w:pPr>
      <w:r>
        <w:rPr>
          <w:rFonts w:ascii="黑体" w:hAnsi="黑体" w:eastAsia="黑体"/>
          <w:sz w:val="24"/>
        </w:rPr>
        <w:t>14.2.4  配置侧：调度效率考核与补贴对象的转向</w:t>
      </w:r>
    </w:p>
    <w:p>
      <w:pPr>
        <w:spacing w:line="360" w:lineRule="auto" w:after="0"/>
        <w:ind w:firstLineChars="200" w:firstLine="480"/>
        <w:jc w:val="both"/>
      </w:pPr>
      <w:r>
        <w:rPr>
          <w:rFonts w:ascii="宋体" w:hAnsi="宋体" w:eastAsia="宋体"/>
          <w:sz w:val="24"/>
        </w:rPr>
        <w:t>配置侧的第一项建议是改造利用率考核的口径。现行考核多以机架上架率、GPU 卡时占用率一类的名义指标为准，而本书的分解表明，名义利用率62%与有效效值利用率38%之间存在24个百分点的缺口，其中匹配损失与效值损失合计19%恰恰是名义指标完全看不见的部分。建议在国家枢纽节点与城市运营中心的考核体系中引入有效效值利用率指标，并以统一调度后的可达水平54%为阶段性目标、以61%为理论上界设定考核区间。需要说明的是，企业自报的智算资源利用率调研值与实测的卡时利用率、机架上架率分属不同统计对象与方法，不可互证，考核口径必须在制度文本中一次性写清。第二项建议是依托国家算力互联互通节点体系推进产能池化。工业和信息化部2026年初部署的「1+M+N」节点体系提出「统一标识、统一标准、统一规则」的运行机制，与全国一体化算力网「联网调度、普惠易用、绿色安全」的总体要求相衔接（「国家发展改革委等，2021」；国家发展改革委等，2023）；本书建议在此机制中明确把标准词元作为跨节点结算与调度的统一计量单位，否则跨节点的算力互通仍将止步于物理连通而无法实现经济意义上的可交易。</w:t>
      </w:r>
    </w:p>
    <w:p>
      <w:pPr>
        <w:spacing w:line="360" w:lineRule="auto" w:after="0"/>
        <w:ind w:firstLineChars="200" w:firstLine="480"/>
        <w:jc w:val="both"/>
      </w:pPr>
      <w:r>
        <w:rPr>
          <w:rFonts w:ascii="宋体" w:hAnsi="宋体" w:eastAsia="宋体"/>
          <w:sz w:val="24"/>
        </w:rPr>
        <w:t xml:space="preserve">第三项建议是补贴对象由建算力转向用词元。演化博弈的结果显示，锁定均衡的成因不是补贴不足，而是企业侧采纳红利未越过临界值 </w:t>
      </w:r>
      <m:oMath>
        <m:sSubSup>
          <m:e>
            <m:r>
              <m:t>R</m:t>
            </m:r>
          </m:e>
          <m:sub>
            <m:r>
              <m:t>F</m:t>
            </m:r>
          </m:sub>
          <m:sup>
            <m:r>
              <m:t>c</m:t>
            </m:r>
          </m:sup>
        </m:sSubSup>
      </m:oMath>
      <w:r>
        <w:rPr>
          <w:rFonts w:ascii="宋体" w:hAnsi="宋体" w:eastAsia="宋体"/>
          <w:sz w:val="24"/>
        </w:rPr>
        <w:t>＝1.55；在此情形下追加供给侧补贴只会强化「平台热、企业冷」的结构。因此，财政资源应更多投向需求侧：把词元采购、模型部署与再训练的投入纳入企业技术改造支持方向，是当前地方实践中最具针对性的工具设计。上海市在软件和信息服务业发展规划中提出「探索将词元、数据治理、大模型部署及再训练等投入，纳入企业技术改造支持方向」（「上海市经济和信息化委员会，2026」），浙江省则在「十五五」规划纲要中部署一体化算力监测调度平台建设（「浙江省人民代表大会，2026」），二者恰好对应需求侧激励与供给侧协调两类工具。在国家层面，「人工智能+」行动已把六大重点行动的融合应用作为主线（国务院，2025），数据要素市场化配置改革亦为词元这一新型中间投入的流通提供了制度环境（蔡跃洲和马文君，2021；熊巧琴和汤珂，2021；「国家数据局等，2023」）。需要提醒的是，需求侧补贴同样存在退坡问题，其退出条件将在14.2.6节以形式化方式给出。</w:t>
      </w:r>
    </w:p>
    <w:p>
      <w:pPr>
        <w:keepNext/>
        <w:spacing w:before="160" w:after="120" w:line="360" w:lineRule="auto"/>
        <w:outlineLvl w:val="2"/>
      </w:pPr>
      <w:r>
        <w:rPr>
          <w:rFonts w:ascii="黑体" w:hAnsi="黑体" w:eastAsia="黑体"/>
          <w:sz w:val="24"/>
        </w:rPr>
        <w:t>14.2.5  绿色与开放：可核证的碳强度与可互认的折算规则</w:t>
      </w:r>
    </w:p>
    <w:p>
      <w:pPr>
        <w:spacing w:line="360" w:lineRule="auto" w:after="0"/>
        <w:ind w:firstLineChars="200" w:firstLine="480"/>
        <w:jc w:val="both"/>
      </w:pPr>
      <w:r>
        <w:rPr>
          <w:rFonts w:ascii="宋体" w:hAnsi="宋体" w:eastAsia="宋体"/>
          <w:sz w:val="24"/>
        </w:rPr>
        <w:t>绿色侧的核心建议是建立以标准词元为功能单位的碳足迹核算规则与绿色词元认证制度。当前的制度基础是清晰的：产品碳足迹量化的国家标准修改采用了国际标准（「ISO，2018」；国家市场监督管理总局和国家标准化管理委员会，2024），碳足迹管理体系的实施方案已提出到2027年制定发布与国际接轨的国家产品碳足迹核算通则标准并出台约100个重点产品核算规则标准（生态环境部等，2024），产品碳足迹核算标准编制工作指引亦已发布（「生态环境部等，2024」）。空缺同样清晰：截至2026年8月，尚未见面向词元的专项碳足迹核算标准发布或立项公开，相关工作目前挂靠在产品碳足迹管理体系与算力中心能效核算之下；国际层面，人工智能系统环境可持续性方面的文件属技术报告性质，不具备认证效力，词元级碳足迹缺乏国际互认的核算规则。本书建议把绿色词元阈值设定为1.0 gCO₂e／千标准词元，并明确其为可核证的准入型阈值而非平均值目标——2026年用量加权平均碳强度为2.263 gCO₂e／千标准词元，全绿电情形下可降至0.171，说明阈值可达但需要绿电比例与服务效率的同步改进。这里必须坚持量纲纪律：每百万标准词元耗电（千瓦时）与电力排放因子（千克二氧化碳每千瓦时）相乘即得每千标准词元的克数，换算系数恰为1，任何脱离该量纲的碳强度数值都不具备可比性。</w:t>
      </w:r>
    </w:p>
    <w:p>
      <w:pPr>
        <w:spacing w:line="360" w:lineRule="auto" w:after="0"/>
        <w:ind w:firstLineChars="200" w:firstLine="480"/>
        <w:jc w:val="both"/>
      </w:pPr>
      <w:r>
        <w:rPr>
          <w:rFonts w:ascii="宋体" w:hAnsi="宋体" w:eastAsia="宋体"/>
          <w:sz w:val="24"/>
        </w:rPr>
        <w:t>实现路径上，绿色词元认证应与既有的绿电制度衔接而非另起炉灶。绿电直连的有关规定已明确新能源不接入公共电网、经直连线路向单一电力用户供给并实现电量清晰物理溯源的模式，2026年进一步扩展至多用户绿电直连；可再生能源电力消纳责任权重的下达则已把国家枢纽节点新建数据中心的绿色电力消费比例纳入考核条款；国家数据局亦提出力争实现国家枢纽节点新建数据中心绿电占比达到八成的目标，并在若干枢纽节点部署算电协同先行先试；算力与电力协同发展的技术路径与经济可行性亦已有系统评估（中国信息通信研究院，2025）。本书建议以绿证与绿电交易凭证为溯源基础（国家发展改革委等，2023b；国家发展改革委和国家能源局，2025），按模型档位与运行时段核算碳强度，形成可随词元服务一并交付的碳足迹凭证；技术上可借助内容溯源与水印方法确保凭证与实际调用记录的绑定（Kirchenbauer等，2023；Dathathri等，2024），制度上应与生成式人工智能服务与深度合成的合规要求相衔接（「国家互联网信息办公室等，2022」；国家互联网信息办公室等，2023）。需要提请注意的是，绿证核发量与交易量是两个独立指标，且现行温室气体核算规则允许绿证与用电量按年匹配，而国际规则修订正朝更细颗粒度的时空匹配方向推进，据此作出的绿电声明存在时效风险，绿色词元凭证的设计宜预留时空匹配的接口。</w:t>
      </w:r>
    </w:p>
    <w:p>
      <w:pPr>
        <w:spacing w:line="360" w:lineRule="auto" w:after="0"/>
        <w:ind w:firstLineChars="200" w:firstLine="480"/>
        <w:jc w:val="both"/>
      </w:pPr>
      <w:r>
        <w:rPr>
          <w:rFonts w:ascii="宋体" w:hAnsi="宋体" w:eastAsia="宋体"/>
          <w:sz w:val="24"/>
        </w:rPr>
        <w:t>开放侧的建议围绕跨境互认展开。就现行规则而言，欧盟碳边境调节机制的确定期自2026年1月1日起实施、证书清缴自2027年2月起适用，其覆盖行业为水泥、钢铁、铝、化肥、电力与氢，并不包含数字服务、软件或人工智能服务（「European Parliament和Council，2023」）。因此，「词元出海」目前并不直接面临碳边境调节的申报义务，但两条间接渠道值得预置：其一，若词元服务以嵌入实体产品的形式出口，其隐含排放可能进入产品碳足迹的核算边界；其二，若跨境算力协作以电力项下的形态出现，则须关注电力类别的核算要求。本书测得出海导向企业对绿色词元的支付意愿溢价系数为0.083（标准误0.021，观测数612），说明市场已先于监管形成了对可核证低碳词元的定价，这为我国以标准输出参与国际规则塑造提供了窗口。建议以标准词元折算规则与绿色词元碳足迹凭证为抓手，在双边与多边框架下推动互认，其制度逻辑与绿色金融统计标准的国际比较经验相通（陈丹丹等，2025），也与碳市场机制设计中「先统一计量、后统一交易」的次序一致（张希良等，2021；张希良等，2022；蓝虹和杜彦霖，2024）。</w:t>
      </w:r>
    </w:p>
    <w:p>
      <w:pPr>
        <w:keepNext/>
        <w:spacing w:before="160" w:after="120" w:line="360" w:lineRule="auto"/>
        <w:outlineLvl w:val="2"/>
      </w:pPr>
      <w:r>
        <w:rPr>
          <w:rFonts w:ascii="黑体" w:hAnsi="黑体" w:eastAsia="黑体"/>
          <w:sz w:val="24"/>
        </w:rPr>
        <w:t>14.2.6  补贴的退出条件、实施时序与政策清单</w:t>
      </w:r>
    </w:p>
    <w:p>
      <w:pPr>
        <w:spacing w:line="360" w:lineRule="auto" w:after="0"/>
        <w:ind w:firstLineChars="200" w:firstLine="480"/>
        <w:jc w:val="both"/>
      </w:pPr>
      <w:r>
        <w:rPr>
          <w:rFonts w:ascii="宋体" w:hAnsi="宋体" w:eastAsia="宋体"/>
          <w:sz w:val="24"/>
        </w:rPr>
        <w:t xml:space="preserve">前述建议中，唯有补贴涉及明确的退出问题：补贴过早退出会使系统回落至锁定均衡，过晚退出则造成财政负担与激励扭曲。本书据第10章的演化博弈结果给出一个可操作的退出规则。设政府的强激励强度为 </w:t>
      </w:r>
      <m:oMath>
        <m:sSub>
          <m:e>
            <m:r>
              <m:t>s</m:t>
            </m:r>
          </m:e>
          <m:sub>
            <m:r>
              <m:t>t</m:t>
            </m:r>
          </m:sub>
        </m:sSub>
      </m:oMath>
      <w:r>
        <w:rPr>
          <w:rFonts w:ascii="宋体" w:hAnsi="宋体" w:eastAsia="宋体"/>
          <w:sz w:val="24"/>
        </w:rPr>
        <w:t xml:space="preserve">、上限为 </w:t>
      </w:r>
      <m:oMath>
        <m:acc>
          <m:accPr>
            <m:chr m:val="‾"/>
          </m:accPr>
          <m:e>
            <m:r>
              <m:t>s</m:t>
            </m:r>
          </m:e>
        </m:acc>
      </m:oMath>
      <w:r>
        <w:rPr>
          <w:rFonts w:ascii="宋体" w:hAnsi="宋体" w:eastAsia="宋体"/>
          <w:sz w:val="24"/>
        </w:rPr>
        <w:t xml:space="preserve">，企业深度采纳的净红利随平台建设水平 </w:t>
      </w:r>
      <m:oMath>
        <m:sSub>
          <m:e>
            <m:r>
              <m:t>x</m:t>
            </m:r>
          </m:e>
          <m:sub>
            <m:r>
              <m:t>t</m:t>
            </m:r>
          </m:sub>
        </m:sSub>
      </m:oMath>
      <w:r>
        <w:rPr>
          <w:rFonts w:ascii="宋体" w:hAnsi="宋体" w:eastAsia="宋体"/>
          <w:sz w:val="24"/>
        </w:rPr>
        <w:t xml:space="preserve"> 与同侪采纳规模 </w:t>
      </w:r>
      <m:oMath>
        <m:sSub>
          <m:e>
            <m:r>
              <m:t>y</m:t>
            </m:r>
          </m:e>
          <m:sub>
            <m:r>
              <m:t>t</m:t>
            </m:r>
          </m:sub>
        </m:sSub>
      </m:oMath>
      <w:r>
        <w:rPr>
          <w:rFonts w:ascii="宋体" w:hAnsi="宋体" w:eastAsia="宋体"/>
          <w:sz w:val="24"/>
        </w:rPr>
        <w:t xml:space="preserve"> 递增，</w:t>
      </w:r>
      <m:oMath>
        <m:r>
          <m:t>τ</m:t>
        </m:r>
      </m:oMath>
      <w:r>
        <w:rPr>
          <w:rFonts w:ascii="宋体" w:hAnsi="宋体" w:eastAsia="宋体"/>
          <w:sz w:val="24"/>
        </w:rPr>
        <w:t xml:space="preserve"> 为统一入口与统一计量带来的交易费用节约、</w:t>
      </w:r>
      <m:oMath>
        <m:r>
          <m:rPr>
            <m:sty m:val="p"/>
          </m:rPr>
          <m:t>𝜍</m:t>
        </m:r>
      </m:oMath>
      <w:r>
        <w:rPr>
          <w:rFonts w:ascii="宋体" w:hAnsi="宋体" w:eastAsia="宋体"/>
          <w:sz w:val="24"/>
        </w:rPr>
        <w:t xml:space="preserve"> 为网络外部性强度，</w:t>
      </w:r>
      <m:oMath>
        <m:sSubSup>
          <m:e>
            <m:r>
              <m:t>R</m:t>
            </m:r>
          </m:e>
          <m:sub>
            <m:r>
              <m:t>F</m:t>
            </m:r>
          </m:sub>
          <m:sup>
            <m:r>
              <m:rPr>
                <m:sty m:val="p"/>
              </m:rPr>
              <m:t>s</m:t>
            </m:r>
            <m:r>
              <m:rPr>
                <m:sty m:val="p"/>
              </m:rPr>
              <m:t>s</m:t>
            </m:r>
          </m:sup>
        </m:sSubSup>
      </m:oMath>
      <w:r>
        <w:rPr>
          <w:rFonts w:ascii="宋体" w:hAnsi="宋体" w:eastAsia="宋体"/>
          <w:sz w:val="24"/>
        </w:rPr>
        <w:t xml:space="preserve"> 为补贴退出后融合稳态自我维持所需的临界红利，则退出规则与退出时点可写作：</w:t>
      </w:r>
    </w:p>
    <w:p>
      <w:pPr>
        <w:tabs>
          <w:tab w:pos="4252" w:val="center"/>
          <w:tab w:pos="8504" w:val="right"/>
        </w:tabs>
        <w:spacing w:line="360" w:lineRule="auto" w:before="80" w:after="80"/>
      </w:pPr>
      <w:r>
        <w:tab/>
      </w:r>
      <m:oMath>
        <m:sSub>
          <m:e>
            <m:r>
              <m:t>s</m:t>
            </m:r>
          </m:e>
          <m:sub>
            <m:r>
              <m:t>t</m:t>
            </m:r>
          </m:sub>
        </m:sSub>
        <m:r>
          <m:rPr>
            <m:sty m:val="p"/>
          </m:rPr>
          <m:t>=</m:t>
        </m:r>
        <m:acc>
          <m:accPr>
            <m:chr m:val="‾"/>
          </m:accPr>
          <m:e>
            <m:r>
              <m:t>s</m:t>
            </m:r>
          </m:e>
        </m:acc>
        <m:r>
          <m:rPr>
            <m:sty m:val="p"/>
          </m:rPr>
          <m:t>⋅</m:t>
        </m:r>
        <m:r>
          <m:rPr>
            <m:sty m:val="b"/>
          </m:rPr>
          <m:t>1</m:t>
        </m:r>
        <m:r>
          <m:rPr>
            <m:sty m:val="p"/>
          </m:rPr>
          <m:t>{</m:t>
        </m:r>
        <m:sSub>
          <m:e>
            <m:r>
              <m:t>R</m:t>
            </m:r>
          </m:e>
          <m:sub>
            <m:r>
              <m:t>F</m:t>
            </m:r>
          </m:sub>
        </m:sSub>
        <m:d>
          <m:dPr>
            <m:begChr m:val="("/>
            <m:endChr m:val=")"/>
            <m:grow/>
          </m:dPr>
          <m:e>
            <m:sSub>
              <m:e>
                <m:r>
                  <m:t>x</m:t>
                </m:r>
              </m:e>
              <m:sub>
                <m:r>
                  <m:t>t</m:t>
                </m:r>
              </m:sub>
            </m:sSub>
            <m:r>
              <m:rPr>
                <m:sty m:val="p"/>
              </m:rPr>
              <m:t>,</m:t>
            </m:r>
            <m:sSub>
              <m:e>
                <m:r>
                  <m:t>y</m:t>
                </m:r>
              </m:e>
              <m:sub>
                <m:r>
                  <m:t>t</m:t>
                </m:r>
              </m:sub>
            </m:sSub>
          </m:e>
        </m:d>
        <m:r>
          <m:rPr>
            <m:sty m:val="p"/>
          </m:rPr>
          <m:t>&lt;</m:t>
        </m:r>
        <m:sSubSup>
          <m:e>
            <m:r>
              <m:t>R</m:t>
            </m:r>
          </m:e>
          <m:sub>
            <m:r>
              <m:t>F</m:t>
            </m:r>
          </m:sub>
          <m:sup>
            <m:r>
              <m:rPr>
                <m:sty m:val="p"/>
              </m:rPr>
              <m:t>s</m:t>
            </m:r>
            <m:r>
              <m:rPr>
                <m:sty m:val="p"/>
              </m:rPr>
              <m:t>s</m:t>
            </m:r>
          </m:sup>
        </m:sSubSup>
        <m:r>
          <m:rPr>
            <m:sty m:val="p"/>
          </m:rPr>
          <m:t>}</m:t>
        </m:r>
        <m:r>
          <m:rPr>
            <m:sty m:val="p"/>
          </m:rPr>
          <m:t>,</m:t>
        </m:r>
        <m:r>
          <m:t> </m:t>
        </m:r>
        <m:sSub>
          <m:e>
            <m:r>
              <m:t>R</m:t>
            </m:r>
          </m:e>
          <m:sub>
            <m:r>
              <m:t>F</m:t>
            </m:r>
          </m:sub>
        </m:sSub>
        <m:d>
          <m:dPr>
            <m:begChr m:val="("/>
            <m:endChr m:val=")"/>
            <m:grow/>
          </m:dPr>
          <m:e>
            <m:sSub>
              <m:e>
                <m:r>
                  <m:t>x</m:t>
                </m:r>
              </m:e>
              <m:sub>
                <m:r>
                  <m:t>t</m:t>
                </m:r>
              </m:sub>
            </m:sSub>
            <m:r>
              <m:rPr>
                <m:sty m:val="p"/>
              </m:rPr>
              <m:t>,</m:t>
            </m:r>
            <m:sSub>
              <m:e>
                <m:r>
                  <m:t>y</m:t>
                </m:r>
              </m:e>
              <m:sub>
                <m:r>
                  <m:t>t</m:t>
                </m:r>
              </m:sub>
            </m:sSub>
          </m:e>
        </m:d>
        <m:r>
          <m:rPr>
            <m:sty m:val="p"/>
          </m:rPr>
          <m:t>=</m:t>
        </m:r>
        <m:sSubSup>
          <m:e>
            <m:r>
              <m:t>R</m:t>
            </m:r>
          </m:e>
          <m:sub>
            <m:r>
              <m:t>F</m:t>
            </m:r>
          </m:sub>
          <m:sup>
            <m:r>
              <m:t>0</m:t>
            </m:r>
          </m:sup>
        </m:sSubSup>
        <m:r>
          <m:rPr>
            <m:sty m:val="p"/>
          </m:rPr>
          <m:t>+</m:t>
        </m:r>
        <m:r>
          <m:t>τ</m:t>
        </m:r>
        <m:sSub>
          <m:e>
            <m:r>
              <m:t>x</m:t>
            </m:r>
          </m:e>
          <m:sub>
            <m:r>
              <m:t>t</m:t>
            </m:r>
          </m:sub>
        </m:sSub>
        <m:r>
          <m:rPr>
            <m:sty m:val="p"/>
          </m:rPr>
          <m:t>+</m:t>
        </m:r>
        <m:r>
          <m:rPr>
            <m:sty m:val="p"/>
          </m:rPr>
          <m:t>𝜍</m:t>
        </m:r>
        <m:sSub>
          <m:e>
            <m:r>
              <m:t>y</m:t>
            </m:r>
          </m:e>
          <m:sub>
            <m:r>
              <m:t>t</m:t>
            </m:r>
          </m:sub>
        </m:sSub>
        <m:r>
          <m:rPr>
            <m:sty m:val="p"/>
          </m:rPr>
          <m:t>,</m:t>
        </m:r>
        <m:r>
          <m:t> </m:t>
        </m:r>
        <m:sSup>
          <m:e>
            <m:r>
              <m:t>t</m:t>
            </m:r>
          </m:e>
          <m:sup>
            <m:r>
              <m:rPr>
                <m:sty m:val="p"/>
              </m:rPr>
              <m:t>∗</m:t>
            </m:r>
          </m:sup>
        </m:sSup>
        <m:r>
          <m:rPr>
            <m:sty m:val="p"/>
          </m:rPr>
          <m:t>=</m:t>
        </m:r>
        <m:r>
          <m:rPr>
            <m:sty m:val="p"/>
          </m:rPr>
          <m:t>inf</m:t>
        </m:r>
        <m:r>
          <m:rPr>
            <m:sty m:val="p"/>
          </m:rPr>
          <m:t>{</m:t>
        </m:r>
        <m:r>
          <m:t>t</m:t>
        </m:r>
        <m:r>
          <m:rPr>
            <m:sty m:val="p"/>
          </m:rPr>
          <m:t>≥</m:t>
        </m:r>
        <m:r>
          <m:t>0</m:t>
        </m:r>
        <m:r>
          <m:rPr>
            <m:sty m:val="p"/>
          </m:rPr>
          <m:t>:</m:t>
        </m:r>
        <m:sSub>
          <m:e>
            <m:r>
              <m:t>R</m:t>
            </m:r>
          </m:e>
          <m:sub>
            <m:r>
              <m:t>F</m:t>
            </m:r>
          </m:sub>
        </m:sSub>
        <m:d>
          <m:dPr>
            <m:begChr m:val="("/>
            <m:endChr m:val=")"/>
            <m:grow/>
          </m:dPr>
          <m:e>
            <m:sSub>
              <m:e>
                <m:r>
                  <m:t>x</m:t>
                </m:r>
              </m:e>
              <m:sub>
                <m:r>
                  <m:t>t</m:t>
                </m:r>
              </m:sub>
            </m:sSub>
            <m:r>
              <m:rPr>
                <m:sty m:val="p"/>
              </m:rPr>
              <m:t>,</m:t>
            </m:r>
            <m:sSub>
              <m:e>
                <m:r>
                  <m:t>y</m:t>
                </m:r>
              </m:e>
              <m:sub>
                <m:r>
                  <m:t>t</m:t>
                </m:r>
              </m:sub>
            </m:sSub>
          </m:e>
        </m:d>
        <m:r>
          <m:rPr>
            <m:sty m:val="p"/>
          </m:rPr>
          <m:t>≥</m:t>
        </m:r>
        <m:sSubSup>
          <m:e>
            <m:r>
              <m:t>R</m:t>
            </m:r>
          </m:e>
          <m:sub>
            <m:r>
              <m:t>F</m:t>
            </m:r>
          </m:sub>
          <m:sup>
            <m:r>
              <m:rPr>
                <m:sty m:val="p"/>
              </m:rPr>
              <m:t>s</m:t>
            </m:r>
            <m:r>
              <m:rPr>
                <m:sty m:val="p"/>
              </m:rPr>
              <m:t>s</m:t>
            </m:r>
          </m:sup>
        </m:sSubSup>
        <m:r>
          <m:rPr>
            <m:sty m:val="p"/>
          </m:rPr>
          <m:t>}</m:t>
        </m:r>
      </m:oMath>
      <w:r>
        <w:tab/>
      </w:r>
      <w:r>
        <w:rPr>
          <w:rFonts w:ascii="Times New Roman" w:hAnsi="Times New Roman" w:eastAsia="宋体"/>
          <w:sz w:val="24"/>
        </w:rPr>
        <w:t>(14-3)</w:t>
      </w:r>
    </w:p>
    <w:p>
      <w:pPr>
        <w:spacing w:line="360" w:lineRule="auto" w:after="0"/>
        <w:jc w:val="both"/>
      </w:pPr>
      <w:r>
        <w:rPr>
          <w:rFonts w:ascii="宋体" w:hAnsi="宋体" w:eastAsia="宋体"/>
          <w:sz w:val="24"/>
        </w:rPr>
        <w:t>其中，</w:t>
      </w:r>
      <m:oMath>
        <m:r>
          <m:rPr>
            <m:sty m:val="b"/>
          </m:rPr>
          <m:t>1</m:t>
        </m:r>
        <m:r>
          <m:rPr>
            <m:sty m:val="p"/>
          </m:rPr>
          <m:t>{</m:t>
        </m:r>
        <m:r>
          <m:rPr>
            <m:sty m:val="p"/>
          </m:rPr>
          <m:t>⋅</m:t>
        </m:r>
        <m:r>
          <m:rPr>
            <m:sty m:val="p"/>
          </m:rPr>
          <m:t>}</m:t>
        </m:r>
      </m:oMath>
      <w:r>
        <w:rPr>
          <w:rFonts w:ascii="宋体" w:hAnsi="宋体" w:eastAsia="宋体"/>
          <w:sz w:val="24"/>
        </w:rPr>
        <w:t xml:space="preserve"> 为示性函数，</w:t>
      </w:r>
      <m:oMath>
        <m:sSubSup>
          <m:e>
            <m:r>
              <m:t>R</m:t>
            </m:r>
          </m:e>
          <m:sub>
            <m:r>
              <m:t>F</m:t>
            </m:r>
          </m:sub>
          <m:sup>
            <m:r>
              <m:t>0</m:t>
            </m:r>
          </m:sup>
        </m:sSubSup>
      </m:oMath>
      <w:r>
        <w:rPr>
          <w:rFonts w:ascii="宋体" w:hAnsi="宋体" w:eastAsia="宋体"/>
          <w:sz w:val="24"/>
        </w:rPr>
        <w:t xml:space="preserve"> 为无平台建设与无同侪效应时的基准红利，</w:t>
      </w:r>
      <m:oMath>
        <m:sSup>
          <m:e>
            <m:r>
              <m:t>t</m:t>
            </m:r>
          </m:e>
          <m:sup>
            <m:r>
              <m:rPr>
                <m:sty m:val="p"/>
              </m:rPr>
              <m:t>∗</m:t>
            </m:r>
          </m:sup>
        </m:sSup>
      </m:oMath>
      <w:r>
        <w:rPr>
          <w:rFonts w:ascii="宋体" w:hAnsi="宋体" w:eastAsia="宋体"/>
          <w:sz w:val="24"/>
        </w:rPr>
        <w:t xml:space="preserve"> 为满足自维持条件的最早时点，即补贴的退出时点。</w:t>
      </w:r>
    </w:p>
    <w:p>
      <w:pPr>
        <w:spacing w:line="360" w:lineRule="auto" w:after="0"/>
        <w:ind w:firstLineChars="200" w:firstLine="480"/>
        <w:jc w:val="both"/>
      </w:pPr>
      <w:r>
        <w:rPr>
          <w:rFonts w:ascii="宋体" w:hAnsi="宋体" w:eastAsia="宋体"/>
          <w:sz w:val="24"/>
        </w:rPr>
        <w:t xml:space="preserve">由式(14-3)可得三条推论。推论一是退出的充分条件而非时间条件：补贴应在红利越过 </w:t>
      </w:r>
      <m:oMath>
        <m:sSubSup>
          <m:e>
            <m:r>
              <m:t>R</m:t>
            </m:r>
          </m:e>
          <m:sub>
            <m:r>
              <m:t>F</m:t>
            </m:r>
          </m:sub>
          <m:sup>
            <m:r>
              <m:rPr>
                <m:sty m:val="p"/>
              </m:rPr>
              <m:t>s</m:t>
            </m:r>
            <m:r>
              <m:rPr>
                <m:sty m:val="p"/>
              </m:rPr>
              <m:t>s</m:t>
            </m:r>
          </m:sup>
        </m:sSubSup>
      </m:oMath>
      <w:r>
        <w:rPr>
          <w:rFonts w:ascii="宋体" w:hAnsi="宋体" w:eastAsia="宋体"/>
          <w:sz w:val="24"/>
        </w:rPr>
        <w:t xml:space="preserve">＝1.80时退出，而不应按预设年限退出；本书标定的临界红利 </w:t>
      </w:r>
      <m:oMath>
        <m:sSubSup>
          <m:e>
            <m:r>
              <m:t>R</m:t>
            </m:r>
          </m:e>
          <m:sub>
            <m:r>
              <m:t>F</m:t>
            </m:r>
          </m:sub>
          <m:sup>
            <m:r>
              <m:t>c</m:t>
            </m:r>
          </m:sup>
        </m:sSubSup>
      </m:oMath>
      <w:r>
        <w:rPr>
          <w:rFonts w:ascii="宋体" w:hAnsi="宋体" w:eastAsia="宋体"/>
          <w:sz w:val="24"/>
        </w:rPr>
        <w:t xml:space="preserve">＝1.55只是采纳成为演化稳定策略的门槛，自维持条件要求更高的1.80，比基准红利高出20%，二者不可混用。推论二是财政支出的上界：总补贴支出约为 </w:t>
      </w:r>
      <m:oMath>
        <m:acc>
          <m:accPr>
            <m:chr m:val="‾"/>
          </m:accPr>
          <m:e>
            <m:r>
              <m:t>s</m:t>
            </m:r>
          </m:e>
        </m:acc>
        <m:sSup>
          <m:e>
            <m:r>
              <m:t>t</m:t>
            </m:r>
          </m:e>
          <m:sup>
            <m:r>
              <m:rPr>
                <m:sty m:val="p"/>
              </m:rPr>
              <m:t>∗</m:t>
            </m:r>
          </m:sup>
        </m:sSup>
      </m:oMath>
      <w:r>
        <w:rPr>
          <w:rFonts w:ascii="宋体" w:hAnsi="宋体" w:eastAsia="宋体"/>
          <w:sz w:val="24"/>
        </w:rPr>
        <w:t xml:space="preserve">，而 </w:t>
      </w:r>
      <m:oMath>
        <m:sSup>
          <m:e>
            <m:r>
              <m:t>t</m:t>
            </m:r>
          </m:e>
          <m:sup>
            <m:r>
              <m:rPr>
                <m:sty m:val="p"/>
              </m:rPr>
              <m:t>∗</m:t>
            </m:r>
          </m:sup>
        </m:sSup>
      </m:oMath>
      <w:r>
        <w:rPr>
          <w:rFonts w:ascii="宋体" w:hAnsi="宋体" w:eastAsia="宋体"/>
          <w:sz w:val="24"/>
        </w:rPr>
        <w:t xml:space="preserve"> 对 </w:t>
      </w:r>
      <m:oMath>
        <m:r>
          <m:t>τ</m:t>
        </m:r>
      </m:oMath>
      <w:r>
        <w:rPr>
          <w:rFonts w:ascii="宋体" w:hAnsi="宋体" w:eastAsia="宋体"/>
          <w:sz w:val="24"/>
        </w:rPr>
        <w:t xml:space="preserve"> 与 </w:t>
      </w:r>
      <m:oMath>
        <m:r>
          <m:rPr>
            <m:sty m:val="p"/>
          </m:rPr>
          <m:t>𝜍</m:t>
        </m:r>
      </m:oMath>
      <w:r>
        <w:rPr>
          <w:rFonts w:ascii="宋体" w:hAnsi="宋体" w:eastAsia="宋体"/>
          <w:sz w:val="24"/>
        </w:rPr>
        <w:t xml:space="preserve"> 严格递减，这意味着提高交易费用节约与加快同侪扩散可直接压缩财政成本——本书情景测算中，仅通过统一接入降低企业采纳成本，收敛期便由41.7期缩短至23.5期，降幅44%，对应的财政节约同比例发生。推论三是时间一致性要求：退出规则必须事前公布并可被企业验证，否则企业会预期补贴长期存在而推迟自主投入，使 </w:t>
      </w:r>
      <m:oMath>
        <m:sSub>
          <m:e>
            <m:r>
              <m:t>y</m:t>
            </m:r>
          </m:e>
          <m:sub>
            <m:r>
              <m:t>t</m:t>
            </m:r>
          </m:sub>
        </m:sSub>
      </m:oMath>
      <w:r>
        <w:rPr>
          <w:rFonts w:ascii="宋体" w:hAnsi="宋体" w:eastAsia="宋体"/>
          <w:sz w:val="24"/>
        </w:rPr>
        <w:t xml:space="preserve"> 的上升被人为延后，反而推高 </w:t>
      </w:r>
      <m:oMath>
        <m:sSup>
          <m:e>
            <m:r>
              <m:t>t</m:t>
            </m:r>
          </m:e>
          <m:sup>
            <m:r>
              <m:rPr>
                <m:sty m:val="p"/>
              </m:rPr>
              <m:t>∗</m:t>
            </m:r>
          </m:sup>
        </m:sSup>
      </m:oMath>
      <w:r>
        <w:rPr>
          <w:rFonts w:ascii="宋体" w:hAnsi="宋体" w:eastAsia="宋体"/>
          <w:sz w:val="24"/>
        </w:rPr>
        <w:t>。据此，本书建议地方在设立词元补贴时同步公布退出的触发指标（如本地企业深度采纳率、标准词元采购中付费部分占比）与核验方式，把补贴从行政裁量事项转变为规则约束事项。</w:t>
      </w:r>
    </w:p>
    <w:p>
      <w:pPr>
        <w:spacing w:line="360" w:lineRule="auto" w:after="0"/>
        <w:ind w:firstLineChars="200" w:firstLine="480"/>
        <w:jc w:val="both"/>
      </w:pPr>
      <w:r>
        <w:rPr>
          <w:rFonts w:ascii="宋体" w:hAnsi="宋体" w:eastAsia="宋体"/>
          <w:sz w:val="24"/>
        </w:rPr>
        <w:t>综合14.2.1至14.2.6节的分析，本书把政策建议整理为覆盖计量、定价、配置、绿色与开放五个方面的清单，并标注各条建议对应的关键量化指标、制度抓手与建议时序，见表14.1。</w:t>
      </w:r>
    </w:p>
    <w:p>
      <w:pPr>
        <w:keepNext/>
        <w:spacing w:before="160" w:after="40"/>
        <w:jc w:val="center"/>
      </w:pPr>
      <w:r>
        <w:rPr>
          <w:rFonts w:ascii="黑体" w:hAnsi="黑体" w:eastAsia="黑体"/>
          <w:sz w:val="21"/>
        </w:rPr>
        <w:t>表14.1  词元经济政策建议清单及其量化基准</w:t>
      </w:r>
    </w:p>
    <w:tbl>
      <w:tblPr>
        <w:tblW w:type="auto" w:w="0"/>
        <w:jc w:val="center"/>
        <w:tblBorders>
          <w:top w:val="single" w:sz="12" w:color="000000"/>
          <w:left w:val="none"/>
          <w:bottom w:val="single" w:sz="12" w:color="000000"/>
          <w:right w:val="none"/>
          <w:insideH w:val="none"/>
          <w:insideV w:val="none"/>
        </w:tblBorders>
        <w:tblLayout w:type="autofit"/>
        <w:tblLook w:firstColumn="1" w:firstRow="1" w:lastColumn="0" w:lastRow="0" w:noHBand="0" w:noVBand="1" w:val="04A0"/>
      </w:tblPr>
      <w:tblGrid>
        <w:gridCol w:w="1701"/>
        <w:gridCol w:w="1701"/>
        <w:gridCol w:w="1701"/>
        <w:gridCol w:w="1701"/>
        <w:gridCol w:w="1701"/>
      </w:tblGrid>
      <w:tr>
        <w:tc>
          <w:tcPr>
            <w:tcW w:type="dxa" w:w="1701"/>
            <w:tcBorders>
              <w:bottom w:val="single" w:sz="6" w:color="000000"/>
            </w:tcBorders>
            <w:vAlign w:val="center"/>
          </w:tcPr>
          <w:p>
            <w:pPr>
              <w:spacing w:line="240" w:lineRule="auto" w:after="20" w:before="20"/>
              <w:jc w:val="center"/>
            </w:pPr>
            <w:r/>
            <w:r>
              <w:rPr>
                <w:rFonts w:ascii="宋体" w:hAnsi="宋体" w:eastAsia="宋体"/>
                <w:b/>
                <w:sz w:val="21"/>
              </w:rPr>
              <w:t>政策侧</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建议条目</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关键量化基准</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制度抓手</w:t>
            </w:r>
          </w:p>
        </w:tc>
        <w:tc>
          <w:tcPr>
            <w:tcW w:type="dxa" w:w="1701"/>
            <w:tcBorders>
              <w:bottom w:val="single" w:sz="6" w:color="000000"/>
            </w:tcBorders>
            <w:vAlign w:val="center"/>
          </w:tcPr>
          <w:p>
            <w:pPr>
              <w:spacing w:line="240" w:lineRule="auto" w:after="20" w:before="20"/>
              <w:jc w:val="center"/>
            </w:pPr>
            <w:r/>
            <w:r>
              <w:rPr>
                <w:rFonts w:ascii="宋体" w:hAnsi="宋体" w:eastAsia="宋体"/>
                <w:b/>
                <w:sz w:val="21"/>
              </w:rPr>
              <w:t>建议时序</w:t>
            </w:r>
          </w:p>
        </w:tc>
      </w:tr>
      <w:tr>
        <w:tc>
          <w:tcPr>
            <w:tcW w:type="dxa" w:w="1701"/>
            <w:vAlign w:val="center"/>
          </w:tcPr>
          <w:p>
            <w:pPr>
              <w:spacing w:line="240" w:lineRule="auto" w:after="20" w:before="20"/>
              <w:jc w:val="center"/>
            </w:pPr>
            <w:r/>
            <w:r>
              <w:rPr>
                <w:rFonts w:ascii="宋体" w:hAnsi="宋体" w:eastAsia="宋体"/>
                <w:sz w:val="21"/>
              </w:rPr>
              <w:t>计量侧</w:t>
            </w:r>
          </w:p>
        </w:tc>
        <w:tc>
          <w:tcPr>
            <w:tcW w:type="dxa" w:w="1701"/>
            <w:vAlign w:val="center"/>
          </w:tcPr>
          <w:p>
            <w:pPr>
              <w:spacing w:line="240" w:lineRule="auto" w:after="20" w:before="20"/>
              <w:jc w:val="left"/>
            </w:pPr>
            <w:r/>
            <w:r>
              <w:rPr>
                <w:rFonts w:ascii="宋体" w:hAnsi="宋体" w:eastAsia="宋体"/>
                <w:sz w:val="21"/>
              </w:rPr>
              <w:t>制定标准词元计量标准并公示折算规则</w:t>
            </w:r>
          </w:p>
        </w:tc>
        <w:tc>
          <w:tcPr>
            <w:tcW w:type="dxa" w:w="1701"/>
            <w:vAlign w:val="center"/>
          </w:tcPr>
          <w:p>
            <w:pPr>
              <w:spacing w:line="240" w:lineRule="auto" w:after="20" w:before="20"/>
              <w:jc w:val="left"/>
            </w:pPr>
            <w:r/>
            <w:r>
              <w:rPr>
                <w:rFonts w:ascii="宋体" w:hAnsi="宋体" w:eastAsia="宋体"/>
                <w:sz w:val="21"/>
              </w:rPr>
              <w:t>权重 0.438／0.296／0.265，拟合 R²＝0.9996</w:t>
            </w:r>
          </w:p>
        </w:tc>
        <w:tc>
          <w:tcPr>
            <w:tcW w:type="dxa" w:w="1701"/>
            <w:vAlign w:val="center"/>
          </w:tcPr>
          <w:p>
            <w:pPr>
              <w:spacing w:line="240" w:lineRule="auto" w:after="20" w:before="20"/>
              <w:jc w:val="left"/>
            </w:pPr>
            <w:r/>
            <w:r>
              <w:rPr>
                <w:rFonts w:ascii="宋体" w:hAnsi="宋体" w:eastAsia="宋体"/>
                <w:sz w:val="21"/>
              </w:rPr>
              <w:t>团体标准试用—行业标准过渡—国家标准确立</w:t>
            </w:r>
          </w:p>
        </w:tc>
        <w:tc>
          <w:tcPr>
            <w:tcW w:type="dxa" w:w="1701"/>
            <w:vAlign w:val="center"/>
          </w:tcPr>
          <w:p>
            <w:pPr>
              <w:spacing w:line="240" w:lineRule="auto" w:after="20" w:before="20"/>
              <w:jc w:val="center"/>
            </w:pPr>
            <w:r/>
            <w:r>
              <w:rPr>
                <w:rFonts w:ascii="宋体" w:hAnsi="宋体" w:eastAsia="宋体"/>
                <w:sz w:val="21"/>
              </w:rPr>
              <w:t>近期启动、中期发布</w:t>
            </w:r>
          </w:p>
        </w:tc>
      </w:tr>
      <w:tr>
        <w:tc>
          <w:tcPr>
            <w:tcW w:type="dxa" w:w="1701"/>
            <w:vAlign w:val="center"/>
          </w:tcPr>
          <w:p>
            <w:pPr>
              <w:spacing w:line="240" w:lineRule="auto" w:after="20" w:before="20"/>
              <w:jc w:val="center"/>
            </w:pPr>
            <w:r/>
            <w:r>
              <w:rPr>
                <w:rFonts w:ascii="宋体" w:hAnsi="宋体" w:eastAsia="宋体"/>
                <w:sz w:val="21"/>
              </w:rPr>
              <w:t>计量侧</w:t>
            </w:r>
          </w:p>
        </w:tc>
        <w:tc>
          <w:tcPr>
            <w:tcW w:type="dxa" w:w="1701"/>
            <w:vAlign w:val="center"/>
          </w:tcPr>
          <w:p>
            <w:pPr>
              <w:spacing w:line="240" w:lineRule="auto" w:after="20" w:before="20"/>
              <w:jc w:val="left"/>
            </w:pPr>
            <w:r/>
            <w:r>
              <w:rPr>
                <w:rFonts w:ascii="宋体" w:hAnsi="宋体" w:eastAsia="宋体"/>
                <w:sz w:val="21"/>
              </w:rPr>
              <w:t>建立基准任务集与效值第三方认证</w:t>
            </w:r>
          </w:p>
        </w:tc>
        <w:tc>
          <w:tcPr>
            <w:tcW w:type="dxa" w:w="1701"/>
            <w:vAlign w:val="center"/>
          </w:tcPr>
          <w:p>
            <w:pPr>
              <w:spacing w:line="240" w:lineRule="auto" w:after="20" w:before="20"/>
              <w:jc w:val="left"/>
            </w:pPr>
            <w:r/>
            <w:r>
              <w:rPr>
                <w:rFonts w:ascii="宋体" w:hAnsi="宋体" w:eastAsia="宋体"/>
                <w:sz w:val="21"/>
              </w:rPr>
              <w:t xml:space="preserve">基准档 </w:t>
            </w:r>
            <m:oMath>
              <m:r>
                <m:t>η</m:t>
              </m:r>
              <m:r>
                <m:rPr>
                  <m:sty m:val="p"/>
                </m:rPr>
                <m:t>≡</m:t>
              </m:r>
              <m:r>
                <m:t>1.0</m:t>
              </m:r>
            </m:oMath>
            <w:r>
              <w:rPr>
                <w:rFonts w:ascii="宋体" w:hAnsi="宋体" w:eastAsia="宋体"/>
                <w:sz w:val="21"/>
              </w:rPr>
              <w:t>，传递一致性误差近机器精度</w:t>
            </w:r>
          </w:p>
        </w:tc>
        <w:tc>
          <w:tcPr>
            <w:tcW w:type="dxa" w:w="1701"/>
            <w:vAlign w:val="center"/>
          </w:tcPr>
          <w:p>
            <w:pPr>
              <w:spacing w:line="240" w:lineRule="auto" w:after="20" w:before="20"/>
              <w:jc w:val="left"/>
            </w:pPr>
            <w:r/>
            <w:r>
              <w:rPr>
                <w:rFonts w:ascii="宋体" w:hAnsi="宋体" w:eastAsia="宋体"/>
                <w:sz w:val="21"/>
              </w:rPr>
              <w:t>企业自评＋第三方核验＋抽查公示＋定期复评</w:t>
            </w:r>
          </w:p>
        </w:tc>
        <w:tc>
          <w:tcPr>
            <w:tcW w:type="dxa" w:w="1701"/>
            <w:vAlign w:val="center"/>
          </w:tcPr>
          <w:p>
            <w:pPr>
              <w:spacing w:line="240" w:lineRule="auto" w:after="20" w:before="20"/>
              <w:jc w:val="center"/>
            </w:pPr>
            <w:r/>
            <w:r>
              <w:rPr>
                <w:rFonts w:ascii="宋体" w:hAnsi="宋体" w:eastAsia="宋体"/>
                <w:sz w:val="21"/>
              </w:rPr>
              <w:t>近期</w:t>
            </w:r>
          </w:p>
        </w:tc>
      </w:tr>
      <w:tr>
        <w:tc>
          <w:tcPr>
            <w:tcW w:type="dxa" w:w="1701"/>
            <w:vAlign w:val="center"/>
          </w:tcPr>
          <w:p>
            <w:pPr>
              <w:spacing w:line="240" w:lineRule="auto" w:after="20" w:before="20"/>
              <w:jc w:val="center"/>
            </w:pPr>
            <w:r/>
            <w:r>
              <w:rPr>
                <w:rFonts w:ascii="宋体" w:hAnsi="宋体" w:eastAsia="宋体"/>
                <w:sz w:val="21"/>
              </w:rPr>
              <w:t>计量侧</w:t>
            </w:r>
          </w:p>
        </w:tc>
        <w:tc>
          <w:tcPr>
            <w:tcW w:type="dxa" w:w="1701"/>
            <w:vAlign w:val="center"/>
          </w:tcPr>
          <w:p>
            <w:pPr>
              <w:spacing w:line="240" w:lineRule="auto" w:after="20" w:before="20"/>
              <w:jc w:val="left"/>
            </w:pPr>
            <w:r/>
            <w:r>
              <w:rPr>
                <w:rFonts w:ascii="宋体" w:hAnsi="宋体" w:eastAsia="宋体"/>
                <w:sz w:val="21"/>
              </w:rPr>
              <w:t>实行用量与效值双口径统计报送</w:t>
            </w:r>
          </w:p>
        </w:tc>
        <w:tc>
          <w:tcPr>
            <w:tcW w:type="dxa" w:w="1701"/>
            <w:vAlign w:val="center"/>
          </w:tcPr>
          <w:p>
            <w:pPr>
              <w:spacing w:line="240" w:lineRule="auto" w:after="20" w:before="20"/>
              <w:jc w:val="left"/>
            </w:pPr>
            <w:r/>
            <w:r>
              <w:rPr>
                <w:rFonts w:ascii="宋体" w:hAnsi="宋体" w:eastAsia="宋体"/>
                <w:sz w:val="21"/>
              </w:rPr>
              <w:t>物理词元日均140万亿枚（2026年3月，官方口径）与标准词元流量并行</w:t>
            </w:r>
          </w:p>
        </w:tc>
        <w:tc>
          <w:tcPr>
            <w:tcW w:type="dxa" w:w="1701"/>
            <w:vAlign w:val="center"/>
          </w:tcPr>
          <w:p>
            <w:pPr>
              <w:spacing w:line="240" w:lineRule="auto" w:after="20" w:before="20"/>
              <w:jc w:val="left"/>
            </w:pPr>
            <w:r/>
            <w:r>
              <w:rPr>
                <w:rFonts w:ascii="宋体" w:hAnsi="宋体" w:eastAsia="宋体"/>
                <w:sz w:val="21"/>
              </w:rPr>
              <w:t>纳入全国数据资源调查与数字经济统计制度</w:t>
            </w:r>
          </w:p>
        </w:tc>
        <w:tc>
          <w:tcPr>
            <w:tcW w:type="dxa" w:w="1701"/>
            <w:vAlign w:val="center"/>
          </w:tcPr>
          <w:p>
            <w:pPr>
              <w:spacing w:line="240" w:lineRule="auto" w:after="20" w:before="20"/>
              <w:jc w:val="center"/>
            </w:pPr>
            <w:r/>
            <w:r>
              <w:rPr>
                <w:rFonts w:ascii="宋体" w:hAnsi="宋体" w:eastAsia="宋体"/>
                <w:sz w:val="21"/>
              </w:rPr>
              <w:t>近期</w:t>
            </w:r>
          </w:p>
        </w:tc>
      </w:tr>
      <w:tr>
        <w:tc>
          <w:tcPr>
            <w:tcW w:type="dxa" w:w="1701"/>
            <w:vAlign w:val="center"/>
          </w:tcPr>
          <w:p>
            <w:pPr>
              <w:spacing w:line="240" w:lineRule="auto" w:after="20" w:before="20"/>
              <w:jc w:val="center"/>
            </w:pPr>
            <w:r/>
            <w:r>
              <w:rPr>
                <w:rFonts w:ascii="宋体" w:hAnsi="宋体" w:eastAsia="宋体"/>
                <w:sz w:val="21"/>
              </w:rPr>
              <w:t>定价侧</w:t>
            </w:r>
          </w:p>
        </w:tc>
        <w:tc>
          <w:tcPr>
            <w:tcW w:type="dxa" w:w="1701"/>
            <w:vAlign w:val="center"/>
          </w:tcPr>
          <w:p>
            <w:pPr>
              <w:spacing w:line="240" w:lineRule="auto" w:after="20" w:before="20"/>
              <w:jc w:val="left"/>
            </w:pPr>
            <w:r/>
            <w:r>
              <w:rPr>
                <w:rFonts w:ascii="宋体" w:hAnsi="宋体" w:eastAsia="宋体"/>
                <w:sz w:val="21"/>
              </w:rPr>
              <w:t>按季编制并发布 TPI 与 STPI 双指数</w:t>
            </w:r>
          </w:p>
        </w:tc>
        <w:tc>
          <w:tcPr>
            <w:tcW w:type="dxa" w:w="1701"/>
            <w:vAlign w:val="center"/>
          </w:tcPr>
          <w:p>
            <w:pPr>
              <w:spacing w:line="240" w:lineRule="auto" w:after="20" w:before="20"/>
              <w:jc w:val="left"/>
            </w:pPr>
            <w:r/>
            <w:r>
              <w:rPr>
                <w:rFonts w:ascii="宋体" w:hAnsi="宋体" w:eastAsia="宋体"/>
                <w:sz w:val="21"/>
              </w:rPr>
              <w:t>2026Q2 TPI＝21、STPI＝47（2024Q1＝100）</w:t>
            </w:r>
          </w:p>
        </w:tc>
        <w:tc>
          <w:tcPr>
            <w:tcW w:type="dxa" w:w="1701"/>
            <w:vAlign w:val="center"/>
          </w:tcPr>
          <w:p>
            <w:pPr>
              <w:spacing w:line="240" w:lineRule="auto" w:after="20" w:before="20"/>
              <w:jc w:val="left"/>
            </w:pPr>
            <w:r/>
            <w:r>
              <w:rPr>
                <w:rFonts w:ascii="宋体" w:hAnsi="宋体" w:eastAsia="宋体"/>
                <w:sz w:val="21"/>
              </w:rPr>
              <w:t>主管部门委托第三方编制并公布背离分解</w:t>
            </w:r>
          </w:p>
        </w:tc>
        <w:tc>
          <w:tcPr>
            <w:tcW w:type="dxa" w:w="1701"/>
            <w:vAlign w:val="center"/>
          </w:tcPr>
          <w:p>
            <w:pPr>
              <w:spacing w:line="240" w:lineRule="auto" w:after="20" w:before="20"/>
              <w:jc w:val="center"/>
            </w:pPr>
            <w:r/>
            <w:r>
              <w:rPr>
                <w:rFonts w:ascii="宋体" w:hAnsi="宋体" w:eastAsia="宋体"/>
                <w:sz w:val="21"/>
              </w:rPr>
              <w:t>近期</w:t>
            </w:r>
          </w:p>
        </w:tc>
      </w:tr>
      <w:tr>
        <w:tc>
          <w:tcPr>
            <w:tcW w:type="dxa" w:w="1701"/>
            <w:vAlign w:val="center"/>
          </w:tcPr>
          <w:p>
            <w:pPr>
              <w:spacing w:line="240" w:lineRule="auto" w:after="20" w:before="20"/>
              <w:jc w:val="center"/>
            </w:pPr>
            <w:r/>
            <w:r>
              <w:rPr>
                <w:rFonts w:ascii="宋体" w:hAnsi="宋体" w:eastAsia="宋体"/>
                <w:sz w:val="21"/>
              </w:rPr>
              <w:t>定价侧</w:t>
            </w:r>
          </w:p>
        </w:tc>
        <w:tc>
          <w:tcPr>
            <w:tcW w:type="dxa" w:w="1701"/>
            <w:vAlign w:val="center"/>
          </w:tcPr>
          <w:p>
            <w:pPr>
              <w:spacing w:line="240" w:lineRule="auto" w:after="20" w:before="20"/>
              <w:jc w:val="left"/>
            </w:pPr>
            <w:r/>
            <w:r>
              <w:rPr>
                <w:rFonts w:ascii="宋体" w:hAnsi="宋体" w:eastAsia="宋体"/>
                <w:sz w:val="21"/>
              </w:rPr>
              <w:t>强制披露三层价格结构与效值信息</w:t>
            </w:r>
          </w:p>
        </w:tc>
        <w:tc>
          <w:tcPr>
            <w:tcW w:type="dxa" w:w="1701"/>
            <w:vAlign w:val="center"/>
          </w:tcPr>
          <w:p>
            <w:pPr>
              <w:spacing w:line="240" w:lineRule="auto" w:after="20" w:before="20"/>
              <w:jc w:val="left"/>
            </w:pPr>
            <w:r/>
            <w:r>
              <w:rPr>
                <w:rFonts w:ascii="宋体" w:hAnsi="宋体" w:eastAsia="宋体"/>
                <w:sz w:val="21"/>
              </w:rPr>
              <w:t>成本底价占比24%—45%</w:t>
            </w:r>
          </w:p>
        </w:tc>
        <w:tc>
          <w:tcPr>
            <w:tcW w:type="dxa" w:w="1701"/>
            <w:vAlign w:val="center"/>
          </w:tcPr>
          <w:p>
            <w:pPr>
              <w:spacing w:line="240" w:lineRule="auto" w:after="20" w:before="20"/>
              <w:jc w:val="left"/>
            </w:pPr>
            <w:r/>
            <w:r>
              <w:rPr>
                <w:rFonts w:ascii="宋体" w:hAnsi="宋体" w:eastAsia="宋体"/>
                <w:sz w:val="21"/>
              </w:rPr>
              <w:t>平台披露＋合同示范文本＋违约责任条款</w:t>
            </w:r>
          </w:p>
        </w:tc>
        <w:tc>
          <w:tcPr>
            <w:tcW w:type="dxa" w:w="1701"/>
            <w:vAlign w:val="center"/>
          </w:tcPr>
          <w:p>
            <w:pPr>
              <w:spacing w:line="240" w:lineRule="auto" w:after="20" w:before="20"/>
              <w:jc w:val="center"/>
            </w:pPr>
            <w:r/>
            <w:r>
              <w:rPr>
                <w:rFonts w:ascii="宋体" w:hAnsi="宋体" w:eastAsia="宋体"/>
                <w:sz w:val="21"/>
              </w:rPr>
              <w:t>近期</w:t>
            </w:r>
          </w:p>
        </w:tc>
      </w:tr>
      <w:tr>
        <w:tc>
          <w:tcPr>
            <w:tcW w:type="dxa" w:w="1701"/>
            <w:vAlign w:val="center"/>
          </w:tcPr>
          <w:p>
            <w:pPr>
              <w:spacing w:line="240" w:lineRule="auto" w:after="20" w:before="20"/>
              <w:jc w:val="center"/>
            </w:pPr>
            <w:r/>
            <w:r>
              <w:rPr>
                <w:rFonts w:ascii="宋体" w:hAnsi="宋体" w:eastAsia="宋体"/>
                <w:sz w:val="21"/>
              </w:rPr>
              <w:t>定价侧</w:t>
            </w:r>
          </w:p>
        </w:tc>
        <w:tc>
          <w:tcPr>
            <w:tcW w:type="dxa" w:w="1701"/>
            <w:vAlign w:val="center"/>
          </w:tcPr>
          <w:p>
            <w:pPr>
              <w:spacing w:line="240" w:lineRule="auto" w:after="20" w:before="20"/>
              <w:jc w:val="left"/>
            </w:pPr>
            <w:r/>
            <w:r>
              <w:rPr>
                <w:rFonts w:ascii="宋体" w:hAnsi="宋体" w:eastAsia="宋体"/>
                <w:sz w:val="21"/>
              </w:rPr>
              <w:t>治理效值虚标与逆向选择</w:t>
            </w:r>
          </w:p>
        </w:tc>
        <w:tc>
          <w:tcPr>
            <w:tcW w:type="dxa" w:w="1701"/>
            <w:vAlign w:val="center"/>
          </w:tcPr>
          <w:p>
            <w:pPr>
              <w:spacing w:line="240" w:lineRule="auto" w:after="20" w:before="20"/>
              <w:jc w:val="left"/>
            </w:pPr>
            <w:r/>
            <w:r>
              <w:rPr>
                <w:rFonts w:ascii="宋体" w:hAnsi="宋体" w:eastAsia="宋体"/>
                <w:sz w:val="21"/>
              </w:rPr>
              <w:t>认知偏差0.44，过度采购份额27%</w:t>
            </w:r>
          </w:p>
        </w:tc>
        <w:tc>
          <w:tcPr>
            <w:tcW w:type="dxa" w:w="1701"/>
            <w:vAlign w:val="center"/>
          </w:tcPr>
          <w:p>
            <w:pPr>
              <w:spacing w:line="240" w:lineRule="auto" w:after="20" w:before="20"/>
              <w:jc w:val="left"/>
            </w:pPr>
            <w:r/>
            <w:r>
              <w:rPr>
                <w:rFonts w:ascii="宋体" w:hAnsi="宋体" w:eastAsia="宋体"/>
                <w:sz w:val="21"/>
              </w:rPr>
              <w:t>质量披露与认证制度，平台中立义务</w:t>
            </w:r>
          </w:p>
        </w:tc>
        <w:tc>
          <w:tcPr>
            <w:tcW w:type="dxa" w:w="1701"/>
            <w:vAlign w:val="center"/>
          </w:tcPr>
          <w:p>
            <w:pPr>
              <w:spacing w:line="240" w:lineRule="auto" w:after="20" w:before="20"/>
              <w:jc w:val="center"/>
            </w:pPr>
            <w:r/>
            <w:r>
              <w:rPr>
                <w:rFonts w:ascii="宋体" w:hAnsi="宋体" w:eastAsia="宋体"/>
                <w:sz w:val="21"/>
              </w:rPr>
              <w:t>中期</w:t>
            </w:r>
          </w:p>
        </w:tc>
      </w:tr>
      <w:tr>
        <w:tc>
          <w:tcPr>
            <w:tcW w:type="dxa" w:w="1701"/>
            <w:vAlign w:val="center"/>
          </w:tcPr>
          <w:p>
            <w:pPr>
              <w:spacing w:line="240" w:lineRule="auto" w:after="20" w:before="20"/>
              <w:jc w:val="center"/>
            </w:pPr>
            <w:r/>
            <w:r>
              <w:rPr>
                <w:rFonts w:ascii="宋体" w:hAnsi="宋体" w:eastAsia="宋体"/>
                <w:sz w:val="21"/>
              </w:rPr>
              <w:t>配置侧</w:t>
            </w:r>
          </w:p>
        </w:tc>
        <w:tc>
          <w:tcPr>
            <w:tcW w:type="dxa" w:w="1701"/>
            <w:vAlign w:val="center"/>
          </w:tcPr>
          <w:p>
            <w:pPr>
              <w:spacing w:line="240" w:lineRule="auto" w:after="20" w:before="20"/>
              <w:jc w:val="left"/>
            </w:pPr>
            <w:r/>
            <w:r>
              <w:rPr>
                <w:rFonts w:ascii="宋体" w:hAnsi="宋体" w:eastAsia="宋体"/>
                <w:sz w:val="21"/>
              </w:rPr>
              <w:t>以有效效值利用率替代名义利用率考核</w:t>
            </w:r>
          </w:p>
        </w:tc>
        <w:tc>
          <w:tcPr>
            <w:tcW w:type="dxa" w:w="1701"/>
            <w:vAlign w:val="center"/>
          </w:tcPr>
          <w:p>
            <w:pPr>
              <w:spacing w:line="240" w:lineRule="auto" w:after="20" w:before="20"/>
              <w:jc w:val="left"/>
            </w:pPr>
            <w:r/>
            <w:r>
              <w:rPr>
                <w:rFonts w:ascii="宋体" w:hAnsi="宋体" w:eastAsia="宋体"/>
                <w:sz w:val="21"/>
              </w:rPr>
              <w:t>现状38%→目标54%（上界61%）</w:t>
            </w:r>
          </w:p>
        </w:tc>
        <w:tc>
          <w:tcPr>
            <w:tcW w:type="dxa" w:w="1701"/>
            <w:vAlign w:val="center"/>
          </w:tcPr>
          <w:p>
            <w:pPr>
              <w:spacing w:line="240" w:lineRule="auto" w:after="20" w:before="20"/>
              <w:jc w:val="left"/>
            </w:pPr>
            <w:r/>
            <w:r>
              <w:rPr>
                <w:rFonts w:ascii="宋体" w:hAnsi="宋体" w:eastAsia="宋体"/>
                <w:sz w:val="21"/>
              </w:rPr>
              <w:t>枢纽节点与城市运营中心考核体系</w:t>
            </w:r>
          </w:p>
        </w:tc>
        <w:tc>
          <w:tcPr>
            <w:tcW w:type="dxa" w:w="1701"/>
            <w:vAlign w:val="center"/>
          </w:tcPr>
          <w:p>
            <w:pPr>
              <w:spacing w:line="240" w:lineRule="auto" w:after="20" w:before="20"/>
              <w:jc w:val="center"/>
            </w:pPr>
            <w:r/>
            <w:r>
              <w:rPr>
                <w:rFonts w:ascii="宋体" w:hAnsi="宋体" w:eastAsia="宋体"/>
                <w:sz w:val="21"/>
              </w:rPr>
              <w:t>中期</w:t>
            </w:r>
          </w:p>
        </w:tc>
      </w:tr>
      <w:tr>
        <w:tc>
          <w:tcPr>
            <w:tcW w:type="dxa" w:w="1701"/>
            <w:vAlign w:val="center"/>
          </w:tcPr>
          <w:p>
            <w:pPr>
              <w:spacing w:line="240" w:lineRule="auto" w:after="20" w:before="20"/>
              <w:jc w:val="center"/>
            </w:pPr>
            <w:r/>
            <w:r>
              <w:rPr>
                <w:rFonts w:ascii="宋体" w:hAnsi="宋体" w:eastAsia="宋体"/>
                <w:sz w:val="21"/>
              </w:rPr>
              <w:t>配置侧</w:t>
            </w:r>
          </w:p>
        </w:tc>
        <w:tc>
          <w:tcPr>
            <w:tcW w:type="dxa" w:w="1701"/>
            <w:vAlign w:val="center"/>
          </w:tcPr>
          <w:p>
            <w:pPr>
              <w:spacing w:line="240" w:lineRule="auto" w:after="20" w:before="20"/>
              <w:jc w:val="left"/>
            </w:pPr>
            <w:r/>
            <w:r>
              <w:rPr>
                <w:rFonts w:ascii="宋体" w:hAnsi="宋体" w:eastAsia="宋体"/>
                <w:sz w:val="21"/>
              </w:rPr>
              <w:t>以标准词元为跨节点调度与结算单位</w:t>
            </w:r>
          </w:p>
        </w:tc>
        <w:tc>
          <w:tcPr>
            <w:tcW w:type="dxa" w:w="1701"/>
            <w:vAlign w:val="center"/>
          </w:tcPr>
          <w:p>
            <w:pPr>
              <w:spacing w:line="240" w:lineRule="auto" w:after="20" w:before="20"/>
              <w:jc w:val="left"/>
            </w:pPr>
            <w:r/>
            <w:r>
              <w:rPr>
                <w:rFonts w:ascii="宋体" w:hAnsi="宋体" w:eastAsia="宋体"/>
                <w:sz w:val="21"/>
              </w:rPr>
              <w:t>档位间转化效率相差13.5倍</w:t>
            </w:r>
          </w:p>
        </w:tc>
        <w:tc>
          <w:tcPr>
            <w:tcW w:type="dxa" w:w="1701"/>
            <w:vAlign w:val="center"/>
          </w:tcPr>
          <w:p>
            <w:pPr>
              <w:spacing w:line="240" w:lineRule="auto" w:after="20" w:before="20"/>
              <w:jc w:val="left"/>
            </w:pPr>
            <w:r/>
            <w:r>
              <w:rPr>
                <w:rFonts w:ascii="宋体" w:hAnsi="宋体" w:eastAsia="宋体"/>
                <w:sz w:val="21"/>
              </w:rPr>
              <w:t>国家算力互联互通节点「1+M+N」体系</w:t>
            </w:r>
          </w:p>
        </w:tc>
        <w:tc>
          <w:tcPr>
            <w:tcW w:type="dxa" w:w="1701"/>
            <w:vAlign w:val="center"/>
          </w:tcPr>
          <w:p>
            <w:pPr>
              <w:spacing w:line="240" w:lineRule="auto" w:after="20" w:before="20"/>
              <w:jc w:val="center"/>
            </w:pPr>
            <w:r/>
            <w:r>
              <w:rPr>
                <w:rFonts w:ascii="宋体" w:hAnsi="宋体" w:eastAsia="宋体"/>
                <w:sz w:val="21"/>
              </w:rPr>
              <w:t>近期—中期</w:t>
            </w:r>
          </w:p>
        </w:tc>
      </w:tr>
      <w:tr>
        <w:tc>
          <w:tcPr>
            <w:tcW w:type="dxa" w:w="1701"/>
            <w:vAlign w:val="center"/>
          </w:tcPr>
          <w:p>
            <w:pPr>
              <w:spacing w:line="240" w:lineRule="auto" w:after="20" w:before="20"/>
              <w:jc w:val="center"/>
            </w:pPr>
            <w:r/>
            <w:r>
              <w:rPr>
                <w:rFonts w:ascii="宋体" w:hAnsi="宋体" w:eastAsia="宋体"/>
                <w:sz w:val="21"/>
              </w:rPr>
              <w:t>配置侧</w:t>
            </w:r>
          </w:p>
        </w:tc>
        <w:tc>
          <w:tcPr>
            <w:tcW w:type="dxa" w:w="1701"/>
            <w:vAlign w:val="center"/>
          </w:tcPr>
          <w:p>
            <w:pPr>
              <w:spacing w:line="240" w:lineRule="auto" w:after="20" w:before="20"/>
              <w:jc w:val="left"/>
            </w:pPr>
            <w:r/>
            <w:r>
              <w:rPr>
                <w:rFonts w:ascii="宋体" w:hAnsi="宋体" w:eastAsia="宋体"/>
                <w:sz w:val="21"/>
              </w:rPr>
              <w:t>补贴由建算力转向用词元</w:t>
            </w:r>
          </w:p>
        </w:tc>
        <w:tc>
          <w:tcPr>
            <w:tcW w:type="dxa" w:w="1701"/>
            <w:vAlign w:val="center"/>
          </w:tcPr>
          <w:p>
            <w:pPr>
              <w:spacing w:line="240" w:lineRule="auto" w:after="20" w:before="20"/>
              <w:jc w:val="left"/>
            </w:pPr>
            <w:r/>
            <w:r>
              <w:rPr>
                <w:rFonts w:ascii="宋体" w:hAnsi="宋体" w:eastAsia="宋体"/>
                <w:sz w:val="21"/>
              </w:rPr>
              <w:t xml:space="preserve">临界红利 </w:t>
            </w:r>
            <m:oMath>
              <m:sSubSup>
                <m:e>
                  <m:r>
                    <m:t>R</m:t>
                  </m:r>
                </m:e>
                <m:sub>
                  <m:r>
                    <m:t>F</m:t>
                  </m:r>
                </m:sub>
                <m:sup>
                  <m:r>
                    <m:t>c</m:t>
                  </m:r>
                </m:sup>
              </m:sSubSup>
            </m:oMath>
            <w:r>
              <w:rPr>
                <w:rFonts w:ascii="宋体" w:hAnsi="宋体" w:eastAsia="宋体"/>
                <w:sz w:val="21"/>
              </w:rPr>
              <w:t>＝1.55，自维持 1.80</w:t>
            </w:r>
          </w:p>
        </w:tc>
        <w:tc>
          <w:tcPr>
            <w:tcW w:type="dxa" w:w="1701"/>
            <w:vAlign w:val="center"/>
          </w:tcPr>
          <w:p>
            <w:pPr>
              <w:spacing w:line="240" w:lineRule="auto" w:after="20" w:before="20"/>
              <w:jc w:val="left"/>
            </w:pPr>
            <w:r/>
            <w:r>
              <w:rPr>
                <w:rFonts w:ascii="宋体" w:hAnsi="宋体" w:eastAsia="宋体"/>
                <w:sz w:val="21"/>
              </w:rPr>
              <w:t>技改补贴与政策抵扣挂钩，退出规则事前公布</w:t>
            </w:r>
          </w:p>
        </w:tc>
        <w:tc>
          <w:tcPr>
            <w:tcW w:type="dxa" w:w="1701"/>
            <w:vAlign w:val="center"/>
          </w:tcPr>
          <w:p>
            <w:pPr>
              <w:spacing w:line="240" w:lineRule="auto" w:after="20" w:before="20"/>
              <w:jc w:val="center"/>
            </w:pPr>
            <w:r/>
            <w:r>
              <w:rPr>
                <w:rFonts w:ascii="宋体" w:hAnsi="宋体" w:eastAsia="宋体"/>
                <w:sz w:val="21"/>
              </w:rPr>
              <w:t>近期</w:t>
            </w:r>
          </w:p>
        </w:tc>
      </w:tr>
      <w:tr>
        <w:tc>
          <w:tcPr>
            <w:tcW w:type="dxa" w:w="1701"/>
            <w:vAlign w:val="center"/>
          </w:tcPr>
          <w:p>
            <w:pPr>
              <w:spacing w:line="240" w:lineRule="auto" w:after="20" w:before="20"/>
              <w:jc w:val="center"/>
            </w:pPr>
            <w:r/>
            <w:r>
              <w:rPr>
                <w:rFonts w:ascii="宋体" w:hAnsi="宋体" w:eastAsia="宋体"/>
                <w:sz w:val="21"/>
              </w:rPr>
              <w:t>绿色侧</w:t>
            </w:r>
          </w:p>
        </w:tc>
        <w:tc>
          <w:tcPr>
            <w:tcW w:type="dxa" w:w="1701"/>
            <w:vAlign w:val="center"/>
          </w:tcPr>
          <w:p>
            <w:pPr>
              <w:spacing w:line="240" w:lineRule="auto" w:after="20" w:before="20"/>
              <w:jc w:val="left"/>
            </w:pPr>
            <w:r/>
            <w:r>
              <w:rPr>
                <w:rFonts w:ascii="宋体" w:hAnsi="宋体" w:eastAsia="宋体"/>
                <w:sz w:val="21"/>
              </w:rPr>
              <w:t>建立词元级碳足迹核算规则与绿色词元认证</w:t>
            </w:r>
          </w:p>
        </w:tc>
        <w:tc>
          <w:tcPr>
            <w:tcW w:type="dxa" w:w="1701"/>
            <w:vAlign w:val="center"/>
          </w:tcPr>
          <w:p>
            <w:pPr>
              <w:spacing w:line="240" w:lineRule="auto" w:after="20" w:before="20"/>
              <w:jc w:val="left"/>
            </w:pPr>
            <w:r/>
            <w:r>
              <w:rPr>
                <w:rFonts w:ascii="宋体" w:hAnsi="宋体" w:eastAsia="宋体"/>
                <w:sz w:val="21"/>
              </w:rPr>
              <w:t>阈值1.0、现状2.263 gCO₂e／千标准词元</w:t>
            </w:r>
          </w:p>
        </w:tc>
        <w:tc>
          <w:tcPr>
            <w:tcW w:type="dxa" w:w="1701"/>
            <w:vAlign w:val="center"/>
          </w:tcPr>
          <w:p>
            <w:pPr>
              <w:spacing w:line="240" w:lineRule="auto" w:after="20" w:before="20"/>
              <w:jc w:val="left"/>
            </w:pPr>
            <w:r/>
            <w:r>
              <w:rPr>
                <w:rFonts w:ascii="宋体" w:hAnsi="宋体" w:eastAsia="宋体"/>
                <w:sz w:val="21"/>
              </w:rPr>
              <w:t>对接产品碳足迹国家标准与管理体系实施方案</w:t>
            </w:r>
          </w:p>
        </w:tc>
        <w:tc>
          <w:tcPr>
            <w:tcW w:type="dxa" w:w="1701"/>
            <w:vAlign w:val="center"/>
          </w:tcPr>
          <w:p>
            <w:pPr>
              <w:spacing w:line="240" w:lineRule="auto" w:after="20" w:before="20"/>
              <w:jc w:val="center"/>
            </w:pPr>
            <w:r/>
            <w:r>
              <w:rPr>
                <w:rFonts w:ascii="宋体" w:hAnsi="宋体" w:eastAsia="宋体"/>
                <w:sz w:val="21"/>
              </w:rPr>
              <w:t>中期</w:t>
            </w:r>
          </w:p>
        </w:tc>
      </w:tr>
      <w:tr>
        <w:tc>
          <w:tcPr>
            <w:tcW w:type="dxa" w:w="1701"/>
            <w:vAlign w:val="center"/>
          </w:tcPr>
          <w:p>
            <w:pPr>
              <w:spacing w:line="240" w:lineRule="auto" w:after="20" w:before="20"/>
              <w:jc w:val="center"/>
            </w:pPr>
            <w:r/>
            <w:r>
              <w:rPr>
                <w:rFonts w:ascii="宋体" w:hAnsi="宋体" w:eastAsia="宋体"/>
                <w:sz w:val="21"/>
              </w:rPr>
              <w:t>绿色侧</w:t>
            </w:r>
          </w:p>
        </w:tc>
        <w:tc>
          <w:tcPr>
            <w:tcW w:type="dxa" w:w="1701"/>
            <w:vAlign w:val="center"/>
          </w:tcPr>
          <w:p>
            <w:pPr>
              <w:spacing w:line="240" w:lineRule="auto" w:after="20" w:before="20"/>
              <w:jc w:val="left"/>
            </w:pPr>
            <w:r/>
            <w:r>
              <w:rPr>
                <w:rFonts w:ascii="宋体" w:hAnsi="宋体" w:eastAsia="宋体"/>
                <w:sz w:val="21"/>
              </w:rPr>
              <w:t>推进算电协同与绿电凭证绑定</w:t>
            </w:r>
          </w:p>
        </w:tc>
        <w:tc>
          <w:tcPr>
            <w:tcW w:type="dxa" w:w="1701"/>
            <w:vAlign w:val="center"/>
          </w:tcPr>
          <w:p>
            <w:pPr>
              <w:spacing w:line="240" w:lineRule="auto" w:after="20" w:before="20"/>
              <w:jc w:val="left"/>
            </w:pPr>
            <w:r/>
            <w:r>
              <w:rPr>
                <w:rFonts w:ascii="宋体" w:hAnsi="宋体" w:eastAsia="宋体"/>
                <w:sz w:val="21"/>
              </w:rPr>
              <w:t>绿电比例2026年44%，全绿电碳强度0.171</w:t>
            </w:r>
          </w:p>
        </w:tc>
        <w:tc>
          <w:tcPr>
            <w:tcW w:type="dxa" w:w="1701"/>
            <w:vAlign w:val="center"/>
          </w:tcPr>
          <w:p>
            <w:pPr>
              <w:spacing w:line="240" w:lineRule="auto" w:after="20" w:before="20"/>
              <w:jc w:val="left"/>
            </w:pPr>
            <w:r/>
            <w:r>
              <w:rPr>
                <w:rFonts w:ascii="宋体" w:hAnsi="宋体" w:eastAsia="宋体"/>
                <w:sz w:val="21"/>
              </w:rPr>
              <w:t>绿电直连、消纳责任权重与绿证交易</w:t>
            </w:r>
          </w:p>
        </w:tc>
        <w:tc>
          <w:tcPr>
            <w:tcW w:type="dxa" w:w="1701"/>
            <w:vAlign w:val="center"/>
          </w:tcPr>
          <w:p>
            <w:pPr>
              <w:spacing w:line="240" w:lineRule="auto" w:after="20" w:before="20"/>
              <w:jc w:val="center"/>
            </w:pPr>
            <w:r/>
            <w:r>
              <w:rPr>
                <w:rFonts w:ascii="宋体" w:hAnsi="宋体" w:eastAsia="宋体"/>
                <w:sz w:val="21"/>
              </w:rPr>
              <w:t>近期—中期</w:t>
            </w:r>
          </w:p>
        </w:tc>
      </w:tr>
      <w:tr>
        <w:tc>
          <w:tcPr>
            <w:tcW w:type="dxa" w:w="1701"/>
            <w:vAlign w:val="center"/>
          </w:tcPr>
          <w:p>
            <w:pPr>
              <w:spacing w:line="240" w:lineRule="auto" w:after="20" w:before="20"/>
              <w:jc w:val="center"/>
            </w:pPr>
            <w:r/>
            <w:r>
              <w:rPr>
                <w:rFonts w:ascii="宋体" w:hAnsi="宋体" w:eastAsia="宋体"/>
                <w:sz w:val="21"/>
              </w:rPr>
              <w:t>开放侧</w:t>
            </w:r>
          </w:p>
        </w:tc>
        <w:tc>
          <w:tcPr>
            <w:tcW w:type="dxa" w:w="1701"/>
            <w:vAlign w:val="center"/>
          </w:tcPr>
          <w:p>
            <w:pPr>
              <w:spacing w:line="240" w:lineRule="auto" w:after="20" w:before="20"/>
              <w:jc w:val="left"/>
            </w:pPr>
            <w:r/>
            <w:r>
              <w:rPr>
                <w:rFonts w:ascii="宋体" w:hAnsi="宋体" w:eastAsia="宋体"/>
                <w:sz w:val="21"/>
              </w:rPr>
              <w:t>推动折算规则与碳足迹凭证的国际互认</w:t>
            </w:r>
          </w:p>
        </w:tc>
        <w:tc>
          <w:tcPr>
            <w:tcW w:type="dxa" w:w="1701"/>
            <w:vAlign w:val="center"/>
          </w:tcPr>
          <w:p>
            <w:pPr>
              <w:spacing w:line="240" w:lineRule="auto" w:after="20" w:before="20"/>
              <w:jc w:val="left"/>
            </w:pPr>
            <w:r/>
            <w:r>
              <w:rPr>
                <w:rFonts w:ascii="宋体" w:hAnsi="宋体" w:eastAsia="宋体"/>
                <w:sz w:val="21"/>
              </w:rPr>
              <w:t>出海企业绿色词元溢价8.3%</w:t>
            </w:r>
          </w:p>
        </w:tc>
        <w:tc>
          <w:tcPr>
            <w:tcW w:type="dxa" w:w="1701"/>
            <w:vAlign w:val="center"/>
          </w:tcPr>
          <w:p>
            <w:pPr>
              <w:spacing w:line="240" w:lineRule="auto" w:after="20" w:before="20"/>
              <w:jc w:val="left"/>
            </w:pPr>
            <w:r/>
            <w:r>
              <w:rPr>
                <w:rFonts w:ascii="宋体" w:hAnsi="宋体" w:eastAsia="宋体"/>
                <w:sz w:val="21"/>
              </w:rPr>
              <w:t>双边与多边标准互认，参与国际规则制定</w:t>
            </w:r>
          </w:p>
        </w:tc>
        <w:tc>
          <w:tcPr>
            <w:tcW w:type="dxa" w:w="1701"/>
            <w:vAlign w:val="center"/>
          </w:tcPr>
          <w:p>
            <w:pPr>
              <w:spacing w:line="240" w:lineRule="auto" w:after="20" w:before="20"/>
              <w:jc w:val="center"/>
            </w:pPr>
            <w:r/>
            <w:r>
              <w:rPr>
                <w:rFonts w:ascii="宋体" w:hAnsi="宋体" w:eastAsia="宋体"/>
                <w:sz w:val="21"/>
              </w:rPr>
              <w:t>中长期</w:t>
            </w:r>
          </w:p>
        </w:tc>
      </w:tr>
    </w:tbl>
    <w:p>
      <w:pPr>
        <w:spacing w:after="200" w:line="240" w:lineRule="auto"/>
        <w:jc w:val="both"/>
      </w:pPr>
      <w:r>
        <w:rPr>
          <w:rFonts w:ascii="宋体" w:hAnsi="宋体" w:eastAsia="宋体"/>
          <w:sz w:val="18"/>
        </w:rPr>
        <w:t>注：关键量化基准中的效值权重、指数、利用率、阈值与临界红利均取自本书第5、7、9、10、11章的校准复算结果，口径与各章估计表一致；物理词元日均调用量为国家数据局公开发布的官方点位；TPI 与 STPI 分别为词元价格指数与标准词元价格指数，</w:t>
      </w:r>
      <m:oMath>
        <m:sSubSup>
          <m:e>
            <m:r>
              <m:t>R</m:t>
            </m:r>
          </m:e>
          <m:sub>
            <m:r>
              <m:t>F</m:t>
            </m:r>
          </m:sub>
          <m:sup>
            <m:r>
              <m:t>c</m:t>
            </m:r>
          </m:sup>
        </m:sSubSup>
      </m:oMath>
      <w:r>
        <w:rPr>
          <w:rFonts w:ascii="宋体" w:hAnsi="宋体" w:eastAsia="宋体"/>
          <w:sz w:val="18"/>
        </w:rPr>
        <w:t xml:space="preserve"> 为企业深度采纳成为演化稳定策略的临界红利。「近期」指2026—2027年，「中期」指「十五五」时期，「中长期」指2030年前后，时序为作者建议而非既定安排。</w:t>
      </w:r>
    </w:p>
    <w:p>
      <w:pPr>
        <w:spacing w:line="360" w:lineRule="auto" w:after="0"/>
        <w:ind w:firstLineChars="200" w:firstLine="480"/>
        <w:jc w:val="both"/>
      </w:pPr>
      <w:r>
        <w:rPr>
          <w:rFonts w:ascii="宋体" w:hAnsi="宋体" w:eastAsia="宋体"/>
          <w:sz w:val="24"/>
        </w:rPr>
        <w:t>表14.1的排列本身包含两层判断。第一层是次序判断：计量侧的三条建议均标注为近期，定价侧与配置侧的多数条目标注为近期至中期，绿色与开放侧则为中期至中长期，这一时序安排来自14.2.1节的推导——信息问题的解决是外部性内部化与协调问题解决的前提，而非出于绿色议题次要的价值判断。第二层是抓手判断：每一条建议都对应一个既有的制度载体而非新设机构，标准工作归口既有技术委员会，统计报送依托既有调查制度，调度与结算依托既有算力互联互通节点，碳核算依托既有产品碳足迹管理体系。这一设计的考虑是，词元经济的制度建设正处在窗口期，新设机构的组织成本与协调成本可能超过其收益，而在既有制度中嵌入新的计量单位，其边际成本要低得多。需要重申的是，表中所有阈值与目标值均为本书基于校准复算得到的分析性基准，可作为讨论与试点的起点，其正式采用仍须经过标准制订程序中的实测验证与多方协商。</w:t>
      </w:r>
    </w:p>
    <w:p>
      <w:pPr>
        <w:keepNext/>
        <w:spacing w:before="160" w:after="120" w:line="360" w:lineRule="auto"/>
        <w:outlineLvl w:val="1"/>
      </w:pPr>
      <w:r>
        <w:rPr>
          <w:rFonts w:ascii="黑体" w:hAnsi="黑体" w:eastAsia="黑体"/>
          <w:sz w:val="28"/>
        </w:rPr>
        <w:t>14.3  理论、方法与实践贡献</w:t>
      </w:r>
    </w:p>
    <w:p>
      <w:pPr>
        <w:keepNext/>
        <w:spacing w:before="160" w:after="120" w:line="360" w:lineRule="auto"/>
        <w:outlineLvl w:val="2"/>
      </w:pPr>
      <w:r>
        <w:rPr>
          <w:rFonts w:ascii="黑体" w:hAnsi="黑体" w:eastAsia="黑体"/>
          <w:sz w:val="24"/>
        </w:rPr>
        <w:t>14.3.1  理论贡献</w:t>
      </w:r>
    </w:p>
    <w:p>
      <w:pPr>
        <w:spacing w:line="360" w:lineRule="auto" w:after="0"/>
        <w:ind w:firstLineChars="200" w:firstLine="480"/>
        <w:jc w:val="both"/>
      </w:pPr>
      <w:r>
        <w:rPr>
          <w:rFonts w:ascii="宋体" w:hAnsi="宋体" w:eastAsia="宋体"/>
          <w:sz w:val="24"/>
        </w:rPr>
        <w:t>本书的理论贡献可归纳为三个层面。第一个层面是提出并论证了标准词元这一概念，把当量折算的经济学传统扩展到认知生产领域。标准煤解决了异质能源的可加问题，标准箱解决了异质货物的运力可加问题，二氧化碳当量解决了异质温室气体的气候影响可加问题；标准词元所要解决的，是异质认知服务的价值可加问题。这一扩展并非简单类比：能源与温室气体的折算系数由物理化学性质决定，而词元的折算系数由技术水平与场景结构共同决定，因而必须以公理化的方式约束函数形式，并以可复核的方式确定权重。本书证明的幂积形式唯一性结论，正是这一方法论要求的产物。第二个层面是把标准词元嵌入价值、价格与增长三套理论装置：在价值论上说明词元价值来自活劳动与物化劳动的双重凝结及场景中的价值实现；在价格论上提出三层结构，解释了零边际成本产品何以仍存在稳定的价格梯度；在增长论上把标准词元流量作为独立要素引入生产函数，使人工智能的贡献从残差中分离。</w:t>
      </w:r>
    </w:p>
    <w:p>
      <w:pPr>
        <w:spacing w:line="360" w:lineRule="auto" w:after="0"/>
        <w:ind w:firstLineChars="200" w:firstLine="480"/>
        <w:jc w:val="both"/>
      </w:pPr>
      <w:r>
        <w:rPr>
          <w:rFonts w:ascii="宋体" w:hAnsi="宋体" w:eastAsia="宋体"/>
          <w:sz w:val="24"/>
        </w:rPr>
        <w:t>第三个层面是对既有文献缺口的填补。在计量与评价方向，既有的四套词元评价体系分属不同主体、维度不同、用途不同，其共同的方法论定位是多维评价；本书的定位是当量折算，二者不是竞争关系而是接续关系——多维评价提供可测的维度与达标基线，当量折算提供把维度合成为单一尺度的函数。在数据要素方向，既有研究已就数据的非竞争性、确权与定价形成较为完整的认识（Jones和Tonetti，2020；熊巧琴和汤珂，2021；欧阳日辉和杜青青，2022），但数据要素的价值实现最终要经由模型推理转化为可用的认知服务，词元正是这一转化的计量单位，本书由此为数据要素理论补上了「从资源到服务」的一环。在增长核算方向，本书与资本服务测度传统在方法论上同构：资本服务的加总需要使用者成本作为权重，标准词元的加总需要效值系数作为权重，差别在于前者可由资产市场租金率间接推断，后者因缺乏成熟租赁市场而必须由公理化折算函数构造。在新质生产力的理论讨论中，本书提供了一个可计量、可核算的微观基础（周文和许凌云，2023；洪银兴，2024；韩文龙等，2024），使「智能化如何转化为生产力」这一命题获得了可操作的观测变量。</w:t>
      </w:r>
    </w:p>
    <w:p>
      <w:pPr>
        <w:keepNext/>
        <w:spacing w:before="160" w:after="120" w:line="360" w:lineRule="auto"/>
        <w:outlineLvl w:val="2"/>
      </w:pPr>
      <w:r>
        <w:rPr>
          <w:rFonts w:ascii="黑体" w:hAnsi="黑体" w:eastAsia="黑体"/>
          <w:sz w:val="24"/>
        </w:rPr>
        <w:t>14.3.2  方法贡献</w:t>
      </w:r>
    </w:p>
    <w:p>
      <w:pPr>
        <w:spacing w:line="360" w:lineRule="auto" w:after="0"/>
        <w:ind w:firstLineChars="200" w:firstLine="480"/>
        <w:jc w:val="both"/>
      </w:pPr>
      <w:r>
        <w:rPr>
          <w:rFonts w:ascii="宋体" w:hAnsi="宋体" w:eastAsia="宋体"/>
          <w:sz w:val="24"/>
        </w:rPr>
        <w:t>方法层面的贡献有四项。其一是公理化建模与实证标定的联合使用：本书先由四条公理推出折算函数的形式，再以基准任务集数据标定权重，并把函数形式放宽为不变替代弹性形式作交叉验证，替代参数的标定值在统计上无法拒绝退化为加权几何平均的原假设，从而使公理推论与实证证据相互印证。这一策略避免了纯公理化模型缺乏经验内容与纯数据驱动指标缺乏理论约束这两类常见缺陷。其二是双指数编制方法：把质量调整的思想引入词元价格测度，以效值系数替代享乐回归中的特征系数，使质量改进与真实降价得以分离，这是对享乐价格指数传统的一种适应性改造（Griliches，1961；Pakes，2003）。其三是效率损失的四项分解：把工程侧的空转与批次损失和经济侧的匹配与效值损失置于同一框架，并证明统一调度的效率改进存在可计算的上界，使「利用率低」这一模糊判断转化为可分解、可考核、可干预的结构性诊断。其四是多方法的三角验证：以演化博弈刻画制度跃迁的阈值效应，以层次分析法对制度要件赋权，以扎根理论对企业采纳障碍编码，三类证据在「计量不透明是首要障碍」这一结论上相互印证，降低了单一方法的识别风险。</w:t>
      </w:r>
    </w:p>
    <w:p>
      <w:pPr>
        <w:keepNext/>
        <w:spacing w:before="160" w:after="120" w:line="360" w:lineRule="auto"/>
        <w:outlineLvl w:val="2"/>
      </w:pPr>
      <w:r>
        <w:rPr>
          <w:rFonts w:ascii="黑体" w:hAnsi="黑体" w:eastAsia="黑体"/>
          <w:sz w:val="24"/>
        </w:rPr>
        <w:t>14.3.3  实践贡献</w:t>
      </w:r>
    </w:p>
    <w:p>
      <w:pPr>
        <w:spacing w:line="360" w:lineRule="auto" w:after="0"/>
        <w:ind w:firstLineChars="200" w:firstLine="480"/>
        <w:jc w:val="both"/>
      </w:pPr>
      <w:r>
        <w:rPr>
          <w:rFonts w:ascii="宋体" w:hAnsi="宋体" w:eastAsia="宋体"/>
          <w:sz w:val="24"/>
        </w:rPr>
        <w:t>实践层面，本书的直接产出是一套可操作的计量与治理工具箱：折算规程与权重、基准任务集与认证流程的设计要点、双指数的编制口径、有效效值利用率的考核口径、绿色词元阈值与碳足迹凭证的设计要点、补贴退出的触发规则。这些工具的共同特征是均以标准词元为公共计量基础，因而可以组合使用而不产生口径冲突。对城市词元运营中心而言，本书提供了主体选择与职能匹配的分析框架、「五个统一」的权重排序，以及跃迁阈值的判别方法，可直接用于运营方案的自我评估；对平台企业而言，本书提供了三层价格结构的定价参照与效值披露的合规预期；对用户企业而言，本书提供了以标准词元单价而非物理词元单价进行选型与成本核算的方法。需要审慎说明的是，本书的全部数值结果均为基于公开锚点的校准复算，其作用是提供量级参照与结构判断，而非可直接引用的官方统计；实践应用时应以本地实测数据重新标定，本书提供的是方法与框架，而非现成的参数表。</w:t>
      </w:r>
    </w:p>
    <w:p>
      <w:pPr>
        <w:keepNext/>
        <w:spacing w:before="160" w:after="120" w:line="360" w:lineRule="auto"/>
        <w:outlineLvl w:val="1"/>
      </w:pPr>
      <w:r>
        <w:rPr>
          <w:rFonts w:ascii="黑体" w:hAnsi="黑体" w:eastAsia="黑体"/>
          <w:sz w:val="28"/>
        </w:rPr>
        <w:t>14.4  研究局限与未来展望</w:t>
      </w:r>
    </w:p>
    <w:p>
      <w:pPr>
        <w:keepNext/>
        <w:spacing w:before="160" w:after="120" w:line="360" w:lineRule="auto"/>
        <w:outlineLvl w:val="2"/>
      </w:pPr>
      <w:r>
        <w:rPr>
          <w:rFonts w:ascii="黑体" w:hAnsi="黑体" w:eastAsia="黑体"/>
          <w:sz w:val="24"/>
        </w:rPr>
        <w:t>14.4.1  研究局限</w:t>
      </w:r>
    </w:p>
    <w:p>
      <w:pPr>
        <w:spacing w:line="360" w:lineRule="auto" w:after="0"/>
        <w:ind w:firstLineChars="200" w:firstLine="480"/>
        <w:jc w:val="both"/>
      </w:pPr>
      <w:r>
        <w:rPr>
          <w:rFonts w:ascii="宋体" w:hAnsi="宋体" w:eastAsia="宋体"/>
          <w:sz w:val="24"/>
        </w:rPr>
        <w:t>本书的局限首先在于数据。词元经济的统计基础尚在形成之中，公开可得的权威数据仅有国家数据局发布的少数官方点位与若干机构报告，本书的多数数值结果系在这些锚点上作校准复算与插值得到，非官方点位在正文与图表中均已注明。这决定了本书结论的性质：结构判断与机理论证具有稳健性，而具体数值只具有量级参照意义。其次在于折算体系的经验基础。三维效值中，算力强度可由推理日志较为客观地测度，推理质量依赖基准任务集的选择，场景效用则依赖对任务价值密度的判断，后两者都存在测量误差与主观性；本书虽以拟合优度与交叉验证提供了内部一致性证据，但缺乏独立的外部效度检验。第三在于识别策略。增长核算部分的面板估计难以完全排除词元使用与产出之间的双向因果，价格与用量的联立性亦未在统一框架内处理；样本期偏短使滞后结构与累积弹性无法稳健识别。第四在于覆盖范围。跨境词元服务的进出口尚未纳入核算边界，多模态词元与图像、音视频词元的折算规则只作了原则性讨论而未细化，训练侧词元与推理侧词元的区分亦有待深化。第五在于制度分析的样本。城市运营中心的实践刚刚起步，五城案例的观察窗口不足一年，制度绩效的判断只能是前瞻性的，尚不足以支撑因果推断。</w:t>
      </w:r>
    </w:p>
    <w:p>
      <w:pPr>
        <w:keepNext/>
        <w:spacing w:before="160" w:after="120" w:line="360" w:lineRule="auto"/>
        <w:outlineLvl w:val="2"/>
      </w:pPr>
      <w:r>
        <w:rPr>
          <w:rFonts w:ascii="黑体" w:hAnsi="黑体" w:eastAsia="黑体"/>
          <w:sz w:val="24"/>
        </w:rPr>
        <w:t>14.4.2  未来展望</w:t>
      </w:r>
    </w:p>
    <w:p>
      <w:pPr>
        <w:spacing w:line="360" w:lineRule="auto" w:after="0"/>
        <w:ind w:firstLineChars="200" w:firstLine="480"/>
        <w:jc w:val="both"/>
      </w:pPr>
      <w:r>
        <w:rPr>
          <w:rFonts w:ascii="宋体" w:hAnsi="宋体" w:eastAsia="宋体"/>
          <w:sz w:val="24"/>
        </w:rPr>
        <w:t>基于上述局限，本书提出六个值得推进的研究方向。第一是折算体系的动态化与多模态扩展。效值系数随技术进步而漂移的性质要求研究折算系数的更新规则：更新过频会损害计量的稳定性，过疏会使基准失真，如何在二者之间求得最优复评周期，是一个可以形式化的机制设计问题。多模态方向上，图像、音频与视频词元的算力强度与信息密度关系与文本差异极大，需要在同一公理框架下扩展维度而不破坏可加性。第二是折算规则的国际比较与互认。不同经济体若各自建立折算体系，词元的跨境流动将面临类似于碳核算中的重复计算与规则冲突问题，跨国比较与互认机制的研究应尽早启动。第三是微观识别。随着企业级词元使用数据的可得性提高，可以用准实验方法识别词元投入对企业生产率、成本结构与就业结构的因果效应，这将为本书的宏观核算提供微观基础；既有关于人工智能与全要素生产率、任务替代与劳动力市场的经验研究为此提供了方法参照（蔡跃洲和陈楠，2019；任英华等，2023；Autor，2024）。</w:t>
      </w:r>
    </w:p>
    <w:p>
      <w:pPr>
        <w:spacing w:line="360" w:lineRule="auto" w:after="0"/>
        <w:ind w:firstLineChars="200" w:firstLine="480"/>
        <w:jc w:val="both"/>
      </w:pPr>
      <w:r>
        <w:rPr>
          <w:rFonts w:ascii="宋体" w:hAnsi="宋体" w:eastAsia="宋体"/>
          <w:sz w:val="24"/>
        </w:rPr>
        <w:t>第四是词元市场的结构演化研究。随着词元成为可计量、可定价的标的，其交易形态可能由现货服务向合约化、标准化方向演进，进而产生远期、容量预留乃至指数挂钩产品，这些新形态的价格发现机制与风险配置效率值得研究，其制度设计亦可借鉴配额与凭证类市场的经验（杨豪等，2023；段玉婉等，2023；姜春海等，2024）。第五是绿色词元的全链条核算与治理。本书处理的主要是推理侧的运行碳排放，训练侧的隐含排放、硬件生产与退役的具身排放以及水资源消耗均未纳入（Luccioni等，2023；de Vries，2023；Crawford，2024；Li等，2025），全生命周期口径下的绿色词元定义与阈值设定是下一步的关键工作。第六是词元经济与就业、分配的关系。本书聚焦计量、定价与配置，未展开分配议题，而认知服务的规模化供给必然改变任务结构与技能溢价，其对劳动收入份额与区域差距的影响需要专门研究（王永钦和董雯，2020；柏培文和张云，2021；王林辉等，2022；肖土盛等，2022；何小钢等，2023）。这六个方向共同指向一个更长期的判断：词元经济的研究正处在从现象描述向制度分析、从技术指标向经济计量转型的起点，本书希望提供的是这一转型所需的一块地基，而非一座完整的建筑。</w:t>
      </w:r>
    </w:p>
    <w:p>
      <w:pPr>
        <w:keepNext/>
        <w:spacing w:before="160" w:after="120" w:line="360" w:lineRule="auto"/>
        <w:outlineLvl w:val="1"/>
      </w:pPr>
      <w:r>
        <w:rPr>
          <w:rFonts w:ascii="黑体" w:hAnsi="黑体" w:eastAsia="黑体"/>
          <w:sz w:val="28"/>
        </w:rPr>
        <w:t>14.5  本章小结</w:t>
      </w:r>
    </w:p>
    <w:p>
      <w:pPr>
        <w:spacing w:line="360" w:lineRule="auto" w:after="0"/>
        <w:ind w:firstLineChars="200" w:firstLine="480"/>
        <w:jc w:val="both"/>
      </w:pPr>
      <w:r>
        <w:rPr>
          <w:rFonts w:ascii="宋体" w:hAnsi="宋体" w:eastAsia="宋体"/>
          <w:sz w:val="24"/>
        </w:rPr>
        <w:t>本章是全书的收束。围绕「物理词元不是合格的价值单位、只有标准词元才能承担四重经济职能」这一核心命题，本章首先以式(14-1)的枢纽恒等式组把折算、计价、转化、碳核算与增长核算五条线索接在同一个变量上，进而沿计量、定价、配置三条主线归纳出九条主要结论。计量线的三条结论确立了问题与解法：折算前单位词元价格的变异系数达0.92、极差12.6倍，物理词元不可加；四条公理约束下折算函数必为幂积形式，标定权重为0.4383、0.2964与0.2653，不变替代弹性形式的独立标定与之相互印证；折算后变异系数降至0.31、极差收敛至2.4倍，价格趋近一价定律。本章同时明确了本书与既有工作的关系：中国信息通信研究院的六维服务质量评估与四维标准体系、中国工业互联网研究院的五维价值度量、清华大学翟季冬团队联合清程极智的三项实测指标，四套体系主体不同、维度不同、用途不同，其共同定位是多维评价，而本书的增量在于从多维评价推进到当量折算。</w:t>
      </w:r>
    </w:p>
    <w:p>
      <w:pPr>
        <w:spacing w:line="360" w:lineRule="auto" w:after="0"/>
        <w:ind w:firstLineChars="200" w:firstLine="480"/>
        <w:jc w:val="both"/>
      </w:pPr>
      <w:r>
        <w:rPr>
          <w:rFonts w:ascii="宋体" w:hAnsi="宋体" w:eastAsia="宋体"/>
          <w:sz w:val="24"/>
        </w:rPr>
        <w:t>定价线的三条结论刻画了价格的结构、指数的口径与市场的失灵：三层价格结构中成本底价占比随档位由45.0%降至24.0%、场景租金占比由32.5%升至44.4%，解释了通用词元降价与高效值词元溢价扩大的并存；物理词元价格指数累计下降79%而标准词元价格指数仅下降53%，表观降价中约53%实为效值提升，以物理单价评估普惠成效将产生系统性偏差；需求弹性-1.34且行业异质极强，而效值认知偏差0.44与低效值过度采购份额27%表明信息不对称是首要失灵。配置线的三条结论则给出了效率、制度与增长的定量判断：名义利用率62%经四项损失后降至有效效值利用率38%，统一调度可回升至54%、上界61%；企业采纳的临界红利1.55仅比基准情景高3%，却决定了补贴能否退出，制度阈值的「差之毫厘」效应由此凸显；标准词元流量的产出弹性0.108使2026年词元贡献达0.34个百分点、占实际增长率的6.8%，并使全要素生产率残差的高估被纠正0.29个百分点，而碳强度2.263与阈值1.0 gCO₂e／千标准词元之间的差距为这一增长路径设定了硬边界。</w:t>
      </w:r>
    </w:p>
    <w:p>
      <w:pPr>
        <w:spacing w:line="360" w:lineRule="auto" w:after="0"/>
        <w:ind w:firstLineChars="200" w:firstLine="480"/>
        <w:jc w:val="both"/>
      </w:pPr>
      <w:r>
        <w:rPr>
          <w:rFonts w:ascii="宋体" w:hAnsi="宋体" w:eastAsia="宋体"/>
          <w:sz w:val="24"/>
        </w:rPr>
        <w:t>在结论的基础上，本章从社会计划者的配置问题出发，以式(14-2)的一阶条件推出政策工具的分工逻辑：效值加权的边际条件对应信息问题，碳成本内部化对应外部性问题，算力影子价格的均等化对应协调问题，三者分别由计量侧、绿色治理与配置侧工具处理，而定价侧的指数与披露使三类工具的效果可被观测。据此提出的政策体系呈现为「三支柱＋一基础」结构，并整理为十二条政策建议清单。清单的两个特点值得强调：其一是次序，计量先行不是价值排序而是逻辑必需；其二是抓手，每条建议均嵌入既有制度载体而非新设机构，以降低组织与协调成本。本章还以式(14-3)给出补贴退出的规则化条件，指出退出应以红利越过自维持阈值1.80为条件而非以预设年限为条件，并证明提高交易费用节约与加快同侪扩散可直接压缩财政支出上界，退出规则必须事前公布方能满足时间一致性。</w:t>
      </w:r>
    </w:p>
    <w:p>
      <w:pPr>
        <w:spacing w:line="360" w:lineRule="auto" w:after="0"/>
        <w:ind w:firstLineChars="200" w:firstLine="480"/>
        <w:jc w:val="both"/>
      </w:pPr>
      <w:r>
        <w:rPr>
          <w:rFonts w:ascii="宋体" w:hAnsi="宋体" w:eastAsia="宋体"/>
          <w:sz w:val="24"/>
        </w:rPr>
        <w:t>最后，本章陈述了本书在理论、方法与实践三个层面的贡献，并坦陈了数据基础、折算体系外部效度、识别策略、覆盖范围与制度样本五方面的局限，提出折算体系动态化与多模态扩展、折算规则的国际比较与互认、微观因果识别、词元市场的结构演化、绿色词元的全链条核算、词元经济与就业分配关系六个研究方向。综观全书，词元由一个技术计量单位成长为经济计量单位的过程，本质上是一次计量革命在智能经济领域的重演：正如标准煤之于能源经济、标准箱之于航运经济、二氧化碳当量之于气候治理，标准词元的意义不在于它是一个新指标，而在于它使一类此前无法加总的经济活动获得了可加、可比、可核算的共同尺度。术语的统一已由全国科学技术名词审定委员会以发布试用的方式迈出第一步，计量规则的统一则有待标准、统计与认证三套制度的协同推进。本书的判断是：在算力与模型的竞争之后，真正决定智能经济能否高质量运行的，将是计量地基的牢固程度；而地基一旦筑成，定价、配置、绿色与增长四类政策才可能建立在同一套事实之上，词元经济也才能够从规模扩张走向效率提升与制度成熟。</w:t>
      </w:r>
    </w:p>
    <w:p>
      <w:r>
        <w:br w:type="page"/>
      </w:r>
    </w:p>
    <w:p>
      <w:pPr>
        <w:keepNext/>
        <w:spacing w:before="240" w:after="160" w:line="360" w:lineRule="auto"/>
        <w:jc w:val="center"/>
        <w:outlineLvl w:val="0"/>
      </w:pPr>
      <w:r>
        <w:rPr>
          <w:rFonts w:ascii="黑体" w:hAnsi="黑体" w:eastAsia="黑体"/>
          <w:b/>
          <w:sz w:val="30"/>
        </w:rPr>
        <w:t>参考文献</w:t>
      </w:r>
    </w:p>
    <w:p>
      <w:pPr>
        <w:spacing w:line="360" w:lineRule="auto" w:after="40"/>
        <w:ind w:left="480" w:hanging="480"/>
      </w:pPr>
      <w:r>
        <w:rPr>
          <w:rFonts w:ascii="宋体" w:hAnsi="宋体" w:eastAsia="宋体"/>
          <w:sz w:val="21"/>
        </w:rPr>
        <w:t>[1] 国家市场监督管理总局, 国家标准化管理委员会. 综合能耗计算通则: GB/T 2589—2020[S]. 北京: 中国标准出版社, 2020.</w:t>
      </w:r>
    </w:p>
    <w:p>
      <w:pPr>
        <w:spacing w:line="360" w:lineRule="auto" w:after="40"/>
        <w:ind w:left="480" w:hanging="480"/>
      </w:pPr>
      <w:r>
        <w:rPr>
          <w:rFonts w:ascii="宋体" w:hAnsi="宋体" w:eastAsia="宋体"/>
          <w:sz w:val="21"/>
        </w:rPr>
        <w:t>[2] WORLD RESOURCES INSTITUTE, WORLD BUSINESS COUNCIL FOR SUSTAINABLE DEVELOPMENT. Greenhouse gas protocol product life cycle accounting and reporting standard[S/OL]. Washington, DC: WRI; Geneva: WBCSD, 2011[2026-08-13]. https://ghgprotocol.org/product-standard.</w:t>
      </w:r>
    </w:p>
    <w:p>
      <w:pPr>
        <w:spacing w:line="360" w:lineRule="auto" w:after="40"/>
        <w:ind w:left="480" w:hanging="480"/>
      </w:pPr>
      <w:r>
        <w:rPr>
          <w:rFonts w:ascii="宋体" w:hAnsi="宋体" w:eastAsia="宋体"/>
          <w:sz w:val="21"/>
        </w:rPr>
        <w:t>[3] INTERNATIONAL ORGANIZATION FOR STANDARDIZATION. Greenhouse gases — carbon footprint of products — requirements and guidelines for quantification: ISO 14067:2018[S/OL]. Geneva: ISO, 2018[2026-08-13]. https://www.iso.org/standard/71206.html.</w:t>
      </w:r>
    </w:p>
    <w:p>
      <w:pPr>
        <w:spacing w:line="360" w:lineRule="auto" w:after="40"/>
        <w:ind w:left="480" w:hanging="480"/>
      </w:pPr>
      <w:r>
        <w:rPr>
          <w:rFonts w:ascii="宋体" w:hAnsi="宋体" w:eastAsia="宋体"/>
          <w:sz w:val="21"/>
        </w:rPr>
        <w:t>[4] 国家市场监督管理总局, 国家标准化管理委员会. 温室气体 产品碳足迹 量化要求和指南: GB/T 24067—2024[S]. 北京: 中国标准出版社, 2024.</w:t>
      </w:r>
    </w:p>
    <w:p>
      <w:pPr>
        <w:spacing w:line="360" w:lineRule="auto" w:after="40"/>
        <w:ind w:left="480" w:hanging="480"/>
      </w:pPr>
      <w:r>
        <w:rPr>
          <w:rFonts w:ascii="宋体" w:hAnsi="宋体" w:eastAsia="宋体"/>
          <w:sz w:val="21"/>
        </w:rPr>
        <w:t>[5] FARRELL J, SALONER G. Standardization, compatibility, and innovation[J]. The RAND Journal of Economics, 1985, 16(1): 70-83.</w:t>
      </w:r>
    </w:p>
    <w:p>
      <w:pPr>
        <w:spacing w:line="360" w:lineRule="auto" w:after="40"/>
        <w:ind w:left="480" w:hanging="480"/>
      </w:pPr>
      <w:r>
        <w:rPr>
          <w:rFonts w:ascii="宋体" w:hAnsi="宋体" w:eastAsia="宋体"/>
          <w:sz w:val="21"/>
        </w:rPr>
        <w:t>[6] SIMCOE T. Standard setting committees: consensus governance for shared technology platforms[J]. American Economic Review, 2012, 102(1): 305-336.</w:t>
      </w:r>
    </w:p>
    <w:p>
      <w:pPr>
        <w:spacing w:line="360" w:lineRule="auto" w:after="40"/>
        <w:ind w:left="480" w:hanging="480"/>
      </w:pPr>
      <w:r>
        <w:rPr>
          <w:rFonts w:ascii="宋体" w:hAnsi="宋体" w:eastAsia="宋体"/>
          <w:sz w:val="21"/>
        </w:rPr>
        <w:t>[7] 何凡, 黄炜, 陈波. 标准的力量：物流标准化与企业全要素生产率提升[J]. 数量经济技术经济研究, 2025, 42(8): 26-46.</w:t>
      </w:r>
    </w:p>
    <w:p>
      <w:pPr>
        <w:spacing w:line="360" w:lineRule="auto" w:after="40"/>
        <w:ind w:left="480" w:hanging="480"/>
      </w:pPr>
      <w:r>
        <w:rPr>
          <w:rFonts w:ascii="宋体" w:hAnsi="宋体" w:eastAsia="宋体"/>
          <w:sz w:val="21"/>
        </w:rPr>
        <w:t>[8] JONES C I, TONETTI C. Nonrivalry and the economics of data[J]. American Economic Review, 2020, 110(9): 2819-2858.</w:t>
      </w:r>
    </w:p>
    <w:p>
      <w:pPr>
        <w:spacing w:line="360" w:lineRule="auto" w:after="40"/>
        <w:ind w:left="480" w:hanging="480"/>
      </w:pPr>
      <w:r>
        <w:rPr>
          <w:rFonts w:ascii="宋体" w:hAnsi="宋体" w:eastAsia="宋体"/>
          <w:sz w:val="21"/>
        </w:rPr>
        <w:t>[9] 熊巧琴, 汤珂. 数据要素的界权、交易和定价研究进展[J]. 经济学动态, 2021(2): 143-158.</w:t>
      </w:r>
    </w:p>
    <w:p>
      <w:pPr>
        <w:spacing w:line="360" w:lineRule="auto" w:after="40"/>
        <w:ind w:left="480" w:hanging="480"/>
      </w:pPr>
      <w:r>
        <w:rPr>
          <w:rFonts w:ascii="宋体" w:hAnsi="宋体" w:eastAsia="宋体"/>
          <w:sz w:val="21"/>
        </w:rPr>
        <w:t>[10] 欧阳日辉, 杜青青. 数据要素定价机制研究进展[J]. 经济学动态, 2022(2): 124-141.</w:t>
      </w:r>
    </w:p>
    <w:p>
      <w:pPr>
        <w:spacing w:line="360" w:lineRule="auto" w:after="40"/>
        <w:ind w:left="480" w:hanging="480"/>
      </w:pPr>
      <w:r>
        <w:rPr>
          <w:rFonts w:ascii="宋体" w:hAnsi="宋体" w:eastAsia="宋体"/>
          <w:sz w:val="21"/>
        </w:rPr>
        <w:t>[11] PEI J. A survey on data pricing: from economics to data science[J]. IEEE Transactions on Knowledge and Data Engineering, 2022, 34(10): 4586-4608.</w:t>
      </w:r>
    </w:p>
    <w:p>
      <w:pPr>
        <w:spacing w:line="360" w:lineRule="auto" w:after="40"/>
        <w:ind w:left="480" w:hanging="480"/>
      </w:pPr>
      <w:r>
        <w:rPr>
          <w:rFonts w:ascii="宋体" w:hAnsi="宋体" w:eastAsia="宋体"/>
          <w:sz w:val="21"/>
        </w:rPr>
        <w:t>[12] 财政部. 关于印发《企业数据资源相关会计处理暂行规定》的通知: 财会〔2023〕11号[EB/OL]. (2023-08-21)[2026-08-13]. http://kjs.mof.gov.cn/zhengcefabu/202308/t20230821_3903354.htm.</w:t>
      </w:r>
    </w:p>
    <w:p>
      <w:pPr>
        <w:spacing w:line="360" w:lineRule="auto" w:after="40"/>
        <w:ind w:left="480" w:hanging="480"/>
      </w:pPr>
      <w:r>
        <w:rPr>
          <w:rFonts w:ascii="宋体" w:hAnsi="宋体" w:eastAsia="宋体"/>
          <w:sz w:val="21"/>
        </w:rPr>
        <w:t>[13] 罗玫, 李金璞, 汤珂. 企业数据资产化：会计确认与价值评估[J]. 清华大学学报(哲学社会科学版), 2023, 38(5): 195-209.</w:t>
      </w:r>
    </w:p>
    <w:p>
      <w:pPr>
        <w:spacing w:line="360" w:lineRule="auto" w:after="40"/>
        <w:ind w:left="480" w:hanging="480"/>
      </w:pPr>
      <w:r>
        <w:rPr>
          <w:rFonts w:ascii="宋体" w:hAnsi="宋体" w:eastAsia="宋体"/>
          <w:sz w:val="21"/>
        </w:rPr>
        <w:t>[14] 杨仲山, 张美慧. 数字经济卫星账户：国际经验及中国编制方案的设计[J]. 统计研究, 2019, 36(5): 16-30.</w:t>
      </w:r>
    </w:p>
    <w:p>
      <w:pPr>
        <w:spacing w:line="360" w:lineRule="auto" w:after="40"/>
        <w:ind w:left="480" w:hanging="480"/>
      </w:pPr>
      <w:r>
        <w:rPr>
          <w:rFonts w:ascii="宋体" w:hAnsi="宋体" w:eastAsia="宋体"/>
          <w:sz w:val="21"/>
        </w:rPr>
        <w:t>[15] 许宪春, 张美慧, 张钟文. 数字化转型与经济社会统计的挑战和创新[J]. 统计研究, 2021, 38(1): 15-26.</w:t>
      </w:r>
    </w:p>
    <w:p>
      <w:pPr>
        <w:spacing w:line="360" w:lineRule="auto" w:after="40"/>
        <w:ind w:left="480" w:hanging="480"/>
      </w:pPr>
      <w:r>
        <w:rPr>
          <w:rFonts w:ascii="宋体" w:hAnsi="宋体" w:eastAsia="宋体"/>
          <w:sz w:val="21"/>
        </w:rPr>
        <w:t>[16] 蔡跃洲, 牛新星. 中国数字经济增加值规模测算及结构分析[J]. 中国社会科学, 2021(11): 4-30.</w:t>
      </w:r>
    </w:p>
    <w:p>
      <w:pPr>
        <w:spacing w:line="360" w:lineRule="auto" w:after="40"/>
        <w:ind w:left="480" w:hanging="480"/>
      </w:pPr>
      <w:r>
        <w:rPr>
          <w:rFonts w:ascii="宋体" w:hAnsi="宋体" w:eastAsia="宋体"/>
          <w:sz w:val="21"/>
        </w:rPr>
        <w:t>[17] 蔡跃洲, 马文君. 数据要素对高质量发展影响与数据流动制约[J]. 数量经济技术经济研究, 2021, 38(3): 64-83.</w:t>
      </w:r>
    </w:p>
    <w:p>
      <w:pPr>
        <w:spacing w:line="360" w:lineRule="auto" w:after="40"/>
        <w:ind w:left="480" w:hanging="480"/>
      </w:pPr>
      <w:r>
        <w:rPr>
          <w:rFonts w:ascii="宋体" w:hAnsi="宋体" w:eastAsia="宋体"/>
          <w:sz w:val="21"/>
        </w:rPr>
        <w:t>[18] SENNRICH R, HADDOW B, BIRCH A. Neural machine translation of rare words with subword units[C]//Proceedings of the 54th Annual Meeting of the Association for Computational Linguistics (Volume 1: Long Papers). Berlin: Association for Computational Linguistics, 2016: 1715-1725.</w:t>
      </w:r>
    </w:p>
    <w:p>
      <w:pPr>
        <w:spacing w:line="360" w:lineRule="auto" w:after="40"/>
        <w:ind w:left="480" w:hanging="480"/>
      </w:pPr>
      <w:r>
        <w:rPr>
          <w:rFonts w:ascii="宋体" w:hAnsi="宋体" w:eastAsia="宋体"/>
          <w:sz w:val="21"/>
        </w:rPr>
        <w:t>[19] KUDO T, RICHARDSON J. SentencePiece: a simple and language independent subword tokenizer and detokenizer for neural text processing[C]//Proceedings of the 2018 Conference on Empirical Methods in Natural Language Processing: System Demonstrations. Brussels: Association for Computational Linguistics, 2018: 66-71.</w:t>
      </w:r>
    </w:p>
    <w:p>
      <w:pPr>
        <w:spacing w:line="360" w:lineRule="auto" w:after="40"/>
        <w:ind w:left="480" w:hanging="480"/>
      </w:pPr>
      <w:r>
        <w:rPr>
          <w:rFonts w:ascii="宋体" w:hAnsi="宋体" w:eastAsia="宋体"/>
          <w:sz w:val="21"/>
        </w:rPr>
        <w:t>[20] RUST P, PFEIFFER J, VULIĆ I, et al. How good is your tokenizer? On the monolingual performance of multilingual language models[C]//Proceedings of the 59th Annual Meeting of the Association for Computational Linguistics and the 11th International Joint Conference on Natural Language Processing (Volume 1: Long Papers). Online: Association for Computational Linguistics, 2021: 3118-3135.</w:t>
      </w:r>
    </w:p>
    <w:p>
      <w:pPr>
        <w:spacing w:line="360" w:lineRule="auto" w:after="40"/>
        <w:ind w:left="480" w:hanging="480"/>
      </w:pPr>
      <w:r>
        <w:rPr>
          <w:rFonts w:ascii="宋体" w:hAnsi="宋体" w:eastAsia="宋体"/>
          <w:sz w:val="21"/>
        </w:rPr>
        <w:t>[21] PETROV A, LA MALFA E, TORR P H S, et al. Language model tokenizers introduce unfairness between languages[C]//Advances in Neural Information Processing Systems 36 (NeurIPS 2023). Red Hook, NY: Curran Associates, 2023: 36963-36990.</w:t>
      </w:r>
    </w:p>
    <w:p>
      <w:pPr>
        <w:spacing w:line="360" w:lineRule="auto" w:after="40"/>
        <w:ind w:left="480" w:hanging="480"/>
      </w:pPr>
      <w:r>
        <w:rPr>
          <w:rFonts w:ascii="宋体" w:hAnsi="宋体" w:eastAsia="宋体"/>
          <w:sz w:val="21"/>
        </w:rPr>
        <w:t>[22] AHIA O, KUMAR S, GONEN H, et al. Do all languages cost the same? Tokenization in the era of commercial language models[C]//Proceedings of the 2023 Conference on Empirical Methods in Natural Language Processing. Singapore: Association for Computational Linguistics, 2023: 9904-9923.</w:t>
      </w:r>
    </w:p>
    <w:p>
      <w:pPr>
        <w:spacing w:line="360" w:lineRule="auto" w:after="40"/>
        <w:ind w:left="480" w:hanging="480"/>
      </w:pPr>
      <w:r>
        <w:rPr>
          <w:rFonts w:ascii="宋体" w:hAnsi="宋体" w:eastAsia="宋体"/>
          <w:sz w:val="21"/>
        </w:rPr>
        <w:t>[23] KATZ M L, SHAPIRO C. Network externalities, competition, and compatibility[J]. American Economic Review, 1985, 75(3): 424-440.</w:t>
      </w:r>
    </w:p>
    <w:p>
      <w:pPr>
        <w:spacing w:line="360" w:lineRule="auto" w:after="40"/>
        <w:ind w:left="480" w:hanging="480"/>
      </w:pPr>
      <w:r>
        <w:rPr>
          <w:rFonts w:ascii="宋体" w:hAnsi="宋体" w:eastAsia="宋体"/>
          <w:sz w:val="21"/>
        </w:rPr>
        <w:t>[24] 国家发展改革委, 中央网信办, 工业和信息化部, 等. 全国一体化大数据中心协同创新体系算力枢纽实施方案: 发改高技〔2021〕709号[EB/OL]. (2021-05-24)[2026-08-13]. https://www.ndrc.gov.cn/xxgk/zcfb/tz/202105/t20210526_1280838.html.</w:t>
      </w:r>
    </w:p>
    <w:p>
      <w:pPr>
        <w:spacing w:line="360" w:lineRule="auto" w:after="40"/>
        <w:ind w:left="480" w:hanging="480"/>
      </w:pPr>
      <w:r>
        <w:rPr>
          <w:rFonts w:ascii="宋体" w:hAnsi="宋体" w:eastAsia="宋体"/>
          <w:sz w:val="21"/>
        </w:rPr>
        <w:t>[25] 国家发展改革委, 国家数据局, 中央网信办, 等. 关于深入实施“东数西算”工程 加快构建全国一体化算力网的实施意见: 发改数据〔2023〕1779号[EB/OL]. (2023-12-29)[2026-08-13]. https://www.ndrc.gov.cn/xxgk/zcfb/tz/202312/t20231229_1363000.html.</w:t>
      </w:r>
    </w:p>
    <w:p>
      <w:pPr>
        <w:spacing w:line="360" w:lineRule="auto" w:after="40"/>
        <w:ind w:left="480" w:hanging="480"/>
      </w:pPr>
      <w:r>
        <w:rPr>
          <w:rFonts w:ascii="宋体" w:hAnsi="宋体" w:eastAsia="宋体"/>
          <w:sz w:val="21"/>
        </w:rPr>
        <w:t>[26] 许诺, 毛聚, 毛新述, 等. 算力部署、数据跨域流动与企业全要素生产率——来自智算中心的证据[J]. 中国工业经济, 2025(4): 61-79.</w:t>
      </w:r>
    </w:p>
    <w:p>
      <w:pPr>
        <w:spacing w:line="360" w:lineRule="auto" w:after="40"/>
        <w:ind w:left="480" w:hanging="480"/>
      </w:pPr>
      <w:r>
        <w:rPr>
          <w:rFonts w:ascii="宋体" w:hAnsi="宋体" w:eastAsia="宋体"/>
          <w:sz w:val="21"/>
        </w:rPr>
        <w:t>[27] 王勇, 傅芳宁, 陆树檀. 算力共享与算力市场培育——基于需求侧的算力资源配置研究[J]. 财经问题研究, 2025(4): 3-14.</w:t>
      </w:r>
    </w:p>
    <w:p>
      <w:pPr>
        <w:spacing w:line="360" w:lineRule="auto" w:after="40"/>
        <w:ind w:left="480" w:hanging="480"/>
      </w:pPr>
      <w:r>
        <w:rPr>
          <w:rFonts w:ascii="宋体" w:hAnsi="宋体" w:eastAsia="宋体"/>
          <w:sz w:val="21"/>
        </w:rPr>
        <w:t>[28] 上海市经济和信息化委员会. 上海市软件和信息服务业发展“十五五”规划: 沪经信软〔2026〕471号[EB/OL]. (2026-08-04)[2026-08-13]. https://sheitc.sh.gov.cn/cyfz/20260811/7ff732b1c470421c86e46d14c0270ead.html.</w:t>
      </w:r>
    </w:p>
    <w:p>
      <w:pPr>
        <w:spacing w:line="360" w:lineRule="auto" w:after="40"/>
        <w:ind w:left="480" w:hanging="480"/>
      </w:pPr>
      <w:r>
        <w:rPr>
          <w:rFonts w:ascii="宋体" w:hAnsi="宋体" w:eastAsia="宋体"/>
          <w:sz w:val="21"/>
        </w:rPr>
        <w:t>[29] NOY S, ZHANG W. Experimental evidence on the productivity effects of generative artificial intelligence[J]. Science, 2023, 381(6654): 187-192.</w:t>
      </w:r>
    </w:p>
    <w:p>
      <w:pPr>
        <w:spacing w:line="360" w:lineRule="auto" w:after="40"/>
        <w:ind w:left="480" w:hanging="480"/>
      </w:pPr>
      <w:r>
        <w:rPr>
          <w:rFonts w:ascii="宋体" w:hAnsi="宋体" w:eastAsia="宋体"/>
          <w:sz w:val="21"/>
        </w:rPr>
        <w:t>[30] BRYNJOLFSSON E, LI D, RAYMOND L. Generative AI at work[J]. The Quarterly Journal of Economics, 2025, 140(2): 889-942.</w:t>
      </w:r>
    </w:p>
    <w:p>
      <w:pPr>
        <w:spacing w:line="360" w:lineRule="auto" w:after="40"/>
        <w:ind w:left="480" w:hanging="480"/>
      </w:pPr>
      <w:r>
        <w:rPr>
          <w:rFonts w:ascii="宋体" w:hAnsi="宋体" w:eastAsia="宋体"/>
          <w:sz w:val="21"/>
        </w:rPr>
        <w:t>[31] CZARNITZKI D, FERNÁNDEZ G P, RAMMER C. Artificial intelligence and firm-level productivity[J]. Journal of Economic Behavior &amp; Organization, 2023, 211: 188-205.</w:t>
      </w:r>
    </w:p>
    <w:p>
      <w:pPr>
        <w:spacing w:line="360" w:lineRule="auto" w:after="40"/>
        <w:ind w:left="480" w:hanging="480"/>
      </w:pPr>
      <w:r>
        <w:rPr>
          <w:rFonts w:ascii="宋体" w:hAnsi="宋体" w:eastAsia="宋体"/>
          <w:sz w:val="21"/>
        </w:rPr>
        <w:t>[32] BICK A, BLANDIN A, DEMING D J. The rapid adoption of generative AI: NBER working paper No. 32966[R]. Cambridge, MA: National Bureau of Economic Research, 2024.</w:t>
      </w:r>
    </w:p>
    <w:p>
      <w:pPr>
        <w:spacing w:line="360" w:lineRule="auto" w:after="40"/>
        <w:ind w:left="480" w:hanging="480"/>
      </w:pPr>
      <w:r>
        <w:rPr>
          <w:rFonts w:ascii="宋体" w:hAnsi="宋体" w:eastAsia="宋体"/>
          <w:sz w:val="21"/>
        </w:rPr>
        <w:t>[33] HUMLUM A, VESTERGAARD E. The unequal adoption of ChatGPT exacerbates existing inequalities among workers[J]. Proceedings of the National Academy of Sciences of the United States of America, 2025, 122(1): e2414972121.</w:t>
      </w:r>
    </w:p>
    <w:p>
      <w:pPr>
        <w:spacing w:line="360" w:lineRule="auto" w:after="40"/>
        <w:ind w:left="480" w:hanging="480"/>
      </w:pPr>
      <w:r>
        <w:rPr>
          <w:rFonts w:ascii="宋体" w:hAnsi="宋体" w:eastAsia="宋体"/>
          <w:sz w:val="21"/>
        </w:rPr>
        <w:t>[34] ACEMOGLU D. The simple macroeconomics of AI[J]. Economic Policy, 2025, 40(121): 13-58.</w:t>
      </w:r>
    </w:p>
    <w:p>
      <w:pPr>
        <w:spacing w:line="360" w:lineRule="auto" w:after="40"/>
        <w:ind w:left="480" w:hanging="480"/>
      </w:pPr>
      <w:r>
        <w:rPr>
          <w:rFonts w:ascii="宋体" w:hAnsi="宋体" w:eastAsia="宋体"/>
          <w:sz w:val="21"/>
        </w:rPr>
        <w:t>[35] OECD. The impact of artificial intelligence on productivity, distribution and growth: key mechanisms, initial evidence and policy challenges[R/OL]. Paris: OECD Publishing, 2024[2026-08-13]. https://www.oecd.org/en/publications/the-impact-of-artificial-intelligence-on-productivity-distribution-and-growth_8d900037-en.html.</w:t>
      </w:r>
    </w:p>
    <w:p>
      <w:pPr>
        <w:spacing w:line="360" w:lineRule="auto" w:after="40"/>
        <w:ind w:left="480" w:hanging="480"/>
      </w:pPr>
      <w:r>
        <w:rPr>
          <w:rFonts w:ascii="宋体" w:hAnsi="宋体" w:eastAsia="宋体"/>
          <w:sz w:val="21"/>
        </w:rPr>
        <w:t>[36] BRYNJOLFSSON E, ROCK D, SYVERSON C. Artificial intelligence and the modern productivity paradox: a clash of expectations and statistics[M]//AGRAWAL A, GANS J, GOLDFARB A. The economics of artificial intelligence: an agenda. Chicago: University of Chicago Press, 2019: 23-57.</w:t>
      </w:r>
    </w:p>
    <w:p>
      <w:pPr>
        <w:spacing w:line="360" w:lineRule="auto" w:after="40"/>
        <w:ind w:left="480" w:hanging="480"/>
      </w:pPr>
      <w:r>
        <w:rPr>
          <w:rFonts w:ascii="宋体" w:hAnsi="宋体" w:eastAsia="宋体"/>
          <w:sz w:val="21"/>
        </w:rPr>
        <w:t>[37] BRYNJOLFSSON E, ROCK D, SYVERSON C. The productivity J-curve: how intangibles complement general purpose technologies[J]. American Economic Journal: Macroeconomics, 2021, 13(1): 333-372.</w:t>
      </w:r>
    </w:p>
    <w:p>
      <w:pPr>
        <w:spacing w:line="360" w:lineRule="auto" w:after="40"/>
        <w:ind w:left="480" w:hanging="480"/>
      </w:pPr>
      <w:r>
        <w:rPr>
          <w:rFonts w:ascii="宋体" w:hAnsi="宋体" w:eastAsia="宋体"/>
          <w:sz w:val="21"/>
        </w:rPr>
        <w:t>[38] SYVERSON C. Challenges to mismeasurement explanations for the US productivity slowdown[J]. Journal of Economic Perspectives, 2017, 31(2): 165-186.</w:t>
      </w:r>
    </w:p>
    <w:p>
      <w:pPr>
        <w:spacing w:line="360" w:lineRule="auto" w:after="40"/>
        <w:ind w:left="480" w:hanging="480"/>
      </w:pPr>
      <w:r>
        <w:rPr>
          <w:rFonts w:ascii="宋体" w:hAnsi="宋体" w:eastAsia="宋体"/>
          <w:sz w:val="21"/>
        </w:rPr>
        <w:t>[39] BYRNE D M, CORRADO C A, SICHEL D E. The rise of cloud computing: minding your P's, Q's and K's: NBER working paper No. 25188[R]. Cambridge, MA: National Bureau of Economic Research, 2018.</w:t>
      </w:r>
    </w:p>
    <w:p>
      <w:pPr>
        <w:spacing w:line="360" w:lineRule="auto" w:after="40"/>
        <w:ind w:left="480" w:hanging="480"/>
      </w:pPr>
      <w:r>
        <w:rPr>
          <w:rFonts w:ascii="宋体" w:hAnsi="宋体" w:eastAsia="宋体"/>
          <w:sz w:val="21"/>
        </w:rPr>
        <w:t>[40] DESTEFANO T, KNELLER R, TIMMIS J. Cloud computing and firm growth[J]. The Review of Economics and Statistics, 2025, 107(6): 1638-1651.</w:t>
      </w:r>
    </w:p>
    <w:p>
      <w:pPr>
        <w:spacing w:line="360" w:lineRule="auto" w:after="40"/>
        <w:ind w:left="480" w:hanging="480"/>
      </w:pPr>
      <w:r>
        <w:rPr>
          <w:rFonts w:ascii="宋体" w:hAnsi="宋体" w:eastAsia="宋体"/>
          <w:sz w:val="21"/>
        </w:rPr>
        <w:t>[41] AKERLOF G A. The market for "lemons": quality uncertainty and the market mechanism[J]. The Quarterly Journal of Economics, 1970, 84(3): 488-500.</w:t>
      </w:r>
    </w:p>
    <w:p>
      <w:pPr>
        <w:spacing w:line="360" w:lineRule="auto" w:after="40"/>
        <w:ind w:left="480" w:hanging="480"/>
      </w:pPr>
      <w:r>
        <w:rPr>
          <w:rFonts w:ascii="宋体" w:hAnsi="宋体" w:eastAsia="宋体"/>
          <w:sz w:val="21"/>
        </w:rPr>
        <w:t>[42] DRANOVE D, JIN G Z. Quality disclosure and certification: theory and practice[J]. Journal of Economic Literature, 2010, 48(4): 935-963.</w:t>
      </w:r>
    </w:p>
    <w:p>
      <w:pPr>
        <w:spacing w:line="360" w:lineRule="auto" w:after="40"/>
        <w:ind w:left="480" w:hanging="480"/>
      </w:pPr>
      <w:r>
        <w:rPr>
          <w:rFonts w:ascii="宋体" w:hAnsi="宋体" w:eastAsia="宋体"/>
          <w:sz w:val="21"/>
        </w:rPr>
        <w:t>[43] EUROPEAN PARLIAMENT, COUNCIL OF THE EUROPEAN UNION. Establishing a carbon border adjustment mechanism: Regulation (EU) 2023/956[EB/OL]. (2023-05-16)[2026-08-13]. https://eur-lex.europa.eu/legal-content/EN/TXT/PDF/?uri=CELEX:32023R0956.</w:t>
      </w:r>
    </w:p>
    <w:p>
      <w:pPr>
        <w:spacing w:line="360" w:lineRule="auto" w:after="40"/>
        <w:ind w:left="480" w:hanging="480"/>
      </w:pPr>
      <w:r>
        <w:rPr>
          <w:rFonts w:ascii="宋体" w:hAnsi="宋体" w:eastAsia="宋体"/>
          <w:sz w:val="21"/>
        </w:rPr>
        <w:t>[44] PATTERSON D, GONZALEZ J, HÖLZLE U, et al. The carbon footprint of machine learning training will plateau, then shrink[J]. Computer, 2022, 55(7): 18-28.</w:t>
      </w:r>
    </w:p>
    <w:p>
      <w:pPr>
        <w:spacing w:line="360" w:lineRule="auto" w:after="40"/>
        <w:ind w:left="480" w:hanging="480"/>
      </w:pPr>
      <w:r>
        <w:rPr>
          <w:rFonts w:ascii="宋体" w:hAnsi="宋体" w:eastAsia="宋体"/>
          <w:sz w:val="21"/>
        </w:rPr>
        <w:t>[45] LUCCIONI A S, JERNITE Y, STRUBELL E. Power hungry processing: watts driving the cost of AI deployment?[C]//Proceedings of the 2024 ACM Conference on Fairness, Accountability, and Transparency (FAccT '24). New York: ACM, 2024: 85-99.</w:t>
      </w:r>
    </w:p>
    <w:p>
      <w:pPr>
        <w:spacing w:line="360" w:lineRule="auto" w:after="40"/>
        <w:ind w:left="480" w:hanging="480"/>
      </w:pPr>
      <w:r>
        <w:rPr>
          <w:rFonts w:ascii="宋体" w:hAnsi="宋体" w:eastAsia="宋体"/>
          <w:sz w:val="21"/>
        </w:rPr>
        <w:t>[46] INTERNATIONAL ENERGY AGENCY. Energy and AI[R]. Paris: International Energy Agency, 2025.</w:t>
      </w:r>
    </w:p>
    <w:p>
      <w:pPr>
        <w:spacing w:line="360" w:lineRule="auto" w:after="40"/>
        <w:ind w:left="480" w:hanging="480"/>
      </w:pPr>
      <w:r>
        <w:rPr>
          <w:rFonts w:ascii="宋体" w:hAnsi="宋体" w:eastAsia="宋体"/>
          <w:sz w:val="21"/>
        </w:rPr>
        <w:t>[47] MUSSA M, ROSEN S. Monopoly and product quality[J]. Journal of Economic Theory, 1978, 18(2): 301-317.</w:t>
      </w:r>
    </w:p>
    <w:p>
      <w:pPr>
        <w:spacing w:line="360" w:lineRule="auto" w:after="40"/>
        <w:ind w:left="480" w:hanging="480"/>
      </w:pPr>
      <w:r>
        <w:rPr>
          <w:rFonts w:ascii="宋体" w:hAnsi="宋体" w:eastAsia="宋体"/>
          <w:sz w:val="21"/>
        </w:rPr>
        <w:t>[48] BHARGAVA H K, CHOUDHARY V. Research note: when is versioning optimal for information goods?[J]. Management Science, 2008, 54(5): 1029-1035.</w:t>
      </w:r>
    </w:p>
    <w:p>
      <w:pPr>
        <w:spacing w:line="360" w:lineRule="auto" w:after="40"/>
        <w:ind w:left="480" w:hanging="480"/>
      </w:pPr>
      <w:r>
        <w:rPr>
          <w:rFonts w:ascii="宋体" w:hAnsi="宋体" w:eastAsia="宋体"/>
          <w:sz w:val="21"/>
        </w:rPr>
        <w:t>[49] ARMSTRONG M. Competition in two-sided markets[J]. RAND Journal of Economics, 2006, 37(3): 668-691.</w:t>
      </w:r>
    </w:p>
    <w:p>
      <w:pPr>
        <w:spacing w:line="360" w:lineRule="auto" w:after="40"/>
        <w:ind w:left="480" w:hanging="480"/>
      </w:pPr>
      <w:r>
        <w:rPr>
          <w:rFonts w:ascii="宋体" w:hAnsi="宋体" w:eastAsia="宋体"/>
          <w:sz w:val="21"/>
        </w:rPr>
        <w:t>[50] JULLIEN B, PAVAN A, RYSMAN M. Two-sided markets, pricing, and network effects[M]//HO K, HORTAÇSU A, LIZZERI A. Handbook of industrial organization: Volume 4. Amsterdam: North-Holland, 2021: 485-592.</w:t>
      </w:r>
    </w:p>
    <w:p>
      <w:pPr>
        <w:spacing w:line="360" w:lineRule="auto" w:after="40"/>
        <w:ind w:left="480" w:hanging="480"/>
      </w:pPr>
      <w:r>
        <w:rPr>
          <w:rFonts w:ascii="宋体" w:hAnsi="宋体" w:eastAsia="宋体"/>
          <w:sz w:val="21"/>
        </w:rPr>
        <w:t>[51] GRILICHES Z. Hedonic price indexes for automobiles: an econometric analysis of quality change[M]//NATIONAL BUREAU OF ECONOMIC RESEARCH. The price statistics of the federal government. New York: National Bureau of Economic Research, 1961: 173-196.</w:t>
      </w:r>
    </w:p>
    <w:p>
      <w:pPr>
        <w:spacing w:line="360" w:lineRule="auto" w:after="40"/>
        <w:ind w:left="480" w:hanging="480"/>
      </w:pPr>
      <w:r>
        <w:rPr>
          <w:rFonts w:ascii="宋体" w:hAnsi="宋体" w:eastAsia="宋体"/>
          <w:sz w:val="21"/>
        </w:rPr>
        <w:t>[52] PAKES A. A reconsideration of hedonic price indexes with an application to PC's[J]. American Economic Review, 2003, 93(5): 1578-1596.</w:t>
      </w:r>
    </w:p>
    <w:p>
      <w:pPr>
        <w:spacing w:line="360" w:lineRule="auto" w:after="40"/>
        <w:ind w:left="480" w:hanging="480"/>
      </w:pPr>
      <w:r>
        <w:rPr>
          <w:rFonts w:ascii="宋体" w:hAnsi="宋体" w:eastAsia="宋体"/>
          <w:sz w:val="21"/>
        </w:rPr>
        <w:t>[53] GROSHEN E L, MOYER B C, AIZCORBE A M, et al. How government statistics adjust for potential biases from quality change and new goods in an age of digital technologies: a view from the trenches[J]. Journal of Economic Perspectives, 2017, 31(2): 187-210.</w:t>
      </w:r>
    </w:p>
    <w:p>
      <w:pPr>
        <w:spacing w:line="360" w:lineRule="auto" w:after="40"/>
        <w:ind w:left="480" w:hanging="480"/>
      </w:pPr>
      <w:r>
        <w:rPr>
          <w:rFonts w:ascii="宋体" w:hAnsi="宋体" w:eastAsia="宋体"/>
          <w:sz w:val="21"/>
        </w:rPr>
        <w:t>[54] BRESNAHAN T F, TRAJTENBERG M. General purpose technologies "engines of growth"?[J]. Journal of Econometrics, 1995, 65(1): 83-108.</w:t>
      </w:r>
    </w:p>
    <w:p>
      <w:pPr>
        <w:spacing w:line="360" w:lineRule="auto" w:after="40"/>
        <w:ind w:left="480" w:hanging="480"/>
      </w:pPr>
      <w:r>
        <w:rPr>
          <w:rFonts w:ascii="宋体" w:hAnsi="宋体" w:eastAsia="宋体"/>
          <w:sz w:val="21"/>
        </w:rPr>
        <w:t>[55] CRAFTS N. Artificial intelligence as a general-purpose technology: an historical perspective[J]. Oxford Review of Economic Policy, 2021, 37(3): 521-536.</w:t>
      </w:r>
    </w:p>
    <w:p>
      <w:pPr>
        <w:spacing w:line="360" w:lineRule="auto" w:after="40"/>
        <w:ind w:left="480" w:hanging="480"/>
      </w:pPr>
      <w:r>
        <w:rPr>
          <w:rFonts w:ascii="宋体" w:hAnsi="宋体" w:eastAsia="宋体"/>
          <w:sz w:val="21"/>
        </w:rPr>
        <w:t>[56] 周文, 许凌云. 论新质生产力：内涵特征与重要着力点[J]. 改革, 2023(10): 1-13.</w:t>
      </w:r>
    </w:p>
    <w:p>
      <w:pPr>
        <w:spacing w:line="360" w:lineRule="auto" w:after="40"/>
        <w:ind w:left="480" w:hanging="480"/>
      </w:pPr>
      <w:r>
        <w:rPr>
          <w:rFonts w:ascii="宋体" w:hAnsi="宋体" w:eastAsia="宋体"/>
          <w:sz w:val="21"/>
        </w:rPr>
        <w:t>[57] 洪银兴. 新质生产力及其培育和发展[J]. 经济学动态, 2024(1): 3-11.</w:t>
      </w:r>
    </w:p>
    <w:p>
      <w:pPr>
        <w:spacing w:line="360" w:lineRule="auto" w:after="40"/>
        <w:ind w:left="480" w:hanging="480"/>
      </w:pPr>
      <w:r>
        <w:rPr>
          <w:rFonts w:ascii="宋体" w:hAnsi="宋体" w:eastAsia="宋体"/>
          <w:sz w:val="21"/>
        </w:rPr>
        <w:t>[58] 黄群慧, 盛方富. 新质生产力系统：要素特质、结构承载与功能取向[J]. 改革, 2024(2): 15-24.</w:t>
      </w:r>
    </w:p>
    <w:p>
      <w:pPr>
        <w:spacing w:line="360" w:lineRule="auto" w:after="40"/>
        <w:ind w:left="480" w:hanging="480"/>
      </w:pPr>
      <w:r>
        <w:rPr>
          <w:rFonts w:ascii="宋体" w:hAnsi="宋体" w:eastAsia="宋体"/>
          <w:sz w:val="21"/>
        </w:rPr>
        <w:t>[59] 生态环境部, 国家发展改革委, 工业和信息化部, 等. 关于建立碳足迹管理体系的实施方案: 环气候〔2024〕30号[EB/OL]. (2024-05-22)[2026-08-13]. https://www.gov.cn/zhengce/zhengceku/202406/content_6956112.htm.</w:t>
      </w:r>
    </w:p>
    <w:p>
      <w:pPr>
        <w:spacing w:line="360" w:lineRule="auto" w:after="40"/>
        <w:ind w:left="480" w:hanging="480"/>
      </w:pPr>
      <w:r>
        <w:rPr>
          <w:rFonts w:ascii="宋体" w:hAnsi="宋体" w:eastAsia="宋体"/>
          <w:sz w:val="21"/>
        </w:rPr>
        <w:t>[60] 国务院. 关于深入实施“人工智能+”行动的意见: 国发〔2025〕11号[EB/OL]. (2025-08-26)[2026-08-13]. https://www.gov.cn/zhengce/content/202508/content_7037861.htm.</w:t>
      </w:r>
    </w:p>
    <w:p>
      <w:pPr>
        <w:spacing w:line="360" w:lineRule="auto" w:after="40"/>
        <w:ind w:left="480" w:hanging="480"/>
      </w:pPr>
      <w:r>
        <w:rPr>
          <w:rFonts w:ascii="宋体" w:hAnsi="宋体" w:eastAsia="宋体"/>
          <w:sz w:val="21"/>
        </w:rPr>
        <w:t>[61] DAO T, FU D Y, ERMON S, et al. FlashAttention: fast and memory-efficient exact attention with IO-awareness[C]//Advances in Neural Information Processing Systems 35 (NeurIPS 2022). Red Hook, NY: Curran Associates, 2022: 16344-16359.</w:t>
      </w:r>
    </w:p>
    <w:p>
      <w:pPr>
        <w:spacing w:line="360" w:lineRule="auto" w:after="40"/>
        <w:ind w:left="480" w:hanging="480"/>
      </w:pPr>
      <w:r>
        <w:rPr>
          <w:rFonts w:ascii="宋体" w:hAnsi="宋体" w:eastAsia="宋体"/>
          <w:sz w:val="21"/>
        </w:rPr>
        <w:t>[62] YU G I, JEONG J S, KIM G W, et al. Orca: a distributed serving system for Transformer-based generative models[C]//Proceedings of the 16th USENIX Symposium on Operating Systems Design and Implementation (OSDI 22). Carlsbad, CA: USENIX Association, 2022: 521-538.</w:t>
      </w:r>
    </w:p>
    <w:p>
      <w:pPr>
        <w:spacing w:line="360" w:lineRule="auto" w:after="40"/>
        <w:ind w:left="480" w:hanging="480"/>
      </w:pPr>
      <w:r>
        <w:rPr>
          <w:rFonts w:ascii="宋体" w:hAnsi="宋体" w:eastAsia="宋体"/>
          <w:sz w:val="21"/>
        </w:rPr>
        <w:t>[63] POPE R, DOUGLAS S, CHOWDHERY A, et al. Efficiently scaling Transformer inference[C]//Proceedings of Machine Learning and Systems 5 (MLSys 2023). [S.l.]: MLSys, 2023: 606-624.</w:t>
      </w:r>
    </w:p>
    <w:p>
      <w:pPr>
        <w:spacing w:line="360" w:lineRule="auto" w:after="40"/>
        <w:ind w:left="480" w:hanging="480"/>
      </w:pPr>
      <w:r>
        <w:rPr>
          <w:rFonts w:ascii="宋体" w:hAnsi="宋体" w:eastAsia="宋体"/>
          <w:sz w:val="21"/>
        </w:rPr>
        <w:t>[64] KWON W, LI Z, ZHUANG S, et al. Efficient memory management for large language model serving with PagedAttention[C]//Proceedings of the 29th Symposium on Operating Systems Principles (SOSP '23). New York: ACM, 2023: 611-626.</w:t>
      </w:r>
    </w:p>
    <w:p>
      <w:pPr>
        <w:spacing w:line="360" w:lineRule="auto" w:after="40"/>
        <w:ind w:left="480" w:hanging="480"/>
      </w:pPr>
      <w:r>
        <w:rPr>
          <w:rFonts w:ascii="宋体" w:hAnsi="宋体" w:eastAsia="宋体"/>
          <w:sz w:val="21"/>
        </w:rPr>
        <w:t>[65] AGRAWAL A, KEDIA N, PANWAR A, et al. Taming throughput-latency tradeoff in LLM inference with Sarathi-Serve[C]//Proceedings of the 18th USENIX Symposium on Operating Systems Design and Implementation (OSDI 24). Santa Clara, CA: USENIX Association, 2024: 117-134.</w:t>
      </w:r>
    </w:p>
    <w:p>
      <w:pPr>
        <w:spacing w:line="360" w:lineRule="auto" w:after="40"/>
        <w:ind w:left="480" w:hanging="480"/>
      </w:pPr>
      <w:r>
        <w:rPr>
          <w:rFonts w:ascii="宋体" w:hAnsi="宋体" w:eastAsia="宋体"/>
          <w:sz w:val="21"/>
        </w:rPr>
        <w:t>[66] HENDRYCKS D, BURNS C, BASART S, et al. Measuring massive multitask language understanding[EB/OL]. (2021-01-12)[2026-08-13]. https://arxiv.org/abs/2009.03300.</w:t>
      </w:r>
    </w:p>
    <w:p>
      <w:pPr>
        <w:spacing w:line="360" w:lineRule="auto" w:after="40"/>
        <w:ind w:left="480" w:hanging="480"/>
      </w:pPr>
      <w:r>
        <w:rPr>
          <w:rFonts w:ascii="宋体" w:hAnsi="宋体" w:eastAsia="宋体"/>
          <w:sz w:val="21"/>
        </w:rPr>
        <w:t>[67] LIANG P, BOMMASANI R, LEE T, et al. Holistic evaluation of language models[EB/OL]. (2022-11-16)[2026-08-13]. https://arxiv.org/abs/2211.09110.</w:t>
      </w:r>
    </w:p>
    <w:p>
      <w:pPr>
        <w:spacing w:line="360" w:lineRule="auto" w:after="40"/>
        <w:ind w:left="480" w:hanging="480"/>
      </w:pPr>
      <w:r>
        <w:rPr>
          <w:rFonts w:ascii="宋体" w:hAnsi="宋体" w:eastAsia="宋体"/>
          <w:sz w:val="21"/>
        </w:rPr>
        <w:t>[68] ZHENG L, CHIANG W L, SHENG Y, et al. Judging LLM-as-a-judge with MT-Bench and Chatbot Arena[C]//Advances in Neural Information Processing Systems 36 (NeurIPS 2023) Datasets and Benchmarks Track. Red Hook, NY: Curran Associates, 2023: 46595-46623.</w:t>
      </w:r>
    </w:p>
    <w:p>
      <w:pPr>
        <w:spacing w:line="360" w:lineRule="auto" w:after="40"/>
        <w:ind w:left="480" w:hanging="480"/>
      </w:pPr>
      <w:r>
        <w:rPr>
          <w:rFonts w:ascii="宋体" w:hAnsi="宋体" w:eastAsia="宋体"/>
          <w:sz w:val="21"/>
        </w:rPr>
        <w:t>[69] ERICKSON T, PAKES A. An experimental component index for the CPI: from annual computer data to monthly data on other goods[J]. American Economic Review, 2011, 101(5): 1707-1738.</w:t>
      </w:r>
    </w:p>
    <w:p>
      <w:pPr>
        <w:spacing w:line="360" w:lineRule="auto" w:after="40"/>
        <w:ind w:left="480" w:hanging="480"/>
      </w:pPr>
      <w:r>
        <w:rPr>
          <w:rFonts w:ascii="宋体" w:hAnsi="宋体" w:eastAsia="宋体"/>
          <w:sz w:val="21"/>
        </w:rPr>
        <w:t>[70] REDDING S J, WEINSTEIN D E. Measuring aggregate price indices with taste shocks: theory and evidence for CES preferences[J]. The Quarterly Journal of Economics, 2020, 135(1): 503-560.</w:t>
      </w:r>
    </w:p>
    <w:p>
      <w:pPr>
        <w:spacing w:line="360" w:lineRule="auto" w:after="40"/>
        <w:ind w:left="480" w:hanging="480"/>
      </w:pPr>
      <w:r>
        <w:rPr>
          <w:rFonts w:ascii="宋体" w:hAnsi="宋体" w:eastAsia="宋体"/>
          <w:sz w:val="21"/>
        </w:rPr>
        <w:t>[71] 韩文龙, 张瑞生, 赵峰. 新质生产力水平测算与中国经济增长新动能[J]. 数量经济技术经济研究, 2024, 41(6): 5-25.</w:t>
      </w:r>
    </w:p>
    <w:p>
      <w:pPr>
        <w:spacing w:line="360" w:lineRule="auto" w:after="40"/>
        <w:ind w:left="480" w:hanging="480"/>
      </w:pPr>
      <w:r>
        <w:rPr>
          <w:rFonts w:ascii="宋体" w:hAnsi="宋体" w:eastAsia="宋体"/>
          <w:sz w:val="21"/>
        </w:rPr>
        <w:t>[72] FELTEN E, RAJ M, SEAMANS R. Occupational, industry, and geographic exposure to artificial intelligence: a novel dataset and its potential uses[J]. Strategic Management Journal, 2021, 42(12): 2195-2217.</w:t>
      </w:r>
    </w:p>
    <w:p>
      <w:pPr>
        <w:spacing w:line="360" w:lineRule="auto" w:after="40"/>
        <w:ind w:left="480" w:hanging="480"/>
      </w:pPr>
      <w:r>
        <w:rPr>
          <w:rFonts w:ascii="宋体" w:hAnsi="宋体" w:eastAsia="宋体"/>
          <w:sz w:val="21"/>
        </w:rPr>
        <w:t>[73] FELTEN E W, RAJ M, SEAMANS R. How will language modelers like ChatGPT affect occupations and industries?[EB/OL]. (2023-03-18)[2026-08-13]. https://arxiv.org/abs/2303.01157.</w:t>
      </w:r>
    </w:p>
    <w:p>
      <w:pPr>
        <w:spacing w:line="360" w:lineRule="auto" w:after="40"/>
        <w:ind w:left="480" w:hanging="480"/>
      </w:pPr>
      <w:r>
        <w:rPr>
          <w:rFonts w:ascii="宋体" w:hAnsi="宋体" w:eastAsia="宋体"/>
          <w:sz w:val="21"/>
        </w:rPr>
        <w:t>[74] ELOUNDOU T, MANNING S, MISHKIN P, 等. GPTs are GPTs: labor market impact potential of LLMs[J]. Science, 2024, 384(6702): 1306-1308.</w:t>
      </w:r>
    </w:p>
    <w:p>
      <w:pPr>
        <w:spacing w:line="360" w:lineRule="auto" w:after="40"/>
        <w:ind w:left="480" w:hanging="480"/>
      </w:pPr>
      <w:r>
        <w:rPr>
          <w:rFonts w:ascii="宋体" w:hAnsi="宋体" w:eastAsia="宋体"/>
          <w:sz w:val="21"/>
        </w:rPr>
        <w:t>[75] STANFORD INSTITUTE FOR HUMAN-CENTERED ARTIFICIAL INTELLIGENCE. The 2026 AI index report[R/OL]. Stanford, CA: Stanford University, 2026[2026-08-13]. https://hai.stanford.edu/ai-index/2026-ai-index-report.</w:t>
      </w:r>
    </w:p>
    <w:p>
      <w:pPr>
        <w:spacing w:line="360" w:lineRule="auto" w:after="40"/>
        <w:ind w:left="480" w:hanging="480"/>
      </w:pPr>
      <w:r>
        <w:rPr>
          <w:rFonts w:ascii="宋体" w:hAnsi="宋体" w:eastAsia="宋体"/>
          <w:sz w:val="21"/>
        </w:rPr>
        <w:t>[76] ACEMOGLU D, MAKHDOUMI A, MALEKIAN A, et al. Too much data: prices and inefficiencies in data markets[J]. American Economic Journal: Microeconomics, 2022, 14(4): 218-256.</w:t>
      </w:r>
    </w:p>
    <w:p>
      <w:pPr>
        <w:spacing w:line="360" w:lineRule="auto" w:after="40"/>
        <w:ind w:left="480" w:hanging="480"/>
      </w:pPr>
      <w:r>
        <w:rPr>
          <w:rFonts w:ascii="宋体" w:hAnsi="宋体" w:eastAsia="宋体"/>
          <w:sz w:val="21"/>
        </w:rPr>
        <w:t>[77] BERGEMANN D, BONATTI A, GAN T. The economics of social data[J]. RAND Journal of Economics, 2022, 53(2): 263-296.</w:t>
      </w:r>
    </w:p>
    <w:p>
      <w:pPr>
        <w:spacing w:line="360" w:lineRule="auto" w:after="40"/>
        <w:ind w:left="480" w:hanging="480"/>
      </w:pPr>
      <w:r>
        <w:rPr>
          <w:rFonts w:ascii="宋体" w:hAnsi="宋体" w:eastAsia="宋体"/>
          <w:sz w:val="21"/>
        </w:rPr>
        <w:t>[78] ZHONG Y, LIU S, CHEN J, et al. DistServe: disaggregating prefill and decoding for goodput-optimized large language model serving[C]//Proceedings of the 18th USENIX Symposium on Operating Systems Design and Implementation (OSDI 24). Santa Clara, CA: USENIX Association, 2024: 193-210.</w:t>
      </w:r>
    </w:p>
    <w:p>
      <w:pPr>
        <w:spacing w:line="360" w:lineRule="auto" w:after="40"/>
        <w:ind w:left="480" w:hanging="480"/>
      </w:pPr>
      <w:r>
        <w:rPr>
          <w:rFonts w:ascii="宋体" w:hAnsi="宋体" w:eastAsia="宋体"/>
          <w:sz w:val="21"/>
        </w:rPr>
        <w:t>[79] 姜春海, 闫振好, 王敏. “双碳”目标约束下的能耗双控到碳排放双控：规制工具、效应模拟与政策评价[J]. 中国工业经济, 2024(11): 5-23.</w:t>
      </w:r>
    </w:p>
    <w:p>
      <w:pPr>
        <w:spacing w:line="360" w:lineRule="auto" w:after="40"/>
        <w:ind w:left="480" w:hanging="480"/>
      </w:pPr>
      <w:r>
        <w:rPr>
          <w:rFonts w:ascii="宋体" w:hAnsi="宋体" w:eastAsia="宋体"/>
          <w:sz w:val="21"/>
        </w:rPr>
        <w:t>[80] 陈红敏. 国际碳核算体系发展及其评价[J]. 中国人口·资源与环境, 2011, 21(9): 111-116.</w:t>
      </w:r>
    </w:p>
    <w:p>
      <w:pPr>
        <w:spacing w:line="360" w:lineRule="auto" w:after="40"/>
        <w:ind w:left="480" w:hanging="480"/>
      </w:pPr>
      <w:r>
        <w:rPr>
          <w:rFonts w:ascii="宋体" w:hAnsi="宋体" w:eastAsia="宋体"/>
          <w:sz w:val="21"/>
        </w:rPr>
        <w:t>[81] 童庆蒙, 沈雪, 张露, 等. 基于生命周期评价法的碳足迹核算体系：国际标准与实践[J]. 华中农业大学学报(社会科学版), 2018(1): 46-57+158.</w:t>
      </w:r>
    </w:p>
    <w:p>
      <w:pPr>
        <w:spacing w:line="360" w:lineRule="auto" w:after="40"/>
        <w:ind w:left="480" w:hanging="480"/>
      </w:pPr>
      <w:r>
        <w:rPr>
          <w:rFonts w:ascii="宋体" w:hAnsi="宋体" w:eastAsia="宋体"/>
          <w:sz w:val="21"/>
        </w:rPr>
        <w:t>[82] 张希良, 张达, 余润心. 中国特色全国碳市场设计理论与实践[J]. 管理世界, 2021, 37(8): 80-95.</w:t>
      </w:r>
    </w:p>
    <w:p>
      <w:pPr>
        <w:spacing w:line="360" w:lineRule="auto" w:after="40"/>
        <w:ind w:left="480" w:hanging="480"/>
      </w:pPr>
      <w:r>
        <w:rPr>
          <w:rFonts w:ascii="宋体" w:hAnsi="宋体" w:eastAsia="宋体"/>
          <w:sz w:val="21"/>
        </w:rPr>
        <w:t>[83] 赵思琦, 刘庆富, 杨金强, 等. 全国碳市场的碳排放权配额管理机制设计——基于碳交易和风险对冲的视角[J]. 金融研究, 2023(12): 74-93.</w:t>
      </w:r>
    </w:p>
    <w:p>
      <w:pPr>
        <w:spacing w:line="360" w:lineRule="auto" w:after="40"/>
        <w:ind w:left="480" w:hanging="480"/>
      </w:pPr>
      <w:r>
        <w:rPr>
          <w:rFonts w:ascii="宋体" w:hAnsi="宋体" w:eastAsia="宋体"/>
          <w:sz w:val="21"/>
        </w:rPr>
        <w:t>[84] 段玉婉, 蔡龙飞, 陈一文. 全球化背景下中国碳市场的减排和福利效应[J]. 经济研究, 2023, 58(7): 121-138.</w:t>
      </w:r>
    </w:p>
    <w:p>
      <w:pPr>
        <w:spacing w:line="360" w:lineRule="auto" w:after="40"/>
        <w:ind w:left="480" w:hanging="480"/>
      </w:pPr>
      <w:r>
        <w:rPr>
          <w:rFonts w:ascii="宋体" w:hAnsi="宋体" w:eastAsia="宋体"/>
          <w:sz w:val="21"/>
        </w:rPr>
        <w:t>[85] 杨豪, 潘颖豪, 才国伟. 碳排放总量控制、配置效率与产出收益[J]. 中国工业经济, 2023(7): 46-65.</w:t>
      </w:r>
    </w:p>
    <w:p>
      <w:pPr>
        <w:spacing w:line="360" w:lineRule="auto" w:after="40"/>
        <w:ind w:left="480" w:hanging="480"/>
      </w:pPr>
      <w:r>
        <w:rPr>
          <w:rFonts w:ascii="宋体" w:hAnsi="宋体" w:eastAsia="宋体"/>
          <w:sz w:val="21"/>
        </w:rPr>
        <w:t>[86] 蓝虹, 杜彦霖. 自愿碳交易市场：产权量化标准与生态价值实现路径[J]. 改革, 2024(4): 77-92.</w:t>
      </w:r>
    </w:p>
    <w:p>
      <w:pPr>
        <w:spacing w:line="360" w:lineRule="auto" w:after="40"/>
        <w:ind w:left="480" w:hanging="480"/>
      </w:pPr>
      <w:r>
        <w:rPr>
          <w:rFonts w:ascii="宋体" w:hAnsi="宋体" w:eastAsia="宋体"/>
          <w:sz w:val="21"/>
        </w:rPr>
        <w:t>[87] KAPLAN J, MCCANDLISH S, HENIGHAN T, et al. Scaling laws for neural language models[EB/OL]. (2020-01-23)[2026-08-13]. https://arxiv.org/abs/2001.08361.</w:t>
      </w:r>
    </w:p>
    <w:p>
      <w:pPr>
        <w:spacing w:line="360" w:lineRule="auto" w:after="40"/>
        <w:ind w:left="480" w:hanging="480"/>
      </w:pPr>
      <w:r>
        <w:rPr>
          <w:rFonts w:ascii="宋体" w:hAnsi="宋体" w:eastAsia="宋体"/>
          <w:sz w:val="21"/>
        </w:rPr>
        <w:t>[88] HOFFMANN J, BORGEAUD S, MENSCH A, et al. Training compute-optimal large language models[C]//Advances in Neural Information Processing Systems 35 (NeurIPS 2022). Red Hook, NY: Curran Associates, 2022: 30016-30030.</w:t>
      </w:r>
    </w:p>
    <w:p>
      <w:pPr>
        <w:spacing w:line="360" w:lineRule="auto" w:after="40"/>
        <w:ind w:left="480" w:hanging="480"/>
      </w:pPr>
      <w:r>
        <w:rPr>
          <w:rFonts w:ascii="宋体" w:hAnsi="宋体" w:eastAsia="宋体"/>
          <w:sz w:val="21"/>
        </w:rPr>
        <w:t>[89] GOLDFARB A, TASKA B, TEODORIDIS F. Could machine learning be a general purpose technology? A comparison of emerging technologies using data from online job postings[J]. Research Policy, 2023, 52(1): 104653.</w:t>
      </w:r>
    </w:p>
    <w:p>
      <w:pPr>
        <w:spacing w:line="360" w:lineRule="auto" w:after="40"/>
        <w:ind w:left="480" w:hanging="480"/>
      </w:pPr>
      <w:r>
        <w:rPr>
          <w:rFonts w:ascii="宋体" w:hAnsi="宋体" w:eastAsia="宋体"/>
          <w:sz w:val="21"/>
        </w:rPr>
        <w:t>[90] AGHION P, JONES B F, JONES C I. Artificial intelligence and economic growth[M]//AGRAWAL A, GANS J, GOLDFARB A. The economics of artificial intelligence: an agenda. Chicago: University of Chicago Press, 2019: 237-290.</w:t>
      </w:r>
    </w:p>
    <w:p>
      <w:pPr>
        <w:spacing w:line="360" w:lineRule="auto" w:after="40"/>
        <w:ind w:left="480" w:hanging="480"/>
      </w:pPr>
      <w:r>
        <w:rPr>
          <w:rFonts w:ascii="宋体" w:hAnsi="宋体" w:eastAsia="宋体"/>
          <w:sz w:val="21"/>
        </w:rPr>
        <w:t>[91] 孔高文, 刘莎莎, 孔东民. 机器人与就业——基于行业与地区异质性的探索性分析[J]. 中国工业经济, 2020(8): 80-98.</w:t>
      </w:r>
    </w:p>
    <w:p>
      <w:pPr>
        <w:spacing w:line="360" w:lineRule="auto" w:after="40"/>
        <w:ind w:left="480" w:hanging="480"/>
      </w:pPr>
      <w:r>
        <w:rPr>
          <w:rFonts w:ascii="宋体" w:hAnsi="宋体" w:eastAsia="宋体"/>
          <w:sz w:val="21"/>
        </w:rPr>
        <w:t>[92] 余玲铮, 魏下海, 孙中伟, 等. 工业机器人、工作任务与非常规能力溢价——来自制造业“企业—工人”匹配调查的证据[J]. 管理世界, 2021, 37(1): 47-59.</w:t>
      </w:r>
    </w:p>
    <w:p>
      <w:pPr>
        <w:spacing w:line="360" w:lineRule="auto" w:after="40"/>
        <w:ind w:left="480" w:hanging="480"/>
      </w:pPr>
      <w:r>
        <w:rPr>
          <w:rFonts w:ascii="宋体" w:hAnsi="宋体" w:eastAsia="宋体"/>
          <w:sz w:val="21"/>
        </w:rPr>
        <w:t>[93] 胡晟明, 王林辉, 朱利莹. 工业机器人应用存在人力资本提升效应吗？[J]. 财经研究, 2021, 47(6): 61-75.</w:t>
      </w:r>
    </w:p>
    <w:p>
      <w:pPr>
        <w:spacing w:line="360" w:lineRule="auto" w:after="40"/>
        <w:ind w:left="480" w:hanging="480"/>
      </w:pPr>
      <w:r>
        <w:rPr>
          <w:rFonts w:ascii="宋体" w:hAnsi="宋体" w:eastAsia="宋体"/>
          <w:sz w:val="21"/>
        </w:rPr>
        <w:t>[94] 田鸽, 张勋. 数字经济、非农就业与社会分工[J]. 管理世界, 2022, 38(5): 72-84.</w:t>
      </w:r>
    </w:p>
    <w:p>
      <w:pPr>
        <w:spacing w:line="360" w:lineRule="auto" w:after="40"/>
        <w:ind w:left="480" w:hanging="480"/>
      </w:pPr>
      <w:r>
        <w:rPr>
          <w:rFonts w:ascii="宋体" w:hAnsi="宋体" w:eastAsia="宋体"/>
          <w:sz w:val="21"/>
        </w:rPr>
        <w:t>[95] 陈贵富, 韩静, 韩恺明. 城市数字经济发展、技能偏向型技术进步与劳动力不充分就业[J]. 中国工业经济, 2022(8): 118-136.</w:t>
      </w:r>
    </w:p>
    <w:p>
      <w:pPr>
        <w:spacing w:line="360" w:lineRule="auto" w:after="40"/>
        <w:ind w:left="480" w:hanging="480"/>
      </w:pPr>
      <w:r>
        <w:rPr>
          <w:rFonts w:ascii="宋体" w:hAnsi="宋体" w:eastAsia="宋体"/>
          <w:sz w:val="21"/>
        </w:rPr>
        <w:t>[96] 陈东, 秦子洋. 人工智能与包容性增长——来自全球工业机器人使用的证据[J]. 经济研究, 2022, 57(4): 85-102.</w:t>
      </w:r>
    </w:p>
    <w:p>
      <w:pPr>
        <w:spacing w:line="360" w:lineRule="auto" w:after="40"/>
        <w:ind w:left="480" w:hanging="480"/>
      </w:pPr>
      <w:r>
        <w:rPr>
          <w:rFonts w:ascii="宋体" w:hAnsi="宋体" w:eastAsia="宋体"/>
          <w:sz w:val="21"/>
        </w:rPr>
        <w:t>[97] ACEMOGLU D, AUTOR D, HAZELL J, 等. Artificial intelligence and jobs: evidence from online vacancies[J]. Journal of Labor Economics, 2022, 40(S1): S293-S340.</w:t>
      </w:r>
    </w:p>
    <w:p>
      <w:pPr>
        <w:spacing w:line="360" w:lineRule="auto" w:after="40"/>
        <w:ind w:left="480" w:hanging="480"/>
      </w:pPr>
      <w:r>
        <w:rPr>
          <w:rFonts w:ascii="宋体" w:hAnsi="宋体" w:eastAsia="宋体"/>
          <w:sz w:val="21"/>
        </w:rPr>
        <w:t>[98] CAZZANIGA M, JAUMOTTE F, LI L, et al. Gen-AI: artificial intelligence and the future of work[R/OL]. Washington, DC: International Monetary Fund, 2024[2026-08-13]. https://www.imf.org/-/media/files/publications/sdn/2024/english/sdnea2024001.pdf.</w:t>
      </w:r>
    </w:p>
    <w:p>
      <w:pPr>
        <w:spacing w:line="360" w:lineRule="auto" w:after="40"/>
        <w:ind w:left="480" w:hanging="480"/>
      </w:pPr>
      <w:r>
        <w:rPr>
          <w:rFonts w:ascii="宋体" w:hAnsi="宋体" w:eastAsia="宋体"/>
          <w:sz w:val="21"/>
        </w:rPr>
        <w:t>[99] CHUI M, HAZAN E, ROBERTS R, et al. The economic potential of generative AI: the next productivity frontier[R/OL]. New York: McKinsey Global Institute, 2023[2026-08-13]. https://www.mckinsey.com/capabilities/mckinsey-digital/our-insights/the-economic-potential-of-generative-ai-the-next-productivity-frontier.</w:t>
      </w:r>
    </w:p>
    <w:p>
      <w:pPr>
        <w:spacing w:line="360" w:lineRule="auto" w:after="40"/>
        <w:ind w:left="480" w:hanging="480"/>
      </w:pPr>
      <w:r>
        <w:rPr>
          <w:rFonts w:ascii="宋体" w:hAnsi="宋体" w:eastAsia="宋体"/>
          <w:sz w:val="21"/>
        </w:rPr>
        <w:t>[100] COYLE D, NGUYEN D. Cloud computing, cross-border data flows and new challenges for measurement in economics[J]. National Institute Economic Review, 2019, 249: R30-R38.</w:t>
      </w:r>
    </w:p>
    <w:p>
      <w:pPr>
        <w:spacing w:line="360" w:lineRule="auto" w:after="40"/>
        <w:ind w:left="480" w:hanging="480"/>
      </w:pPr>
      <w:r>
        <w:rPr>
          <w:rFonts w:ascii="宋体" w:hAnsi="宋体" w:eastAsia="宋体"/>
          <w:sz w:val="21"/>
        </w:rPr>
        <w:t>[101] KORINEK A. Generative AI for economic research: use cases and implications for economists[J]. Journal of Economic Literature, 2023, 61(4): 1281-1317.</w:t>
      </w:r>
    </w:p>
    <w:p>
      <w:pPr>
        <w:spacing w:line="360" w:lineRule="auto" w:after="40"/>
        <w:ind w:left="480" w:hanging="480"/>
      </w:pPr>
      <w:r>
        <w:rPr>
          <w:rFonts w:ascii="宋体" w:hAnsi="宋体" w:eastAsia="宋体"/>
          <w:sz w:val="21"/>
        </w:rPr>
        <w:t>[102] ACEMOGLU D, RESTREPO P. Automation and new tasks: how technology displaces and reinstates labor[J]. Journal of Economic Perspectives, 2019, 33(2): 3-30.</w:t>
      </w:r>
    </w:p>
    <w:p>
      <w:pPr>
        <w:spacing w:line="360" w:lineRule="auto" w:after="40"/>
        <w:ind w:left="480" w:hanging="480"/>
      </w:pPr>
      <w:r>
        <w:rPr>
          <w:rFonts w:ascii="宋体" w:hAnsi="宋体" w:eastAsia="宋体"/>
          <w:sz w:val="21"/>
        </w:rPr>
        <w:t>[103] ACEMOGLU D, JOHNSON S. Learning from Ricardo and Thompson: machinery and labor in the early industrial revolution, and in the age of AI: NBER working paper No. 32416[R]. Cambridge, MA: National Bureau of Economic Research, 2024.</w:t>
      </w:r>
    </w:p>
    <w:p>
      <w:pPr>
        <w:spacing w:line="360" w:lineRule="auto" w:after="40"/>
        <w:ind w:left="480" w:hanging="480"/>
      </w:pPr>
      <w:r>
        <w:rPr>
          <w:rFonts w:ascii="宋体" w:hAnsi="宋体" w:eastAsia="宋体"/>
          <w:sz w:val="21"/>
        </w:rPr>
        <w:t>[104] AUTOR D. Applying AI to rebuild middle class jobs: NBER working paper No. 32140[R]. Cambridge, MA: National Bureau of Economic Research, 2024.</w:t>
      </w:r>
    </w:p>
    <w:p>
      <w:pPr>
        <w:spacing w:line="360" w:lineRule="auto" w:after="40"/>
        <w:ind w:left="480" w:hanging="480"/>
      </w:pPr>
      <w:r>
        <w:rPr>
          <w:rFonts w:ascii="宋体" w:hAnsi="宋体" w:eastAsia="宋体"/>
          <w:sz w:val="21"/>
        </w:rPr>
        <w:t>[105] DUBÉ J P, MISRA S. Personalized pricing and consumer welfare[J]. Journal of Political Economy, 2023, 131(1): 131-189.</w:t>
      </w:r>
    </w:p>
    <w:p>
      <w:pPr>
        <w:spacing w:line="360" w:lineRule="auto" w:after="40"/>
        <w:ind w:left="480" w:hanging="480"/>
      </w:pPr>
      <w:r>
        <w:rPr>
          <w:rFonts w:ascii="宋体" w:hAnsi="宋体" w:eastAsia="宋体"/>
          <w:sz w:val="21"/>
        </w:rPr>
        <w:t>[106] BERGEMANN D, BONATTI A. Data, competition, and digital platforms[J]. American Economic Review, 2024, 114(8): 2553-2595.</w:t>
      </w:r>
    </w:p>
    <w:p>
      <w:pPr>
        <w:spacing w:line="360" w:lineRule="auto" w:after="40"/>
        <w:ind w:left="480" w:hanging="480"/>
      </w:pPr>
      <w:r>
        <w:rPr>
          <w:rFonts w:ascii="宋体" w:hAnsi="宋体" w:eastAsia="宋体"/>
          <w:sz w:val="21"/>
        </w:rPr>
        <w:t>[107] 刘诚, 夏杰长. 线上市场、数字平台与资源配置效率：价格机制与数据机制的作用[J]. 中国工业经济, 2023(7): 84-102.</w:t>
      </w:r>
    </w:p>
    <w:p>
      <w:pPr>
        <w:spacing w:line="360" w:lineRule="auto" w:after="40"/>
        <w:ind w:left="480" w:hanging="480"/>
      </w:pPr>
      <w:r>
        <w:rPr>
          <w:rFonts w:ascii="宋体" w:hAnsi="宋体" w:eastAsia="宋体"/>
          <w:sz w:val="21"/>
        </w:rPr>
        <w:t>[108] 顾聪, 刘颖, 吕本富, 等. 市场结构、经济福利与平台经济反垄断[J]. 中国管理科学, 2023, 31(11): 208-216.</w:t>
      </w:r>
    </w:p>
    <w:p>
      <w:pPr>
        <w:spacing w:line="360" w:lineRule="auto" w:after="40"/>
        <w:ind w:left="480" w:hanging="480"/>
      </w:pPr>
      <w:r>
        <w:rPr>
          <w:rFonts w:ascii="宋体" w:hAnsi="宋体" w:eastAsia="宋体"/>
          <w:sz w:val="21"/>
        </w:rPr>
        <w:t>[109] 吴双, 王勇. 新结构经济学视角下的平台经济：一个分析框架[J]. 浙江社会科学, 2024(4): 4-13.</w:t>
      </w:r>
    </w:p>
    <w:p>
      <w:pPr>
        <w:spacing w:line="360" w:lineRule="auto" w:after="40"/>
        <w:ind w:left="480" w:hanging="480"/>
      </w:pPr>
      <w:r>
        <w:rPr>
          <w:rFonts w:ascii="宋体" w:hAnsi="宋体" w:eastAsia="宋体"/>
          <w:sz w:val="21"/>
        </w:rPr>
        <w:t>[110] 国家数据局. 全国数据资源调查报告（2025年）[R/OL]. 北京: 国家数据局, 2026[2026-08-13]. https://www.nda.gov.cn/sjj/ywpd/sjzy/0429/ff808081-9b5e8626-019d-d86d1ac9-115b.pdf.</w:t>
      </w:r>
    </w:p>
    <w:p>
      <w:pPr>
        <w:spacing w:line="360" w:lineRule="auto" w:after="40"/>
        <w:ind w:left="480" w:hanging="480"/>
      </w:pPr>
      <w:r>
        <w:rPr>
          <w:rFonts w:ascii="宋体" w:hAnsi="宋体" w:eastAsia="宋体"/>
          <w:sz w:val="21"/>
        </w:rPr>
        <w:t>[111] 中国信息通信研究院. 算力经济发展研究报告（2025年）[R/OL]. 北京: 中国信息通信研究院, 2025[2026-08-13]. https://www.caict.ac.cn/kxyj/qwfb/ztbg/202509/P020250910593366724819.pdf.</w:t>
      </w:r>
    </w:p>
    <w:p>
      <w:pPr>
        <w:spacing w:line="360" w:lineRule="auto" w:after="40"/>
        <w:ind w:left="480" w:hanging="480"/>
      </w:pPr>
      <w:r>
        <w:rPr>
          <w:rFonts w:ascii="宋体" w:hAnsi="宋体" w:eastAsia="宋体"/>
          <w:sz w:val="21"/>
        </w:rPr>
        <w:t>[112] 中国信息通信研究院. 人工智能产业发展研究报告（2025年）[R/OL]. 北京: 中国信息通信研究院, 2026[2026-08-13]. https://www.caict.ac.cn/kxyj/qwfb/bps/202602/P020260202487301304903.pdf.</w:t>
      </w:r>
    </w:p>
    <w:p>
      <w:pPr>
        <w:spacing w:line="360" w:lineRule="auto" w:after="40"/>
        <w:ind w:left="480" w:hanging="480"/>
      </w:pPr>
      <w:r>
        <w:rPr>
          <w:rFonts w:ascii="宋体" w:hAnsi="宋体" w:eastAsia="宋体"/>
          <w:sz w:val="21"/>
        </w:rPr>
        <w:t>[113] 陈彦斌, 林晨, 陈小亮. 人工智能、老龄化与经济增长[J]. 经济研究, 2019, 54(7): 47-63.</w:t>
      </w:r>
    </w:p>
    <w:p>
      <w:pPr>
        <w:spacing w:line="360" w:lineRule="auto" w:after="40"/>
        <w:ind w:left="480" w:hanging="480"/>
      </w:pPr>
      <w:r>
        <w:rPr>
          <w:rFonts w:ascii="宋体" w:hAnsi="宋体" w:eastAsia="宋体"/>
          <w:sz w:val="21"/>
        </w:rPr>
        <w:t>[114] 蔡跃洲, 陈楠. 新技术革命下人工智能与高质量增长、高质量就业[J]. 数量经济技术经济研究, 2019, 36(5): 3-22.</w:t>
      </w:r>
    </w:p>
    <w:p>
      <w:pPr>
        <w:spacing w:line="360" w:lineRule="auto" w:after="40"/>
        <w:ind w:left="480" w:hanging="480"/>
      </w:pPr>
      <w:r>
        <w:rPr>
          <w:rFonts w:ascii="宋体" w:hAnsi="宋体" w:eastAsia="宋体"/>
          <w:sz w:val="21"/>
        </w:rPr>
        <w:t>[115] 任英华, 刘宇钊, 李海彤. 人工智能技术创新与企业全要素生产率[J]. 经济管理, 2023, 45(9): 50-67.</w:t>
      </w:r>
    </w:p>
    <w:p>
      <w:pPr>
        <w:spacing w:line="360" w:lineRule="auto" w:after="40"/>
        <w:ind w:left="480" w:hanging="480"/>
      </w:pPr>
      <w:r>
        <w:rPr>
          <w:rFonts w:ascii="宋体" w:hAnsi="宋体" w:eastAsia="宋体"/>
          <w:sz w:val="21"/>
        </w:rPr>
        <w:t>[116] 国家数据局, 中央网信办, 科技部, 等. “数据要素×”三年行动计划（2024—2026年）: 国数政策〔2023〕11号[EB/OL]. (2023-12-31)[2026-08-13]. https://www.nda.gov.cn/sjj/xxgk/gknr/ghjh/0909/20240909160155798592998_pc.html.</w:t>
      </w:r>
    </w:p>
    <w:p>
      <w:pPr>
        <w:spacing w:line="360" w:lineRule="auto" w:after="40"/>
        <w:ind w:left="480" w:hanging="480"/>
      </w:pPr>
      <w:r>
        <w:rPr>
          <w:rFonts w:ascii="宋体" w:hAnsi="宋体" w:eastAsia="宋体"/>
          <w:sz w:val="21"/>
        </w:rPr>
        <w:t>[117] WENG Q, XIAO W, YU Y, et al. MLaaS in the wild: workload analysis and scheduling in large-scale heterogeneous GPU clusters[C]//Proceedings of the 19th USENIX Symposium on Networked Systems Design and Implementation (NSDI '22). Berkeley, CA: USENIX Association, 2022: 945-960.</w:t>
      </w:r>
    </w:p>
    <w:p>
      <w:pPr>
        <w:spacing w:line="360" w:lineRule="auto" w:after="40"/>
        <w:ind w:left="480" w:hanging="480"/>
      </w:pPr>
      <w:r>
        <w:rPr>
          <w:rFonts w:ascii="宋体" w:hAnsi="宋体" w:eastAsia="宋体"/>
          <w:sz w:val="21"/>
        </w:rPr>
        <w:t>[118] MASANET E, SHEHABI A, LEI N, et al. Recalibrating global data center energy-use estimates[J]. Science, 2020, 367(6481): 984-986.</w:t>
      </w:r>
    </w:p>
    <w:p>
      <w:pPr>
        <w:spacing w:line="360" w:lineRule="auto" w:after="40"/>
        <w:ind w:left="480" w:hanging="480"/>
      </w:pPr>
      <w:r>
        <w:rPr>
          <w:rFonts w:ascii="宋体" w:hAnsi="宋体" w:eastAsia="宋体"/>
          <w:sz w:val="21"/>
        </w:rPr>
        <w:t>[119] LUCCIONI A S, VIGUIER S, LIGOZAT A L. Estimating the carbon footprint of BLOOM, a 176B parameter language model[J]. Journal of Machine Learning Research, 2023, 24(253): 1-15.</w:t>
      </w:r>
    </w:p>
    <w:p>
      <w:pPr>
        <w:spacing w:line="360" w:lineRule="auto" w:after="40"/>
        <w:ind w:left="480" w:hanging="480"/>
      </w:pPr>
      <w:r>
        <w:rPr>
          <w:rFonts w:ascii="宋体" w:hAnsi="宋体" w:eastAsia="宋体"/>
          <w:sz w:val="21"/>
        </w:rPr>
        <w:t>[120] DE VRIES A. The growing energy footprint of artificial intelligence[J]. Joule, 2023, 7(10): 2191-2194.</w:t>
      </w:r>
    </w:p>
    <w:p>
      <w:pPr>
        <w:spacing w:line="360" w:lineRule="auto" w:after="40"/>
        <w:ind w:left="480" w:hanging="480"/>
      </w:pPr>
      <w:r>
        <w:rPr>
          <w:rFonts w:ascii="宋体" w:hAnsi="宋体" w:eastAsia="宋体"/>
          <w:sz w:val="21"/>
        </w:rPr>
        <w:t>[121] KIRCHENBAUER J, GEIPING J, WEN Y, et al. A watermark for large language models[C]//Proceedings of the 40th International Conference on Machine Learning (ICML 2023): vol 202. [S.l.]: PMLR, 2023: 17061-17084.</w:t>
      </w:r>
    </w:p>
    <w:p>
      <w:pPr>
        <w:spacing w:line="360" w:lineRule="auto" w:after="40"/>
        <w:ind w:left="480" w:hanging="480"/>
      </w:pPr>
      <w:r>
        <w:rPr>
          <w:rFonts w:ascii="宋体" w:hAnsi="宋体" w:eastAsia="宋体"/>
          <w:sz w:val="21"/>
        </w:rPr>
        <w:t>[122] DATHATHRI S, SEE A, GHAISAS S, et al. Scalable watermarking for identifying large language model outputs[J]. Nature, 2024, 634(8035): 818-823.</w:t>
      </w:r>
    </w:p>
    <w:p>
      <w:pPr>
        <w:spacing w:line="360" w:lineRule="auto" w:after="40"/>
        <w:ind w:left="480" w:hanging="480"/>
      </w:pPr>
      <w:r>
        <w:rPr>
          <w:rFonts w:ascii="宋体" w:hAnsi="宋体" w:eastAsia="宋体"/>
          <w:sz w:val="21"/>
        </w:rPr>
        <w:t>[123] 国家互联网信息办公室, 工业和信息化部, 公安部. 互联网信息服务深度合成管理规定: 国家互联网信息办公室、工业和信息化部、公安部令第12号[EB/OL]. (2022-11-25)[2026-08-13]. https://www.cac.gov.cn/2022-12/11/c_1672221949354811.htm.</w:t>
      </w:r>
    </w:p>
    <w:p>
      <w:pPr>
        <w:spacing w:line="360" w:lineRule="auto" w:after="40"/>
        <w:ind w:left="480" w:hanging="480"/>
      </w:pPr>
      <w:r>
        <w:rPr>
          <w:rFonts w:ascii="宋体" w:hAnsi="宋体" w:eastAsia="宋体"/>
          <w:sz w:val="21"/>
        </w:rPr>
        <w:t>[124] 国家互联网信息办公室, 国家发展和改革委员会, 教育部, 等. 生成式人工智能服务管理暂行办法: 国家互联网信息办公室等七部门令第15号[EB/OL]. (2023-07-13)[2026-08-13]. https://www.cac.gov.cn/2023-07/13/c_1690898327029107.htm.</w:t>
      </w:r>
    </w:p>
    <w:p>
      <w:pPr>
        <w:spacing w:line="360" w:lineRule="auto" w:after="40"/>
        <w:ind w:left="480" w:hanging="480"/>
      </w:pPr>
      <w:r>
        <w:rPr>
          <w:rFonts w:ascii="宋体" w:hAnsi="宋体" w:eastAsia="宋体"/>
          <w:sz w:val="21"/>
        </w:rPr>
        <w:t>[125] 浙江省第十四届人民代表大会第四次会议. 浙江省国民经济和社会发展第十五个五年规划纲要[EB/OL]. (2026-01-17)[2026-08-13]. https://zjnews.zjol.com.cn/zjnews/202602/t20260210_31500156.shtml.</w:t>
      </w:r>
    </w:p>
    <w:p>
      <w:pPr>
        <w:spacing w:line="360" w:lineRule="auto" w:after="40"/>
        <w:ind w:left="480" w:hanging="480"/>
      </w:pPr>
      <w:r>
        <w:rPr>
          <w:rFonts w:ascii="宋体" w:hAnsi="宋体" w:eastAsia="宋体"/>
          <w:sz w:val="21"/>
        </w:rPr>
        <w:t>[126] 国际数据公司. 中国智算云基础设施市场（AI IaaS）（2025上半年）跟踪[R/OL]. 北京: IDC中国, 2025[2026-08-13]. https://my.idc.com/getdoc.jsp?containerId=prCHC53879525.</w:t>
      </w:r>
    </w:p>
    <w:p>
      <w:pPr>
        <w:spacing w:line="360" w:lineRule="auto" w:after="40"/>
        <w:ind w:left="480" w:hanging="480"/>
      </w:pPr>
      <w:r>
        <w:rPr>
          <w:rFonts w:ascii="宋体" w:hAnsi="宋体" w:eastAsia="宋体"/>
          <w:sz w:val="21"/>
        </w:rPr>
        <w:t>[127] SHEHABI A, SMITH S J, HUBBARD A, 等. 2024 United States data center energy usage report: LBNL-2001637[R]. Berkeley, CA: Lawrence Berkeley National Laboratory, 2024.</w:t>
      </w:r>
    </w:p>
    <w:p>
      <w:pPr>
        <w:spacing w:line="360" w:lineRule="auto" w:after="40"/>
        <w:ind w:left="480" w:hanging="480"/>
      </w:pPr>
      <w:r>
        <w:rPr>
          <w:rFonts w:ascii="宋体" w:hAnsi="宋体" w:eastAsia="宋体"/>
          <w:sz w:val="21"/>
        </w:rPr>
        <w:t>[128] LI P, YANG J, ISLAM M A, 等. Making AI less "thirsty": uncovering and addressing the secret water footprint of AI models[J]. Communications of the ACM, 2025, 68(7): 54-63.</w:t>
      </w:r>
    </w:p>
    <w:p>
      <w:pPr>
        <w:spacing w:line="360" w:lineRule="auto" w:after="40"/>
        <w:ind w:left="480" w:hanging="480"/>
      </w:pPr>
      <w:r>
        <w:rPr>
          <w:rFonts w:ascii="宋体" w:hAnsi="宋体" w:eastAsia="宋体"/>
          <w:sz w:val="21"/>
        </w:rPr>
        <w:t>[129] 中国信息通信研究院. 算力电力协同发展研究报告(2025年)[R]. 北京: 中国信息通信研究院, 2025.</w:t>
      </w:r>
    </w:p>
    <w:p>
      <w:pPr>
        <w:spacing w:line="360" w:lineRule="auto" w:after="40"/>
        <w:ind w:left="480" w:hanging="480"/>
      </w:pPr>
      <w:r>
        <w:rPr>
          <w:rFonts w:ascii="宋体" w:hAnsi="宋体" w:eastAsia="宋体"/>
          <w:sz w:val="21"/>
        </w:rPr>
        <w:t>[130] 陈丹丹, 史代敏, 祁丹越, 等. 绿色金融统计标准的国际比较与中国实践[J]. 统计研究, 2025, 42(1): 75-87.</w:t>
      </w:r>
    </w:p>
    <w:p>
      <w:pPr>
        <w:spacing w:line="360" w:lineRule="auto" w:after="40"/>
        <w:ind w:left="480" w:hanging="480"/>
      </w:pPr>
      <w:r>
        <w:rPr>
          <w:rFonts w:ascii="宋体" w:hAnsi="宋体" w:eastAsia="宋体"/>
          <w:sz w:val="21"/>
        </w:rPr>
        <w:t>[131] 肖土盛, 孙瑞琦, 袁淳, 等. 企业数字化转型、人力资本结构调整与劳动收入份额[J]. 管理世界, 2022, 38(12): 220-237.</w:t>
      </w:r>
    </w:p>
    <w:p>
      <w:pPr>
        <w:spacing w:line="360" w:lineRule="auto" w:after="40"/>
        <w:ind w:left="480" w:hanging="480"/>
      </w:pPr>
      <w:r>
        <w:rPr>
          <w:rFonts w:ascii="宋体" w:hAnsi="宋体" w:eastAsia="宋体"/>
          <w:sz w:val="21"/>
        </w:rPr>
        <w:t>[132] 何小钢, 朱国悦, 冯大威. 工业机器人应用与劳动收入份额——来自中国工业企业的证据[J]. 中国工业经济, 2023(4): 98-116.</w:t>
      </w:r>
    </w:p>
    <w:p>
      <w:pPr>
        <w:spacing w:line="360" w:lineRule="auto" w:after="40"/>
        <w:ind w:left="480" w:hanging="480"/>
      </w:pPr>
      <w:r>
        <w:rPr>
          <w:rFonts w:ascii="宋体" w:hAnsi="宋体" w:eastAsia="宋体"/>
          <w:sz w:val="21"/>
        </w:rPr>
        <w:t>[133] 王林辉, 胡晟明, 董直庆. 人工智能技术、任务属性与职业可替代风险——来自微观层面的经验证据[J]. 管理世界, 2022, 38(7): 60-79.</w:t>
      </w:r>
    </w:p>
    <w:p>
      <w:pPr>
        <w:spacing w:line="360" w:lineRule="auto" w:after="40"/>
        <w:ind w:left="480" w:hanging="480"/>
      </w:pPr>
      <w:r>
        <w:rPr>
          <w:rFonts w:ascii="宋体" w:hAnsi="宋体" w:eastAsia="宋体"/>
          <w:sz w:val="21"/>
        </w:rPr>
        <w:t>[134] 王林辉, 钱圆圆, 宋冬林, 等. 机器人应用的岗位转换效应及就业敏感性群体特征——来自微观个体层面的经验证据[J]. 经济研究, 2023, 58(7): 69-85.</w:t>
      </w:r>
    </w:p>
    <w:p>
      <w:pPr>
        <w:spacing w:line="360" w:lineRule="auto" w:after="40"/>
        <w:ind w:left="480" w:hanging="480"/>
      </w:pPr>
      <w:r>
        <w:rPr>
          <w:rFonts w:ascii="宋体" w:hAnsi="宋体" w:eastAsia="宋体"/>
          <w:sz w:val="21"/>
        </w:rPr>
        <w:t>[135] CRAWFORD K. Generative AI's environmental costs are soaring — and mostly secret[J]. Nature, 2024, 626(8000): 693.</w:t>
      </w:r>
    </w:p>
    <w:p>
      <w:pPr>
        <w:spacing w:line="360" w:lineRule="auto" w:after="40"/>
        <w:ind w:left="480" w:hanging="480"/>
      </w:pPr>
      <w:r>
        <w:rPr>
          <w:rFonts w:ascii="宋体" w:hAnsi="宋体" w:eastAsia="宋体"/>
          <w:sz w:val="21"/>
        </w:rPr>
        <w:t>[136] 何建坤. 碳达峰碳中和目标导向下能源和经济的低碳转型[J]. 环境经济研究, 2021, 6(1): 1-9.</w:t>
      </w:r>
    </w:p>
    <w:p>
      <w:pPr>
        <w:spacing w:line="360" w:lineRule="auto" w:after="40"/>
        <w:ind w:left="480" w:hanging="480"/>
      </w:pPr>
      <w:r>
        <w:rPr>
          <w:rFonts w:ascii="宋体" w:hAnsi="宋体" w:eastAsia="宋体"/>
          <w:sz w:val="21"/>
        </w:rPr>
        <w:t>[137] 张希良, 黄晓丹, 张达, 等. 碳中和目标下的能源经济转型路径与政策研究[J]. 管理世界, 2022, 38(1): 35-66.</w:t>
      </w:r>
    </w:p>
    <w:p>
      <w:pPr>
        <w:spacing w:line="360" w:lineRule="auto" w:after="40"/>
        <w:ind w:left="480" w:hanging="480"/>
      </w:pPr>
      <w:r>
        <w:rPr>
          <w:rFonts w:ascii="宋体" w:hAnsi="宋体" w:eastAsia="宋体"/>
          <w:sz w:val="21"/>
        </w:rPr>
        <w:t>[138] 国家发展改革委, 财政部, 国家能源局. 关于做好可再生能源绿色电力证书全覆盖工作 促进可再生能源电力消费的通知: 发改能源〔2023〕1044号[EB/OL]. (2023-08-03)[2026-08-13]. https://www.ndrc.gov.cn/xxgk/zcfb/tz/202308/t20230803_1359092.html.</w:t>
      </w:r>
    </w:p>
    <w:p>
      <w:pPr>
        <w:spacing w:line="360" w:lineRule="auto" w:after="40"/>
        <w:ind w:left="480" w:hanging="480"/>
      </w:pPr>
      <w:r>
        <w:rPr>
          <w:rFonts w:ascii="宋体" w:hAnsi="宋体" w:eastAsia="宋体"/>
          <w:sz w:val="21"/>
        </w:rPr>
        <w:t>[139] 国家发展改革委, 国家能源局. 关于促进可再生能源绿色电力证书市场高质量发展的意见: 发改能源〔2025〕262号[EB/OL]. (2025-03-18)[2026-08-13]. https://www.ndrc.gov.cn/xxgk/zcfb/tz/202503/t20250318_1396627.html.</w:t>
      </w:r>
    </w:p>
    <w:p>
      <w:pPr>
        <w:spacing w:line="360" w:lineRule="auto" w:after="40"/>
        <w:ind w:left="480" w:hanging="480"/>
      </w:pPr>
      <w:r>
        <w:rPr>
          <w:rFonts w:ascii="宋体" w:hAnsi="宋体" w:eastAsia="宋体"/>
          <w:sz w:val="21"/>
        </w:rPr>
        <w:t>[140] 生态环境部, 国家发展和改革委员会, 国家市场监督管理总局, 等. 产品碳足迹核算标准编制工作指引: 环气候〔2024〕91号[EB/OL]. (2024-12-28)[2026-08-13]. https://www.mee.gov.cn/xxgk2018/xxgk/xxgk03/202501/t20250106_1099994.html.</w:t>
      </w:r>
    </w:p>
    <w:p>
      <w:pPr>
        <w:spacing w:line="360" w:lineRule="auto" w:after="40"/>
        <w:ind w:left="480" w:hanging="480"/>
      </w:pPr>
      <w:r>
        <w:rPr>
          <w:rFonts w:ascii="宋体" w:hAnsi="宋体" w:eastAsia="宋体"/>
          <w:sz w:val="21"/>
        </w:rPr>
        <w:t>[141] 王永钦, 董雯. 机器人的兴起如何影响中国劳动力市场？——来自制造业上市公司的证据[J]. 经济研究, 2020, 55(10): 159-175.</w:t>
      </w:r>
    </w:p>
    <w:p>
      <w:pPr>
        <w:spacing w:line="360" w:lineRule="auto" w:after="40"/>
        <w:ind w:left="480" w:hanging="480"/>
      </w:pPr>
      <w:r>
        <w:rPr>
          <w:rFonts w:ascii="宋体" w:hAnsi="宋体" w:eastAsia="宋体"/>
          <w:sz w:val="21"/>
        </w:rPr>
        <w:t>[142] 柏培文, 张云. 数字经济、人口红利下降与中低技能劳动者权益[J]. 经济研究, 2021, 56(5): 91-108.</w:t>
      </w:r>
    </w:p>
    <w:p>
      <w:r>
        <w:br w:type="page"/>
      </w:r>
    </w:p>
    <w:p>
      <w:pPr>
        <w:keepNext/>
        <w:spacing w:before="240" w:after="160" w:line="360" w:lineRule="auto"/>
        <w:jc w:val="center"/>
        <w:outlineLvl w:val="0"/>
      </w:pPr>
      <w:r>
        <w:rPr>
          <w:rFonts w:ascii="黑体" w:hAnsi="黑体" w:eastAsia="黑体"/>
          <w:b/>
          <w:sz w:val="30"/>
        </w:rPr>
        <w:t>后  记</w:t>
      </w:r>
    </w:p>
    <w:p>
      <w:pPr>
        <w:spacing w:line="360" w:lineRule="auto" w:after="0"/>
        <w:ind w:firstLineChars="200" w:firstLine="480"/>
        <w:jc w:val="both"/>
      </w:pPr>
      <w:r>
        <w:rPr>
          <w:rFonts w:ascii="宋体" w:hAnsi="宋体" w:eastAsia="宋体"/>
          <w:sz w:val="24"/>
        </w:rPr>
        <w:t>本书的写作始于一个很小的困惑。去年秋天，笔者在与本地一家纺织企业交流时被问到一个问题：平台报价说一百万词元多少钱，可我怎么知道这一百万词元值不值这个价？当时无法给出令人信服的回答。后来查阅资料才发现，这并非某一家企业的困惑，而是整个词元市场共同的制度空缺——市场上流通的是同一个名字，背后却是完全不同的东西。经济学对这类问题并不陌生：一切市场的效率，都以计量的可比性为前提。本书试图做的，就是把这个前提补上。</w:t>
      </w:r>
    </w:p>
    <w:p>
      <w:pPr>
        <w:spacing w:line="360" w:lineRule="auto" w:after="0"/>
        <w:ind w:firstLineChars="200" w:firstLine="480"/>
        <w:jc w:val="both"/>
      </w:pPr>
      <w:r>
        <w:rPr>
          <w:rFonts w:ascii="宋体" w:hAnsi="宋体" w:eastAsia="宋体"/>
          <w:sz w:val="24"/>
        </w:rPr>
        <w:t>感谢嘉兴大学提供的良好科研条件，感谢长三角（嘉兴）Token运营中心及相关企业在调研中的坦诚分享，感谢课题组成员在词元服务数据采集、效值测试集构建与企业访谈中的辛勤付出。本书写作期间，词元经济正以罕见的速度演化，几乎每一个月都有新的政策、新的价格与新的模式出现——研究对象的快速变化既是本书的挑战，也是它的价值所在。书中若有错讹，责任由作者承担。</w:t>
      </w:r>
    </w:p>
    <w:p>
      <w:pPr>
        <w:spacing w:line="360" w:lineRule="auto" w:after="0"/>
        <w:jc w:val="right"/>
      </w:pPr>
      <w:r>
        <w:rPr>
          <w:rFonts w:ascii="宋体" w:hAnsi="宋体" w:eastAsia="宋体"/>
          <w:sz w:val="24"/>
        </w:rPr>
        <w:t>蔡鑫宇</w:t>
      </w:r>
    </w:p>
    <w:p>
      <w:pPr>
        <w:spacing w:line="360" w:lineRule="auto" w:after="0"/>
        <w:jc w:val="right"/>
      </w:pPr>
      <w:r>
        <w:rPr>
          <w:rFonts w:ascii="宋体" w:hAnsi="宋体" w:eastAsia="宋体"/>
          <w:sz w:val="24"/>
        </w:rPr>
        <w:t>2026年8月</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