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EQMARK0000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Λ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t>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t>β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exp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t>β</m:t>
                </m:r>
              </m:e>
            </m:d>
          </m:den>
        </m:f>
      </m:oMath>
    </w:p>
    <w:p>
      <w:pPr>
        <w:pStyle w:val="BodyText"/>
      </w:pPr>
      <w:r>
        <w:t xml:space="preserve">EQMARK0001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nary>
        <m:r>
          <m:t>Λ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t>β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t>β</m:t>
                </m:r>
              </m:e>
            </m:d>
          </m:e>
        </m:d>
      </m:oMath>
    </w:p>
    <w:p>
      <w:pPr>
        <w:pStyle w:val="BodyText"/>
      </w:pPr>
      <w:r>
        <w:t xml:space="preserve">EQMARK0002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t>γ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t xml:space="preserve">EQMARK0003</w:t>
      </w:r>
      <w:r>
        <w:t xml:space="preserve"> </w:t>
      </w:r>
      <m:oMath>
        <m:sSub>
          <m:e>
            <m:r>
              <m:t>Q</m:t>
            </m:r>
          </m:e>
          <m:sub>
            <m:r>
              <m:t>τ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2026-08-24T06:34:23Z</dcterms:created>
  <dcterms:modified xsi:type="dcterms:W3CDTF">2026-08-24T06:34:23Z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