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269"/>
        <w:jc w:val="center"/>
      </w:pPr>
      <w:r>
        <w:rPr>
          <w:rFonts w:ascii="Times New Roman" w:hAnsi="Times New Roman" w:eastAsia="Times New Roman"/>
          <w:b/>
          <w:sz w:val="26"/>
        </w:rPr>
        <w:t>Cover Letter</w:t>
      </w:r>
    </w:p>
    <w:p>
      <w:pPr>
        <w:spacing w:before="0" w:after="140" w:lineRule="auto" w:line="269"/>
      </w:pPr>
      <w:r>
        <w:rPr>
          <w:rFonts w:ascii="Times New Roman" w:hAnsi="Times New Roman" w:eastAsia="Times New Roman"/>
          <w:b w:val="0"/>
          <w:sz w:val="19"/>
        </w:rPr>
        <w:t>Dear Editors,</w:t>
      </w:r>
    </w:p>
    <w:p>
      <w:pPr>
        <w:spacing w:before="0" w:after="100" w:lineRule="auto" w:line="269"/>
      </w:pPr>
      <w:r>
        <w:rPr>
          <w:rFonts w:ascii="Times New Roman" w:hAnsi="Times New Roman" w:eastAsia="Times New Roman"/>
          <w:b w:val="0"/>
          <w:sz w:val="19"/>
        </w:rPr>
        <w:t>We would like to submit the enclosed manuscript entitled “When Does a Career Contingency Hold? Between-Person and Within-Person Estimates of Sixteen Moderation Hypotheses in Two Longitudinal Cohorts of Young Workers” for consideration as an Article in Behavioral Sciences. The manuscript has not been published elsewhere and is not under consideration by any other journal. It is a secondary analysis of public-use microdata and involved no contact with human subjects. All authors have approved the submission, and no conflict of interest exists.</w:t>
      </w:r>
    </w:p>
    <w:p>
      <w:pPr>
        <w:spacing w:before="0" w:after="100" w:lineRule="auto" w:line="269"/>
      </w:pPr>
      <w:r>
        <w:rPr>
          <w:rFonts w:ascii="Times New Roman" w:hAnsi="Times New Roman" w:eastAsia="Times New Roman"/>
          <w:b w:val="0"/>
          <w:sz w:val="19"/>
        </w:rPr>
        <w:t>Career development theories describe what happens to a person as a career unfolds. The evidence about the contingencies in those theories is mostly gathered by comparing people at a moment. That the two can differ has been argued on theoretical grounds for decades. What has not been established is how far they actually differ for interaction terms — which is where the interesting theoretical claims live — in real career data, for hypotheses of the kind the field reports.</w:t>
      </w:r>
    </w:p>
    <w:p>
      <w:pPr>
        <w:spacing w:before="0" w:after="100" w:lineRule="auto" w:line="269"/>
      </w:pPr>
      <w:r>
        <w:rPr>
          <w:rFonts w:ascii="Times New Roman" w:hAnsi="Times New Roman" w:eastAsia="Times New Roman"/>
          <w:b w:val="0"/>
          <w:sz w:val="19"/>
        </w:rPr>
        <w:t>We wrote down sixteen moderation hypotheses in advance, each stating that the wage return to a career input depends on a characteristic of the worker or the job, and estimated every one of them in two public longitudinal cohorts of young workers: 28,534 person-years on 4,711 women across 15 waves, and 4,360 person-years on 545 men across 8 annual waves. Each interaction was estimated one wave at a time, pooled, and as separate between-person and within-person slopes inside a single model that permits a formal test of their equality. All sixteen are reported. The main findings are as follows.</w:t>
      </w:r>
    </w:p>
    <w:p>
      <w:pPr>
        <w:spacing w:before="0" w:after="80" w:lineRule="auto" w:line="269"/>
        <w:ind w:left="312"/>
      </w:pPr>
      <w:r>
        <w:rPr>
          <w:rFonts w:ascii="Times New Roman" w:hAnsi="Times New Roman" w:eastAsia="Times New Roman"/>
          <w:b w:val="0"/>
          <w:sz w:val="19"/>
        </w:rPr>
        <w:t>(1) The two answers disagree, often and by large margins. The between-person and within-person estimates carried opposite signs in 8 of 16 hypotheses and supported different substantive conclusions in 12; their equality was rejected in 6 after controlling the false discovery rate. The median disagreement was 1.42 times the size of the within-person estimate itself — that is, the gap between the two answers was typically larger than the answer.</w:t>
      </w:r>
    </w:p>
    <w:p>
      <w:pPr>
        <w:spacing w:before="0" w:after="80" w:lineRule="auto" w:line="269"/>
        <w:ind w:left="312"/>
      </w:pPr>
      <w:r>
        <w:rPr>
          <w:rFonts w:ascii="Times New Roman" w:hAnsi="Times New Roman" w:eastAsia="Times New Roman"/>
          <w:b w:val="0"/>
          <w:sz w:val="19"/>
        </w:rPr>
        <w:t>(2) A single cross-section does not approximate the within-person quantity; it estimates the other one. Of 160 single-wave estimates, 26 reached significance, and 6 of those (23 per cent) pointed the opposite way to the within-person estimate of the same quantity. The wave-by-wave estimates scatter around the between-person value, so collecting another cross-section reproduces the same quantity rather than closing the gap.</w:t>
      </w:r>
    </w:p>
    <w:p>
      <w:pPr>
        <w:spacing w:before="0" w:after="80" w:lineRule="auto" w:line="269"/>
        <w:ind w:left="312"/>
      </w:pPr>
      <w:r>
        <w:rPr>
          <w:rFonts w:ascii="Times New Roman" w:hAnsi="Times New Roman" w:eastAsia="Times New Roman"/>
          <w:b w:val="0"/>
          <w:sz w:val="19"/>
        </w:rPr>
        <w:t>(3) The divergence survives the obvious checks. Refitting every within-person estimate restricted to workers observed at least three times, by first differences, and with the controls stripped back left the sign unchanged in 14 of 16 hypotheses, so the result is not an artefact of the transformation used to remove the person.</w:t>
      </w:r>
    </w:p>
    <w:p>
      <w:pPr>
        <w:spacing w:before="0" w:after="80" w:lineRule="auto" w:line="269"/>
        <w:ind w:left="312"/>
      </w:pPr>
      <w:r>
        <w:rPr>
          <w:rFonts w:ascii="Times New Roman" w:hAnsi="Times New Roman" w:eastAsia="Times New Roman"/>
          <w:b w:val="0"/>
          <w:sz w:val="19"/>
        </w:rPr>
        <w:t>(4) A worked case makes the stakes concrete. Whether employer tenure pays off more for college graduates is answered −.013 between people (p &lt; .001) and .004 within them; the two differ by .017 with p &lt; .001 after correction. Read across people, graduates gain markedly less from tenure; read within people, slightly more. A one-wave study would have reported the first.</w:t>
      </w:r>
    </w:p>
    <w:p>
      <w:pPr>
        <w:spacing w:before="0" w:after="80" w:lineRule="auto" w:line="269"/>
        <w:ind w:left="312"/>
      </w:pPr>
      <w:r>
        <w:rPr>
          <w:rFonts w:ascii="Times New Roman" w:hAnsi="Times New Roman" w:eastAsia="Times New Roman"/>
          <w:b w:val="0"/>
          <w:sz w:val="19"/>
        </w:rPr>
        <w:t>(5) We are careful about what we claim. Neither estimator is presented as correct. They answer different questions, and the manuscript says so repeatedly; the within-person estimator removes only the stable part of confounding and amplifies measurement error. The two cohorts are also old, which we state plainly: they were chosen because they are among the few career panels with many waves that are public, documented and redistributable, so that the analysis can be checked. As a check on our own handling of the files, we reproduce a published benchmark estimate to four decimal places before estimating anything of our own.</w:t>
      </w:r>
    </w:p>
    <w:p>
      <w:pPr>
        <w:spacing w:before="0" w:after="160" w:lineRule="auto" w:line="269"/>
      </w:pPr>
      <w:r>
        <w:rPr>
          <w:rFonts w:ascii="Times New Roman" w:hAnsi="Times New Roman" w:eastAsia="Times New Roman"/>
          <w:b w:val="0"/>
          <w:sz w:val="19"/>
        </w:rPr>
        <w:t>We believe the manuscript suits Behavioral Sciences. It bears directly on how the journal’s readers design and read career studies, it engages a methodological literature that psychology has developed largely on theoretical grounds by supplying a magnitude from real career data, and it yields a concrete and inexpensive recommendation: where panel data exist, report both components of a moderation, which costs two columns; where they do not, name the quantity estimated accurately. The analysis code downloads the public extracts, reproduces the benchmark, and regenerates every table and figure, so readers can check the result rather than take it on trust. We would be glad to revise the manuscript in the light of the reviewers’ comments.</w:t>
      </w:r>
    </w:p>
    <w:p>
      <w:pPr>
        <w:spacing w:before="0" w:after="40" w:lineRule="auto" w:line="269"/>
      </w:pPr>
      <w:r>
        <w:rPr>
          <w:rFonts w:ascii="Times New Roman" w:hAnsi="Times New Roman" w:eastAsia="Times New Roman"/>
          <w:b w:val="0"/>
          <w:sz w:val="19"/>
        </w:rPr>
        <w:t>Yours sincerely,</w:t>
      </w:r>
    </w:p>
    <w:p>
      <w:pPr>
        <w:spacing w:before="0" w:after="0" w:lineRule="auto" w:line="269"/>
      </w:pPr>
      <w:r>
        <w:rPr>
          <w:rFonts w:ascii="Times New Roman" w:hAnsi="Times New Roman" w:eastAsia="Times New Roman"/>
          <w:b w:val="0"/>
          <w:sz w:val="19"/>
        </w:rPr>
        <w:t>Xinyu Cai and Tiantian Mo</w:t>
      </w:r>
    </w:p>
    <w:p>
      <w:pPr>
        <w:spacing w:before="0" w:after="0" w:lineRule="auto" w:line="269"/>
      </w:pPr>
      <w:r>
        <w:rPr>
          <w:rFonts w:ascii="Times New Roman" w:hAnsi="Times New Roman" w:eastAsia="Times New Roman"/>
          <w:b w:val="0"/>
          <w:sz w:val="19"/>
        </w:rPr>
        <w:t>College of Business, Jiaxing University</w:t>
      </w:r>
    </w:p>
    <w:p>
      <w:pPr>
        <w:spacing w:before="0" w:after="0" w:lineRule="auto" w:line="269"/>
      </w:pPr>
      <w:r>
        <w:rPr>
          <w:rFonts w:ascii="Times New Roman" w:hAnsi="Times New Roman" w:eastAsia="Times New Roman"/>
          <w:b w:val="0"/>
          <w:sz w:val="19"/>
        </w:rPr>
        <w:t>Correspondence: 00008227@zjxu.edu.cn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