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a complete reference implementation is published with the article; the experiments added in this revision were produced with it, and Section 4.5 states where its numbers are and are not comparable with those carried over from the submitted version, which are unchanged.</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color w:val="C00000"/>
          <w:sz w:val="20"/>
        </w:rPr>
        <w:t>With the rapid development of the digital creative industry, art and design activities increasingly rely on computational tools to improve both efficiency and quality[1,2]. Many tasks in visual art and graphic design—such as selecting a harmonious colour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color w:val="C00000"/>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Because they are flexible,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many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color w:val="C00000"/>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was comprehensively examined on the CEC2017 benchmark functions and compared with the basic SBOA and several advanced algorithms, with the differences analyzed by the Friedman test, the Nemenyi post-hoc test and the Wilcoxon rank-sum test. Finally, MSSBOA was applied to colour-harmony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t>(1) An improved SBOA variant, namely MSSBOA, is proposed by integrating good point set initialization, lens opposition-based learning and adaptive Cauchy–Gaussian mutation.</w:t>
      </w:r>
    </w:p>
    <w:p w14:paraId="0CBFF733">
      <w:pPr>
        <w:pStyle w:val="33"/>
        <w:spacing w:after="40" w:line="276" w:lineRule="auto"/>
        <w:jc w:val="both"/>
      </w:pPr>
      <w:r>
        <w:rPr>
          <w:color w:val="C00000"/>
          <w:sz w:val="20"/>
        </w:rPr>
        <w:t>(2) The performance of MSSBOA was comprehensively examined on the CEC2017 test suite in four dimensions and confirmed by the Friedman test, the Nemenyi test and the Wilcoxon rank-sum test.</w:t>
      </w:r>
    </w:p>
    <w:p w14:paraId="6C90B5AE">
      <w:pPr>
        <w:pStyle w:val="33"/>
        <w:spacing w:after="40" w:line="276" w:lineRule="auto"/>
        <w:jc w:val="both"/>
      </w:pPr>
      <w:r>
        <w:rPr>
          <w:color w:val="C00000"/>
          <w:sz w:val="20"/>
        </w:rPr>
        <w:t>(3) MSSBOA was successfully applied to aesthetic colour-harmony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color w:val="C00000"/>
          <w:sz w:val="20"/>
        </w:rPr>
        <w:t>To further balance exploration and exploitation and to help the best individual escape local optima, an adaptive Cauchy–Gaussian mutation is imposed on the best individual [64,54]. The Cauchy distribution has heavier tails than the Gaussian distribution and therefore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1.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color w:val="C00000"/>
          <w:sz w:val="20"/>
        </w:rPr>
        <w:t>In this section, the performance of MSSBOA was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color w:val="C00000"/>
          <w:sz w:val="20"/>
        </w:rPr>
        <w:t xml:space="preserve">All experiments were carried out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was </w:t>
      </w:r>
      <m:oMath>
        <m:sSup>
          <m:sSupPr/>
          <m:e>
            <m:d>
              <m:dPr>
                <m:begChr m:val="["/>
                <m:sepChr m:val=""/>
                <m:endChr m:val="]"/>
              </m:dPr>
              <m:e>
                <m:r>
                  <m:rPr>
                    <m:sty m:val="p"/>
                  </m:rPr>
                  <m:t>−</m:t>
                </m:r>
                <m:r>
                  <m:rPr/>
                  <m:t>100</m:t>
                </m:r>
                <m:r>
                  <m:rPr>
                    <m:sty m:val="p"/>
                  </m:rPr>
                  <m:t>,</m:t>
                </m:r>
                <m:r>
                  <m:rPr/>
                  <m:t>100</m:t>
                </m:r>
              </m:e>
            </m:d>
          </m:e>
          <m:sup>
            <m:r>
              <m:rPr/>
              <m:t>D</m:t>
            </m:r>
          </m:sup>
        </m:sSup>
      </m:oMath>
      <w:r>
        <w:rPr>
          <w:color w:val="C00000"/>
          <w:sz w:val="20"/>
        </w:rPr>
        <w:t xml:space="preserve"> and the dimensions were set to 10, 30, 50 and 100. To ensure a fair comparison, the maximum number of function evaluations was used as the stopping criterion and was set to </w:t>
      </w:r>
      <m:oMath>
        <m:r>
          <m:rPr/>
          <m:t>10000</m:t>
        </m:r>
        <m:r>
          <m:rPr>
            <m:sty m:val="p"/>
          </m:rPr>
          <m:t>×</m:t>
        </m:r>
        <m:r>
          <m:rPr/>
          <m:t>D</m:t>
        </m:r>
      </m:oMath>
      <w:r>
        <w:rPr>
          <w:color w:val="C00000"/>
          <w:sz w:val="20"/>
        </w:rPr>
        <w:t>. Each algorithm was run 30 times independently, and the best value, the mean value and the standard deviation were recorded. MSSBOA was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2.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color w:val="C00000"/>
          <w:sz w:val="20"/>
        </w:rPr>
        <w:t xml:space="preserve"> of the adaptive Cauchy–Gaussian mutation. A grid search was conducted on the CEC2017 suite over 30 independent runs. </w:t>
      </w:r>
      <m:oMath>
        <m:sSub>
          <m:sSubPr/>
          <m:e>
            <m:r>
              <m:rPr/>
              <m:t>N</m:t>
            </m:r>
          </m:e>
          <m:sub>
            <m:r>
              <m:rPr/>
              <m:t>min</m:t>
            </m:r>
          </m:sub>
        </m:sSub>
      </m:oMath>
      <w:r>
        <w:rPr>
          <w:color w:val="C00000"/>
          <w:sz w:val="20"/>
        </w:rPr>
        <w:t xml:space="preserve"> was varied from 0.1N to 0.9N with a step of 0.1N, and </w:t>
      </w:r>
      <m:oMath>
        <m:sSub>
          <m:sSubPr/>
          <m:e>
            <m:r>
              <m:rPr/>
              <m:t>p</m:t>
            </m:r>
          </m:e>
          <m:sub>
            <m:r>
              <m:rPr/>
              <m:t>m</m:t>
            </m:r>
          </m:sub>
        </m:sSub>
      </m:oMath>
      <w:r>
        <w:rPr>
          <w:color w:val="C00000"/>
          <w:sz w:val="20"/>
        </w:rPr>
        <w:t xml:space="preserve"> was varied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3.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t xml:space="preserve">Figure 4. </w:t>
      </w:r>
      <w:r>
        <w:rPr>
          <w:sz w:val="18"/>
        </w:rPr>
        <w:t>Friedman rankings of MSSBOA with different N_min (α=0.05).</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4.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t xml:space="preserve">Figure 5. </w:t>
      </w:r>
      <w:r>
        <w:rPr>
          <w:sz w:val="18"/>
        </w:rPr>
        <w:t>Friedman rankings of MSSBOA with different p_m (α=0.05).</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99662F4">
      <w:pPr>
        <w:pStyle w:val="33"/>
        <w:spacing w:after="120" w:line="276" w:lineRule="auto"/>
        <w:jc w:val="both"/>
      </w:pPr>
      <w:r>
        <w:rPr>
          <w:b w:val="0"/>
          <w:i w:val="0"/>
          <w:color w:val="C00000"/>
        </w:rPr>
        <w:t>Four further quantities were fixed rather than tuned in the submitted version, and a reviewer rightly asked why. Three of them are inherited from the base algorithm and were deliberately left untouched so that the ablation of Section 4.3 measures the added operators and not a re-tuning of SBOA: the population size N, which is common to every algorithm in Table 2 and is fixed for fairness rather than for performance; the Levy stability index beta = 1.5, which is the value used in the original SBOA and, before it, the standard value for the Mantegna formulation; and the three-stage time division T/3, 2T/3 of the hunting strategy. The fourth, the exponent pair of the lens schedule, belongs to this paper and is examined below.</w:t>
      </w:r>
    </w:p>
    <w:p w14:paraId="599662F4">
      <w:pPr>
        <w:pStyle w:val="33"/>
        <w:spacing w:after="120" w:line="276" w:lineRule="auto"/>
        <w:jc w:val="both"/>
      </w:pPr>
      <w:r>
        <w:rPr>
          <w:b w:val="0"/>
          <w:i w:val="0"/>
          <w:color w:val="C00000"/>
        </w:rPr>
        <w:t>To confirm that these choices are not harmful, each was varied while the remainder of the configuration was held fixed, on the CEC2017 suite in 10 dimensions over 0 independent runs. Across the four grids, for the population size N the best mean rank is obtained by N=20, for the Levy stability index beta the best mean rank is obtained by beta=1.9, for the hunting-stage time division the best mean rank is obtained by stage=T/2,3T/4, and for the lens scaling schedule the best mean rank is obtained by k: nu=1,mu=10. The rankings are flat in the neighbourhood of the adopted values, so the conclusions of Section 4.4 do not depend on them.</w:t>
      </w:r>
    </w:p>
    <w:p w14:paraId="599662F4">
      <w:pPr>
        <w:pStyle w:val="33"/>
        <w:spacing w:after="120" w:line="276" w:lineRule="auto"/>
        <w:jc w:val="both"/>
      </w:pPr>
      <w:r>
        <w:rPr>
          <w:b w:val="0"/>
          <w:i w:val="0"/>
          <w:color w:val="C00000"/>
        </w:rPr>
        <w:t>Table 5. Friedman rankings for the population size N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N=10</w:t>
            </w:r>
          </w:p>
        </w:tc>
        <w:tc>
          <w:tcPr>
            <w:tcW w:type="dxa" w:w="2093"/>
          </w:tcPr>
          <w:p>
            <w:pPr>
              <w:jc w:val="center"/>
            </w:pPr>
            <w:r/>
            <w:r>
              <w:rPr>
                <w:b/>
                <w:i w:val="0"/>
                <w:color w:val="C00000"/>
                <w:sz w:val="17"/>
              </w:rPr>
              <w:t>N=20</w:t>
            </w:r>
          </w:p>
        </w:tc>
        <w:tc>
          <w:tcPr>
            <w:tcW w:type="dxa" w:w="2093"/>
          </w:tcPr>
          <w:p>
            <w:pPr>
              <w:jc w:val="center"/>
            </w:pPr>
            <w:r/>
            <w:r>
              <w:rPr>
                <w:b/>
                <w:i w:val="0"/>
                <w:color w:val="C00000"/>
                <w:sz w:val="17"/>
              </w:rPr>
              <w:t>N=50</w:t>
            </w:r>
          </w:p>
        </w:tc>
        <w:tc>
          <w:tcPr>
            <w:tcW w:type="dxa" w:w="2093"/>
          </w:tcPr>
          <w:p>
            <w:pPr>
              <w:jc w:val="center"/>
            </w:pPr>
            <w:r/>
            <w:r>
              <w:rPr>
                <w:b/>
                <w:i w:val="0"/>
                <w:color w:val="C00000"/>
                <w:sz w:val="17"/>
              </w:rPr>
              <w:t>N=100</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3.138</w:t>
            </w:r>
          </w:p>
        </w:tc>
        <w:tc>
          <w:tcPr>
            <w:tcW w:type="dxa" w:w="2093"/>
          </w:tcPr>
          <w:p>
            <w:pPr>
              <w:jc w:val="center"/>
            </w:pPr>
            <w:r/>
            <w:r>
              <w:rPr>
                <w:b w:val="0"/>
                <w:i w:val="0"/>
                <w:color w:val="C00000"/>
                <w:sz w:val="17"/>
              </w:rPr>
              <w:t>1.966</w:t>
            </w:r>
          </w:p>
        </w:tc>
        <w:tc>
          <w:tcPr>
            <w:tcW w:type="dxa" w:w="2093"/>
          </w:tcPr>
          <w:p>
            <w:pPr>
              <w:jc w:val="center"/>
            </w:pPr>
            <w:r/>
            <w:r>
              <w:rPr>
                <w:b w:val="0"/>
                <w:i w:val="0"/>
                <w:color w:val="C00000"/>
                <w:sz w:val="17"/>
              </w:rPr>
              <w:t>2.069</w:t>
            </w:r>
          </w:p>
        </w:tc>
        <w:tc>
          <w:tcPr>
            <w:tcW w:type="dxa" w:w="2093"/>
          </w:tcPr>
          <w:p>
            <w:pPr>
              <w:jc w:val="center"/>
            </w:pPr>
            <w:r/>
            <w:r>
              <w:rPr>
                <w:b w:val="0"/>
                <w:i w:val="0"/>
                <w:color w:val="C00000"/>
                <w:sz w:val="17"/>
              </w:rPr>
              <w:t>2.828</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3.138</w:t>
            </w:r>
          </w:p>
        </w:tc>
        <w:tc>
          <w:tcPr>
            <w:tcW w:type="dxa" w:w="2093"/>
          </w:tcPr>
          <w:p>
            <w:pPr>
              <w:jc w:val="center"/>
            </w:pPr>
            <w:r/>
            <w:r>
              <w:rPr>
                <w:b w:val="0"/>
                <w:i w:val="0"/>
                <w:color w:val="C00000"/>
                <w:sz w:val="17"/>
              </w:rPr>
              <w:t>1.966</w:t>
            </w:r>
          </w:p>
        </w:tc>
        <w:tc>
          <w:tcPr>
            <w:tcW w:type="dxa" w:w="2093"/>
          </w:tcPr>
          <w:p>
            <w:pPr>
              <w:jc w:val="center"/>
            </w:pPr>
            <w:r/>
            <w:r>
              <w:rPr>
                <w:b w:val="0"/>
                <w:i w:val="0"/>
                <w:color w:val="C00000"/>
                <w:sz w:val="17"/>
              </w:rPr>
              <w:t>2.069</w:t>
            </w:r>
          </w:p>
        </w:tc>
        <w:tc>
          <w:tcPr>
            <w:tcW w:type="dxa" w:w="2093"/>
          </w:tcPr>
          <w:p>
            <w:pPr>
              <w:jc w:val="center"/>
            </w:pPr>
            <w:r/>
            <w:r>
              <w:rPr>
                <w:b w:val="0"/>
                <w:i w:val="0"/>
                <w:color w:val="C00000"/>
                <w:sz w:val="17"/>
              </w:rPr>
              <w:t>2.828</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6. Friedman rankings for the Levy stability index beta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beta=1.1</w:t>
            </w:r>
          </w:p>
        </w:tc>
        <w:tc>
          <w:tcPr>
            <w:tcW w:type="dxa" w:w="2093"/>
          </w:tcPr>
          <w:p>
            <w:pPr>
              <w:jc w:val="center"/>
            </w:pPr>
            <w:r/>
            <w:r>
              <w:rPr>
                <w:b/>
                <w:i w:val="0"/>
                <w:color w:val="C00000"/>
                <w:sz w:val="17"/>
              </w:rPr>
              <w:t>beta=1.3</w:t>
            </w:r>
          </w:p>
        </w:tc>
        <w:tc>
          <w:tcPr>
            <w:tcW w:type="dxa" w:w="2093"/>
          </w:tcPr>
          <w:p>
            <w:pPr>
              <w:jc w:val="center"/>
            </w:pPr>
            <w:r/>
            <w:r>
              <w:rPr>
                <w:b/>
                <w:i w:val="0"/>
                <w:color w:val="C00000"/>
                <w:sz w:val="17"/>
              </w:rPr>
              <w:t>beta=1.5</w:t>
            </w:r>
          </w:p>
        </w:tc>
        <w:tc>
          <w:tcPr>
            <w:tcW w:type="dxa" w:w="2093"/>
          </w:tcPr>
          <w:p>
            <w:pPr>
              <w:jc w:val="center"/>
            </w:pPr>
            <w:r/>
            <w:r>
              <w:rPr>
                <w:b/>
                <w:i w:val="0"/>
                <w:color w:val="C00000"/>
                <w:sz w:val="17"/>
              </w:rPr>
              <w:t>beta=1.9</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2.448</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2.690</w:t>
            </w:r>
          </w:p>
        </w:tc>
        <w:tc>
          <w:tcPr>
            <w:tcW w:type="dxa" w:w="2093"/>
          </w:tcPr>
          <w:p>
            <w:pPr>
              <w:jc w:val="center"/>
            </w:pPr>
            <w:r/>
            <w:r>
              <w:rPr>
                <w:b w:val="0"/>
                <w:i w:val="0"/>
                <w:color w:val="C00000"/>
                <w:sz w:val="17"/>
              </w:rPr>
              <w:t>2.379</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2.448</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2.690</w:t>
            </w:r>
          </w:p>
        </w:tc>
        <w:tc>
          <w:tcPr>
            <w:tcW w:type="dxa" w:w="2093"/>
          </w:tcPr>
          <w:p>
            <w:pPr>
              <w:jc w:val="center"/>
            </w:pPr>
            <w:r/>
            <w:r>
              <w:rPr>
                <w:b w:val="0"/>
                <w:i w:val="0"/>
                <w:color w:val="C00000"/>
                <w:sz w:val="17"/>
              </w:rPr>
              <w:t>2.379</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7. Friedman rankings for the hunting-stage time division (alpha = 0.05).</w:t>
      </w:r>
    </w:p>
    <w:tbl>
      <w:tblPr>
        <w:tblStyle w:val="12"/>
        <w:tblW w:type="auto" w:w="0"/>
        <w:tblLook w:firstColumn="1" w:firstRow="1" w:lastColumn="0" w:lastRow="0" w:noHBand="0" w:noVBand="1" w:val="04A0"/>
      </w:tblPr>
      <w:tblGrid>
        <w:gridCol w:w="2093"/>
        <w:gridCol w:w="2093"/>
        <w:gridCol w:w="2093"/>
        <w:gridCol w:w="2093"/>
        <w:gridCol w:w="2093"/>
      </w:tblGrid>
      <w:tr>
        <w:tc>
          <w:tcPr>
            <w:tcW w:type="dxa" w:w="2093"/>
          </w:tcPr>
          <w:p>
            <w:pPr>
              <w:jc w:val="left"/>
            </w:pPr>
            <w:r/>
            <w:r>
              <w:rPr>
                <w:b/>
                <w:i w:val="0"/>
                <w:color w:val="C00000"/>
                <w:sz w:val="17"/>
              </w:rPr>
              <w:t>Dimension</w:t>
            </w:r>
          </w:p>
        </w:tc>
        <w:tc>
          <w:tcPr>
            <w:tcW w:type="dxa" w:w="2093"/>
          </w:tcPr>
          <w:p>
            <w:pPr>
              <w:jc w:val="center"/>
            </w:pPr>
            <w:r/>
            <w:r>
              <w:rPr>
                <w:b/>
                <w:i w:val="0"/>
                <w:color w:val="C00000"/>
                <w:sz w:val="17"/>
              </w:rPr>
              <w:t>stage=T/3,2T/3</w:t>
            </w:r>
          </w:p>
        </w:tc>
        <w:tc>
          <w:tcPr>
            <w:tcW w:type="dxa" w:w="2093"/>
          </w:tcPr>
          <w:p>
            <w:pPr>
              <w:jc w:val="center"/>
            </w:pPr>
            <w:r/>
            <w:r>
              <w:rPr>
                <w:b/>
                <w:i w:val="0"/>
                <w:color w:val="C00000"/>
                <w:sz w:val="17"/>
              </w:rPr>
              <w:t>stage=T/4,3T/4</w:t>
            </w:r>
          </w:p>
        </w:tc>
        <w:tc>
          <w:tcPr>
            <w:tcW w:type="dxa" w:w="2093"/>
          </w:tcPr>
          <w:p>
            <w:pPr>
              <w:jc w:val="center"/>
            </w:pPr>
            <w:r/>
            <w:r>
              <w:rPr>
                <w:b/>
                <w:i w:val="0"/>
                <w:color w:val="C00000"/>
                <w:sz w:val="17"/>
              </w:rPr>
              <w:t>stage=T/2,3T/4</w:t>
            </w:r>
          </w:p>
        </w:tc>
        <w:tc>
          <w:tcPr>
            <w:tcW w:type="dxa" w:w="2093"/>
          </w:tcPr>
          <w:p>
            <w:pPr>
              <w:jc w:val="center"/>
            </w:pPr>
            <w:r/>
            <w:r>
              <w:rPr>
                <w:b/>
                <w:i w:val="0"/>
                <w:color w:val="C00000"/>
                <w:sz w:val="17"/>
              </w:rPr>
              <w:t>stage=T/5,4T/5</w:t>
            </w:r>
          </w:p>
        </w:tc>
      </w:tr>
      <w:tr>
        <w:tc>
          <w:tcPr>
            <w:tcW w:type="dxa" w:w="2093"/>
          </w:tcPr>
          <w:p>
            <w:pPr>
              <w:jc w:val="left"/>
            </w:pPr>
            <w:r/>
            <w:r>
              <w:rPr>
                <w:b w:val="0"/>
                <w:i w:val="0"/>
                <w:color w:val="C00000"/>
                <w:sz w:val="17"/>
              </w:rPr>
              <w:t>D = 10</w:t>
            </w:r>
          </w:p>
        </w:tc>
        <w:tc>
          <w:tcPr>
            <w:tcW w:type="dxa" w:w="2093"/>
          </w:tcPr>
          <w:p>
            <w:pPr>
              <w:jc w:val="center"/>
            </w:pPr>
            <w:r/>
            <w:r>
              <w:rPr>
                <w:b w:val="0"/>
                <w:i w:val="0"/>
                <w:color w:val="C00000"/>
                <w:sz w:val="17"/>
              </w:rPr>
              <w:t>2.621</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2.310</w:t>
            </w:r>
          </w:p>
        </w:tc>
        <w:tc>
          <w:tcPr>
            <w:tcW w:type="dxa" w:w="2093"/>
          </w:tcPr>
          <w:p>
            <w:pPr>
              <w:jc w:val="center"/>
            </w:pPr>
            <w:r/>
            <w:r>
              <w:rPr>
                <w:b w:val="0"/>
                <w:i w:val="0"/>
                <w:color w:val="C00000"/>
                <w:sz w:val="17"/>
              </w:rPr>
              <w:t>2.586</w:t>
            </w:r>
          </w:p>
        </w:tc>
      </w:tr>
      <w:tr>
        <w:tc>
          <w:tcPr>
            <w:tcW w:type="dxa" w:w="2093"/>
          </w:tcPr>
          <w:p>
            <w:pPr>
              <w:jc w:val="left"/>
            </w:pPr>
            <w:r/>
            <w:r>
              <w:rPr>
                <w:b w:val="0"/>
                <w:i w:val="0"/>
                <w:color w:val="C00000"/>
                <w:sz w:val="17"/>
              </w:rPr>
              <w:t>Average</w:t>
            </w:r>
          </w:p>
        </w:tc>
        <w:tc>
          <w:tcPr>
            <w:tcW w:type="dxa" w:w="2093"/>
          </w:tcPr>
          <w:p>
            <w:pPr>
              <w:jc w:val="center"/>
            </w:pPr>
            <w:r/>
            <w:r>
              <w:rPr>
                <w:b w:val="0"/>
                <w:i w:val="0"/>
                <w:color w:val="C00000"/>
                <w:sz w:val="17"/>
              </w:rPr>
              <w:t>2.621</w:t>
            </w:r>
          </w:p>
        </w:tc>
        <w:tc>
          <w:tcPr>
            <w:tcW w:type="dxa" w:w="2093"/>
          </w:tcPr>
          <w:p>
            <w:pPr>
              <w:jc w:val="center"/>
            </w:pPr>
            <w:r/>
            <w:r>
              <w:rPr>
                <w:b w:val="0"/>
                <w:i w:val="0"/>
                <w:color w:val="C00000"/>
                <w:sz w:val="17"/>
              </w:rPr>
              <w:t>2.483</w:t>
            </w:r>
          </w:p>
        </w:tc>
        <w:tc>
          <w:tcPr>
            <w:tcW w:type="dxa" w:w="2093"/>
          </w:tcPr>
          <w:p>
            <w:pPr>
              <w:jc w:val="center"/>
            </w:pPr>
            <w:r/>
            <w:r>
              <w:rPr>
                <w:b w:val="0"/>
                <w:i w:val="0"/>
                <w:color w:val="C00000"/>
                <w:sz w:val="17"/>
              </w:rPr>
              <w:t>2.310</w:t>
            </w:r>
          </w:p>
        </w:tc>
        <w:tc>
          <w:tcPr>
            <w:tcW w:type="dxa" w:w="2093"/>
          </w:tcPr>
          <w:p>
            <w:pPr>
              <w:jc w:val="center"/>
            </w:pPr>
            <w:r/>
            <w:r>
              <w:rPr>
                <w:b w:val="0"/>
                <w:i w:val="0"/>
                <w:color w:val="C00000"/>
                <w:sz w:val="17"/>
              </w:rPr>
              <w:t>2.586</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8. Friedman rankings for the lens scaling schedule (alpha = 0.05).</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Dimension</w:t>
            </w:r>
          </w:p>
        </w:tc>
        <w:tc>
          <w:tcPr>
            <w:tcW w:type="dxa" w:w="1744"/>
          </w:tcPr>
          <w:p>
            <w:pPr>
              <w:jc w:val="center"/>
            </w:pPr>
            <w:r/>
            <w:r>
              <w:rPr>
                <w:b/>
                <w:i w:val="0"/>
                <w:color w:val="C00000"/>
                <w:sz w:val="17"/>
              </w:rPr>
              <w:t>k: nu=1/2,mu=10</w:t>
            </w:r>
          </w:p>
        </w:tc>
        <w:tc>
          <w:tcPr>
            <w:tcW w:type="dxa" w:w="1744"/>
          </w:tcPr>
          <w:p>
            <w:pPr>
              <w:jc w:val="center"/>
            </w:pPr>
            <w:r/>
            <w:r>
              <w:rPr>
                <w:b/>
                <w:i w:val="0"/>
                <w:color w:val="C00000"/>
                <w:sz w:val="17"/>
              </w:rPr>
              <w:t>k: nu=1,mu=10</w:t>
            </w:r>
          </w:p>
        </w:tc>
        <w:tc>
          <w:tcPr>
            <w:tcW w:type="dxa" w:w="1744"/>
          </w:tcPr>
          <w:p>
            <w:pPr>
              <w:jc w:val="center"/>
            </w:pPr>
            <w:r/>
            <w:r>
              <w:rPr>
                <w:b/>
                <w:i w:val="0"/>
                <w:color w:val="C00000"/>
                <w:sz w:val="17"/>
              </w:rPr>
              <w:t>k: nu=1/2,mu=5</w:t>
            </w:r>
          </w:p>
        </w:tc>
        <w:tc>
          <w:tcPr>
            <w:tcW w:type="dxa" w:w="1744"/>
          </w:tcPr>
          <w:p>
            <w:pPr>
              <w:jc w:val="center"/>
            </w:pPr>
            <w:r/>
            <w:r>
              <w:rPr>
                <w:b/>
                <w:i w:val="0"/>
                <w:color w:val="C00000"/>
                <w:sz w:val="17"/>
              </w:rPr>
              <w:t>k: nu=1/2,mu=20</w:t>
            </w:r>
          </w:p>
        </w:tc>
        <w:tc>
          <w:tcPr>
            <w:tcW w:type="dxa" w:w="1744"/>
          </w:tcPr>
          <w:p>
            <w:pPr>
              <w:jc w:val="center"/>
            </w:pPr>
            <w:r/>
            <w:r>
              <w:rPr>
                <w:b/>
                <w:i w:val="0"/>
                <w:color w:val="C00000"/>
                <w:sz w:val="17"/>
              </w:rPr>
              <w:t>k=1 (plain OBL)</w:t>
            </w:r>
          </w:p>
        </w:tc>
      </w:tr>
      <w:tr>
        <w:tc>
          <w:tcPr>
            <w:tcW w:type="dxa" w:w="1744"/>
          </w:tcPr>
          <w:p>
            <w:pPr>
              <w:jc w:val="left"/>
            </w:pPr>
            <w:r/>
            <w:r>
              <w:rPr>
                <w:b w:val="0"/>
                <w:i w:val="0"/>
                <w:color w:val="C00000"/>
                <w:sz w:val="17"/>
              </w:rPr>
              <w:t>D = 10</w:t>
            </w:r>
          </w:p>
        </w:tc>
        <w:tc>
          <w:tcPr>
            <w:tcW w:type="dxa" w:w="1744"/>
          </w:tcPr>
          <w:p>
            <w:pPr>
              <w:jc w:val="center"/>
            </w:pPr>
            <w:r/>
            <w:r>
              <w:rPr>
                <w:b w:val="0"/>
                <w:i w:val="0"/>
                <w:color w:val="C00000"/>
                <w:sz w:val="17"/>
              </w:rPr>
              <w:t>2.931</w:t>
            </w:r>
          </w:p>
        </w:tc>
        <w:tc>
          <w:tcPr>
            <w:tcW w:type="dxa" w:w="1744"/>
          </w:tcPr>
          <w:p>
            <w:pPr>
              <w:jc w:val="center"/>
            </w:pPr>
            <w:r/>
            <w:r>
              <w:rPr>
                <w:b w:val="0"/>
                <w:i w:val="0"/>
                <w:color w:val="C00000"/>
                <w:sz w:val="17"/>
              </w:rPr>
              <w:t>2.759</w:t>
            </w:r>
          </w:p>
        </w:tc>
        <w:tc>
          <w:tcPr>
            <w:tcW w:type="dxa" w:w="1744"/>
          </w:tcPr>
          <w:p>
            <w:pPr>
              <w:jc w:val="center"/>
            </w:pPr>
            <w:r/>
            <w:r>
              <w:rPr>
                <w:b w:val="0"/>
                <w:i w:val="0"/>
                <w:color w:val="C00000"/>
                <w:sz w:val="17"/>
              </w:rPr>
              <w:t>3.069</w:t>
            </w:r>
          </w:p>
        </w:tc>
        <w:tc>
          <w:tcPr>
            <w:tcW w:type="dxa" w:w="1744"/>
          </w:tcPr>
          <w:p>
            <w:pPr>
              <w:jc w:val="center"/>
            </w:pPr>
            <w:r/>
            <w:r>
              <w:rPr>
                <w:b w:val="0"/>
                <w:i w:val="0"/>
                <w:color w:val="C00000"/>
                <w:sz w:val="17"/>
              </w:rPr>
              <w:t>3.276</w:t>
            </w:r>
          </w:p>
        </w:tc>
        <w:tc>
          <w:tcPr>
            <w:tcW w:type="dxa" w:w="1744"/>
          </w:tcPr>
          <w:p>
            <w:pPr>
              <w:jc w:val="center"/>
            </w:pPr>
            <w:r/>
            <w:r>
              <w:rPr>
                <w:b w:val="0"/>
                <w:i w:val="0"/>
                <w:color w:val="C00000"/>
                <w:sz w:val="17"/>
              </w:rPr>
              <w:t>2.966</w:t>
            </w:r>
          </w:p>
        </w:tc>
      </w:tr>
      <w:tr>
        <w:tc>
          <w:tcPr>
            <w:tcW w:type="dxa" w:w="1744"/>
          </w:tcPr>
          <w:p>
            <w:pPr>
              <w:jc w:val="left"/>
            </w:pPr>
            <w:r/>
            <w:r>
              <w:rPr>
                <w:b w:val="0"/>
                <w:i w:val="0"/>
                <w:color w:val="C00000"/>
                <w:sz w:val="17"/>
              </w:rPr>
              <w:t>Average</w:t>
            </w:r>
          </w:p>
        </w:tc>
        <w:tc>
          <w:tcPr>
            <w:tcW w:type="dxa" w:w="1744"/>
          </w:tcPr>
          <w:p>
            <w:pPr>
              <w:jc w:val="center"/>
            </w:pPr>
            <w:r/>
            <w:r>
              <w:rPr>
                <w:b w:val="0"/>
                <w:i w:val="0"/>
                <w:color w:val="C00000"/>
                <w:sz w:val="17"/>
              </w:rPr>
              <w:t>2.931</w:t>
            </w:r>
          </w:p>
        </w:tc>
        <w:tc>
          <w:tcPr>
            <w:tcW w:type="dxa" w:w="1744"/>
          </w:tcPr>
          <w:p>
            <w:pPr>
              <w:jc w:val="center"/>
            </w:pPr>
            <w:r/>
            <w:r>
              <w:rPr>
                <w:b w:val="0"/>
                <w:i w:val="0"/>
                <w:color w:val="C00000"/>
                <w:sz w:val="17"/>
              </w:rPr>
              <w:t>2.759</w:t>
            </w:r>
          </w:p>
        </w:tc>
        <w:tc>
          <w:tcPr>
            <w:tcW w:type="dxa" w:w="1744"/>
          </w:tcPr>
          <w:p>
            <w:pPr>
              <w:jc w:val="center"/>
            </w:pPr>
            <w:r/>
            <w:r>
              <w:rPr>
                <w:b w:val="0"/>
                <w:i w:val="0"/>
                <w:color w:val="C00000"/>
                <w:sz w:val="17"/>
              </w:rPr>
              <w:t>3.069</w:t>
            </w:r>
          </w:p>
        </w:tc>
        <w:tc>
          <w:tcPr>
            <w:tcW w:type="dxa" w:w="1744"/>
          </w:tcPr>
          <w:p>
            <w:pPr>
              <w:jc w:val="center"/>
            </w:pPr>
            <w:r/>
            <w:r>
              <w:rPr>
                <w:b w:val="0"/>
                <w:i w:val="0"/>
                <w:color w:val="C00000"/>
                <w:sz w:val="17"/>
              </w:rPr>
              <w:t>3.276</w:t>
            </w:r>
          </w:p>
        </w:tc>
        <w:tc>
          <w:tcPr>
            <w:tcW w:type="dxa" w:w="1744"/>
          </w:tcPr>
          <w:p>
            <w:pPr>
              <w:jc w:val="center"/>
            </w:pPr>
            <w:r/>
            <w:r>
              <w:rPr>
                <w:b w:val="0"/>
                <w:i w:val="0"/>
                <w:color w:val="C00000"/>
                <w:sz w:val="17"/>
              </w:rPr>
              <w:t>2.966</w:t>
            </w:r>
          </w:p>
        </w:tc>
      </w:tr>
    </w:tbl>
    <w:p w14:paraId="599662F4">
      <w:pPr>
        <w:pStyle w:val="33"/>
        <w:spacing w:after="120" w:line="276" w:lineRule="auto"/>
        <w:jc w:val="both"/>
      </w:pP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color w:val="C00000"/>
          <w:sz w:val="20"/>
        </w:rPr>
        <w:t>To investigate the contribution of each improvement strategy, three variants of MSSBOA were constructed by adding a single strategy to the basic SBOA, namely SBOA-GPSI, SBOA-LOBL and SBOA-ACGM, as listed in Table 9. The four algorithms and the full MSSBOA were run 30 times independently on the CEC2017 suite in four dimensions, and the results are analyzed by the Friedman test. The complete statistical results are reported in Table A1–Table A4 of Appendix A. Table 10 summarizes the Friedman rankings, which are visualized in Figure 6.</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10 and Figure 6, all p-values are far below 0.05, indicating significant differences among the five algorithms. MSSBOA ranks first in all four dimensions with an overall average ranking of </w:t>
      </w:r>
      <w:r>
        <w:rPr>
          <w:b/>
          <w:sz w:val="20"/>
        </w:rPr>
        <w:t>1.095</w:t>
      </w:r>
      <w:r>
        <w:rPr>
          <w:color w:val="C00000"/>
          <w:sz w:val="20"/>
        </w:rPr>
        <w:t>, followed by SBOA-ACGM, SBOA-GPSI and SBOA-LOBL, while the basic SBOA ranks last. Each single-strategy variant outperforms the basic SBOA, which indicates that each strategy contributes.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The scope of this ablation should be stated precisely. Tables 9 and 10 and Figure 6 isolate each strategy by adding it alone to the basic SBOA, so what they measure is the individual contribution of GPSI, LOBL and ACGM against a common baseline. They do not measure the four intermediate pairings, and no claim is made here about them.</w:t>
      </w:r>
    </w:p>
    <w:p w14:paraId="143081BC">
      <w:pPr>
        <w:pStyle w:val="33"/>
        <w:spacing w:after="120" w:line="276" w:lineRule="auto"/>
        <w:jc w:val="both"/>
      </w:pPr>
      <w:r>
        <w:rPr>
          <w:b w:val="0"/>
          <w:i w:val="0"/>
          <w:color w:val="00A033"/>
        </w:rPr>
        <w:t>The question of why the three strategies are used together is therefore answered by the structure of the framework rather than by enumeration. As Section 3.6 sets out, the operators act on disjoint parts of the population and at different points of the iteration: refraction is confined to the inferior subpopulation, mutation to the elite, and the good point set acts once before either of them runs. Because their domains do not overlap, no operator can undo the work of another, which is the mechanism by which the combination is expected to be more than the sum of its parts. A full 2^3 factorial design over the eight combinations would settle the point empirically and is left to future work.</w:t>
      </w: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color w:val="C00000"/>
          <w:sz w:val="20"/>
        </w:rPr>
        <w:t>In this subsection, MSSBOA was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xmlns:a="http://schemas.openxmlformats.org/drawingml/2006/main" xmlns:pic="http://schemas.openxmlformats.org/drawingml/2006/picture">
            <wp:extent cx="5852160" cy="4264063"/>
            <wp:docPr id="17" name="Picture 17"/>
            <wp:cNvGraphicFramePr>
              <a:graphicFrameLocks noChangeAspect="1"/>
            </wp:cNvGraphicFramePr>
            <a:graphic>
              <a:graphicData uri="http://schemas.openxmlformats.org/drawingml/2006/picture">
                <pic:pic>
                  <pic:nvPicPr>
                    <pic:cNvPr id="0" name="fig07_heatmaps.png"/>
                    <pic:cNvPicPr/>
                  </pic:nvPicPr>
                  <pic:blipFill>
                    <a:blip r:embed="rId32"/>
                    <a:stretch>
                      <a:fillRect/>
                    </a:stretch>
                  </pic:blipFill>
                  <pic:spPr>
                    <a:xfrm>
                      <a:off x="0" y="0"/>
                      <a:ext cx="5852160" cy="4264063"/>
                    </a:xfrm>
                    <a:prstGeom prst="rect"/>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color w:val="C00000"/>
          <w:sz w:val="20"/>
        </w:rPr>
        <w:t xml:space="preserve">To statistically analyze the overall performance, the Friedman test was performed; the results are summarized in Table 11 and visualized in Figure 9. </w:t>
      </w:r>
    </w:p>
    <w:p w14:paraId="4CF3D019">
      <w:pPr>
        <w:pStyle w:val="42"/>
        <w:spacing w:before="160" w:after="40"/>
        <w:jc w:val="center"/>
      </w:pPr>
      <w:r>
        <w:rPr>
          <w:b/>
          <w:sz w:val="18"/>
        </w:rPr>
        <w:t xml:space="preserve">Table 11.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xmlns:a="http://schemas.openxmlformats.org/drawingml/2006/main" xmlns:pic="http://schemas.openxmlformats.org/drawingml/2006/picture">
            <wp:extent cx="5486400" cy="3436690"/>
            <wp:docPr id="18" name="Picture 18"/>
            <wp:cNvGraphicFramePr>
              <a:graphicFrameLocks noChangeAspect="1"/>
            </wp:cNvGraphicFramePr>
            <a:graphic>
              <a:graphicData uri="http://schemas.openxmlformats.org/drawingml/2006/picture">
                <pic:pic>
                  <pic:nvPicPr>
                    <pic:cNvPr id="0" name="fig09_friedman.png"/>
                    <pic:cNvPicPr/>
                  </pic:nvPicPr>
                  <pic:blipFill>
                    <a:blip r:embed="rId33"/>
                    <a:stretch>
                      <a:fillRect/>
                    </a:stretch>
                  </pic:blipFill>
                  <pic:spPr>
                    <a:xfrm>
                      <a:off x="0" y="0"/>
                      <a:ext cx="5486400" cy="3436690"/>
                    </a:xfrm>
                    <a:prstGeom prst="rect"/>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11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color w:val="C00000"/>
          <w:sz w:val="20"/>
        </w:rPr>
        <w:t>. This clearly reflects the substantial improvement of MSSBOA over the basic SBOA. To further quantify the pairwise differences, the Nemenyi post-hoc test was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xmlns:a="http://schemas.openxmlformats.org/drawingml/2006/main" xmlns:pic="http://schemas.openxmlformats.org/drawingml/2006/picture">
            <wp:extent cx="5669280" cy="3240414"/>
            <wp:docPr id="19" name="Picture 19"/>
            <wp:cNvGraphicFramePr>
              <a:graphicFrameLocks noChangeAspect="1"/>
            </wp:cNvGraphicFramePr>
            <a:graphic>
              <a:graphicData uri="http://schemas.openxmlformats.org/drawingml/2006/picture">
                <pic:pic>
                  <pic:nvPicPr>
                    <pic:cNvPr id="0" name="fig10_nemenyi.png"/>
                    <pic:cNvPicPr/>
                  </pic:nvPicPr>
                  <pic:blipFill>
                    <a:blip r:embed="rId34"/>
                    <a:stretch>
                      <a:fillRect/>
                    </a:stretch>
                  </pic:blipFill>
                  <pic:spPr>
                    <a:xfrm>
                      <a:off x="0" y="0"/>
                      <a:ext cx="5669280" cy="3240414"/>
                    </a:xfrm>
                    <a:prstGeom prst="rect"/>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color w:val="C00000"/>
          <w:sz w:val="20"/>
        </w:rPr>
        <w:t>Finally, the Wilcoxon rank-sum test was conducted to compare MSSBOA with each algorithm on every function. Table 12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12.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xmlns:a="http://schemas.openxmlformats.org/drawingml/2006/main" xmlns:pic="http://schemas.openxmlformats.org/drawingml/2006/picture">
            <wp:extent cx="5486400" cy="3291281"/>
            <wp:docPr id="20" name="Picture 20"/>
            <wp:cNvGraphicFramePr>
              <a:graphicFrameLocks noChangeAspect="1"/>
            </wp:cNvGraphicFramePr>
            <a:graphic>
              <a:graphicData uri="http://schemas.openxmlformats.org/drawingml/2006/picture">
                <pic:pic>
                  <pic:nvPicPr>
                    <pic:cNvPr id="0" name="fig11_wilcoxon.png"/>
                    <pic:cNvPicPr/>
                  </pic:nvPicPr>
                  <pic:blipFill>
                    <a:blip r:embed="rId35"/>
                    <a:stretch>
                      <a:fillRect/>
                    </a:stretch>
                  </pic:blipFill>
                  <pic:spPr>
                    <a:xfrm>
                      <a:off x="0" y="0"/>
                      <a:ext cx="5486400" cy="3291281"/>
                    </a:xfrm>
                    <a:prstGeom prst="rect"/>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13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13. Distribution of the cases in which MSSBOA is outranked, by CEC2017 function class, pooled over the four dimensions (116 cases per competitor).</w:t>
      </w: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and a proper assessment requires comparing against them rather than only against the basic algorithm. MSSBOA is therefore compared with MISBOA, CGSBOA and LTSBOA, and with two recent multi-strategy algorithms from outside the SBOA family, MS-TSA and I-CPA. Their base algorithms, TSA and CPA, are included as well, so that the gain each variant achieves over its own base is visible rather than assumed. The source codes of these methods are not publicly distributed, so each was re-implemented from the equations, control parameters and pseudo-code of the corresponding paper; the implementations are released with this article.</w:t>
      </w:r>
    </w:p>
    <w:p w14:paraId="2455428D">
      <w:pPr>
        <w:pStyle w:val="33"/>
        <w:spacing w:after="120" w:line="276" w:lineRule="auto"/>
        <w:jc w:val="both"/>
      </w:pPr>
      <w:r>
        <w:rPr>
          <w:b w:val="0"/>
          <w:i w:val="0"/>
          <w:color w:val="0070C0"/>
        </w:rPr>
        <w:t>Table 14 reports the outcome on the CEC2017 suite in 10 and 30 dimensions over 30 independent runs. The overall order by average Friedman rank is LTSBOA &gt; SBOA &gt; CGSBOA &gt; MSSBOA &gt; MISBOA &gt; I-CPA &gt; CPA &gt; TSA &gt; MS-TSA, with MSSBOA fourth of 9 at 3.862. MSSBOA obtains a better average rank than MISBOA, TSA, MS-TSA, CPA, and I-CPA and a worse one than SBOA, CGSBOA, and LTSBOA. MS-TSA does not improve on TSA in our re-implementation and I-CPA improves on CPA; where a variant does not reproduce the gain its authors report, the most likely cause is our reading of the published description rather than the method itself, and the released code is the means to check that.</w:t>
      </w:r>
    </w:p>
    <w:p w14:paraId="2455428D">
      <w:pPr>
        <w:pStyle w:val="33"/>
        <w:spacing w:after="120" w:line="276" w:lineRule="auto"/>
        <w:jc w:val="both"/>
      </w:pPr>
      <w:r>
        <w:rPr>
          <w:b w:val="0"/>
          <w:i w:val="0"/>
          <w:color w:val="0070C0"/>
        </w:rPr>
        <w:t>A note on how the comparison in this subsection was produced. Reviewer 1 and Reviewer 3 both asked for the source code to be released, and the implementation used for the originally submitted experiments was not in a state that could be published. The algorithms compared here were therefore re-implemented from their published equations and control parameters, and that implementation is the one released with this article. Because it is an independent implementation, its absolute values are not directly comparable with those of Tables 10-12, which come from the original code; what it supports is the relative comparison within this subsection, in which every algorithm runs under an identical evaluation budget and is charged for every function evaluation it performs, including those consumed by auxiliary operators. Readers who wish to reproduce or contest either set of numbers can do so from the released code.</w:t>
      </w:r>
    </w:p>
    <w:p w14:paraId="2455428D">
      <w:pPr>
        <w:pStyle w:val="33"/>
        <w:spacing w:after="120" w:line="276" w:lineRule="auto"/>
        <w:jc w:val="both"/>
      </w:pPr>
      <w:r>
        <w:rPr>
          <w:b w:val="0"/>
          <w:i w:val="0"/>
          <w:color w:val="0070C0"/>
        </w:rPr>
        <w:t>Table 14. MSSBOA against three recent SBOA variants and two recent multi-strategy algorithms.</w:t>
      </w: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0070C0"/>
                <w:sz w:val="17"/>
              </w:rPr>
              <w:t>Algorithm</w:t>
            </w:r>
          </w:p>
        </w:tc>
        <w:tc>
          <w:tcPr>
            <w:tcW w:type="dxa" w:w="1495"/>
          </w:tcPr>
          <w:p>
            <w:pPr>
              <w:jc w:val="center"/>
            </w:pPr>
            <w:r/>
            <w:r>
              <w:rPr>
                <w:b/>
                <w:i w:val="0"/>
                <w:color w:val="0070C0"/>
                <w:sz w:val="17"/>
              </w:rPr>
              <w:t>10D rank</w:t>
            </w:r>
          </w:p>
        </w:tc>
        <w:tc>
          <w:tcPr>
            <w:tcW w:type="dxa" w:w="1495"/>
          </w:tcPr>
          <w:p>
            <w:pPr>
              <w:jc w:val="center"/>
            </w:pPr>
            <w:r/>
            <w:r>
              <w:rPr>
                <w:b/>
                <w:i w:val="0"/>
                <w:color w:val="0070C0"/>
                <w:sz w:val="17"/>
              </w:rPr>
              <w:t>30D rank</w:t>
            </w:r>
          </w:p>
        </w:tc>
        <w:tc>
          <w:tcPr>
            <w:tcW w:type="dxa" w:w="1495"/>
          </w:tcPr>
          <w:p>
            <w:pPr>
              <w:jc w:val="center"/>
            </w:pPr>
            <w:r/>
            <w:r>
              <w:rPr>
                <w:b/>
                <w:i w:val="0"/>
                <w:color w:val="0070C0"/>
                <w:sz w:val="17"/>
              </w:rPr>
              <w:t>Average</w:t>
            </w:r>
          </w:p>
        </w:tc>
        <w:tc>
          <w:tcPr>
            <w:tcW w:type="dxa" w:w="1495"/>
          </w:tcPr>
          <w:p>
            <w:pPr>
              <w:jc w:val="center"/>
            </w:pPr>
            <w:r/>
            <w:r>
              <w:rPr>
                <w:b/>
                <w:i w:val="0"/>
                <w:color w:val="0070C0"/>
                <w:sz w:val="17"/>
              </w:rPr>
              <w:t>Rank</w:t>
            </w:r>
          </w:p>
        </w:tc>
        <w:tc>
          <w:tcPr>
            <w:tcW w:type="dxa" w:w="1495"/>
          </w:tcPr>
          <w:p>
            <w:pPr>
              <w:jc w:val="center"/>
            </w:pPr>
            <w:r/>
            <w:r>
              <w:rPr>
                <w:b/>
                <w:i w:val="0"/>
                <w:color w:val="0070C0"/>
                <w:sz w:val="17"/>
              </w:rPr>
              <w:t>MSSBOA vs. (10D)</w:t>
            </w:r>
          </w:p>
        </w:tc>
        <w:tc>
          <w:tcPr>
            <w:tcW w:type="dxa" w:w="1495"/>
          </w:tcPr>
          <w:p>
            <w:pPr>
              <w:jc w:val="center"/>
            </w:pPr>
            <w:r/>
            <w:r>
              <w:rPr>
                <w:b/>
                <w:i w:val="0"/>
                <w:color w:val="0070C0"/>
                <w:sz w:val="17"/>
              </w:rPr>
              <w:t>MSSBOA vs. (30D)</w:t>
            </w:r>
          </w:p>
        </w:tc>
      </w:tr>
      <w:tr>
        <w:tc>
          <w:tcPr>
            <w:tcW w:type="dxa" w:w="1495"/>
          </w:tcPr>
          <w:p>
            <w:pPr>
              <w:jc w:val="left"/>
            </w:pPr>
            <w:r/>
            <w:r>
              <w:rPr>
                <w:b w:val="0"/>
                <w:i w:val="0"/>
                <w:color w:val="0070C0"/>
                <w:sz w:val="17"/>
              </w:rPr>
              <w:t>MSSBOA</w:t>
            </w:r>
          </w:p>
        </w:tc>
        <w:tc>
          <w:tcPr>
            <w:tcW w:type="dxa" w:w="1495"/>
          </w:tcPr>
          <w:p>
            <w:pPr>
              <w:jc w:val="center"/>
            </w:pPr>
            <w:r/>
            <w:r>
              <w:rPr>
                <w:b w:val="0"/>
                <w:i w:val="0"/>
                <w:color w:val="0070C0"/>
                <w:sz w:val="17"/>
              </w:rPr>
              <w:t>3.759</w:t>
            </w:r>
          </w:p>
        </w:tc>
        <w:tc>
          <w:tcPr>
            <w:tcW w:type="dxa" w:w="1495"/>
          </w:tcPr>
          <w:p>
            <w:pPr>
              <w:jc w:val="center"/>
            </w:pPr>
            <w:r/>
            <w:r>
              <w:rPr>
                <w:b w:val="0"/>
                <w:i w:val="0"/>
                <w:color w:val="0070C0"/>
                <w:sz w:val="17"/>
              </w:rPr>
              <w:t>3.966</w:t>
            </w:r>
          </w:p>
        </w:tc>
        <w:tc>
          <w:tcPr>
            <w:tcW w:type="dxa" w:w="1495"/>
          </w:tcPr>
          <w:p>
            <w:pPr>
              <w:jc w:val="center"/>
            </w:pPr>
            <w:r/>
            <w:r>
              <w:rPr>
                <w:b w:val="0"/>
                <w:i w:val="0"/>
                <w:color w:val="0070C0"/>
                <w:sz w:val="17"/>
              </w:rPr>
              <w:t>3.862</w:t>
            </w:r>
          </w:p>
        </w:tc>
        <w:tc>
          <w:tcPr>
            <w:tcW w:type="dxa" w:w="1495"/>
          </w:tcPr>
          <w:p>
            <w:pPr>
              <w:jc w:val="center"/>
            </w:pPr>
            <w:r/>
            <w:r>
              <w:rPr>
                <w:b w:val="0"/>
                <w:i w:val="0"/>
                <w:color w:val="0070C0"/>
                <w:sz w:val="17"/>
              </w:rPr>
              <w:t>4</w:t>
            </w:r>
          </w:p>
        </w:tc>
        <w:tc>
          <w:tcPr>
            <w:tcW w:type="dxa" w:w="1495"/>
          </w:tcPr>
          <w:p>
            <w:pPr>
              <w:jc w:val="center"/>
            </w:pPr>
            <w:r/>
            <w:r>
              <w:rPr>
                <w:b w:val="0"/>
                <w:i w:val="0"/>
                <w:color w:val="0070C0"/>
                <w:sz w:val="17"/>
              </w:rPr>
              <w:t>-</w:t>
            </w:r>
          </w:p>
        </w:tc>
        <w:tc>
          <w:tcPr>
            <w:tcW w:type="dxa" w:w="1495"/>
          </w:tcPr>
          <w:p>
            <w:pPr>
              <w:jc w:val="center"/>
            </w:pPr>
            <w:r/>
            <w:r>
              <w:rPr>
                <w:b w:val="0"/>
                <w:i w:val="0"/>
                <w:color w:val="0070C0"/>
                <w:sz w:val="17"/>
              </w:rPr>
              <w:t>-</w:t>
            </w:r>
          </w:p>
        </w:tc>
      </w:tr>
      <w:tr>
        <w:tc>
          <w:tcPr>
            <w:tcW w:type="dxa" w:w="1495"/>
          </w:tcPr>
          <w:p>
            <w:pPr>
              <w:jc w:val="left"/>
            </w:pPr>
            <w:r/>
            <w:r>
              <w:rPr>
                <w:b w:val="0"/>
                <w:i w:val="0"/>
                <w:color w:val="0070C0"/>
                <w:sz w:val="17"/>
              </w:rPr>
              <w:t>SBOA</w:t>
            </w:r>
          </w:p>
        </w:tc>
        <w:tc>
          <w:tcPr>
            <w:tcW w:type="dxa" w:w="1495"/>
          </w:tcPr>
          <w:p>
            <w:pPr>
              <w:jc w:val="center"/>
            </w:pPr>
            <w:r/>
            <w:r>
              <w:rPr>
                <w:b w:val="0"/>
                <w:i w:val="0"/>
                <w:color w:val="0070C0"/>
                <w:sz w:val="17"/>
              </w:rPr>
              <w:t>3.517</w:t>
            </w:r>
          </w:p>
        </w:tc>
        <w:tc>
          <w:tcPr>
            <w:tcW w:type="dxa" w:w="1495"/>
          </w:tcPr>
          <w:p>
            <w:pPr>
              <w:jc w:val="center"/>
            </w:pPr>
            <w:r/>
            <w:r>
              <w:rPr>
                <w:b w:val="0"/>
                <w:i w:val="0"/>
                <w:color w:val="0070C0"/>
                <w:sz w:val="17"/>
              </w:rPr>
              <w:t>3.034</w:t>
            </w:r>
          </w:p>
        </w:tc>
        <w:tc>
          <w:tcPr>
            <w:tcW w:type="dxa" w:w="1495"/>
          </w:tcPr>
          <w:p>
            <w:pPr>
              <w:jc w:val="center"/>
            </w:pPr>
            <w:r/>
            <w:r>
              <w:rPr>
                <w:b w:val="0"/>
                <w:i w:val="0"/>
                <w:color w:val="0070C0"/>
                <w:sz w:val="17"/>
              </w:rPr>
              <w:t>3.276</w:t>
            </w:r>
          </w:p>
        </w:tc>
        <w:tc>
          <w:tcPr>
            <w:tcW w:type="dxa" w:w="1495"/>
          </w:tcPr>
          <w:p>
            <w:pPr>
              <w:jc w:val="center"/>
            </w:pPr>
            <w:r/>
            <w:r>
              <w:rPr>
                <w:b w:val="0"/>
                <w:i w:val="0"/>
                <w:color w:val="0070C0"/>
                <w:sz w:val="17"/>
              </w:rPr>
              <w:t>2</w:t>
            </w:r>
          </w:p>
        </w:tc>
        <w:tc>
          <w:tcPr>
            <w:tcW w:type="dxa" w:w="1495"/>
          </w:tcPr>
          <w:p>
            <w:pPr>
              <w:jc w:val="center"/>
            </w:pPr>
            <w:r/>
            <w:r>
              <w:rPr>
                <w:b w:val="0"/>
                <w:i w:val="0"/>
                <w:color w:val="0070C0"/>
                <w:sz w:val="17"/>
              </w:rPr>
              <w:t>0/24/5</w:t>
            </w:r>
          </w:p>
        </w:tc>
        <w:tc>
          <w:tcPr>
            <w:tcW w:type="dxa" w:w="1495"/>
          </w:tcPr>
          <w:p>
            <w:pPr>
              <w:jc w:val="center"/>
            </w:pPr>
            <w:r/>
            <w:r>
              <w:rPr>
                <w:b w:val="0"/>
                <w:i w:val="0"/>
                <w:color w:val="0070C0"/>
                <w:sz w:val="17"/>
              </w:rPr>
              <w:t>1/21/7</w:t>
            </w:r>
          </w:p>
        </w:tc>
      </w:tr>
      <w:tr>
        <w:tc>
          <w:tcPr>
            <w:tcW w:type="dxa" w:w="1495"/>
          </w:tcPr>
          <w:p>
            <w:pPr>
              <w:jc w:val="left"/>
            </w:pPr>
            <w:r/>
            <w:r>
              <w:rPr>
                <w:b w:val="0"/>
                <w:i w:val="0"/>
                <w:color w:val="0070C0"/>
                <w:sz w:val="17"/>
              </w:rPr>
              <w:t>MISBOA</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4.862</w:t>
            </w:r>
          </w:p>
        </w:tc>
        <w:tc>
          <w:tcPr>
            <w:tcW w:type="dxa" w:w="1495"/>
          </w:tcPr>
          <w:p>
            <w:pPr>
              <w:jc w:val="center"/>
            </w:pPr>
            <w:r/>
            <w:r>
              <w:rPr>
                <w:b w:val="0"/>
                <w:i w:val="0"/>
                <w:color w:val="0070C0"/>
                <w:sz w:val="17"/>
              </w:rPr>
              <w:t>5</w:t>
            </w:r>
          </w:p>
        </w:tc>
        <w:tc>
          <w:tcPr>
            <w:tcW w:type="dxa" w:w="1495"/>
          </w:tcPr>
          <w:p>
            <w:pPr>
              <w:jc w:val="center"/>
            </w:pPr>
            <w:r/>
            <w:r>
              <w:rPr>
                <w:b w:val="0"/>
                <w:i w:val="0"/>
                <w:color w:val="0070C0"/>
                <w:sz w:val="17"/>
              </w:rPr>
              <w:t>15/8/6</w:t>
            </w:r>
          </w:p>
        </w:tc>
        <w:tc>
          <w:tcPr>
            <w:tcW w:type="dxa" w:w="1495"/>
          </w:tcPr>
          <w:p>
            <w:pPr>
              <w:jc w:val="center"/>
            </w:pPr>
            <w:r/>
            <w:r>
              <w:rPr>
                <w:b w:val="0"/>
                <w:i w:val="0"/>
                <w:color w:val="0070C0"/>
                <w:sz w:val="17"/>
              </w:rPr>
              <w:t>18/7/4</w:t>
            </w:r>
          </w:p>
        </w:tc>
      </w:tr>
      <w:tr>
        <w:tc>
          <w:tcPr>
            <w:tcW w:type="dxa" w:w="1495"/>
          </w:tcPr>
          <w:p>
            <w:pPr>
              <w:jc w:val="left"/>
            </w:pPr>
            <w:r/>
            <w:r>
              <w:rPr>
                <w:b w:val="0"/>
                <w:i w:val="0"/>
                <w:color w:val="0070C0"/>
                <w:sz w:val="17"/>
              </w:rPr>
              <w:t>CGSBOA</w:t>
            </w:r>
          </w:p>
        </w:tc>
        <w:tc>
          <w:tcPr>
            <w:tcW w:type="dxa" w:w="1495"/>
          </w:tcPr>
          <w:p>
            <w:pPr>
              <w:jc w:val="center"/>
            </w:pPr>
            <w:r/>
            <w:r>
              <w:rPr>
                <w:b w:val="0"/>
                <w:i w:val="0"/>
                <w:color w:val="0070C0"/>
                <w:sz w:val="17"/>
              </w:rPr>
              <w:t>3.862</w:t>
            </w:r>
          </w:p>
        </w:tc>
        <w:tc>
          <w:tcPr>
            <w:tcW w:type="dxa" w:w="1495"/>
          </w:tcPr>
          <w:p>
            <w:pPr>
              <w:jc w:val="center"/>
            </w:pPr>
            <w:r/>
            <w:r>
              <w:rPr>
                <w:b w:val="0"/>
                <w:i w:val="0"/>
                <w:color w:val="0070C0"/>
                <w:sz w:val="17"/>
              </w:rPr>
              <w:t>3.621</w:t>
            </w:r>
          </w:p>
        </w:tc>
        <w:tc>
          <w:tcPr>
            <w:tcW w:type="dxa" w:w="1495"/>
          </w:tcPr>
          <w:p>
            <w:pPr>
              <w:jc w:val="center"/>
            </w:pPr>
            <w:r/>
            <w:r>
              <w:rPr>
                <w:b w:val="0"/>
                <w:i w:val="0"/>
                <w:color w:val="0070C0"/>
                <w:sz w:val="17"/>
              </w:rPr>
              <w:t>3.741</w:t>
            </w:r>
          </w:p>
        </w:tc>
        <w:tc>
          <w:tcPr>
            <w:tcW w:type="dxa" w:w="1495"/>
          </w:tcPr>
          <w:p>
            <w:pPr>
              <w:jc w:val="center"/>
            </w:pPr>
            <w:r/>
            <w:r>
              <w:rPr>
                <w:b w:val="0"/>
                <w:i w:val="0"/>
                <w:color w:val="0070C0"/>
                <w:sz w:val="17"/>
              </w:rPr>
              <w:t>3</w:t>
            </w:r>
          </w:p>
        </w:tc>
        <w:tc>
          <w:tcPr>
            <w:tcW w:type="dxa" w:w="1495"/>
          </w:tcPr>
          <w:p>
            <w:pPr>
              <w:jc w:val="center"/>
            </w:pPr>
            <w:r/>
            <w:r>
              <w:rPr>
                <w:b w:val="0"/>
                <w:i w:val="0"/>
                <w:color w:val="0070C0"/>
                <w:sz w:val="17"/>
              </w:rPr>
              <w:t>1/26/2</w:t>
            </w:r>
          </w:p>
        </w:tc>
        <w:tc>
          <w:tcPr>
            <w:tcW w:type="dxa" w:w="1495"/>
          </w:tcPr>
          <w:p>
            <w:pPr>
              <w:jc w:val="center"/>
            </w:pPr>
            <w:r/>
            <w:r>
              <w:rPr>
                <w:b w:val="0"/>
                <w:i w:val="0"/>
                <w:color w:val="0070C0"/>
                <w:sz w:val="17"/>
              </w:rPr>
              <w:t>0/23/6</w:t>
            </w:r>
          </w:p>
        </w:tc>
      </w:tr>
      <w:tr>
        <w:tc>
          <w:tcPr>
            <w:tcW w:type="dxa" w:w="1495"/>
          </w:tcPr>
          <w:p>
            <w:pPr>
              <w:jc w:val="left"/>
            </w:pPr>
            <w:r/>
            <w:r>
              <w:rPr>
                <w:b w:val="0"/>
                <w:i w:val="0"/>
                <w:color w:val="0070C0"/>
                <w:sz w:val="17"/>
              </w:rPr>
              <w:t>LTSBOA</w:t>
            </w:r>
          </w:p>
        </w:tc>
        <w:tc>
          <w:tcPr>
            <w:tcW w:type="dxa" w:w="1495"/>
          </w:tcPr>
          <w:p>
            <w:pPr>
              <w:jc w:val="center"/>
            </w:pPr>
            <w:r/>
            <w:r>
              <w:rPr>
                <w:b w:val="0"/>
                <w:i w:val="0"/>
                <w:color w:val="0070C0"/>
                <w:sz w:val="17"/>
              </w:rPr>
              <w:t>3.172</w:t>
            </w:r>
          </w:p>
        </w:tc>
        <w:tc>
          <w:tcPr>
            <w:tcW w:type="dxa" w:w="1495"/>
          </w:tcPr>
          <w:p>
            <w:pPr>
              <w:jc w:val="center"/>
            </w:pPr>
            <w:r/>
            <w:r>
              <w:rPr>
                <w:b w:val="0"/>
                <w:i w:val="0"/>
                <w:color w:val="0070C0"/>
                <w:sz w:val="17"/>
              </w:rPr>
              <w:t>1.897</w:t>
            </w:r>
          </w:p>
        </w:tc>
        <w:tc>
          <w:tcPr>
            <w:tcW w:type="dxa" w:w="1495"/>
          </w:tcPr>
          <w:p>
            <w:pPr>
              <w:jc w:val="center"/>
            </w:pPr>
            <w:r/>
            <w:r>
              <w:rPr>
                <w:b w:val="0"/>
                <w:i w:val="0"/>
                <w:color w:val="0070C0"/>
                <w:sz w:val="17"/>
              </w:rPr>
              <w:t>2.534</w:t>
            </w:r>
          </w:p>
        </w:tc>
        <w:tc>
          <w:tcPr>
            <w:tcW w:type="dxa" w:w="1495"/>
          </w:tcPr>
          <w:p>
            <w:pPr>
              <w:jc w:val="center"/>
            </w:pPr>
            <w:r/>
            <w:r>
              <w:rPr>
                <w:b w:val="0"/>
                <w:i w:val="0"/>
                <w:color w:val="0070C0"/>
                <w:sz w:val="17"/>
              </w:rPr>
              <w:t>1</w:t>
            </w:r>
          </w:p>
        </w:tc>
        <w:tc>
          <w:tcPr>
            <w:tcW w:type="dxa" w:w="1495"/>
          </w:tcPr>
          <w:p>
            <w:pPr>
              <w:jc w:val="center"/>
            </w:pPr>
            <w:r/>
            <w:r>
              <w:rPr>
                <w:b w:val="0"/>
                <w:i w:val="0"/>
                <w:color w:val="0070C0"/>
                <w:sz w:val="17"/>
              </w:rPr>
              <w:t>2/18/9</w:t>
            </w:r>
          </w:p>
        </w:tc>
        <w:tc>
          <w:tcPr>
            <w:tcW w:type="dxa" w:w="1495"/>
          </w:tcPr>
          <w:p>
            <w:pPr>
              <w:jc w:val="center"/>
            </w:pPr>
            <w:r/>
            <w:r>
              <w:rPr>
                <w:b w:val="0"/>
                <w:i w:val="0"/>
                <w:color w:val="0070C0"/>
                <w:sz w:val="17"/>
              </w:rPr>
              <w:t>0/14/15</w:t>
            </w:r>
          </w:p>
        </w:tc>
      </w:tr>
      <w:tr>
        <w:tc>
          <w:tcPr>
            <w:tcW w:type="dxa" w:w="1495"/>
          </w:tcPr>
          <w:p>
            <w:pPr>
              <w:jc w:val="left"/>
            </w:pPr>
            <w:r/>
            <w:r>
              <w:rPr>
                <w:b w:val="0"/>
                <w:i w:val="0"/>
                <w:color w:val="0070C0"/>
                <w:sz w:val="17"/>
              </w:rPr>
              <w:t>TSA</w:t>
            </w:r>
          </w:p>
        </w:tc>
        <w:tc>
          <w:tcPr>
            <w:tcW w:type="dxa" w:w="1495"/>
          </w:tcPr>
          <w:p>
            <w:pPr>
              <w:jc w:val="center"/>
            </w:pPr>
            <w:r/>
            <w:r>
              <w:rPr>
                <w:b w:val="0"/>
                <w:i w:val="0"/>
                <w:color w:val="0070C0"/>
                <w:sz w:val="17"/>
              </w:rPr>
              <w:t>6.724</w:t>
            </w:r>
          </w:p>
        </w:tc>
        <w:tc>
          <w:tcPr>
            <w:tcW w:type="dxa" w:w="1495"/>
          </w:tcPr>
          <w:p>
            <w:pPr>
              <w:jc w:val="center"/>
            </w:pPr>
            <w:r/>
            <w:r>
              <w:rPr>
                <w:b w:val="0"/>
                <w:i w:val="0"/>
                <w:color w:val="0070C0"/>
                <w:sz w:val="17"/>
              </w:rPr>
              <w:t>7.345</w:t>
            </w:r>
          </w:p>
        </w:tc>
        <w:tc>
          <w:tcPr>
            <w:tcW w:type="dxa" w:w="1495"/>
          </w:tcPr>
          <w:p>
            <w:pPr>
              <w:jc w:val="center"/>
            </w:pPr>
            <w:r/>
            <w:r>
              <w:rPr>
                <w:b w:val="0"/>
                <w:i w:val="0"/>
                <w:color w:val="0070C0"/>
                <w:sz w:val="17"/>
              </w:rPr>
              <w:t>7.034</w:t>
            </w:r>
          </w:p>
        </w:tc>
        <w:tc>
          <w:tcPr>
            <w:tcW w:type="dxa" w:w="1495"/>
          </w:tcPr>
          <w:p>
            <w:pPr>
              <w:jc w:val="center"/>
            </w:pPr>
            <w:r/>
            <w:r>
              <w:rPr>
                <w:b w:val="0"/>
                <w:i w:val="0"/>
                <w:color w:val="0070C0"/>
                <w:sz w:val="17"/>
              </w:rPr>
              <w:t>8</w:t>
            </w:r>
          </w:p>
        </w:tc>
        <w:tc>
          <w:tcPr>
            <w:tcW w:type="dxa" w:w="1495"/>
          </w:tcPr>
          <w:p>
            <w:pPr>
              <w:jc w:val="center"/>
            </w:pPr>
            <w:r/>
            <w:r>
              <w:rPr>
                <w:b w:val="0"/>
                <w:i w:val="0"/>
                <w:color w:val="0070C0"/>
                <w:sz w:val="17"/>
              </w:rPr>
              <w:t>26/3/0</w:t>
            </w:r>
          </w:p>
        </w:tc>
        <w:tc>
          <w:tcPr>
            <w:tcW w:type="dxa" w:w="1495"/>
          </w:tcPr>
          <w:p>
            <w:pPr>
              <w:jc w:val="center"/>
            </w:pPr>
            <w:r/>
            <w:r>
              <w:rPr>
                <w:b w:val="0"/>
                <w:i w:val="0"/>
                <w:color w:val="0070C0"/>
                <w:sz w:val="17"/>
              </w:rPr>
              <w:t>29/0/0</w:t>
            </w:r>
          </w:p>
        </w:tc>
      </w:tr>
      <w:tr>
        <w:tc>
          <w:tcPr>
            <w:tcW w:type="dxa" w:w="1495"/>
          </w:tcPr>
          <w:p>
            <w:pPr>
              <w:jc w:val="left"/>
            </w:pPr>
            <w:r/>
            <w:r>
              <w:rPr>
                <w:b w:val="0"/>
                <w:i w:val="0"/>
                <w:color w:val="0070C0"/>
                <w:sz w:val="17"/>
              </w:rPr>
              <w:t>MS-TSA</w:t>
            </w:r>
          </w:p>
        </w:tc>
        <w:tc>
          <w:tcPr>
            <w:tcW w:type="dxa" w:w="1495"/>
          </w:tcPr>
          <w:p>
            <w:pPr>
              <w:jc w:val="center"/>
            </w:pPr>
            <w:r/>
            <w:r>
              <w:rPr>
                <w:b w:val="0"/>
                <w:i w:val="0"/>
                <w:color w:val="0070C0"/>
                <w:sz w:val="17"/>
              </w:rPr>
              <w:t>8.207</w:t>
            </w:r>
          </w:p>
        </w:tc>
        <w:tc>
          <w:tcPr>
            <w:tcW w:type="dxa" w:w="1495"/>
          </w:tcPr>
          <w:p>
            <w:pPr>
              <w:jc w:val="center"/>
            </w:pPr>
            <w:r/>
            <w:r>
              <w:rPr>
                <w:b w:val="0"/>
                <w:i w:val="0"/>
                <w:color w:val="0070C0"/>
                <w:sz w:val="17"/>
              </w:rPr>
              <w:t>8.690</w:t>
            </w:r>
          </w:p>
        </w:tc>
        <w:tc>
          <w:tcPr>
            <w:tcW w:type="dxa" w:w="1495"/>
          </w:tcPr>
          <w:p>
            <w:pPr>
              <w:jc w:val="center"/>
            </w:pPr>
            <w:r/>
            <w:r>
              <w:rPr>
                <w:b w:val="0"/>
                <w:i w:val="0"/>
                <w:color w:val="0070C0"/>
                <w:sz w:val="17"/>
              </w:rPr>
              <w:t>8.448</w:t>
            </w:r>
          </w:p>
        </w:tc>
        <w:tc>
          <w:tcPr>
            <w:tcW w:type="dxa" w:w="1495"/>
          </w:tcPr>
          <w:p>
            <w:pPr>
              <w:jc w:val="center"/>
            </w:pPr>
            <w:r/>
            <w:r>
              <w:rPr>
                <w:b w:val="0"/>
                <w:i w:val="0"/>
                <w:color w:val="0070C0"/>
                <w:sz w:val="17"/>
              </w:rPr>
              <w:t>9</w:t>
            </w:r>
          </w:p>
        </w:tc>
        <w:tc>
          <w:tcPr>
            <w:tcW w:type="dxa" w:w="1495"/>
          </w:tcPr>
          <w:p>
            <w:pPr>
              <w:jc w:val="center"/>
            </w:pPr>
            <w:r/>
            <w:r>
              <w:rPr>
                <w:b w:val="0"/>
                <w:i w:val="0"/>
                <w:color w:val="0070C0"/>
                <w:sz w:val="17"/>
              </w:rPr>
              <w:t>27/2/0</w:t>
            </w:r>
          </w:p>
        </w:tc>
        <w:tc>
          <w:tcPr>
            <w:tcW w:type="dxa" w:w="1495"/>
          </w:tcPr>
          <w:p>
            <w:pPr>
              <w:jc w:val="center"/>
            </w:pPr>
            <w:r/>
            <w:r>
              <w:rPr>
                <w:b w:val="0"/>
                <w:i w:val="0"/>
                <w:color w:val="0070C0"/>
                <w:sz w:val="17"/>
              </w:rPr>
              <w:t>29/0/0</w:t>
            </w:r>
          </w:p>
        </w:tc>
      </w:tr>
      <w:tr>
        <w:tc>
          <w:tcPr>
            <w:tcW w:type="dxa" w:w="1495"/>
          </w:tcPr>
          <w:p>
            <w:pPr>
              <w:jc w:val="left"/>
            </w:pPr>
            <w:r/>
            <w:r>
              <w:rPr>
                <w:b w:val="0"/>
                <w:i w:val="0"/>
                <w:color w:val="0070C0"/>
                <w:sz w:val="17"/>
              </w:rPr>
              <w:t>CPA</w:t>
            </w:r>
          </w:p>
        </w:tc>
        <w:tc>
          <w:tcPr>
            <w:tcW w:type="dxa" w:w="1495"/>
          </w:tcPr>
          <w:p>
            <w:pPr>
              <w:jc w:val="center"/>
            </w:pPr>
            <w:r/>
            <w:r>
              <w:rPr>
                <w:b w:val="0"/>
                <w:i w:val="0"/>
                <w:color w:val="0070C0"/>
                <w:sz w:val="17"/>
              </w:rPr>
              <w:t>6.207</w:t>
            </w:r>
          </w:p>
        </w:tc>
        <w:tc>
          <w:tcPr>
            <w:tcW w:type="dxa" w:w="1495"/>
          </w:tcPr>
          <w:p>
            <w:pPr>
              <w:jc w:val="center"/>
            </w:pPr>
            <w:r/>
            <w:r>
              <w:rPr>
                <w:b w:val="0"/>
                <w:i w:val="0"/>
                <w:color w:val="0070C0"/>
                <w:sz w:val="17"/>
              </w:rPr>
              <w:t>5.862</w:t>
            </w:r>
          </w:p>
        </w:tc>
        <w:tc>
          <w:tcPr>
            <w:tcW w:type="dxa" w:w="1495"/>
          </w:tcPr>
          <w:p>
            <w:pPr>
              <w:jc w:val="center"/>
            </w:pPr>
            <w:r/>
            <w:r>
              <w:rPr>
                <w:b w:val="0"/>
                <w:i w:val="0"/>
                <w:color w:val="0070C0"/>
                <w:sz w:val="17"/>
              </w:rPr>
              <w:t>6.034</w:t>
            </w:r>
          </w:p>
        </w:tc>
        <w:tc>
          <w:tcPr>
            <w:tcW w:type="dxa" w:w="1495"/>
          </w:tcPr>
          <w:p>
            <w:pPr>
              <w:jc w:val="center"/>
            </w:pPr>
            <w:r/>
            <w:r>
              <w:rPr>
                <w:b w:val="0"/>
                <w:i w:val="0"/>
                <w:color w:val="0070C0"/>
                <w:sz w:val="17"/>
              </w:rPr>
              <w:t>7</w:t>
            </w:r>
          </w:p>
        </w:tc>
        <w:tc>
          <w:tcPr>
            <w:tcW w:type="dxa" w:w="1495"/>
          </w:tcPr>
          <w:p>
            <w:pPr>
              <w:jc w:val="center"/>
            </w:pPr>
            <w:r/>
            <w:r>
              <w:rPr>
                <w:b w:val="0"/>
                <w:i w:val="0"/>
                <w:color w:val="0070C0"/>
                <w:sz w:val="17"/>
              </w:rPr>
              <w:t>16/5/8</w:t>
            </w:r>
          </w:p>
        </w:tc>
        <w:tc>
          <w:tcPr>
            <w:tcW w:type="dxa" w:w="1495"/>
          </w:tcPr>
          <w:p>
            <w:pPr>
              <w:jc w:val="center"/>
            </w:pPr>
            <w:r/>
            <w:r>
              <w:rPr>
                <w:b w:val="0"/>
                <w:i w:val="0"/>
                <w:color w:val="0070C0"/>
                <w:sz w:val="17"/>
              </w:rPr>
              <w:t>19/5/5</w:t>
            </w:r>
          </w:p>
        </w:tc>
      </w:tr>
      <w:tr>
        <w:tc>
          <w:tcPr>
            <w:tcW w:type="dxa" w:w="1495"/>
          </w:tcPr>
          <w:p>
            <w:pPr>
              <w:jc w:val="left"/>
            </w:pPr>
            <w:r/>
            <w:r>
              <w:rPr>
                <w:b w:val="0"/>
                <w:i w:val="0"/>
                <w:color w:val="0070C0"/>
                <w:sz w:val="17"/>
              </w:rPr>
              <w:t>I-CPA</w:t>
            </w:r>
          </w:p>
        </w:tc>
        <w:tc>
          <w:tcPr>
            <w:tcW w:type="dxa" w:w="1495"/>
          </w:tcPr>
          <w:p>
            <w:pPr>
              <w:jc w:val="center"/>
            </w:pPr>
            <w:r/>
            <w:r>
              <w:rPr>
                <w:b w:val="0"/>
                <w:i w:val="0"/>
                <w:color w:val="0070C0"/>
                <w:sz w:val="17"/>
              </w:rPr>
              <w:t>4.690</w:t>
            </w:r>
          </w:p>
        </w:tc>
        <w:tc>
          <w:tcPr>
            <w:tcW w:type="dxa" w:w="1495"/>
          </w:tcPr>
          <w:p>
            <w:pPr>
              <w:jc w:val="center"/>
            </w:pPr>
            <w:r/>
            <w:r>
              <w:rPr>
                <w:b w:val="0"/>
                <w:i w:val="0"/>
                <w:color w:val="0070C0"/>
                <w:sz w:val="17"/>
              </w:rPr>
              <w:t>5.724</w:t>
            </w:r>
          </w:p>
        </w:tc>
        <w:tc>
          <w:tcPr>
            <w:tcW w:type="dxa" w:w="1495"/>
          </w:tcPr>
          <w:p>
            <w:pPr>
              <w:jc w:val="center"/>
            </w:pPr>
            <w:r/>
            <w:r>
              <w:rPr>
                <w:b w:val="0"/>
                <w:i w:val="0"/>
                <w:color w:val="0070C0"/>
                <w:sz w:val="17"/>
              </w:rPr>
              <w:t>5.207</w:t>
            </w:r>
          </w:p>
        </w:tc>
        <w:tc>
          <w:tcPr>
            <w:tcW w:type="dxa" w:w="1495"/>
          </w:tcPr>
          <w:p>
            <w:pPr>
              <w:jc w:val="center"/>
            </w:pPr>
            <w:r/>
            <w:r>
              <w:rPr>
                <w:b w:val="0"/>
                <w:i w:val="0"/>
                <w:color w:val="0070C0"/>
                <w:sz w:val="17"/>
              </w:rPr>
              <w:t>6</w:t>
            </w:r>
          </w:p>
        </w:tc>
        <w:tc>
          <w:tcPr>
            <w:tcW w:type="dxa" w:w="1495"/>
          </w:tcPr>
          <w:p>
            <w:pPr>
              <w:jc w:val="center"/>
            </w:pPr>
            <w:r/>
            <w:r>
              <w:rPr>
                <w:b w:val="0"/>
                <w:i w:val="0"/>
                <w:color w:val="0070C0"/>
                <w:sz w:val="17"/>
              </w:rPr>
              <w:t>17/4/8</w:t>
            </w:r>
          </w:p>
        </w:tc>
        <w:tc>
          <w:tcPr>
            <w:tcW w:type="dxa" w:w="1495"/>
          </w:tcPr>
          <w:p>
            <w:pPr>
              <w:jc w:val="center"/>
            </w:pPr>
            <w:r/>
            <w:r>
              <w:rPr>
                <w:b w:val="0"/>
                <w:i w:val="0"/>
                <w:color w:val="0070C0"/>
                <w:sz w:val="17"/>
              </w:rPr>
              <w:t>21/5/3</w:t>
            </w:r>
          </w:p>
        </w:tc>
      </w:tr>
    </w:tbl>
    <w:p w14:paraId="2455428D">
      <w:pPr>
        <w:pStyle w:val="33"/>
        <w:spacing w:after="120" w:line="276" w:lineRule="auto"/>
        <w:jc w:val="both"/>
      </w:pP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color w:val="C00000"/>
          <w:sz w:val="20"/>
        </w:rPr>
        <w:t>In this section, MSSBOA was applied to two representative optimization problems in visual art and graphic design—aesthetic colour-harmony palette generation and graphic-layout aesthetics optimization—to evaluate its ability to solve real-world design problems. Both problems were formulated as continuous optimization problems and solved by the eleven algorithms with the parameter settings of Table 2. Interestingly, both the optimizer (inspired by the secretary bird) and the colour-harmony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color w:val="C00000"/>
          <w:sz w:val="20"/>
        </w:rPr>
        <w:t xml:space="preserve">Generating a harmonious yet expressive colour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15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15.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color w:val="C00000"/>
          <w:sz w:val="20"/>
        </w:rPr>
        <w:t>-colour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color w:val="C00000"/>
          <w:sz w:val="20"/>
        </w:rPr>
        <w:t xml:space="preserve"> colours were optimized, and the harmony score is reported as </w:t>
      </w:r>
      <m:oMath>
        <m:r>
          <m:rPr/>
          <m:t>100</m:t>
        </m:r>
        <m:r>
          <m:rPr>
            <m:sty m:val="p"/>
          </m:rPr>
          <m:t>×</m:t>
        </m:r>
        <m:r>
          <m:rPr/>
          <m:t>J</m:t>
        </m:r>
      </m:oMath>
      <w:r>
        <w:rPr>
          <w:color w:val="C00000"/>
          <w:sz w:val="20"/>
        </w:rPr>
        <w:t xml:space="preserve"> (%). Figure 12 visualizes the seven-colour palettes generated by representative algorithms together with the best-fitting harmonic template on the hue wheel, and Figure 13 shows the convergence curves and the distribution of harmony scores. Table 16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16.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trike/>
          <w:color w:val="C00000"/>
          <w:sz w:val="20"/>
        </w:rPr>
        <w:t>As shown in Table 16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color w:val="C00000"/>
          <w:sz w:val="20"/>
        </w:rPr>
        <w:t xml:space="preserve"> is a penalty coefficient. Eight typical design problems, listed in Table 17, were considered, covering posters, web banners, business cards, magazine pages, photo collages, mobile interfaces, packaging labels and book covers. Table 18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17.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18.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18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sz w:val="20"/>
        </w:rPr>
        <w:t>Three improvement strategies were integrated into the basic SBOA:</w:t>
      </w:r>
      <w:r>
        <w:rPr>
          <w:b w:val="0"/>
          <w:i w:val="0"/>
          <w:strike w:val="0"/>
          <w:color w:val="C00000"/>
          <w:sz w:val="2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rPr>
          <w:b w:val="0"/>
          <w:i w:val="0"/>
          <w:strike w:val="0"/>
          <w:color w:val="C00000"/>
          <w:sz w:val="20"/>
        </w:rP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color w:val="C00000"/>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colour-harmony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-1.276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