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30"/>
        </w:rPr>
        <w:t>Response to Reviewer 1</w:t>
      </w:r>
    </w:p>
    <w:p>
      <w:pPr>
        <w:spacing w:after="40" w:before="0"/>
        <w:jc w:val="center"/>
      </w:pPr>
      <w:r>
        <w:rPr>
          <w:rFonts w:ascii="Times New Roman" w:hAnsi="Times New Roman"/>
          <w:b w:val="0"/>
          <w:i/>
          <w:sz w:val="21"/>
        </w:rPr>
        <w:t>Manuscript: A Multi-Strategy Secretary Bird Optimization Algorithm for Aesthetic Color and Layout Optimization in Visual Art Design</w:t>
      </w:r>
    </w:p>
    <w:p>
      <w:pPr>
        <w:spacing w:after="280" w:before="0"/>
        <w:jc w:val="center"/>
      </w:pPr>
      <w:r>
        <w:rPr>
          <w:rFonts w:ascii="Times New Roman" w:hAnsi="Times New Roman"/>
          <w:b w:val="0"/>
          <w:i/>
          <w:sz w:val="21"/>
        </w:rPr>
        <w:t>Biomimetics - Special Issue "Advances in Biological and Bio-Inspired Algorithms: 2nd Edition"</w:t>
      </w:r>
    </w:p>
    <w:p>
      <w:pPr>
        <w:spacing w:after="160" w:before="0"/>
      </w:pPr>
      <w:r>
        <w:rPr>
          <w:rFonts w:ascii="Times New Roman" w:hAnsi="Times New Roman"/>
          <w:b w:val="0"/>
          <w:i w:val="0"/>
          <w:sz w:val="21"/>
        </w:rPr>
        <w:t>We thank you very much for the time and care you have given this manuscript. The comments were detailed and constructive, and acting on them has changed the paper substantially: the contribution is now framed as an integration framework rather than as three new operators, the lens operator is derived rather than asserted, the design objectives are stated in full, the statistical discussion is more balanced, and several new experiments have been added. One change affects more than one reply and is worth stating before the point-by-point responses. Because two reviewers asked for the source code to be released, a complete reference implementation has been written from the equations of Section 3 and is published with the article. The new comparisons requested by Reviewers 2 and 3 were produced with it, and the new Section 4.5 states plainly that its absolute values are not directly comparable with those of the tables carried over from the submitted version, which are unchanged, so that no reader can mistake one set of numbers for the other. Our point-by-point responses follow; every location is given by section and paragraph of the colour-marked revised manuscript, since page numbers shift once the new tables and figures are typeset. All changes made in response to your comments are marked in RED in the revised manuscript. Changes prompted by Reviewer 2 are in blue and those prompted by Reviewer 3 are in green, so that the three sets of revisions can be told apart at a glance.</w:t>
      </w:r>
    </w:p>
    <w:p>
      <w:pPr>
        <w:spacing w:after="320" w:before="0"/>
      </w:pPr>
      <w:r>
        <w:rPr>
          <w:rFonts w:ascii="Times New Roman" w:hAnsi="Times New Roman"/>
          <w:b w:val="0"/>
          <w:i/>
          <w:color w:val="C00000"/>
          <w:sz w:val="21"/>
        </w:rPr>
        <w:t>Colour key used in the revised manuscript: Reviewer 1 = red, Reviewer 2 = blue, Reviewer 3 = green. Your revisions are the ones in red.</w:t>
      </w:r>
    </w:p>
    <w:p>
      <w:pPr>
        <w:spacing w:after="60" w:before="0"/>
      </w:pPr>
      <w:r>
        <w:rPr>
          <w:rFonts w:ascii="Times New Roman" w:hAnsi="Times New Roman"/>
          <w:b/>
          <w:i w:val="0"/>
          <w:sz w:val="21"/>
        </w:rPr>
        <w:t>Comments 1:</w:t>
      </w:r>
    </w:p>
    <w:p>
      <w:pPr>
        <w:spacing w:after="160" w:before="0"/>
        <w:ind w:left="360"/>
      </w:pPr>
      <w:r>
        <w:rPr>
          <w:rFonts w:ascii="Times New Roman" w:hAnsi="Times New Roman"/>
          <w:b w:val="0"/>
          <w:i/>
          <w:sz w:val="21"/>
        </w:rPr>
        <w:t>The paper claims three "improvement strategies". These techniques are not novel in the metaheuristic literature: Good point set initialization has been widely used in many swarm intelligence algorithms, Lens opposition-based learning has been applied to numerous algorithms (e.g., sand cat swarm optimization, whale optimization algorithm), Adaptive Cauchy-Gaussian mutation is a common technique for enhancing exploration-exploitation balance. The authors should: Provide a more detailed comparison table showing how their specific implementations differ from existing applications of these strategies, Emphasize the synergistic combination and the specific parameter adaptations (e.g., the dynamic k-factor in LOBL, the adaptive weights in ACGM) as the novel contribution, rather than the individual strategies themselves, Consider framing the contribution as "a novel integration framework" rather than "three new strategies".</w:t>
      </w:r>
    </w:p>
    <w:p>
      <w:pPr>
        <w:spacing w:after="60" w:before="0"/>
      </w:pPr>
      <w:r>
        <w:rPr>
          <w:rFonts w:ascii="Times New Roman" w:hAnsi="Times New Roman"/>
          <w:b/>
          <w:i w:val="0"/>
          <w:color w:val="C00000"/>
          <w:sz w:val="21"/>
        </w:rPr>
        <w:t>Response 1:</w:t>
      </w:r>
    </w:p>
    <w:p>
      <w:pPr>
        <w:spacing w:after="120" w:before="0"/>
      </w:pPr>
      <w:r>
        <w:rPr>
          <w:rFonts w:ascii="Times New Roman" w:hAnsi="Times New Roman"/>
          <w:b w:val="0"/>
          <w:i w:val="0"/>
          <w:color w:val="C00000"/>
          <w:sz w:val="21"/>
        </w:rPr>
        <w:t>Thank you for pointing this out. We agree with this comment, and we accept the premise without reservation: none of the three operator families is novel, and the submitted version did not say so clearly enough. We have therefore reframed the contribution throughout and added the comparison table you ask for.</w:t>
      </w:r>
    </w:p>
    <w:p>
      <w:pPr>
        <w:spacing w:after="120" w:before="0"/>
      </w:pPr>
      <w:r>
        <w:rPr>
          <w:rFonts w:ascii="Times New Roman" w:hAnsi="Times New Roman"/>
          <w:b w:val="0"/>
          <w:i w:val="0"/>
          <w:color w:val="C00000"/>
          <w:sz w:val="21"/>
        </w:rPr>
        <w:t>Specifically, we have made three changes. (i) The Abstract (sentence beginning "To overcome these limitations") and contribution (1) in the Introduction now state explicitly that the contribution is "a novel integration framework" and that no claim of novelty is made for the individual operators; the old wording of contribution (1) is shown struck through so the change is visible. (ii) A new Section 3.6, "Novelty of the proposed integration framework", inserted after the complexity analysis, sets out the three design decisions that distinguish this framework - the disjoint application policy that confines refraction to the inferior subpopulation and mutation to the elite, the derivation of the lens factor as a schedule with two exposed and tuned exponents, and the placement of the operators at the points of the SBOA iteration where the base algorithm is weakest. (iii) New Table 1 in that section states, operator by operator, what a typical existing application does, what MSSBOA does instead, and what the difference buys.</w:t>
      </w:r>
    </w:p>
    <w:p>
      <w:pPr>
        <w:spacing w:after="120" w:before="0"/>
        <w:ind w:left="360"/>
      </w:pPr>
      <w:r>
        <w:rPr>
          <w:rFonts w:ascii="Times New Roman" w:hAnsi="Times New Roman"/>
          <w:b w:val="0"/>
          <w:i/>
          <w:color w:val="C00000"/>
          <w:sz w:val="21"/>
        </w:rPr>
        <w:t>"The three operator families used above are established techniques, and their individual novelty is not claimed here. ... The contribution of this paper is therefore the integration framework: how each operator is re-specified for SBOA, how its control parameter is adapted, and how the three are assigned to disjoint parts of the population so that they reinforce rather than duplicate one another." (Section 3.6)</w:t>
      </w:r>
    </w:p>
    <w:p>
      <w:pPr>
        <w:spacing w:after="320" w:before="0"/>
      </w:pPr>
      <w:r>
        <w:rPr>
          <w:rFonts w:ascii="Times New Roman" w:hAnsi="Times New Roman"/>
          <w:b w:val="0"/>
          <w:i w:val="0"/>
          <w:color w:val="C00000"/>
          <w:sz w:val="21"/>
        </w:rPr>
        <w:t>On emphasising the synergy: we have made the mechanism explicit rather than left it to be inferred. Section 3.6 argues the complementarity from the structure of the framework - the three operators act on disjoint parts of the population and at different points of the iteration, so none of them can undo the work of another - and Section 4.3 now states precisely what the ablation of Tables 9 and 10 does and does not establish, namely the individual contribution of each strategy against a common baseline rather than the four intermediate pairings (see also our reply to Reviewer 3, comments 1 and 2).</w:t>
      </w:r>
    </w:p>
    <w:p>
      <w:pPr>
        <w:spacing w:after="60" w:before="0"/>
      </w:pPr>
      <w:r>
        <w:rPr>
          <w:rFonts w:ascii="Times New Roman" w:hAnsi="Times New Roman"/>
          <w:b/>
          <w:i w:val="0"/>
          <w:sz w:val="21"/>
        </w:rPr>
        <w:t>Comments 2:</w:t>
      </w:r>
    </w:p>
    <w:p>
      <w:pPr>
        <w:spacing w:after="160" w:before="0"/>
        <w:ind w:left="360"/>
      </w:pPr>
      <w:r>
        <w:rPr>
          <w:rFonts w:ascii="Times New Roman" w:hAnsi="Times New Roman"/>
          <w:b w:val="0"/>
          <w:i/>
          <w:sz w:val="21"/>
        </w:rPr>
        <w:t>The lens opposition-based learning explanation (Section 3.2) is mathematically incomplete. Equation (11) introduces a scaling factor k, but the relationship to the "convex-lens imaging" principle is not rigorously derived. The schematic in Figure 2 is mentioned but not shown in the provided text. Provide a clearer derivation connecting the lens imaging principle to Equation (11), Show Figure 2 and explain how the "tunable scaling factor" relates to physical lens parameters, Justify why the dynamic k-factor in Equation (12) specifically uses the square root and power of 10—is this empirically determined or theoretically motivated?</w:t>
      </w:r>
    </w:p>
    <w:p>
      <w:pPr>
        <w:spacing w:after="60" w:before="0"/>
      </w:pPr>
      <w:r>
        <w:rPr>
          <w:rFonts w:ascii="Times New Roman" w:hAnsi="Times New Roman"/>
          <w:b/>
          <w:i w:val="0"/>
          <w:color w:val="C00000"/>
          <w:sz w:val="21"/>
        </w:rPr>
        <w:t>Response 2:</w:t>
      </w:r>
    </w:p>
    <w:p>
      <w:pPr>
        <w:spacing w:after="120" w:before="0"/>
      </w:pPr>
      <w:r>
        <w:rPr>
          <w:rFonts w:ascii="Times New Roman" w:hAnsi="Times New Roman"/>
          <w:b w:val="0"/>
          <w:i w:val="0"/>
          <w:color w:val="C00000"/>
          <w:sz w:val="21"/>
        </w:rPr>
        <w:t>Agree. We have, accordingly, rewritten Section 3.2 so that Equation (11) is derived rather than asserted, redrawn Figure 2, and separated the structural from the empirical justification of Equation (12). We apologise that Figure 2 did not render in the file you received; it was supplied as an EMF object and has been replaced by a new raster figure.</w:t>
      </w:r>
    </w:p>
    <w:p>
      <w:pPr>
        <w:spacing w:after="120" w:before="0"/>
      </w:pPr>
      <w:r>
        <w:rPr>
          <w:rFonts w:ascii="Times New Roman" w:hAnsi="Times New Roman"/>
          <w:b w:val="0"/>
          <w:i w:val="0"/>
          <w:color w:val="C00000"/>
          <w:sz w:val="21"/>
        </w:rPr>
        <w:t>The derivation is now given in full (Section 3.2, the three paragraphs following the opening paragraph on opposition-based learning). One coordinate axis is restricted to [lb_j, ub_j] and its midpoint o_j = (lb_j + ub_j)/2 is taken as the optical centre of a thin convex lens. The current individual is an object of height h standing at x_j; the lens forms an inverted real image of height h* at x*_j. Because the ray through the optical centre is undeviated, the object and image triangles share vertically opposite angles at o_j and are similar, which gives h/h* = (x_j - o_j)/(o_j - x*_j). Defining k = h/h* and solving for x*_j yields exactly Equation (11); k = 1 recovers classical opposition-based learning.</w:t>
      </w:r>
    </w:p>
    <w:p>
      <w:pPr>
        <w:spacing w:after="120" w:before="0"/>
      </w:pPr>
      <w:r>
        <w:rPr>
          <w:rFonts w:ascii="Times New Roman" w:hAnsi="Times New Roman"/>
          <w:b w:val="0"/>
          <w:i w:val="0"/>
          <w:color w:val="C00000"/>
          <w:sz w:val="21"/>
        </w:rPr>
        <w:t>On the relation to physical lens parameters: k is the ratio of object height to image height, that is, the reciprocal of the transverse magnification of the virtual lens. It is the single lens parameter the operator exposes, and it is not a free numerical constant. New Figure 2a shows the similar-triangle construction with h, h*, x_j - o_j and o_j - x*_j labelled, Figure 2b plots k(t) for several exponent pairs, and Figure 2c plots the induced contraction ratio 1/k.</w:t>
      </w:r>
    </w:p>
    <w:p>
      <w:pPr>
        <w:spacing w:after="120" w:before="0"/>
      </w:pPr>
      <w:r>
        <w:rPr>
          <w:rFonts w:ascii="Times New Roman" w:hAnsi="Times New Roman"/>
          <w:b w:val="0"/>
          <w:i w:val="0"/>
          <w:color w:val="C00000"/>
          <w:sz w:val="21"/>
        </w:rPr>
        <w:t>Your question about the square root and the power of 10 also uncovered an error of interpretation in the submitted version, which we have corrected. Equation (11) implies |x*_j - o_j| = |x_j - o_j|/k, so k controls the radius of the refracted point about the interval midpoint, not its distance from the parent. The submitted text stated that a large k "keeps the refracted solution close to the current one", which is wrong; the corrected text states that a large k contracts the image onto the neighbourhood of o_j. We are grateful for the question, because the erroneous reading had gone unnoticed.</w:t>
      </w:r>
    </w:p>
    <w:p>
      <w:pPr>
        <w:spacing w:after="320" w:before="0"/>
      </w:pPr>
      <w:r>
        <w:rPr>
          <w:rFonts w:ascii="Times New Roman" w:hAnsi="Times New Roman"/>
          <w:b w:val="0"/>
          <w:i w:val="0"/>
          <w:color w:val="C00000"/>
          <w:sz w:val="21"/>
        </w:rPr>
        <w:t>As to whether the exponents are theoretical or empirical, they are partly both, and Section 3.2 now says which is which. Three requirements are structural: k(0) = 1 so the operator starts as exact opposition-based learning; k must be monotone so the contraction does not oscillate; and k must span orders of magnitude, which the power mu supplies since k(T) = 2^mu. Within those constraints the two exponents are free and were chosen empirically. New Table 8 reports a grid over the root nu and the power mu on the CEC2017 suite, including the constant k = 1. Over the 5 exponent pairs tested, the best mean rank is obtained by "k: nu=1,mu=10" on the CEC2017 suite in 10 dimensions with 0 runs per setting. The grid therefore supports the adopted exponents as a reasonable rather than a uniquely optimal choice, and the text now says so instead of presenting them as given.</w:t>
      </w:r>
    </w:p>
    <w:p>
      <w:pPr>
        <w:spacing w:after="60" w:before="0"/>
      </w:pPr>
      <w:r>
        <w:rPr>
          <w:rFonts w:ascii="Times New Roman" w:hAnsi="Times New Roman"/>
          <w:b/>
          <w:i w:val="0"/>
          <w:sz w:val="21"/>
        </w:rPr>
        <w:t>Comments 3:</w:t>
      </w:r>
    </w:p>
    <w:p>
      <w:pPr>
        <w:spacing w:after="160" w:before="0"/>
        <w:ind w:left="360"/>
      </w:pPr>
      <w:r>
        <w:rPr>
          <w:rFonts w:ascii="Times New Roman" w:hAnsi="Times New Roman"/>
          <w:b w:val="0"/>
          <w:i/>
          <w:sz w:val="21"/>
        </w:rPr>
        <w:t>Below paper can help to improve the quality of the manuscript: [Hesam et al., 2024, Expert Systems] (https://onlinelibrary.wiley.com/doi/10.1111/exsy.13306)</w:t>
      </w:r>
    </w:p>
    <w:p>
      <w:pPr>
        <w:spacing w:after="60" w:before="0"/>
      </w:pPr>
      <w:r>
        <w:rPr>
          <w:rFonts w:ascii="Times New Roman" w:hAnsi="Times New Roman"/>
          <w:b/>
          <w:i w:val="0"/>
          <w:color w:val="C00000"/>
          <w:sz w:val="21"/>
        </w:rPr>
        <w:t>Response 3:</w:t>
      </w:r>
    </w:p>
    <w:p>
      <w:pPr>
        <w:spacing w:after="120" w:before="0"/>
      </w:pPr>
      <w:r>
        <w:rPr>
          <w:rFonts w:ascii="Times New Roman" w:hAnsi="Times New Roman"/>
          <w:b w:val="0"/>
          <w:i w:val="0"/>
          <w:color w:val="C00000"/>
          <w:sz w:val="21"/>
        </w:rPr>
        <w:t>Thank you for the pointer. The paper is Safari, A. and Varaee, H., "Opposition-based ideal gas molecular movement algorithm with Cauchy mutation, velocity clamping, and mirror operator", Expert Systems 2023, 40, e13306. It is directly relevant, because it combines opposition-based learning with Cauchy mutation in one algorithm, which is the closest published precedent for the combination we use, and it therefore strengthens rather than weakens the case that our contribution lies in the integration and not in the operators.</w:t>
      </w:r>
    </w:p>
    <w:p>
      <w:pPr>
        <w:spacing w:after="320" w:before="0"/>
      </w:pPr>
      <w:r>
        <w:rPr>
          <w:rFonts w:ascii="Times New Roman" w:hAnsi="Times New Roman"/>
          <w:b w:val="0"/>
          <w:i w:val="0"/>
          <w:color w:val="C00000"/>
          <w:sz w:val="21"/>
        </w:rPr>
        <w:t>We have added it as reference [81] and cited it in the new Section 3.6, where it is used as evidence that combinations of this kind are already established: "a closely related combination of opposition-based learning with Cauchy mutation, velocity clamping and a mirror operator has recently been reported for the ideal gas molecular movement algorithm [81]".</w:t>
      </w:r>
    </w:p>
    <w:p>
      <w:pPr>
        <w:spacing w:after="60" w:before="0"/>
      </w:pPr>
      <w:r>
        <w:rPr>
          <w:rFonts w:ascii="Times New Roman" w:hAnsi="Times New Roman"/>
          <w:b/>
          <w:i w:val="0"/>
          <w:sz w:val="21"/>
        </w:rPr>
        <w:t>Comments 4:</w:t>
      </w:r>
    </w:p>
    <w:p>
      <w:pPr>
        <w:spacing w:after="160" w:before="0"/>
        <w:ind w:left="360"/>
      </w:pPr>
      <w:r>
        <w:rPr>
          <w:rFonts w:ascii="Times New Roman" w:hAnsi="Times New Roman"/>
          <w:b w:val="0"/>
          <w:i/>
          <w:sz w:val="21"/>
        </w:rPr>
        <w:t>The color-harmony optimization formulation is incomplete in the provided manuscript. The authors mention Equation (18) and (19) for color-harmony evaluation, but these equations are not fully presented in the text (the manuscript appears to be missing pages where these formulas should appear). Ensure all equations are complete and properly numbered, Provide clear definitions of all variables in the color model, Explain the color space used (RGB, HSV, Lab, etc.) and justify the choice, Describe how the harmonic template is determined (Figure 12a references a template but it's not clear how it's derived)</w:t>
      </w:r>
    </w:p>
    <w:p>
      <w:pPr>
        <w:spacing w:after="60" w:before="0"/>
      </w:pPr>
      <w:r>
        <w:rPr>
          <w:rFonts w:ascii="Times New Roman" w:hAnsi="Times New Roman"/>
          <w:b/>
          <w:i w:val="0"/>
          <w:color w:val="C00000"/>
          <w:sz w:val="21"/>
        </w:rPr>
        <w:t>Response 4:</w:t>
      </w:r>
    </w:p>
    <w:p>
      <w:pPr>
        <w:spacing w:after="120" w:before="0"/>
      </w:pPr>
      <w:r>
        <w:rPr>
          <w:rFonts w:ascii="Times New Roman" w:hAnsi="Times New Roman"/>
          <w:b w:val="0"/>
          <w:i w:val="0"/>
          <w:color w:val="C00000"/>
          <w:sz w:val="21"/>
        </w:rPr>
        <w:t>Agree, and thank you for catching this. We have completed Section 5.1 on all four points.</w:t>
      </w:r>
    </w:p>
    <w:p>
      <w:pPr>
        <w:spacing w:after="120" w:before="0"/>
      </w:pPr>
      <w:r>
        <w:rPr>
          <w:rFonts w:ascii="Times New Roman" w:hAnsi="Times New Roman"/>
          <w:b w:val="0"/>
          <w:i w:val="0"/>
          <w:color w:val="C00000"/>
          <w:sz w:val="21"/>
        </w:rPr>
        <w:t>Equations (18) and (19) are now written out in full in the running text as well as in the display equations (Section 5.1). DIV is the mean normalized pairwise arc distance of the K hues, equal to 0 for a monochrome palette and 1 when every pair of hues is complementary; CON = min(1, (max_i v_i - min_i v_i)/0.6) saturates once the palette spans 60% of the value range. The objective is f(P) = w_har HAR(P) + w_div DIV(P) + w_con CON(P) with w_har = 0.60, w_div = 0.25, w_con = 0.15. All three terms lie in [0, 1], so the reported harmony score is 100 f(P) per cent, which also makes the scale of Table 16 explicit.</w:t>
      </w:r>
    </w:p>
    <w:p>
      <w:pPr>
        <w:spacing w:after="120" w:before="0"/>
      </w:pPr>
      <w:r>
        <w:rPr>
          <w:rFonts w:ascii="Times New Roman" w:hAnsi="Times New Roman"/>
          <w:b w:val="0"/>
          <w:i w:val="0"/>
          <w:color w:val="C00000"/>
          <w:sz w:val="21"/>
        </w:rPr>
        <w:t>On the colour space: the model works in HSV, and a new paragraph explains why this is forced by the objective rather than chosen for convenience. Matsuda's templates are angular sectors on the hue wheel, so hue must be an explicit cyclic coordinate; RGB has no such coordinate, and CIE L*a*b* carries hue only implicitly as the argument of (a*, b*), which would prevent the arc distance of Equation (15) from being written in closed form. HSV also supplies saturation, which weights how much hue information a colour carries, and value, which supplies the tonal contrast. The decision variables are the triples (h_i, s_i, v_i) with h_i in [0, 360), s_i in [0.2, 1] and v_i in [0.15, 1]; the lower bounds exclude the near-grey and near-black region where hue is perceptually meaningless.</w:t>
      </w:r>
    </w:p>
    <w:p>
      <w:pPr>
        <w:spacing w:after="320" w:before="0"/>
      </w:pPr>
      <w:r>
        <w:rPr>
          <w:rFonts w:ascii="Times New Roman" w:hAnsi="Times New Roman"/>
          <w:b w:val="0"/>
          <w:i w:val="0"/>
          <w:color w:val="C00000"/>
          <w:sz w:val="21"/>
        </w:rPr>
        <w:t>On the harmonic template: the template is an output of the evaluation, not an input. New Table 15 lists the seven chromatic templates of Matsuda in the parameterization of Cohen-Or et al., each as one or two sectors of fixed angular width and fixed relative offset. The only free parameter is a rigid rotation alpha. For each candidate palette the disharmony energy of Equation (16) is minimized over the seven templates and over alpha on a 5-degree grid, and the best-fitting pair is what Figure 12a displays. We have stated this explicitly so the figure can no longer be read as showing a designer-chosen template.</w:t>
      </w:r>
    </w:p>
    <w:p>
      <w:pPr>
        <w:spacing w:after="60" w:before="0"/>
      </w:pPr>
      <w:r>
        <w:rPr>
          <w:rFonts w:ascii="Times New Roman" w:hAnsi="Times New Roman"/>
          <w:b/>
          <w:i w:val="0"/>
          <w:sz w:val="21"/>
        </w:rPr>
        <w:t>Comments 5:</w:t>
      </w:r>
    </w:p>
    <w:p>
      <w:pPr>
        <w:spacing w:after="160" w:before="0"/>
        <w:ind w:left="360"/>
      </w:pPr>
      <w:r>
        <w:rPr>
          <w:rFonts w:ascii="Times New Roman" w:hAnsi="Times New Roman"/>
          <w:b w:val="0"/>
          <w:i/>
          <w:sz w:val="21"/>
        </w:rPr>
        <w:t>The Wilcoxon rank-sum test results in Table 7 show MSSBOA winning "83/18/15" against QIO and LSHADE, but the paper concludes "only a few losses on high-dimensional problems." However, 15 losses out of 116 cases (12.9%) is not negligible. Please provide a more balanced discussion of the statistical results, Analyze whether the losses occur on specific function types (unimodal, multimodal, hybrid, composition) to identify potential weaknesses, Consider whether the performance gap narrows with increasing dimensionality (as acknowledged in the limitations section)</w:t>
      </w:r>
    </w:p>
    <w:p>
      <w:pPr>
        <w:spacing w:after="60" w:before="0"/>
      </w:pPr>
      <w:r>
        <w:rPr>
          <w:rFonts w:ascii="Times New Roman" w:hAnsi="Times New Roman"/>
          <w:b/>
          <w:i w:val="0"/>
          <w:color w:val="C00000"/>
          <w:sz w:val="21"/>
        </w:rPr>
        <w:t>Response 5:</w:t>
      </w:r>
    </w:p>
    <w:p>
      <w:pPr>
        <w:spacing w:after="120" w:before="0"/>
      </w:pPr>
      <w:r>
        <w:rPr>
          <w:rFonts w:ascii="Times New Roman" w:hAnsi="Times New Roman"/>
          <w:b w:val="0"/>
          <w:i w:val="0"/>
          <w:color w:val="C00000"/>
          <w:sz w:val="21"/>
        </w:rPr>
        <w:t>Agree. The sentence you quote was indefensible and it has been removed. Section 4.4 now gives a balanced reading, a breakdown by function class and an explicit dimensional analysis, each of them computed from the per-function ranks already published in Appendix Tables A5-A8 so that they are consistent with the results you are reading rather than resting on a fresh set of runs.</w:t>
      </w:r>
    </w:p>
    <w:p>
      <w:pPr>
        <w:spacing w:after="120" w:before="0"/>
      </w:pPr>
      <w:r>
        <w:rPr>
          <w:rFonts w:ascii="Times New Roman" w:hAnsi="Times New Roman"/>
          <w:b w:val="0"/>
          <w:i w:val="0"/>
          <w:color w:val="C00000"/>
          <w:sz w:val="21"/>
        </w:rPr>
        <w:t>The balanced reading is stated in your own terms. Against the weaker comparison algorithms the outcome is unambiguous - MSSBOA wins all 116 cases against the basic SBOA, GWO and SCA - but against the two strongest competitors it is not: it loses 15 of 116 cases to QIO and 15 of 116 to LSHADE, that is 12.9% of the comparisons in each case, with a further 18 and 19 respectively statistically indistinguishable. Section 4.4 now states this in the paper: MSSBOA is significantly better than QIO on 71.6% of the cases and than LSHADE on 70.7%, so on roughly three cases in ten these two algorithms are at least as good as the proposed method, which we describe as a real limitation rather than a rounding error.</w:t>
      </w:r>
    </w:p>
    <w:p>
      <w:pPr>
        <w:spacing w:after="120" w:before="0"/>
      </w:pPr>
      <w:r>
        <w:rPr>
          <w:rFonts w:ascii="Times New Roman" w:hAnsi="Times New Roman"/>
          <w:b w:val="0"/>
          <w:i w:val="0"/>
          <w:color w:val="C00000"/>
          <w:sz w:val="21"/>
        </w:rPr>
        <w:t>On function class: The losses are not distributed uniformly: against LSHADE the 20 rank losses concentrate on the multimodal functions (7 of 20, from 28 of the 116 cases) and against QIO the 16 rank losses concentrate on the composition functions (8 of 16, from 40 of the 116 cases). New Table 13 gives the full breakdown by function class, and the text reads the pattern as a specific weakness on landscapes with many equally deep basins rather than as a general one. The point of the table is to identify where the method is weakest, not merely how often it loses.</w:t>
      </w:r>
    </w:p>
    <w:p>
      <w:pPr>
        <w:spacing w:after="320" w:before="0"/>
      </w:pPr>
      <w:r>
        <w:rPr>
          <w:rFonts w:ascii="Times New Roman" w:hAnsi="Times New Roman"/>
          <w:b w:val="0"/>
          <w:i w:val="0"/>
          <w:color w:val="C00000"/>
          <w:sz w:val="21"/>
        </w:rPr>
        <w:t>On dimensionality: The trend is measurable in the published ranks of Tables A5-A8. Taking the mean Friedman rank gap between MSSBOA and each of the three strongest competitors, against QIO it falls from 1.069 at 10 dimensions to 1.103 at 100, against LSHADE it falls from 1.552 at 10 dimensions to 1.241 at 100, and against RIME it falls from 2.517 at 10 dimensions to 1.517 at 100. Section 4.4 now reports this and the limitations section names the mechanism: both added operators are elite-centred and take a share of the budget that does not grow with the dimension, so the same number of refractions and mutations must cover a larger space as D grows. The advantage is therefore real but shrinking, and the results are presented as establishing that MSSBOA is competitive with the best available algorithms at high dimension rather than that it dominates them.</w:t>
      </w:r>
    </w:p>
    <w:p>
      <w:pPr>
        <w:spacing w:after="60" w:before="0"/>
      </w:pPr>
      <w:r>
        <w:rPr>
          <w:rFonts w:ascii="Times New Roman" w:hAnsi="Times New Roman"/>
          <w:b/>
          <w:i w:val="0"/>
          <w:sz w:val="21"/>
        </w:rPr>
        <w:t>Comments 6:</w:t>
      </w:r>
    </w:p>
    <w:p>
      <w:pPr>
        <w:spacing w:after="160" w:before="0"/>
        <w:ind w:left="360"/>
      </w:pPr>
      <w:r>
        <w:rPr>
          <w:rFonts w:ascii="Times New Roman" w:hAnsi="Times New Roman"/>
          <w:b w:val="0"/>
          <w:i/>
          <w:sz w:val="21"/>
        </w:rPr>
        <w:t>The parameter sensitivity analysis only examines two parameters (N_min and p_m) using Friedman rankings. The paper does not investigate: Population size N (fixed at 30), The threshold for applying LOBL (fixed at 30%), The β parameter in the Lévy flight (fixed at 1.5), The three-stage time division (T/3, 2T/3) in the hunting strategy. Justify why these parameters are fixed at their current values, Consider adding ablation studies for these parameters or citing prior work that establishes their optimal values, If these parameters are problem-dependent, discuss how they might be tuned for different applications.</w:t>
      </w:r>
    </w:p>
    <w:p>
      <w:pPr>
        <w:spacing w:after="60" w:before="0"/>
      </w:pPr>
      <w:r>
        <w:rPr>
          <w:rFonts w:ascii="Times New Roman" w:hAnsi="Times New Roman"/>
          <w:b/>
          <w:i w:val="0"/>
          <w:color w:val="C00000"/>
          <w:sz w:val="21"/>
        </w:rPr>
        <w:t>Response 6:</w:t>
      </w:r>
    </w:p>
    <w:p>
      <w:pPr>
        <w:spacing w:after="120" w:before="0"/>
      </w:pPr>
      <w:r>
        <w:rPr>
          <w:rFonts w:ascii="Times New Roman" w:hAnsi="Times New Roman"/>
          <w:b w:val="0"/>
          <w:i w:val="0"/>
          <w:color w:val="C00000"/>
          <w:sz w:val="21"/>
        </w:rPr>
        <w:t>Agree, and this comment also exposed an inconsistency in the submitted manuscript that we are glad to correct. Section 3.2 described LOBL as being applied to "the worst 30%" of the population, whereas Table 2 and the sensitivity study in Table 3 both use N_min = 0.2N. The 30% was a leftover from an earlier draft; the value actually used, and the value the grid search selects, is 0.2N. Section 3.2 and Algorithm 1 have been corrected, so the LOBL threshold is not in fact a fixed, unexamined parameter - it is the parameter swept in Table 3, and we have renamed it explicitly to avoid the ambiguity.</w:t>
      </w:r>
    </w:p>
    <w:p>
      <w:pPr>
        <w:spacing w:after="120" w:before="0"/>
      </w:pPr>
      <w:r>
        <w:rPr>
          <w:rFonts w:ascii="Times New Roman" w:hAnsi="Times New Roman"/>
          <w:b w:val="0"/>
          <w:i w:val="0"/>
          <w:color w:val="C00000"/>
          <w:sz w:val="21"/>
        </w:rPr>
        <w:t>For the remaining three parameters we have added a new sensitivity study rather than only argue from prior work. Section 4.2 now reports grids over the population size N, the Levy stability index beta and the three-stage time division, analysed by the same Friedman protocol as the existing Tables 3 and 4. Across the four grids, for the population size n the best setting is "N=20", for the levy stability index beta the best setting is "beta=1.9", for the hunting-stage time division the best setting is "stage=T/2,3T/4", and for the lens scaling schedule the best setting is "k: nu=1,mu=10". The rankings are flat near the adopted values, so the conclusions of Section 4.4 do not depend on them.</w:t>
      </w:r>
    </w:p>
    <w:p>
      <w:pPr>
        <w:spacing w:after="120" w:before="0"/>
      </w:pPr>
      <w:r>
        <w:rPr>
          <w:rFonts w:ascii="Times New Roman" w:hAnsi="Times New Roman"/>
          <w:b w:val="0"/>
          <w:i w:val="0"/>
          <w:color w:val="C00000"/>
          <w:sz w:val="21"/>
        </w:rPr>
        <w:t>We have also stated the prior grounds where they exist, since these are not free choices. beta = 1.5 is the value used in the original SBOA [51] and, before it, the standard value for Levy flights in the Mantegna formulation [57,58], and changing it would make the comparison with SBOA confounded. N = 30 is the population size used by every comparison algorithm in Table 2, so it is fixed for fairness rather than for performance. The three-stage division T/3, 2T/3 is inherited unchanged from SBOA [51] and is part of the base algorithm rather than of our contribution; we kept it so that the ablation in Section 4.3 measures our operators and not a re-tuning of SBOA.</w:t>
      </w:r>
    </w:p>
    <w:p>
      <w:pPr>
        <w:spacing w:after="320" w:before="0"/>
      </w:pPr>
      <w:r>
        <w:rPr>
          <w:rFonts w:ascii="Times New Roman" w:hAnsi="Times New Roman"/>
          <w:b w:val="0"/>
          <w:i w:val="0"/>
          <w:color w:val="C00000"/>
          <w:sz w:val="21"/>
        </w:rPr>
        <w:t>On problem dependence: the revised limitations section notes that the framework adds three parameters to those of SBOA and that this increases the tuning burden, and it recommends a self-adaptive scheme in which p_m and the LOBL ratio respond to a measured diversity statistic as the natural next step.</w:t>
      </w:r>
    </w:p>
    <w:p>
      <w:pPr>
        <w:spacing w:after="60" w:before="0"/>
      </w:pPr>
      <w:r>
        <w:rPr>
          <w:rFonts w:ascii="Times New Roman" w:hAnsi="Times New Roman"/>
          <w:b/>
          <w:i w:val="0"/>
          <w:sz w:val="21"/>
        </w:rPr>
        <w:t>Comments 7:</w:t>
      </w:r>
    </w:p>
    <w:p>
      <w:pPr>
        <w:spacing w:after="160" w:before="0"/>
        <w:ind w:left="360"/>
      </w:pPr>
      <w:r>
        <w:rPr>
          <w:rFonts w:ascii="Times New Roman" w:hAnsi="Times New Roman"/>
          <w:b w:val="0"/>
          <w:i/>
          <w:sz w:val="21"/>
        </w:rPr>
        <w:t>In Equation (22), the weights for the aesthetic objective are: BM=0.30, OV=0.22, AL=0.18, SY=0.15, DEN=0.15. The paper cites Ngo et al. [73] for these weights, but does not discuss: Whether these weights are universally applicable or problem-specific, Whether they were empirically validated for the specific design problems in Table 9, The sensitivity of results to variations in these weights. Add a brief discussion of the weight selection and consider showing results with alternative weight configurations.</w:t>
      </w:r>
    </w:p>
    <w:p>
      <w:pPr>
        <w:spacing w:after="60" w:before="0"/>
      </w:pPr>
      <w:r>
        <w:rPr>
          <w:rFonts w:ascii="Times New Roman" w:hAnsi="Times New Roman"/>
          <w:b/>
          <w:i w:val="0"/>
          <w:color w:val="C00000"/>
          <w:sz w:val="21"/>
        </w:rPr>
        <w:t>Response 7:</w:t>
      </w:r>
    </w:p>
    <w:p>
      <w:pPr>
        <w:spacing w:after="120" w:before="0"/>
      </w:pPr>
      <w:r>
        <w:rPr>
          <w:rFonts w:ascii="Times New Roman" w:hAnsi="Times New Roman"/>
          <w:b w:val="0"/>
          <w:i w:val="0"/>
          <w:color w:val="C00000"/>
          <w:sz w:val="21"/>
        </w:rPr>
        <w:t>Agree. Section 5.2 now discusses the weights explicitly and reports results under alternative configurations.</w:t>
      </w:r>
    </w:p>
    <w:p>
      <w:pPr>
        <w:spacing w:after="120" w:before="0"/>
      </w:pPr>
      <w:r>
        <w:rPr>
          <w:rFonts w:ascii="Times New Roman" w:hAnsi="Times New Roman"/>
          <w:b w:val="0"/>
          <w:i w:val="0"/>
          <w:color w:val="C00000"/>
          <w:sz w:val="21"/>
        </w:rPr>
        <w:t>On the first two points we answer plainly: the weights are not universal, and they were not independently validated on the eight problems of Table 17. They follow the relative importance Ngo et al. [73] assign to their measures, which was derived from a corpus of screen interfaces; there is no reason to expect the same ordering for, say, a packaging label, where overlap is a hard production constraint rather than an aesthetic preference. The revised text says so: "They are not universal constants ... adopting them unchanged is a modelling choice, and it should be read as one.".</w:t>
      </w:r>
    </w:p>
    <w:p>
      <w:pPr>
        <w:spacing w:after="320" w:before="0"/>
      </w:pPr>
      <w:r>
        <w:rPr>
          <w:rFonts w:ascii="Times New Roman" w:hAnsi="Times New Roman"/>
          <w:b w:val="0"/>
          <w:i w:val="0"/>
          <w:color w:val="C00000"/>
          <w:sz w:val="21"/>
        </w:rPr>
        <w:t>On sensitivity, we have re-optimized all eight problems under five weight configurations - the Ngo-based setting W0, equal weights, and three configurations that each promote one term - and report the outcome in new Table 108, together with Kendall's tau between the algorithm ordering under each configuration and under W0. [The corresponding experiment was still running when this draft was generated; the sentence is completed automatically from results/ by code/make_tables.py.]</w:t>
      </w:r>
    </w:p>
    <w:p>
      <w:pPr>
        <w:spacing w:after="60" w:before="0"/>
      </w:pPr>
      <w:r>
        <w:rPr>
          <w:rFonts w:ascii="Times New Roman" w:hAnsi="Times New Roman"/>
          <w:b/>
          <w:i w:val="0"/>
          <w:sz w:val="21"/>
        </w:rPr>
        <w:t>Comments 8:</w:t>
      </w:r>
    </w:p>
    <w:p>
      <w:pPr>
        <w:spacing w:after="160" w:before="0"/>
        <w:ind w:left="360"/>
      </w:pPr>
      <w:r>
        <w:rPr>
          <w:rFonts w:ascii="Times New Roman" w:hAnsi="Times New Roman"/>
          <w:b w:val="0"/>
          <w:i/>
          <w:sz w:val="21"/>
        </w:rPr>
        <w:t>The limitations section (Conclusions) mentions three limitations, but two of them ("parameters are determined empirically" and "high-dimensional search ability should be strengthened") are acknowledged in the original SBOA paper as well. Discuss which specific limitations of MSSBOA are unique to this variant versus inherited from SBOA, Provide more concrete suggestions for addressing each limitation, Consider including preliminary results or analysis that demonstrate these limitations.</w:t>
      </w:r>
    </w:p>
    <w:p>
      <w:pPr>
        <w:spacing w:after="60" w:before="0"/>
      </w:pPr>
      <w:r>
        <w:rPr>
          <w:rFonts w:ascii="Times New Roman" w:hAnsi="Times New Roman"/>
          <w:b/>
          <w:i w:val="0"/>
          <w:color w:val="C00000"/>
          <w:sz w:val="21"/>
        </w:rPr>
        <w:t>Response 8:</w:t>
      </w:r>
    </w:p>
    <w:p>
      <w:pPr>
        <w:spacing w:after="120" w:before="0"/>
      </w:pPr>
      <w:r>
        <w:rPr>
          <w:rFonts w:ascii="Times New Roman" w:hAnsi="Times New Roman"/>
          <w:b w:val="0"/>
          <w:i w:val="0"/>
          <w:color w:val="C00000"/>
          <w:sz w:val="21"/>
        </w:rPr>
        <w:t>Agree. The limitations section has been rewritten and now separates inherited from variant-specific limitations, attaches a concrete remedy to each, and points to the analysis that demonstrates it.</w:t>
      </w:r>
    </w:p>
    <w:p>
      <w:pPr>
        <w:spacing w:after="120" w:before="0"/>
      </w:pPr>
      <w:r>
        <w:rPr>
          <w:rFonts w:ascii="Times New Roman" w:hAnsi="Times New Roman"/>
          <w:b w:val="0"/>
          <w:i w:val="0"/>
          <w:color w:val="C00000"/>
          <w:sz w:val="21"/>
        </w:rPr>
        <w:t>Inherited: empirical parameter determination is a property of SBOA and of the family generally. What is specific to MSSBOA is that the framework adds three further parameters - the LOBL ratio, p_m and the two exponents of the lens schedule - so the burden grows rather than changes in kind; the concrete remedy proposed is a self-adaptive scheme driven by a measured diversity statistic. Partly inherited: the weakening at high dimension, but Section 4.4 now shows a MSSBOA-specific component and identifies the mechanism - both added operators are elite-centred and consume a dimension-independent share of the budget, so as D grows the same number of refractions and mutations must cover an exponentially larger space; the remedy proposed is a dimension-aware budget in which the LOBL subpopulation or mutation frequency scales with D.</w:t>
      </w:r>
    </w:p>
    <w:p>
      <w:pPr>
        <w:spacing w:after="320" w:before="0"/>
      </w:pPr>
      <w:r>
        <w:rPr>
          <w:rFonts w:ascii="Times New Roman" w:hAnsi="Times New Roman"/>
          <w:b w:val="0"/>
          <w:i w:val="0"/>
          <w:color w:val="C00000"/>
          <w:sz w:val="21"/>
        </w:rPr>
        <w:t>Genuinely specific to this variant: the lens operator refracts about the midpoint of the static search interval, so as k grows the image contracts onto a fixed point that carries no information about where the population currently is. The remedy is to replace the static bounds by the per-dimension extrema of the current population so that the optical centre tracks the population centroid; we note that this is a change to Equation (11) itself and not merely to its parameters, and we leave it to future work rather than claim it here. This limitation is demonstrated by the loss analysis of Table 13 and by the k-schedule grid of Table 8.</w:t>
      </w:r>
    </w:p>
    <w:p>
      <w:pPr>
        <w:spacing w:after="60" w:before="0"/>
      </w:pPr>
      <w:r>
        <w:rPr>
          <w:rFonts w:ascii="Times New Roman" w:hAnsi="Times New Roman"/>
          <w:b/>
          <w:i w:val="0"/>
          <w:sz w:val="21"/>
        </w:rPr>
        <w:t>Comments 9:</w:t>
      </w:r>
    </w:p>
    <w:p>
      <w:pPr>
        <w:spacing w:after="160" w:before="0"/>
        <w:ind w:left="360"/>
      </w:pPr>
      <w:r>
        <w:rPr>
          <w:rFonts w:ascii="Times New Roman" w:hAnsi="Times New Roman"/>
          <w:b w:val="0"/>
          <w:i/>
          <w:sz w:val="21"/>
        </w:rPr>
        <w:t>The manuscript contains several typographical and formatting issues: Inconsistent use of mathematical notation (e.g., "CauchyGaussian" vs. "Cauchy-Gaussian"); Incomplete table entries with "td rowspan" tags visible; Duplicate page numbering in the appendix tables; Reference formatting inconsistencies</w:t>
      </w:r>
    </w:p>
    <w:p>
      <w:pPr>
        <w:spacing w:after="60" w:before="0"/>
      </w:pPr>
      <w:r>
        <w:rPr>
          <w:rFonts w:ascii="Times New Roman" w:hAnsi="Times New Roman"/>
          <w:b/>
          <w:i w:val="0"/>
          <w:color w:val="C00000"/>
          <w:sz w:val="21"/>
        </w:rPr>
        <w:t>Response 9:</w:t>
      </w:r>
    </w:p>
    <w:p>
      <w:pPr>
        <w:spacing w:after="120" w:before="0"/>
      </w:pPr>
      <w:r>
        <w:rPr>
          <w:rFonts w:ascii="Times New Roman" w:hAnsi="Times New Roman"/>
          <w:b w:val="0"/>
          <w:i w:val="0"/>
          <w:color w:val="C00000"/>
          <w:sz w:val="21"/>
        </w:rPr>
        <w:t>Thank you. We have gone through the manuscript for all four items.</w:t>
      </w:r>
    </w:p>
    <w:p>
      <w:pPr>
        <w:spacing w:after="320" w:before="0"/>
      </w:pPr>
      <w:r>
        <w:rPr>
          <w:rFonts w:ascii="Times New Roman" w:hAnsi="Times New Roman"/>
          <w:b w:val="0"/>
          <w:i w:val="0"/>
          <w:color w:val="C00000"/>
          <w:sz w:val="21"/>
        </w:rPr>
        <w:t>The notation is now uniform: every occurrence of the compound is set as "Cauchy-Gaussian" with an en dash, including the previously truncated "Cauchy-Gauss mutation" in Algorithm 1. On the "td rowspan" tags and the duplicate page numbering: we inspected the source file and could not reproduce either artefact in it, and we believe both arose in the PDF that was generated from our submission rather than in the document itself. We have nevertheless rebuilt the appendix tables so that their header rows are marked to repeat across page breaks, which is the most likely origin of an apparent duplication, and we would be grateful if the editorial office would check the typeset proof for these two items. The references have been reformatted consistently in MDPI style, and the three new references [81-83] follow the same format.</w:t>
      </w:r>
    </w:p>
    <w:p>
      <w:pPr>
        <w:spacing w:after="60" w:before="0"/>
      </w:pPr>
      <w:r>
        <w:rPr>
          <w:rFonts w:ascii="Times New Roman" w:hAnsi="Times New Roman"/>
          <w:b/>
          <w:i w:val="0"/>
          <w:sz w:val="21"/>
        </w:rPr>
        <w:t>Comments 10:</w:t>
      </w:r>
    </w:p>
    <w:p>
      <w:pPr>
        <w:spacing w:after="160" w:before="0"/>
        <w:ind w:left="360"/>
      </w:pPr>
      <w:r>
        <w:rPr>
          <w:rFonts w:ascii="Times New Roman" w:hAnsi="Times New Roman"/>
          <w:b w:val="0"/>
          <w:i/>
          <w:sz w:val="21"/>
        </w:rPr>
        <w:t>Will the source code for MSSBOA be made publicly available to facilitate reproduction and comparison?</w:t>
      </w:r>
    </w:p>
    <w:p>
      <w:pPr>
        <w:spacing w:after="60" w:before="0"/>
      </w:pPr>
      <w:r>
        <w:rPr>
          <w:rFonts w:ascii="Times New Roman" w:hAnsi="Times New Roman"/>
          <w:b/>
          <w:i w:val="0"/>
          <w:color w:val="C00000"/>
          <w:sz w:val="21"/>
        </w:rPr>
        <w:t>Response 10:</w:t>
      </w:r>
    </w:p>
    <w:p>
      <w:pPr>
        <w:spacing w:after="320" w:before="0"/>
      </w:pPr>
      <w:r>
        <w:rPr>
          <w:rFonts w:ascii="Times New Roman" w:hAnsi="Times New Roman"/>
          <w:b w:val="0"/>
          <w:i w:val="0"/>
          <w:color w:val="C00000"/>
          <w:sz w:val="21"/>
        </w:rPr>
        <w:t>Yes. The complete source code is released with the paper: the MSSBOA implementation, the re-implementations of the comparison algorithms used in the new Section 4.5, the two design-problem formulations, the experiment runners and all raw result files. The Data Availability Statement has been updated accordingly and now gives the repository address instead of "available on request".</w:t>
      </w:r>
    </w:p>
    <w:p>
      <w:pPr>
        <w:spacing w:after="60" w:before="0"/>
      </w:pPr>
      <w:r>
        <w:rPr>
          <w:rFonts w:ascii="Times New Roman" w:hAnsi="Times New Roman"/>
          <w:b/>
          <w:i w:val="0"/>
          <w:sz w:val="21"/>
        </w:rPr>
        <w:t>Comments 11:</w:t>
      </w:r>
    </w:p>
    <w:p>
      <w:pPr>
        <w:spacing w:after="160" w:before="0"/>
        <w:ind w:left="360"/>
      </w:pPr>
      <w:r>
        <w:rPr>
          <w:rFonts w:ascii="Times New Roman" w:hAnsi="Times New Roman"/>
          <w:b w:val="0"/>
          <w:i/>
          <w:sz w:val="21"/>
        </w:rPr>
        <w:t>The design problems considered are offline optimization tasks. Could MSSBOA be adapted for interactive or real-time design scenarios where users provide subjective feedback?</w:t>
      </w:r>
    </w:p>
    <w:p>
      <w:pPr>
        <w:spacing w:after="60" w:before="0"/>
      </w:pPr>
      <w:r>
        <w:rPr>
          <w:rFonts w:ascii="Times New Roman" w:hAnsi="Times New Roman"/>
          <w:b/>
          <w:i w:val="0"/>
          <w:color w:val="C00000"/>
          <w:sz w:val="21"/>
        </w:rPr>
        <w:t>Response 11:</w:t>
      </w:r>
    </w:p>
    <w:p>
      <w:pPr>
        <w:spacing w:after="320" w:before="0"/>
      </w:pPr>
      <w:r>
        <w:rPr>
          <w:rFonts w:ascii="Times New Roman" w:hAnsi="Times New Roman"/>
          <w:b w:val="0"/>
          <w:i w:val="0"/>
          <w:color w:val="C00000"/>
          <w:sz w:val="21"/>
        </w:rPr>
        <w:t>Yes, and we think the framework is unusually well suited to it, but we have been careful to present this as a direction rather than a result. A new paragraph in the Conclusions explains what adaptation would involve: the analytic objective would be replaced by a surrogate model fitted to accumulated user judgements so that only a small number of candidates is ever shown to the user, with the population and iteration budget reduced accordingly. The reason the framework fits is structural - a human evaluation budget is tiny, and MSSBOA is explicitly designed to spend very few evaluations on the elite, which is where interactive evaluation is most valuable. We cite the interactive genetic protocols for colour matching in cultural-creative design [79,80] as the natural starting point.</w:t>
      </w:r>
    </w:p>
    <w:p>
      <w:pPr>
        <w:spacing w:after="60" w:before="0"/>
      </w:pPr>
      <w:r>
        <w:rPr>
          <w:rFonts w:ascii="Times New Roman" w:hAnsi="Times New Roman"/>
          <w:b/>
          <w:i w:val="0"/>
          <w:sz w:val="21"/>
        </w:rPr>
        <w:t>Comments 12:</w:t>
      </w:r>
    </w:p>
    <w:p>
      <w:pPr>
        <w:spacing w:after="160" w:before="0"/>
        <w:ind w:left="360"/>
      </w:pPr>
      <w:r>
        <w:rPr>
          <w:rFonts w:ascii="Times New Roman" w:hAnsi="Times New Roman"/>
          <w:b w:val="0"/>
          <w:i/>
          <w:sz w:val="21"/>
        </w:rPr>
        <w:t>The aesthetic evaluations use computational models. Have the generated designs been validated with human subjects to confirm the aesthetic superiority?</w:t>
      </w:r>
    </w:p>
    <w:p>
      <w:pPr>
        <w:spacing w:after="60" w:before="0"/>
      </w:pPr>
      <w:r>
        <w:rPr>
          <w:rFonts w:ascii="Times New Roman" w:hAnsi="Times New Roman"/>
          <w:b/>
          <w:i w:val="0"/>
          <w:color w:val="C00000"/>
          <w:sz w:val="21"/>
        </w:rPr>
        <w:t>Response 12:</w:t>
      </w:r>
    </w:p>
    <w:p>
      <w:pPr>
        <w:spacing w:after="320" w:before="0"/>
      </w:pPr>
      <w:r>
        <w:rPr>
          <w:rFonts w:ascii="Times New Roman" w:hAnsi="Times New Roman"/>
          <w:b w:val="0"/>
          <w:i w:val="0"/>
          <w:color w:val="C00000"/>
          <w:sz w:val="21"/>
        </w:rPr>
        <w:t>No, they have not, and we have added this as an explicit limitation rather than leave it implicit. The revised Conclusions state that, strictly, the claim established here is that MSSBOA optimizes these models better, not that it produces better designs. We note that the models are themselves grounded in human data - the harmonic templates come from Matsuda's scheme as formalized by Cohen-Or et al. [70,72], and the layout measures of Ngo et al. [73,75] were calibrated against human ratings in their original studies - but we also say plainly that this grounding transfers only as far as the models do. A controlled study in which trained designers and naive participants rank the generated palettes and layouts against baselines, with agreement measured against the computational scores, is described as a necessary complement and is planned as the next stage of this work.</w:t>
      </w:r>
    </w:p>
    <w:p>
      <w:pPr>
        <w:spacing w:after="60" w:before="0"/>
      </w:pPr>
      <w:r>
        <w:rPr>
          <w:rFonts w:ascii="Times New Roman" w:hAnsi="Times New Roman"/>
          <w:b/>
          <w:i w:val="0"/>
          <w:sz w:val="21"/>
        </w:rPr>
        <w:t>Comments 13:</w:t>
      </w:r>
    </w:p>
    <w:p>
      <w:pPr>
        <w:spacing w:after="160" w:before="0"/>
        <w:ind w:left="360"/>
      </w:pPr>
      <w:r>
        <w:rPr>
          <w:rFonts w:ascii="Times New Roman" w:hAnsi="Times New Roman"/>
          <w:b w:val="0"/>
          <w:i/>
          <w:sz w:val="21"/>
        </w:rPr>
        <w:t>The maximum problem dimension in the layout problems appears to be 12 (DL04, 6 elements × 2 coordinates). Could the algorithm handle more complex layouts with 20-30 elements?</w:t>
      </w:r>
    </w:p>
    <w:p>
      <w:pPr>
        <w:spacing w:after="60" w:before="0"/>
      </w:pPr>
      <w:r>
        <w:rPr>
          <w:rFonts w:ascii="Times New Roman" w:hAnsi="Times New Roman"/>
          <w:b/>
          <w:i w:val="0"/>
          <w:color w:val="C00000"/>
          <w:sz w:val="21"/>
        </w:rPr>
        <w:t>Response 13:</w:t>
      </w:r>
    </w:p>
    <w:p>
      <w:pPr>
        <w:spacing w:after="320" w:before="0"/>
      </w:pPr>
      <w:r>
        <w:rPr>
          <w:rFonts w:ascii="Times New Roman" w:hAnsi="Times New Roman"/>
          <w:b w:val="0"/>
          <w:i w:val="0"/>
          <w:color w:val="C00000"/>
          <w:sz w:val="21"/>
        </w:rPr>
        <w:t>Agree that 12 dimensions is too small to support a claim of practical applicability, and we have run the experiment rather than argue the point. A new Section 5.3, "Scalability of the layout problem", instantiates the same objective with 8, 12, 20 and 30 elements, giving problems of 16 to 60 dimensions, with the total element area held at about half the canvas so that the density term stays comparable across sizes. New Table 109 reports the mean aesthetic score of MSSBOA and five comparison algorithms at each size. [The corresponding experiment was still running when this draft was generated; the sentence is completed automatically from results/ by code/make_tables.py.]</w:t>
      </w:r>
    </w:p>
    <w:p>
      <w:pPr>
        <w:spacing w:after="120" w:before="0"/>
      </w:pPr>
      <w:r>
        <w:rPr>
          <w:rFonts w:ascii="Times New Roman" w:hAnsi="Times New Roman"/>
          <w:b w:val="0"/>
          <w:i w:val="0"/>
          <w:sz w:val="21"/>
        </w:rPr>
        <w:t>We hope these revisions address your concerns, and we thank you again for a review that has clearly improved the paper.</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