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3</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One change affects more than one reply and is worth stating before the point-by-point responses. Because two reviewers asked for the source code to be released, a complete reference implementation has been written from the equations of Section 3 and is published with the article. The new comparisons requested by Reviewers 2 and 3 were produced with it, and the new Section 4.5 states plainly that its absolute values are not directly comparable with those of the tables carried over from the submitted version, which are unchanged, so that no reader can mistake one set of numbers for the other. Our point-by-point responses follow; every location is given by section and paragraph of the colour-marked revised manuscript, since page numbers shift once the new tables and figures are typeset. All changes made in response to your comments are marked in GREEN in the revised manuscript. Changes prompted by Reviewer 1 are in red and those prompted by Reviewer 2 are in blue, so that the three sets of revisions can be told apart at a glance.</w:t>
      </w:r>
    </w:p>
    <w:p>
      <w:pPr>
        <w:spacing w:after="320" w:before="0"/>
      </w:pPr>
      <w:r>
        <w:rPr>
          <w:rFonts w:ascii="Times New Roman" w:hAnsi="Times New Roman"/>
          <w:b w:val="0"/>
          <w:i/>
          <w:color w:val="00A033"/>
          <w:sz w:val="21"/>
        </w:rPr>
        <w:t>Colour key used in the revised manuscript: Reviewer 1 = red, Reviewer 2 = blue, Reviewer 3 = green. Your revisions are the ones in green.</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It is stated that the best performance was achieved through the simultaneous use of the three proposed methods. However, the individual contribution of each method to the algorithm must also be clearly demonstrated. How does the algorithm's performance change when these methods are applied separately? Have the three different results obtained by using each strategy on its own been compared? Presenting an ablation analysis in this context would facilitate a clearer understanding of the contribution of the proposed methods.</w:t>
      </w:r>
    </w:p>
    <w:p>
      <w:pPr>
        <w:spacing w:after="60" w:before="0"/>
      </w:pPr>
      <w:r>
        <w:rPr>
          <w:rFonts w:ascii="Times New Roman" w:hAnsi="Times New Roman"/>
          <w:b/>
          <w:i w:val="0"/>
          <w:color w:val="00A033"/>
          <w:sz w:val="21"/>
        </w:rPr>
        <w:t>Response 1:</w:t>
      </w:r>
    </w:p>
    <w:p>
      <w:pPr>
        <w:spacing w:after="120" w:before="0"/>
      </w:pPr>
      <w:r>
        <w:rPr>
          <w:rFonts w:ascii="Times New Roman" w:hAnsi="Times New Roman"/>
          <w:b w:val="0"/>
          <w:i w:val="0"/>
          <w:color w:val="00A033"/>
          <w:sz w:val="21"/>
        </w:rPr>
        <w:t>Thank you for this comment. An ablation of exactly this kind was in fact present in the submitted version - Section 4.3, Tables 9 and 10 and Figure 6 report SBOA-GPSI, SBOA-LOBL and SBOA-ACGM, each adding one strategy to the basic SBOA, over four dimensions, with the full per-function statistics in Appendix Tables A1-A4. We take from your comment that this was not signposted clearly enough, and that is a fair criticism of the writing rather than of the experiment.</w:t>
      </w:r>
    </w:p>
    <w:p>
      <w:pPr>
        <w:spacing w:after="120" w:before="0"/>
      </w:pPr>
      <w:r>
        <w:rPr>
          <w:rFonts w:ascii="Times New Roman" w:hAnsi="Times New Roman"/>
          <w:b w:val="0"/>
          <w:i w:val="0"/>
          <w:color w:val="00A033"/>
          <w:sz w:val="21"/>
        </w:rPr>
        <w:t>Section 4.3 has therefore been rewritten to say explicitly what the ablation establishes and what it does not. Two paragraphs have been added, marked in green: the first states that Tables 9 and 10 isolate each strategy by adding it alone to the basic SBOA, so that what they measure is the individual contribution of GPSI, LOBL and ACGM against a common baseline, and that they do not measure the four intermediate pairings; the second answers the question your comment 2 raises, which single-strategy ablation cannot answer, from the structure of the framework. We would rather be precise about the scope of the experiment than let the reader infer a stronger claim than it supports.</w:t>
      </w:r>
    </w:p>
    <w:p>
      <w:pPr>
        <w:spacing w:after="320" w:before="0"/>
      </w:pPr>
      <w:r>
        <w:rPr>
          <w:rFonts w:ascii="Times New Roman" w:hAnsi="Times New Roman"/>
          <w:b w:val="0"/>
          <w:i w:val="0"/>
          <w:color w:val="00A033"/>
          <w:sz w:val="21"/>
        </w:rPr>
        <w:t>We should be equally direct about what we have not added. A complete 2^3 factorial over the eight combinations would settle the interaction question empirically, and we considered including one. We have not, because it could only have been produced with the independent reference implementation released with this article - the implementation used for the submitted experiments could not be published - and placing its numbers beside Tables 9 to 7, which come from the original code, would put two non-comparable sets of results in the same section. Section 4.3 therefore names the factorial design as the natural next step rather than reporting one, and Section 4.5, where the reference implementation is used, carries an explicit note on its comparability.</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It should be clarified whether the decision to use the three methods together is based on the results obtained from the individual experiments in question. In other words, the rationale for using the methods in combination and the complementary interaction between them should be set out in greater detail.</w:t>
      </w:r>
    </w:p>
    <w:p>
      <w:pPr>
        <w:spacing w:after="60" w:before="0"/>
      </w:pPr>
      <w:r>
        <w:rPr>
          <w:rFonts w:ascii="Times New Roman" w:hAnsi="Times New Roman"/>
          <w:b/>
          <w:i w:val="0"/>
          <w:color w:val="00A033"/>
          <w:sz w:val="21"/>
        </w:rPr>
        <w:t>Response 2:</w:t>
      </w:r>
    </w:p>
    <w:p>
      <w:pPr>
        <w:spacing w:after="120" w:before="0"/>
      </w:pPr>
      <w:r>
        <w:rPr>
          <w:rFonts w:ascii="Times New Roman" w:hAnsi="Times New Roman"/>
          <w:b w:val="0"/>
          <w:i w:val="0"/>
          <w:color w:val="00A033"/>
          <w:sz w:val="21"/>
        </w:rPr>
        <w:t>Agree, and this is the more penetrating of the two questions, because a set of individually beneficial operators need not be beneficial together. As explained in our reply to your comment 1, we answer it from the design of the framework rather than from an enumeration of the eight combinations, and we say so in the paper rather than leaving the reader to assume the enumeration was done.</w:t>
      </w:r>
    </w:p>
    <w:p>
      <w:pPr>
        <w:spacing w:after="320" w:before="0"/>
      </w:pPr>
      <w:r>
        <w:rPr>
          <w:rFonts w:ascii="Times New Roman" w:hAnsi="Times New Roman"/>
          <w:b w:val="0"/>
          <w:i w:val="0"/>
          <w:color w:val="00A033"/>
          <w:sz w:val="21"/>
        </w:rPr>
        <w:t>The rationale is now set out explicitly. New Section 3.6 explains why the three operators are expected to be complementary: they act on disjoint parts of the population and at different points of the iteration. LOBL is applied only to the inferior individuals, so it restores diversity where it has been lost without being able to displace the elite; ACGM is applied only to the elite, which is the single individual that both SBOA phases read from and that neither can perturb; and GPSI acts once, before either operator runs. Because their domains do not overlap, the operators cannot undo one another's work, which is the mechanism by which a combination can be more than the sum of its parts.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use of the CEC2017 test functions is of great importance in terms of evaluating the fundamental optimisation performance of the developed algorithm. However, in order to demonstrate more clearly the position of the proposed method within the current literature, it is recommended that the results be compared with those of the MS-TSA and I-CPA algorithms proposed in recent years.</w:t>
      </w:r>
    </w:p>
    <w:p>
      <w:pPr>
        <w:spacing w:after="60" w:before="0"/>
      </w:pPr>
      <w:r>
        <w:rPr>
          <w:rFonts w:ascii="Times New Roman" w:hAnsi="Times New Roman"/>
          <w:b/>
          <w:i w:val="0"/>
          <w:color w:val="00A033"/>
          <w:sz w:val="21"/>
        </w:rPr>
        <w:t>Response 3:</w:t>
      </w:r>
    </w:p>
    <w:p>
      <w:pPr>
        <w:spacing w:after="120" w:before="0"/>
      </w:pPr>
      <w:r>
        <w:rPr>
          <w:rFonts w:ascii="Times New Roman" w:hAnsi="Times New Roman"/>
          <w:b w:val="0"/>
          <w:i w:val="0"/>
          <w:color w:val="00A033"/>
          <w:sz w:val="21"/>
        </w:rPr>
        <w:t>Agree, and thank you for naming specific comparators. Both have been added to the new Section 4.5. MS-TSA is Beskirli, Dag and Kiran, "A tree seed algorithm with multi-strategy for parameter estimation of solar photovoltaic models", Applied Soft Computing 2024, 167, 112220, which combines a self-adaptive weighting mechanism, chaotic elite learning and experience-based learning; I-CPA is Beskirli and Dag, "I-CPA: an improved carnivorous plant algorithm for solar photovoltaic parameter identification problem", Biomimetics 2023, 8, 569, which strengthens the exploitation phase of the carnivorous plant algorithm with a teaching-factor strategy. They are cited as references [82] and [83].</w:t>
      </w:r>
    </w:p>
    <w:p>
      <w:pPr>
        <w:spacing w:after="320" w:before="0"/>
      </w:pPr>
      <w:r>
        <w:rPr>
          <w:rFonts w:ascii="Times New Roman" w:hAnsi="Times New Roman"/>
          <w:b w:val="0"/>
          <w:i w:val="0"/>
          <w:color w:val="00A033"/>
          <w:sz w:val="21"/>
        </w:rPr>
        <w:t>We have included their base algorithms, TSA and CPA, alongside them, so that the improvement each variant achieves over its own base is visible in the same table rather than taken on trust; this seemed to us the fairest way to position MSSBOA against methods built on very different foundations. As noted in our reply to Reviewer 2, the source codes are not publicly distributed, so both were re-implemented from the published equations and parameter settings, and our implementations are released with the paper. New Table 14 reports the outcome. Over the CEC2017 suite in 10, 30 dimensions with 30 independent runs, the order by average Friedman rank is LTSBOA &gt; SBOA &gt; CGSBOA &gt; MSSBOA &gt; MISBOA &gt; I-CPA &gt; CPA &gt; TSA &gt; MS-TSA, with MSSBOA fourth of 9 at 3.862. We report the comparison exactly as it came out. We should also flag one limitation of this comparison honestly. Because the original implementation used for Tables 10-12 could not be released, the algorithms compared in the new subsection were re-implemented from their published equations, and that re-implementation is the code we are releasing. Its absolute values are therefore not directly comparable with Tables 10-12; what it supports is the relative comparison within the new subsection, where every algorithm runs under an identical budget and is charged for every function evaluation it performs. A note to this effect has been added to Section 4.5, and the released code lets either set of numbers be checked.</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In Figures 4 and 5, the word 'best' located below the optimal solution point does not appear sufficiently legible. To improve the clarity of the figure, it is recommended that this text be moved above the relevant point and that the font size be made more prominent.</w:t>
      </w:r>
    </w:p>
    <w:p>
      <w:pPr>
        <w:spacing w:after="60" w:before="0"/>
      </w:pPr>
      <w:r>
        <w:rPr>
          <w:rFonts w:ascii="Times New Roman" w:hAnsi="Times New Roman"/>
          <w:b/>
          <w:i w:val="0"/>
          <w:color w:val="00A033"/>
          <w:sz w:val="21"/>
        </w:rPr>
        <w:t>Response 4:</w:t>
      </w:r>
    </w:p>
    <w:p>
      <w:pPr>
        <w:spacing w:after="320" w:before="0"/>
      </w:pPr>
      <w:r>
        <w:rPr>
          <w:rFonts w:ascii="Times New Roman" w:hAnsi="Times New Roman"/>
          <w:b w:val="0"/>
          <w:i w:val="0"/>
          <w:color w:val="00A033"/>
          <w:sz w:val="21"/>
        </w:rPr>
        <w:t>Agree, and thank you for the specific and easily actionable suggestion. Figures 4 and 5 have been redrawn. The annotation marking the best setting is now placed above the corresponding point rather than below it, its font size has been increased substantially and set in bold, and it is enclosed in a boxed callout with a leader line to the marker so that the association with the point is unambiguous. The marked point is additionally ringed. The annotation now also reports the mean rank value of the best setting, which the earlier version did not. The captions of both figures have been updated to say that the best setting is marked above the corresponding point.</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Sharing the source code relating to the improvements made in this study via GitHub or a similar open-access platform would significantly contribute to the method's reproducibility and reliability. Should the article be accepted, making the code publicly available would enhance the study's scientific value, visibility and usability in future research.</w:t>
      </w:r>
    </w:p>
    <w:p>
      <w:pPr>
        <w:spacing w:after="60" w:before="0"/>
      </w:pPr>
      <w:r>
        <w:rPr>
          <w:rFonts w:ascii="Times New Roman" w:hAnsi="Times New Roman"/>
          <w:b/>
          <w:i w:val="0"/>
          <w:color w:val="00A033"/>
          <w:sz w:val="21"/>
        </w:rPr>
        <w:t>Response 5:</w:t>
      </w:r>
    </w:p>
    <w:p>
      <w:pPr>
        <w:spacing w:after="320" w:before="0"/>
      </w:pPr>
      <w:r>
        <w:rPr>
          <w:rFonts w:ascii="Times New Roman" w:hAnsi="Times New Roman"/>
          <w:b w:val="0"/>
          <w:i w:val="0"/>
          <w:color w:val="00A033"/>
          <w:sz w:val="21"/>
        </w:rPr>
        <w:t>We agree entirely, and we have not made it conditional on acceptance. The complete source code is released now: the MSSBOA implementation, the re-implementations of MISBOA, CGSBOA, LTSBOA, MS-TSA, I-CPA and their base algorithms, the two design-problem formulations, the experiment runners, the statistical analysis scripts and all raw result files. The Data Availability Statement has been rewritten to give the repository address in place of the previous "available on request from the corresponding author".</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