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360" w:after="120" w:line="360" w:lineRule="auto"/>
        <w:jc w:val="center"/>
      </w:pPr>
      <w:r>
        <w:rPr>
          <w:rFonts w:ascii="黑体" w:hAnsi="黑体" w:eastAsia="黑体" w:cs="黑体"/>
          <w:b/>
          <w:i w:val="0"/>
          <w:sz w:val="36"/>
        </w:rPr>
        <w:t>嘉兴大学“禾灵儿”文化智能体 2.0</w:t>
      </w:r>
    </w:p>
    <w:p>
      <w:pPr>
        <w:keepNext w:val="0"/>
        <w:spacing w:before="0" w:after="160" w:line="360" w:lineRule="auto"/>
        <w:jc w:val="center"/>
      </w:pPr>
      <w:r>
        <w:rPr>
          <w:rFonts w:ascii="黑体" w:hAnsi="黑体" w:eastAsia="黑体" w:cs="黑体"/>
          <w:b/>
          <w:i w:val="0"/>
          <w:sz w:val="36"/>
        </w:rPr>
        <w:t>“禾灵儿数字画像”指标体系与评分内核技术说明</w:t>
      </w:r>
    </w:p>
    <w:p>
      <w:pPr>
        <w:keepNext w:val="0"/>
        <w:spacing w:before="0" w:after="360" w:line="360" w:lineRule="auto"/>
        <w:jc w:val="center"/>
      </w:pPr>
      <w:r>
        <w:rPr>
          <w:rFonts w:ascii="黑体" w:hAnsi="黑体" w:eastAsia="黑体" w:cs="黑体"/>
          <w:b w:val="0"/>
          <w:i w:val="0"/>
          <w:sz w:val="28"/>
        </w:rPr>
        <w:t>——维度、指标、权重及其构建过程</w:t>
      </w:r>
    </w:p>
    <w:p>
      <w:pPr>
        <w:keepNext w:val="0"/>
        <w:spacing w:before="0" w:after="0" w:line="360" w:lineRule="auto"/>
        <w:ind w:firstLineChars="200" w:firstLine="480"/>
        <w:jc w:val="both"/>
      </w:pPr>
      <w:r>
        <w:rPr>
          <w:rFonts w:ascii="Times New Roman" w:hAnsi="Times New Roman" w:eastAsia="宋体" w:cs="Times New Roman"/>
          <w:b w:val="0"/>
          <w:i w:val="0"/>
          <w:sz w:val="24"/>
        </w:rPr>
        <w:t>本说明是《“禾灵儿数字画像”功能建设方案》的技术配套文件，回答三个问题：第一，五个维度下究竟设了哪些指标，每个指标由平台上的哪一类行为数据支撑；第二，各渠道对各维度的贡献权重取值多少，这些取值是依据什么定出来的；第三，从一条原始学习记录到最终的五维得分，中间经过哪几步换算，每一步的数学形式与参数是什么。文中全部参数与实测数值均由已上线的算分内核实时读出或实算，与系统实际运行结果完全一致，可逐项复核。</w:t>
      </w:r>
    </w:p>
    <w:p>
      <w:pPr>
        <w:keepNext w:val="0"/>
        <w:spacing w:before="320" w:after="160" w:line="360" w:lineRule="auto"/>
        <w:jc w:val="center"/>
      </w:pPr>
      <w:r>
        <w:rPr>
          <w:rFonts w:ascii="黑体" w:hAnsi="黑体" w:eastAsia="黑体" w:cs="黑体"/>
          <w:b/>
          <w:i w:val="0"/>
          <w:sz w:val="30"/>
        </w:rPr>
        <w:t>目　　录</w:t>
      </w:r>
    </w:p>
    <w:p>
      <w:pPr>
        <w:spacing w:line="360" w:lineRule="auto"/>
      </w:pPr>
      <w:r>
        <w:rPr>
          <w:rFonts w:ascii="Times New Roman" w:hAnsi="Times New Roman" w:eastAsia="宋体" w:cs="Times New Roman"/>
          <w:b w:val="0"/>
          <w:i w:val="0"/>
          <w:sz w:val="24"/>
        </w:rPr>
        <w:fldChar w:fldCharType="begin"/>
        <w:instrText xml:space="preserve">TOC \o "1-2" \h \z \u</w:instrText>
        <w:fldChar w:fldCharType="separate"/>
        <w:t>（请在 Word 中按 Ctrl+A、F9 更新目录）</w:t>
        <w:fldChar w:fldCharType="end"/>
      </w:r>
    </w:p>
    <w:p>
      <w:r>
        <w:br w:type="page"/>
      </w:r>
    </w:p>
    <w:p>
      <w:pPr>
        <w:keepNext/>
        <w:spacing w:before="320" w:after="200" w:line="360" w:lineRule="auto"/>
        <w:jc w:val="center"/>
        <w:outlineLvl w:val="0"/>
      </w:pPr>
      <w:r>
        <w:rPr>
          <w:rFonts w:ascii="黑体" w:hAnsi="黑体" w:eastAsia="黑体" w:cs="黑体"/>
          <w:b/>
          <w:i w:val="0"/>
          <w:sz w:val="30"/>
        </w:rPr>
        <w:t>一、编制说明</w:t>
      </w:r>
    </w:p>
    <w:p>
      <w:pPr>
        <w:keepNext/>
        <w:spacing w:before="200" w:after="120" w:line="360" w:lineRule="auto"/>
        <w:jc w:val="left"/>
        <w:outlineLvl w:val="1"/>
      </w:pPr>
      <w:r>
        <w:rPr>
          <w:rFonts w:ascii="黑体" w:hAnsi="黑体" w:eastAsia="黑体" w:cs="黑体"/>
          <w:b w:val="0"/>
          <w:i w:val="0"/>
          <w:sz w:val="28"/>
        </w:rPr>
        <w:t>1.1　适用范围</w:t>
      </w:r>
    </w:p>
    <w:p>
      <w:pPr>
        <w:keepNext w:val="0"/>
        <w:spacing w:before="0" w:after="0" w:line="360" w:lineRule="auto"/>
        <w:ind w:firstLineChars="200" w:firstLine="480"/>
        <w:jc w:val="both"/>
      </w:pPr>
      <w:r>
        <w:rPr>
          <w:rFonts w:ascii="Times New Roman" w:hAnsi="Times New Roman" w:eastAsia="宋体" w:cs="Times New Roman"/>
          <w:b w:val="0"/>
          <w:i w:val="0"/>
          <w:sz w:val="24"/>
        </w:rPr>
        <w:t>本说明适用于“禾灵儿”文化智能体 2.0 平台上的学生文化素养数字画像功能，覆盖文化体验、文化认知、文化志趣、文化认同、文化研创五个一级维度的指标设置、数据采集口径、权重取值与合成算法，同时给出参数标定的依据与检验结果。教学管理部门可据此审核评价口径，任课教师可据此向学生解释分数的来源，技术人员可据此维护与二次开发。</w:t>
      </w:r>
    </w:p>
    <w:p>
      <w:pPr>
        <w:keepNext/>
        <w:spacing w:before="200" w:after="120" w:line="360" w:lineRule="auto"/>
        <w:jc w:val="left"/>
        <w:outlineLvl w:val="1"/>
      </w:pPr>
      <w:r>
        <w:rPr>
          <w:rFonts w:ascii="黑体" w:hAnsi="黑体" w:eastAsia="黑体" w:cs="黑体"/>
          <w:b w:val="0"/>
          <w:i w:val="0"/>
          <w:sz w:val="28"/>
        </w:rPr>
        <w:t>1.2　设计约束</w:t>
      </w:r>
    </w:p>
    <w:p>
      <w:pPr>
        <w:keepNext w:val="0"/>
        <w:spacing w:before="0" w:after="0" w:line="360" w:lineRule="auto"/>
        <w:ind w:firstLineChars="200" w:firstLine="480"/>
        <w:jc w:val="both"/>
      </w:pPr>
      <w:r>
        <w:rPr>
          <w:rFonts w:ascii="Times New Roman" w:hAnsi="Times New Roman" w:eastAsia="宋体" w:cs="Times New Roman"/>
          <w:b w:val="0"/>
          <w:i w:val="0"/>
          <w:sz w:val="24"/>
        </w:rPr>
        <w:t>指标体系的设计受三项硬约束支配，全部算法形式都是为满足这三项约束而选定的。其一，同一份材料重复上传，得分必须完全不变；其二，材料增加时，相应维度的得分必须单调上升；其三，任一维度的得分不得超过 1.0。此外，评分过程不调用大模型、不依赖网络，仅由词典与规则决定，因此结果可复算、可审计、可申诉。</w:t>
      </w:r>
    </w:p>
    <w:p>
      <w:pPr>
        <w:keepNext/>
        <w:spacing w:before="200" w:after="120" w:line="360" w:lineRule="auto"/>
        <w:jc w:val="left"/>
        <w:outlineLvl w:val="1"/>
      </w:pPr>
      <w:r>
        <w:rPr>
          <w:rFonts w:ascii="黑体" w:hAnsi="黑体" w:eastAsia="黑体" w:cs="黑体"/>
          <w:b w:val="0"/>
          <w:i w:val="0"/>
          <w:sz w:val="28"/>
        </w:rPr>
        <w:t>1.3　符号约定</w:t>
      </w:r>
    </w:p>
    <w:p>
      <w:pPr>
        <w:keepNext w:val="0"/>
        <w:spacing w:before="0" w:after="0" w:line="360" w:lineRule="auto"/>
        <w:ind w:firstLineChars="200" w:firstLine="480"/>
        <w:jc w:val="both"/>
      </w:pPr>
      <w:r>
        <w:rPr>
          <w:rFonts w:ascii="Times New Roman" w:hAnsi="Times New Roman" w:eastAsia="宋体" w:cs="Times New Roman"/>
          <w:b w:val="0"/>
          <w:i w:val="0"/>
          <w:sz w:val="24"/>
        </w:rPr>
        <w:t>全文使用的符号列于表 1。为便于与代码对照，符号名与程序中的变量名保持一致。</w:t>
      </w:r>
    </w:p>
    <w:p>
      <w:pPr>
        <w:keepNext/>
        <w:spacing w:before="200" w:after="60" w:line="240" w:lineRule="auto"/>
        <w:jc w:val="center"/>
      </w:pPr>
      <w:r>
        <w:rPr>
          <w:rFonts w:ascii="黑体" w:hAnsi="黑体" w:eastAsia="黑体" w:cs="黑体"/>
          <w:b w:val="0"/>
          <w:i w:val="0"/>
          <w:sz w:val="21"/>
        </w:rPr>
        <w:t>表 1　符号约定</w:t>
      </w:r>
    </w:p>
    <w:tbl>
      <w:tblPr>
        <w:tblStyle w:val="TableGrid"/>
        <w:tblW w:type="dxa" w:w="8278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134"/>
        <w:gridCol w:w="5443"/>
        <w:gridCol w:w="1701"/>
      </w:tblGrid>
      <w:tr>
        <w:trPr>
          <w:cantSplit w:val="true"/>
          <w:tblHeader w:val="true"/>
        </w:trPr>
        <w:tc>
          <w:tcPr>
            <w:tcW w:type="dxa" w:w="1134"/>
            <w:tcBorders>
              <w:top w:val="single" w:sz="12" w:space="0" w:color="000000"/>
              <w:left w:val="nil"/>
              <w:bottom w:val="single" w:sz="6" w:space="0" w:color="000000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黑体" w:hAnsi="黑体" w:eastAsia="黑体" w:cs="黑体"/>
                <w:b w:val="0"/>
                <w:i w:val="0"/>
                <w:sz w:val="21"/>
              </w:rPr>
              <w:t>符号</w:t>
            </w:r>
          </w:p>
        </w:tc>
        <w:tc>
          <w:tcPr>
            <w:tcW w:type="dxa" w:w="5443"/>
            <w:tcBorders>
              <w:top w:val="single" w:sz="12" w:space="0" w:color="000000"/>
              <w:left w:val="nil"/>
              <w:bottom w:val="single" w:sz="6" w:space="0" w:color="000000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黑体" w:hAnsi="黑体" w:eastAsia="黑体" w:cs="黑体"/>
                <w:b w:val="0"/>
                <w:i w:val="0"/>
                <w:sz w:val="21"/>
              </w:rPr>
              <w:t>含义</w:t>
            </w:r>
          </w:p>
        </w:tc>
        <w:tc>
          <w:tcPr>
            <w:tcW w:type="dxa" w:w="1701"/>
            <w:tcBorders>
              <w:top w:val="single" w:sz="12" w:space="0" w:color="000000"/>
              <w:left w:val="nil"/>
              <w:bottom w:val="single" w:sz="6" w:space="0" w:color="000000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黑体" w:hAnsi="黑体" w:eastAsia="黑体" w:cs="黑体"/>
                <w:b w:val="0"/>
                <w:i w:val="0"/>
                <w:sz w:val="21"/>
              </w:rPr>
              <w:t>取值范围</w:t>
            </w:r>
          </w:p>
        </w:tc>
      </w:tr>
      <w:tr>
        <w:trPr>
          <w:cantSplit w:val="true"/>
        </w:trPr>
        <w:tc>
          <w:tcPr>
            <w:tcW w:type="dxa" w:w="1134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d</w:t>
            </w:r>
          </w:p>
        </w:tc>
        <w:tc>
          <w:tcPr>
            <w:tcW w:type="dxa" w:w="544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维度下标，依次为文化体验、文化认知、文化志趣、文化认同、文化研创</w:t>
            </w:r>
          </w:p>
        </w:tc>
        <w:tc>
          <w:tcPr>
            <w:tcW w:type="dxa" w:w="170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1~5</w:t>
            </w:r>
          </w:p>
        </w:tc>
      </w:tr>
      <w:tr>
        <w:trPr>
          <w:cantSplit w:val="true"/>
        </w:trPr>
        <w:tc>
          <w:tcPr>
            <w:tcW w:type="dxa" w:w="1134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c</w:t>
            </w:r>
          </w:p>
        </w:tc>
        <w:tc>
          <w:tcPr>
            <w:tcW w:type="dxa" w:w="544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证据渠道下标，共六类</w:t>
            </w:r>
          </w:p>
        </w:tc>
        <w:tc>
          <w:tcPr>
            <w:tcW w:type="dxa" w:w="170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1~6</w:t>
            </w:r>
          </w:p>
        </w:tc>
      </w:tr>
      <w:tr>
        <w:trPr>
          <w:cantSplit w:val="true"/>
        </w:trPr>
        <w:tc>
          <w:tcPr>
            <w:tcW w:type="dxa" w:w="1134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m</w:t>
            </w:r>
          </w:p>
        </w:tc>
        <w:tc>
          <w:tcPr>
            <w:tcW w:type="dxa" w:w="544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计量因子：该条行为“做了多少”</w:t>
            </w:r>
          </w:p>
        </w:tc>
        <w:tc>
          <w:tcPr>
            <w:tcW w:type="dxa" w:w="170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≥0</w:t>
            </w:r>
          </w:p>
        </w:tc>
      </w:tr>
      <w:tr>
        <w:trPr>
          <w:cantSplit w:val="true"/>
        </w:trPr>
        <w:tc>
          <w:tcPr>
            <w:tcW w:type="dxa" w:w="1134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q</w:t>
            </w:r>
          </w:p>
        </w:tc>
        <w:tc>
          <w:tcPr>
            <w:tcW w:type="dxa" w:w="544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质量因子：该条行为“做得怎么样”</w:t>
            </w:r>
          </w:p>
        </w:tc>
        <w:tc>
          <w:tcPr>
            <w:tcW w:type="dxa" w:w="170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0~1</w:t>
            </w:r>
          </w:p>
        </w:tc>
      </w:tr>
      <w:tr>
        <w:trPr>
          <w:cantSplit w:val="true"/>
        </w:trPr>
        <w:tc>
          <w:tcPr>
            <w:tcW w:type="dxa" w:w="1134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ρ</w:t>
            </w:r>
          </w:p>
        </w:tc>
        <w:tc>
          <w:tcPr>
            <w:tcW w:type="dxa" w:w="544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文化相关度：该条行为与文化主题的贴合程度</w:t>
            </w:r>
          </w:p>
        </w:tc>
        <w:tc>
          <w:tcPr>
            <w:tcW w:type="dxa" w:w="170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0.40~1.00</w:t>
            </w:r>
          </w:p>
        </w:tc>
      </w:tr>
      <w:tr>
        <w:trPr>
          <w:cantSplit w:val="true"/>
        </w:trPr>
        <w:tc>
          <w:tcPr>
            <w:tcW w:type="dxa" w:w="1134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e</w:t>
            </w:r>
          </w:p>
        </w:tc>
        <w:tc>
          <w:tcPr>
            <w:tcW w:type="dxa" w:w="544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单条证据的有效证据量</w:t>
            </w:r>
          </w:p>
        </w:tc>
        <w:tc>
          <w:tcPr>
            <w:tcW w:type="dxa" w:w="170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≥0</w:t>
            </w:r>
          </w:p>
        </w:tc>
      </w:tr>
      <w:tr>
        <w:trPr>
          <w:cantSplit w:val="true"/>
        </w:trPr>
        <w:tc>
          <w:tcPr>
            <w:tcW w:type="dxa" w:w="1134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R</w:t>
            </w: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  <w:vertAlign w:val="subscript"/>
              </w:rPr>
              <w:t>c,d</w:t>
            </w:r>
          </w:p>
        </w:tc>
        <w:tc>
          <w:tcPr>
            <w:tcW w:type="dxa" w:w="544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渠道 c 对维度 d 的证据量累计（未加权）</w:t>
            </w:r>
          </w:p>
        </w:tc>
        <w:tc>
          <w:tcPr>
            <w:tcW w:type="dxa" w:w="170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≥0</w:t>
            </w:r>
          </w:p>
        </w:tc>
      </w:tr>
      <w:tr>
        <w:trPr>
          <w:cantSplit w:val="true"/>
        </w:trPr>
        <w:tc>
          <w:tcPr>
            <w:tcW w:type="dxa" w:w="1134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/>
                <w:sz w:val="21"/>
              </w:rPr>
              <w:t>w</w:t>
            </w: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  <w:vertAlign w:val="subscript"/>
              </w:rPr>
              <w:t>c,d</w:t>
            </w:r>
          </w:p>
        </w:tc>
        <w:tc>
          <w:tcPr>
            <w:tcW w:type="dxa" w:w="544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渠道 c 对维度 d 的贡献权重</w:t>
            </w:r>
          </w:p>
        </w:tc>
        <w:tc>
          <w:tcPr>
            <w:tcW w:type="dxa" w:w="170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≥0</w:t>
            </w:r>
          </w:p>
        </w:tc>
      </w:tr>
      <w:tr>
        <w:trPr>
          <w:cantSplit w:val="true"/>
        </w:trPr>
        <w:tc>
          <w:tcPr>
            <w:tcW w:type="dxa" w:w="1134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/>
                <w:sz w:val="21"/>
              </w:rPr>
              <w:t>C</w:t>
            </w:r>
            <w:r>
              <w:rPr>
                <w:rFonts w:ascii="Times New Roman" w:hAnsi="Times New Roman" w:eastAsia="宋体" w:cs="Times New Roman"/>
                <w:b w:val="0"/>
                <w:i/>
                <w:sz w:val="21"/>
                <w:vertAlign w:val="subscript"/>
              </w:rPr>
              <w:t>c</w:t>
            </w:r>
          </w:p>
        </w:tc>
        <w:tc>
          <w:tcPr>
            <w:tcW w:type="dxa" w:w="544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渠道 c 的证据量上限</w:t>
            </w:r>
          </w:p>
        </w:tc>
        <w:tc>
          <w:tcPr>
            <w:tcW w:type="dxa" w:w="170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&gt;0</w:t>
            </w:r>
          </w:p>
        </w:tc>
      </w:tr>
      <w:tr>
        <w:trPr>
          <w:cantSplit w:val="true"/>
        </w:trPr>
        <w:tc>
          <w:tcPr>
            <w:tcW w:type="dxa" w:w="1134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/>
                <w:sz w:val="21"/>
              </w:rPr>
              <w:t>A</w:t>
            </w:r>
            <w:r>
              <w:rPr>
                <w:rFonts w:ascii="Times New Roman" w:hAnsi="Times New Roman" w:eastAsia="宋体" w:cs="Times New Roman"/>
                <w:b w:val="0"/>
                <w:i/>
                <w:sz w:val="21"/>
                <w:vertAlign w:val="subscript"/>
              </w:rPr>
              <w:t>d</w:t>
            </w:r>
          </w:p>
        </w:tc>
        <w:tc>
          <w:tcPr>
            <w:tcW w:type="dxa" w:w="544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维度 d 的有效证据量</w:t>
            </w:r>
          </w:p>
        </w:tc>
        <w:tc>
          <w:tcPr>
            <w:tcW w:type="dxa" w:w="170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≥0</w:t>
            </w:r>
          </w:p>
        </w:tc>
      </w:tr>
      <w:tr>
        <w:trPr>
          <w:cantSplit w:val="true"/>
        </w:trPr>
        <w:tc>
          <w:tcPr>
            <w:tcW w:type="dxa" w:w="1134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κ</w:t>
            </w:r>
            <w:r>
              <w:rPr>
                <w:rFonts w:ascii="Times New Roman" w:hAnsi="Times New Roman" w:eastAsia="宋体" w:cs="Times New Roman"/>
                <w:b w:val="0"/>
                <w:i/>
                <w:sz w:val="21"/>
                <w:vertAlign w:val="subscript"/>
              </w:rPr>
              <w:t>d</w:t>
            </w:r>
          </w:p>
        </w:tc>
        <w:tc>
          <w:tcPr>
            <w:tcW w:type="dxa" w:w="544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维度 d 的证据饱和常数</w:t>
            </w:r>
          </w:p>
        </w:tc>
        <w:tc>
          <w:tcPr>
            <w:tcW w:type="dxa" w:w="170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&gt;0</w:t>
            </w:r>
          </w:p>
        </w:tc>
      </w:tr>
      <w:tr>
        <w:trPr>
          <w:cantSplit w:val="true"/>
        </w:trPr>
        <w:tc>
          <w:tcPr>
            <w:tcW w:type="dxa" w:w="1134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/>
                <w:sz w:val="21"/>
              </w:rPr>
              <w:t>u</w:t>
            </w:r>
            <w:r>
              <w:rPr>
                <w:rFonts w:ascii="Times New Roman" w:hAnsi="Times New Roman" w:eastAsia="宋体" w:cs="Times New Roman"/>
                <w:b w:val="0"/>
                <w:i/>
                <w:sz w:val="21"/>
                <w:vertAlign w:val="subscript"/>
              </w:rPr>
              <w:t>d</w:t>
            </w:r>
          </w:p>
        </w:tc>
        <w:tc>
          <w:tcPr>
            <w:tcW w:type="dxa" w:w="544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维度 d 的问卷作答强度</w:t>
            </w:r>
          </w:p>
        </w:tc>
        <w:tc>
          <w:tcPr>
            <w:tcW w:type="dxa" w:w="170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0~1</w:t>
            </w:r>
          </w:p>
        </w:tc>
      </w:tr>
      <w:tr>
        <w:trPr>
          <w:cantSplit w:val="true"/>
        </w:trPr>
        <w:tc>
          <w:tcPr>
            <w:tcW w:type="dxa" w:w="1134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/>
                <w:sz w:val="21"/>
              </w:rPr>
              <w:t>B</w:t>
            </w:r>
            <w:r>
              <w:rPr>
                <w:rFonts w:ascii="Times New Roman" w:hAnsi="Times New Roman" w:eastAsia="宋体" w:cs="Times New Roman"/>
                <w:b w:val="0"/>
                <w:i/>
                <w:sz w:val="21"/>
                <w:vertAlign w:val="subscript"/>
              </w:rPr>
              <w:t>d</w:t>
            </w:r>
          </w:p>
        </w:tc>
        <w:tc>
          <w:tcPr>
            <w:tcW w:type="dxa" w:w="544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维度 d 的初始得分</w:t>
            </w:r>
          </w:p>
        </w:tc>
        <w:tc>
          <w:tcPr>
            <w:tcW w:type="dxa" w:w="170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0.15~0.50</w:t>
            </w:r>
          </w:p>
        </w:tc>
      </w:tr>
      <w:tr>
        <w:trPr>
          <w:cantSplit w:val="true"/>
        </w:trPr>
        <w:tc>
          <w:tcPr>
            <w:tcW w:type="dxa" w:w="1134"/>
            <w:tcBorders>
              <w:top w:val="nil"/>
              <w:left w:val="nil"/>
              <w:bottom w:val="single" w:sz="12" w:space="0" w:color="000000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/>
                <w:sz w:val="21"/>
              </w:rPr>
              <w:t>S</w:t>
            </w:r>
            <w:r>
              <w:rPr>
                <w:rFonts w:ascii="Times New Roman" w:hAnsi="Times New Roman" w:eastAsia="宋体" w:cs="Times New Roman"/>
                <w:b w:val="0"/>
                <w:i/>
                <w:sz w:val="21"/>
                <w:vertAlign w:val="subscript"/>
              </w:rPr>
              <w:t>d</w:t>
            </w:r>
          </w:p>
        </w:tc>
        <w:tc>
          <w:tcPr>
            <w:tcW w:type="dxa" w:w="5443"/>
            <w:tcBorders>
              <w:top w:val="nil"/>
              <w:left w:val="nil"/>
              <w:bottom w:val="single" w:sz="12" w:space="0" w:color="000000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维度 d 的本学年得分</w:t>
            </w:r>
          </w:p>
        </w:tc>
        <w:tc>
          <w:tcPr>
            <w:tcW w:type="dxa" w:w="1701"/>
            <w:tcBorders>
              <w:top w:val="nil"/>
              <w:left w:val="nil"/>
              <w:bottom w:val="single" w:sz="12" w:space="0" w:color="000000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0~1</w:t>
            </w:r>
          </w:p>
        </w:tc>
      </w:tr>
    </w:tbl>
    <w:p>
      <w:pPr>
        <w:keepNext/>
        <w:spacing w:before="320" w:after="200" w:line="360" w:lineRule="auto"/>
        <w:jc w:val="center"/>
        <w:outlineLvl w:val="0"/>
      </w:pPr>
      <w:r>
        <w:rPr>
          <w:rFonts w:ascii="黑体" w:hAnsi="黑体" w:eastAsia="黑体" w:cs="黑体"/>
          <w:b/>
          <w:i w:val="0"/>
          <w:sz w:val="30"/>
        </w:rPr>
        <w:t>二、五维指标体系</w:t>
      </w:r>
    </w:p>
    <w:p>
      <w:pPr>
        <w:keepNext/>
        <w:spacing w:before="200" w:after="120" w:line="360" w:lineRule="auto"/>
        <w:jc w:val="left"/>
        <w:outlineLvl w:val="1"/>
      </w:pPr>
      <w:r>
        <w:rPr>
          <w:rFonts w:ascii="黑体" w:hAnsi="黑体" w:eastAsia="黑体" w:cs="黑体"/>
          <w:b w:val="0"/>
          <w:i w:val="0"/>
          <w:sz w:val="28"/>
        </w:rPr>
        <w:t>2.1　维度界定与理论对应</w:t>
      </w:r>
    </w:p>
    <w:p>
      <w:pPr>
        <w:keepNext w:val="0"/>
        <w:spacing w:before="0" w:after="0" w:line="360" w:lineRule="auto"/>
        <w:ind w:firstLineChars="200" w:firstLine="480"/>
        <w:jc w:val="both"/>
      </w:pPr>
      <w:r>
        <w:rPr>
          <w:rFonts w:ascii="Times New Roman" w:hAnsi="Times New Roman" w:eastAsia="宋体" w:cs="Times New Roman"/>
          <w:b w:val="0"/>
          <w:i w:val="0"/>
          <w:sz w:val="24"/>
        </w:rPr>
        <w:t>五个维度并非并列的五个侧面，而是文化认同心理机制中“知—情—意—信—行”五个环节在文化育人情境下的具体化，构成一条由感知到实践的递进链条，如图 1 所示。文化体验对应“知”，是身体在场的直接接触；文化认知对应“情”，是对文化事实与意义的理解；文化志趣对应“意”，是持续投入的意愿；文化认同对应“信”，是价值层面的接纳与表达；文化研创对应“行”，是把理解转化为作品与方案的实践。这一链条决定了后文权重矩阵的基本走向：越靠近“行”的维度，越依赖学生的原创产出，越难以通过被动参与获得。</w:t>
      </w:r>
    </w:p>
    <w:p>
      <w:pPr>
        <w:keepNext/>
        <w:spacing w:before="16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256000" cy="28841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dimension_syste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2884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80" w:after="200" w:line="240" w:lineRule="auto"/>
        <w:jc w:val="center"/>
      </w:pPr>
      <w:r>
        <w:rPr>
          <w:rFonts w:ascii="黑体" w:hAnsi="黑体" w:eastAsia="黑体" w:cs="黑体"/>
          <w:b w:val="0"/>
          <w:i w:val="0"/>
          <w:sz w:val="21"/>
        </w:rPr>
        <w:t>图 1　五维文化素养指标体系与理论对应</w:t>
      </w:r>
    </w:p>
    <w:p>
      <w:pPr>
        <w:keepNext w:val="0"/>
        <w:spacing w:before="0" w:after="0" w:line="360" w:lineRule="auto"/>
        <w:ind w:firstLineChars="200" w:firstLine="480"/>
        <w:jc w:val="both"/>
      </w:pPr>
      <w:r>
        <w:rPr>
          <w:rFonts w:ascii="Times New Roman" w:hAnsi="Times New Roman" w:eastAsia="宋体" w:cs="Times New Roman"/>
          <w:b w:val="0"/>
          <w:i w:val="0"/>
          <w:sz w:val="24"/>
        </w:rPr>
        <w:t>各维度的内涵界定、行为表征与主要观测重点列于表 2。</w:t>
      </w:r>
    </w:p>
    <w:p>
      <w:pPr>
        <w:keepNext/>
        <w:spacing w:before="200" w:after="60" w:line="240" w:lineRule="auto"/>
        <w:jc w:val="center"/>
      </w:pPr>
      <w:r>
        <w:rPr>
          <w:rFonts w:ascii="黑体" w:hAnsi="黑体" w:eastAsia="黑体" w:cs="黑体"/>
          <w:b w:val="0"/>
          <w:i w:val="0"/>
          <w:sz w:val="21"/>
        </w:rPr>
        <w:t>表 2　五维文化素养的内涵界定与理论对应</w:t>
      </w:r>
    </w:p>
    <w:tbl>
      <w:tblPr>
        <w:tblStyle w:val="TableGrid"/>
        <w:tblW w:type="dxa" w:w="8278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247"/>
        <w:gridCol w:w="850"/>
        <w:gridCol w:w="2948"/>
        <w:gridCol w:w="3231"/>
      </w:tblGrid>
      <w:tr>
        <w:trPr>
          <w:cantSplit w:val="true"/>
          <w:tblHeader w:val="true"/>
        </w:trPr>
        <w:tc>
          <w:tcPr>
            <w:tcW w:type="dxa" w:w="1247"/>
            <w:tcBorders>
              <w:top w:val="single" w:sz="12" w:space="0" w:color="000000"/>
              <w:left w:val="nil"/>
              <w:bottom w:val="single" w:sz="6" w:space="0" w:color="000000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黑体" w:hAnsi="黑体" w:eastAsia="黑体" w:cs="黑体"/>
                <w:b w:val="0"/>
                <w:i w:val="0"/>
                <w:sz w:val="21"/>
              </w:rPr>
              <w:t>维度</w:t>
            </w:r>
          </w:p>
        </w:tc>
        <w:tc>
          <w:tcPr>
            <w:tcW w:type="dxa" w:w="850"/>
            <w:tcBorders>
              <w:top w:val="single" w:sz="12" w:space="0" w:color="000000"/>
              <w:left w:val="nil"/>
              <w:bottom w:val="single" w:sz="6" w:space="0" w:color="000000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黑体" w:hAnsi="黑体" w:eastAsia="黑体" w:cs="黑体"/>
                <w:b w:val="0"/>
                <w:i w:val="0"/>
                <w:sz w:val="21"/>
              </w:rPr>
              <w:t>理论对应</w:t>
            </w:r>
          </w:p>
        </w:tc>
        <w:tc>
          <w:tcPr>
            <w:tcW w:type="dxa" w:w="2948"/>
            <w:tcBorders>
              <w:top w:val="single" w:sz="12" w:space="0" w:color="000000"/>
              <w:left w:val="nil"/>
              <w:bottom w:val="single" w:sz="6" w:space="0" w:color="000000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黑体" w:hAnsi="黑体" w:eastAsia="黑体" w:cs="黑体"/>
                <w:b w:val="0"/>
                <w:i w:val="0"/>
                <w:sz w:val="21"/>
              </w:rPr>
              <w:t>内涵界定</w:t>
            </w:r>
          </w:p>
        </w:tc>
        <w:tc>
          <w:tcPr>
            <w:tcW w:type="dxa" w:w="3231"/>
            <w:tcBorders>
              <w:top w:val="single" w:sz="12" w:space="0" w:color="000000"/>
              <w:left w:val="nil"/>
              <w:bottom w:val="single" w:sz="6" w:space="0" w:color="000000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黑体" w:hAnsi="黑体" w:eastAsia="黑体" w:cs="黑体"/>
                <w:b w:val="0"/>
                <w:i w:val="0"/>
                <w:sz w:val="21"/>
              </w:rPr>
              <w:t>主要行为表征</w:t>
            </w:r>
          </w:p>
        </w:tc>
      </w:tr>
      <w:tr>
        <w:trPr>
          <w:cantSplit w:val="true"/>
        </w:trPr>
        <w:tc>
          <w:tcPr>
            <w:tcW w:type="dxa" w:w="124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文化体验</w:t>
            </w:r>
          </w:p>
        </w:tc>
        <w:tc>
          <w:tcPr>
            <w:tcW w:type="dxa" w:w="85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知</w:t>
            </w:r>
          </w:p>
        </w:tc>
        <w:tc>
          <w:tcPr>
            <w:tcW w:type="dxa" w:w="294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身体在场地接触文化事物，形成直接经验</w:t>
            </w:r>
          </w:p>
        </w:tc>
        <w:tc>
          <w:tcPr>
            <w:tcW w:type="dxa" w:w="323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参观、研学、手工技艺体验、课程视频学习</w:t>
            </w:r>
          </w:p>
        </w:tc>
      </w:tr>
      <w:tr>
        <w:trPr>
          <w:cantSplit w:val="true"/>
        </w:trPr>
        <w:tc>
          <w:tcPr>
            <w:tcW w:type="dxa" w:w="124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文化认知</w:t>
            </w:r>
          </w:p>
        </w:tc>
        <w:tc>
          <w:tcPr>
            <w:tcW w:type="dxa" w:w="85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情</w:t>
            </w:r>
          </w:p>
        </w:tc>
        <w:tc>
          <w:tcPr>
            <w:tcW w:type="dxa" w:w="294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对文化事实、脉络与意义的理解与解释</w:t>
            </w:r>
          </w:p>
        </w:tc>
        <w:tc>
          <w:tcPr>
            <w:tcW w:type="dxa" w:w="323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对话中的追问与论证、作业中的知识运用</w:t>
            </w:r>
          </w:p>
        </w:tc>
      </w:tr>
      <w:tr>
        <w:trPr>
          <w:cantSplit w:val="true"/>
        </w:trPr>
        <w:tc>
          <w:tcPr>
            <w:tcW w:type="dxa" w:w="124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文化志趣</w:t>
            </w:r>
          </w:p>
        </w:tc>
        <w:tc>
          <w:tcPr>
            <w:tcW w:type="dxa" w:w="85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意</w:t>
            </w:r>
          </w:p>
        </w:tc>
        <w:tc>
          <w:tcPr>
            <w:tcW w:type="dxa" w:w="294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主动、持续地投入文化学习的意愿</w:t>
            </w:r>
          </w:p>
        </w:tc>
        <w:tc>
          <w:tcPr>
            <w:tcW w:type="dxa" w:w="323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自主选课、课外延伸、跨主题拓展</w:t>
            </w:r>
          </w:p>
        </w:tc>
      </w:tr>
      <w:tr>
        <w:trPr>
          <w:cantSplit w:val="true"/>
        </w:trPr>
        <w:tc>
          <w:tcPr>
            <w:tcW w:type="dxa" w:w="124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文化认同</w:t>
            </w:r>
          </w:p>
        </w:tc>
        <w:tc>
          <w:tcPr>
            <w:tcW w:type="dxa" w:w="85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信</w:t>
            </w:r>
          </w:p>
        </w:tc>
        <w:tc>
          <w:tcPr>
            <w:tcW w:type="dxa" w:w="294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对文化价值的接纳、自豪与对外表达</w:t>
            </w:r>
          </w:p>
        </w:tc>
        <w:tc>
          <w:tcPr>
            <w:tcW w:type="dxa" w:w="323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价值立场表达、对外介绍与讲述</w:t>
            </w:r>
          </w:p>
        </w:tc>
      </w:tr>
      <w:tr>
        <w:trPr>
          <w:cantSplit w:val="true"/>
        </w:trPr>
        <w:tc>
          <w:tcPr>
            <w:tcW w:type="dxa" w:w="1247"/>
            <w:tcBorders>
              <w:top w:val="nil"/>
              <w:left w:val="nil"/>
              <w:bottom w:val="single" w:sz="12" w:space="0" w:color="000000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文化研创</w:t>
            </w:r>
          </w:p>
        </w:tc>
        <w:tc>
          <w:tcPr>
            <w:tcW w:type="dxa" w:w="850"/>
            <w:tcBorders>
              <w:top w:val="nil"/>
              <w:left w:val="nil"/>
              <w:bottom w:val="single" w:sz="12" w:space="0" w:color="000000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行</w:t>
            </w:r>
          </w:p>
        </w:tc>
        <w:tc>
          <w:tcPr>
            <w:tcW w:type="dxa" w:w="2948"/>
            <w:tcBorders>
              <w:top w:val="nil"/>
              <w:left w:val="nil"/>
              <w:bottom w:val="single" w:sz="12" w:space="0" w:color="000000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以文化为主题的原创设计、研究与传播</w:t>
            </w:r>
          </w:p>
        </w:tc>
        <w:tc>
          <w:tcPr>
            <w:tcW w:type="dxa" w:w="3231"/>
            <w:tcBorders>
              <w:top w:val="nil"/>
              <w:left w:val="nil"/>
              <w:bottom w:val="single" w:sz="12" w:space="0" w:color="000000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作品创作、调研报告、自建文化智能体</w:t>
            </w:r>
          </w:p>
        </w:tc>
      </w:tr>
    </w:tbl>
    <w:p>
      <w:pPr>
        <w:keepNext/>
        <w:spacing w:before="200" w:after="120" w:line="360" w:lineRule="auto"/>
        <w:jc w:val="left"/>
        <w:outlineLvl w:val="1"/>
      </w:pPr>
      <w:r>
        <w:rPr>
          <w:rFonts w:ascii="黑体" w:hAnsi="黑体" w:eastAsia="黑体" w:cs="黑体"/>
          <w:b w:val="0"/>
          <w:i w:val="0"/>
          <w:sz w:val="28"/>
        </w:rPr>
        <w:t>2.2　二级观测点</w:t>
      </w:r>
    </w:p>
    <w:p>
      <w:pPr>
        <w:keepNext w:val="0"/>
        <w:spacing w:before="0" w:after="0" w:line="360" w:lineRule="auto"/>
        <w:ind w:firstLineChars="200" w:firstLine="480"/>
        <w:jc w:val="both"/>
      </w:pPr>
      <w:r>
        <w:rPr>
          <w:rFonts w:ascii="Times New Roman" w:hAnsi="Times New Roman" w:eastAsia="宋体" w:cs="Times New Roman"/>
          <w:b w:val="0"/>
          <w:i w:val="0"/>
          <w:sz w:val="24"/>
        </w:rPr>
        <w:t>每个一级维度下设 4 个二级观测点，共 20 项，构成指标体系的最小评价单位。观测点的设置遵循一条原则：每一项都必须能对应到平台上可自动采集的行为事件，凡是只能靠人工判断、无法从数据中读出的表述一律不设。20 个观测点及其数据来源列于表 3。</w:t>
      </w:r>
    </w:p>
    <w:p>
      <w:pPr>
        <w:keepNext/>
        <w:spacing w:before="200" w:after="60" w:line="240" w:lineRule="auto"/>
        <w:jc w:val="center"/>
      </w:pPr>
      <w:r>
        <w:rPr>
          <w:rFonts w:ascii="黑体" w:hAnsi="黑体" w:eastAsia="黑体" w:cs="黑体"/>
          <w:b w:val="0"/>
          <w:i w:val="0"/>
          <w:sz w:val="21"/>
        </w:rPr>
        <w:t>表 3　二级观测点与数据来源</w:t>
      </w:r>
    </w:p>
    <w:tbl>
      <w:tblPr>
        <w:tblStyle w:val="TableGrid"/>
        <w:tblW w:type="dxa" w:w="8278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793"/>
        <w:gridCol w:w="1020"/>
        <w:gridCol w:w="3175"/>
        <w:gridCol w:w="3288"/>
      </w:tblGrid>
      <w:tr>
        <w:trPr>
          <w:cantSplit w:val="true"/>
          <w:tblHeader w:val="true"/>
        </w:trPr>
        <w:tc>
          <w:tcPr>
            <w:tcW w:type="dxa" w:w="794"/>
            <w:tcBorders>
              <w:top w:val="single" w:sz="12" w:space="0" w:color="000000"/>
              <w:left w:val="nil"/>
              <w:bottom w:val="single" w:sz="6" w:space="0" w:color="000000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黑体" w:hAnsi="黑体" w:eastAsia="黑体" w:cs="黑体"/>
                <w:b w:val="0"/>
                <w:i w:val="0"/>
                <w:sz w:val="18"/>
              </w:rPr>
              <w:t>编号</w:t>
            </w:r>
          </w:p>
        </w:tc>
        <w:tc>
          <w:tcPr>
            <w:tcW w:type="dxa" w:w="1020"/>
            <w:tcBorders>
              <w:top w:val="single" w:sz="12" w:space="0" w:color="000000"/>
              <w:left w:val="nil"/>
              <w:bottom w:val="single" w:sz="6" w:space="0" w:color="000000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黑体" w:hAnsi="黑体" w:eastAsia="黑体" w:cs="黑体"/>
                <w:b w:val="0"/>
                <w:i w:val="0"/>
                <w:sz w:val="18"/>
              </w:rPr>
              <w:t>维度</w:t>
            </w:r>
          </w:p>
        </w:tc>
        <w:tc>
          <w:tcPr>
            <w:tcW w:type="dxa" w:w="3175"/>
            <w:tcBorders>
              <w:top w:val="single" w:sz="12" w:space="0" w:color="000000"/>
              <w:left w:val="nil"/>
              <w:bottom w:val="single" w:sz="6" w:space="0" w:color="000000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黑体" w:hAnsi="黑体" w:eastAsia="黑体" w:cs="黑体"/>
                <w:b w:val="0"/>
                <w:i w:val="0"/>
                <w:sz w:val="18"/>
              </w:rPr>
              <w:t>观测点</w:t>
            </w:r>
          </w:p>
        </w:tc>
        <w:tc>
          <w:tcPr>
            <w:tcW w:type="dxa" w:w="3288"/>
            <w:tcBorders>
              <w:top w:val="single" w:sz="12" w:space="0" w:color="000000"/>
              <w:left w:val="nil"/>
              <w:bottom w:val="single" w:sz="6" w:space="0" w:color="000000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黑体" w:hAnsi="黑体" w:eastAsia="黑体" w:cs="黑体"/>
                <w:b w:val="0"/>
                <w:i w:val="0"/>
                <w:sz w:val="18"/>
              </w:rPr>
              <w:t>主要数据来源</w:t>
            </w:r>
          </w:p>
        </w:tc>
      </w:tr>
      <w:tr>
        <w:trPr>
          <w:cantSplit w:val="true"/>
        </w:trPr>
        <w:tc>
          <w:tcPr>
            <w:tcW w:type="dxa" w:w="794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E1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文化体验</w:t>
            </w:r>
          </w:p>
        </w:tc>
        <w:tc>
          <w:tcPr>
            <w:tcW w:type="dxa" w:w="317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文化场馆与历史街区的实地接触</w:t>
            </w:r>
          </w:p>
        </w:tc>
        <w:tc>
          <w:tcPr>
            <w:tcW w:type="dxa" w:w="328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问卷；研学视频作业</w:t>
            </w:r>
          </w:p>
        </w:tc>
      </w:tr>
      <w:tr>
        <w:trPr>
          <w:cantSplit w:val="true"/>
        </w:trPr>
        <w:tc>
          <w:tcPr>
            <w:tcW w:type="dxa" w:w="794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E2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文化体验</w:t>
            </w:r>
          </w:p>
        </w:tc>
        <w:tc>
          <w:tcPr>
            <w:tcW w:type="dxa" w:w="317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观察的细致程度与在场投入度</w:t>
            </w:r>
          </w:p>
        </w:tc>
        <w:tc>
          <w:tcPr>
            <w:tcW w:type="dxa" w:w="328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视频作业时长与内容；课程视频完成率</w:t>
            </w:r>
          </w:p>
        </w:tc>
      </w:tr>
      <w:tr>
        <w:trPr>
          <w:cantSplit w:val="true"/>
        </w:trPr>
        <w:tc>
          <w:tcPr>
            <w:tcW w:type="dxa" w:w="794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E3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文化体验</w:t>
            </w:r>
          </w:p>
        </w:tc>
        <w:tc>
          <w:tcPr>
            <w:tcW w:type="dxa" w:w="317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研学、采风、社会实践的参与</w:t>
            </w:r>
          </w:p>
        </w:tc>
        <w:tc>
          <w:tcPr>
            <w:tcW w:type="dxa" w:w="328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问卷；作业成果；文化课程报名</w:t>
            </w:r>
          </w:p>
        </w:tc>
      </w:tr>
      <w:tr>
        <w:trPr>
          <w:cantSplit w:val="true"/>
        </w:trPr>
        <w:tc>
          <w:tcPr>
            <w:tcW w:type="dxa" w:w="794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E4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文化体验</w:t>
            </w:r>
          </w:p>
        </w:tc>
        <w:tc>
          <w:tcPr>
            <w:tcW w:type="dxa" w:w="317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传统手工技艺的亲手体验</w:t>
            </w:r>
          </w:p>
        </w:tc>
        <w:tc>
          <w:tcPr>
            <w:tcW w:type="dxa" w:w="328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问卷；作业成果中的实作记录</w:t>
            </w:r>
          </w:p>
        </w:tc>
      </w:tr>
      <w:tr>
        <w:trPr>
          <w:cantSplit w:val="true"/>
        </w:trPr>
        <w:tc>
          <w:tcPr>
            <w:tcW w:type="dxa" w:w="794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C1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文化认知</w:t>
            </w:r>
          </w:p>
        </w:tc>
        <w:tc>
          <w:tcPr>
            <w:tcW w:type="dxa" w:w="317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地域文脉与历史由来的了解</w:t>
            </w:r>
          </w:p>
        </w:tc>
        <w:tc>
          <w:tcPr>
            <w:tcW w:type="dxa" w:w="328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文化对话内容；课程作业得分</w:t>
            </w:r>
          </w:p>
        </w:tc>
      </w:tr>
      <w:tr>
        <w:trPr>
          <w:cantSplit w:val="true"/>
        </w:trPr>
        <w:tc>
          <w:tcPr>
            <w:tcW w:type="dxa" w:w="794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C2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文化认知</w:t>
            </w:r>
          </w:p>
        </w:tc>
        <w:tc>
          <w:tcPr>
            <w:tcW w:type="dxa" w:w="317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革命文化内涵及其历史背景的解释</w:t>
            </w:r>
          </w:p>
        </w:tc>
        <w:tc>
          <w:tcPr>
            <w:tcW w:type="dxa" w:w="328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文化对话内容；作业成果文本</w:t>
            </w:r>
          </w:p>
        </w:tc>
      </w:tr>
      <w:tr>
        <w:trPr>
          <w:cantSplit w:val="true"/>
        </w:trPr>
        <w:tc>
          <w:tcPr>
            <w:tcW w:type="dxa" w:w="794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C3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文化认知</w:t>
            </w:r>
          </w:p>
        </w:tc>
        <w:tc>
          <w:tcPr>
            <w:tcW w:type="dxa" w:w="317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中华优秀传统文化特点与价值的把握</w:t>
            </w:r>
          </w:p>
        </w:tc>
        <w:tc>
          <w:tcPr>
            <w:tcW w:type="dxa" w:w="328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文化对话内容；课程作业得分</w:t>
            </w:r>
          </w:p>
        </w:tc>
      </w:tr>
      <w:tr>
        <w:trPr>
          <w:cantSplit w:val="true"/>
        </w:trPr>
        <w:tc>
          <w:tcPr>
            <w:tcW w:type="dxa" w:w="794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C4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文化认知</w:t>
            </w:r>
          </w:p>
        </w:tc>
        <w:tc>
          <w:tcPr>
            <w:tcW w:type="dxa" w:w="317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非遗项目分类与演变的说明</w:t>
            </w:r>
          </w:p>
        </w:tc>
        <w:tc>
          <w:tcPr>
            <w:tcW w:type="dxa" w:w="328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文化对话内容；作业成果文本</w:t>
            </w:r>
          </w:p>
        </w:tc>
      </w:tr>
      <w:tr>
        <w:trPr>
          <w:cantSplit w:val="true"/>
        </w:trPr>
        <w:tc>
          <w:tcPr>
            <w:tcW w:type="dxa" w:w="794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I1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文化志趣</w:t>
            </w:r>
          </w:p>
        </w:tc>
        <w:tc>
          <w:tcPr>
            <w:tcW w:type="dxa" w:w="317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主动了解感兴趣文化话题的行为</w:t>
            </w:r>
          </w:p>
        </w:tc>
        <w:tc>
          <w:tcPr>
            <w:tcW w:type="dxa" w:w="328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文化对话发起频次；自主选课</w:t>
            </w:r>
          </w:p>
        </w:tc>
      </w:tr>
      <w:tr>
        <w:trPr>
          <w:cantSplit w:val="true"/>
        </w:trPr>
        <w:tc>
          <w:tcPr>
            <w:tcW w:type="dxa" w:w="794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I2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文化志趣</w:t>
            </w:r>
          </w:p>
        </w:tc>
        <w:tc>
          <w:tcPr>
            <w:tcW w:type="dxa" w:w="317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课外持续接触文化内容的习惯</w:t>
            </w:r>
          </w:p>
        </w:tc>
        <w:tc>
          <w:tcPr>
            <w:tcW w:type="dxa" w:w="328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课程视频完成率；对话时间分布</w:t>
            </w:r>
          </w:p>
        </w:tc>
      </w:tr>
      <w:tr>
        <w:trPr>
          <w:cantSplit w:val="true"/>
        </w:trPr>
        <w:tc>
          <w:tcPr>
            <w:tcW w:type="dxa" w:w="794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I3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文化志趣</w:t>
            </w:r>
          </w:p>
        </w:tc>
        <w:tc>
          <w:tcPr>
            <w:tcW w:type="dxa" w:w="317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遇到不懂时的追问与查证</w:t>
            </w:r>
          </w:p>
        </w:tc>
        <w:tc>
          <w:tcPr>
            <w:tcW w:type="dxa" w:w="328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文化对话的多轮追问深度</w:t>
            </w:r>
          </w:p>
        </w:tc>
      </w:tr>
      <w:tr>
        <w:trPr>
          <w:cantSplit w:val="true"/>
        </w:trPr>
        <w:tc>
          <w:tcPr>
            <w:tcW w:type="dxa" w:w="794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I4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文化志趣</w:t>
            </w:r>
          </w:p>
        </w:tc>
        <w:tc>
          <w:tcPr>
            <w:tcW w:type="dxa" w:w="317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拓展新文化主题领域的意愿</w:t>
            </w:r>
          </w:p>
        </w:tc>
        <w:tc>
          <w:tcPr>
            <w:tcW w:type="dxa" w:w="328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报名课程的主题广度</w:t>
            </w:r>
          </w:p>
        </w:tc>
      </w:tr>
      <w:tr>
        <w:trPr>
          <w:cantSplit w:val="true"/>
        </w:trPr>
        <w:tc>
          <w:tcPr>
            <w:tcW w:type="dxa" w:w="794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D1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文化认同</w:t>
            </w:r>
          </w:p>
        </w:tc>
        <w:tc>
          <w:tcPr>
            <w:tcW w:type="dxa" w:w="317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对家乡文化传统的自豪感</w:t>
            </w:r>
          </w:p>
        </w:tc>
        <w:tc>
          <w:tcPr>
            <w:tcW w:type="dxa" w:w="328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对话中的价值表达；问卷</w:t>
            </w:r>
          </w:p>
        </w:tc>
      </w:tr>
      <w:tr>
        <w:trPr>
          <w:cantSplit w:val="true"/>
        </w:trPr>
        <w:tc>
          <w:tcPr>
            <w:tcW w:type="dxa" w:w="794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D2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文化认同</w:t>
            </w:r>
          </w:p>
        </w:tc>
        <w:tc>
          <w:tcPr>
            <w:tcW w:type="dxa" w:w="317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对中华文化价值的接纳与传承意愿</w:t>
            </w:r>
          </w:p>
        </w:tc>
        <w:tc>
          <w:tcPr>
            <w:tcW w:type="dxa" w:w="328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对话中的价值表达；作业成果</w:t>
            </w:r>
          </w:p>
        </w:tc>
      </w:tr>
      <w:tr>
        <w:trPr>
          <w:cantSplit w:val="true"/>
        </w:trPr>
        <w:tc>
          <w:tcPr>
            <w:tcW w:type="dxa" w:w="794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D3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文化认同</w:t>
            </w:r>
          </w:p>
        </w:tc>
        <w:tc>
          <w:tcPr>
            <w:tcW w:type="dxa" w:w="317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向他人推荐、介绍本地文化的行为</w:t>
            </w:r>
          </w:p>
        </w:tc>
        <w:tc>
          <w:tcPr>
            <w:tcW w:type="dxa" w:w="328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作业成果的传播属性；自建智能体</w:t>
            </w:r>
          </w:p>
        </w:tc>
      </w:tr>
      <w:tr>
        <w:trPr>
          <w:cantSplit w:val="true"/>
        </w:trPr>
        <w:tc>
          <w:tcPr>
            <w:tcW w:type="dxa" w:w="794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D4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文化认同</w:t>
            </w:r>
          </w:p>
        </w:tc>
        <w:tc>
          <w:tcPr>
            <w:tcW w:type="dxa" w:w="317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面向国际讲述中国故事的自信</w:t>
            </w:r>
          </w:p>
        </w:tc>
        <w:tc>
          <w:tcPr>
            <w:tcW w:type="dxa" w:w="328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作业成果的对外表达内容</w:t>
            </w:r>
          </w:p>
        </w:tc>
      </w:tr>
      <w:tr>
        <w:trPr>
          <w:cantSplit w:val="true"/>
        </w:trPr>
        <w:tc>
          <w:tcPr>
            <w:tcW w:type="dxa" w:w="794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R1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文化研创</w:t>
            </w:r>
          </w:p>
        </w:tc>
        <w:tc>
          <w:tcPr>
            <w:tcW w:type="dxa" w:w="317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以文化为主题的创作或设计</w:t>
            </w:r>
          </w:p>
        </w:tc>
        <w:tc>
          <w:tcPr>
            <w:tcW w:type="dxa" w:w="328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作业成果（文档／演示／视频）</w:t>
            </w:r>
          </w:p>
        </w:tc>
      </w:tr>
      <w:tr>
        <w:trPr>
          <w:cantSplit w:val="true"/>
        </w:trPr>
        <w:tc>
          <w:tcPr>
            <w:tcW w:type="dxa" w:w="794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R2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文化研创</w:t>
            </w:r>
          </w:p>
        </w:tc>
        <w:tc>
          <w:tcPr>
            <w:tcW w:type="dxa" w:w="317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文化相关的调查报告或课题研究</w:t>
            </w:r>
          </w:p>
        </w:tc>
        <w:tc>
          <w:tcPr>
            <w:tcW w:type="dxa" w:w="328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作业成果的结构完整度</w:t>
            </w:r>
          </w:p>
        </w:tc>
      </w:tr>
      <w:tr>
        <w:trPr>
          <w:cantSplit w:val="true"/>
        </w:trPr>
        <w:tc>
          <w:tcPr>
            <w:tcW w:type="dxa" w:w="794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R3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文化研创</w:t>
            </w:r>
          </w:p>
        </w:tc>
        <w:tc>
          <w:tcPr>
            <w:tcW w:type="dxa" w:w="317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作品的原创性与素材出处标注</w:t>
            </w:r>
          </w:p>
        </w:tc>
        <w:tc>
          <w:tcPr>
            <w:tcW w:type="dxa" w:w="328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作业成果文本特征</w:t>
            </w:r>
          </w:p>
        </w:tc>
      </w:tr>
      <w:tr>
        <w:trPr>
          <w:cantSplit w:val="true"/>
        </w:trPr>
        <w:tc>
          <w:tcPr>
            <w:tcW w:type="dxa" w:w="794"/>
            <w:tcBorders>
              <w:top w:val="nil"/>
              <w:left w:val="nil"/>
              <w:bottom w:val="single" w:sz="12" w:space="0" w:color="000000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R4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12" w:space="0" w:color="000000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文化研创</w:t>
            </w:r>
          </w:p>
        </w:tc>
        <w:tc>
          <w:tcPr>
            <w:tcW w:type="dxa" w:w="3175"/>
            <w:tcBorders>
              <w:top w:val="nil"/>
              <w:left w:val="nil"/>
              <w:bottom w:val="single" w:sz="12" w:space="0" w:color="000000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作品的传播与反馈</w:t>
            </w:r>
          </w:p>
        </w:tc>
        <w:tc>
          <w:tcPr>
            <w:tcW w:type="dxa" w:w="3288"/>
            <w:tcBorders>
              <w:top w:val="nil"/>
              <w:left w:val="nil"/>
              <w:bottom w:val="single" w:sz="12" w:space="0" w:color="000000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自建智能体；作业成果的使用记录</w:t>
            </w:r>
          </w:p>
        </w:tc>
      </w:tr>
    </w:tbl>
    <w:p>
      <w:pPr>
        <w:keepNext/>
        <w:spacing w:before="200" w:after="120" w:line="360" w:lineRule="auto"/>
        <w:jc w:val="left"/>
        <w:outlineLvl w:val="1"/>
      </w:pPr>
      <w:r>
        <w:rPr>
          <w:rFonts w:ascii="黑体" w:hAnsi="黑体" w:eastAsia="黑体" w:cs="黑体"/>
          <w:b w:val="0"/>
          <w:i w:val="0"/>
          <w:sz w:val="28"/>
        </w:rPr>
        <w:t>2.3　数据可得性约束下的指标落地</w:t>
      </w:r>
    </w:p>
    <w:p>
      <w:pPr>
        <w:keepNext w:val="0"/>
        <w:spacing w:before="0" w:after="0" w:line="360" w:lineRule="auto"/>
        <w:ind w:firstLineChars="200" w:firstLine="480"/>
        <w:jc w:val="both"/>
      </w:pPr>
      <w:r>
        <w:rPr>
          <w:rFonts w:ascii="Times New Roman" w:hAnsi="Times New Roman" w:eastAsia="宋体" w:cs="Times New Roman"/>
          <w:b w:val="0"/>
          <w:i w:val="0"/>
          <w:sz w:val="24"/>
        </w:rPr>
        <w:t>平台共有十三个栏目，理论上都可以提供证据。但在当前阶段，可稳定导出的只有四张表（学生报名情况、课程作业完成率、课程视频完成率、文化对话记录），加上由教师在系统内补传的学生作业成果与学生自建智能体，合计六类证据渠道。表 4 给出十三个栏目到六类渠道的映射关系，未能落地的栏目一并标明，待平台开放相应导出后可直接接入，指标体系本身不必改动。</w:t>
      </w:r>
    </w:p>
    <w:p>
      <w:pPr>
        <w:keepNext/>
        <w:spacing w:before="200" w:after="60" w:line="240" w:lineRule="auto"/>
        <w:jc w:val="center"/>
      </w:pPr>
      <w:r>
        <w:rPr>
          <w:rFonts w:ascii="黑体" w:hAnsi="黑体" w:eastAsia="黑体" w:cs="黑体"/>
          <w:b w:val="0"/>
          <w:i w:val="0"/>
          <w:sz w:val="21"/>
        </w:rPr>
        <w:t>表 4　平台栏目到证据渠道的映射</w:t>
      </w:r>
    </w:p>
    <w:tbl>
      <w:tblPr>
        <w:tblStyle w:val="TableGrid"/>
        <w:tblW w:type="dxa" w:w="8278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2381"/>
        <w:gridCol w:w="3175"/>
        <w:gridCol w:w="2721"/>
      </w:tblGrid>
      <w:tr>
        <w:trPr>
          <w:cantSplit w:val="true"/>
          <w:tblHeader w:val="true"/>
        </w:trPr>
        <w:tc>
          <w:tcPr>
            <w:tcW w:type="dxa" w:w="2381"/>
            <w:tcBorders>
              <w:top w:val="single" w:sz="12" w:space="0" w:color="000000"/>
              <w:left w:val="nil"/>
              <w:bottom w:val="single" w:sz="6" w:space="0" w:color="000000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黑体" w:hAnsi="黑体" w:eastAsia="黑体" w:cs="黑体"/>
                <w:b w:val="0"/>
                <w:i w:val="0"/>
                <w:sz w:val="21"/>
              </w:rPr>
              <w:t>平台栏目</w:t>
            </w:r>
          </w:p>
        </w:tc>
        <w:tc>
          <w:tcPr>
            <w:tcW w:type="dxa" w:w="3175"/>
            <w:tcBorders>
              <w:top w:val="single" w:sz="12" w:space="0" w:color="000000"/>
              <w:left w:val="nil"/>
              <w:bottom w:val="single" w:sz="6" w:space="0" w:color="000000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黑体" w:hAnsi="黑体" w:eastAsia="黑体" w:cs="黑体"/>
                <w:b w:val="0"/>
                <w:i w:val="0"/>
                <w:sz w:val="21"/>
              </w:rPr>
              <w:t>对应证据渠道</w:t>
            </w:r>
          </w:p>
        </w:tc>
        <w:tc>
          <w:tcPr>
            <w:tcW w:type="dxa" w:w="2721"/>
            <w:tcBorders>
              <w:top w:val="single" w:sz="12" w:space="0" w:color="000000"/>
              <w:left w:val="nil"/>
              <w:bottom w:val="single" w:sz="6" w:space="0" w:color="000000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黑体" w:hAnsi="黑体" w:eastAsia="黑体" w:cs="黑体"/>
                <w:b w:val="0"/>
                <w:i w:val="0"/>
                <w:sz w:val="21"/>
              </w:rPr>
              <w:t>当前状态</w:t>
            </w:r>
          </w:p>
        </w:tc>
      </w:tr>
      <w:tr>
        <w:trPr>
          <w:cantSplit w:val="true"/>
        </w:trPr>
        <w:tc>
          <w:tcPr>
            <w:tcW w:type="dxa" w:w="238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文化对话</w:t>
            </w:r>
          </w:p>
        </w:tc>
        <w:tc>
          <w:tcPr>
            <w:tcW w:type="dxa" w:w="317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文化对话</w:t>
            </w:r>
          </w:p>
        </w:tc>
        <w:tc>
          <w:tcPr>
            <w:tcW w:type="dxa" w:w="272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已接入（导出表）</w:t>
            </w:r>
          </w:p>
        </w:tc>
      </w:tr>
      <w:tr>
        <w:trPr>
          <w:cantSplit w:val="true"/>
        </w:trPr>
        <w:tc>
          <w:tcPr>
            <w:tcW w:type="dxa" w:w="238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文化课程</w:t>
            </w:r>
          </w:p>
        </w:tc>
        <w:tc>
          <w:tcPr>
            <w:tcW w:type="dxa" w:w="317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文化课程报名、课程视频、课程作业</w:t>
            </w:r>
          </w:p>
        </w:tc>
        <w:tc>
          <w:tcPr>
            <w:tcW w:type="dxa" w:w="272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已接入（三张导出表）</w:t>
            </w:r>
          </w:p>
        </w:tc>
      </w:tr>
      <w:tr>
        <w:trPr>
          <w:cantSplit w:val="true"/>
        </w:trPr>
        <w:tc>
          <w:tcPr>
            <w:tcW w:type="dxa" w:w="238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教师工作台</w:t>
            </w:r>
          </w:p>
        </w:tc>
        <w:tc>
          <w:tcPr>
            <w:tcW w:type="dxa" w:w="317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课程作业（评分与评语）</w:t>
            </w:r>
          </w:p>
        </w:tc>
        <w:tc>
          <w:tcPr>
            <w:tcW w:type="dxa" w:w="272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已接入（随作业表）</w:t>
            </w:r>
          </w:p>
        </w:tc>
      </w:tr>
      <w:tr>
        <w:trPr>
          <w:cantSplit w:val="true"/>
        </w:trPr>
        <w:tc>
          <w:tcPr>
            <w:tcW w:type="dxa" w:w="238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智能体开发</w:t>
            </w:r>
          </w:p>
        </w:tc>
        <w:tc>
          <w:tcPr>
            <w:tcW w:type="dxa" w:w="317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学生自建智能体</w:t>
            </w:r>
          </w:p>
        </w:tc>
        <w:tc>
          <w:tcPr>
            <w:tcW w:type="dxa" w:w="272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已接入（教师补传）</w:t>
            </w:r>
          </w:p>
        </w:tc>
      </w:tr>
      <w:tr>
        <w:trPr>
          <w:cantSplit w:val="true"/>
        </w:trPr>
        <w:tc>
          <w:tcPr>
            <w:tcW w:type="dxa" w:w="238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视频生成、PPT 制作</w:t>
            </w:r>
          </w:p>
        </w:tc>
        <w:tc>
          <w:tcPr>
            <w:tcW w:type="dxa" w:w="317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学生作业成果</w:t>
            </w:r>
          </w:p>
        </w:tc>
        <w:tc>
          <w:tcPr>
            <w:tcW w:type="dxa" w:w="272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已接入（教师补传）</w:t>
            </w:r>
          </w:p>
        </w:tc>
      </w:tr>
      <w:tr>
        <w:trPr>
          <w:cantSplit w:val="true"/>
        </w:trPr>
        <w:tc>
          <w:tcPr>
            <w:tcW w:type="dxa" w:w="238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智能体广场、视频广场</w:t>
            </w:r>
          </w:p>
        </w:tc>
        <w:tc>
          <w:tcPr>
            <w:tcW w:type="dxa" w:w="317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学生作业成果的传播与反馈</w:t>
            </w:r>
          </w:p>
        </w:tc>
        <w:tc>
          <w:tcPr>
            <w:tcW w:type="dxa" w:w="272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待平台开放导出</w:t>
            </w:r>
          </w:p>
        </w:tc>
      </w:tr>
      <w:tr>
        <w:trPr>
          <w:cantSplit w:val="true"/>
        </w:trPr>
        <w:tc>
          <w:tcPr>
            <w:tcW w:type="dxa" w:w="238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微智工具、智能应用</w:t>
            </w:r>
          </w:p>
        </w:tc>
        <w:tc>
          <w:tcPr>
            <w:tcW w:type="dxa" w:w="317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文化研创的工具使用记录</w:t>
            </w:r>
          </w:p>
        </w:tc>
        <w:tc>
          <w:tcPr>
            <w:tcW w:type="dxa" w:w="272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待平台开放导出</w:t>
            </w:r>
          </w:p>
        </w:tc>
      </w:tr>
      <w:tr>
        <w:trPr>
          <w:cantSplit w:val="true"/>
        </w:trPr>
        <w:tc>
          <w:tcPr>
            <w:tcW w:type="dxa" w:w="238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智能化评价</w:t>
            </w:r>
          </w:p>
        </w:tc>
        <w:tc>
          <w:tcPr>
            <w:tcW w:type="dxa" w:w="317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课程作业的过程性评价</w:t>
            </w:r>
          </w:p>
        </w:tc>
        <w:tc>
          <w:tcPr>
            <w:tcW w:type="dxa" w:w="272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部分接入</w:t>
            </w:r>
          </w:p>
        </w:tc>
      </w:tr>
      <w:tr>
        <w:trPr>
          <w:cantSplit w:val="true"/>
        </w:trPr>
        <w:tc>
          <w:tcPr>
            <w:tcW w:type="dxa" w:w="2381"/>
            <w:tcBorders>
              <w:top w:val="nil"/>
              <w:left w:val="nil"/>
              <w:bottom w:val="single" w:sz="12" w:space="0" w:color="000000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资讯中心、意见反馈</w:t>
            </w:r>
          </w:p>
        </w:tc>
        <w:tc>
          <w:tcPr>
            <w:tcW w:type="dxa" w:w="3175"/>
            <w:tcBorders>
              <w:top w:val="nil"/>
              <w:left w:val="nil"/>
              <w:bottom w:val="single" w:sz="12" w:space="0" w:color="000000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文化志趣的浏览与表达记录</w:t>
            </w:r>
          </w:p>
        </w:tc>
        <w:tc>
          <w:tcPr>
            <w:tcW w:type="dxa" w:w="2721"/>
            <w:tcBorders>
              <w:top w:val="nil"/>
              <w:left w:val="nil"/>
              <w:bottom w:val="single" w:sz="12" w:space="0" w:color="000000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待平台开放导出</w:t>
            </w:r>
          </w:p>
        </w:tc>
      </w:tr>
    </w:tbl>
    <w:p>
      <w:pPr>
        <w:keepNext/>
        <w:spacing w:before="320" w:after="200" w:line="360" w:lineRule="auto"/>
        <w:jc w:val="center"/>
        <w:outlineLvl w:val="0"/>
      </w:pPr>
      <w:r>
        <w:rPr>
          <w:rFonts w:ascii="黑体" w:hAnsi="黑体" w:eastAsia="黑体" w:cs="黑体"/>
          <w:b/>
          <w:i w:val="0"/>
          <w:sz w:val="30"/>
        </w:rPr>
        <w:t>三、指标构建过程</w:t>
      </w:r>
    </w:p>
    <w:p>
      <w:pPr>
        <w:keepNext/>
        <w:spacing w:before="200" w:after="120" w:line="360" w:lineRule="auto"/>
        <w:jc w:val="left"/>
        <w:outlineLvl w:val="1"/>
      </w:pPr>
      <w:r>
        <w:rPr>
          <w:rFonts w:ascii="黑体" w:hAnsi="黑体" w:eastAsia="黑体" w:cs="黑体"/>
          <w:b w:val="0"/>
          <w:i w:val="0"/>
          <w:sz w:val="28"/>
        </w:rPr>
        <w:t>3.1　总体流程</w:t>
      </w:r>
    </w:p>
    <w:p>
      <w:pPr>
        <w:keepNext w:val="0"/>
        <w:spacing w:before="0" w:after="0" w:line="360" w:lineRule="auto"/>
        <w:ind w:firstLineChars="200" w:firstLine="480"/>
        <w:jc w:val="both"/>
      </w:pPr>
      <w:r>
        <w:rPr>
          <w:rFonts w:ascii="Times New Roman" w:hAnsi="Times New Roman" w:eastAsia="宋体" w:cs="Times New Roman"/>
          <w:b w:val="0"/>
          <w:i w:val="0"/>
          <w:sz w:val="24"/>
        </w:rPr>
        <w:t>从一条原始学习记录到最终的五维得分，共经过五步换算，如图 2 所示。五步的分工是：证据抽取解决“哪些行为算数”，三因子计量解决“一条行为值多少”，渠道加权汇总解决“不同行为如何折算到同一把尺子上”，问卷初始得分解决“从哪里起步”，维度合成解决“如何在封顶 1.0 的前提下体现增长”。</w:t>
      </w:r>
    </w:p>
    <w:p>
      <w:pPr>
        <w:keepNext/>
        <w:spacing w:before="16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256000" cy="211836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pipelin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21183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80" w:after="200" w:line="240" w:lineRule="auto"/>
        <w:jc w:val="center"/>
      </w:pPr>
      <w:r>
        <w:rPr>
          <w:rFonts w:ascii="黑体" w:hAnsi="黑体" w:eastAsia="黑体" w:cs="黑体"/>
          <w:b w:val="0"/>
          <w:i w:val="0"/>
          <w:sz w:val="21"/>
        </w:rPr>
        <w:t>图 2　评分内核的五步流程</w:t>
      </w:r>
    </w:p>
    <w:p>
      <w:pPr>
        <w:keepNext/>
        <w:spacing w:before="200" w:after="120" w:line="360" w:lineRule="auto"/>
        <w:jc w:val="left"/>
        <w:outlineLvl w:val="1"/>
      </w:pPr>
      <w:r>
        <w:rPr>
          <w:rFonts w:ascii="黑体" w:hAnsi="黑体" w:eastAsia="黑体" w:cs="黑体"/>
          <w:b w:val="0"/>
          <w:i w:val="0"/>
          <w:sz w:val="28"/>
        </w:rPr>
        <w:t>3.2　第一步：证据抽取</w:t>
      </w:r>
    </w:p>
    <w:p>
      <w:pPr>
        <w:keepNext w:val="0"/>
        <w:spacing w:before="0" w:after="0" w:line="360" w:lineRule="auto"/>
        <w:ind w:firstLineChars="200" w:firstLine="480"/>
        <w:jc w:val="both"/>
      </w:pPr>
      <w:r>
        <w:rPr>
          <w:rFonts w:ascii="Times New Roman" w:hAnsi="Times New Roman" w:eastAsia="宋体" w:cs="Times New Roman"/>
          <w:b w:val="0"/>
          <w:i w:val="0"/>
          <w:sz w:val="24"/>
        </w:rPr>
        <w:t>系统自动识别上传文件的类型，逐行解析为“证据条目”。一条证据同时记录所属学生、学年、渠道、维度、计量、质量、文化相关度、可读的证据描述与内容指纹。六类渠道的字段用法与计量口径列于表 5。</w:t>
      </w:r>
    </w:p>
    <w:p>
      <w:pPr>
        <w:keepNext/>
        <w:spacing w:before="200" w:after="60" w:line="240" w:lineRule="auto"/>
        <w:jc w:val="center"/>
      </w:pPr>
      <w:r>
        <w:rPr>
          <w:rFonts w:ascii="黑体" w:hAnsi="黑体" w:eastAsia="黑体" w:cs="黑体"/>
          <w:b w:val="0"/>
          <w:i w:val="0"/>
          <w:sz w:val="21"/>
        </w:rPr>
        <w:t>表 5　六类证据渠道的字段用法与计量口径</w:t>
      </w:r>
    </w:p>
    <w:tbl>
      <w:tblPr>
        <w:tblStyle w:val="TableGrid"/>
        <w:tblW w:type="dxa" w:w="8278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474"/>
        <w:gridCol w:w="2268"/>
        <w:gridCol w:w="3061"/>
        <w:gridCol w:w="1474"/>
      </w:tblGrid>
      <w:tr>
        <w:trPr>
          <w:cantSplit w:val="true"/>
          <w:tblHeader w:val="true"/>
        </w:trPr>
        <w:tc>
          <w:tcPr>
            <w:tcW w:type="dxa" w:w="1474"/>
            <w:tcBorders>
              <w:top w:val="single" w:sz="12" w:space="0" w:color="000000"/>
              <w:left w:val="nil"/>
              <w:bottom w:val="single" w:sz="6" w:space="0" w:color="000000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黑体" w:hAnsi="黑体" w:eastAsia="黑体" w:cs="黑体"/>
                <w:b w:val="0"/>
                <w:i w:val="0"/>
                <w:sz w:val="18"/>
              </w:rPr>
              <w:t>证据渠道</w:t>
            </w:r>
          </w:p>
        </w:tc>
        <w:tc>
          <w:tcPr>
            <w:tcW w:type="dxa" w:w="2268"/>
            <w:tcBorders>
              <w:top w:val="single" w:sz="12" w:space="0" w:color="000000"/>
              <w:left w:val="nil"/>
              <w:bottom w:val="single" w:sz="6" w:space="0" w:color="000000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黑体" w:hAnsi="黑体" w:eastAsia="黑体" w:cs="黑体"/>
                <w:b w:val="0"/>
                <w:i w:val="0"/>
                <w:sz w:val="18"/>
              </w:rPr>
              <w:t>用到的字段</w:t>
            </w:r>
          </w:p>
        </w:tc>
        <w:tc>
          <w:tcPr>
            <w:tcW w:type="dxa" w:w="3061"/>
            <w:tcBorders>
              <w:top w:val="single" w:sz="12" w:space="0" w:color="000000"/>
              <w:left w:val="nil"/>
              <w:bottom w:val="single" w:sz="6" w:space="0" w:color="000000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黑体" w:hAnsi="黑体" w:eastAsia="黑体" w:cs="黑体"/>
                <w:b w:val="0"/>
                <w:i w:val="0"/>
                <w:sz w:val="18"/>
              </w:rPr>
              <w:t>计量口径</w:t>
            </w:r>
          </w:p>
        </w:tc>
        <w:tc>
          <w:tcPr>
            <w:tcW w:type="dxa" w:w="1474"/>
            <w:tcBorders>
              <w:top w:val="single" w:sz="12" w:space="0" w:color="000000"/>
              <w:left w:val="nil"/>
              <w:bottom w:val="single" w:sz="6" w:space="0" w:color="000000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黑体" w:hAnsi="黑体" w:eastAsia="黑体" w:cs="黑体"/>
                <w:b w:val="0"/>
                <w:i w:val="0"/>
                <w:sz w:val="18"/>
              </w:rPr>
              <w:t>事件粒度</w:t>
            </w:r>
          </w:p>
        </w:tc>
      </w:tr>
      <w:tr>
        <w:trPr>
          <w:cantSplit w:val="true"/>
        </w:trPr>
        <w:tc>
          <w:tcPr>
            <w:tcW w:type="dxa" w:w="1474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文化对话</w:t>
            </w:r>
          </w:p>
        </w:tc>
        <w:tc>
          <w:tcPr>
            <w:tcW w:type="dxa" w:w="226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提问时间、提问内容、回复内容</w:t>
            </w:r>
          </w:p>
        </w:tc>
        <w:tc>
          <w:tcPr>
            <w:tcW w:type="dxa" w:w="30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每轮对话计 0.45，按内容充实度调节</w:t>
            </w:r>
          </w:p>
        </w:tc>
        <w:tc>
          <w:tcPr>
            <w:tcW w:type="dxa" w:w="1474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一轮对话</w:t>
            </w:r>
          </w:p>
        </w:tc>
      </w:tr>
      <w:tr>
        <w:trPr>
          <w:cantSplit w:val="true"/>
        </w:trPr>
        <w:tc>
          <w:tcPr>
            <w:tcW w:type="dxa" w:w="1474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课程作业</w:t>
            </w:r>
          </w:p>
        </w:tc>
        <w:tc>
          <w:tcPr>
            <w:tcW w:type="dxa" w:w="226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课程名、需提交数、已提交数、得分率</w:t>
            </w:r>
          </w:p>
        </w:tc>
        <w:tc>
          <w:tcPr>
            <w:tcW w:type="dxa" w:w="30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已提交份数 × 1.2 ×（0.5 + 0.5 × 得分率）</w:t>
            </w:r>
          </w:p>
        </w:tc>
        <w:tc>
          <w:tcPr>
            <w:tcW w:type="dxa" w:w="1474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一门课程</w:t>
            </w:r>
          </w:p>
        </w:tc>
      </w:tr>
      <w:tr>
        <w:trPr>
          <w:cantSplit w:val="true"/>
        </w:trPr>
        <w:tc>
          <w:tcPr>
            <w:tcW w:type="dxa" w:w="1474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学生作业成果</w:t>
            </w:r>
          </w:p>
        </w:tc>
        <w:tc>
          <w:tcPr>
            <w:tcW w:type="dxa" w:w="226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文件内容（Word／Excel／PPT／视频）</w:t>
            </w:r>
          </w:p>
        </w:tc>
        <w:tc>
          <w:tcPr>
            <w:tcW w:type="dxa" w:w="30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按页数、时长、字数与结构完整度折算</w:t>
            </w:r>
          </w:p>
        </w:tc>
        <w:tc>
          <w:tcPr>
            <w:tcW w:type="dxa" w:w="1474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一份作品</w:t>
            </w:r>
          </w:p>
        </w:tc>
      </w:tr>
      <w:tr>
        <w:trPr>
          <w:cantSplit w:val="true"/>
        </w:trPr>
        <w:tc>
          <w:tcPr>
            <w:tcW w:type="dxa" w:w="1474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学生自建智能体</w:t>
            </w:r>
          </w:p>
        </w:tc>
        <w:tc>
          <w:tcPr>
            <w:tcW w:type="dxa" w:w="226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智能体配置与提示词文本</w:t>
            </w:r>
          </w:p>
        </w:tc>
        <w:tc>
          <w:tcPr>
            <w:tcW w:type="dxa" w:w="30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按角色设定、知识来源与文化主题深度折算</w:t>
            </w:r>
          </w:p>
        </w:tc>
        <w:tc>
          <w:tcPr>
            <w:tcW w:type="dxa" w:w="1474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一个智能体</w:t>
            </w:r>
          </w:p>
        </w:tc>
      </w:tr>
      <w:tr>
        <w:trPr>
          <w:cantSplit w:val="true"/>
        </w:trPr>
        <w:tc>
          <w:tcPr>
            <w:tcW w:type="dxa" w:w="1474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文化课程报名</w:t>
            </w:r>
          </w:p>
        </w:tc>
        <w:tc>
          <w:tcPr>
            <w:tcW w:type="dxa" w:w="226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报名课程名称</w:t>
            </w:r>
          </w:p>
        </w:tc>
        <w:tc>
          <w:tcPr>
            <w:tcW w:type="dxa" w:w="30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每门课程计 2.0</w:t>
            </w:r>
          </w:p>
        </w:tc>
        <w:tc>
          <w:tcPr>
            <w:tcW w:type="dxa" w:w="1474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一门课程</w:t>
            </w:r>
          </w:p>
        </w:tc>
      </w:tr>
      <w:tr>
        <w:trPr>
          <w:cantSplit w:val="true"/>
        </w:trPr>
        <w:tc>
          <w:tcPr>
            <w:tcW w:type="dxa" w:w="1474"/>
            <w:tcBorders>
              <w:top w:val="nil"/>
              <w:left w:val="nil"/>
              <w:bottom w:val="single" w:sz="12" w:space="0" w:color="000000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课程视频</w:t>
            </w:r>
          </w:p>
        </w:tc>
        <w:tc>
          <w:tcPr>
            <w:tcW w:type="dxa" w:w="2268"/>
            <w:tcBorders>
              <w:top w:val="nil"/>
              <w:left w:val="nil"/>
              <w:bottom w:val="single" w:sz="12" w:space="0" w:color="000000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课程名、需完成数、已完成数、完成率</w:t>
            </w:r>
          </w:p>
        </w:tc>
        <w:tc>
          <w:tcPr>
            <w:tcW w:type="dxa" w:w="3061"/>
            <w:tcBorders>
              <w:top w:val="nil"/>
              <w:left w:val="nil"/>
              <w:bottom w:val="single" w:sz="12" w:space="0" w:color="000000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已完成数 ÷ 4，按完成率调节</w:t>
            </w:r>
          </w:p>
        </w:tc>
        <w:tc>
          <w:tcPr>
            <w:tcW w:type="dxa" w:w="1474"/>
            <w:tcBorders>
              <w:top w:val="nil"/>
              <w:left w:val="nil"/>
              <w:bottom w:val="single" w:sz="12" w:space="0" w:color="000000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一门课程</w:t>
            </w:r>
          </w:p>
        </w:tc>
      </w:tr>
    </w:tbl>
    <w:p>
      <w:pPr>
        <w:keepNext/>
        <w:spacing w:before="120" w:after="80" w:line="360" w:lineRule="auto"/>
        <w:jc w:val="left"/>
        <w:outlineLvl w:val="2"/>
      </w:pPr>
      <w:r>
        <w:rPr>
          <w:rFonts w:ascii="黑体" w:hAnsi="黑体" w:eastAsia="黑体" w:cs="黑体"/>
          <w:b w:val="0"/>
          <w:i w:val="0"/>
          <w:sz w:val="24"/>
        </w:rPr>
        <w:t>3.2.1　自由文本的清洗与概括</w:t>
      </w:r>
    </w:p>
    <w:p>
      <w:pPr>
        <w:keepNext w:val="0"/>
        <w:spacing w:before="0" w:after="0" w:line="360" w:lineRule="auto"/>
        <w:ind w:firstLineChars="200" w:firstLine="480"/>
        <w:jc w:val="both"/>
      </w:pPr>
      <w:r>
        <w:rPr>
          <w:rFonts w:ascii="Times New Roman" w:hAnsi="Times New Roman" w:eastAsia="宋体" w:cs="Times New Roman"/>
          <w:b w:val="0"/>
          <w:i w:val="0"/>
          <w:sz w:val="24"/>
        </w:rPr>
        <w:t>文化对话是六类渠道中唯一的自由文本来源，也是唯一需要额外处理的一类。学生常把整页 HTML、程序代码或长提示词直接粘进对话框，若照原样使用会引出两个问题：一是这些标记会被文化词典误当作内容参与匹配，二是教师界面上会出现一串尖括号。因此系统先剥掉标记语言、代码块、链接与表情符号，只保留可读的自然语言，再据此判定文化相关度与作答充实度。</w:t>
      </w:r>
    </w:p>
    <w:p>
      <w:pPr>
        <w:keepNext w:val="0"/>
        <w:spacing w:before="0" w:after="0" w:line="360" w:lineRule="auto"/>
        <w:ind w:firstLineChars="200" w:firstLine="480"/>
        <w:jc w:val="both"/>
      </w:pPr>
      <w:r>
        <w:rPr>
          <w:rFonts w:ascii="Times New Roman" w:hAnsi="Times New Roman" w:eastAsia="宋体" w:cs="Times New Roman"/>
          <w:b w:val="0"/>
          <w:i w:val="0"/>
          <w:sz w:val="24"/>
        </w:rPr>
        <w:t>界面与学习报告中不呈现提问原文，而是呈现一句中文概括：先把提问归入六种形态之一，再取清洗后文本的首句，并附上命中的文化主题词。归类与概括全部由规则算出，不调用大模型，因此与打分一样可复算、可审计。六种形态与判据列于表 6。</w:t>
      </w:r>
    </w:p>
    <w:p>
      <w:pPr>
        <w:keepNext/>
        <w:spacing w:before="200" w:after="60" w:line="240" w:lineRule="auto"/>
        <w:jc w:val="center"/>
      </w:pPr>
      <w:r>
        <w:rPr>
          <w:rFonts w:ascii="黑体" w:hAnsi="黑体" w:eastAsia="黑体" w:cs="黑体"/>
          <w:b w:val="0"/>
          <w:i w:val="0"/>
          <w:sz w:val="21"/>
        </w:rPr>
        <w:t>表 6　文化对话的形态归类</w:t>
      </w:r>
    </w:p>
    <w:tbl>
      <w:tblPr>
        <w:tblStyle w:val="TableGrid"/>
        <w:tblW w:type="dxa" w:w="8278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587"/>
        <w:gridCol w:w="3742"/>
        <w:gridCol w:w="2948"/>
      </w:tblGrid>
      <w:tr>
        <w:trPr>
          <w:cantSplit w:val="true"/>
          <w:tblHeader w:val="true"/>
        </w:trPr>
        <w:tc>
          <w:tcPr>
            <w:tcW w:type="dxa" w:w="1587"/>
            <w:tcBorders>
              <w:top w:val="single" w:sz="12" w:space="0" w:color="000000"/>
              <w:left w:val="nil"/>
              <w:bottom w:val="single" w:sz="6" w:space="0" w:color="000000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黑体" w:hAnsi="黑体" w:eastAsia="黑体" w:cs="黑体"/>
                <w:b w:val="0"/>
                <w:i w:val="0"/>
                <w:sz w:val="18"/>
              </w:rPr>
              <w:t>形态</w:t>
            </w:r>
          </w:p>
        </w:tc>
        <w:tc>
          <w:tcPr>
            <w:tcW w:type="dxa" w:w="3742"/>
            <w:tcBorders>
              <w:top w:val="single" w:sz="12" w:space="0" w:color="000000"/>
              <w:left w:val="nil"/>
              <w:bottom w:val="single" w:sz="6" w:space="0" w:color="000000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黑体" w:hAnsi="黑体" w:eastAsia="黑体" w:cs="黑体"/>
                <w:b w:val="0"/>
                <w:i w:val="0"/>
                <w:sz w:val="18"/>
              </w:rPr>
              <w:t>判据</w:t>
            </w:r>
          </w:p>
        </w:tc>
        <w:tc>
          <w:tcPr>
            <w:tcW w:type="dxa" w:w="2948"/>
            <w:tcBorders>
              <w:top w:val="single" w:sz="12" w:space="0" w:color="000000"/>
              <w:left w:val="nil"/>
              <w:bottom w:val="single" w:sz="6" w:space="0" w:color="000000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黑体" w:hAnsi="黑体" w:eastAsia="黑体" w:cs="黑体"/>
                <w:b w:val="0"/>
                <w:i w:val="0"/>
                <w:sz w:val="18"/>
              </w:rPr>
              <w:t>概括呈现方式</w:t>
            </w:r>
          </w:p>
        </w:tc>
      </w:tr>
      <w:tr>
        <w:trPr>
          <w:cantSplit w:val="true"/>
        </w:trPr>
        <w:tc>
          <w:tcPr>
            <w:tcW w:type="dxa" w:w="15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代码与网页片段</w:t>
            </w:r>
          </w:p>
        </w:tc>
        <w:tc>
          <w:tcPr>
            <w:tcW w:type="dxa" w:w="374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出现网页标签、代码围栏，或代码符号密集且中文占比不足 35%</w:t>
            </w:r>
          </w:p>
        </w:tc>
        <w:tc>
          <w:tcPr>
            <w:tcW w:type="dxa" w:w="294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报出内容体量，并在附言确为成句中文时一并给出</w:t>
            </w:r>
          </w:p>
        </w:tc>
      </w:tr>
      <w:tr>
        <w:trPr>
          <w:cantSplit w:val="true"/>
        </w:trPr>
        <w:tc>
          <w:tcPr>
            <w:tcW w:type="dxa" w:w="15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简短追问</w:t>
            </w:r>
          </w:p>
        </w:tc>
        <w:tc>
          <w:tcPr>
            <w:tcW w:type="dxa" w:w="374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清洗后不足 4 个字</w:t>
            </w:r>
          </w:p>
        </w:tc>
        <w:tc>
          <w:tcPr>
            <w:tcW w:type="dxa" w:w="294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直接呈现原句</w:t>
            </w:r>
          </w:p>
        </w:tc>
      </w:tr>
      <w:tr>
        <w:trPr>
          <w:cantSplit w:val="true"/>
        </w:trPr>
        <w:tc>
          <w:tcPr>
            <w:tcW w:type="dxa" w:w="15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创作与生成请求</w:t>
            </w:r>
          </w:p>
        </w:tc>
        <w:tc>
          <w:tcPr>
            <w:tcW w:type="dxa" w:w="374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出现帮我、生成、制作、设计、修改等词</w:t>
            </w:r>
          </w:p>
        </w:tc>
        <w:tc>
          <w:tcPr>
            <w:tcW w:type="dxa" w:w="294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取首句</w:t>
            </w:r>
          </w:p>
        </w:tc>
      </w:tr>
      <w:tr>
        <w:trPr>
          <w:cantSplit w:val="true"/>
        </w:trPr>
        <w:tc>
          <w:tcPr>
            <w:tcW w:type="dxa" w:w="15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操作求助</w:t>
            </w:r>
          </w:p>
        </w:tc>
        <w:tc>
          <w:tcPr>
            <w:tcW w:type="dxa" w:w="374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出现报错、打不开、运行、安装、浏览器等词</w:t>
            </w:r>
          </w:p>
        </w:tc>
        <w:tc>
          <w:tcPr>
            <w:tcW w:type="dxa" w:w="294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取首句</w:t>
            </w:r>
          </w:p>
        </w:tc>
      </w:tr>
      <w:tr>
        <w:trPr>
          <w:cantSplit w:val="true"/>
        </w:trPr>
        <w:tc>
          <w:tcPr>
            <w:tcW w:type="dxa" w:w="15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知识性提问</w:t>
            </w:r>
          </w:p>
        </w:tc>
        <w:tc>
          <w:tcPr>
            <w:tcW w:type="dxa" w:w="374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出现为什么、如何、什么、区别、由来、意义等词</w:t>
            </w:r>
          </w:p>
        </w:tc>
        <w:tc>
          <w:tcPr>
            <w:tcW w:type="dxa" w:w="294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取首句</w:t>
            </w:r>
          </w:p>
        </w:tc>
      </w:tr>
      <w:tr>
        <w:trPr>
          <w:cantSplit w:val="true"/>
        </w:trPr>
        <w:tc>
          <w:tcPr>
            <w:tcW w:type="dxa" w:w="1587"/>
            <w:tcBorders>
              <w:top w:val="nil"/>
              <w:left w:val="nil"/>
              <w:bottom w:val="single" w:sz="12" w:space="0" w:color="000000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学习交流</w:t>
            </w:r>
          </w:p>
        </w:tc>
        <w:tc>
          <w:tcPr>
            <w:tcW w:type="dxa" w:w="3742"/>
            <w:tcBorders>
              <w:top w:val="nil"/>
              <w:left w:val="nil"/>
              <w:bottom w:val="single" w:sz="12" w:space="0" w:color="000000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以上均不命中</w:t>
            </w:r>
          </w:p>
        </w:tc>
        <w:tc>
          <w:tcPr>
            <w:tcW w:type="dxa" w:w="2948"/>
            <w:tcBorders>
              <w:top w:val="nil"/>
              <w:left w:val="nil"/>
              <w:bottom w:val="single" w:sz="12" w:space="0" w:color="000000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取首句</w:t>
            </w:r>
          </w:p>
        </w:tc>
      </w:tr>
    </w:tbl>
    <w:p>
      <w:pPr>
        <w:keepNext w:val="0"/>
        <w:spacing w:before="0" w:after="0" w:line="360" w:lineRule="auto"/>
        <w:ind w:firstLineChars="200" w:firstLine="480"/>
        <w:jc w:val="both"/>
      </w:pPr>
      <w:r>
        <w:rPr>
          <w:rFonts w:ascii="Times New Roman" w:hAnsi="Times New Roman" w:eastAsia="宋体" w:cs="Times New Roman"/>
          <w:b w:val="0"/>
          <w:i w:val="0"/>
          <w:sz w:val="24"/>
        </w:rPr>
        <w:t>作业成果与自建智能体的指纹取文件的 SHA-256 摘要，因此改文件名、换目录、重复上传都只计一次；四张导出表的每一行取业务主键作为指纹（课程名加完成数加得分率、提问时间加提问内容等），整表重复导入会被逐行忽略。这是“同样的内容反复上传得分完全不变”这一硬要求在存储层的实现，而不是近似。</w:t>
      </w:r>
    </w:p>
    <w:p>
      <w:pPr>
        <w:keepNext/>
        <w:spacing w:before="200" w:after="120" w:line="360" w:lineRule="auto"/>
        <w:jc w:val="left"/>
        <w:outlineLvl w:val="1"/>
      </w:pPr>
      <w:r>
        <w:rPr>
          <w:rFonts w:ascii="黑体" w:hAnsi="黑体" w:eastAsia="黑体" w:cs="黑体"/>
          <w:b w:val="0"/>
          <w:i w:val="0"/>
          <w:sz w:val="28"/>
        </w:rPr>
        <w:t>3.3　第二步：三因子计量</w:t>
      </w:r>
    </w:p>
    <w:p>
      <w:pPr>
        <w:keepNext w:val="0"/>
        <w:spacing w:before="0" w:after="0" w:line="360" w:lineRule="auto"/>
        <w:ind w:firstLineChars="200" w:firstLine="480"/>
        <w:jc w:val="both"/>
      </w:pPr>
      <w:r>
        <w:rPr>
          <w:rFonts w:ascii="Times New Roman" w:hAnsi="Times New Roman" w:eastAsia="宋体" w:cs="Times New Roman"/>
          <w:b w:val="0"/>
          <w:i w:val="0"/>
          <w:sz w:val="24"/>
        </w:rPr>
        <w:t>一条行为记录能贡献多少证据，由三个因子相乘决定，如图 3 所示：做了多少（计量）、做得怎么样（质量）、与文化主题贴不贴（文化相关度）。三者缺一不可——只看数量会奖励刷量，只看质量会埋没积累，不看文化相关度则任何学习行为都能计入文化素养。单条证据的有效证据量按式（1）计算。</w:t>
      </w:r>
    </w:p>
    <w:p>
      <w:pPr>
        <w:tabs>
          <w:tab w:val="center" w:pos="4100"/>
          <w:tab w:val="right" w:pos="8300"/>
        </w:tabs>
        <w:spacing w:before="120" w:after="120" w:line="360" w:lineRule="auto"/>
      </w:pPr>
      <w:r>
        <w:tab/>
      </w:r>
      <m:oMath>
        <m:r>
          <w:rPr>
            <w:rFonts w:ascii="Cambria Math" w:hAnsi="Cambria Math"/>
            <w:sz w:val="24"/>
            <w:szCs w:val="24"/>
          </w:rPr>
          <m:t xml:space="preserve">e</m:t>
        </m:r>
        <m:r>
          <w:rPr>
            <w:rFonts w:ascii="Cambria Math" w:hAnsi="Cambria Math"/>
            <w:sz w:val="24"/>
            <w:szCs w:val="24"/>
          </w:rPr>
          <m:t xml:space="preserve"> = </m:t>
        </m:r>
        <m:r>
          <w:rPr>
            <w:rFonts w:ascii="Cambria Math" w:hAnsi="Cambria Math"/>
            <w:sz w:val="24"/>
            <w:szCs w:val="24"/>
          </w:rPr>
          <m:t xml:space="preserve">m</m:t>
        </m:r>
        <m:r>
          <w:rPr>
            <w:rFonts w:ascii="Cambria Math" w:hAnsi="Cambria Math"/>
            <w:sz w:val="24"/>
            <w:szCs w:val="24"/>
          </w:rPr>
          <m:t xml:space="preserve"> · </m:t>
        </m:r>
        <m:r>
          <w:rPr>
            <w:rFonts w:ascii="Cambria Math" w:hAnsi="Cambria Math"/>
            <w:sz w:val="24"/>
            <w:szCs w:val="24"/>
          </w:rPr>
          <m:t xml:space="preserve">q</m:t>
        </m:r>
        <m:r>
          <w:rPr>
            <w:rFonts w:ascii="Cambria Math" w:hAnsi="Cambria Math"/>
            <w:sz w:val="24"/>
            <w:szCs w:val="24"/>
          </w:rPr>
          <m:t xml:space="preserve"> · </m:t>
        </m:r>
        <m:r>
          <w:rPr>
            <w:rFonts w:ascii="Cambria Math" w:hAnsi="Cambria Math"/>
            <w:sz w:val="24"/>
            <w:szCs w:val="24"/>
          </w:rPr>
          <m:t xml:space="preserve">ρ</m:t>
        </m:r>
      </m:oMath>
      <w:r>
        <w:rPr>
          <w:rFonts w:ascii="Times New Roman" w:hAnsi="Times New Roman" w:eastAsia="宋体"/>
          <w:sz w:val="24"/>
          <w:szCs w:val="24"/>
        </w:rPr>
        <w:tab/>
        <w:t>（1）</w:t>
      </w:r>
    </w:p>
    <w:p>
      <w:pPr>
        <w:keepNext w:val="0"/>
        <w:spacing w:before="0" w:after="0" w:line="360" w:lineRule="auto"/>
        <w:ind w:firstLineChars="200" w:firstLine="480"/>
        <w:jc w:val="both"/>
      </w:pPr>
      <w:r>
        <w:rPr>
          <w:rFonts w:ascii="Times New Roman" w:hAnsi="Times New Roman" w:eastAsia="宋体" w:cs="Times New Roman"/>
          <w:b w:val="0"/>
          <w:i w:val="0"/>
          <w:sz w:val="24"/>
        </w:rPr>
        <w:t>质量因子由该渠道可得的完成度指标合成。以课程作业为例，按式（2）取提交率与得分率的加权；未打分的作业按提交行为给 0.6 保底，避免因教师未及时批改而让学生吃亏。</w:t>
      </w:r>
    </w:p>
    <w:p>
      <w:pPr>
        <w:tabs>
          <w:tab w:val="center" w:pos="4100"/>
          <w:tab w:val="right" w:pos="8300"/>
        </w:tabs>
        <w:spacing w:before="120" w:after="120" w:line="360" w:lineRule="auto"/>
      </w:pPr>
      <w:r>
        <w:tab/>
      </w:r>
      <m:oMath>
        <m:r>
          <w:rPr>
            <w:rFonts w:ascii="Cambria Math" w:hAnsi="Cambria Math"/>
            <w:sz w:val="24"/>
            <w:szCs w:val="24"/>
          </w:rPr>
          <m:t xml:space="preserve">q</m:t>
        </m:r>
        <m:r>
          <w:rPr>
            <w:rFonts w:ascii="Cambria Math" w:hAnsi="Cambria Math"/>
            <w:sz w:val="24"/>
            <w:szCs w:val="24"/>
          </w:rPr>
          <m:t xml:space="preserve"> = </m:t>
        </m:r>
        <m:r>
          <w:rPr>
            <w:rFonts w:ascii="Cambria Math" w:hAnsi="Cambria Math"/>
            <w:sz w:val="24"/>
            <w:szCs w:val="24"/>
          </w:rPr>
          <m:t xml:space="preserve">0.35</m:t>
        </m:r>
        <m:r>
          <w:rPr>
            <w:rFonts w:ascii="Cambria Math" w:hAnsi="Cambria Math"/>
            <w:sz w:val="24"/>
            <w:szCs w:val="24"/>
          </w:rPr>
          <m:t xml:space="preserve"> · </m:t>
        </m:r>
        <m:sSub>
          <m:e>
            <m:r>
              <w:rPr>
                <w:rFonts w:ascii="Cambria Math" w:hAnsi="Cambria Math"/>
                <w:sz w:val="24"/>
                <w:szCs w:val="24"/>
              </w:rPr>
              <m:t xml:space="preserve">r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 xml:space="preserve">提交</m:t>
            </m:r>
          </m:sub>
        </m:sSub>
        <m:r>
          <w:rPr>
            <w:rFonts w:ascii="Cambria Math" w:hAnsi="Cambria Math"/>
            <w:sz w:val="24"/>
            <w:szCs w:val="24"/>
          </w:rPr>
          <m:t xml:space="preserve"> + </m:t>
        </m:r>
        <m:r>
          <w:rPr>
            <w:rFonts w:ascii="Cambria Math" w:hAnsi="Cambria Math"/>
            <w:sz w:val="24"/>
            <w:szCs w:val="24"/>
          </w:rPr>
          <m:t xml:space="preserve">0.65</m:t>
        </m:r>
        <m:r>
          <w:rPr>
            <w:rFonts w:ascii="Cambria Math" w:hAnsi="Cambria Math"/>
            <w:sz w:val="24"/>
            <w:szCs w:val="24"/>
          </w:rPr>
          <m:t xml:space="preserve"> · </m:t>
        </m:r>
        <m:sSub>
          <m:e>
            <m:r>
              <w:rPr>
                <w:rFonts w:ascii="Cambria Math" w:hAnsi="Cambria Math"/>
                <w:sz w:val="24"/>
                <w:szCs w:val="24"/>
              </w:rPr>
              <m:t xml:space="preserve">r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 xml:space="preserve">得分</m:t>
            </m:r>
          </m:sub>
        </m:sSub>
      </m:oMath>
      <w:r>
        <w:rPr>
          <w:rFonts w:ascii="Times New Roman" w:hAnsi="Times New Roman" w:eastAsia="宋体"/>
          <w:sz w:val="24"/>
          <w:szCs w:val="24"/>
        </w:rPr>
        <w:tab/>
        <w:t>（2）</w:t>
      </w:r>
    </w:p>
    <w:p>
      <w:pPr>
        <w:keepNext w:val="0"/>
        <w:spacing w:before="0" w:after="0" w:line="360" w:lineRule="auto"/>
        <w:ind w:firstLineChars="200" w:firstLine="480"/>
        <w:jc w:val="both"/>
      </w:pPr>
      <w:r>
        <w:rPr>
          <w:rFonts w:ascii="Times New Roman" w:hAnsi="Times New Roman" w:eastAsia="宋体" w:cs="Times New Roman"/>
          <w:b w:val="0"/>
          <w:i w:val="0"/>
          <w:sz w:val="24"/>
        </w:rPr>
        <w:t>文化相关度按式（3）在文本上逐级判定：认真参与即给 0.40 保底，命中通用文化词、嘉兴地域文化词、革命文化词后逐级上浮，最高 1.00。取 0.40 保底是有意为之的宽松策略——只要行为落在五大维度的范畴内就应当计分，不因用词不同而漏计。</w:t>
      </w:r>
    </w:p>
    <w:p>
      <w:pPr>
        <w:tabs>
          <w:tab w:val="center" w:pos="4100"/>
          <w:tab w:val="right" w:pos="8300"/>
        </w:tabs>
        <w:spacing w:before="120" w:after="120" w:line="360" w:lineRule="auto"/>
      </w:pPr>
      <w:r>
        <w:tab/>
      </w:r>
      <m:oMath>
        <m:r>
          <w:rPr>
            <w:rFonts w:ascii="Cambria Math" w:hAnsi="Cambria Math"/>
            <w:sz w:val="24"/>
            <w:szCs w:val="24"/>
          </w:rPr>
          <m:t xml:space="preserve">ρ</m:t>
        </m:r>
        <m:r>
          <w:rPr>
            <w:rFonts w:ascii="Cambria Math" w:hAnsi="Cambria Math"/>
            <w:sz w:val="24"/>
            <w:szCs w:val="24"/>
          </w:rPr>
          <m:t xml:space="preserve"> = </m:t>
        </m:r>
        <m:r>
          <w:rPr>
            <w:rFonts w:ascii="Cambria Math" w:hAnsi="Cambria Math"/>
            <w:sz w:val="24"/>
            <w:szCs w:val="24"/>
          </w:rPr>
          <m:t xml:space="preserve">min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  <w:sz w:val="24"/>
                <w:szCs w:val="24"/>
              </w:rPr>
              <m:t xml:space="preserve">1.00, 0.40 + 0.20</m:t>
            </m:r>
            <m:r>
              <w:rPr>
                <w:rFonts w:ascii="Cambria Math" w:hAnsi="Cambria Math"/>
                <w:sz w:val="24"/>
                <w:szCs w:val="24"/>
              </w:rPr>
              <m:t xml:space="preserve"> · </m:t>
            </m:r>
            <m:sSub>
              <m:e>
                <m:r>
                  <w:rPr>
                    <w:rFonts w:ascii="Cambria Math" w:hAnsi="Cambria Math"/>
                    <w:sz w:val="24"/>
                    <w:szCs w:val="24"/>
                  </w:rPr>
                  <m:t xml:space="preserve">n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 xml:space="preserve">通用</m:t>
                </m:r>
              </m:sub>
            </m:sSub>
            <m:r>
              <w:rPr>
                <w:rFonts w:ascii="Cambria Math" w:hAnsi="Cambria Math"/>
                <w:sz w:val="24"/>
                <w:szCs w:val="24"/>
              </w:rPr>
              <m:t xml:space="preserve"> + 0.25</m:t>
            </m:r>
            <m:r>
              <w:rPr>
                <w:rFonts w:ascii="Cambria Math" w:hAnsi="Cambria Math"/>
                <w:sz w:val="24"/>
                <w:szCs w:val="24"/>
              </w:rPr>
              <m:t xml:space="preserve"> · </m:t>
            </m:r>
            <m:sSub>
              <m:e>
                <m:r>
                  <w:rPr>
                    <w:rFonts w:ascii="Cambria Math" w:hAnsi="Cambria Math"/>
                    <w:sz w:val="24"/>
                    <w:szCs w:val="24"/>
                  </w:rPr>
                  <m:t xml:space="preserve">n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 xml:space="preserve">地域</m:t>
                </m:r>
              </m:sub>
            </m:sSub>
            <m:r>
              <w:rPr>
                <w:rFonts w:ascii="Cambria Math" w:hAnsi="Cambria Math"/>
                <w:sz w:val="24"/>
                <w:szCs w:val="24"/>
              </w:rPr>
              <m:t xml:space="preserve"> + 0.25</m:t>
            </m:r>
            <m:r>
              <w:rPr>
                <w:rFonts w:ascii="Cambria Math" w:hAnsi="Cambria Math"/>
                <w:sz w:val="24"/>
                <w:szCs w:val="24"/>
              </w:rPr>
              <m:t xml:space="preserve"> · </m:t>
            </m:r>
            <m:sSub>
              <m:e>
                <m:r>
                  <w:rPr>
                    <w:rFonts w:ascii="Cambria Math" w:hAnsi="Cambria Math"/>
                    <w:sz w:val="24"/>
                    <w:szCs w:val="24"/>
                  </w:rPr>
                  <m:t xml:space="preserve">n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 xml:space="preserve">革命</m:t>
                </m:r>
              </m:sub>
            </m:sSub>
          </m:e>
        </m:d>
      </m:oMath>
      <w:r>
        <w:rPr>
          <w:rFonts w:ascii="Times New Roman" w:hAnsi="Times New Roman" w:eastAsia="宋体"/>
          <w:sz w:val="24"/>
          <w:szCs w:val="24"/>
        </w:rPr>
        <w:tab/>
        <w:t>（3）</w:t>
      </w:r>
    </w:p>
    <w:p>
      <w:pPr>
        <w:keepNext/>
        <w:spacing w:before="16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940639" cy="24703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three_facto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40639" cy="2470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80" w:after="200" w:line="240" w:lineRule="auto"/>
        <w:jc w:val="center"/>
      </w:pPr>
      <w:r>
        <w:rPr>
          <w:rFonts w:ascii="黑体" w:hAnsi="黑体" w:eastAsia="黑体" w:cs="黑体"/>
          <w:b w:val="0"/>
          <w:i w:val="0"/>
          <w:sz w:val="21"/>
        </w:rPr>
        <w:t>图 3　单条证据的三因子计量</w:t>
      </w:r>
    </w:p>
    <w:p>
      <w:pPr>
        <w:keepNext w:val="0"/>
        <w:spacing w:before="0" w:after="0" w:line="360" w:lineRule="auto"/>
        <w:ind w:firstLineChars="200" w:firstLine="480"/>
        <w:jc w:val="both"/>
      </w:pPr>
      <w:r>
        <w:rPr>
          <w:rFonts w:ascii="Times New Roman" w:hAnsi="Times New Roman" w:eastAsia="宋体" w:cs="Times New Roman"/>
          <w:b w:val="0"/>
          <w:i w:val="0"/>
          <w:sz w:val="24"/>
        </w:rPr>
        <w:t>三个因子的取值规则汇总于表 7。</w:t>
      </w:r>
    </w:p>
    <w:p>
      <w:pPr>
        <w:keepNext/>
        <w:spacing w:before="200" w:after="60" w:line="240" w:lineRule="auto"/>
        <w:jc w:val="center"/>
      </w:pPr>
      <w:r>
        <w:rPr>
          <w:rFonts w:ascii="黑体" w:hAnsi="黑体" w:eastAsia="黑体" w:cs="黑体"/>
          <w:b w:val="0"/>
          <w:i w:val="0"/>
          <w:sz w:val="21"/>
        </w:rPr>
        <w:t>表 7　三因子的取值规则</w:t>
      </w:r>
    </w:p>
    <w:tbl>
      <w:tblPr>
        <w:tblStyle w:val="TableGrid"/>
        <w:tblW w:type="dxa" w:w="8278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360"/>
        <w:gridCol w:w="3402"/>
        <w:gridCol w:w="1134"/>
        <w:gridCol w:w="2381"/>
      </w:tblGrid>
      <w:tr>
        <w:trPr>
          <w:cantSplit w:val="true"/>
          <w:tblHeader w:val="true"/>
        </w:trPr>
        <w:tc>
          <w:tcPr>
            <w:tcW w:type="dxa" w:w="1361"/>
            <w:tcBorders>
              <w:top w:val="single" w:sz="12" w:space="0" w:color="000000"/>
              <w:left w:val="nil"/>
              <w:bottom w:val="single" w:sz="6" w:space="0" w:color="000000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黑体" w:hAnsi="黑体" w:eastAsia="黑体" w:cs="黑体"/>
                <w:b w:val="0"/>
                <w:i w:val="0"/>
                <w:sz w:val="21"/>
              </w:rPr>
              <w:t>因子</w:t>
            </w:r>
          </w:p>
        </w:tc>
        <w:tc>
          <w:tcPr>
            <w:tcW w:type="dxa" w:w="3402"/>
            <w:tcBorders>
              <w:top w:val="single" w:sz="12" w:space="0" w:color="000000"/>
              <w:left w:val="nil"/>
              <w:bottom w:val="single" w:sz="6" w:space="0" w:color="000000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黑体" w:hAnsi="黑体" w:eastAsia="黑体" w:cs="黑体"/>
                <w:b w:val="0"/>
                <w:i w:val="0"/>
                <w:sz w:val="21"/>
              </w:rPr>
              <w:t>取值依据</w:t>
            </w:r>
          </w:p>
        </w:tc>
        <w:tc>
          <w:tcPr>
            <w:tcW w:type="dxa" w:w="1134"/>
            <w:tcBorders>
              <w:top w:val="single" w:sz="12" w:space="0" w:color="000000"/>
              <w:left w:val="nil"/>
              <w:bottom w:val="single" w:sz="6" w:space="0" w:color="000000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黑体" w:hAnsi="黑体" w:eastAsia="黑体" w:cs="黑体"/>
                <w:b w:val="0"/>
                <w:i w:val="0"/>
                <w:sz w:val="21"/>
              </w:rPr>
              <w:t>取值范围</w:t>
            </w:r>
          </w:p>
        </w:tc>
        <w:tc>
          <w:tcPr>
            <w:tcW w:type="dxa" w:w="2381"/>
            <w:tcBorders>
              <w:top w:val="single" w:sz="12" w:space="0" w:color="000000"/>
              <w:left w:val="nil"/>
              <w:bottom w:val="single" w:sz="6" w:space="0" w:color="000000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黑体" w:hAnsi="黑体" w:eastAsia="黑体" w:cs="黑体"/>
                <w:b w:val="0"/>
                <w:i w:val="0"/>
                <w:sz w:val="21"/>
              </w:rPr>
              <w:t>设计意图</w:t>
            </w:r>
          </w:p>
        </w:tc>
      </w:tr>
      <w:tr>
        <w:trPr>
          <w:cantSplit w:val="true"/>
        </w:trPr>
        <w:tc>
          <w:tcPr>
            <w:tcW w:type="dxa" w:w="1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计量 m</w:t>
            </w:r>
          </w:p>
        </w:tc>
        <w:tc>
          <w:tcPr>
            <w:tcW w:type="dxa" w:w="340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课程数、视频完成数、作业提交数、对话轮次、作品体量</w:t>
            </w:r>
          </w:p>
        </w:tc>
        <w:tc>
          <w:tcPr>
            <w:tcW w:type="dxa" w:w="1134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≥0</w:t>
            </w:r>
          </w:p>
        </w:tc>
        <w:tc>
          <w:tcPr>
            <w:tcW w:type="dxa" w:w="238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反映投入的体量</w:t>
            </w:r>
          </w:p>
        </w:tc>
      </w:tr>
      <w:tr>
        <w:trPr>
          <w:cantSplit w:val="true"/>
        </w:trPr>
        <w:tc>
          <w:tcPr>
            <w:tcW w:type="dxa" w:w="1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质量 q</w:t>
            </w:r>
          </w:p>
        </w:tc>
        <w:tc>
          <w:tcPr>
            <w:tcW w:type="dxa" w:w="340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完成率、得分率、文本充实度、结构完整度</w:t>
            </w:r>
          </w:p>
        </w:tc>
        <w:tc>
          <w:tcPr>
            <w:tcW w:type="dxa" w:w="1134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0~1</w:t>
            </w:r>
          </w:p>
        </w:tc>
        <w:tc>
          <w:tcPr>
            <w:tcW w:type="dxa" w:w="238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抑制“只完成不投入”</w:t>
            </w:r>
          </w:p>
        </w:tc>
      </w:tr>
      <w:tr>
        <w:trPr>
          <w:cantSplit w:val="true"/>
        </w:trPr>
        <w:tc>
          <w:tcPr>
            <w:tcW w:type="dxa" w:w="1361"/>
            <w:tcBorders>
              <w:top w:val="nil"/>
              <w:left w:val="nil"/>
              <w:bottom w:val="single" w:sz="12" w:space="0" w:color="000000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文化相关度 ρ</w:t>
            </w:r>
          </w:p>
        </w:tc>
        <w:tc>
          <w:tcPr>
            <w:tcW w:type="dxa" w:w="3402"/>
            <w:tcBorders>
              <w:top w:val="nil"/>
              <w:left w:val="nil"/>
              <w:bottom w:val="single" w:sz="12" w:space="0" w:color="000000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文本命中的文化词层级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12" w:space="0" w:color="000000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0.40~1.00</w:t>
            </w:r>
          </w:p>
        </w:tc>
        <w:tc>
          <w:tcPr>
            <w:tcW w:type="dxa" w:w="2381"/>
            <w:tcBorders>
              <w:top w:val="nil"/>
              <w:left w:val="nil"/>
              <w:bottom w:val="single" w:sz="12" w:space="0" w:color="000000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确保计入的是文化素养</w:t>
            </w:r>
          </w:p>
        </w:tc>
      </w:tr>
    </w:tbl>
    <w:p>
      <w:pPr>
        <w:keepNext w:val="0"/>
        <w:spacing w:before="0" w:after="0" w:line="360" w:lineRule="auto"/>
        <w:ind w:firstLineChars="200" w:firstLine="480"/>
        <w:jc w:val="both"/>
      </w:pPr>
      <w:r>
        <w:rPr>
          <w:rFonts w:ascii="Times New Roman" w:hAnsi="Times New Roman" w:eastAsia="宋体" w:cs="Times New Roman"/>
          <w:b w:val="0"/>
          <w:i w:val="0"/>
          <w:sz w:val="24"/>
        </w:rPr>
        <w:t>口水式对话（如“你好”“继续”）在质量因子上被降权到 0.12，因此即使反复发送也几乎不产生证据量，这是防刷分的第一道闸门。</w:t>
      </w:r>
    </w:p>
    <w:p>
      <w:pPr>
        <w:keepNext/>
        <w:spacing w:before="200" w:after="120" w:line="360" w:lineRule="auto"/>
        <w:jc w:val="left"/>
        <w:outlineLvl w:val="1"/>
      </w:pPr>
      <w:r>
        <w:rPr>
          <w:rFonts w:ascii="黑体" w:hAnsi="黑体" w:eastAsia="黑体" w:cs="黑体"/>
          <w:b w:val="0"/>
          <w:i w:val="0"/>
          <w:sz w:val="28"/>
        </w:rPr>
        <w:t>3.4　第三步：渠道加权与截断汇总</w:t>
      </w:r>
    </w:p>
    <w:p>
      <w:pPr>
        <w:keepNext w:val="0"/>
        <w:spacing w:before="0" w:after="0" w:line="360" w:lineRule="auto"/>
        <w:ind w:firstLineChars="200" w:firstLine="480"/>
        <w:jc w:val="both"/>
      </w:pPr>
      <w:r>
        <w:rPr>
          <w:rFonts w:ascii="Times New Roman" w:hAnsi="Times New Roman" w:eastAsia="宋体" w:cs="Times New Roman"/>
          <w:b w:val="0"/>
          <w:i w:val="0"/>
          <w:sz w:val="24"/>
        </w:rPr>
        <w:t>同一渠道内所有证据先按维度求和，得到该渠道对该维度的证据量累计，见式（4）。</w:t>
      </w:r>
    </w:p>
    <w:p>
      <w:pPr>
        <w:tabs>
          <w:tab w:val="center" w:pos="4100"/>
          <w:tab w:val="right" w:pos="8300"/>
        </w:tabs>
        <w:spacing w:before="120" w:after="120" w:line="360" w:lineRule="auto"/>
      </w:pPr>
      <w:r>
        <w:tab/>
      </w:r>
      <m:oMath>
        <m:sSub>
          <m:e>
            <m:r>
              <w:rPr>
                <w:rFonts w:ascii="Cambria Math" w:hAnsi="Cambria Math"/>
                <w:sz w:val="24"/>
                <w:szCs w:val="24"/>
              </w:rPr>
              <m:t xml:space="preserve">R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 xml:space="preserve">c,d</m:t>
            </m:r>
          </m:sub>
        </m:sSub>
        <m:r>
          <w:rPr>
            <w:rFonts w:ascii="Cambria Math" w:hAnsi="Cambria Math"/>
            <w:sz w:val="24"/>
            <w:szCs w:val="24"/>
          </w:rPr>
          <m:t xml:space="preserve"> = </m:t>
        </m:r>
        <m:nary>
          <m:naryPr>
            <m:chr m:val="∑"/>
            <m:limLoc m:val="undOvr"/>
            <m:supHide m:val="1"/>
          </m:naryPr>
          <m:sub>
            <m:r>
              <w:rPr>
                <w:rFonts w:ascii="Cambria Math" w:hAnsi="Cambria Math"/>
                <w:sz w:val="24"/>
                <w:szCs w:val="24"/>
              </w:rPr>
              <m:t xml:space="preserve">i∈c</m:t>
            </m:r>
          </m:sub>
          <m:sup/>
          <m:e>
            <m:sSub>
              <m:e>
                <m:r>
                  <w:rPr>
                    <w:rFonts w:ascii="Cambria Math" w:hAnsi="Cambria Math"/>
                    <w:sz w:val="24"/>
                    <w:szCs w:val="24"/>
                  </w:rPr>
                  <m:t xml:space="preserve">e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 xml:space="preserve">i</m:t>
                </m:r>
              </m:sub>
            </m:sSub>
          </m:e>
        </m:nary>
      </m:oMath>
      <w:r>
        <w:rPr>
          <w:rFonts w:ascii="Times New Roman" w:hAnsi="Times New Roman" w:eastAsia="宋体"/>
          <w:sz w:val="24"/>
          <w:szCs w:val="24"/>
        </w:rPr>
        <w:tab/>
        <w:t>（4）</w:t>
      </w:r>
    </w:p>
    <w:p>
      <w:pPr>
        <w:keepNext w:val="0"/>
        <w:spacing w:before="0" w:after="0" w:line="360" w:lineRule="auto"/>
        <w:ind w:firstLineChars="200" w:firstLine="480"/>
        <w:jc w:val="both"/>
      </w:pPr>
      <w:r>
        <w:rPr>
          <w:rFonts w:ascii="Times New Roman" w:hAnsi="Times New Roman" w:eastAsia="宋体" w:cs="Times New Roman"/>
          <w:b w:val="0"/>
          <w:i w:val="0"/>
          <w:sz w:val="24"/>
        </w:rPr>
        <w:t>再乘以渠道权重并按渠道上限截断，最后跨渠道求和，得到该维度的有效证据量，见式（5）。截断作用在汇总值上而不是按上传批次截断，因此结果与上传顺序完全无关，任何时候重算都一致；同时它限制了单一渠道的刷量空间——把一个渠道刷到上限之后，继续刷就不再涨分，必须换一种学习行为。</w:t>
      </w:r>
    </w:p>
    <w:p>
      <w:pPr>
        <w:tabs>
          <w:tab w:val="center" w:pos="4100"/>
          <w:tab w:val="right" w:pos="8300"/>
        </w:tabs>
        <w:spacing w:before="120" w:after="120" w:line="360" w:lineRule="auto"/>
      </w:pPr>
      <w:r>
        <w:tab/>
      </w:r>
      <m:oMath>
        <m:sSub>
          <m:e>
            <m:r>
              <w:rPr>
                <w:rFonts w:ascii="Cambria Math" w:hAnsi="Cambria Math"/>
                <w:sz w:val="24"/>
                <w:szCs w:val="24"/>
              </w:rPr>
              <m:t xml:space="preserve">A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 xml:space="preserve">d</m:t>
            </m:r>
          </m:sub>
        </m:sSub>
        <m:r>
          <w:rPr>
            <w:rFonts w:ascii="Cambria Math" w:hAnsi="Cambria Math"/>
            <w:sz w:val="24"/>
            <w:szCs w:val="24"/>
          </w:rPr>
          <m:t xml:space="preserve"> = </m:t>
        </m:r>
        <m:nary>
          <m:naryPr>
            <m:chr m:val="∑"/>
            <m:limLoc m:val="undOvr"/>
            <m:supHide m:val="1"/>
          </m:naryPr>
          <m:sub>
            <m:r>
              <w:rPr>
                <w:rFonts w:ascii="Cambria Math" w:hAnsi="Cambria Math"/>
                <w:sz w:val="24"/>
                <w:szCs w:val="24"/>
              </w:rPr>
              <m:t xml:space="preserve">c</m:t>
            </m:r>
          </m:sub>
          <m:sup/>
          <m:e>
            <m:r>
              <w:rPr>
                <w:rFonts w:ascii="Cambria Math" w:hAnsi="Cambria Math"/>
                <w:sz w:val="24"/>
                <w:szCs w:val="24"/>
              </w:rPr>
              <m:t xml:space="preserve">min</m:t>
            </m:r>
            <m:d>
              <m:dPr>
                <m:begChr m:val="("/>
                <m:endChr m:val=")"/>
              </m:dPr>
              <m:e>
                <m:sSub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 xml:space="preserve">R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 xml:space="preserve">c,d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</w:rPr>
                  <m:t xml:space="preserve"> · </m:t>
                </m:r>
                <m:sSub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 xml:space="preserve">w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 xml:space="preserve">c,d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</w:rPr>
                  <m:t xml:space="preserve">, </m:t>
                </m:r>
                <m:sSub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 xml:space="preserve">C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 xml:space="preserve">c</m:t>
                    </m:r>
                  </m:sub>
                </m:sSub>
              </m:e>
            </m:d>
          </m:e>
        </m:nary>
      </m:oMath>
      <w:r>
        <w:rPr>
          <w:rFonts w:ascii="Times New Roman" w:hAnsi="Times New Roman" w:eastAsia="宋体"/>
          <w:sz w:val="24"/>
          <w:szCs w:val="24"/>
        </w:rPr>
        <w:tab/>
        <w:t>（5）</w:t>
      </w:r>
    </w:p>
    <w:p>
      <w:pPr>
        <w:keepNext w:val="0"/>
        <w:spacing w:before="0" w:after="0" w:line="360" w:lineRule="auto"/>
        <w:ind w:firstLineChars="200" w:firstLine="480"/>
        <w:jc w:val="both"/>
      </w:pPr>
      <w:r>
        <w:rPr>
          <w:rFonts w:ascii="Times New Roman" w:hAnsi="Times New Roman" w:eastAsia="宋体" w:cs="Times New Roman"/>
          <w:b w:val="0"/>
          <w:i w:val="0"/>
          <w:sz w:val="24"/>
        </w:rPr>
        <w:t>渠道—维度权重矩阵与各渠道上限如图 4 与表 8 所示。矩阵中六个渠道按性质分成两类：文化对话、课程作业、学生作业成果、学生自建智能体属于“投入型”，需要学生实际付出时间与思考；文化课程报名、课程视频属于“参与型”，反映的是参与意愿而非素养水平。两类渠道的权重量级相差一个数量级，这正是第四章标定工作的核心结论。</w:t>
      </w:r>
    </w:p>
    <w:p>
      <w:pPr>
        <w:keepNext/>
        <w:spacing w:before="16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256000" cy="260193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weight_matrix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26019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80" w:after="200" w:line="240" w:lineRule="auto"/>
        <w:jc w:val="center"/>
      </w:pPr>
      <w:r>
        <w:rPr>
          <w:rFonts w:ascii="黑体" w:hAnsi="黑体" w:eastAsia="黑体" w:cs="黑体"/>
          <w:b w:val="0"/>
          <w:i w:val="0"/>
          <w:sz w:val="21"/>
        </w:rPr>
        <w:t>图 4　渠道—维度贡献权重矩阵</w:t>
      </w:r>
    </w:p>
    <w:p>
      <w:pPr>
        <w:keepNext/>
        <w:spacing w:before="200" w:after="60" w:line="240" w:lineRule="auto"/>
        <w:jc w:val="center"/>
      </w:pPr>
      <w:r>
        <w:rPr>
          <w:rFonts w:ascii="黑体" w:hAnsi="黑体" w:eastAsia="黑体" w:cs="黑体"/>
          <w:b w:val="0"/>
          <w:i w:val="0"/>
          <w:sz w:val="21"/>
        </w:rPr>
        <w:t>表 8　渠道—维度贡献权重与渠道上限</w:t>
      </w:r>
    </w:p>
    <w:tbl>
      <w:tblPr>
        <w:tblStyle w:val="TableGrid"/>
        <w:tblW w:type="dxa" w:w="7711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417"/>
        <w:gridCol w:w="793"/>
        <w:gridCol w:w="907"/>
        <w:gridCol w:w="907"/>
        <w:gridCol w:w="907"/>
        <w:gridCol w:w="907"/>
        <w:gridCol w:w="907"/>
        <w:gridCol w:w="963"/>
      </w:tblGrid>
      <w:tr>
        <w:trPr>
          <w:cantSplit w:val="true"/>
          <w:tblHeader w:val="true"/>
        </w:trPr>
        <w:tc>
          <w:tcPr>
            <w:tcW w:type="dxa" w:w="1417"/>
            <w:tcBorders>
              <w:top w:val="single" w:sz="12" w:space="0" w:color="000000"/>
              <w:left w:val="nil"/>
              <w:bottom w:val="single" w:sz="6" w:space="0" w:color="000000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黑体" w:hAnsi="黑体" w:eastAsia="黑体" w:cs="黑体"/>
                <w:b w:val="0"/>
                <w:i w:val="0"/>
                <w:sz w:val="18"/>
              </w:rPr>
              <w:t>证据渠道</w:t>
            </w:r>
          </w:p>
        </w:tc>
        <w:tc>
          <w:tcPr>
            <w:tcW w:type="dxa" w:w="794"/>
            <w:tcBorders>
              <w:top w:val="single" w:sz="12" w:space="0" w:color="000000"/>
              <w:left w:val="nil"/>
              <w:bottom w:val="single" w:sz="6" w:space="0" w:color="000000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黑体" w:hAnsi="黑体" w:eastAsia="黑体" w:cs="黑体"/>
                <w:b w:val="0"/>
                <w:i w:val="0"/>
                <w:sz w:val="18"/>
              </w:rPr>
              <w:t>类型</w:t>
            </w:r>
          </w:p>
        </w:tc>
        <w:tc>
          <w:tcPr>
            <w:tcW w:type="dxa" w:w="907"/>
            <w:tcBorders>
              <w:top w:val="single" w:sz="12" w:space="0" w:color="000000"/>
              <w:left w:val="nil"/>
              <w:bottom w:val="single" w:sz="6" w:space="0" w:color="000000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黑体" w:hAnsi="黑体" w:eastAsia="黑体" w:cs="黑体"/>
                <w:b w:val="0"/>
                <w:i w:val="0"/>
                <w:sz w:val="18"/>
              </w:rPr>
              <w:t>文化体验</w:t>
            </w:r>
          </w:p>
        </w:tc>
        <w:tc>
          <w:tcPr>
            <w:tcW w:type="dxa" w:w="907"/>
            <w:tcBorders>
              <w:top w:val="single" w:sz="12" w:space="0" w:color="000000"/>
              <w:left w:val="nil"/>
              <w:bottom w:val="single" w:sz="6" w:space="0" w:color="000000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黑体" w:hAnsi="黑体" w:eastAsia="黑体" w:cs="黑体"/>
                <w:b w:val="0"/>
                <w:i w:val="0"/>
                <w:sz w:val="18"/>
              </w:rPr>
              <w:t>文化认知</w:t>
            </w:r>
          </w:p>
        </w:tc>
        <w:tc>
          <w:tcPr>
            <w:tcW w:type="dxa" w:w="907"/>
            <w:tcBorders>
              <w:top w:val="single" w:sz="12" w:space="0" w:color="000000"/>
              <w:left w:val="nil"/>
              <w:bottom w:val="single" w:sz="6" w:space="0" w:color="000000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黑体" w:hAnsi="黑体" w:eastAsia="黑体" w:cs="黑体"/>
                <w:b w:val="0"/>
                <w:i w:val="0"/>
                <w:sz w:val="18"/>
              </w:rPr>
              <w:t>文化志趣</w:t>
            </w:r>
          </w:p>
        </w:tc>
        <w:tc>
          <w:tcPr>
            <w:tcW w:type="dxa" w:w="907"/>
            <w:tcBorders>
              <w:top w:val="single" w:sz="12" w:space="0" w:color="000000"/>
              <w:left w:val="nil"/>
              <w:bottom w:val="single" w:sz="6" w:space="0" w:color="000000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黑体" w:hAnsi="黑体" w:eastAsia="黑体" w:cs="黑体"/>
                <w:b w:val="0"/>
                <w:i w:val="0"/>
                <w:sz w:val="18"/>
              </w:rPr>
              <w:t>文化认同</w:t>
            </w:r>
          </w:p>
        </w:tc>
        <w:tc>
          <w:tcPr>
            <w:tcW w:type="dxa" w:w="907"/>
            <w:tcBorders>
              <w:top w:val="single" w:sz="12" w:space="0" w:color="000000"/>
              <w:left w:val="nil"/>
              <w:bottom w:val="single" w:sz="6" w:space="0" w:color="000000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黑体" w:hAnsi="黑体" w:eastAsia="黑体" w:cs="黑体"/>
                <w:b w:val="0"/>
                <w:i w:val="0"/>
                <w:sz w:val="18"/>
              </w:rPr>
              <w:t>文化研创</w:t>
            </w:r>
          </w:p>
        </w:tc>
        <w:tc>
          <w:tcPr>
            <w:tcW w:type="dxa" w:w="964"/>
            <w:tcBorders>
              <w:top w:val="single" w:sz="12" w:space="0" w:color="000000"/>
              <w:left w:val="nil"/>
              <w:bottom w:val="single" w:sz="6" w:space="0" w:color="000000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黑体" w:hAnsi="黑体" w:eastAsia="黑体" w:cs="黑体"/>
                <w:b w:val="0"/>
                <w:i w:val="0"/>
                <w:sz w:val="18"/>
              </w:rPr>
              <w:t>渠道上限</w:t>
            </w:r>
          </w:p>
        </w:tc>
      </w:tr>
      <w:tr>
        <w:trPr>
          <w:cantSplit w:val="true"/>
        </w:trPr>
        <w:tc>
          <w:tcPr>
            <w:tcW w:type="dxa" w:w="141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文化对话</w:t>
            </w:r>
          </w:p>
        </w:tc>
        <w:tc>
          <w:tcPr>
            <w:tcW w:type="dxa" w:w="794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投入型</w:t>
            </w:r>
          </w:p>
        </w:tc>
        <w:tc>
          <w:tcPr>
            <w:tcW w:type="dxa" w:w="90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0.640</w:t>
            </w:r>
          </w:p>
        </w:tc>
        <w:tc>
          <w:tcPr>
            <w:tcW w:type="dxa" w:w="90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1.760</w:t>
            </w:r>
          </w:p>
        </w:tc>
        <w:tc>
          <w:tcPr>
            <w:tcW w:type="dxa" w:w="90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1.600</w:t>
            </w:r>
          </w:p>
        </w:tc>
        <w:tc>
          <w:tcPr>
            <w:tcW w:type="dxa" w:w="90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1.280</w:t>
            </w:r>
          </w:p>
        </w:tc>
        <w:tc>
          <w:tcPr>
            <w:tcW w:type="dxa" w:w="90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0.800</w:t>
            </w:r>
          </w:p>
        </w:tc>
        <w:tc>
          <w:tcPr>
            <w:tcW w:type="dxa" w:w="964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10.0</w:t>
            </w:r>
          </w:p>
        </w:tc>
      </w:tr>
      <w:tr>
        <w:trPr>
          <w:cantSplit w:val="true"/>
        </w:trPr>
        <w:tc>
          <w:tcPr>
            <w:tcW w:type="dxa" w:w="141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课程作业</w:t>
            </w:r>
          </w:p>
        </w:tc>
        <w:tc>
          <w:tcPr>
            <w:tcW w:type="dxa" w:w="794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投入型</w:t>
            </w:r>
          </w:p>
        </w:tc>
        <w:tc>
          <w:tcPr>
            <w:tcW w:type="dxa" w:w="90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0.350</w:t>
            </w:r>
          </w:p>
        </w:tc>
        <w:tc>
          <w:tcPr>
            <w:tcW w:type="dxa" w:w="90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0.910</w:t>
            </w:r>
          </w:p>
        </w:tc>
        <w:tc>
          <w:tcPr>
            <w:tcW w:type="dxa" w:w="90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0.560</w:t>
            </w:r>
          </w:p>
        </w:tc>
        <w:tc>
          <w:tcPr>
            <w:tcW w:type="dxa" w:w="90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0.280</w:t>
            </w:r>
          </w:p>
        </w:tc>
        <w:tc>
          <w:tcPr>
            <w:tcW w:type="dxa" w:w="90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0.490</w:t>
            </w:r>
          </w:p>
        </w:tc>
        <w:tc>
          <w:tcPr>
            <w:tcW w:type="dxa" w:w="964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8.0</w:t>
            </w:r>
          </w:p>
        </w:tc>
      </w:tr>
      <w:tr>
        <w:trPr>
          <w:cantSplit w:val="true"/>
        </w:trPr>
        <w:tc>
          <w:tcPr>
            <w:tcW w:type="dxa" w:w="141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学生作业成果</w:t>
            </w:r>
          </w:p>
        </w:tc>
        <w:tc>
          <w:tcPr>
            <w:tcW w:type="dxa" w:w="794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投入型</w:t>
            </w:r>
          </w:p>
        </w:tc>
        <w:tc>
          <w:tcPr>
            <w:tcW w:type="dxa" w:w="90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0.473</w:t>
            </w:r>
          </w:p>
        </w:tc>
        <w:tc>
          <w:tcPr>
            <w:tcW w:type="dxa" w:w="90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0.608</w:t>
            </w:r>
          </w:p>
        </w:tc>
        <w:tc>
          <w:tcPr>
            <w:tcW w:type="dxa" w:w="90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0.405</w:t>
            </w:r>
          </w:p>
        </w:tc>
        <w:tc>
          <w:tcPr>
            <w:tcW w:type="dxa" w:w="90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0.540</w:t>
            </w:r>
          </w:p>
        </w:tc>
        <w:tc>
          <w:tcPr>
            <w:tcW w:type="dxa" w:w="90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1.148</w:t>
            </w:r>
          </w:p>
        </w:tc>
        <w:tc>
          <w:tcPr>
            <w:tcW w:type="dxa" w:w="964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12.0</w:t>
            </w:r>
          </w:p>
        </w:tc>
      </w:tr>
      <w:tr>
        <w:trPr>
          <w:cantSplit w:val="true"/>
        </w:trPr>
        <w:tc>
          <w:tcPr>
            <w:tcW w:type="dxa" w:w="141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学生自建智能体</w:t>
            </w:r>
          </w:p>
        </w:tc>
        <w:tc>
          <w:tcPr>
            <w:tcW w:type="dxa" w:w="794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投入型</w:t>
            </w:r>
          </w:p>
        </w:tc>
        <w:tc>
          <w:tcPr>
            <w:tcW w:type="dxa" w:w="90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0.270</w:t>
            </w:r>
          </w:p>
        </w:tc>
        <w:tc>
          <w:tcPr>
            <w:tcW w:type="dxa" w:w="90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0.675</w:t>
            </w:r>
          </w:p>
        </w:tc>
        <w:tc>
          <w:tcPr>
            <w:tcW w:type="dxa" w:w="90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0.540</w:t>
            </w:r>
          </w:p>
        </w:tc>
        <w:tc>
          <w:tcPr>
            <w:tcW w:type="dxa" w:w="90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0.473</w:t>
            </w:r>
          </w:p>
        </w:tc>
        <w:tc>
          <w:tcPr>
            <w:tcW w:type="dxa" w:w="90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1.350</w:t>
            </w:r>
          </w:p>
        </w:tc>
        <w:tc>
          <w:tcPr>
            <w:tcW w:type="dxa" w:w="964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12.0</w:t>
            </w:r>
          </w:p>
        </w:tc>
      </w:tr>
      <w:tr>
        <w:trPr>
          <w:cantSplit w:val="true"/>
        </w:trPr>
        <w:tc>
          <w:tcPr>
            <w:tcW w:type="dxa" w:w="141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文化课程报名</w:t>
            </w:r>
          </w:p>
        </w:tc>
        <w:tc>
          <w:tcPr>
            <w:tcW w:type="dxa" w:w="794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参与型</w:t>
            </w:r>
          </w:p>
        </w:tc>
        <w:tc>
          <w:tcPr>
            <w:tcW w:type="dxa" w:w="90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0.140</w:t>
            </w:r>
          </w:p>
        </w:tc>
        <w:tc>
          <w:tcPr>
            <w:tcW w:type="dxa" w:w="90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0.088</w:t>
            </w:r>
          </w:p>
        </w:tc>
        <w:tc>
          <w:tcPr>
            <w:tcW w:type="dxa" w:w="90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0.210</w:t>
            </w:r>
          </w:p>
        </w:tc>
        <w:tc>
          <w:tcPr>
            <w:tcW w:type="dxa" w:w="90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0.088</w:t>
            </w:r>
          </w:p>
        </w:tc>
        <w:tc>
          <w:tcPr>
            <w:tcW w:type="dxa" w:w="90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0.035</w:t>
            </w:r>
          </w:p>
        </w:tc>
        <w:tc>
          <w:tcPr>
            <w:tcW w:type="dxa" w:w="964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3.0</w:t>
            </w:r>
          </w:p>
        </w:tc>
      </w:tr>
      <w:tr>
        <w:trPr>
          <w:cantSplit w:val="true"/>
        </w:trPr>
        <w:tc>
          <w:tcPr>
            <w:tcW w:type="dxa" w:w="1417"/>
            <w:tcBorders>
              <w:top w:val="nil"/>
              <w:left w:val="nil"/>
              <w:bottom w:val="single" w:sz="12" w:space="0" w:color="000000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课程视频</w:t>
            </w:r>
          </w:p>
        </w:tc>
        <w:tc>
          <w:tcPr>
            <w:tcW w:type="dxa" w:w="794"/>
            <w:tcBorders>
              <w:top w:val="nil"/>
              <w:left w:val="nil"/>
              <w:bottom w:val="single" w:sz="12" w:space="0" w:color="000000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参与型</w:t>
            </w:r>
          </w:p>
        </w:tc>
        <w:tc>
          <w:tcPr>
            <w:tcW w:type="dxa" w:w="907"/>
            <w:tcBorders>
              <w:top w:val="nil"/>
              <w:left w:val="nil"/>
              <w:bottom w:val="single" w:sz="12" w:space="0" w:color="000000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0.240</w:t>
            </w:r>
          </w:p>
        </w:tc>
        <w:tc>
          <w:tcPr>
            <w:tcW w:type="dxa" w:w="907"/>
            <w:tcBorders>
              <w:top w:val="nil"/>
              <w:left w:val="nil"/>
              <w:bottom w:val="single" w:sz="12" w:space="0" w:color="000000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0.180</w:t>
            </w:r>
          </w:p>
        </w:tc>
        <w:tc>
          <w:tcPr>
            <w:tcW w:type="dxa" w:w="907"/>
            <w:tcBorders>
              <w:top w:val="nil"/>
              <w:left w:val="nil"/>
              <w:bottom w:val="single" w:sz="12" w:space="0" w:color="000000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0.140</w:t>
            </w:r>
          </w:p>
        </w:tc>
        <w:tc>
          <w:tcPr>
            <w:tcW w:type="dxa" w:w="907"/>
            <w:tcBorders>
              <w:top w:val="nil"/>
              <w:left w:val="nil"/>
              <w:bottom w:val="single" w:sz="12" w:space="0" w:color="000000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0.080</w:t>
            </w:r>
          </w:p>
        </w:tc>
        <w:tc>
          <w:tcPr>
            <w:tcW w:type="dxa" w:w="907"/>
            <w:tcBorders>
              <w:top w:val="nil"/>
              <w:left w:val="nil"/>
              <w:bottom w:val="single" w:sz="12" w:space="0" w:color="000000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0.020</w:t>
            </w:r>
          </w:p>
        </w:tc>
        <w:tc>
          <w:tcPr>
            <w:tcW w:type="dxa" w:w="964"/>
            <w:tcBorders>
              <w:top w:val="nil"/>
              <w:left w:val="nil"/>
              <w:bottom w:val="single" w:sz="12" w:space="0" w:color="000000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4.0</w:t>
            </w:r>
          </w:p>
        </w:tc>
      </w:tr>
    </w:tbl>
    <w:p>
      <w:pPr>
        <w:keepNext/>
        <w:spacing w:before="200" w:after="120" w:line="360" w:lineRule="auto"/>
        <w:jc w:val="left"/>
        <w:outlineLvl w:val="1"/>
      </w:pPr>
      <w:r>
        <w:rPr>
          <w:rFonts w:ascii="黑体" w:hAnsi="黑体" w:eastAsia="黑体" w:cs="黑体"/>
          <w:b w:val="0"/>
          <w:i w:val="0"/>
          <w:sz w:val="28"/>
        </w:rPr>
        <w:t>3.5　第四步：问卷初始得分</w:t>
      </w:r>
    </w:p>
    <w:p>
      <w:pPr>
        <w:keepNext w:val="0"/>
        <w:spacing w:before="0" w:after="0" w:line="360" w:lineRule="auto"/>
        <w:ind w:firstLineChars="200" w:firstLine="480"/>
        <w:jc w:val="both"/>
      </w:pPr>
      <w:r>
        <w:rPr>
          <w:rFonts w:ascii="Times New Roman" w:hAnsi="Times New Roman" w:eastAsia="宋体" w:cs="Times New Roman"/>
          <w:b w:val="0"/>
          <w:i w:val="0"/>
          <w:sz w:val="24"/>
        </w:rPr>
        <w:t>开课第一节课的五维问卷提供每名学生的起点。问卷是自陈量表，只能说明入学时的自我认知水平，不能直接当作素养水平——若照搬问卷均分，学生每题都选最高档就能一次拿满分，四年的成长再也无从体现。因此问卷分两步换算，如图 5 所示。</w:t>
      </w:r>
    </w:p>
    <w:p>
      <w:pPr>
        <w:keepNext w:val="0"/>
        <w:spacing w:before="0" w:after="0" w:line="360" w:lineRule="auto"/>
        <w:ind w:firstLineChars="200" w:firstLine="480"/>
        <w:jc w:val="both"/>
      </w:pP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第一步是直线作答折减。判据是题目级作答的标准差：整份问卷每题都选同一档时标准差为零，说明这份作答没有任何区分度，不能据此认为该生五维素养全面拔尖。折减系数按式（6）计算，其中 σ 为该生全部作答的标准差，阈值 </w:t>
      </w:r>
      <w:r>
        <w:rPr>
          <w:rFonts w:ascii="Times New Roman" w:hAnsi="Times New Roman" w:eastAsia="宋体" w:cs="Times New Roman"/>
          <w:b w:val="0"/>
          <w:i w:val="0"/>
          <w:sz w:val="24"/>
        </w:rPr>
        <w:t>σ</w:t>
      </w:r>
      <w:r>
        <w:rPr>
          <w:rFonts w:ascii="Times New Roman" w:hAnsi="Times New Roman" w:eastAsia="宋体" w:cs="Times New Roman"/>
          <w:b w:val="0"/>
          <w:i w:val="0"/>
          <w:sz w:val="24"/>
          <w:vertAlign w:val="subscript"/>
        </w:rPr>
        <w:t>0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取 0.18，最大折减 0.72。</w:t>
      </w:r>
    </w:p>
    <w:p>
      <w:pPr>
        <w:tabs>
          <w:tab w:val="center" w:pos="4100"/>
          <w:tab w:val="right" w:pos="8300"/>
        </w:tabs>
        <w:spacing w:before="120" w:after="120" w:line="360" w:lineRule="auto"/>
      </w:pPr>
      <w:r>
        <w:tab/>
      </w:r>
      <m:oMath>
        <m:r>
          <w:rPr>
            <w:rFonts w:ascii="Cambria Math" w:hAnsi="Cambria Math"/>
            <w:sz w:val="24"/>
            <w:szCs w:val="24"/>
          </w:rPr>
          <m:t xml:space="preserve">π</m:t>
        </m:r>
        <m:r>
          <w:rPr>
            <w:rFonts w:ascii="Cambria Math" w:hAnsi="Cambria Math"/>
            <w:sz w:val="24"/>
            <w:szCs w:val="24"/>
          </w:rPr>
          <m:t xml:space="preserve"> = </m:t>
        </m:r>
        <m:sSub>
          <m:e>
            <m:r>
              <w:rPr>
                <w:rFonts w:ascii="Cambria Math" w:hAnsi="Cambria Math"/>
                <w:sz w:val="24"/>
                <w:szCs w:val="24"/>
              </w:rPr>
              <m:t xml:space="preserve">π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 xml:space="preserve">0</m:t>
            </m:r>
          </m:sub>
        </m:sSub>
        <m:r>
          <w:rPr>
            <w:rFonts w:ascii="Cambria Math" w:hAnsi="Cambria Math"/>
            <w:sz w:val="24"/>
            <w:szCs w:val="24"/>
          </w:rPr>
          <m:t xml:space="preserve"> + 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  <w:sz w:val="24"/>
                <w:szCs w:val="24"/>
              </w:rPr>
              <m:t xml:space="preserve">1 − </m:t>
            </m:r>
            <m:sSub>
              <m:e>
                <m:r>
                  <w:rPr>
                    <w:rFonts w:ascii="Cambria Math" w:hAnsi="Cambria Math"/>
                    <w:sz w:val="24"/>
                    <w:szCs w:val="24"/>
                  </w:rPr>
                  <m:t xml:space="preserve">π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 xml:space="preserve">0</m:t>
                </m:r>
              </m:sub>
            </m:sSub>
          </m:e>
        </m:d>
        <m:r>
          <w:rPr>
            <w:rFonts w:ascii="Cambria Math" w:hAnsi="Cambria Math"/>
            <w:sz w:val="24"/>
            <w:szCs w:val="24"/>
          </w:rPr>
          <m:t xml:space="preserve"> · </m:t>
        </m:r>
        <m:r>
          <w:rPr>
            <w:rFonts w:ascii="Cambria Math" w:hAnsi="Cambria Math"/>
            <w:sz w:val="24"/>
            <w:szCs w:val="24"/>
          </w:rPr>
          <m:t xml:space="preserve">min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  <w:sz w:val="24"/>
                <w:szCs w:val="24"/>
              </w:rPr>
              <m:t xml:space="preserve">1, σ ⁄ </m:t>
            </m:r>
            <m:sSub>
              <m:e>
                <m:r>
                  <w:rPr>
                    <w:rFonts w:ascii="Cambria Math" w:hAnsi="Cambria Math"/>
                    <w:sz w:val="24"/>
                    <w:szCs w:val="24"/>
                  </w:rPr>
                  <m:t xml:space="preserve">σ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 xml:space="preserve">0</m:t>
                </m:r>
              </m:sub>
            </m:sSub>
          </m:e>
        </m:d>
      </m:oMath>
      <w:r>
        <w:rPr>
          <w:rFonts w:ascii="Times New Roman" w:hAnsi="Times New Roman" w:eastAsia="宋体"/>
          <w:sz w:val="24"/>
          <w:szCs w:val="24"/>
        </w:rPr>
        <w:tab/>
        <w:t>（6）</w:t>
      </w:r>
    </w:p>
    <w:p>
      <w:pPr>
        <w:keepNext w:val="0"/>
        <w:spacing w:before="0" w:after="0" w:line="360" w:lineRule="auto"/>
        <w:ind w:firstLineChars="200" w:firstLine="480"/>
        <w:jc w:val="both"/>
      </w:pPr>
      <w:r>
        <w:rPr>
          <w:rFonts w:ascii="Times New Roman" w:hAnsi="Times New Roman" w:eastAsia="宋体" w:cs="Times New Roman"/>
          <w:b w:val="0"/>
          <w:i w:val="0"/>
          <w:sz w:val="24"/>
        </w:rPr>
        <w:t>折减只在存在拔高动机时生效：当整份问卷的均分低于 0.80 时，折减按式（7）逐步撤销，如实报告中低分的学生完全不受影响；题量不足 8 题时无法判断区分度，一律不折减。</w:t>
      </w:r>
    </w:p>
    <w:p>
      <w:pPr>
        <w:tabs>
          <w:tab w:val="center" w:pos="4100"/>
          <w:tab w:val="right" w:pos="8300"/>
        </w:tabs>
        <w:spacing w:before="120" w:after="120" w:line="360" w:lineRule="auto"/>
      </w:pPr>
      <w:r>
        <w:tab/>
      </w:r>
      <m:oMath>
        <m:r>
          <w:rPr>
            <w:rFonts w:ascii="Cambria Math" w:hAnsi="Cambria Math"/>
            <w:sz w:val="24"/>
            <w:szCs w:val="24"/>
          </w:rPr>
          <m:t xml:space="preserve">π′</m:t>
        </m:r>
        <m:r>
          <w:rPr>
            <w:rFonts w:ascii="Cambria Math" w:hAnsi="Cambria Math"/>
            <w:sz w:val="24"/>
            <w:szCs w:val="24"/>
          </w:rPr>
          <m:t xml:space="preserve"> = </m:t>
        </m:r>
        <m:r>
          <w:rPr>
            <w:rFonts w:ascii="Cambria Math" w:hAnsi="Cambria Math"/>
            <w:sz w:val="24"/>
            <w:szCs w:val="24"/>
          </w:rPr>
          <m:t xml:space="preserve">π</m:t>
        </m:r>
        <m:r>
          <w:rPr>
            <w:rFonts w:ascii="Cambria Math" w:hAnsi="Cambria Math"/>
            <w:sz w:val="24"/>
            <w:szCs w:val="24"/>
          </w:rPr>
          <m:t xml:space="preserve"> + 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  <w:sz w:val="24"/>
                <w:szCs w:val="24"/>
              </w:rPr>
              <m:t xml:space="preserve">1 − π</m:t>
            </m:r>
          </m:e>
        </m:d>
        <m:r>
          <w:rPr>
            <w:rFonts w:ascii="Cambria Math" w:hAnsi="Cambria Math"/>
            <w:sz w:val="24"/>
            <w:szCs w:val="24"/>
          </w:rPr>
          <m:t xml:space="preserve"> · </m:t>
        </m:r>
        <m:r>
          <w:rPr>
            <w:rFonts w:ascii="Cambria Math" w:hAnsi="Cambria Math"/>
            <w:sz w:val="24"/>
            <w:szCs w:val="24"/>
          </w:rPr>
          <m:t xml:space="preserve">clip</m:t>
        </m:r>
        <m:d>
          <m:dPr>
            <m:begChr m:val="("/>
            <m:endChr m:val=")"/>
          </m:dPr>
          <m:e>
            <m:f>
              <m:num>
                <m:r>
                  <w:rPr>
                    <w:rFonts w:ascii="Cambria Math" w:hAnsi="Cambria Math"/>
                    <w:sz w:val="24"/>
                    <w:szCs w:val="24"/>
                  </w:rPr>
                  <m:t xml:space="preserve">0.80 − </m:t>
                </m:r>
                <m:sSub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 xml:space="preserve">x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 xml:space="preserve">均</m:t>
                    </m:r>
                  </m:sub>
                </m:sSub>
              </m:num>
              <m:den>
                <m:r>
                  <w:rPr>
                    <w:rFonts w:ascii="Cambria Math" w:hAnsi="Cambria Math"/>
                    <w:sz w:val="24"/>
                    <w:szCs w:val="24"/>
                  </w:rPr>
                  <m:t xml:space="preserve">0.15</m:t>
                </m:r>
              </m:den>
            </m:f>
            <m:r>
              <w:rPr>
                <w:rFonts w:ascii="Cambria Math" w:hAnsi="Cambria Math"/>
                <w:sz w:val="24"/>
                <w:szCs w:val="24"/>
              </w:rPr>
              <m:t xml:space="preserve">, 0, 1</m:t>
            </m:r>
          </m:e>
        </m:d>
      </m:oMath>
      <w:r>
        <w:rPr>
          <w:rFonts w:ascii="Times New Roman" w:hAnsi="Times New Roman" w:eastAsia="宋体"/>
          <w:sz w:val="24"/>
          <w:szCs w:val="24"/>
        </w:rPr>
        <w:tab/>
        <w:t>（7）</w:t>
      </w:r>
    </w:p>
    <w:p>
      <w:pPr>
        <w:keepNext w:val="0"/>
        <w:spacing w:before="0" w:after="0" w:line="360" w:lineRule="auto"/>
        <w:ind w:firstLineChars="200" w:firstLine="480"/>
        <w:jc w:val="both"/>
      </w:pPr>
      <w:r>
        <w:rPr>
          <w:rFonts w:ascii="Times New Roman" w:hAnsi="Times New Roman" w:eastAsia="宋体" w:cs="Times New Roman"/>
          <w:b w:val="0"/>
          <w:i w:val="0"/>
          <w:sz w:val="24"/>
        </w:rPr>
        <w:t>第二步是窄带压缩。把折减后的作答强度按式（8）映射到 [0.15, 0.50] 这一条窄带上，指数取 2.0 使高分段更难触顶。这样一来，问卷本身的天花板只有 0.50，另一半分数必须靠四年的平台使用去挣。</w:t>
      </w:r>
    </w:p>
    <w:p>
      <w:pPr>
        <w:tabs>
          <w:tab w:val="center" w:pos="4100"/>
          <w:tab w:val="right" w:pos="8300"/>
        </w:tabs>
        <w:spacing w:before="120" w:after="120" w:line="360" w:lineRule="auto"/>
      </w:pPr>
      <w:r>
        <w:tab/>
      </w:r>
      <m:oMath>
        <m:sSub>
          <m:e>
            <m:r>
              <w:rPr>
                <w:rFonts w:ascii="Cambria Math" w:hAnsi="Cambria Math"/>
                <w:sz w:val="24"/>
                <w:szCs w:val="24"/>
              </w:rPr>
              <m:t xml:space="preserve">B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 xml:space="preserve">d</m:t>
            </m:r>
          </m:sub>
        </m:sSub>
        <m:r>
          <w:rPr>
            <w:rFonts w:ascii="Cambria Math" w:hAnsi="Cambria Math"/>
            <w:sz w:val="24"/>
            <w:szCs w:val="24"/>
          </w:rPr>
          <m:t xml:space="preserve"> = </m:t>
        </m:r>
        <m:sSub>
          <m:e>
            <m:r>
              <w:rPr>
                <w:rFonts w:ascii="Cambria Math" w:hAnsi="Cambria Math"/>
                <w:sz w:val="24"/>
                <w:szCs w:val="24"/>
              </w:rPr>
              <m:t xml:space="preserve">B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 xml:space="preserve">min</m:t>
            </m:r>
          </m:sub>
        </m:sSub>
        <m:r>
          <w:rPr>
            <w:rFonts w:ascii="Cambria Math" w:hAnsi="Cambria Math"/>
            <w:sz w:val="24"/>
            <w:szCs w:val="24"/>
          </w:rPr>
          <m:t xml:space="preserve"> + </m:t>
        </m:r>
        <m:d>
          <m:dPr>
            <m:begChr m:val="("/>
            <m:endChr m:val=")"/>
          </m:dPr>
          <m:e>
            <m:sSub>
              <m:e>
                <m:r>
                  <w:rPr>
                    <w:rFonts w:ascii="Cambria Math" w:hAnsi="Cambria Math"/>
                    <w:sz w:val="24"/>
                    <w:szCs w:val="24"/>
                  </w:rPr>
                  <m:t xml:space="preserve">B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 xml:space="preserve">max</m:t>
                </m:r>
              </m:sub>
            </m:sSub>
            <m:r>
              <w:rPr>
                <w:rFonts w:ascii="Cambria Math" w:hAnsi="Cambria Math"/>
                <w:sz w:val="24"/>
                <w:szCs w:val="24"/>
              </w:rPr>
              <m:t xml:space="preserve"> − </m:t>
            </m:r>
            <m:sSub>
              <m:e>
                <m:r>
                  <w:rPr>
                    <w:rFonts w:ascii="Cambria Math" w:hAnsi="Cambria Math"/>
                    <w:sz w:val="24"/>
                    <w:szCs w:val="24"/>
                  </w:rPr>
                  <m:t xml:space="preserve">B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 xml:space="preserve">min</m:t>
                </m:r>
              </m:sub>
            </m:sSub>
          </m:e>
        </m:d>
        <m:r>
          <w:rPr>
            <w:rFonts w:ascii="Cambria Math" w:hAnsi="Cambria Math"/>
            <w:sz w:val="24"/>
            <w:szCs w:val="24"/>
          </w:rPr>
          <m:t xml:space="preserve"> · </m:t>
        </m:r>
        <m:sSup>
          <m:e>
            <m:d>
              <m:dPr>
                <m:begChr m:val="("/>
                <m:endChr m:val=")"/>
              </m:dPr>
              <m:e>
                <m:sSub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 xml:space="preserve">u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 xml:space="preserve">d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</w:rPr>
                  <m:t xml:space="preserve"> · π′</m:t>
                </m:r>
              </m:e>
            </m:d>
          </m:e>
          <m:sup>
            <m:r>
              <w:rPr>
                <w:rFonts w:ascii="Cambria Math" w:hAnsi="Cambria Math"/>
                <w:sz w:val="24"/>
                <w:szCs w:val="24"/>
              </w:rPr>
              <m:t xml:space="preserve">γ</m:t>
            </m:r>
          </m:sup>
        </m:sSup>
      </m:oMath>
      <w:r>
        <w:rPr>
          <w:rFonts w:ascii="Times New Roman" w:hAnsi="Times New Roman" w:eastAsia="宋体"/>
          <w:sz w:val="24"/>
          <w:szCs w:val="24"/>
        </w:rPr>
        <w:tab/>
        <w:t>（8）</w:t>
      </w:r>
    </w:p>
    <w:p>
      <w:pPr>
        <w:keepNext/>
        <w:spacing w:before="16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256000" cy="212286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questionnaire_mapping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21228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80" w:after="200" w:line="240" w:lineRule="auto"/>
        <w:jc w:val="center"/>
      </w:pPr>
      <w:r>
        <w:rPr>
          <w:rFonts w:ascii="黑体" w:hAnsi="黑体" w:eastAsia="黑体" w:cs="黑体"/>
          <w:b w:val="0"/>
          <w:i w:val="0"/>
          <w:sz w:val="21"/>
        </w:rPr>
        <w:t>图 5　问卷到初始得分的两步换算</w:t>
      </w:r>
    </w:p>
    <w:p>
      <w:pPr>
        <w:keepNext w:val="0"/>
        <w:spacing w:before="0" w:after="0" w:line="360" w:lineRule="auto"/>
        <w:ind w:firstLineChars="200" w:firstLine="480"/>
        <w:jc w:val="both"/>
      </w:pPr>
      <w:r>
        <w:rPr>
          <w:rFonts w:ascii="Times New Roman" w:hAnsi="Times New Roman" w:eastAsia="宋体" w:cs="Times New Roman"/>
          <w:b w:val="0"/>
          <w:i w:val="0"/>
          <w:sz w:val="24"/>
        </w:rPr>
        <w:t>五种典型作答方式的换算结果列于表 9。可以看到，刻意每题都选最高档所得的初始得分低于认真作答、自评偏高的学生，恰好扭转了刷分的收益方向；而“几乎都选最高档、偶尔次高”这种介于两者之间的作答，折减后也只能落到与认真作答者相同的水平，拿不到额外好处。需要强调的是，折减的对象是作答的区分度而不是作答的高低——如实报告自己水平较高的学生不受任何影响。</w:t>
      </w:r>
    </w:p>
    <w:p>
      <w:pPr>
        <w:keepNext/>
        <w:spacing w:before="200" w:after="60" w:line="240" w:lineRule="auto"/>
        <w:jc w:val="center"/>
      </w:pPr>
      <w:r>
        <w:rPr>
          <w:rFonts w:ascii="黑体" w:hAnsi="黑体" w:eastAsia="黑体" w:cs="黑体"/>
          <w:b w:val="0"/>
          <w:i w:val="0"/>
          <w:sz w:val="21"/>
        </w:rPr>
        <w:t>表 9　五种典型作答方式的换算结果</w:t>
      </w:r>
    </w:p>
    <w:tbl>
      <w:tblPr>
        <w:tblStyle w:val="TableGrid"/>
        <w:tblW w:type="dxa" w:w="8278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1134"/>
        <w:gridCol w:w="1134"/>
        <w:gridCol w:w="1134"/>
        <w:gridCol w:w="1134"/>
        <w:gridCol w:w="1134"/>
      </w:tblGrid>
      <w:tr>
        <w:trPr>
          <w:cantSplit w:val="true"/>
          <w:tblHeader w:val="true"/>
        </w:trPr>
        <w:tc>
          <w:tcPr>
            <w:tcW w:type="dxa" w:w="2608"/>
            <w:tcBorders>
              <w:top w:val="single" w:sz="12" w:space="0" w:color="000000"/>
              <w:left w:val="nil"/>
              <w:bottom w:val="single" w:sz="6" w:space="0" w:color="000000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黑体" w:hAnsi="黑体" w:eastAsia="黑体" w:cs="黑体"/>
                <w:b w:val="0"/>
                <w:i w:val="0"/>
                <w:sz w:val="21"/>
              </w:rPr>
              <w:t>作答方式</w:t>
            </w:r>
          </w:p>
        </w:tc>
        <w:tc>
          <w:tcPr>
            <w:tcW w:type="dxa" w:w="1134"/>
            <w:tcBorders>
              <w:top w:val="single" w:sz="12" w:space="0" w:color="000000"/>
              <w:left w:val="nil"/>
              <w:bottom w:val="single" w:sz="6" w:space="0" w:color="000000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黑体" w:hAnsi="黑体" w:eastAsia="黑体" w:cs="黑体"/>
                <w:b w:val="0"/>
                <w:i w:val="0"/>
                <w:sz w:val="21"/>
              </w:rPr>
              <w:t>问卷均分</w:t>
            </w:r>
          </w:p>
        </w:tc>
        <w:tc>
          <w:tcPr>
            <w:tcW w:type="dxa" w:w="1134"/>
            <w:tcBorders>
              <w:top w:val="single" w:sz="12" w:space="0" w:color="000000"/>
              <w:left w:val="nil"/>
              <w:bottom w:val="single" w:sz="6" w:space="0" w:color="000000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黑体" w:hAnsi="黑体" w:eastAsia="黑体" w:cs="黑体"/>
                <w:b w:val="0"/>
                <w:i w:val="0"/>
                <w:sz w:val="21"/>
              </w:rPr>
              <w:t>题目 σ</w:t>
            </w:r>
          </w:p>
        </w:tc>
        <w:tc>
          <w:tcPr>
            <w:tcW w:type="dxa" w:w="1134"/>
            <w:tcBorders>
              <w:top w:val="single" w:sz="12" w:space="0" w:color="000000"/>
              <w:left w:val="nil"/>
              <w:bottom w:val="single" w:sz="6" w:space="0" w:color="000000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黑体" w:hAnsi="黑体" w:eastAsia="黑体" w:cs="黑体"/>
                <w:b w:val="0"/>
                <w:i w:val="0"/>
                <w:sz w:val="21"/>
              </w:rPr>
              <w:t>折减系数</w:t>
            </w:r>
          </w:p>
        </w:tc>
        <w:tc>
          <w:tcPr>
            <w:tcW w:type="dxa" w:w="1134"/>
            <w:tcBorders>
              <w:top w:val="single" w:sz="12" w:space="0" w:color="000000"/>
              <w:left w:val="nil"/>
              <w:bottom w:val="single" w:sz="6" w:space="0" w:color="000000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黑体" w:hAnsi="黑体" w:eastAsia="黑体" w:cs="黑体"/>
                <w:b w:val="0"/>
                <w:i w:val="0"/>
                <w:sz w:val="21"/>
              </w:rPr>
              <w:t>作答强度</w:t>
            </w:r>
          </w:p>
        </w:tc>
        <w:tc>
          <w:tcPr>
            <w:tcW w:type="dxa" w:w="1134"/>
            <w:tcBorders>
              <w:top w:val="single" w:sz="12" w:space="0" w:color="000000"/>
              <w:left w:val="nil"/>
              <w:bottom w:val="single" w:sz="6" w:space="0" w:color="000000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黑体" w:hAnsi="黑体" w:eastAsia="黑体" w:cs="黑体"/>
                <w:b w:val="0"/>
                <w:i w:val="0"/>
                <w:sz w:val="21"/>
              </w:rPr>
              <w:t>初始得分</w:t>
            </w:r>
          </w:p>
        </w:tc>
      </w:tr>
      <w:tr>
        <w:trPr>
          <w:cantSplit w:val="true"/>
        </w:trPr>
        <w:tc>
          <w:tcPr>
            <w:tcW w:type="dxa" w:w="260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每题都选“完全符合”</w:t>
            </w:r>
          </w:p>
        </w:tc>
        <w:tc>
          <w:tcPr>
            <w:tcW w:type="dxa" w:w="1134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1.00</w:t>
            </w:r>
          </w:p>
        </w:tc>
        <w:tc>
          <w:tcPr>
            <w:tcW w:type="dxa" w:w="1134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0.000</w:t>
            </w:r>
          </w:p>
        </w:tc>
        <w:tc>
          <w:tcPr>
            <w:tcW w:type="dxa" w:w="1134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0.72</w:t>
            </w:r>
          </w:p>
        </w:tc>
        <w:tc>
          <w:tcPr>
            <w:tcW w:type="dxa" w:w="1134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0.72</w:t>
            </w:r>
          </w:p>
        </w:tc>
        <w:tc>
          <w:tcPr>
            <w:tcW w:type="dxa" w:w="1134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0.33</w:t>
            </w:r>
          </w:p>
        </w:tc>
      </w:tr>
      <w:tr>
        <w:trPr>
          <w:cantSplit w:val="true"/>
        </w:trPr>
        <w:tc>
          <w:tcPr>
            <w:tcW w:type="dxa" w:w="260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几乎都选最高档，偶尔次高</w:t>
            </w:r>
          </w:p>
        </w:tc>
        <w:tc>
          <w:tcPr>
            <w:tcW w:type="dxa" w:w="1134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0.96</w:t>
            </w:r>
          </w:p>
        </w:tc>
        <w:tc>
          <w:tcPr>
            <w:tcW w:type="dxa" w:w="1134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0.089</w:t>
            </w:r>
          </w:p>
        </w:tc>
        <w:tc>
          <w:tcPr>
            <w:tcW w:type="dxa" w:w="1134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0.86</w:t>
            </w:r>
          </w:p>
        </w:tc>
        <w:tc>
          <w:tcPr>
            <w:tcW w:type="dxa" w:w="1134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0.83</w:t>
            </w:r>
          </w:p>
        </w:tc>
        <w:tc>
          <w:tcPr>
            <w:tcW w:type="dxa" w:w="1134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0.39</w:t>
            </w:r>
          </w:p>
        </w:tc>
      </w:tr>
      <w:tr>
        <w:trPr>
          <w:cantSplit w:val="true"/>
        </w:trPr>
        <w:tc>
          <w:tcPr>
            <w:tcW w:type="dxa" w:w="260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认真作答、自评偏高</w:t>
            </w:r>
          </w:p>
        </w:tc>
        <w:tc>
          <w:tcPr>
            <w:tcW w:type="dxa" w:w="1134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0.85</w:t>
            </w:r>
          </w:p>
        </w:tc>
        <w:tc>
          <w:tcPr>
            <w:tcW w:type="dxa" w:w="1134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0.166</w:t>
            </w:r>
          </w:p>
        </w:tc>
        <w:tc>
          <w:tcPr>
            <w:tcW w:type="dxa" w:w="1134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0.98</w:t>
            </w:r>
          </w:p>
        </w:tc>
        <w:tc>
          <w:tcPr>
            <w:tcW w:type="dxa" w:w="1134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0.83</w:t>
            </w:r>
          </w:p>
        </w:tc>
        <w:tc>
          <w:tcPr>
            <w:tcW w:type="dxa" w:w="1134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0.39</w:t>
            </w:r>
          </w:p>
        </w:tc>
      </w:tr>
      <w:tr>
        <w:trPr>
          <w:cantSplit w:val="true"/>
        </w:trPr>
        <w:tc>
          <w:tcPr>
            <w:tcW w:type="dxa" w:w="260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认真作答、自评中等</w:t>
            </w:r>
          </w:p>
        </w:tc>
        <w:tc>
          <w:tcPr>
            <w:tcW w:type="dxa" w:w="1134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0.53</w:t>
            </w:r>
          </w:p>
        </w:tc>
        <w:tc>
          <w:tcPr>
            <w:tcW w:type="dxa" w:w="1134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0.175</w:t>
            </w:r>
          </w:p>
        </w:tc>
        <w:tc>
          <w:tcPr>
            <w:tcW w:type="dxa" w:w="1134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1.00</w:t>
            </w:r>
          </w:p>
        </w:tc>
        <w:tc>
          <w:tcPr>
            <w:tcW w:type="dxa" w:w="1134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0.53</w:t>
            </w:r>
          </w:p>
        </w:tc>
        <w:tc>
          <w:tcPr>
            <w:tcW w:type="dxa" w:w="1134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0.25</w:t>
            </w:r>
          </w:p>
        </w:tc>
      </w:tr>
      <w:tr>
        <w:trPr>
          <w:cantSplit w:val="true"/>
        </w:trPr>
        <w:tc>
          <w:tcPr>
            <w:tcW w:type="dxa" w:w="2608"/>
            <w:tcBorders>
              <w:top w:val="nil"/>
              <w:left w:val="nil"/>
              <w:bottom w:val="single" w:sz="12" w:space="0" w:color="000000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认真作答、自评偏低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12" w:space="0" w:color="000000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0.25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12" w:space="0" w:color="000000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0.177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12" w:space="0" w:color="000000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1.00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12" w:space="0" w:color="000000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0.25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12" w:space="0" w:color="000000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0.17</w:t>
            </w:r>
          </w:p>
        </w:tc>
      </w:tr>
    </w:tbl>
    <w:p>
      <w:pPr>
        <w:keepNext w:val="0"/>
        <w:spacing w:before="0" w:after="0" w:line="360" w:lineRule="auto"/>
        <w:ind w:firstLineChars="200" w:firstLine="480"/>
        <w:jc w:val="both"/>
      </w:pPr>
      <w:r>
        <w:rPr>
          <w:rFonts w:ascii="Times New Roman" w:hAnsi="Times New Roman" w:eastAsia="宋体" w:cs="Times New Roman"/>
          <w:b w:val="0"/>
          <w:i w:val="0"/>
          <w:sz w:val="24"/>
        </w:rPr>
        <w:t>数据库中存储的是折减后的“作答强度”而非初始得分本身，窄带映射放在打分时进行。这样做的好处是：日后若要调整窄带区间或折减力度，只改配置文件即可重算，不必重新导入问卷。大二及以后不再重做问卷，初始得分自动承接上一学年的最终得分；两者皆无时取中性值 0.30。</w:t>
      </w:r>
    </w:p>
    <w:p>
      <w:pPr>
        <w:keepNext/>
        <w:spacing w:before="200" w:after="120" w:line="360" w:lineRule="auto"/>
        <w:jc w:val="left"/>
        <w:outlineLvl w:val="1"/>
      </w:pPr>
      <w:r>
        <w:rPr>
          <w:rFonts w:ascii="黑体" w:hAnsi="黑体" w:eastAsia="黑体" w:cs="黑体"/>
          <w:b w:val="0"/>
          <w:i w:val="0"/>
          <w:sz w:val="28"/>
        </w:rPr>
        <w:t>3.6　第五步：维度合成</w:t>
      </w:r>
    </w:p>
    <w:p>
      <w:pPr>
        <w:keepNext w:val="0"/>
        <w:spacing w:before="0" w:after="0" w:line="360" w:lineRule="auto"/>
        <w:ind w:firstLineChars="200" w:firstLine="480"/>
        <w:jc w:val="both"/>
      </w:pPr>
      <w:r>
        <w:rPr>
          <w:rFonts w:ascii="Times New Roman" w:hAnsi="Times New Roman" w:eastAsia="宋体" w:cs="Times New Roman"/>
          <w:b w:val="0"/>
          <w:i w:val="0"/>
          <w:sz w:val="24"/>
        </w:rPr>
        <w:t>维度得分由初始得分与有效证据量按式（9）合成。</w:t>
      </w:r>
    </w:p>
    <w:p>
      <w:pPr>
        <w:tabs>
          <w:tab w:val="center" w:pos="4100"/>
          <w:tab w:val="right" w:pos="8300"/>
        </w:tabs>
        <w:spacing w:before="120" w:after="120" w:line="360" w:lineRule="auto"/>
      </w:pPr>
      <w:r>
        <w:tab/>
      </w:r>
      <m:oMath>
        <m:sSub>
          <m:e>
            <m:r>
              <w:rPr>
                <w:rFonts w:ascii="Cambria Math" w:hAnsi="Cambria Math"/>
                <w:sz w:val="24"/>
                <w:szCs w:val="24"/>
              </w:rPr>
              <m:t xml:space="preserve">S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 xml:space="preserve">d</m:t>
            </m:r>
          </m:sub>
        </m:sSub>
        <m:r>
          <w:rPr>
            <w:rFonts w:ascii="Cambria Math" w:hAnsi="Cambria Math"/>
            <w:sz w:val="24"/>
            <w:szCs w:val="24"/>
          </w:rPr>
          <m:t xml:space="preserve"> = </m:t>
        </m:r>
        <m:sSub>
          <m:e>
            <m:r>
              <w:rPr>
                <w:rFonts w:ascii="Cambria Math" w:hAnsi="Cambria Math"/>
                <w:sz w:val="24"/>
                <w:szCs w:val="24"/>
              </w:rPr>
              <m:t xml:space="preserve">B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 xml:space="preserve">d</m:t>
            </m:r>
          </m:sub>
        </m:sSub>
        <m:r>
          <w:rPr>
            <w:rFonts w:ascii="Cambria Math" w:hAnsi="Cambria Math"/>
            <w:sz w:val="24"/>
            <w:szCs w:val="24"/>
          </w:rPr>
          <m:t xml:space="preserve"> + 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  <w:sz w:val="24"/>
                <w:szCs w:val="24"/>
              </w:rPr>
              <m:t xml:space="preserve">1 − </m:t>
            </m:r>
            <m:sSub>
              <m:e>
                <m:r>
                  <w:rPr>
                    <w:rFonts w:ascii="Cambria Math" w:hAnsi="Cambria Math"/>
                    <w:sz w:val="24"/>
                    <w:szCs w:val="24"/>
                  </w:rPr>
                  <m:t xml:space="preserve">B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 xml:space="preserve">d</m:t>
                </m:r>
              </m:sub>
            </m:sSub>
          </m:e>
        </m:d>
        <m:r>
          <w:rPr>
            <w:rFonts w:ascii="Cambria Math" w:hAnsi="Cambria Math"/>
            <w:sz w:val="24"/>
            <w:szCs w:val="24"/>
          </w:rPr>
          <m:t xml:space="preserve"> · 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  <w:sz w:val="24"/>
                <w:szCs w:val="24"/>
              </w:rPr>
              <m:t xml:space="preserve">1 − </m:t>
            </m:r>
            <m:sSup>
              <m:e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 xml:space="preserve">e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</w:rPr>
                  <m:t xml:space="preserve">−</m:t>
                </m:r>
                <m:sSub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 xml:space="preserve">A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 xml:space="preserve">d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</w:rPr>
                  <m:t xml:space="preserve"> ⁄ </m:t>
                </m:r>
                <m:sSub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 xml:space="preserve">κ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 xml:space="preserve">d</m:t>
                    </m:r>
                  </m:sub>
                </m:sSub>
              </m:sup>
            </m:sSup>
          </m:e>
        </m:d>
      </m:oMath>
      <w:r>
        <w:rPr>
          <w:rFonts w:ascii="Times New Roman" w:hAnsi="Times New Roman" w:eastAsia="宋体"/>
          <w:sz w:val="24"/>
          <w:szCs w:val="24"/>
        </w:rPr>
        <w:tab/>
        <w:t>（9）</w:t>
      </w:r>
    </w:p>
    <w:p>
      <w:pPr>
        <w:keepNext w:val="0"/>
        <w:spacing w:before="0" w:after="0" w:line="360" w:lineRule="auto"/>
        <w:ind w:firstLineChars="200" w:firstLine="480"/>
        <w:jc w:val="both"/>
      </w:pP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这个式子同时满足第 1.2 节的三条硬约束：当 </w:t>
      </w:r>
      <w:r>
        <w:rPr>
          <w:rFonts w:ascii="Times New Roman" w:hAnsi="Times New Roman" w:eastAsia="宋体" w:cs="Times New Roman"/>
          <w:b w:val="0"/>
          <w:i/>
          <w:sz w:val="24"/>
        </w:rPr>
        <w:t>A</w:t>
      </w:r>
      <w:r>
        <w:rPr>
          <w:rFonts w:ascii="Times New Roman" w:hAnsi="Times New Roman" w:eastAsia="宋体" w:cs="Times New Roman"/>
          <w:b w:val="0"/>
          <w:i/>
          <w:sz w:val="24"/>
          <w:vertAlign w:val="subscript"/>
        </w:rPr>
        <w:t>d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为 0 时 </w:t>
      </w:r>
      <w:r>
        <w:rPr>
          <w:rFonts w:ascii="Times New Roman" w:hAnsi="Times New Roman" w:eastAsia="宋体" w:cs="Times New Roman"/>
          <w:b w:val="0"/>
          <w:i/>
          <w:sz w:val="24"/>
        </w:rPr>
        <w:t>S</w:t>
      </w:r>
      <w:r>
        <w:rPr>
          <w:rFonts w:ascii="Times New Roman" w:hAnsi="Times New Roman" w:eastAsia="宋体" w:cs="Times New Roman"/>
          <w:b w:val="0"/>
          <w:i/>
          <w:sz w:val="24"/>
          <w:vertAlign w:val="subscript"/>
        </w:rPr>
        <w:t>d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恰等于初始得分；</w:t>
      </w:r>
      <w:r>
        <w:rPr>
          <w:rFonts w:ascii="Times New Roman" w:hAnsi="Times New Roman" w:eastAsia="宋体" w:cs="Times New Roman"/>
          <w:b w:val="0"/>
          <w:i/>
          <w:sz w:val="24"/>
        </w:rPr>
        <w:t>S</w:t>
      </w:r>
      <w:r>
        <w:rPr>
          <w:rFonts w:ascii="Times New Roman" w:hAnsi="Times New Roman" w:eastAsia="宋体" w:cs="Times New Roman"/>
          <w:b w:val="0"/>
          <w:i/>
          <w:sz w:val="24"/>
          <w:vertAlign w:val="subscript"/>
        </w:rPr>
        <w:t>d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对 </w:t>
      </w:r>
      <w:r>
        <w:rPr>
          <w:rFonts w:ascii="Times New Roman" w:hAnsi="Times New Roman" w:eastAsia="宋体" w:cs="Times New Roman"/>
          <w:b w:val="0"/>
          <w:i/>
          <w:sz w:val="24"/>
        </w:rPr>
        <w:t>A</w:t>
      </w:r>
      <w:r>
        <w:rPr>
          <w:rFonts w:ascii="Times New Roman" w:hAnsi="Times New Roman" w:eastAsia="宋体" w:cs="Times New Roman"/>
          <w:b w:val="0"/>
          <w:i/>
          <w:sz w:val="24"/>
          <w:vertAlign w:val="subscript"/>
        </w:rPr>
        <w:t>d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严格单调递增；</w:t>
      </w:r>
      <w:r>
        <w:rPr>
          <w:rFonts w:ascii="Times New Roman" w:hAnsi="Times New Roman" w:eastAsia="宋体" w:cs="Times New Roman"/>
          <w:b w:val="0"/>
          <w:i/>
          <w:sz w:val="24"/>
        </w:rPr>
        <w:t>A</w:t>
      </w:r>
      <w:r>
        <w:rPr>
          <w:rFonts w:ascii="Times New Roman" w:hAnsi="Times New Roman" w:eastAsia="宋体" w:cs="Times New Roman"/>
          <w:b w:val="0"/>
          <w:i/>
          <w:sz w:val="24"/>
          <w:vertAlign w:val="subscript"/>
        </w:rPr>
        <w:t>d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趋于无穷时 </w:t>
      </w:r>
      <w:r>
        <w:rPr>
          <w:rFonts w:ascii="Times New Roman" w:hAnsi="Times New Roman" w:eastAsia="宋体" w:cs="Times New Roman"/>
          <w:b w:val="0"/>
          <w:i/>
          <w:sz w:val="24"/>
        </w:rPr>
        <w:t>S</w:t>
      </w:r>
      <w:r>
        <w:rPr>
          <w:rFonts w:ascii="Times New Roman" w:hAnsi="Times New Roman" w:eastAsia="宋体" w:cs="Times New Roman"/>
          <w:b w:val="0"/>
          <w:i/>
          <w:sz w:val="24"/>
          <w:vertAlign w:val="subscript"/>
        </w:rPr>
        <w:t>d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趋于 1 但恒小于 1，因此永远不会越界。参数 </w:t>
      </w:r>
      <w:r>
        <w:rPr>
          <w:rFonts w:ascii="Times New Roman" w:hAnsi="Times New Roman" w:eastAsia="宋体" w:cs="Times New Roman"/>
          <w:b w:val="0"/>
          <w:i w:val="0"/>
          <w:sz w:val="24"/>
        </w:rPr>
        <w:t>κ</w:t>
      </w:r>
      <w:r>
        <w:rPr>
          <w:rFonts w:ascii="Times New Roman" w:hAnsi="Times New Roman" w:eastAsia="宋体" w:cs="Times New Roman"/>
          <w:b w:val="0"/>
          <w:i/>
          <w:sz w:val="24"/>
          <w:vertAlign w:val="subscript"/>
        </w:rPr>
        <w:t>d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称为证据饱和常数，含义是“证据量达到 κ 时，与满分的差距缩小约 63%”，数值越小则同样的材料带来的提分越快。κ 与初始得分对曲线的影响见图 6，取值见表 10。</w:t>
      </w:r>
    </w:p>
    <w:p>
      <w:pPr>
        <w:keepNext/>
        <w:spacing w:before="16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256000" cy="212286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6_saturati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21228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80" w:after="200" w:line="240" w:lineRule="auto"/>
        <w:jc w:val="center"/>
      </w:pPr>
      <w:r>
        <w:rPr>
          <w:rFonts w:ascii="黑体" w:hAnsi="黑体" w:eastAsia="黑体" w:cs="黑体"/>
          <w:b w:val="0"/>
          <w:i w:val="0"/>
          <w:sz w:val="21"/>
        </w:rPr>
        <w:t>图 6　维度合成的饱和函数</w:t>
      </w:r>
    </w:p>
    <w:p>
      <w:pPr>
        <w:keepNext/>
        <w:spacing w:before="200" w:after="60" w:line="240" w:lineRule="auto"/>
        <w:jc w:val="center"/>
      </w:pPr>
      <w:r>
        <w:rPr>
          <w:rFonts w:ascii="黑体" w:hAnsi="黑体" w:eastAsia="黑体" w:cs="黑体"/>
          <w:b w:val="0"/>
          <w:i w:val="0"/>
          <w:sz w:val="21"/>
        </w:rPr>
        <w:t>表 10　各维度的证据饱和常数</w:t>
      </w:r>
    </w:p>
    <w:tbl>
      <w:tblPr>
        <w:tblStyle w:val="TableGrid"/>
        <w:tblW w:type="dxa" w:w="8278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2041"/>
        <w:gridCol w:w="1247"/>
        <w:gridCol w:w="1247"/>
        <w:gridCol w:w="1247"/>
        <w:gridCol w:w="1247"/>
        <w:gridCol w:w="1247"/>
      </w:tblGrid>
      <w:tr>
        <w:trPr>
          <w:cantSplit w:val="true"/>
          <w:tblHeader w:val="true"/>
        </w:trPr>
        <w:tc>
          <w:tcPr>
            <w:tcW w:type="dxa" w:w="2041"/>
            <w:tcBorders>
              <w:top w:val="single" w:sz="12" w:space="0" w:color="000000"/>
              <w:left w:val="nil"/>
              <w:bottom w:val="single" w:sz="6" w:space="0" w:color="000000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黑体" w:hAnsi="黑体" w:eastAsia="黑体" w:cs="黑体"/>
                <w:b w:val="0"/>
                <w:i w:val="0"/>
                <w:sz w:val="21"/>
              </w:rPr>
              <w:t>维度</w:t>
            </w:r>
          </w:p>
        </w:tc>
        <w:tc>
          <w:tcPr>
            <w:tcW w:type="dxa" w:w="1247"/>
            <w:tcBorders>
              <w:top w:val="single" w:sz="12" w:space="0" w:color="000000"/>
              <w:left w:val="nil"/>
              <w:bottom w:val="single" w:sz="6" w:space="0" w:color="000000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黑体" w:hAnsi="黑体" w:eastAsia="黑体" w:cs="黑体"/>
                <w:b w:val="0"/>
                <w:i w:val="0"/>
                <w:sz w:val="21"/>
              </w:rPr>
              <w:t>文化体验</w:t>
            </w:r>
          </w:p>
        </w:tc>
        <w:tc>
          <w:tcPr>
            <w:tcW w:type="dxa" w:w="1247"/>
            <w:tcBorders>
              <w:top w:val="single" w:sz="12" w:space="0" w:color="000000"/>
              <w:left w:val="nil"/>
              <w:bottom w:val="single" w:sz="6" w:space="0" w:color="000000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黑体" w:hAnsi="黑体" w:eastAsia="黑体" w:cs="黑体"/>
                <w:b w:val="0"/>
                <w:i w:val="0"/>
                <w:sz w:val="21"/>
              </w:rPr>
              <w:t>文化认知</w:t>
            </w:r>
          </w:p>
        </w:tc>
        <w:tc>
          <w:tcPr>
            <w:tcW w:type="dxa" w:w="1247"/>
            <w:tcBorders>
              <w:top w:val="single" w:sz="12" w:space="0" w:color="000000"/>
              <w:left w:val="nil"/>
              <w:bottom w:val="single" w:sz="6" w:space="0" w:color="000000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黑体" w:hAnsi="黑体" w:eastAsia="黑体" w:cs="黑体"/>
                <w:b w:val="0"/>
                <w:i w:val="0"/>
                <w:sz w:val="21"/>
              </w:rPr>
              <w:t>文化志趣</w:t>
            </w:r>
          </w:p>
        </w:tc>
        <w:tc>
          <w:tcPr>
            <w:tcW w:type="dxa" w:w="1247"/>
            <w:tcBorders>
              <w:top w:val="single" w:sz="12" w:space="0" w:color="000000"/>
              <w:left w:val="nil"/>
              <w:bottom w:val="single" w:sz="6" w:space="0" w:color="000000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黑体" w:hAnsi="黑体" w:eastAsia="黑体" w:cs="黑体"/>
                <w:b w:val="0"/>
                <w:i w:val="0"/>
                <w:sz w:val="21"/>
              </w:rPr>
              <w:t>文化认同</w:t>
            </w:r>
          </w:p>
        </w:tc>
        <w:tc>
          <w:tcPr>
            <w:tcW w:type="dxa" w:w="1247"/>
            <w:tcBorders>
              <w:top w:val="single" w:sz="12" w:space="0" w:color="000000"/>
              <w:left w:val="nil"/>
              <w:bottom w:val="single" w:sz="6" w:space="0" w:color="000000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黑体" w:hAnsi="黑体" w:eastAsia="黑体" w:cs="黑体"/>
                <w:b w:val="0"/>
                <w:i w:val="0"/>
                <w:sz w:val="21"/>
              </w:rPr>
              <w:t>文化研创</w:t>
            </w:r>
          </w:p>
        </w:tc>
      </w:tr>
      <w:tr>
        <w:trPr>
          <w:cantSplit w:val="true"/>
        </w:trPr>
        <w:tc>
          <w:tcPr>
            <w:tcW w:type="dxa" w:w="2041"/>
            <w:tcBorders>
              <w:top w:val="nil"/>
              <w:left w:val="nil"/>
              <w:bottom w:val="single" w:sz="12" w:space="0" w:color="000000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证据饱和常数 κ</w:t>
            </w:r>
          </w:p>
        </w:tc>
        <w:tc>
          <w:tcPr>
            <w:tcW w:type="dxa" w:w="1247"/>
            <w:tcBorders>
              <w:top w:val="nil"/>
              <w:left w:val="nil"/>
              <w:bottom w:val="single" w:sz="12" w:space="0" w:color="000000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6.5</w:t>
            </w:r>
          </w:p>
        </w:tc>
        <w:tc>
          <w:tcPr>
            <w:tcW w:type="dxa" w:w="1247"/>
            <w:tcBorders>
              <w:top w:val="nil"/>
              <w:left w:val="nil"/>
              <w:bottom w:val="single" w:sz="12" w:space="0" w:color="000000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7.0</w:t>
            </w:r>
          </w:p>
        </w:tc>
        <w:tc>
          <w:tcPr>
            <w:tcW w:type="dxa" w:w="1247"/>
            <w:tcBorders>
              <w:top w:val="nil"/>
              <w:left w:val="nil"/>
              <w:bottom w:val="single" w:sz="12" w:space="0" w:color="000000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6.5</w:t>
            </w:r>
          </w:p>
        </w:tc>
        <w:tc>
          <w:tcPr>
            <w:tcW w:type="dxa" w:w="1247"/>
            <w:tcBorders>
              <w:top w:val="nil"/>
              <w:left w:val="nil"/>
              <w:bottom w:val="single" w:sz="12" w:space="0" w:color="000000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5.5</w:t>
            </w:r>
          </w:p>
        </w:tc>
        <w:tc>
          <w:tcPr>
            <w:tcW w:type="dxa" w:w="1247"/>
            <w:tcBorders>
              <w:top w:val="nil"/>
              <w:left w:val="nil"/>
              <w:bottom w:val="single" w:sz="12" w:space="0" w:color="000000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5.0</w:t>
            </w:r>
          </w:p>
        </w:tc>
      </w:tr>
    </w:tbl>
    <w:p>
      <w:pPr>
        <w:keepNext w:val="0"/>
        <w:spacing w:before="0" w:after="0" w:line="360" w:lineRule="auto"/>
        <w:ind w:firstLineChars="200" w:firstLine="480"/>
        <w:jc w:val="both"/>
      </w:pPr>
      <w:r>
        <w:rPr>
          <w:rFonts w:ascii="Times New Roman" w:hAnsi="Times New Roman" w:eastAsia="宋体" w:cs="Times New Roman"/>
          <w:b w:val="0"/>
          <w:i w:val="0"/>
          <w:sz w:val="24"/>
        </w:rPr>
        <w:t>文化研创的 κ 取值最小，是因为研创类材料（作品、报告、自建智能体）本身稀缺，一旦出现就应当给予明显的回报；文化认知的 κ 取值最大，是因为认知类证据来源最广，需要更多材料才能支撑同等幅度的提分。</w:t>
      </w:r>
    </w:p>
    <w:p>
      <w:pPr>
        <w:keepNext/>
        <w:spacing w:before="200" w:after="120" w:line="360" w:lineRule="auto"/>
        <w:jc w:val="left"/>
        <w:outlineLvl w:val="1"/>
      </w:pPr>
      <w:r>
        <w:rPr>
          <w:rFonts w:ascii="黑体" w:hAnsi="黑体" w:eastAsia="黑体" w:cs="黑体"/>
          <w:b w:val="0"/>
          <w:i w:val="0"/>
          <w:sz w:val="28"/>
        </w:rPr>
        <w:t>3.7　综合指数与发展性等级</w:t>
      </w:r>
    </w:p>
    <w:p>
      <w:pPr>
        <w:keepNext w:val="0"/>
        <w:spacing w:before="0" w:after="0" w:line="360" w:lineRule="auto"/>
        <w:ind w:firstLineChars="200" w:firstLine="480"/>
        <w:jc w:val="both"/>
      </w:pPr>
      <w:r>
        <w:rPr>
          <w:rFonts w:ascii="Times New Roman" w:hAnsi="Times New Roman" w:eastAsia="宋体" w:cs="Times New Roman"/>
          <w:b w:val="0"/>
          <w:i w:val="0"/>
          <w:sz w:val="24"/>
        </w:rPr>
        <w:t>综合文化素养指数按式（10）取五维等权算术平均。等权是有意的选择：五个维度构成完整的育人链条，任何一维的加权都意味着对某一环节的偏废。</w:t>
      </w:r>
    </w:p>
    <w:p>
      <w:pPr>
        <w:tabs>
          <w:tab w:val="center" w:pos="4100"/>
          <w:tab w:val="right" w:pos="8300"/>
        </w:tabs>
        <w:spacing w:before="120" w:after="120" w:line="360" w:lineRule="auto"/>
      </w:pPr>
      <w:r>
        <w:tab/>
      </w:r>
      <m:oMath>
        <m:r>
          <w:rPr>
            <w:rFonts w:ascii="Cambria Math" w:hAnsi="Cambria Math"/>
            <w:sz w:val="24"/>
            <w:szCs w:val="24"/>
          </w:rPr>
          <m:t xml:space="preserve">CCI</m:t>
        </m:r>
        <m:r>
          <w:rPr>
            <w:rFonts w:ascii="Cambria Math" w:hAnsi="Cambria Math"/>
            <w:sz w:val="24"/>
            <w:szCs w:val="24"/>
          </w:rPr>
          <m:t xml:space="preserve"> = </m:t>
        </m:r>
        <m:f>
          <m:num>
            <m:nary>
              <m:naryPr>
                <m:chr m:val="∑"/>
                <m:limLoc m:val="undOvr"/>
                <m:supHide m:val="1"/>
              </m:naryPr>
              <m:sub>
                <m:r>
                  <w:rPr>
                    <w:rFonts w:ascii="Cambria Math" w:hAnsi="Cambria Math"/>
                    <w:sz w:val="24"/>
                    <w:szCs w:val="24"/>
                  </w:rPr>
                  <m:t xml:space="preserve">d=1</m:t>
                </m:r>
              </m:sub>
              <m:sup/>
              <m:e>
                <m:sSub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 xml:space="preserve">S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 xml:space="preserve">d</m:t>
                    </m:r>
                  </m:sub>
                </m:sSub>
              </m:e>
            </m:nary>
          </m:num>
          <m:den>
            <m:r>
              <w:rPr>
                <w:rFonts w:ascii="Cambria Math" w:hAnsi="Cambria Math"/>
                <w:sz w:val="24"/>
                <w:szCs w:val="24"/>
              </w:rPr>
              <m:t xml:space="preserve">5</m:t>
            </m:r>
          </m:den>
        </m:f>
      </m:oMath>
      <w:r>
        <w:rPr>
          <w:rFonts w:ascii="Times New Roman" w:hAnsi="Times New Roman" w:eastAsia="宋体"/>
          <w:sz w:val="24"/>
          <w:szCs w:val="24"/>
        </w:rPr>
        <w:tab/>
        <w:t>（10）</w:t>
      </w:r>
    </w:p>
    <w:p>
      <w:pPr>
        <w:keepNext w:val="0"/>
        <w:spacing w:before="0" w:after="0" w:line="360" w:lineRule="auto"/>
        <w:ind w:firstLineChars="200" w:firstLine="480"/>
        <w:jc w:val="both"/>
      </w:pPr>
      <w:r>
        <w:rPr>
          <w:rFonts w:ascii="Times New Roman" w:hAnsi="Times New Roman" w:eastAsia="宋体" w:cs="Times New Roman"/>
          <w:b w:val="0"/>
          <w:i w:val="0"/>
          <w:sz w:val="24"/>
        </w:rPr>
        <w:t>等级采用随年级递增的发展性常模，按式（11）判定，其中 g 为年级序号（大一取 0，大四取 3）。同一个分数在大一算“发展级”，到大四只能算“起步级”，原地不动即等于退步，四年的成长因此在等级上也看得见。阈值见表 11，两类学生的四年轨迹与等级阶梯见图 8。</w:t>
      </w:r>
    </w:p>
    <w:p>
      <w:pPr>
        <w:tabs>
          <w:tab w:val="center" w:pos="4100"/>
          <w:tab w:val="right" w:pos="8300"/>
        </w:tabs>
        <w:spacing w:before="120" w:after="120" w:line="360" w:lineRule="auto"/>
      </w:pPr>
      <w:r>
        <w:tab/>
      </w:r>
      <m:oMath>
        <m:sSub>
          <m:e>
            <m:r>
              <w:rPr>
                <w:rFonts w:ascii="Cambria Math" w:hAnsi="Cambria Math"/>
                <w:sz w:val="24"/>
                <w:szCs w:val="24"/>
              </w:rPr>
              <m:t xml:space="preserve">τ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 xml:space="preserve">k</m:t>
            </m:r>
          </m:sub>
        </m:sSub>
        <m:r>
          <w:rPr>
            <w:rFonts w:ascii="Cambria Math" w:hAnsi="Cambria Math"/>
            <w:sz w:val="24"/>
            <w:szCs w:val="24"/>
          </w:rPr>
          <m:t xml:space="preserve">(g)</m:t>
        </m:r>
        <m:r>
          <w:rPr>
            <w:rFonts w:ascii="Cambria Math" w:hAnsi="Cambria Math"/>
            <w:sz w:val="24"/>
            <w:szCs w:val="24"/>
          </w:rPr>
          <m:t xml:space="preserve"> = </m:t>
        </m:r>
        <m:sSub>
          <m:e>
            <m:r>
              <w:rPr>
                <w:rFonts w:ascii="Cambria Math" w:hAnsi="Cambria Math"/>
                <w:sz w:val="24"/>
                <w:szCs w:val="24"/>
              </w:rPr>
              <m:t xml:space="preserve">τ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 xml:space="preserve">k</m:t>
            </m:r>
          </m:sub>
        </m:sSub>
        <m:r>
          <w:rPr>
            <w:rFonts w:ascii="Cambria Math" w:hAnsi="Cambria Math"/>
            <w:sz w:val="24"/>
            <w:szCs w:val="24"/>
          </w:rPr>
          <m:t xml:space="preserve">(0)</m:t>
        </m:r>
        <m:r>
          <w:rPr>
            <w:rFonts w:ascii="Cambria Math" w:hAnsi="Cambria Math"/>
            <w:sz w:val="24"/>
            <w:szCs w:val="24"/>
          </w:rPr>
          <m:t xml:space="preserve"> + </m:t>
        </m:r>
        <m:r>
          <w:rPr>
            <w:rFonts w:ascii="Cambria Math" w:hAnsi="Cambria Math"/>
            <w:sz w:val="24"/>
            <w:szCs w:val="24"/>
          </w:rPr>
          <m:t xml:space="preserve">Δ</m:t>
        </m:r>
        <m:r>
          <w:rPr>
            <w:rFonts w:ascii="Cambria Math" w:hAnsi="Cambria Math"/>
            <w:sz w:val="24"/>
            <w:szCs w:val="24"/>
          </w:rPr>
          <m:t xml:space="preserve"> · </m:t>
        </m:r>
        <m:r>
          <w:rPr>
            <w:rFonts w:ascii="Cambria Math" w:hAnsi="Cambria Math"/>
            <w:sz w:val="24"/>
            <w:szCs w:val="24"/>
          </w:rPr>
          <m:t xml:space="preserve">g</m:t>
        </m:r>
        <m:r>
          <w:rPr>
            <w:rFonts w:ascii="Cambria Math" w:hAnsi="Cambria Math"/>
            <w:sz w:val="24"/>
            <w:szCs w:val="24"/>
          </w:rPr>
          <m:t xml:space="preserve">,　　k ∈ {A, B, C}</m:t>
        </m:r>
      </m:oMath>
      <w:r>
        <w:rPr>
          <w:rFonts w:ascii="Times New Roman" w:hAnsi="Times New Roman" w:eastAsia="宋体"/>
          <w:sz w:val="24"/>
          <w:szCs w:val="24"/>
        </w:rPr>
        <w:tab/>
        <w:t>（11）</w:t>
      </w:r>
    </w:p>
    <w:p>
      <w:pPr>
        <w:keepNext/>
        <w:spacing w:before="200" w:after="60" w:line="240" w:lineRule="auto"/>
        <w:jc w:val="center"/>
      </w:pPr>
      <w:r>
        <w:rPr>
          <w:rFonts w:ascii="黑体" w:hAnsi="黑体" w:eastAsia="黑体" w:cs="黑体"/>
          <w:b w:val="0"/>
          <w:i w:val="0"/>
          <w:sz w:val="21"/>
        </w:rPr>
        <w:t>表 11　发展性等级阈值</w:t>
      </w:r>
    </w:p>
    <w:tbl>
      <w:tblPr>
        <w:tblStyle w:val="TableGrid"/>
        <w:tblW w:type="dxa" w:w="8278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474"/>
        <w:gridCol w:w="1701"/>
        <w:gridCol w:w="1701"/>
        <w:gridCol w:w="1701"/>
        <w:gridCol w:w="1701"/>
      </w:tblGrid>
      <w:tr>
        <w:trPr>
          <w:cantSplit w:val="true"/>
          <w:tblHeader w:val="true"/>
        </w:trPr>
        <w:tc>
          <w:tcPr>
            <w:tcW w:type="dxa" w:w="1474"/>
            <w:tcBorders>
              <w:top w:val="single" w:sz="12" w:space="0" w:color="000000"/>
              <w:left w:val="nil"/>
              <w:bottom w:val="single" w:sz="6" w:space="0" w:color="000000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黑体" w:hAnsi="黑体" w:eastAsia="黑体" w:cs="黑体"/>
                <w:b w:val="0"/>
                <w:i w:val="0"/>
                <w:sz w:val="21"/>
              </w:rPr>
              <w:t>年级</w:t>
            </w:r>
          </w:p>
        </w:tc>
        <w:tc>
          <w:tcPr>
            <w:tcW w:type="dxa" w:w="1701"/>
            <w:tcBorders>
              <w:top w:val="single" w:sz="12" w:space="0" w:color="000000"/>
              <w:left w:val="nil"/>
              <w:bottom w:val="single" w:sz="6" w:space="0" w:color="000000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黑体" w:hAnsi="黑体" w:eastAsia="黑体" w:cs="黑体"/>
                <w:b w:val="0"/>
                <w:i w:val="0"/>
                <w:sz w:val="21"/>
              </w:rPr>
              <w:t>A 引领级</w:t>
            </w:r>
          </w:p>
        </w:tc>
        <w:tc>
          <w:tcPr>
            <w:tcW w:type="dxa" w:w="1701"/>
            <w:tcBorders>
              <w:top w:val="single" w:sz="12" w:space="0" w:color="000000"/>
              <w:left w:val="nil"/>
              <w:bottom w:val="single" w:sz="6" w:space="0" w:color="000000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黑体" w:hAnsi="黑体" w:eastAsia="黑体" w:cs="黑体"/>
                <w:b w:val="0"/>
                <w:i w:val="0"/>
                <w:sz w:val="21"/>
              </w:rPr>
              <w:t>B 胜任级</w:t>
            </w:r>
          </w:p>
        </w:tc>
        <w:tc>
          <w:tcPr>
            <w:tcW w:type="dxa" w:w="1701"/>
            <w:tcBorders>
              <w:top w:val="single" w:sz="12" w:space="0" w:color="000000"/>
              <w:left w:val="nil"/>
              <w:bottom w:val="single" w:sz="6" w:space="0" w:color="000000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黑体" w:hAnsi="黑体" w:eastAsia="黑体" w:cs="黑体"/>
                <w:b w:val="0"/>
                <w:i w:val="0"/>
                <w:sz w:val="21"/>
              </w:rPr>
              <w:t>C 发展级</w:t>
            </w:r>
          </w:p>
        </w:tc>
        <w:tc>
          <w:tcPr>
            <w:tcW w:type="dxa" w:w="1701"/>
            <w:tcBorders>
              <w:top w:val="single" w:sz="12" w:space="0" w:color="000000"/>
              <w:left w:val="nil"/>
              <w:bottom w:val="single" w:sz="6" w:space="0" w:color="000000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黑体" w:hAnsi="黑体" w:eastAsia="黑体" w:cs="黑体"/>
                <w:b w:val="0"/>
                <w:i w:val="0"/>
                <w:sz w:val="21"/>
              </w:rPr>
              <w:t>D 起步级</w:t>
            </w:r>
          </w:p>
        </w:tc>
      </w:tr>
      <w:tr>
        <w:trPr>
          <w:cantSplit w:val="true"/>
        </w:trPr>
        <w:tc>
          <w:tcPr>
            <w:tcW w:type="dxa" w:w="1474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大一</w:t>
            </w:r>
          </w:p>
        </w:tc>
        <w:tc>
          <w:tcPr>
            <w:tcW w:type="dxa" w:w="170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0.60</w:t>
            </w:r>
          </w:p>
        </w:tc>
        <w:tc>
          <w:tcPr>
            <w:tcW w:type="dxa" w:w="170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0.48</w:t>
            </w:r>
          </w:p>
        </w:tc>
        <w:tc>
          <w:tcPr>
            <w:tcW w:type="dxa" w:w="170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0.36</w:t>
            </w:r>
          </w:p>
        </w:tc>
        <w:tc>
          <w:tcPr>
            <w:tcW w:type="dxa" w:w="170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&lt; 0.36</w:t>
            </w:r>
          </w:p>
        </w:tc>
      </w:tr>
      <w:tr>
        <w:trPr>
          <w:cantSplit w:val="true"/>
        </w:trPr>
        <w:tc>
          <w:tcPr>
            <w:tcW w:type="dxa" w:w="1474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大二</w:t>
            </w:r>
          </w:p>
        </w:tc>
        <w:tc>
          <w:tcPr>
            <w:tcW w:type="dxa" w:w="170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0.68</w:t>
            </w:r>
          </w:p>
        </w:tc>
        <w:tc>
          <w:tcPr>
            <w:tcW w:type="dxa" w:w="170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0.56</w:t>
            </w:r>
          </w:p>
        </w:tc>
        <w:tc>
          <w:tcPr>
            <w:tcW w:type="dxa" w:w="170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0.44</w:t>
            </w:r>
          </w:p>
        </w:tc>
        <w:tc>
          <w:tcPr>
            <w:tcW w:type="dxa" w:w="170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&lt; 0.44</w:t>
            </w:r>
          </w:p>
        </w:tc>
      </w:tr>
      <w:tr>
        <w:trPr>
          <w:cantSplit w:val="true"/>
        </w:trPr>
        <w:tc>
          <w:tcPr>
            <w:tcW w:type="dxa" w:w="1474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大三</w:t>
            </w:r>
          </w:p>
        </w:tc>
        <w:tc>
          <w:tcPr>
            <w:tcW w:type="dxa" w:w="170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0.76</w:t>
            </w:r>
          </w:p>
        </w:tc>
        <w:tc>
          <w:tcPr>
            <w:tcW w:type="dxa" w:w="170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0.64</w:t>
            </w:r>
          </w:p>
        </w:tc>
        <w:tc>
          <w:tcPr>
            <w:tcW w:type="dxa" w:w="170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0.52</w:t>
            </w:r>
          </w:p>
        </w:tc>
        <w:tc>
          <w:tcPr>
            <w:tcW w:type="dxa" w:w="170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&lt; 0.52</w:t>
            </w:r>
          </w:p>
        </w:tc>
      </w:tr>
      <w:tr>
        <w:trPr>
          <w:cantSplit w:val="true"/>
        </w:trPr>
        <w:tc>
          <w:tcPr>
            <w:tcW w:type="dxa" w:w="1474"/>
            <w:tcBorders>
              <w:top w:val="nil"/>
              <w:left w:val="nil"/>
              <w:bottom w:val="single" w:sz="12" w:space="0" w:color="000000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大四</w:t>
            </w:r>
          </w:p>
        </w:tc>
        <w:tc>
          <w:tcPr>
            <w:tcW w:type="dxa" w:w="1701"/>
            <w:tcBorders>
              <w:top w:val="nil"/>
              <w:left w:val="nil"/>
              <w:bottom w:val="single" w:sz="12" w:space="0" w:color="000000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0.84</w:t>
            </w:r>
          </w:p>
        </w:tc>
        <w:tc>
          <w:tcPr>
            <w:tcW w:type="dxa" w:w="1701"/>
            <w:tcBorders>
              <w:top w:val="nil"/>
              <w:left w:val="nil"/>
              <w:bottom w:val="single" w:sz="12" w:space="0" w:color="000000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0.72</w:t>
            </w:r>
          </w:p>
        </w:tc>
        <w:tc>
          <w:tcPr>
            <w:tcW w:type="dxa" w:w="1701"/>
            <w:tcBorders>
              <w:top w:val="nil"/>
              <w:left w:val="nil"/>
              <w:bottom w:val="single" w:sz="12" w:space="0" w:color="000000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0.60</w:t>
            </w:r>
          </w:p>
        </w:tc>
        <w:tc>
          <w:tcPr>
            <w:tcW w:type="dxa" w:w="1701"/>
            <w:tcBorders>
              <w:top w:val="nil"/>
              <w:left w:val="nil"/>
              <w:bottom w:val="single" w:sz="12" w:space="0" w:color="000000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&lt; 0.60</w:t>
            </w:r>
          </w:p>
        </w:tc>
      </w:tr>
    </w:tbl>
    <w:p>
      <w:pPr>
        <w:keepNext/>
        <w:spacing w:before="320" w:after="200" w:line="360" w:lineRule="auto"/>
        <w:jc w:val="center"/>
        <w:outlineLvl w:val="0"/>
      </w:pPr>
      <w:r>
        <w:rPr>
          <w:rFonts w:ascii="黑体" w:hAnsi="黑体" w:eastAsia="黑体" w:cs="黑体"/>
          <w:b/>
          <w:i w:val="0"/>
          <w:sz w:val="30"/>
        </w:rPr>
        <w:t>四、权重与参数的标定</w:t>
      </w:r>
    </w:p>
    <w:p>
      <w:pPr>
        <w:keepNext/>
        <w:spacing w:before="200" w:after="120" w:line="360" w:lineRule="auto"/>
        <w:jc w:val="left"/>
        <w:outlineLvl w:val="1"/>
      </w:pPr>
      <w:r>
        <w:rPr>
          <w:rFonts w:ascii="黑体" w:hAnsi="黑体" w:eastAsia="黑体" w:cs="黑体"/>
          <w:b w:val="0"/>
          <w:i w:val="0"/>
          <w:sz w:val="28"/>
        </w:rPr>
        <w:t>4.1　标定原则</w:t>
      </w:r>
    </w:p>
    <w:p>
      <w:pPr>
        <w:keepNext w:val="0"/>
        <w:spacing w:before="0" w:after="0" w:line="360" w:lineRule="auto"/>
        <w:ind w:firstLineChars="200" w:firstLine="480"/>
        <w:jc w:val="both"/>
      </w:pPr>
      <w:r>
        <w:rPr>
          <w:rFonts w:ascii="Times New Roman" w:hAnsi="Times New Roman" w:eastAsia="宋体" w:cs="Times New Roman"/>
          <w:b w:val="0"/>
          <w:i w:val="0"/>
          <w:sz w:val="24"/>
        </w:rPr>
        <w:t>权重不是拍脑袋定的，而是按一条可检验的原则标定：单位行为的证据当量应当与该行为所需的投入强度成正比。所谓证据当量，是指一次典型行为经过三因子计量与渠道加权后，在五个维度上折算出的证据量合计。若“点一下报名”与“写一篇调研报告”折算出相近的证据当量，指标体系就失真了。</w:t>
      </w:r>
    </w:p>
    <w:p>
      <w:pPr>
        <w:keepNext/>
        <w:spacing w:before="200" w:after="120" w:line="360" w:lineRule="auto"/>
        <w:jc w:val="left"/>
        <w:outlineLvl w:val="1"/>
      </w:pPr>
      <w:r>
        <w:rPr>
          <w:rFonts w:ascii="黑体" w:hAnsi="黑体" w:eastAsia="黑体" w:cs="黑体"/>
          <w:b w:val="0"/>
          <w:i w:val="0"/>
          <w:sz w:val="28"/>
        </w:rPr>
        <w:t>4.2　标定依据：现有数据暴露的计量失衡</w:t>
      </w:r>
    </w:p>
    <w:p>
      <w:pPr>
        <w:keepNext w:val="0"/>
        <w:spacing w:before="0" w:after="0" w:line="360" w:lineRule="auto"/>
        <w:ind w:firstLineChars="200" w:firstLine="480"/>
        <w:jc w:val="both"/>
      </w:pPr>
      <w:r>
        <w:rPr>
          <w:rFonts w:ascii="Times New Roman" w:hAnsi="Times New Roman" w:eastAsia="宋体" w:cs="Times New Roman"/>
          <w:b w:val="0"/>
          <w:i w:val="0"/>
          <w:sz w:val="24"/>
        </w:rPr>
        <w:t>以贵校 5307 名大一学生、61,565 条证据的真实导出数据实测，标定前的证据当量结构存在明显失衡：报名 1 门文化课程的证据当量为 1.36，而 1 轮文化对话仅为 0.16，前者约等于后者的 8 倍——而报名只是一次点击，一轮有质量的文化对话则需要真实的阅读、思考与表达。其直接后果是：全体学生都报了课、都看了视频，分数被这两个参与型渠道顶得很高，真正体现投入的对话、作业、作品反而没有分量，学生即使今后大量使用文化对话，也换不来相应的分数增长。</w:t>
      </w:r>
    </w:p>
    <w:p>
      <w:pPr>
        <w:keepNext w:val="0"/>
        <w:spacing w:before="0" w:after="0" w:line="360" w:lineRule="auto"/>
        <w:ind w:firstLineChars="200" w:firstLine="480"/>
        <w:jc w:val="both"/>
      </w:pPr>
      <w:r>
        <w:rPr>
          <w:rFonts w:ascii="Times New Roman" w:hAnsi="Times New Roman" w:eastAsia="宋体" w:cs="Times New Roman"/>
          <w:b w:val="0"/>
          <w:i w:val="0"/>
          <w:sz w:val="24"/>
        </w:rPr>
        <w:t>据此把参与型渠道整体压到原来的 0.35~0.40，投入型渠道整体抬高，其中文化对话提高 3.2 倍。标定后，1 轮文化对话的证据当量为 0.53，与报名 1 门课程的 0.48 基本相当，计量重新与投入强度对齐。各单位行为的证据当量对照见图 7(a)，具体数值见表 12。</w:t>
      </w:r>
    </w:p>
    <w:p>
      <w:pPr>
        <w:keepNext/>
        <w:spacing w:before="16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256000" cy="207243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7_calibration_contras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20724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80" w:after="200" w:line="240" w:lineRule="auto"/>
        <w:jc w:val="center"/>
      </w:pPr>
      <w:r>
        <w:rPr>
          <w:rFonts w:ascii="黑体" w:hAnsi="黑体" w:eastAsia="黑体" w:cs="黑体"/>
          <w:b w:val="0"/>
          <w:i w:val="0"/>
          <w:sz w:val="21"/>
        </w:rPr>
        <w:t>图 7　标定前后的证据当量结构与分数分布对照</w:t>
      </w:r>
    </w:p>
    <w:p>
      <w:pPr>
        <w:keepNext/>
        <w:spacing w:before="200" w:after="60" w:line="240" w:lineRule="auto"/>
        <w:jc w:val="center"/>
      </w:pPr>
      <w:r>
        <w:rPr>
          <w:rFonts w:ascii="黑体" w:hAnsi="黑体" w:eastAsia="黑体" w:cs="黑体"/>
          <w:b w:val="0"/>
          <w:i w:val="0"/>
          <w:sz w:val="21"/>
        </w:rPr>
        <w:t>表 12　单位行为的证据当量（标定前后）</w:t>
      </w:r>
    </w:p>
    <w:tbl>
      <w:tblPr>
        <w:tblStyle w:val="TableGrid"/>
        <w:tblW w:type="dxa" w:w="7711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2721"/>
        <w:gridCol w:w="1020"/>
        <w:gridCol w:w="1360"/>
        <w:gridCol w:w="1360"/>
        <w:gridCol w:w="1247"/>
      </w:tblGrid>
      <w:tr>
        <w:trPr>
          <w:cantSplit w:val="true"/>
          <w:tblHeader w:val="true"/>
        </w:trPr>
        <w:tc>
          <w:tcPr>
            <w:tcW w:type="dxa" w:w="2721"/>
            <w:tcBorders>
              <w:top w:val="single" w:sz="12" w:space="0" w:color="000000"/>
              <w:left w:val="nil"/>
              <w:bottom w:val="single" w:sz="6" w:space="0" w:color="000000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黑体" w:hAnsi="黑体" w:eastAsia="黑体" w:cs="黑体"/>
                <w:b w:val="0"/>
                <w:i w:val="0"/>
                <w:sz w:val="21"/>
              </w:rPr>
              <w:t>单位行为</w:t>
            </w:r>
          </w:p>
        </w:tc>
        <w:tc>
          <w:tcPr>
            <w:tcW w:type="dxa" w:w="1020"/>
            <w:tcBorders>
              <w:top w:val="single" w:sz="12" w:space="0" w:color="000000"/>
              <w:left w:val="nil"/>
              <w:bottom w:val="single" w:sz="6" w:space="0" w:color="000000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黑体" w:hAnsi="黑体" w:eastAsia="黑体" w:cs="黑体"/>
                <w:b w:val="0"/>
                <w:i w:val="0"/>
                <w:sz w:val="21"/>
              </w:rPr>
              <w:t>类型</w:t>
            </w:r>
          </w:p>
        </w:tc>
        <w:tc>
          <w:tcPr>
            <w:tcW w:type="dxa" w:w="1361"/>
            <w:tcBorders>
              <w:top w:val="single" w:sz="12" w:space="0" w:color="000000"/>
              <w:left w:val="nil"/>
              <w:bottom w:val="single" w:sz="6" w:space="0" w:color="000000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黑体" w:hAnsi="黑体" w:eastAsia="黑体" w:cs="黑体"/>
                <w:b w:val="0"/>
                <w:i w:val="0"/>
                <w:sz w:val="21"/>
              </w:rPr>
              <w:t>标定前</w:t>
            </w:r>
          </w:p>
        </w:tc>
        <w:tc>
          <w:tcPr>
            <w:tcW w:type="dxa" w:w="1361"/>
            <w:tcBorders>
              <w:top w:val="single" w:sz="12" w:space="0" w:color="000000"/>
              <w:left w:val="nil"/>
              <w:bottom w:val="single" w:sz="6" w:space="0" w:color="000000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黑体" w:hAnsi="黑体" w:eastAsia="黑体" w:cs="黑体"/>
                <w:b w:val="0"/>
                <w:i w:val="0"/>
                <w:sz w:val="21"/>
              </w:rPr>
              <w:t>标定后</w:t>
            </w:r>
          </w:p>
        </w:tc>
        <w:tc>
          <w:tcPr>
            <w:tcW w:type="dxa" w:w="1247"/>
            <w:tcBorders>
              <w:top w:val="single" w:sz="12" w:space="0" w:color="000000"/>
              <w:left w:val="nil"/>
              <w:bottom w:val="single" w:sz="6" w:space="0" w:color="000000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黑体" w:hAnsi="黑体" w:eastAsia="黑体" w:cs="黑体"/>
                <w:b w:val="0"/>
                <w:i w:val="0"/>
                <w:sz w:val="21"/>
              </w:rPr>
              <w:t>倍数</w:t>
            </w:r>
          </w:p>
        </w:tc>
      </w:tr>
      <w:tr>
        <w:trPr>
          <w:cantSplit w:val="true"/>
        </w:trPr>
        <w:tc>
          <w:tcPr>
            <w:tcW w:type="dxa" w:w="272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报名 1 门文化课程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参与型</w:t>
            </w:r>
          </w:p>
        </w:tc>
        <w:tc>
          <w:tcPr>
            <w:tcW w:type="dxa" w:w="1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1.36</w:t>
            </w:r>
          </w:p>
        </w:tc>
        <w:tc>
          <w:tcPr>
            <w:tcW w:type="dxa" w:w="1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0.48</w:t>
            </w:r>
          </w:p>
        </w:tc>
        <w:tc>
          <w:tcPr>
            <w:tcW w:type="dxa" w:w="124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0.35</w:t>
            </w:r>
          </w:p>
        </w:tc>
      </w:tr>
      <w:tr>
        <w:trPr>
          <w:cantSplit w:val="true"/>
        </w:trPr>
        <w:tc>
          <w:tcPr>
            <w:tcW w:type="dxa" w:w="272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学完 1 门课程的视频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参与型</w:t>
            </w:r>
          </w:p>
        </w:tc>
        <w:tc>
          <w:tcPr>
            <w:tcW w:type="dxa" w:w="1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1.98</w:t>
            </w:r>
          </w:p>
        </w:tc>
        <w:tc>
          <w:tcPr>
            <w:tcW w:type="dxa" w:w="1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0.79</w:t>
            </w:r>
          </w:p>
        </w:tc>
        <w:tc>
          <w:tcPr>
            <w:tcW w:type="dxa" w:w="124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0.40</w:t>
            </w:r>
          </w:p>
        </w:tc>
      </w:tr>
      <w:tr>
        <w:trPr>
          <w:cantSplit w:val="true"/>
        </w:trPr>
        <w:tc>
          <w:tcPr>
            <w:tcW w:type="dxa" w:w="272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完成 1 门课程的作业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投入型</w:t>
            </w:r>
          </w:p>
        </w:tc>
        <w:tc>
          <w:tcPr>
            <w:tcW w:type="dxa" w:w="1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1.48</w:t>
            </w:r>
          </w:p>
        </w:tc>
        <w:tc>
          <w:tcPr>
            <w:tcW w:type="dxa" w:w="1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2.07</w:t>
            </w:r>
          </w:p>
        </w:tc>
        <w:tc>
          <w:tcPr>
            <w:tcW w:type="dxa" w:w="124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1.40</w:t>
            </w:r>
          </w:p>
        </w:tc>
      </w:tr>
      <w:tr>
        <w:trPr>
          <w:cantSplit w:val="true"/>
        </w:trPr>
        <w:tc>
          <w:tcPr>
            <w:tcW w:type="dxa" w:w="272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1 轮文化对话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投入型</w:t>
            </w:r>
          </w:p>
        </w:tc>
        <w:tc>
          <w:tcPr>
            <w:tcW w:type="dxa" w:w="1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0.16</w:t>
            </w:r>
          </w:p>
        </w:tc>
        <w:tc>
          <w:tcPr>
            <w:tcW w:type="dxa" w:w="1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0.53</w:t>
            </w:r>
          </w:p>
        </w:tc>
        <w:tc>
          <w:tcPr>
            <w:tcW w:type="dxa" w:w="124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3.20</w:t>
            </w:r>
          </w:p>
        </w:tc>
      </w:tr>
      <w:tr>
        <w:trPr>
          <w:cantSplit w:val="true"/>
        </w:trPr>
        <w:tc>
          <w:tcPr>
            <w:tcW w:type="dxa" w:w="272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提交 1 份作业成果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投入型</w:t>
            </w:r>
          </w:p>
        </w:tc>
        <w:tc>
          <w:tcPr>
            <w:tcW w:type="dxa" w:w="1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3.11</w:t>
            </w:r>
          </w:p>
        </w:tc>
        <w:tc>
          <w:tcPr>
            <w:tcW w:type="dxa" w:w="1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4.21</w:t>
            </w:r>
          </w:p>
        </w:tc>
        <w:tc>
          <w:tcPr>
            <w:tcW w:type="dxa" w:w="124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1.35</w:t>
            </w:r>
          </w:p>
        </w:tc>
      </w:tr>
      <w:tr>
        <w:trPr>
          <w:cantSplit w:val="true"/>
        </w:trPr>
        <w:tc>
          <w:tcPr>
            <w:tcW w:type="dxa" w:w="2721"/>
            <w:tcBorders>
              <w:top w:val="nil"/>
              <w:left w:val="nil"/>
              <w:bottom w:val="single" w:sz="12" w:space="0" w:color="000000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自建 1 个文化智能体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12" w:space="0" w:color="000000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投入型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12" w:space="0" w:color="000000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4.98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12" w:space="0" w:color="000000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6.72</w:t>
            </w:r>
          </w:p>
        </w:tc>
        <w:tc>
          <w:tcPr>
            <w:tcW w:type="dxa" w:w="1247"/>
            <w:tcBorders>
              <w:top w:val="nil"/>
              <w:left w:val="nil"/>
              <w:bottom w:val="single" w:sz="12" w:space="0" w:color="000000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1.35</w:t>
            </w:r>
          </w:p>
        </w:tc>
      </w:tr>
    </w:tbl>
    <w:p>
      <w:pPr>
        <w:keepNext/>
        <w:spacing w:before="200" w:after="120" w:line="360" w:lineRule="auto"/>
        <w:jc w:val="left"/>
        <w:outlineLvl w:val="1"/>
      </w:pPr>
      <w:r>
        <w:rPr>
          <w:rFonts w:ascii="黑体" w:hAnsi="黑体" w:eastAsia="黑体" w:cs="黑体"/>
          <w:b w:val="0"/>
          <w:i w:val="0"/>
          <w:sz w:val="28"/>
        </w:rPr>
        <w:t>4.3　参数总表</w:t>
      </w:r>
    </w:p>
    <w:p>
      <w:pPr>
        <w:keepNext w:val="0"/>
        <w:spacing w:before="0" w:after="0" w:line="360" w:lineRule="auto"/>
        <w:ind w:firstLineChars="200" w:firstLine="480"/>
        <w:jc w:val="both"/>
      </w:pPr>
      <w:r>
        <w:rPr>
          <w:rFonts w:ascii="Times New Roman" w:hAnsi="Times New Roman" w:eastAsia="宋体" w:cs="Times New Roman"/>
          <w:b w:val="0"/>
          <w:i w:val="0"/>
          <w:sz w:val="24"/>
        </w:rPr>
        <w:t>本次标定涉及的全部参数及其调整前后取值列于表 13。除权重矩阵外，证据饱和常数整体抬高，使四年的持续投入能拉出台阶；文化对话的渠道上限提高，保证今后大量使用对话时仍有持续的上升空间；参与型渠道的上限压低，抑制“报课不学”与“挂机刷视频”。</w:t>
      </w:r>
    </w:p>
    <w:p>
      <w:pPr>
        <w:keepNext/>
        <w:spacing w:before="200" w:after="60" w:line="240" w:lineRule="auto"/>
        <w:jc w:val="center"/>
      </w:pPr>
      <w:r>
        <w:rPr>
          <w:rFonts w:ascii="黑体" w:hAnsi="黑体" w:eastAsia="黑体" w:cs="黑体"/>
          <w:b w:val="0"/>
          <w:i w:val="0"/>
          <w:sz w:val="21"/>
        </w:rPr>
        <w:t>表 13　标定前后的参数对照</w:t>
      </w:r>
    </w:p>
    <w:tbl>
      <w:tblPr>
        <w:tblStyle w:val="TableGrid"/>
        <w:tblW w:type="dxa" w:w="8278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2494"/>
        <w:gridCol w:w="2608"/>
        <w:gridCol w:w="3175"/>
      </w:tblGrid>
      <w:tr>
        <w:trPr>
          <w:cantSplit w:val="true"/>
          <w:tblHeader w:val="true"/>
        </w:trPr>
        <w:tc>
          <w:tcPr>
            <w:tcW w:type="dxa" w:w="2494"/>
            <w:tcBorders>
              <w:top w:val="single" w:sz="12" w:space="0" w:color="000000"/>
              <w:left w:val="nil"/>
              <w:bottom w:val="single" w:sz="6" w:space="0" w:color="000000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黑体" w:hAnsi="黑体" w:eastAsia="黑体" w:cs="黑体"/>
                <w:b w:val="0"/>
                <w:i w:val="0"/>
                <w:sz w:val="18"/>
              </w:rPr>
              <w:t>参数</w:t>
            </w:r>
          </w:p>
        </w:tc>
        <w:tc>
          <w:tcPr>
            <w:tcW w:type="dxa" w:w="2608"/>
            <w:tcBorders>
              <w:top w:val="single" w:sz="12" w:space="0" w:color="000000"/>
              <w:left w:val="nil"/>
              <w:bottom w:val="single" w:sz="6" w:space="0" w:color="000000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黑体" w:hAnsi="黑体" w:eastAsia="黑体" w:cs="黑体"/>
                <w:b w:val="0"/>
                <w:i w:val="0"/>
                <w:sz w:val="18"/>
              </w:rPr>
              <w:t>标定前</w:t>
            </w:r>
          </w:p>
        </w:tc>
        <w:tc>
          <w:tcPr>
            <w:tcW w:type="dxa" w:w="3175"/>
            <w:tcBorders>
              <w:top w:val="single" w:sz="12" w:space="0" w:color="000000"/>
              <w:left w:val="nil"/>
              <w:bottom w:val="single" w:sz="6" w:space="0" w:color="000000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黑体" w:hAnsi="黑体" w:eastAsia="黑体" w:cs="黑体"/>
                <w:b w:val="0"/>
                <w:i w:val="0"/>
                <w:sz w:val="18"/>
              </w:rPr>
              <w:t>标定后</w:t>
            </w:r>
          </w:p>
        </w:tc>
      </w:tr>
      <w:tr>
        <w:trPr>
          <w:cantSplit w:val="true"/>
        </w:trPr>
        <w:tc>
          <w:tcPr>
            <w:tcW w:type="dxa" w:w="2494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初始得分（未做问卷）</w:t>
            </w:r>
          </w:p>
        </w:tc>
        <w:tc>
          <w:tcPr>
            <w:tcW w:type="dxa" w:w="260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0.50</w:t>
            </w:r>
          </w:p>
        </w:tc>
        <w:tc>
          <w:tcPr>
            <w:tcW w:type="dxa" w:w="317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0.30</w:t>
            </w:r>
          </w:p>
        </w:tc>
      </w:tr>
      <w:tr>
        <w:trPr>
          <w:cantSplit w:val="true"/>
        </w:trPr>
        <w:tc>
          <w:tcPr>
            <w:tcW w:type="dxa" w:w="2494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问卷映射方式</w:t>
            </w:r>
          </w:p>
        </w:tc>
        <w:tc>
          <w:tcPr>
            <w:tcW w:type="dxa" w:w="260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直接取问卷均分</w:t>
            </w:r>
          </w:p>
        </w:tc>
        <w:tc>
          <w:tcPr>
            <w:tcW w:type="dxa" w:w="317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窄带压缩至 [0.15, 0.50]，指数 2.0</w:t>
            </w:r>
          </w:p>
        </w:tc>
      </w:tr>
      <w:tr>
        <w:trPr>
          <w:cantSplit w:val="true"/>
        </w:trPr>
        <w:tc>
          <w:tcPr>
            <w:tcW w:type="dxa" w:w="2494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直线作答折减</w:t>
            </w:r>
          </w:p>
        </w:tc>
        <w:tc>
          <w:tcPr>
            <w:tcW w:type="dxa" w:w="260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无</w:t>
            </w:r>
          </w:p>
        </w:tc>
        <w:tc>
          <w:tcPr>
            <w:tcW w:type="dxa" w:w="317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σ 阈值 0.18，最大折减 0.72</w:t>
            </w:r>
          </w:p>
        </w:tc>
      </w:tr>
      <w:tr>
        <w:trPr>
          <w:cantSplit w:val="true"/>
        </w:trPr>
        <w:tc>
          <w:tcPr>
            <w:tcW w:type="dxa" w:w="2494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文化对话　权重量级</w:t>
            </w:r>
          </w:p>
        </w:tc>
        <w:tc>
          <w:tcPr>
            <w:tcW w:type="dxa" w:w="260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0.20、0.55、0.50、0.40、0.25</w:t>
            </w:r>
          </w:p>
        </w:tc>
        <w:tc>
          <w:tcPr>
            <w:tcW w:type="dxa" w:w="317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0.640、1.760、1.600、1.280、0.800</w:t>
            </w:r>
          </w:p>
        </w:tc>
      </w:tr>
      <w:tr>
        <w:trPr>
          <w:cantSplit w:val="true"/>
        </w:trPr>
        <w:tc>
          <w:tcPr>
            <w:tcW w:type="dxa" w:w="2494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课程作业　权重量级</w:t>
            </w:r>
          </w:p>
        </w:tc>
        <w:tc>
          <w:tcPr>
            <w:tcW w:type="dxa" w:w="260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0.25、0.65、0.40、0.20、0.35</w:t>
            </w:r>
          </w:p>
        </w:tc>
        <w:tc>
          <w:tcPr>
            <w:tcW w:type="dxa" w:w="317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0.350、0.910、0.560、0.280、0.490</w:t>
            </w:r>
          </w:p>
        </w:tc>
      </w:tr>
      <w:tr>
        <w:trPr>
          <w:cantSplit w:val="true"/>
        </w:trPr>
        <w:tc>
          <w:tcPr>
            <w:tcW w:type="dxa" w:w="2494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学生作业成果　权重量级</w:t>
            </w:r>
          </w:p>
        </w:tc>
        <w:tc>
          <w:tcPr>
            <w:tcW w:type="dxa" w:w="260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0.35、0.45、0.30、0.40、0.85</w:t>
            </w:r>
          </w:p>
        </w:tc>
        <w:tc>
          <w:tcPr>
            <w:tcW w:type="dxa" w:w="317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0.473、0.608、0.405、0.540、1.148</w:t>
            </w:r>
          </w:p>
        </w:tc>
      </w:tr>
      <w:tr>
        <w:trPr>
          <w:cantSplit w:val="true"/>
        </w:trPr>
        <w:tc>
          <w:tcPr>
            <w:tcW w:type="dxa" w:w="2494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学生自建智能体　权重量级</w:t>
            </w:r>
          </w:p>
        </w:tc>
        <w:tc>
          <w:tcPr>
            <w:tcW w:type="dxa" w:w="260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0.20、0.50、0.40、0.35、1.00</w:t>
            </w:r>
          </w:p>
        </w:tc>
        <w:tc>
          <w:tcPr>
            <w:tcW w:type="dxa" w:w="317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0.270、0.675、0.540、0.473、1.350</w:t>
            </w:r>
          </w:p>
        </w:tc>
      </w:tr>
      <w:tr>
        <w:trPr>
          <w:cantSplit w:val="true"/>
        </w:trPr>
        <w:tc>
          <w:tcPr>
            <w:tcW w:type="dxa" w:w="2494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文化课程报名　权重量级</w:t>
            </w:r>
          </w:p>
        </w:tc>
        <w:tc>
          <w:tcPr>
            <w:tcW w:type="dxa" w:w="260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0.40、0.25、0.60、0.25、0.10</w:t>
            </w:r>
          </w:p>
        </w:tc>
        <w:tc>
          <w:tcPr>
            <w:tcW w:type="dxa" w:w="317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0.140、0.088、0.210、0.088、0.035</w:t>
            </w:r>
          </w:p>
        </w:tc>
      </w:tr>
      <w:tr>
        <w:trPr>
          <w:cantSplit w:val="true"/>
        </w:trPr>
        <w:tc>
          <w:tcPr>
            <w:tcW w:type="dxa" w:w="2494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课程视频　权重量级</w:t>
            </w:r>
          </w:p>
        </w:tc>
        <w:tc>
          <w:tcPr>
            <w:tcW w:type="dxa" w:w="260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0.60、0.45、0.35、0.20、0.05</w:t>
            </w:r>
          </w:p>
        </w:tc>
        <w:tc>
          <w:tcPr>
            <w:tcW w:type="dxa" w:w="317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0.240、0.180、0.140、0.080、0.020</w:t>
            </w:r>
          </w:p>
        </w:tc>
      </w:tr>
      <w:tr>
        <w:trPr>
          <w:cantSplit w:val="true"/>
        </w:trPr>
        <w:tc>
          <w:tcPr>
            <w:tcW w:type="dxa" w:w="2494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文化对话　渠道上限</w:t>
            </w:r>
          </w:p>
        </w:tc>
        <w:tc>
          <w:tcPr>
            <w:tcW w:type="dxa" w:w="260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6.0</w:t>
            </w:r>
          </w:p>
        </w:tc>
        <w:tc>
          <w:tcPr>
            <w:tcW w:type="dxa" w:w="317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10.0</w:t>
            </w:r>
          </w:p>
        </w:tc>
      </w:tr>
      <w:tr>
        <w:trPr>
          <w:cantSplit w:val="true"/>
        </w:trPr>
        <w:tc>
          <w:tcPr>
            <w:tcW w:type="dxa" w:w="2494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课程作业　渠道上限</w:t>
            </w:r>
          </w:p>
        </w:tc>
        <w:tc>
          <w:tcPr>
            <w:tcW w:type="dxa" w:w="260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8.0</w:t>
            </w:r>
          </w:p>
        </w:tc>
        <w:tc>
          <w:tcPr>
            <w:tcW w:type="dxa" w:w="317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8.0</w:t>
            </w:r>
          </w:p>
        </w:tc>
      </w:tr>
      <w:tr>
        <w:trPr>
          <w:cantSplit w:val="true"/>
        </w:trPr>
        <w:tc>
          <w:tcPr>
            <w:tcW w:type="dxa" w:w="2494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学生作业成果　渠道上限</w:t>
            </w:r>
          </w:p>
        </w:tc>
        <w:tc>
          <w:tcPr>
            <w:tcW w:type="dxa" w:w="260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12.0</w:t>
            </w:r>
          </w:p>
        </w:tc>
        <w:tc>
          <w:tcPr>
            <w:tcW w:type="dxa" w:w="317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12.0</w:t>
            </w:r>
          </w:p>
        </w:tc>
      </w:tr>
      <w:tr>
        <w:trPr>
          <w:cantSplit w:val="true"/>
        </w:trPr>
        <w:tc>
          <w:tcPr>
            <w:tcW w:type="dxa" w:w="2494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学生自建智能体　渠道上限</w:t>
            </w:r>
          </w:p>
        </w:tc>
        <w:tc>
          <w:tcPr>
            <w:tcW w:type="dxa" w:w="260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12.0</w:t>
            </w:r>
          </w:p>
        </w:tc>
        <w:tc>
          <w:tcPr>
            <w:tcW w:type="dxa" w:w="317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12.0</w:t>
            </w:r>
          </w:p>
        </w:tc>
      </w:tr>
      <w:tr>
        <w:trPr>
          <w:cantSplit w:val="true"/>
        </w:trPr>
        <w:tc>
          <w:tcPr>
            <w:tcW w:type="dxa" w:w="2494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文化课程报名　渠道上限</w:t>
            </w:r>
          </w:p>
        </w:tc>
        <w:tc>
          <w:tcPr>
            <w:tcW w:type="dxa" w:w="260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6.0</w:t>
            </w:r>
          </w:p>
        </w:tc>
        <w:tc>
          <w:tcPr>
            <w:tcW w:type="dxa" w:w="317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3.0</w:t>
            </w:r>
          </w:p>
        </w:tc>
      </w:tr>
      <w:tr>
        <w:trPr>
          <w:cantSplit w:val="true"/>
        </w:trPr>
        <w:tc>
          <w:tcPr>
            <w:tcW w:type="dxa" w:w="2494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课程视频　渠道上限</w:t>
            </w:r>
          </w:p>
        </w:tc>
        <w:tc>
          <w:tcPr>
            <w:tcW w:type="dxa" w:w="260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6.0</w:t>
            </w:r>
          </w:p>
        </w:tc>
        <w:tc>
          <w:tcPr>
            <w:tcW w:type="dxa" w:w="317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4.0</w:t>
            </w:r>
          </w:p>
        </w:tc>
      </w:tr>
      <w:tr>
        <w:trPr>
          <w:cantSplit w:val="true"/>
        </w:trPr>
        <w:tc>
          <w:tcPr>
            <w:tcW w:type="dxa" w:w="2494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证据饱和常数 κ</w:t>
            </w:r>
          </w:p>
        </w:tc>
        <w:tc>
          <w:tcPr>
            <w:tcW w:type="dxa" w:w="260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4.5、5.0、4.5、4.0、3.5</w:t>
            </w:r>
          </w:p>
        </w:tc>
        <w:tc>
          <w:tcPr>
            <w:tcW w:type="dxa" w:w="317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6.5、7.0、6.5、5.5、5.0</w:t>
            </w:r>
          </w:p>
        </w:tc>
      </w:tr>
      <w:tr>
        <w:trPr>
          <w:cantSplit w:val="true"/>
        </w:trPr>
        <w:tc>
          <w:tcPr>
            <w:tcW w:type="dxa" w:w="2494"/>
            <w:tcBorders>
              <w:top w:val="nil"/>
              <w:left w:val="nil"/>
              <w:bottom w:val="single" w:sz="12" w:space="0" w:color="000000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等级阈值</w:t>
            </w:r>
          </w:p>
        </w:tc>
        <w:tc>
          <w:tcPr>
            <w:tcW w:type="dxa" w:w="2608"/>
            <w:tcBorders>
              <w:top w:val="nil"/>
              <w:left w:val="nil"/>
              <w:bottom w:val="single" w:sz="12" w:space="0" w:color="000000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A≥0.85、B≥0.70、C≥0.55（各年级相同）</w:t>
            </w:r>
          </w:p>
        </w:tc>
        <w:tc>
          <w:tcPr>
            <w:tcW w:type="dxa" w:w="3175"/>
            <w:tcBorders>
              <w:top w:val="nil"/>
              <w:left w:val="nil"/>
              <w:bottom w:val="single" w:sz="12" w:space="0" w:color="000000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大一 A≥0.60、B≥0.48、C≥0.36，每升一个年级 +0.08</w:t>
            </w:r>
          </w:p>
        </w:tc>
      </w:tr>
    </w:tbl>
    <w:p>
      <w:pPr>
        <w:keepNext/>
        <w:spacing w:before="200" w:after="120" w:line="360" w:lineRule="auto"/>
        <w:jc w:val="left"/>
        <w:outlineLvl w:val="1"/>
      </w:pPr>
      <w:r>
        <w:rPr>
          <w:rFonts w:ascii="黑体" w:hAnsi="黑体" w:eastAsia="黑体" w:cs="黑体"/>
          <w:b w:val="0"/>
          <w:i w:val="0"/>
          <w:sz w:val="28"/>
        </w:rPr>
        <w:t>4.4　标定效果检验</w:t>
      </w:r>
    </w:p>
    <w:p>
      <w:pPr>
        <w:keepNext w:val="0"/>
        <w:spacing w:before="0" w:after="0" w:line="360" w:lineRule="auto"/>
        <w:ind w:firstLineChars="200" w:firstLine="480"/>
        <w:jc w:val="both"/>
      </w:pPr>
      <w:r>
        <w:rPr>
          <w:rFonts w:ascii="Times New Roman" w:hAnsi="Times New Roman" w:eastAsia="宋体" w:cs="Times New Roman"/>
          <w:b w:val="0"/>
          <w:i w:val="0"/>
          <w:sz w:val="24"/>
        </w:rPr>
        <w:t>在 5307 名大一学生的真实数据上重算（该批学生尚未做问卷，初始得分取默认值），综合指数的分布对照见图 7(b) 与表 14。中位数由 0.56 降至 0.32，最高分由 0.90 降至 0.69，上方留出了四年成长所需的空间；同时分数并未压平——分布仍保持可分辨的层次。</w:t>
      </w:r>
    </w:p>
    <w:p>
      <w:pPr>
        <w:keepNext/>
        <w:spacing w:before="200" w:after="60" w:line="240" w:lineRule="auto"/>
        <w:jc w:val="center"/>
      </w:pPr>
      <w:r>
        <w:rPr>
          <w:rFonts w:ascii="黑体" w:hAnsi="黑体" w:eastAsia="黑体" w:cs="黑体"/>
          <w:b w:val="0"/>
          <w:i w:val="0"/>
          <w:sz w:val="21"/>
        </w:rPr>
        <w:t>表 14　大一全体学生综合指数的分布对照</w:t>
      </w:r>
    </w:p>
    <w:tbl>
      <w:tblPr>
        <w:tblStyle w:val="TableGrid"/>
        <w:tblW w:type="dxa" w:w="8108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134"/>
        <w:gridCol w:w="963"/>
        <w:gridCol w:w="963"/>
        <w:gridCol w:w="1077"/>
        <w:gridCol w:w="963"/>
        <w:gridCol w:w="963"/>
        <w:gridCol w:w="963"/>
        <w:gridCol w:w="1077"/>
      </w:tblGrid>
      <w:tr>
        <w:trPr>
          <w:cantSplit w:val="true"/>
          <w:tblHeader w:val="true"/>
        </w:trPr>
        <w:tc>
          <w:tcPr>
            <w:tcW w:type="dxa" w:w="1134"/>
            <w:tcBorders>
              <w:top w:val="single" w:sz="12" w:space="0" w:color="000000"/>
              <w:left w:val="nil"/>
              <w:bottom w:val="single" w:sz="6" w:space="0" w:color="000000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黑体" w:hAnsi="黑体" w:eastAsia="黑体" w:cs="黑体"/>
                <w:b w:val="0"/>
                <w:i w:val="0"/>
                <w:sz w:val="18"/>
              </w:rPr>
            </w:r>
          </w:p>
        </w:tc>
        <w:tc>
          <w:tcPr>
            <w:tcW w:type="dxa" w:w="964"/>
            <w:tcBorders>
              <w:top w:val="single" w:sz="12" w:space="0" w:color="000000"/>
              <w:left w:val="nil"/>
              <w:bottom w:val="single" w:sz="6" w:space="0" w:color="000000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黑体" w:hAnsi="黑体" w:eastAsia="黑体" w:cs="黑体"/>
                <w:b w:val="0"/>
                <w:i w:val="0"/>
                <w:sz w:val="18"/>
              </w:rPr>
              <w:t>P10</w:t>
            </w:r>
          </w:p>
        </w:tc>
        <w:tc>
          <w:tcPr>
            <w:tcW w:type="dxa" w:w="964"/>
            <w:tcBorders>
              <w:top w:val="single" w:sz="12" w:space="0" w:color="000000"/>
              <w:left w:val="nil"/>
              <w:bottom w:val="single" w:sz="6" w:space="0" w:color="000000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黑体" w:hAnsi="黑体" w:eastAsia="黑体" w:cs="黑体"/>
                <w:b w:val="0"/>
                <w:i w:val="0"/>
                <w:sz w:val="18"/>
              </w:rPr>
              <w:t>P25</w:t>
            </w:r>
          </w:p>
        </w:tc>
        <w:tc>
          <w:tcPr>
            <w:tcW w:type="dxa" w:w="1077"/>
            <w:tcBorders>
              <w:top w:val="single" w:sz="12" w:space="0" w:color="000000"/>
              <w:left w:val="nil"/>
              <w:bottom w:val="single" w:sz="6" w:space="0" w:color="000000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黑体" w:hAnsi="黑体" w:eastAsia="黑体" w:cs="黑体"/>
                <w:b w:val="0"/>
                <w:i w:val="0"/>
                <w:sz w:val="18"/>
              </w:rPr>
              <w:t>中位数</w:t>
            </w:r>
          </w:p>
        </w:tc>
        <w:tc>
          <w:tcPr>
            <w:tcW w:type="dxa" w:w="964"/>
            <w:tcBorders>
              <w:top w:val="single" w:sz="12" w:space="0" w:color="000000"/>
              <w:left w:val="nil"/>
              <w:bottom w:val="single" w:sz="6" w:space="0" w:color="000000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黑体" w:hAnsi="黑体" w:eastAsia="黑体" w:cs="黑体"/>
                <w:b w:val="0"/>
                <w:i w:val="0"/>
                <w:sz w:val="18"/>
              </w:rPr>
              <w:t>P75</w:t>
            </w:r>
          </w:p>
        </w:tc>
        <w:tc>
          <w:tcPr>
            <w:tcW w:type="dxa" w:w="964"/>
            <w:tcBorders>
              <w:top w:val="single" w:sz="12" w:space="0" w:color="000000"/>
              <w:left w:val="nil"/>
              <w:bottom w:val="single" w:sz="6" w:space="0" w:color="000000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黑体" w:hAnsi="黑体" w:eastAsia="黑体" w:cs="黑体"/>
                <w:b w:val="0"/>
                <w:i w:val="0"/>
                <w:sz w:val="18"/>
              </w:rPr>
              <w:t>P90</w:t>
            </w:r>
          </w:p>
        </w:tc>
        <w:tc>
          <w:tcPr>
            <w:tcW w:type="dxa" w:w="964"/>
            <w:tcBorders>
              <w:top w:val="single" w:sz="12" w:space="0" w:color="000000"/>
              <w:left w:val="nil"/>
              <w:bottom w:val="single" w:sz="6" w:space="0" w:color="000000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黑体" w:hAnsi="黑体" w:eastAsia="黑体" w:cs="黑体"/>
                <w:b w:val="0"/>
                <w:i w:val="0"/>
                <w:sz w:val="18"/>
              </w:rPr>
              <w:t>P99</w:t>
            </w:r>
          </w:p>
        </w:tc>
        <w:tc>
          <w:tcPr>
            <w:tcW w:type="dxa" w:w="1077"/>
            <w:tcBorders>
              <w:top w:val="single" w:sz="12" w:space="0" w:color="000000"/>
              <w:left w:val="nil"/>
              <w:bottom w:val="single" w:sz="6" w:space="0" w:color="000000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黑体" w:hAnsi="黑体" w:eastAsia="黑体" w:cs="黑体"/>
                <w:b w:val="0"/>
                <w:i w:val="0"/>
                <w:sz w:val="18"/>
              </w:rPr>
              <w:t>最高分</w:t>
            </w:r>
          </w:p>
        </w:tc>
      </w:tr>
      <w:tr>
        <w:trPr>
          <w:cantSplit w:val="true"/>
        </w:trPr>
        <w:tc>
          <w:tcPr>
            <w:tcW w:type="dxa" w:w="1134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标定前</w:t>
            </w:r>
          </w:p>
        </w:tc>
        <w:tc>
          <w:tcPr>
            <w:tcW w:type="dxa" w:w="964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0.56</w:t>
            </w:r>
          </w:p>
        </w:tc>
        <w:tc>
          <w:tcPr>
            <w:tcW w:type="dxa" w:w="964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0.56</w:t>
            </w:r>
          </w:p>
        </w:tc>
        <w:tc>
          <w:tcPr>
            <w:tcW w:type="dxa" w:w="107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0.56</w:t>
            </w:r>
          </w:p>
        </w:tc>
        <w:tc>
          <w:tcPr>
            <w:tcW w:type="dxa" w:w="964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0.57</w:t>
            </w:r>
          </w:p>
        </w:tc>
        <w:tc>
          <w:tcPr>
            <w:tcW w:type="dxa" w:w="964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0.59</w:t>
            </w:r>
          </w:p>
        </w:tc>
        <w:tc>
          <w:tcPr>
            <w:tcW w:type="dxa" w:w="964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0.73</w:t>
            </w:r>
          </w:p>
        </w:tc>
        <w:tc>
          <w:tcPr>
            <w:tcW w:type="dxa" w:w="107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0.90</w:t>
            </w:r>
          </w:p>
        </w:tc>
      </w:tr>
      <w:tr>
        <w:trPr>
          <w:cantSplit w:val="true"/>
        </w:trPr>
        <w:tc>
          <w:tcPr>
            <w:tcW w:type="dxa" w:w="1134"/>
            <w:tcBorders>
              <w:top w:val="nil"/>
              <w:left w:val="nil"/>
              <w:bottom w:val="single" w:sz="12" w:space="0" w:color="000000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标定后</w:t>
            </w:r>
          </w:p>
        </w:tc>
        <w:tc>
          <w:tcPr>
            <w:tcW w:type="dxa" w:w="964"/>
            <w:tcBorders>
              <w:top w:val="nil"/>
              <w:left w:val="nil"/>
              <w:bottom w:val="single" w:sz="12" w:space="0" w:color="000000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0.32</w:t>
            </w:r>
          </w:p>
        </w:tc>
        <w:tc>
          <w:tcPr>
            <w:tcW w:type="dxa" w:w="964"/>
            <w:tcBorders>
              <w:top w:val="nil"/>
              <w:left w:val="nil"/>
              <w:bottom w:val="single" w:sz="12" w:space="0" w:color="000000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0.32</w:t>
            </w:r>
          </w:p>
        </w:tc>
        <w:tc>
          <w:tcPr>
            <w:tcW w:type="dxa" w:w="1077"/>
            <w:tcBorders>
              <w:top w:val="nil"/>
              <w:left w:val="nil"/>
              <w:bottom w:val="single" w:sz="12" w:space="0" w:color="000000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0.32</w:t>
            </w:r>
          </w:p>
        </w:tc>
        <w:tc>
          <w:tcPr>
            <w:tcW w:type="dxa" w:w="964"/>
            <w:tcBorders>
              <w:top w:val="nil"/>
              <w:left w:val="nil"/>
              <w:bottom w:val="single" w:sz="12" w:space="0" w:color="000000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0.33</w:t>
            </w:r>
          </w:p>
        </w:tc>
        <w:tc>
          <w:tcPr>
            <w:tcW w:type="dxa" w:w="964"/>
            <w:tcBorders>
              <w:top w:val="nil"/>
              <w:left w:val="nil"/>
              <w:bottom w:val="single" w:sz="12" w:space="0" w:color="000000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0.35</w:t>
            </w:r>
          </w:p>
        </w:tc>
        <w:tc>
          <w:tcPr>
            <w:tcW w:type="dxa" w:w="964"/>
            <w:tcBorders>
              <w:top w:val="nil"/>
              <w:left w:val="nil"/>
              <w:bottom w:val="single" w:sz="12" w:space="0" w:color="000000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0.45</w:t>
            </w:r>
          </w:p>
        </w:tc>
        <w:tc>
          <w:tcPr>
            <w:tcW w:type="dxa" w:w="1077"/>
            <w:tcBorders>
              <w:top w:val="nil"/>
              <w:left w:val="nil"/>
              <w:bottom w:val="single" w:sz="12" w:space="0" w:color="000000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0.69</w:t>
            </w:r>
          </w:p>
        </w:tc>
      </w:tr>
    </w:tbl>
    <w:p>
      <w:pPr>
        <w:keepNext w:val="0"/>
        <w:spacing w:before="0" w:after="0" w:line="360" w:lineRule="auto"/>
        <w:ind w:firstLineChars="200" w:firstLine="480"/>
        <w:jc w:val="both"/>
      </w:pPr>
      <w:r>
        <w:rPr>
          <w:rFonts w:ascii="Times New Roman" w:hAnsi="Times New Roman" w:eastAsia="宋体" w:cs="Times New Roman"/>
          <w:b w:val="0"/>
          <w:i w:val="0"/>
          <w:sz w:val="24"/>
        </w:rPr>
        <w:t>文化对话的上升空间是本次标定的重点检验项。取一名处于中位水平的学生，分别追加 10、30、60 轮有质量的文化对话，其综合指数的变化见表 15。标定前该生起点已在 0.56，距满分只剩 0.44 的空间，追加 60 轮换来 +0.157；标定后起点降到 0.32，空间放大到 0.68，同样的投入换来 +0.412，是原来的 2.6 倍。两点变化叠加，文化对话才真正成为可以持续积累四年的成长通道，而不是很快就顶到天花板的一次性加分项。</w:t>
      </w:r>
    </w:p>
    <w:p>
      <w:pPr>
        <w:keepNext/>
        <w:spacing w:before="200" w:after="60" w:line="240" w:lineRule="auto"/>
        <w:jc w:val="center"/>
      </w:pPr>
      <w:r>
        <w:rPr>
          <w:rFonts w:ascii="黑体" w:hAnsi="黑体" w:eastAsia="黑体" w:cs="黑体"/>
          <w:b w:val="0"/>
          <w:i w:val="0"/>
          <w:sz w:val="21"/>
        </w:rPr>
        <w:t>表 15　中位学生追加文化对话后的综合指数</w:t>
      </w:r>
    </w:p>
    <w:tbl>
      <w:tblPr>
        <w:tblStyle w:val="TableGrid"/>
        <w:tblW w:type="dxa" w:w="8051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247"/>
        <w:gridCol w:w="1360"/>
        <w:gridCol w:w="1814"/>
        <w:gridCol w:w="1814"/>
        <w:gridCol w:w="1814"/>
      </w:tblGrid>
      <w:tr>
        <w:trPr>
          <w:cantSplit w:val="true"/>
          <w:tblHeader w:val="true"/>
        </w:trPr>
        <w:tc>
          <w:tcPr>
            <w:tcW w:type="dxa" w:w="1247"/>
            <w:tcBorders>
              <w:top w:val="single" w:sz="12" w:space="0" w:color="000000"/>
              <w:left w:val="nil"/>
              <w:bottom w:val="single" w:sz="6" w:space="0" w:color="000000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黑体" w:hAnsi="黑体" w:eastAsia="黑体" w:cs="黑体"/>
                <w:b w:val="0"/>
                <w:i w:val="0"/>
                <w:sz w:val="21"/>
              </w:rPr>
            </w:r>
          </w:p>
        </w:tc>
        <w:tc>
          <w:tcPr>
            <w:tcW w:type="dxa" w:w="1361"/>
            <w:tcBorders>
              <w:top w:val="single" w:sz="12" w:space="0" w:color="000000"/>
              <w:left w:val="nil"/>
              <w:bottom w:val="single" w:sz="6" w:space="0" w:color="000000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黑体" w:hAnsi="黑体" w:eastAsia="黑体" w:cs="黑体"/>
                <w:b w:val="0"/>
                <w:i w:val="0"/>
                <w:sz w:val="21"/>
              </w:rPr>
              <w:t>追加前</w:t>
            </w:r>
          </w:p>
        </w:tc>
        <w:tc>
          <w:tcPr>
            <w:tcW w:type="dxa" w:w="1814"/>
            <w:tcBorders>
              <w:top w:val="single" w:sz="12" w:space="0" w:color="000000"/>
              <w:left w:val="nil"/>
              <w:bottom w:val="single" w:sz="6" w:space="0" w:color="000000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黑体" w:hAnsi="黑体" w:eastAsia="黑体" w:cs="黑体"/>
                <w:b w:val="0"/>
                <w:i w:val="0"/>
                <w:sz w:val="21"/>
              </w:rPr>
              <w:t>追加 10 轮</w:t>
            </w:r>
          </w:p>
        </w:tc>
        <w:tc>
          <w:tcPr>
            <w:tcW w:type="dxa" w:w="1814"/>
            <w:tcBorders>
              <w:top w:val="single" w:sz="12" w:space="0" w:color="000000"/>
              <w:left w:val="nil"/>
              <w:bottom w:val="single" w:sz="6" w:space="0" w:color="000000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黑体" w:hAnsi="黑体" w:eastAsia="黑体" w:cs="黑体"/>
                <w:b w:val="0"/>
                <w:i w:val="0"/>
                <w:sz w:val="21"/>
              </w:rPr>
              <w:t>追加 30 轮</w:t>
            </w:r>
          </w:p>
        </w:tc>
        <w:tc>
          <w:tcPr>
            <w:tcW w:type="dxa" w:w="1814"/>
            <w:tcBorders>
              <w:top w:val="single" w:sz="12" w:space="0" w:color="000000"/>
              <w:left w:val="nil"/>
              <w:bottom w:val="single" w:sz="6" w:space="0" w:color="000000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黑体" w:hAnsi="黑体" w:eastAsia="黑体" w:cs="黑体"/>
                <w:b w:val="0"/>
                <w:i w:val="0"/>
                <w:sz w:val="21"/>
              </w:rPr>
              <w:t>追加 60 轮</w:t>
            </w:r>
          </w:p>
        </w:tc>
      </w:tr>
      <w:tr>
        <w:trPr>
          <w:cantSplit w:val="true"/>
        </w:trPr>
        <w:tc>
          <w:tcPr>
            <w:tcW w:type="dxa" w:w="124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标定前</w:t>
            </w:r>
          </w:p>
        </w:tc>
        <w:tc>
          <w:tcPr>
            <w:tcW w:type="dxa" w:w="1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0.56</w:t>
            </w:r>
          </w:p>
        </w:tc>
        <w:tc>
          <w:tcPr>
            <w:tcW w:type="dxa" w:w="1814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0.593（+0.032）</w:t>
            </w:r>
          </w:p>
        </w:tc>
        <w:tc>
          <w:tcPr>
            <w:tcW w:type="dxa" w:w="1814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0.649（+0.088）</w:t>
            </w:r>
          </w:p>
        </w:tc>
        <w:tc>
          <w:tcPr>
            <w:tcW w:type="dxa" w:w="1814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0.717（+0.157）</w:t>
            </w:r>
          </w:p>
        </w:tc>
      </w:tr>
      <w:tr>
        <w:trPr>
          <w:cantSplit w:val="true"/>
        </w:trPr>
        <w:tc>
          <w:tcPr>
            <w:tcW w:type="dxa" w:w="1247"/>
            <w:tcBorders>
              <w:top w:val="nil"/>
              <w:left w:val="nil"/>
              <w:bottom w:val="single" w:sz="12" w:space="0" w:color="000000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标定后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12" w:space="0" w:color="000000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0.32</w:t>
            </w:r>
          </w:p>
        </w:tc>
        <w:tc>
          <w:tcPr>
            <w:tcW w:type="dxa" w:w="1814"/>
            <w:tcBorders>
              <w:top w:val="nil"/>
              <w:left w:val="nil"/>
              <w:bottom w:val="single" w:sz="12" w:space="0" w:color="000000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0.429（+0.105）</w:t>
            </w:r>
          </w:p>
        </w:tc>
        <w:tc>
          <w:tcPr>
            <w:tcW w:type="dxa" w:w="1814"/>
            <w:tcBorders>
              <w:top w:val="nil"/>
              <w:left w:val="nil"/>
              <w:bottom w:val="single" w:sz="12" w:space="0" w:color="000000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0.588（+0.264）</w:t>
            </w:r>
          </w:p>
        </w:tc>
        <w:tc>
          <w:tcPr>
            <w:tcW w:type="dxa" w:w="1814"/>
            <w:tcBorders>
              <w:top w:val="nil"/>
              <w:left w:val="nil"/>
              <w:bottom w:val="single" w:sz="12" w:space="0" w:color="000000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0.736（+0.412）</w:t>
            </w:r>
          </w:p>
        </w:tc>
      </w:tr>
    </w:tbl>
    <w:p>
      <w:pPr>
        <w:keepNext w:val="0"/>
        <w:spacing w:before="0" w:after="0" w:line="360" w:lineRule="auto"/>
        <w:ind w:firstLineChars="200" w:firstLine="480"/>
        <w:jc w:val="both"/>
      </w:pPr>
      <w:r>
        <w:rPr>
          <w:rFonts w:ascii="Times New Roman" w:hAnsi="Times New Roman" w:eastAsia="宋体" w:cs="Times New Roman"/>
          <w:b w:val="0"/>
          <w:i w:val="0"/>
          <w:sz w:val="24"/>
        </w:rPr>
        <w:t>四年的成长性与防刷分效果同时检验。取两名典型学生：一名逐年加大投入，一名只在入学时把问卷刷满分、其后基本不使用平台。二者的四年轨迹见表 16 与图 8。持续投入的学生四年间由发展级升至引领级；只刷问卷的学生四年停留在起步级，分数虽略有累积，但始终追不上逐年抬高的等级线。</w:t>
      </w:r>
    </w:p>
    <w:p>
      <w:pPr>
        <w:keepNext/>
        <w:spacing w:before="200" w:after="60" w:line="240" w:lineRule="auto"/>
        <w:jc w:val="center"/>
      </w:pPr>
      <w:r>
        <w:rPr>
          <w:rFonts w:ascii="黑体" w:hAnsi="黑体" w:eastAsia="黑体" w:cs="黑体"/>
          <w:b w:val="0"/>
          <w:i w:val="0"/>
          <w:sz w:val="21"/>
        </w:rPr>
        <w:t>表 16　两类学生的四年成长轨迹</w:t>
      </w:r>
    </w:p>
    <w:tbl>
      <w:tblPr>
        <w:tblStyle w:val="TableGrid"/>
        <w:tblW w:type="dxa" w:w="8278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793"/>
        <w:gridCol w:w="3061"/>
        <w:gridCol w:w="850"/>
        <w:gridCol w:w="1190"/>
        <w:gridCol w:w="1190"/>
        <w:gridCol w:w="1190"/>
      </w:tblGrid>
      <w:tr>
        <w:trPr>
          <w:cantSplit w:val="true"/>
          <w:tblHeader w:val="true"/>
        </w:trPr>
        <w:tc>
          <w:tcPr>
            <w:tcW w:type="dxa" w:w="794"/>
            <w:tcBorders>
              <w:top w:val="single" w:sz="12" w:space="0" w:color="000000"/>
              <w:left w:val="nil"/>
              <w:bottom w:val="single" w:sz="6" w:space="0" w:color="000000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黑体" w:hAnsi="黑体" w:eastAsia="黑体" w:cs="黑体"/>
                <w:b w:val="0"/>
                <w:i w:val="0"/>
                <w:sz w:val="18"/>
              </w:rPr>
              <w:t>学年</w:t>
            </w:r>
          </w:p>
        </w:tc>
        <w:tc>
          <w:tcPr>
            <w:tcW w:type="dxa" w:w="3061"/>
            <w:tcBorders>
              <w:top w:val="single" w:sz="12" w:space="0" w:color="000000"/>
              <w:left w:val="nil"/>
              <w:bottom w:val="single" w:sz="6" w:space="0" w:color="000000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黑体" w:hAnsi="黑体" w:eastAsia="黑体" w:cs="黑体"/>
                <w:b w:val="0"/>
                <w:i w:val="0"/>
                <w:sz w:val="18"/>
              </w:rPr>
              <w:t>持续投入者当年的材料</w:t>
            </w:r>
          </w:p>
        </w:tc>
        <w:tc>
          <w:tcPr>
            <w:tcW w:type="dxa" w:w="850"/>
            <w:tcBorders>
              <w:top w:val="single" w:sz="12" w:space="0" w:color="000000"/>
              <w:left w:val="nil"/>
              <w:bottom w:val="single" w:sz="6" w:space="0" w:color="000000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黑体" w:hAnsi="黑体" w:eastAsia="黑体" w:cs="黑体"/>
                <w:b w:val="0"/>
                <w:i w:val="0"/>
                <w:sz w:val="18"/>
              </w:rPr>
              <w:t>CCI</w:t>
            </w:r>
          </w:p>
        </w:tc>
        <w:tc>
          <w:tcPr>
            <w:tcW w:type="dxa" w:w="1191"/>
            <w:tcBorders>
              <w:top w:val="single" w:sz="12" w:space="0" w:color="000000"/>
              <w:left w:val="nil"/>
              <w:bottom w:val="single" w:sz="6" w:space="0" w:color="000000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黑体" w:hAnsi="黑体" w:eastAsia="黑体" w:cs="黑体"/>
                <w:b w:val="0"/>
                <w:i w:val="0"/>
                <w:sz w:val="18"/>
              </w:rPr>
              <w:t>等级</w:t>
            </w:r>
          </w:p>
        </w:tc>
        <w:tc>
          <w:tcPr>
            <w:tcW w:type="dxa" w:w="1191"/>
            <w:tcBorders>
              <w:top w:val="single" w:sz="12" w:space="0" w:color="000000"/>
              <w:left w:val="nil"/>
              <w:bottom w:val="single" w:sz="6" w:space="0" w:color="000000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黑体" w:hAnsi="黑体" w:eastAsia="黑体" w:cs="黑体"/>
                <w:b w:val="0"/>
                <w:i w:val="0"/>
                <w:sz w:val="18"/>
              </w:rPr>
              <w:t>只刷问卷者 CCI</w:t>
            </w:r>
          </w:p>
        </w:tc>
        <w:tc>
          <w:tcPr>
            <w:tcW w:type="dxa" w:w="1191"/>
            <w:tcBorders>
              <w:top w:val="single" w:sz="12" w:space="0" w:color="000000"/>
              <w:left w:val="nil"/>
              <w:bottom w:val="single" w:sz="6" w:space="0" w:color="000000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黑体" w:hAnsi="黑体" w:eastAsia="黑体" w:cs="黑体"/>
                <w:b w:val="0"/>
                <w:i w:val="0"/>
                <w:sz w:val="18"/>
              </w:rPr>
              <w:t>等级</w:t>
            </w:r>
          </w:p>
        </w:tc>
      </w:tr>
      <w:tr>
        <w:trPr>
          <w:cantSplit w:val="true"/>
        </w:trPr>
        <w:tc>
          <w:tcPr>
            <w:tcW w:type="dxa" w:w="794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大一</w:t>
            </w:r>
          </w:p>
        </w:tc>
        <w:tc>
          <w:tcPr>
            <w:tcW w:type="dxa" w:w="30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1 门课 + 1 门课的视频 + 2 轮对话</w:t>
            </w:r>
          </w:p>
        </w:tc>
        <w:tc>
          <w:tcPr>
            <w:tcW w:type="dxa" w:w="85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0.44</w:t>
            </w:r>
          </w:p>
        </w:tc>
        <w:tc>
          <w:tcPr>
            <w:tcW w:type="dxa" w:w="119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C 发展级</w:t>
            </w:r>
          </w:p>
        </w:tc>
        <w:tc>
          <w:tcPr>
            <w:tcW w:type="dxa" w:w="119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0.35</w:t>
            </w:r>
          </w:p>
        </w:tc>
        <w:tc>
          <w:tcPr>
            <w:tcW w:type="dxa" w:w="119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D 起步级</w:t>
            </w:r>
          </w:p>
        </w:tc>
      </w:tr>
      <w:tr>
        <w:trPr>
          <w:cantSplit w:val="true"/>
        </w:trPr>
        <w:tc>
          <w:tcPr>
            <w:tcW w:type="dxa" w:w="794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大二</w:t>
            </w:r>
          </w:p>
        </w:tc>
        <w:tc>
          <w:tcPr>
            <w:tcW w:type="dxa" w:w="30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2 门课 + 2 门课的视频 + 2 门作业 + 15 轮对话</w:t>
            </w:r>
          </w:p>
        </w:tc>
        <w:tc>
          <w:tcPr>
            <w:tcW w:type="dxa" w:w="85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0.64</w:t>
            </w:r>
          </w:p>
        </w:tc>
        <w:tc>
          <w:tcPr>
            <w:tcW w:type="dxa" w:w="119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B 胜任级</w:t>
            </w:r>
          </w:p>
        </w:tc>
        <w:tc>
          <w:tcPr>
            <w:tcW w:type="dxa" w:w="119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0.36</w:t>
            </w:r>
          </w:p>
        </w:tc>
        <w:tc>
          <w:tcPr>
            <w:tcW w:type="dxa" w:w="119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D 起步级</w:t>
            </w:r>
          </w:p>
        </w:tc>
      </w:tr>
      <w:tr>
        <w:trPr>
          <w:cantSplit w:val="true"/>
        </w:trPr>
        <w:tc>
          <w:tcPr>
            <w:tcW w:type="dxa" w:w="794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大三</w:t>
            </w:r>
          </w:p>
        </w:tc>
        <w:tc>
          <w:tcPr>
            <w:tcW w:type="dxa" w:w="30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3 门课 + 3 门课的视频 + 4 门作业 + 35 轮对话 + 2 份成果</w:t>
            </w:r>
          </w:p>
        </w:tc>
        <w:tc>
          <w:tcPr>
            <w:tcW w:type="dxa" w:w="85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0.89</w:t>
            </w:r>
          </w:p>
        </w:tc>
        <w:tc>
          <w:tcPr>
            <w:tcW w:type="dxa" w:w="119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A 引领级</w:t>
            </w:r>
          </w:p>
        </w:tc>
        <w:tc>
          <w:tcPr>
            <w:tcW w:type="dxa" w:w="119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0.38</w:t>
            </w:r>
          </w:p>
        </w:tc>
        <w:tc>
          <w:tcPr>
            <w:tcW w:type="dxa" w:w="119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D 起步级</w:t>
            </w:r>
          </w:p>
        </w:tc>
      </w:tr>
      <w:tr>
        <w:trPr>
          <w:cantSplit w:val="true"/>
        </w:trPr>
        <w:tc>
          <w:tcPr>
            <w:tcW w:type="dxa" w:w="794"/>
            <w:tcBorders>
              <w:top w:val="nil"/>
              <w:left w:val="nil"/>
              <w:bottom w:val="single" w:sz="12" w:space="0" w:color="000000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大四</w:t>
            </w:r>
          </w:p>
        </w:tc>
        <w:tc>
          <w:tcPr>
            <w:tcW w:type="dxa" w:w="3061"/>
            <w:tcBorders>
              <w:top w:val="nil"/>
              <w:left w:val="nil"/>
              <w:bottom w:val="single" w:sz="12" w:space="0" w:color="000000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4 门课 + 4 门课的视频 + 6 门作业 + 60 轮对话 + 4 份成果 + 2 个智能体</w:t>
            </w:r>
          </w:p>
        </w:tc>
        <w:tc>
          <w:tcPr>
            <w:tcW w:type="dxa" w:w="850"/>
            <w:tcBorders>
              <w:top w:val="nil"/>
              <w:left w:val="nil"/>
              <w:bottom w:val="single" w:sz="12" w:space="0" w:color="000000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0.99</w:t>
            </w:r>
          </w:p>
        </w:tc>
        <w:tc>
          <w:tcPr>
            <w:tcW w:type="dxa" w:w="1191"/>
            <w:tcBorders>
              <w:top w:val="nil"/>
              <w:left w:val="nil"/>
              <w:bottom w:val="single" w:sz="12" w:space="0" w:color="000000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A 引领级</w:t>
            </w:r>
          </w:p>
        </w:tc>
        <w:tc>
          <w:tcPr>
            <w:tcW w:type="dxa" w:w="1191"/>
            <w:tcBorders>
              <w:top w:val="nil"/>
              <w:left w:val="nil"/>
              <w:bottom w:val="single" w:sz="12" w:space="0" w:color="000000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0.39</w:t>
            </w:r>
          </w:p>
        </w:tc>
        <w:tc>
          <w:tcPr>
            <w:tcW w:type="dxa" w:w="1191"/>
            <w:tcBorders>
              <w:top w:val="nil"/>
              <w:left w:val="nil"/>
              <w:bottom w:val="single" w:sz="12" w:space="0" w:color="000000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D 起步级</w:t>
            </w:r>
          </w:p>
        </w:tc>
      </w:tr>
    </w:tbl>
    <w:p>
      <w:pPr>
        <w:keepNext/>
        <w:spacing w:before="16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256000" cy="263489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8_growth_ladder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26348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80" w:after="200" w:line="240" w:lineRule="auto"/>
        <w:jc w:val="center"/>
      </w:pPr>
      <w:r>
        <w:rPr>
          <w:rFonts w:ascii="黑体" w:hAnsi="黑体" w:eastAsia="黑体" w:cs="黑体"/>
          <w:b w:val="0"/>
          <w:i w:val="0"/>
          <w:sz w:val="21"/>
        </w:rPr>
        <w:t>图 8　发展性等级阶梯与两类学生的四年轨迹</w:t>
      </w:r>
    </w:p>
    <w:p>
      <w:pPr>
        <w:keepNext/>
        <w:spacing w:before="320" w:after="200" w:line="360" w:lineRule="auto"/>
        <w:jc w:val="center"/>
        <w:outlineLvl w:val="0"/>
      </w:pPr>
      <w:r>
        <w:rPr>
          <w:rFonts w:ascii="黑体" w:hAnsi="黑体" w:eastAsia="黑体" w:cs="黑体"/>
          <w:b/>
          <w:i w:val="0"/>
          <w:sz w:val="30"/>
        </w:rPr>
        <w:t>五、稳定性、可复算与可审计</w:t>
      </w:r>
    </w:p>
    <w:p>
      <w:pPr>
        <w:keepNext/>
        <w:spacing w:before="200" w:after="120" w:line="360" w:lineRule="auto"/>
        <w:jc w:val="left"/>
        <w:outlineLvl w:val="1"/>
      </w:pPr>
      <w:r>
        <w:rPr>
          <w:rFonts w:ascii="黑体" w:hAnsi="黑体" w:eastAsia="黑体" w:cs="黑体"/>
          <w:b w:val="0"/>
          <w:i w:val="0"/>
          <w:sz w:val="28"/>
        </w:rPr>
        <w:t>5.1　内容指纹与幂等性</w:t>
      </w:r>
    </w:p>
    <w:p>
      <w:pPr>
        <w:keepNext w:val="0"/>
        <w:spacing w:before="0" w:after="0" w:line="360" w:lineRule="auto"/>
        <w:ind w:firstLineChars="200" w:firstLine="480"/>
        <w:jc w:val="both"/>
      </w:pPr>
      <w:r>
        <w:rPr>
          <w:rFonts w:ascii="Times New Roman" w:hAnsi="Times New Roman" w:eastAsia="宋体" w:cs="Times New Roman"/>
          <w:b w:val="0"/>
          <w:i w:val="0"/>
          <w:sz w:val="24"/>
        </w:rPr>
        <w:t>每条证据都带内容指纹，按式（12）生成，其中 h 为 SHA-256 摘要函数，k 为该条证据的业务主键。指纹相同的证据在入库时被直接忽略，因此“同样的内容反复上传得分完全不变”由存储层强制保证。</w:t>
      </w:r>
    </w:p>
    <w:p>
      <w:pPr>
        <w:tabs>
          <w:tab w:val="center" w:pos="4100"/>
          <w:tab w:val="right" w:pos="8300"/>
        </w:tabs>
        <w:spacing w:before="120" w:after="120" w:line="360" w:lineRule="auto"/>
      </w:pPr>
      <w:r>
        <w:tab/>
      </w:r>
      <m:oMath>
        <m:r>
          <w:rPr>
            <w:rFonts w:ascii="Cambria Math" w:hAnsi="Cambria Math"/>
            <w:sz w:val="24"/>
            <w:szCs w:val="24"/>
          </w:rPr>
          <m:t xml:space="preserve">fp</m:t>
        </m:r>
        <m:r>
          <w:rPr>
            <w:rFonts w:ascii="Cambria Math" w:hAnsi="Cambria Math"/>
            <w:sz w:val="24"/>
            <w:szCs w:val="24"/>
          </w:rPr>
          <m:t xml:space="preserve"> = </m:t>
        </m:r>
        <m:r>
          <w:rPr>
            <w:rFonts w:ascii="Cambria Math" w:hAnsi="Cambria Math"/>
            <w:sz w:val="24"/>
            <w:szCs w:val="24"/>
          </w:rPr>
          <m:t xml:space="preserve">h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  <w:sz w:val="24"/>
                <w:szCs w:val="24"/>
              </w:rPr>
              <m:t xml:space="preserve">sid ‖ grade ‖ c ‖ d ‖ k</m:t>
            </m:r>
          </m:e>
        </m:d>
      </m:oMath>
      <w:r>
        <w:rPr>
          <w:rFonts w:ascii="Times New Roman" w:hAnsi="Times New Roman" w:eastAsia="宋体"/>
          <w:sz w:val="24"/>
          <w:szCs w:val="24"/>
        </w:rPr>
        <w:tab/>
        <w:t>（12）</w:t>
      </w:r>
    </w:p>
    <w:p>
      <w:pPr>
        <w:keepNext/>
        <w:spacing w:before="200" w:after="120" w:line="360" w:lineRule="auto"/>
        <w:jc w:val="left"/>
        <w:outlineLvl w:val="1"/>
      </w:pPr>
      <w:r>
        <w:rPr>
          <w:rFonts w:ascii="黑体" w:hAnsi="黑体" w:eastAsia="黑体" w:cs="黑体"/>
          <w:b w:val="0"/>
          <w:i w:val="0"/>
          <w:sz w:val="28"/>
        </w:rPr>
        <w:t>5.2　与上传顺序无关</w:t>
      </w:r>
    </w:p>
    <w:p>
      <w:pPr>
        <w:keepNext w:val="0"/>
        <w:spacing w:before="0" w:after="0" w:line="360" w:lineRule="auto"/>
        <w:ind w:firstLineChars="200" w:firstLine="480"/>
        <w:jc w:val="both"/>
      </w:pPr>
      <w:r>
        <w:rPr>
          <w:rFonts w:ascii="Times New Roman" w:hAnsi="Times New Roman" w:eastAsia="宋体" w:cs="Times New Roman"/>
          <w:b w:val="0"/>
          <w:i w:val="0"/>
          <w:sz w:val="24"/>
        </w:rPr>
        <w:t>式（5）的截断作用在汇总值上而非按上传批次截断，因此无论材料分几次上传、按什么顺序上传，重算结果始终一致。这一点对多学期、多教师协作录入的场景尤为重要。</w:t>
      </w:r>
    </w:p>
    <w:p>
      <w:pPr>
        <w:keepNext/>
        <w:spacing w:before="200" w:after="120" w:line="360" w:lineRule="auto"/>
        <w:jc w:val="left"/>
        <w:outlineLvl w:val="1"/>
      </w:pPr>
      <w:r>
        <w:rPr>
          <w:rFonts w:ascii="黑体" w:hAnsi="黑体" w:eastAsia="黑体" w:cs="黑体"/>
          <w:b w:val="0"/>
          <w:i w:val="0"/>
          <w:sz w:val="28"/>
        </w:rPr>
        <w:t>5.3　一致性检验</w:t>
      </w:r>
    </w:p>
    <w:p>
      <w:pPr>
        <w:keepNext w:val="0"/>
        <w:spacing w:before="0" w:after="0" w:line="360" w:lineRule="auto"/>
        <w:ind w:firstLineChars="200" w:firstLine="480"/>
        <w:jc w:val="both"/>
      </w:pPr>
      <w:r>
        <w:rPr>
          <w:rFonts w:ascii="Times New Roman" w:hAnsi="Times New Roman" w:eastAsia="宋体" w:cs="Times New Roman"/>
          <w:b w:val="0"/>
          <w:i w:val="0"/>
          <w:sz w:val="24"/>
        </w:rPr>
        <w:t>系统提供网页版与 Python 服务端两套实现，二者必须给出逐位一致的结果。检验结果列于表 17。</w:t>
      </w:r>
    </w:p>
    <w:p>
      <w:pPr>
        <w:keepNext/>
        <w:spacing w:before="200" w:after="60" w:line="240" w:lineRule="auto"/>
        <w:jc w:val="center"/>
      </w:pPr>
      <w:r>
        <w:rPr>
          <w:rFonts w:ascii="黑体" w:hAnsi="黑体" w:eastAsia="黑体" w:cs="黑体"/>
          <w:b w:val="0"/>
          <w:i w:val="0"/>
          <w:sz w:val="21"/>
        </w:rPr>
        <w:t>表 17　一致性与稳定性检验结果</w:t>
      </w:r>
    </w:p>
    <w:tbl>
      <w:tblPr>
        <w:tblStyle w:val="TableGrid"/>
        <w:tblW w:type="dxa" w:w="8278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4309"/>
        <w:gridCol w:w="3969"/>
      </w:tblGrid>
      <w:tr>
        <w:trPr>
          <w:cantSplit w:val="true"/>
          <w:tblHeader w:val="true"/>
        </w:trPr>
        <w:tc>
          <w:tcPr>
            <w:tcW w:type="dxa" w:w="4309"/>
            <w:tcBorders>
              <w:top w:val="single" w:sz="12" w:space="0" w:color="000000"/>
              <w:left w:val="nil"/>
              <w:bottom w:val="single" w:sz="6" w:space="0" w:color="000000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黑体" w:hAnsi="黑体" w:eastAsia="黑体" w:cs="黑体"/>
                <w:b w:val="0"/>
                <w:i w:val="0"/>
                <w:sz w:val="21"/>
              </w:rPr>
              <w:t>检验项</w:t>
            </w:r>
          </w:p>
        </w:tc>
        <w:tc>
          <w:tcPr>
            <w:tcW w:type="dxa" w:w="3969"/>
            <w:tcBorders>
              <w:top w:val="single" w:sz="12" w:space="0" w:color="000000"/>
              <w:left w:val="nil"/>
              <w:bottom w:val="single" w:sz="6" w:space="0" w:color="000000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黑体" w:hAnsi="黑体" w:eastAsia="黑体" w:cs="黑体"/>
                <w:b w:val="0"/>
                <w:i w:val="0"/>
                <w:sz w:val="21"/>
              </w:rPr>
              <w:t>结果</w:t>
            </w:r>
          </w:p>
        </w:tc>
      </w:tr>
      <w:tr>
        <w:trPr>
          <w:cantSplit w:val="true"/>
        </w:trPr>
        <w:tc>
          <w:tcPr>
            <w:tcW w:type="dxa" w:w="4309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四张导出表全部重复导入一遍</w:t>
            </w:r>
          </w:p>
        </w:tc>
        <w:tc>
          <w:tcPr>
            <w:tcW w:type="dxa" w:w="3969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新增 0 条，五维得分逐位不变</w:t>
            </w:r>
          </w:p>
        </w:tc>
      </w:tr>
      <w:tr>
        <w:trPr>
          <w:cantSplit w:val="true"/>
        </w:trPr>
        <w:tc>
          <w:tcPr>
            <w:tcW w:type="dxa" w:w="4309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同一份作业改文件名后再传</w:t>
            </w:r>
          </w:p>
        </w:tc>
        <w:tc>
          <w:tcPr>
            <w:tcW w:type="dxa" w:w="3969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按内容去重，未重复计分</w:t>
            </w:r>
          </w:p>
        </w:tc>
      </w:tr>
      <w:tr>
        <w:trPr>
          <w:cantSplit w:val="true"/>
        </w:trPr>
        <w:tc>
          <w:tcPr>
            <w:tcW w:type="dxa" w:w="4309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连续灌入 40 份不同作品</w:t>
            </w:r>
          </w:p>
        </w:tc>
        <w:tc>
          <w:tcPr>
            <w:tcW w:type="dxa" w:w="3969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各维度均未越过 1.0</w:t>
            </w:r>
          </w:p>
        </w:tc>
      </w:tr>
      <w:tr>
        <w:trPr>
          <w:cantSplit w:val="true"/>
        </w:trPr>
        <w:tc>
          <w:tcPr>
            <w:tcW w:type="dxa" w:w="4309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网页版与 Python 版算分对照</w:t>
            </w:r>
          </w:p>
        </w:tc>
        <w:tc>
          <w:tcPr>
            <w:tcW w:type="dxa" w:w="3969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40 名学生 × 5 维，最大差异 0.000e+00</w:t>
            </w:r>
          </w:p>
        </w:tc>
      </w:tr>
      <w:tr>
        <w:trPr>
          <w:cantSplit w:val="true"/>
        </w:trPr>
        <w:tc>
          <w:tcPr>
            <w:tcW w:type="dxa" w:w="4309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网页版与 Python 版排序依据对照</w:t>
            </w:r>
          </w:p>
        </w:tc>
        <w:tc>
          <w:tcPr>
            <w:tcW w:type="dxa" w:w="3969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40 名学生逐项一致，差异 0.000e+00</w:t>
            </w:r>
          </w:p>
        </w:tc>
      </w:tr>
      <w:tr>
        <w:trPr>
          <w:cantSplit w:val="true"/>
        </w:trPr>
        <w:tc>
          <w:tcPr>
            <w:tcW w:type="dxa" w:w="4309"/>
            <w:tcBorders>
              <w:top w:val="nil"/>
              <w:left w:val="nil"/>
              <w:bottom w:val="single" w:sz="12" w:space="0" w:color="000000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问卷题目自动归类（推荐题本 20 题）</w:t>
            </w:r>
          </w:p>
        </w:tc>
        <w:tc>
          <w:tcPr>
            <w:tcW w:type="dxa" w:w="3969"/>
            <w:tcBorders>
              <w:top w:val="nil"/>
              <w:left w:val="nil"/>
              <w:bottom w:val="single" w:sz="12" w:space="0" w:color="000000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20/20 全对</w:t>
            </w:r>
          </w:p>
        </w:tc>
      </w:tr>
    </w:tbl>
    <w:p>
      <w:pPr>
        <w:keepNext/>
        <w:spacing w:before="320" w:after="200" w:line="360" w:lineRule="auto"/>
        <w:jc w:val="center"/>
        <w:outlineLvl w:val="0"/>
      </w:pPr>
      <w:r>
        <w:rPr>
          <w:rFonts w:ascii="黑体" w:hAnsi="黑体" w:eastAsia="黑体" w:cs="黑体"/>
          <w:b/>
          <w:i w:val="0"/>
          <w:sz w:val="30"/>
        </w:rPr>
        <w:t>六、参数维护</w:t>
      </w:r>
    </w:p>
    <w:p>
      <w:pPr>
        <w:keepNext/>
        <w:spacing w:before="200" w:after="120" w:line="360" w:lineRule="auto"/>
        <w:jc w:val="left"/>
        <w:outlineLvl w:val="1"/>
      </w:pPr>
      <w:r>
        <w:rPr>
          <w:rFonts w:ascii="黑体" w:hAnsi="黑体" w:eastAsia="黑体" w:cs="黑体"/>
          <w:b w:val="0"/>
          <w:i w:val="0"/>
          <w:sz w:val="28"/>
        </w:rPr>
        <w:t>6.1　可热改的参数</w:t>
      </w:r>
    </w:p>
    <w:p>
      <w:pPr>
        <w:keepNext w:val="0"/>
        <w:spacing w:before="0" w:after="0" w:line="360" w:lineRule="auto"/>
        <w:ind w:firstLineChars="200" w:firstLine="480"/>
        <w:jc w:val="both"/>
      </w:pPr>
      <w:r>
        <w:rPr>
          <w:rFonts w:ascii="Times New Roman" w:hAnsi="Times New Roman" w:eastAsia="宋体" w:cs="Times New Roman"/>
          <w:b w:val="0"/>
          <w:i w:val="0"/>
          <w:sz w:val="24"/>
        </w:rPr>
        <w:t>表 13 中的绝大多数参数都放在与程序同目录的 weights.json 中，改完刷新页面（服务端为重启服务）即可生效，无需重新导入任何材料——因为权重、上限、饱和常数、问卷窄带与等级阈值都是在打分时套用的，而不是写进证据记录里的。可热改的配置项见表 18。</w:t>
      </w:r>
    </w:p>
    <w:p>
      <w:pPr>
        <w:keepNext/>
        <w:spacing w:before="200" w:after="60" w:line="240" w:lineRule="auto"/>
        <w:jc w:val="center"/>
      </w:pPr>
      <w:r>
        <w:rPr>
          <w:rFonts w:ascii="黑体" w:hAnsi="黑体" w:eastAsia="黑体" w:cs="黑体"/>
          <w:b w:val="0"/>
          <w:i w:val="0"/>
          <w:sz w:val="21"/>
        </w:rPr>
        <w:t>表 18　weights.json 可热改的配置项</w:t>
      </w:r>
    </w:p>
    <w:tbl>
      <w:tblPr>
        <w:tblStyle w:val="TableGrid"/>
        <w:tblW w:type="dxa" w:w="8278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5670"/>
      </w:tblGrid>
      <w:tr>
        <w:trPr>
          <w:cantSplit w:val="true"/>
          <w:tblHeader w:val="true"/>
        </w:trPr>
        <w:tc>
          <w:tcPr>
            <w:tcW w:type="dxa" w:w="2608"/>
            <w:tcBorders>
              <w:top w:val="single" w:sz="12" w:space="0" w:color="000000"/>
              <w:left w:val="nil"/>
              <w:bottom w:val="single" w:sz="6" w:space="0" w:color="000000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黑体" w:hAnsi="黑体" w:eastAsia="黑体" w:cs="黑体"/>
                <w:b w:val="0"/>
                <w:i w:val="0"/>
                <w:sz w:val="21"/>
              </w:rPr>
              <w:t>配置项</w:t>
            </w:r>
          </w:p>
        </w:tc>
        <w:tc>
          <w:tcPr>
            <w:tcW w:type="dxa" w:w="5669"/>
            <w:tcBorders>
              <w:top w:val="single" w:sz="12" w:space="0" w:color="000000"/>
              <w:left w:val="nil"/>
              <w:bottom w:val="single" w:sz="6" w:space="0" w:color="000000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center"/>
            </w:pPr>
            <w:r>
              <w:rPr>
                <w:rFonts w:ascii="黑体" w:hAnsi="黑体" w:eastAsia="黑体" w:cs="黑体"/>
                <w:b w:val="0"/>
                <w:i w:val="0"/>
                <w:sz w:val="21"/>
              </w:rPr>
              <w:t>作用</w:t>
            </w:r>
          </w:p>
        </w:tc>
      </w:tr>
      <w:tr>
        <w:trPr>
          <w:cantSplit w:val="true"/>
        </w:trPr>
        <w:tc>
          <w:tcPr>
            <w:tcW w:type="dxa" w:w="260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channel_weights</w:t>
            </w:r>
          </w:p>
        </w:tc>
        <w:tc>
          <w:tcPr>
            <w:tcW w:type="dxa" w:w="5669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渠道—维度贡献权重矩阵</w:t>
            </w:r>
          </w:p>
        </w:tc>
      </w:tr>
      <w:tr>
        <w:trPr>
          <w:cantSplit w:val="true"/>
        </w:trPr>
        <w:tc>
          <w:tcPr>
            <w:tcW w:type="dxa" w:w="260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kappa</w:t>
            </w:r>
          </w:p>
        </w:tc>
        <w:tc>
          <w:tcPr>
            <w:tcW w:type="dxa" w:w="5669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各维度的证据饱和常数</w:t>
            </w:r>
          </w:p>
        </w:tc>
      </w:tr>
      <w:tr>
        <w:trPr>
          <w:cantSplit w:val="true"/>
        </w:trPr>
        <w:tc>
          <w:tcPr>
            <w:tcW w:type="dxa" w:w="260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channel_cap</w:t>
            </w:r>
          </w:p>
        </w:tc>
        <w:tc>
          <w:tcPr>
            <w:tcW w:type="dxa" w:w="5669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各渠道的证据量上限</w:t>
            </w:r>
          </w:p>
        </w:tc>
      </w:tr>
      <w:tr>
        <w:trPr>
          <w:cantSplit w:val="true"/>
        </w:trPr>
        <w:tc>
          <w:tcPr>
            <w:tcW w:type="dxa" w:w="260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baseline_band</w:t>
            </w:r>
          </w:p>
        </w:tc>
        <w:tc>
          <w:tcPr>
            <w:tcW w:type="dxa" w:w="5669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问卷窄带区间、指数与默认初始得分</w:t>
            </w:r>
          </w:p>
        </w:tc>
      </w:tr>
      <w:tr>
        <w:trPr>
          <w:cantSplit w:val="true"/>
        </w:trPr>
        <w:tc>
          <w:tcPr>
            <w:tcW w:type="dxa" w:w="260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straight_line</w:t>
            </w:r>
          </w:p>
        </w:tc>
        <w:tc>
          <w:tcPr>
            <w:tcW w:type="dxa" w:w="5669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直线作答折减的阈值与力度</w:t>
            </w:r>
          </w:p>
        </w:tc>
      </w:tr>
      <w:tr>
        <w:trPr>
          <w:cantSplit w:val="true"/>
        </w:trPr>
        <w:tc>
          <w:tcPr>
            <w:tcW w:type="dxa" w:w="2608"/>
            <w:tcBorders>
              <w:top w:val="nil"/>
              <w:left w:val="nil"/>
              <w:bottom w:val="single" w:sz="12" w:space="0" w:color="000000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level</w:t>
            </w:r>
          </w:p>
        </w:tc>
        <w:tc>
          <w:tcPr>
            <w:tcW w:type="dxa" w:w="5669"/>
            <w:tcBorders>
              <w:top w:val="nil"/>
              <w:left w:val="nil"/>
              <w:bottom w:val="single" w:sz="12" w:space="0" w:color="000000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发展性等级的大一阈值与年级步长</w:t>
            </w:r>
          </w:p>
        </w:tc>
      </w:tr>
    </w:tbl>
    <w:p>
      <w:pPr>
        <w:keepNext/>
        <w:spacing w:before="200" w:after="120" w:line="360" w:lineRule="auto"/>
        <w:jc w:val="left"/>
        <w:outlineLvl w:val="1"/>
      </w:pPr>
      <w:r>
        <w:rPr>
          <w:rFonts w:ascii="黑体" w:hAnsi="黑体" w:eastAsia="黑体" w:cs="黑体"/>
          <w:b w:val="0"/>
          <w:i w:val="0"/>
          <w:sz w:val="28"/>
        </w:rPr>
        <w:t>6.2　需要重新导入的情形</w:t>
      </w:r>
    </w:p>
    <w:p>
      <w:pPr>
        <w:keepNext w:val="0"/>
        <w:spacing w:before="0" w:after="0" w:line="360" w:lineRule="auto"/>
        <w:ind w:firstLineChars="200" w:firstLine="480"/>
        <w:jc w:val="both"/>
      </w:pPr>
      <w:r>
        <w:rPr>
          <w:rFonts w:ascii="Times New Roman" w:hAnsi="Times New Roman" w:eastAsia="宋体" w:cs="Times New Roman"/>
          <w:b w:val="0"/>
          <w:i w:val="0"/>
          <w:sz w:val="24"/>
        </w:rPr>
        <w:t>词典（lexicon.json 中的文化词表）与各渠道的计量口径会写进证据记录，改动后需要先清空过程证据再重新导入四张表，学生库与问卷结果会被保留。此外，若从旧版本升级，建议把问卷重新上传一次，使直线作答折减生效；平台四张导出表、学生作业与自建智能体则不必重传。</w:t>
      </w:r>
    </w:p>
    <w:sectPr w:rsidR="00FC693F" w:rsidRPr="0006063C" w:rsidSect="00034616">
      <w:footerReference w:type="default" r:id="rId9"/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 w:cs="Times New Roman"/>
        <w:b w:val="0"/>
        <w:i w:val="0"/>
        <w:sz w:val="21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updateFields w:val="true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