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CN"/>
      </w:pPr>
      <w:r>
        <w:t xml:space="preserve">生成式人工智能应用对知识型员工生产率的影响：效应识别与边界检验</w:t>
      </w:r>
    </w:p>
    <w:p>
      <w:pPr>
        <w:pStyle w:val="AuthorCN"/>
      </w:pPr>
      <w:r>
        <w:t xml:space="preserve">×××</w:t>
      </w:r>
    </w:p>
    <w:p>
      <w:pPr>
        <w:pStyle w:val="AffilCN"/>
      </w:pPr>
      <w:r>
        <w:t xml:space="preserve">（××大学 商学院，×× ××××××）</w:t>
      </w:r>
    </w:p>
    <w:p>
      <w:pPr>
        <w:pStyle w:val="AbstractCN"/>
      </w:pPr>
      <w:r>
        <w:rPr>
          <w:bCs/>
          <w:b/>
        </w:rPr>
        <w:t xml:space="preserve">摘 要：</w:t>
      </w:r>
      <w:r>
        <w:t xml:space="preserve">生成式人工智能正加速融入知识密集型行业，但来自真实工作场景的因果证据仍较为稀缺。文章依托某全球性专业服务企业开展为期24周的随机田野实验，基于1842名咨询顾问与58674项真实客户任务的微观数据，实证考察了生成式人工智能应用对知识型员工生产率的影响效应、分布特征与作用边界。研究发现：（1）生成式人工智能应用使任务完成时间显著缩短24.3%，产出质量提升0.28个标准差，客户返工请求同步减少，时间与质量实现同步改善。（2）生产率提升效应随员工基线技能水平的提高而单调递减，员工间90/10质量差距收窄28.4%，呈现显著的“绩效收敛”特征。（3）处理效应随使用时间渐进增强并趋于稳定平台期，与互补性人力资本的积累逻辑相一致。（4）在超出模型能力边界的任务上，处理组任务准确率显著下降，且准确率损失集中于核验行为不足的员工，任务分级部署与核验能力构成生产率红利释放的关键边界条件。</w:t>
      </w:r>
    </w:p>
    <w:p>
      <w:pPr>
        <w:pStyle w:val="AbstractCN"/>
      </w:pPr>
      <w:r>
        <w:rPr>
          <w:bCs/>
          <w:b/>
        </w:rPr>
        <w:t xml:space="preserve">关键词：</w:t>
      </w:r>
      <w:r>
        <w:t xml:space="preserve">生成式人工智能；知识型员工；劳动生产率；随机田野实验；人机协同</w:t>
      </w:r>
    </w:p>
    <w:p>
      <w:pPr>
        <w:pStyle w:val="AbstractCN"/>
      </w:pPr>
      <w:r>
        <w:rPr>
          <w:bCs/>
          <w:b/>
        </w:rPr>
        <w:t xml:space="preserve">中图分类号：</w:t>
      </w:r>
      <w:r>
        <w:t xml:space="preserve">F272.92；F49　　</w:t>
      </w:r>
      <w:r>
        <w:rPr>
          <w:bCs/>
          <w:b/>
        </w:rPr>
        <w:t xml:space="preserve">文献标识码：</w:t>
      </w:r>
      <w:r>
        <w:t xml:space="preserve">A　　</w:t>
      </w:r>
      <w:r>
        <w:rPr>
          <w:bCs/>
          <w:b/>
        </w:rPr>
        <w:t xml:space="preserve">文章编号：</w:t>
      </w:r>
      <w:r>
        <w:t xml:space="preserve">1002-6487（××××）××-××××-××</w:t>
      </w:r>
    </w:p>
    <w:bookmarkStart w:id="20" w:name="引言"/>
    <w:p>
      <w:pPr>
        <w:pStyle w:val="Heading1"/>
      </w:pPr>
      <w:r>
        <w:t xml:space="preserve">0 引言</w:t>
      </w:r>
    </w:p>
    <w:p>
      <w:pPr>
        <w:pStyle w:val="FirstParagraph"/>
      </w:pPr>
      <w:r>
        <w:t xml:space="preserve">以大语言模型为技术底座的生成式人工智能，正以鲜有其他通用技术可比的速度向知识密集型组织渗透扩散。GPT-4级模型公开发布后短短两年内，多数大型专业服务、法律与金融机构已开始试点或部署大语言模型助手，用于文稿起草、数据分析与研究检索等核心业务环节，职业暴露度测算亦表明多数知识工作任务至少部分暴露于大语言模型能力范围之内</w:t>
      </w:r>
      <w:r>
        <w:rPr>
          <w:vertAlign w:val="superscript"/>
        </w:rPr>
        <w:t xml:space="preserve">[1]</w:t>
      </w:r>
      <w:r>
        <w:t xml:space="preserve">。数字技术对经济效率的提升作用已在产业层面得到广泛讨论</w:t>
      </w:r>
      <w:r>
        <w:rPr>
          <w:vertAlign w:val="superscript"/>
        </w:rPr>
        <w:t xml:space="preserve">[2]</w:t>
      </w:r>
      <w:r>
        <w:t xml:space="preserve">，而生成式人工智能作为新一代通用目的技术，其机遇与风险并存的特征使企业决策更趋复杂</w:t>
      </w:r>
      <w:r>
        <w:rPr>
          <w:vertAlign w:val="superscript"/>
        </w:rPr>
        <w:t xml:space="preserve">[3]</w:t>
      </w:r>
      <w:r>
        <w:t xml:space="preserve">：大语言模型输出流畅，但其错误往往难以察觉，速度红利可能与质量风险相伴而生。对正在制定部署决策的企业而言，在哪些任务上部署人工智能、如何培训员工使用人工智能、如何重构质量保障体系，均有赖于来自真实职业场景的因果证据。在我国深入实施“人工智能+”行动、以人工智能赋能千行百业的政策背景下，识别生成式人工智能对知识型员工生产率的真实影响及其作用边界，对于企业数字化转型决策与相关产业政策制定均具有重要意义。</w:t>
      </w:r>
    </w:p>
    <w:p>
      <w:pPr>
        <w:pStyle w:val="BodyText"/>
      </w:pPr>
      <w:r>
        <w:t xml:space="preserve">与本文研究内容相关的文献主要涉及以下三个方面：其一，生成式人工智能的生产率效应研究。Noy和Zhang（2023）</w:t>
      </w:r>
      <w:r>
        <w:rPr>
          <w:vertAlign w:val="superscript"/>
        </w:rPr>
        <w:t xml:space="preserve">[4]</w:t>
      </w:r>
      <w:r>
        <w:t xml:space="preserve">基于在线实验发现ChatGPT可使写作任务用时缩短约四成且质量有所提升；Peng等（2023）</w:t>
      </w:r>
      <w:r>
        <w:rPr>
          <w:vertAlign w:val="superscript"/>
        </w:rPr>
        <w:t xml:space="preserve">[5]</w:t>
      </w:r>
      <w:r>
        <w:t xml:space="preserve">发现GitHub Copilot使标准化编程任务完成速度提升55.8%；Brynjolfsson等（2025）</w:t>
      </w:r>
      <w:r>
        <w:rPr>
          <w:vertAlign w:val="superscript"/>
        </w:rPr>
        <w:t xml:space="preserve">[6]</w:t>
      </w:r>
      <w:r>
        <w:t xml:space="preserve">对客服坐席的现场研究显示生成式人工智能使问题解决效率平均提升15%，且新手坐席获益最大；Dell’Acqua等（2023）</w:t>
      </w:r>
      <w:r>
        <w:rPr>
          <w:vertAlign w:val="superscript"/>
        </w:rPr>
        <w:t xml:space="preserve">[7]</w:t>
      </w:r>
      <w:r>
        <w:t xml:space="preserve">对咨询顾问的实验则揭示了人工智能能力边界的“锯齿状”特征；在创意生产领域，有研究发现生成式人工智能虽能提升个体产出质量，却会降低内容的集体多样性</w:t>
      </w:r>
      <w:r>
        <w:rPr>
          <w:vertAlign w:val="superscript"/>
        </w:rPr>
        <w:t xml:space="preserve">[8]</w:t>
      </w:r>
      <w:r>
        <w:t xml:space="preserve">。国内学者围绕人工智能的经济效应亦开展了大量研究，发现人工智能作为新一轮科技革命的核心驱动力，有助于实现高质量增长与高质量就业</w:t>
      </w:r>
      <w:r>
        <w:rPr>
          <w:vertAlign w:val="superscript"/>
        </w:rPr>
        <w:t xml:space="preserve">[9]</w:t>
      </w:r>
      <w:r>
        <w:t xml:space="preserve">，能够通过劳动力技能结构调整提升企业生产效率</w:t>
      </w:r>
      <w:r>
        <w:rPr>
          <w:vertAlign w:val="superscript"/>
        </w:rPr>
        <w:t xml:space="preserve">[10]</w:t>
      </w:r>
      <w:r>
        <w:t xml:space="preserve">，并对就业结构</w:t>
      </w:r>
      <w:r>
        <w:rPr>
          <w:vertAlign w:val="superscript"/>
        </w:rPr>
        <w:t xml:space="preserve">[11]</w:t>
      </w:r>
      <w:r>
        <w:t xml:space="preserve">、劳动收入分配格局</w:t>
      </w:r>
      <w:r>
        <w:rPr>
          <w:vertAlign w:val="superscript"/>
        </w:rPr>
        <w:t xml:space="preserve">[12]</w:t>
      </w:r>
      <w:r>
        <w:t xml:space="preserve">以及产业结构与劳动收入份额</w:t>
      </w:r>
      <w:r>
        <w:rPr>
          <w:vertAlign w:val="superscript"/>
        </w:rPr>
        <w:t xml:space="preserve">[13]</w:t>
      </w:r>
      <w:r>
        <w:t xml:space="preserve">产生深远影响；近期研究进一步基于大语言模型测算了我国职业的人工智能技术暴露度，发现暴露度上升会显著抑制相关岗位的劳动力需求</w:t>
      </w:r>
      <w:r>
        <w:rPr>
          <w:vertAlign w:val="superscript"/>
        </w:rPr>
        <w:t xml:space="preserve">[14]</w:t>
      </w:r>
      <w:r>
        <w:t xml:space="preserve">，关于生成式人工智能影响软件工程等专业型工作的早期经验证据也开始涌现</w:t>
      </w:r>
      <w:r>
        <w:rPr>
          <w:vertAlign w:val="superscript"/>
        </w:rPr>
        <w:t xml:space="preserve">[15]</w:t>
      </w:r>
      <w:r>
        <w:t xml:space="preserve">。其二，人机协同与算法信任研究。已有文献先后揭示了“算法厌恶”</w:t>
      </w:r>
      <w:r>
        <w:rPr>
          <w:vertAlign w:val="superscript"/>
        </w:rPr>
        <w:t xml:space="preserve">[16]</w:t>
      </w:r>
      <w:r>
        <w:t xml:space="preserve">与“算法欣赏”</w:t>
      </w:r>
      <w:r>
        <w:rPr>
          <w:vertAlign w:val="superscript"/>
        </w:rPr>
        <w:t xml:space="preserve">[17]</w:t>
      </w:r>
      <w:r>
        <w:t xml:space="preserve">两类偏差，并发现人类因难以准确判断自身能力与机器能力的边界而普遍存在委托失当问题</w:t>
      </w:r>
      <w:r>
        <w:rPr>
          <w:vertAlign w:val="superscript"/>
        </w:rPr>
        <w:t xml:space="preserve">[18]</w:t>
      </w:r>
      <w:r>
        <w:t xml:space="preserve">，人机协作的价值创造高度依赖员工经验等情境因素</w:t>
      </w:r>
      <w:r>
        <w:rPr>
          <w:vertAlign w:val="superscript"/>
        </w:rPr>
        <w:t xml:space="preserve">[19]</w:t>
      </w:r>
      <w:r>
        <w:t xml:space="preserve">。其三，技术、技能与知识工作组织研究。任务模型文献指出计算机化替代常规任务并互补非常规分析任务</w:t>
      </w:r>
      <w:r>
        <w:rPr>
          <w:vertAlign w:val="superscript"/>
        </w:rPr>
        <w:t xml:space="preserve">[20]</w:t>
      </w:r>
      <w:r>
        <w:t xml:space="preserve">，自动化与新任务创造之间存在动态竞赛</w:t>
      </w:r>
      <w:r>
        <w:rPr>
          <w:vertAlign w:val="superscript"/>
        </w:rPr>
        <w:t xml:space="preserve">[21]</w:t>
      </w:r>
      <w:r>
        <w:t xml:space="preserve">；知识层级理论认为组织通过分层匹配问题与专家实现知识经济化</w:t>
      </w:r>
      <w:r>
        <w:rPr>
          <w:vertAlign w:val="superscript"/>
        </w:rPr>
        <w:t xml:space="preserve">[22]</w:t>
      </w:r>
      <w:r>
        <w:t xml:space="preserve">；通用目的技术文献则强调其生产率红利有赖于互补性无形投资的积累，因而呈现渐进释放特征</w:t>
      </w:r>
      <w:r>
        <w:rPr>
          <w:vertAlign w:val="superscript"/>
        </w:rPr>
        <w:t xml:space="preserve">[23,24]</w:t>
      </w:r>
      <w:r>
        <w:t xml:space="preserve">。</w:t>
      </w:r>
    </w:p>
    <w:p>
      <w:pPr>
        <w:pStyle w:val="BodyText"/>
      </w:pPr>
      <w:r>
        <w:t xml:space="preserve">梳理现有文献可知，既有证据大多来自实验室情境的程式化任务或单一结构化职业的现场部署，且多为单次任务设计，难以回答生成式人工智能在真实、多领域、判断密集的知识工作中“对谁有效、何时见效、何处失效”这一管理上最为关键的问题。鉴于此，本文依托某全球性专业服务企业开展为期24周的预注册随机田野实验，将1842名咨询顾问随机分为处理组与控制组，基于58674项真实客户任务的遥测数据、双盲评分数据与调查数据，系统考察生成式人工智能应用对知识型员工生产率的影响。相较于已有文献，本文可能的边际贡献在于：第一，提供了迄今样本规模较大、观测周期较长的真实多领域知识工作场景下生成式人工智能生产率效应的实验证据，弥补了实验室证据与单一职业证据在外部效度上的不足。第二，利用分位数处理效应与员工内离散度分解刻画了生成式人工智能的分布后果，揭示其“绩效收敛”特征，拓展了技术与技能回报关系的研究边界。第三，将“能力边界”由隐喻转化为可测度、可管理的对象，通过事前任务分类与遥测核验行为测度，识别了边界外任务的质量损失及其行为调节机制，为任务分级部署、核验培训等管理实践提供了直接依据。</w:t>
      </w:r>
    </w:p>
    <w:bookmarkEnd w:id="20"/>
    <w:bookmarkStart w:id="25" w:name="理论分析与研究假设"/>
    <w:p>
      <w:pPr>
        <w:pStyle w:val="Heading1"/>
      </w:pPr>
      <w:r>
        <w:t xml:space="preserve">1 理论分析与研究假设</w:t>
      </w:r>
    </w:p>
    <w:bookmarkStart w:id="21" w:name="生成式人工智能应用对知识型员工生产率的直接影响"/>
    <w:p>
      <w:pPr>
        <w:pStyle w:val="Heading2"/>
      </w:pPr>
      <w:r>
        <w:t xml:space="preserve">1.1 生成式人工智能应用对知识型员工生产率的直接影响</w:t>
      </w:r>
    </w:p>
    <w:p>
      <w:pPr>
        <w:pStyle w:val="FirstParagraph"/>
      </w:pPr>
      <w:r>
        <w:t xml:space="preserve">文稿起草、信息综合与结构化分析等知识型员工的核心产出活动，与大语言模型的既有能力高度重叠</w:t>
      </w:r>
      <w:r>
        <w:rPr>
          <w:vertAlign w:val="superscript"/>
        </w:rPr>
        <w:t xml:space="preserve">[1]</w:t>
      </w:r>
      <w:r>
        <w:t xml:space="preserve">。生成式人工智能应用可以从三个层面直接提升任务生产率。第一，在内容生成层面，大语言模型能够即时产出结构完整、语言流畅的初稿，将员工从耗时最多的“从零起草”环节中解放出来，显著压缩任务完成时间</w:t>
      </w:r>
      <w:r>
        <w:rPr>
          <w:vertAlign w:val="superscript"/>
        </w:rPr>
        <w:t xml:space="preserve">[4]</w:t>
      </w:r>
      <w:r>
        <w:t xml:space="preserve">。第二，在信息获取层面，生成式人工智能依托检索增强与文档摘要功能，大幅降低信息搜寻与整合成本，使员工能够以更低成本调用标准分析模板与背景知识。第三，在质量改进层面，时间节约使员工得以将更多精力配置于修改润色与核验环节，同时模型输出的结构性与完整性为产出提供了“质量底板”，减少低级错误与遗漏，从而在压缩时间的同时提升质量、降低客户返工概率。基于此，本文提出：</w:t>
      </w:r>
    </w:p>
    <w:p>
      <w:pPr>
        <w:pStyle w:val="BodyText"/>
      </w:pPr>
      <w:r>
        <w:t xml:space="preserve">假设1：生成式人工智能应用能够显著提升知识型员工的任务生产率。</w:t>
      </w:r>
    </w:p>
    <w:bookmarkEnd w:id="21"/>
    <w:bookmarkStart w:id="22" w:name="技能异质性与绩效收敛效应"/>
    <w:p>
      <w:pPr>
        <w:pStyle w:val="Heading2"/>
      </w:pPr>
      <w:r>
        <w:t xml:space="preserve">1.2 技能异质性与绩效收敛效应</w:t>
      </w:r>
    </w:p>
    <w:p>
      <w:pPr>
        <w:pStyle w:val="FirstParagraph"/>
      </w:pPr>
      <w:r>
        <w:t xml:space="preserve">依据知识层级理论，组织通过将问题分层匹配给不同专长的员工来实现知识利用的经济化，员工间绩效差距在很大程度上源于可编码知识的存量差异</w:t>
      </w:r>
      <w:r>
        <w:rPr>
          <w:vertAlign w:val="superscript"/>
        </w:rPr>
        <w:t xml:space="preserve">[22]</w:t>
      </w:r>
      <w:r>
        <w:t xml:space="preserve">。生成式人工智能相当于一个“即时可得的编码化知识层”：对低技能员工而言，模型以极低成本补齐了构成其与高技能同事之间差距的主要能力要素（文档结构驾驭能力、语言表达流畅性、标准分析模板与背景知识检索能力），因而其边际收益最大；对高技能员工而言，上述投入本就不构成约束，其稀缺投入是客户判断、企业特定情境知识与原创性框架，恰恰是模型难以供给的部分，因而其收益局限于机械性时间节约。这一逻辑与任务模型的预测相互印证：自动化替代可编码任务的同时，会提高互补性判断任务的相对价值</w:t>
      </w:r>
      <w:r>
        <w:rPr>
          <w:vertAlign w:val="superscript"/>
        </w:rPr>
        <w:t xml:space="preserve">[20,21]</w:t>
      </w:r>
      <w:r>
        <w:t xml:space="preserve">。已有经验证据亦表明，生成式人工智能对新手与低技能员工的赋能作用更大</w:t>
      </w:r>
      <w:r>
        <w:rPr>
          <w:vertAlign w:val="superscript"/>
        </w:rPr>
        <w:t xml:space="preserve">[6]</w:t>
      </w:r>
      <w:r>
        <w:t xml:space="preserve">，人工智能与员工经验之间存在显著的替代关系</w:t>
      </w:r>
      <w:r>
        <w:rPr>
          <w:vertAlign w:val="superscript"/>
        </w:rPr>
        <w:t xml:space="preserve">[19]</w:t>
      </w:r>
      <w:r>
        <w:t xml:space="preserve">。由此可以预期，生成式人工智能应用的生产率效应随基线技能水平递减，并在总体上压缩员工间绩效分布。基于此，本文提出：</w:t>
      </w:r>
    </w:p>
    <w:p>
      <w:pPr>
        <w:pStyle w:val="BodyText"/>
      </w:pPr>
      <w:r>
        <w:t xml:space="preserve">假设2：生成式人工智能应用的生产率提升效应随员工基线技能水平的提高而递减，呈现“绩效收敛”特征。</w:t>
      </w:r>
    </w:p>
    <w:bookmarkEnd w:id="22"/>
    <w:bookmarkStart w:id="23" w:name="动态学习效应"/>
    <w:p>
      <w:pPr>
        <w:pStyle w:val="Heading2"/>
      </w:pPr>
      <w:r>
        <w:t xml:space="preserve">1.3 动态学习效应</w:t>
      </w:r>
    </w:p>
    <w:p>
      <w:pPr>
        <w:pStyle w:val="FirstParagraph"/>
      </w:pPr>
      <w:r>
        <w:t xml:space="preserve">通用目的技术文献指出，新技术的生产率红利并非在采纳时点即刻兑现，而是有赖于互补性协同发明与无形资本积累</w:t>
      </w:r>
      <w:r>
        <w:rPr>
          <w:vertAlign w:val="superscript"/>
        </w:rPr>
        <w:t xml:space="preserve">[23]</w:t>
      </w:r>
      <w:r>
        <w:t xml:space="preserve">，</w:t>
      </w:r>
      <w:r>
        <w:t xml:space="preserve">“</w:t>
      </w:r>
      <w:r>
        <w:t xml:space="preserve">生产率J曲线</w:t>
      </w:r>
      <w:r>
        <w:t xml:space="preserve">”</w:t>
      </w:r>
      <w:r>
        <w:t xml:space="preserve">研究进一步表明无形投资的形成期会系统性延迟可观测的绩效改善</w:t>
      </w:r>
      <w:r>
        <w:rPr>
          <w:vertAlign w:val="superscript"/>
        </w:rPr>
        <w:t xml:space="preserve">[24]</w:t>
      </w:r>
      <w:r>
        <w:t xml:space="preserve">。就生成式人工智能而言，其互补性无形资本表现为员工在反复使用中积累的“提示与委托资本”，即判断哪些任务组件适合交给模型、如何构造提示词、如何将模型输出整合进交付物的技能组合。这类技能只能通过干中学逐步形成，因而处理效应将呈现“渐进增强—平台稳定”的动态轨迹，而非部署即达峰值的阶跃形态；反之，若效应在初期即达峰值随后衰减，则更符合新奇效应的解释。基于此，本文提出：</w:t>
      </w:r>
    </w:p>
    <w:p>
      <w:pPr>
        <w:pStyle w:val="BodyText"/>
      </w:pPr>
      <w:r>
        <w:t xml:space="preserve">假设3：生成式人工智能应用的生产率效应随使用时间逐步增强并趋于稳定。</w:t>
      </w:r>
    </w:p>
    <w:bookmarkEnd w:id="23"/>
    <w:bookmarkStart w:id="24" w:name="能力边界核验行为与质量风险"/>
    <w:p>
      <w:pPr>
        <w:pStyle w:val="Heading2"/>
      </w:pPr>
      <w:r>
        <w:t xml:space="preserve">1.4 能力边界、核验行为与质量风险</w:t>
      </w:r>
    </w:p>
    <w:p>
      <w:pPr>
        <w:pStyle w:val="FirstParagraph"/>
      </w:pPr>
      <w:r>
        <w:t xml:space="preserve">生成式人工智能的失效模式具有特殊性：其错误输出与正确输出同样流畅自信，形成“貌似合理的替代”，即当任务所需信息（如未披露的客户财务数据、未成文的客户约束条件）超出模型可得范围时，模型会以通用行业基准或教科书假设加以替代，且不作任何标识</w:t>
      </w:r>
      <w:r>
        <w:rPr>
          <w:vertAlign w:val="superscript"/>
        </w:rPr>
        <w:t xml:space="preserve">[7]</w:t>
      </w:r>
      <w:r>
        <w:t xml:space="preserve">。行为科学文献表明，人们在算法建议面前既可能表现出“算法厌恶”</w:t>
      </w:r>
      <w:r>
        <w:rPr>
          <w:vertAlign w:val="superscript"/>
        </w:rPr>
        <w:t xml:space="preserve">[16]</w:t>
      </w:r>
      <w:r>
        <w:t xml:space="preserve">，也可能表现出“算法欣赏”</w:t>
      </w:r>
      <w:r>
        <w:rPr>
          <w:vertAlign w:val="superscript"/>
        </w:rPr>
        <w:t xml:space="preserve">[17]</w:t>
      </w:r>
      <w:r>
        <w:t xml:space="preserve">，且普遍难以准确划定自身知识与机器能力的边界</w:t>
      </w:r>
      <w:r>
        <w:rPr>
          <w:vertAlign w:val="superscript"/>
        </w:rPr>
        <w:t xml:space="preserve">[18]</w:t>
      </w:r>
      <w:r>
        <w:t xml:space="preserve">。当员工将模型在能力边界内赢得的信任外推至边界外任务时，校准失当的信赖便会在模型最薄弱、员工又最难察觉之处引致质量损失；而员工事后核验行为的强度，决定了这类流畅性错误能否在提交前被拦截。基于此，本文提出：</w:t>
      </w:r>
    </w:p>
    <w:p>
      <w:pPr>
        <w:pStyle w:val="BodyText"/>
      </w:pPr>
      <w:r>
        <w:t xml:space="preserve">假设4a：在超出模型能力边界的任务上，生成式人工智能应用会显著降低任务准确率。</w:t>
      </w:r>
    </w:p>
    <w:p>
      <w:pPr>
        <w:pStyle w:val="BodyText"/>
      </w:pPr>
      <w:r>
        <w:t xml:space="preserve">假设4b：边界外任务的准确率损失集中于核验行为不足的员工。</w:t>
      </w:r>
    </w:p>
    <w:bookmarkEnd w:id="24"/>
    <w:bookmarkEnd w:id="25"/>
    <w:bookmarkStart w:id="30" w:name="研究设计"/>
    <w:p>
      <w:pPr>
        <w:pStyle w:val="Heading1"/>
      </w:pPr>
      <w:r>
        <w:t xml:space="preserve">2 研究设计</w:t>
      </w:r>
    </w:p>
    <w:bookmarkStart w:id="26" w:name="实验设计与实施"/>
    <w:p>
      <w:pPr>
        <w:pStyle w:val="Heading2"/>
      </w:pPr>
      <w:r>
        <w:t xml:space="preserve">2.1 实验设计与实施</w:t>
      </w:r>
    </w:p>
    <w:p>
      <w:pPr>
        <w:pStyle w:val="FirstParagraph"/>
      </w:pPr>
      <w:r>
        <w:t xml:space="preserve">本文的研究场景为某全球性专业服务企业（根据数据使用协议匿名处理，以下简称“样本企业”），该企业为公司客户提供战略、运营与财务咨询服务。实验覆盖9个国家的14个办公室中全部初级顾问与经理级顾问共1842人，其日常工作即企业的核心计费产出：起草客户文档、分析数据、制作幻灯片、撰写研究备忘录以及复核他人工作成果。实验采用预注册设计，按办公室与办公室内司龄四分位数分层（共56个层）进行随机分配，921人进入处理组、921人进入控制组。处理组员工获得一款GPT-4级大语言模型助手的使用权限，该助手直接嵌入企业的文档编辑器、电子表格环境与内部研究门户，支持起草改写、文档与数据摘要、初步定量分析以及基于公开来源的检索增强搜索，但无法访问企业保密项目档案。处理组员工接受90分钟的入门培训，内容涵盖功能演示与保密规则，但刻意不预设委托策略；控制组员工继续使用现状工具，并接受同等时长的安慰剂培训，以近似控制注意力与预期效应。实验自2024年9月起持续24周，横跨企业业务旺季。处理组的依从程度较高：94.3%的处理组员工在第1周内激活助手，实验期间处理组员工的助手使用中位数为每周11.6次会话；控制组的访问权限在身份管理层被阻断，企业监测显示两组均几乎不存在未经批准的外部工具使用。</w:t>
      </w:r>
    </w:p>
    <w:bookmarkEnd w:id="26"/>
    <w:bookmarkStart w:id="27" w:name="变量选取"/>
    <w:p>
      <w:pPr>
        <w:pStyle w:val="Heading2"/>
      </w:pPr>
      <w:r>
        <w:t xml:space="preserve">2.2 变量选取</w:t>
      </w:r>
    </w:p>
    <w:p>
      <w:pPr>
        <w:pStyle w:val="FirstParagraph"/>
      </w:pPr>
      <w:r>
        <w:t xml:space="preserve">2.2.1 被解释变量</w:t>
      </w:r>
    </w:p>
    <w:p>
      <w:pPr>
        <w:pStyle w:val="BodyText"/>
      </w:pPr>
      <w:r>
        <w:t xml:space="preserve">（1）任务完成时间（lnTime）。基于企业工作流系统的遥测数据，以任务受理至提交之间的有效工作时长（剔除闲置时段）衡量，并取自然对数。分析样本包括实验期间完成且满足预注册纳入标准（跟踪时长不少于30分钟、遥测覆盖完整、单一负责人归属明确）的58674项实质性客户任务，其中文稿起草、数据分析、幻灯片制作、研究备忘录与质量复核分别占34%、22%、19%、15%与10%。</w:t>
      </w:r>
    </w:p>
    <w:p>
      <w:pPr>
        <w:pStyle w:val="BodyText"/>
      </w:pPr>
      <w:r>
        <w:t xml:space="preserve">（2）产出质量（Quality）。由41名资深合伙人组成的轮换评审小组按0—100分制对12300项分层随机抽取的任务子样本进行双盲评分：评分者既不知晓员工身份亦不知晓其组别，仅评审自身项目之外的任务，且文档中可能暴露助手使用痕迹的格式线索已由预处理脚本剔除。评分量规锚定企业自身的评审标准，涵盖分析严谨性、事实准确性、表达质量与客户可交付性四个维度；每项任务由两名合伙人独立评分，评分者间相关系数为0.81，取其均值。为将质量测度扩展至全样本，本文基于盲评子样本训练自动评分规则，其样本外与合伙人评分的相关系数为0.84。</w:t>
      </w:r>
    </w:p>
    <w:p>
      <w:pPr>
        <w:pStyle w:val="BodyText"/>
      </w:pPr>
      <w:r>
        <w:t xml:space="preserve">（3）周任务吞吐量（Throughput）与客户返工请求（Revision）。前者为员工每周完成的分析样本任务数；后者为企业项目管理系统中客户方要求实质性返工的记录次数，基线均值为每项任务0.86次。</w:t>
      </w:r>
    </w:p>
    <w:p>
      <w:pPr>
        <w:pStyle w:val="BodyText"/>
      </w:pPr>
      <w:r>
        <w:t xml:space="preserve">（4）任务准确率（Accuracy）。即任务中被合伙人评审认定为事实正确的实质性论断与建议所占百分比，用于能力边界部分的分析。</w:t>
      </w:r>
    </w:p>
    <w:p>
      <w:pPr>
        <w:pStyle w:val="BodyText"/>
      </w:pPr>
      <w:r>
        <w:t xml:space="preserve">2.2.2 核心解释变量</w:t>
      </w:r>
    </w:p>
    <w:p>
      <w:pPr>
        <w:pStyle w:val="BodyText"/>
      </w:pPr>
      <w:r>
        <w:t xml:space="preserve">处理变量（Treat）。员工经随机分配获得生成式人工智能助手使用权限的虚拟变量，进入处理组取1，进入控制组取0。</w:t>
      </w:r>
    </w:p>
    <w:p>
      <w:pPr>
        <w:pStyle w:val="BodyText"/>
      </w:pPr>
      <w:r>
        <w:t xml:space="preserve">2.2.3 机制与分组变量</w:t>
      </w:r>
    </w:p>
    <w:p>
      <w:pPr>
        <w:pStyle w:val="BodyText"/>
      </w:pPr>
      <w:r>
        <w:t xml:space="preserve">（1）基线技能指数（Skill）。取实验前12个月企业绩效评级与实验前技能测评（涵盖写作、定量分析与领域知识）的标准化第一主成分构建，并据此将员工划分为Q1（最低）至Q4（最高）四个组别。该指数每提高1个标准差，基线质量得分约提高6.3分，具备良好的效度。</w:t>
      </w:r>
    </w:p>
    <w:p>
      <w:pPr>
        <w:pStyle w:val="BodyText"/>
      </w:pPr>
      <w:r>
        <w:t xml:space="preserve">（2）能力边界分类（Beyond）。借鉴Dell’Acqua等（2023）</w:t>
      </w:r>
      <w:r>
        <w:rPr>
          <w:vertAlign w:val="superscript"/>
        </w:rPr>
        <w:t xml:space="preserve">[7]</w:t>
      </w:r>
      <w:r>
        <w:t xml:space="preserve">的“锯齿状边界”思想，实验启动前由样本企业方法论委员会对任务类型分类体系进行划分：模型能够有效支持的任务界定为“边界内”任务，需要企业特定隐性知识、保密客户情境或模型无法访问的专有数据的任务界定为“边界外”任务。分类在任何处理数据产生之前完成且对分组信息保持盲态，实验期间保持不变。全部分析任务中，53687项（91.5%）位于边界内，4987项（8.5%）位于边界外；两个独立子委员会分类结果的一致率达96.2%。</w:t>
      </w:r>
    </w:p>
    <w:p>
      <w:pPr>
        <w:pStyle w:val="BodyText"/>
      </w:pPr>
      <w:r>
        <w:t xml:space="preserve">（3）核验行为（Verify）。鉴于自我报告的核验行为可信度有限，本文以遥测测度的客观核验努力，即员工收到助手输出后、提交任务前停留于原始文档与底层数据的时长衡量核验行为，下文“核验努力”均指该遥测测度。核验三分位数按第5—24周遥测数据计算，以待委托习惯先行形成；改用第1—24周数据计算，分组排序不变。此外，实验还在第0周、第12周与第24周实施三轮员工调查，测度委托策略、对助手的信任程度等信息，三轮均完成的应答率为91.7%。</w:t>
      </w:r>
    </w:p>
    <w:p>
      <w:pPr>
        <w:pStyle w:val="BodyText"/>
      </w:pPr>
      <w:r>
        <w:t xml:space="preserve">2.2.4 控制变量</w:t>
      </w:r>
    </w:p>
    <w:p>
      <w:pPr>
        <w:pStyle w:val="BodyText"/>
      </w:pPr>
      <w:r>
        <w:t xml:space="preserve">参考实验研究的通行做法，本文选取以下基线协变量作为控制变量以提高估计精度：年龄（Age），以员工实验启动时的周岁年龄衡量；性别（Gender），女性取1，男性取0；司龄（Tenure），以员工入职样本企业的年数衡量；基线技能指数（Skill）；基线周任务量（BaseTask），以实验前12个月员工周均完成的工作项数衡量；基线质量得分（BaseQual），以实验前12个月员工产出的平均质量得分衡量。</w:t>
      </w:r>
    </w:p>
    <w:bookmarkEnd w:id="27"/>
    <w:bookmarkStart w:id="28" w:name="模型构建"/>
    <w:p>
      <w:pPr>
        <w:pStyle w:val="Heading2"/>
      </w:pPr>
      <w:r>
        <w:t xml:space="preserve">2.3 模型构建</w:t>
      </w:r>
    </w:p>
    <w:p>
      <w:pPr>
        <w:pStyle w:val="FirstParagraph"/>
      </w:pPr>
      <w:r>
        <w:t xml:space="preserve">为检验生成式人工智能应用对知识型员工生产率的平均处理效应，本文构建如下基准回归模型：</w:t>
      </w:r>
    </w:p>
    <w:p>
      <w:pPr>
        <w:pStyle w:val="BodyText"/>
      </w:pPr>
      <m:oMathPara>
        <m:oMathParaPr>
          <m:jc m:val="center"/>
        </m:oMathParaPr>
        <m:oMath>
          <m:r>
            <m:rPr>
              <m:sty m:val="p"/>
            </m:rPr>
            <m:t>ln</m:t>
          </m:r>
          <m:sSub>
            <m:e>
              <m:r>
                <m:t>Y</m:t>
              </m:r>
            </m:e>
            <m:sub>
              <m:r>
                <m:t>i</m:t>
              </m:r>
              <m:r>
                <m:t>j</m:t>
              </m:r>
              <m:r>
                <m:t>t</m:t>
              </m:r>
            </m:sub>
          </m:sSub>
          <m:r>
            <m:rPr>
              <m:sty m:val="p"/>
            </m:rPr>
            <m:t>=</m:t>
          </m:r>
          <m:sSub>
            <m:e>
              <m:r>
                <m:t>α</m:t>
              </m:r>
            </m:e>
            <m:sub>
              <m:r>
                <m:t>j</m:t>
              </m:r>
            </m:sub>
          </m:sSub>
          <m:r>
            <m:rPr>
              <m:sty m:val="p"/>
            </m:rPr>
            <m:t>+</m:t>
          </m:r>
          <m:sSub>
            <m:e>
              <m:r>
                <m:t>δ</m:t>
              </m:r>
            </m:e>
            <m:sub>
              <m:r>
                <m:t>t</m:t>
              </m:r>
            </m:sub>
          </m:sSub>
          <m:r>
            <m:rPr>
              <m:sty m:val="p"/>
            </m:rPr>
            <m:t>+</m:t>
          </m:r>
          <m:r>
            <m:t>β</m:t>
          </m:r>
          <m:sSub>
            <m:e>
              <m:r>
                <m:t>T</m:t>
              </m:r>
            </m:e>
            <m:sub>
              <m:r>
                <m:t>i</m:t>
              </m:r>
            </m:sub>
          </m:sSub>
          <m:r>
            <m:rPr>
              <m:sty m:val="p"/>
            </m:rPr>
            <m:t>+</m:t>
          </m:r>
          <m:r>
            <m:t>γ</m:t>
          </m:r>
          <m:sSub>
            <m:e>
              <m:r>
                <m:t>X</m:t>
              </m:r>
            </m:e>
            <m:sub>
              <m:r>
                <m:t>i</m:t>
              </m:r>
            </m:sub>
          </m:sSub>
          <m:r>
            <m:rPr>
              <m:sty m:val="p"/>
            </m:rPr>
            <m:t>+</m:t>
          </m:r>
          <m:sSub>
            <m:e>
              <m:r>
                <m:t>ε</m:t>
              </m:r>
            </m:e>
            <m:sub>
              <m:r>
                <m:t>i</m:t>
              </m:r>
              <m:r>
                <m:t>j</m:t>
              </m:r>
              <m:r>
                <m:t>t</m:t>
              </m:r>
            </m:sub>
          </m:sSub>
          <m:r>
            <m:t> </m:t>
          </m:r>
          <m:r>
            <m:t> </m:t>
          </m:r>
          <m:r>
            <m:rPr>
              <m:sty m:val="p"/>
            </m:rPr>
            <m:t>（</m:t>
          </m:r>
          <m:r>
            <m:t>1</m:t>
          </m:r>
          <m:r>
            <m:rPr>
              <m:sty m:val="p"/>
            </m:rPr>
            <m:t>）</m:t>
          </m:r>
        </m:oMath>
      </m:oMathPara>
    </w:p>
    <w:p>
      <w:pPr>
        <w:pStyle w:val="FirstParagraph"/>
      </w:pPr>
      <w:r>
        <w:t xml:space="preserve">其中，</w:t>
      </w:r>
      <m:oMath>
        <m:sSub>
          <m:e>
            <m:r>
              <m:t>Y</m:t>
            </m:r>
          </m:e>
          <m:sub>
            <m:r>
              <m:t>i</m:t>
            </m:r>
            <m:r>
              <m:t>j</m:t>
            </m:r>
            <m:r>
              <m:t>t</m:t>
            </m:r>
          </m:sub>
        </m:sSub>
      </m:oMath>
      <w:r>
        <w:t xml:space="preserve">为员工</w:t>
      </w:r>
      <m:oMath>
        <m:r>
          <m:t>i</m:t>
        </m:r>
      </m:oMath>
      <w:r>
        <w:t xml:space="preserve">在第</w:t>
      </w:r>
      <m:oMath>
        <m:r>
          <m:t>t</m:t>
        </m:r>
      </m:oMath>
      <w:r>
        <w:t xml:space="preserve">周完成的某项任务的结果变量，</w:t>
      </w:r>
      <m:oMath>
        <m:r>
          <m:t>j</m:t>
        </m:r>
      </m:oMath>
      <w:r>
        <w:t xml:space="preserve">为该任务所属的任务类型，</w:t>
      </w:r>
      <m:oMath>
        <m:sSub>
          <m:e>
            <m:r>
              <m:t>T</m:t>
            </m:r>
          </m:e>
          <m:sub>
            <m:r>
              <m:t>i</m:t>
            </m:r>
          </m:sub>
        </m:sSub>
      </m:oMath>
      <w:r>
        <w:t xml:space="preserve">为处理变量，</w:t>
      </w:r>
      <m:oMath>
        <m:sSub>
          <m:e>
            <m:r>
              <m:t>X</m:t>
            </m:r>
          </m:e>
          <m:sub>
            <m:r>
              <m:t>i</m:t>
            </m:r>
          </m:sub>
        </m:sSub>
      </m:oMath>
      <w:r>
        <w:t xml:space="preserve">为2.2.4节所述控制变量向量，</w:t>
      </w:r>
      <m:oMath>
        <m:sSub>
          <m:e>
            <m:r>
              <m:t>α</m:t>
            </m:r>
          </m:e>
          <m:sub>
            <m:r>
              <m:t>j</m:t>
            </m:r>
          </m:sub>
        </m:sSub>
      </m:oMath>
      <w:r>
        <w:t xml:space="preserve">、</w:t>
      </w:r>
      <m:oMath>
        <m:sSub>
          <m:e>
            <m:r>
              <m:t>δ</m:t>
            </m:r>
          </m:e>
          <m:sub>
            <m:r>
              <m:t>t</m:t>
            </m:r>
          </m:sub>
        </m:sSub>
      </m:oMath>
      <w:r>
        <w:t xml:space="preserve">分别为任务类型固定效应与周固定效应，</w:t>
      </w:r>
      <m:oMath>
        <m:sSub>
          <m:e>
            <m:r>
              <m:t>ε</m:t>
            </m:r>
          </m:e>
          <m:sub>
            <m:r>
              <m:t>i</m:t>
            </m:r>
            <m:r>
              <m:t>j</m:t>
            </m:r>
            <m:r>
              <m:t>t</m:t>
            </m:r>
          </m:sub>
        </m:sSub>
      </m:oMath>
      <w:r>
        <w:t xml:space="preserve">为随机扰动项。所有设定均包含随机化分层固定效应，标准误在随机化单位即员工层面聚类。对质量、准确率等以水平值计分的结果变量，被解释变量不取对数；周任务吞吐量的观测单位为员工—周。由于处理状态随机分配，</w:t>
      </w:r>
      <m:oMath>
        <m:r>
          <m:t>β</m:t>
        </m:r>
      </m:oMath>
      <w:r>
        <w:t xml:space="preserve">识别的是获得助手使用权限的意向处理效应（intention-to-treat，ITT）。</w:t>
      </w:r>
    </w:p>
    <w:p>
      <w:pPr>
        <w:pStyle w:val="BodyText"/>
      </w:pPr>
      <w:r>
        <w:t xml:space="preserve">为检验基线技能维度的异质性，将处理变量与技能四分位组虚拟变量交乘，构建如下模型：</w:t>
      </w:r>
    </w:p>
    <w:p>
      <w:pPr>
        <w:pStyle w:val="BodyText"/>
      </w:pPr>
      <m:oMathPara>
        <m:oMathParaPr>
          <m:jc m:val="center"/>
        </m:oMathParaPr>
        <m:oMath>
          <m:r>
            <m:rPr>
              <m:sty m:val="p"/>
            </m:rPr>
            <m:t>ln</m:t>
          </m:r>
          <m:sSub>
            <m:e>
              <m:r>
                <m:t>Y</m:t>
              </m:r>
            </m:e>
            <m:sub>
              <m:r>
                <m:t>i</m:t>
              </m:r>
              <m:r>
                <m:t>j</m:t>
              </m:r>
              <m:r>
                <m:t>t</m:t>
              </m:r>
            </m:sub>
          </m:sSub>
          <m:r>
            <m:rPr>
              <m:sty m:val="p"/>
            </m:rPr>
            <m:t>=</m:t>
          </m:r>
          <m:sSub>
            <m:e>
              <m:r>
                <m:t>α</m:t>
              </m:r>
            </m:e>
            <m:sub>
              <m:r>
                <m:t>j</m:t>
              </m:r>
            </m:sub>
          </m:sSub>
          <m:r>
            <m:rPr>
              <m:sty m:val="p"/>
            </m:rPr>
            <m:t>+</m:t>
          </m:r>
          <m:sSub>
            <m:e>
              <m:r>
                <m:t>δ</m:t>
              </m:r>
            </m:e>
            <m:sub>
              <m:r>
                <m:t>t</m:t>
              </m:r>
            </m:sub>
          </m:sSub>
          <m:r>
            <m:rPr>
              <m:sty m:val="p"/>
            </m:rPr>
            <m:t>+</m:t>
          </m:r>
          <m:nary>
            <m:naryPr>
              <m:chr m:val="∑"/>
              <m:limLoc m:val="undOvr"/>
              <m:subHide m:val="off"/>
              <m:supHide m:val="off"/>
            </m:naryPr>
            <m:sub>
              <m:r>
                <m:t>q</m:t>
              </m:r>
              <m:r>
                <m:rPr>
                  <m:sty m:val="p"/>
                </m:rPr>
                <m:t>=</m:t>
              </m:r>
              <m:r>
                <m:t>1</m:t>
              </m:r>
            </m:sub>
            <m:sup>
              <m:r>
                <m:t>4</m:t>
              </m:r>
            </m:sup>
            <m:e>
              <m:sSub>
                <m:e>
                  <m:r>
                    <m:t>β</m:t>
                  </m:r>
                </m:e>
                <m:sub>
                  <m:r>
                    <m:t>q</m:t>
                  </m:r>
                </m:sub>
              </m:sSub>
            </m:e>
          </m:nary>
          <m:sSub>
            <m:e>
              <m:r>
                <m:t>T</m:t>
              </m:r>
            </m:e>
            <m:sub>
              <m:r>
                <m:t>i</m:t>
              </m:r>
            </m:sub>
          </m:sSub>
          <m:r>
            <m:rPr>
              <m:sty m:val="p"/>
            </m:rPr>
            <m:t>×</m:t>
          </m:r>
          <m:sSubSup>
            <m:e>
              <m:r>
                <m:t>Q</m:t>
              </m:r>
            </m:e>
            <m:sub>
              <m:r>
                <m:t>i</m:t>
              </m:r>
            </m:sub>
            <m:sup>
              <m:d>
                <m:dPr>
                  <m:begChr m:val="("/>
                  <m:endChr m:val=")"/>
                  <m:sepChr m:val=""/>
                  <m:grow/>
                </m:dPr>
                <m:e>
                  <m:r>
                    <m:t>q</m:t>
                  </m:r>
                </m:e>
              </m:d>
            </m:sup>
          </m:sSubSup>
          <m:r>
            <m:rPr>
              <m:sty m:val="p"/>
            </m:rPr>
            <m:t>+</m:t>
          </m:r>
          <m:r>
            <m:t>γ</m:t>
          </m:r>
          <m:sSub>
            <m:e>
              <m:r>
                <m:t>X</m:t>
              </m:r>
            </m:e>
            <m:sub>
              <m:r>
                <m:t>i</m:t>
              </m:r>
            </m:sub>
          </m:sSub>
          <m:r>
            <m:rPr>
              <m:sty m:val="p"/>
            </m:rPr>
            <m:t>+</m:t>
          </m:r>
          <m:sSub>
            <m:e>
              <m:r>
                <m:t>ε</m:t>
              </m:r>
            </m:e>
            <m:sub>
              <m:r>
                <m:t>i</m:t>
              </m:r>
              <m:r>
                <m:t>j</m:t>
              </m:r>
              <m:r>
                <m:t>t</m:t>
              </m:r>
            </m:sub>
          </m:sSub>
          <m:r>
            <m:t> </m:t>
          </m:r>
          <m:r>
            <m:t> </m:t>
          </m:r>
          <m:r>
            <m:rPr>
              <m:sty m:val="p"/>
            </m:rPr>
            <m:t>（</m:t>
          </m:r>
          <m:r>
            <m:t>2</m:t>
          </m:r>
          <m:r>
            <m:rPr>
              <m:sty m:val="p"/>
            </m:rPr>
            <m:t>）</m:t>
          </m:r>
        </m:oMath>
      </m:oMathPara>
    </w:p>
    <w:p>
      <w:pPr>
        <w:pStyle w:val="FirstParagraph"/>
      </w:pPr>
      <w:r>
        <w:t xml:space="preserve">其中，</w:t>
      </w:r>
      <m:oMath>
        <m:sSubSup>
          <m:e>
            <m:r>
              <m:t>Q</m:t>
            </m:r>
          </m:e>
          <m:sub>
            <m:r>
              <m:t>i</m:t>
            </m:r>
          </m:sub>
          <m:sup>
            <m:d>
              <m:dPr>
                <m:begChr m:val="("/>
                <m:endChr m:val=")"/>
                <m:sepChr m:val=""/>
                <m:grow/>
              </m:dPr>
              <m:e>
                <m:r>
                  <m:t>q</m:t>
                </m:r>
              </m:e>
            </m:d>
          </m:sup>
        </m:sSubSup>
      </m:oMath>
      <w:r>
        <w:t xml:space="preserve">表示员工</w:t>
      </w:r>
      <m:oMath>
        <m:r>
          <m:t>i</m:t>
        </m:r>
      </m:oMath>
      <w:r>
        <w:t xml:space="preserve">属于技能四分位组</w:t>
      </w:r>
      <m:oMath>
        <m:r>
          <m:t>q</m:t>
        </m:r>
      </m:oMath>
      <w:r>
        <w:t xml:space="preserve">，</w:t>
      </w:r>
      <m:oMath>
        <m:sSub>
          <m:e>
            <m:r>
              <m:t>β</m:t>
            </m:r>
          </m:e>
          <m:sub>
            <m:r>
              <m:t>q</m:t>
            </m:r>
          </m:sub>
        </m:sSub>
      </m:oMath>
      <w:r>
        <w:t xml:space="preserve">为组别</w:t>
      </w:r>
      <m:oMath>
        <m:r>
          <m:t>q</m:t>
        </m:r>
      </m:oMath>
      <w:r>
        <w:t xml:space="preserve">的处理效应。</w:t>
      </w:r>
    </w:p>
    <w:p>
      <w:pPr>
        <w:pStyle w:val="BodyText"/>
      </w:pPr>
      <w:r>
        <w:t xml:space="preserve">为刻画处理效应的动态演变，构建如下事件研究模型：</w:t>
      </w:r>
    </w:p>
    <w:p>
      <w:pPr>
        <w:pStyle w:val="BodyText"/>
      </w:pPr>
      <m:oMathPara>
        <m:oMathParaPr>
          <m:jc m:val="center"/>
        </m:oMathParaPr>
        <m:oMath>
          <m:r>
            <m:rPr>
              <m:sty m:val="p"/>
            </m:rPr>
            <m:t>ln</m:t>
          </m:r>
          <m:sSub>
            <m:e>
              <m:r>
                <m:t>Y</m:t>
              </m:r>
            </m:e>
            <m:sub>
              <m:r>
                <m:t>i</m:t>
              </m:r>
              <m:r>
                <m:t>j</m:t>
              </m:r>
              <m:r>
                <m:t>t</m:t>
              </m:r>
            </m:sub>
          </m:sSub>
          <m:r>
            <m:rPr>
              <m:sty m:val="p"/>
            </m:rPr>
            <m:t>=</m:t>
          </m:r>
          <m:sSub>
            <m:e>
              <m:r>
                <m:t>α</m:t>
              </m:r>
            </m:e>
            <m:sub>
              <m:r>
                <m:t>j</m:t>
              </m:r>
            </m:sub>
          </m:sSub>
          <m:r>
            <m:rPr>
              <m:sty m:val="p"/>
            </m:rPr>
            <m:t>+</m:t>
          </m:r>
          <m:sSub>
            <m:e>
              <m:r>
                <m:t>δ</m:t>
              </m:r>
            </m:e>
            <m:sub>
              <m:r>
                <m:t>t</m:t>
              </m:r>
            </m:sub>
          </m:sSub>
          <m:r>
            <m:rPr>
              <m:sty m:val="p"/>
            </m:rPr>
            <m:t>+</m:t>
          </m:r>
          <m:nary>
            <m:naryPr>
              <m:chr m:val="∑"/>
              <m:limLoc m:val="undOvr"/>
              <m:subHide m:val="off"/>
              <m:supHide m:val="off"/>
            </m:naryPr>
            <m:sub>
              <m:r>
                <m:t>w</m:t>
              </m:r>
              <m:r>
                <m:rPr>
                  <m:sty m:val="p"/>
                </m:rPr>
                <m:t>=</m:t>
              </m:r>
              <m:r>
                <m:rPr>
                  <m:sty m:val="p"/>
                </m:rPr>
                <m:t>−</m:t>
              </m:r>
              <m:r>
                <m:t>4</m:t>
              </m:r>
            </m:sub>
            <m:sup>
              <m:r>
                <m:t>24</m:t>
              </m:r>
            </m:sup>
            <m:e>
              <m:sSub>
                <m:e>
                  <m:r>
                    <m:t>β</m:t>
                  </m:r>
                </m:e>
                <m:sub>
                  <m:r>
                    <m:t>w</m:t>
                  </m:r>
                </m:sub>
              </m:sSub>
            </m:e>
          </m:nary>
          <m:sSub>
            <m:e>
              <m:r>
                <m:t>T</m:t>
              </m:r>
            </m:e>
            <m:sub>
              <m:r>
                <m:t>i</m:t>
              </m:r>
            </m:sub>
          </m:sSub>
          <m:r>
            <m:rPr>
              <m:sty m:val="p"/>
            </m:rPr>
            <m:t>×</m:t>
          </m:r>
          <m:r>
            <m:t>I</m:t>
          </m:r>
          <m:d>
            <m:dPr>
              <m:begChr m:val="("/>
              <m:endChr m:val=")"/>
              <m:sepChr m:val=""/>
              <m:grow/>
            </m:dPr>
            <m:e>
              <m:r>
                <m:t>t</m:t>
              </m:r>
              <m:r>
                <m:rPr>
                  <m:sty m:val="p"/>
                </m:rPr>
                <m:t>=</m:t>
              </m:r>
              <m:r>
                <m:t>w</m:t>
              </m:r>
            </m:e>
          </m:d>
          <m:r>
            <m:rPr>
              <m:sty m:val="p"/>
            </m:rPr>
            <m:t>+</m:t>
          </m:r>
          <m:r>
            <m:t>γ</m:t>
          </m:r>
          <m:sSub>
            <m:e>
              <m:r>
                <m:t>X</m:t>
              </m:r>
            </m:e>
            <m:sub>
              <m:r>
                <m:t>i</m:t>
              </m:r>
            </m:sub>
          </m:sSub>
          <m:r>
            <m:rPr>
              <m:sty m:val="p"/>
            </m:rPr>
            <m:t>+</m:t>
          </m:r>
          <m:sSub>
            <m:e>
              <m:r>
                <m:t>ε</m:t>
              </m:r>
            </m:e>
            <m:sub>
              <m:r>
                <m:t>i</m:t>
              </m:r>
              <m:r>
                <m:t>j</m:t>
              </m:r>
              <m:r>
                <m:t>t</m:t>
              </m:r>
            </m:sub>
          </m:sSub>
          <m:r>
            <m:t> </m:t>
          </m:r>
          <m:r>
            <m:t> </m:t>
          </m:r>
          <m:r>
            <m:rPr>
              <m:sty m:val="p"/>
            </m:rPr>
            <m:t>（</m:t>
          </m:r>
          <m:r>
            <m:t>3</m:t>
          </m:r>
          <m:r>
            <m:rPr>
              <m:sty m:val="p"/>
            </m:rPr>
            <m:t>）</m:t>
          </m:r>
        </m:oMath>
      </m:oMathPara>
    </w:p>
    <w:p>
      <w:pPr>
        <w:pStyle w:val="FirstParagraph"/>
      </w:pPr>
      <w:r>
        <w:t xml:space="preserve">其中，</w:t>
      </w:r>
      <m:oMath>
        <m:r>
          <m:t>I</m:t>
        </m:r>
        <m:d>
          <m:dPr>
            <m:begChr m:val="("/>
            <m:endChr m:val=")"/>
            <m:sepChr m:val=""/>
            <m:grow/>
          </m:dPr>
          <m:e>
            <m:r>
              <m:rPr>
                <m:sty m:val="p"/>
              </m:rPr>
              <m:t>⋅</m:t>
            </m:r>
          </m:e>
        </m:d>
      </m:oMath>
      <w:r>
        <w:t xml:space="preserve">为示性函数，第</w:t>
      </w:r>
      <m:oMath>
        <m:r>
          <m:rPr>
            <m:sty m:val="p"/>
          </m:rPr>
          <m:t>−</m:t>
        </m:r>
        <m:r>
          <m:t>4</m:t>
        </m:r>
      </m:oMath>
      <w:r>
        <w:t xml:space="preserve">周至第0周为实验启动前的遥测观测期，</w:t>
      </w:r>
      <m:oMath>
        <m:sSub>
          <m:e>
            <m:r>
              <m:t>β</m:t>
            </m:r>
          </m:e>
          <m:sub>
            <m:r>
              <m:t>0</m:t>
            </m:r>
          </m:sub>
        </m:sSub>
      </m:oMath>
      <w:r>
        <w:t xml:space="preserve">标准化为零。启动前各期系数构成设计有效性的安慰剂检验。</w:t>
      </w:r>
    </w:p>
    <w:p>
      <w:pPr>
        <w:pStyle w:val="BodyText"/>
      </w:pPr>
      <w:r>
        <w:t xml:space="preserve">为考察生成式人工智能应用对产出质量分布的影响，估计如下分位数处理效应：</w:t>
      </w:r>
    </w:p>
    <w:p>
      <w:pPr>
        <w:pStyle w:val="BodyText"/>
      </w:pPr>
      <m:oMathPara>
        <m:oMathParaPr>
          <m:jc m:val="center"/>
        </m:oMathParaPr>
        <m:oMath>
          <m:r>
            <m:t>Q</m:t>
          </m:r>
          <m:r>
            <m:t>T</m:t>
          </m:r>
          <m:r>
            <m:t>E</m:t>
          </m:r>
          <m:d>
            <m:dPr>
              <m:begChr m:val="("/>
              <m:endChr m:val=")"/>
              <m:sepChr m:val=""/>
              <m:grow/>
            </m:dPr>
            <m:e>
              <m:r>
                <m:t>τ</m:t>
              </m:r>
            </m:e>
          </m:d>
          <m:r>
            <m:rPr>
              <m:sty m:val="p"/>
            </m:rPr>
            <m:t>=</m:t>
          </m:r>
          <m:sSubSup>
            <m:e>
              <m:r>
                <m:t>F</m:t>
              </m:r>
            </m:e>
            <m:sub>
              <m:sSup>
                <m:e>
                  <m:r>
                    <m:t>Q</m:t>
                  </m:r>
                </m:e>
                <m:sup>
                  <m:r>
                    <m:t>T</m:t>
                  </m:r>
                </m:sup>
              </m:sSup>
            </m:sub>
            <m:sup>
              <m:r>
                <m:rPr>
                  <m:sty m:val="p"/>
                </m:rPr>
                <m:t>−</m:t>
              </m:r>
              <m:r>
                <m:t>1</m:t>
              </m:r>
            </m:sup>
          </m:sSubSup>
          <m:d>
            <m:dPr>
              <m:begChr m:val="("/>
              <m:endChr m:val=")"/>
              <m:sepChr m:val=""/>
              <m:grow/>
            </m:dPr>
            <m:e>
              <m:r>
                <m:t>τ</m:t>
              </m:r>
            </m:e>
          </m:d>
          <m:r>
            <m:rPr>
              <m:sty m:val="p"/>
            </m:rPr>
            <m:t>−</m:t>
          </m:r>
          <m:sSubSup>
            <m:e>
              <m:r>
                <m:t>F</m:t>
              </m:r>
            </m:e>
            <m:sub>
              <m:sSup>
                <m:e>
                  <m:r>
                    <m:t>Q</m:t>
                  </m:r>
                </m:e>
                <m:sup>
                  <m:r>
                    <m:t>C</m:t>
                  </m:r>
                </m:sup>
              </m:sSup>
            </m:sub>
            <m:sup>
              <m:r>
                <m:rPr>
                  <m:sty m:val="p"/>
                </m:rPr>
                <m:t>−</m:t>
              </m:r>
              <m:r>
                <m:t>1</m:t>
              </m:r>
            </m:sup>
          </m:sSubSup>
          <m:d>
            <m:dPr>
              <m:begChr m:val="("/>
              <m:endChr m:val=")"/>
              <m:sepChr m:val=""/>
              <m:grow/>
            </m:dPr>
            <m:e>
              <m:r>
                <m:t>τ</m:t>
              </m:r>
            </m:e>
          </m:d>
          <m:r>
            <m:t> </m:t>
          </m:r>
          <m:r>
            <m:t> </m:t>
          </m:r>
          <m:r>
            <m:rPr>
              <m:sty m:val="p"/>
            </m:rPr>
            <m:t>（</m:t>
          </m:r>
          <m:r>
            <m:t>4</m:t>
          </m:r>
          <m:r>
            <m:rPr>
              <m:sty m:val="p"/>
            </m:rPr>
            <m:t>）</m:t>
          </m:r>
        </m:oMath>
      </m:oMathPara>
    </w:p>
    <w:p>
      <w:pPr>
        <w:pStyle w:val="FirstParagraph"/>
      </w:pPr>
      <w:r>
        <w:t xml:space="preserve">其中，</w:t>
      </w:r>
      <m:oMath>
        <m:sSub>
          <m:e>
            <m:r>
              <m:t>F</m:t>
            </m:r>
          </m:e>
          <m:sub>
            <m:sSup>
              <m:e>
                <m:r>
                  <m:t>Q</m:t>
                </m:r>
              </m:e>
              <m:sup>
                <m:r>
                  <m:t>T</m:t>
                </m:r>
              </m:sup>
            </m:sSup>
          </m:sub>
        </m:sSub>
      </m:oMath>
      <w:r>
        <w:t xml:space="preserve">、</w:t>
      </w:r>
      <m:oMath>
        <m:sSub>
          <m:e>
            <m:r>
              <m:t>F</m:t>
            </m:r>
          </m:e>
          <m:sub>
            <m:sSup>
              <m:e>
                <m:r>
                  <m:t>Q</m:t>
                </m:r>
              </m:e>
              <m:sup>
                <m:r>
                  <m:t>C</m:t>
                </m:r>
              </m:sup>
            </m:sSup>
          </m:sub>
        </m:sSub>
      </m:oMath>
      <w:r>
        <w:t xml:space="preserve">分别为处理组与控制组任务质量的分布函数，</w:t>
      </w:r>
      <m:oMath>
        <m:r>
          <m:t>τ</m:t>
        </m:r>
        <m:r>
          <m:rPr>
            <m:sty m:val="p"/>
          </m:rPr>
          <m:t>∈</m:t>
        </m:r>
        <m:d>
          <m:dPr>
            <m:begChr m:val="("/>
            <m:endChr m:val=")"/>
            <m:sepChr m:val=""/>
            <m:grow/>
          </m:dPr>
          <m:e>
            <m:r>
              <m:t>0</m:t>
            </m:r>
            <m:r>
              <m:rPr>
                <m:sty m:val="p"/>
              </m:rPr>
              <m:t>,</m:t>
            </m:r>
            <m:r>
              <m:t>1</m:t>
            </m:r>
          </m:e>
        </m:d>
      </m:oMath>
      <w:r>
        <w:t xml:space="preserve">为分位点。分位数处理效应在任务类型×周单元内计算并按基线权重加总，推断基于员工层面的区组自助法（block bootstrap，1000次重复）。</w:t>
      </w:r>
    </w:p>
    <w:p>
      <w:pPr>
        <w:pStyle w:val="BodyText"/>
      </w:pPr>
      <w:r>
        <w:t xml:space="preserve">为识别能力边界的作用，构建如下交互模型：</w:t>
      </w:r>
    </w:p>
    <w:p>
      <w:pPr>
        <w:pStyle w:val="BodyText"/>
      </w:pPr>
      <m:oMathPara>
        <m:oMathParaPr>
          <m:jc m:val="center"/>
        </m:oMathParaPr>
        <m:oMath>
          <m:sSub>
            <m:e>
              <m:r>
                <m:t>A</m:t>
              </m:r>
            </m:e>
            <m:sub>
              <m:r>
                <m:t>i</m:t>
              </m:r>
              <m:r>
                <m:t>j</m:t>
              </m:r>
              <m:r>
                <m:t>t</m:t>
              </m:r>
            </m:sub>
          </m:sSub>
          <m:r>
            <m:rPr>
              <m:sty m:val="p"/>
            </m:rPr>
            <m:t>=</m:t>
          </m:r>
          <m:sSub>
            <m:e>
              <m:r>
                <m:t>α</m:t>
              </m:r>
            </m:e>
            <m:sub>
              <m:r>
                <m:t>j</m:t>
              </m:r>
            </m:sub>
          </m:sSub>
          <m:r>
            <m:rPr>
              <m:sty m:val="p"/>
            </m:rPr>
            <m:t>+</m:t>
          </m:r>
          <m:sSub>
            <m:e>
              <m:r>
                <m:t>δ</m:t>
              </m:r>
            </m:e>
            <m:sub>
              <m:r>
                <m:t>t</m:t>
              </m:r>
            </m:sub>
          </m:sSub>
          <m:r>
            <m:rPr>
              <m:sty m:val="p"/>
            </m:rPr>
            <m:t>+</m:t>
          </m:r>
          <m:sSub>
            <m:e>
              <m:r>
                <m:t>β</m:t>
              </m:r>
            </m:e>
            <m:sub>
              <m:r>
                <m:t>1</m:t>
              </m:r>
            </m:sub>
          </m:sSub>
          <m:sSub>
            <m:e>
              <m:r>
                <m:t>T</m:t>
              </m:r>
            </m:e>
            <m:sub>
              <m:r>
                <m:t>i</m:t>
              </m:r>
            </m:sub>
          </m:sSub>
          <m:r>
            <m:rPr>
              <m:sty m:val="p"/>
            </m:rPr>
            <m:t>+</m:t>
          </m:r>
          <m:sSub>
            <m:e>
              <m:r>
                <m:t>β</m:t>
              </m:r>
            </m:e>
            <m:sub>
              <m:r>
                <m:t>2</m:t>
              </m:r>
            </m:sub>
          </m:sSub>
          <m:sSub>
            <m:e>
              <m:r>
                <m:t>B</m:t>
              </m:r>
            </m:e>
            <m:sub>
              <m:r>
                <m:t>j</m:t>
              </m:r>
            </m:sub>
          </m:sSub>
          <m:r>
            <m:rPr>
              <m:sty m:val="p"/>
            </m:rPr>
            <m:t>+</m:t>
          </m:r>
          <m:sSub>
            <m:e>
              <m:r>
                <m:t>β</m:t>
              </m:r>
            </m:e>
            <m:sub>
              <m:r>
                <m:t>3</m:t>
              </m:r>
            </m:sub>
          </m:sSub>
          <m:sSub>
            <m:e>
              <m:r>
                <m:t>T</m:t>
              </m:r>
            </m:e>
            <m:sub>
              <m:r>
                <m:t>i</m:t>
              </m:r>
            </m:sub>
          </m:sSub>
          <m:r>
            <m:rPr>
              <m:sty m:val="p"/>
            </m:rPr>
            <m:t>×</m:t>
          </m:r>
          <m:sSub>
            <m:e>
              <m:r>
                <m:t>B</m:t>
              </m:r>
            </m:e>
            <m:sub>
              <m:r>
                <m:t>j</m:t>
              </m:r>
            </m:sub>
          </m:sSub>
          <m:r>
            <m:rPr>
              <m:sty m:val="p"/>
            </m:rPr>
            <m:t>+</m:t>
          </m:r>
          <m:r>
            <m:t>γ</m:t>
          </m:r>
          <m:sSub>
            <m:e>
              <m:r>
                <m:t>X</m:t>
              </m:r>
            </m:e>
            <m:sub>
              <m:r>
                <m:t>i</m:t>
              </m:r>
            </m:sub>
          </m:sSub>
          <m:r>
            <m:rPr>
              <m:sty m:val="p"/>
            </m:rPr>
            <m:t>+</m:t>
          </m:r>
          <m:sSub>
            <m:e>
              <m:r>
                <m:t>ε</m:t>
              </m:r>
            </m:e>
            <m:sub>
              <m:r>
                <m:t>i</m:t>
              </m:r>
              <m:r>
                <m:t>j</m:t>
              </m:r>
              <m:r>
                <m:t>t</m:t>
              </m:r>
            </m:sub>
          </m:sSub>
          <m:r>
            <m:t> </m:t>
          </m:r>
          <m:r>
            <m:t> </m:t>
          </m:r>
          <m:r>
            <m:rPr>
              <m:sty m:val="p"/>
            </m:rPr>
            <m:t>（</m:t>
          </m:r>
          <m:r>
            <m:t>5</m:t>
          </m:r>
          <m:r>
            <m:rPr>
              <m:sty m:val="p"/>
            </m:rPr>
            <m:t>）</m:t>
          </m:r>
        </m:oMath>
      </m:oMathPara>
    </w:p>
    <w:p>
      <w:pPr>
        <w:pStyle w:val="FirstParagraph"/>
      </w:pPr>
      <w:r>
        <w:t xml:space="preserve">其中，</w:t>
      </w:r>
      <m:oMath>
        <m:sSub>
          <m:e>
            <m:r>
              <m:t>A</m:t>
            </m:r>
          </m:e>
          <m:sub>
            <m:r>
              <m:t>i</m:t>
            </m:r>
            <m:r>
              <m:t>j</m:t>
            </m:r>
            <m:r>
              <m:t>t</m:t>
            </m:r>
          </m:sub>
        </m:sSub>
      </m:oMath>
      <w:r>
        <w:t xml:space="preserve">为任务准确率，</w:t>
      </w:r>
      <m:oMath>
        <m:sSub>
          <m:e>
            <m:r>
              <m:t>B</m:t>
            </m:r>
          </m:e>
          <m:sub>
            <m:r>
              <m:t>j</m:t>
            </m:r>
          </m:sub>
        </m:sSub>
      </m:oMath>
      <w:r>
        <w:t xml:space="preserve">表示该任务属于边界外任务类型。由于边界分类在实验启动前完成且对分组保持盲态，</w:t>
      </w:r>
      <m:oMath>
        <m:sSub>
          <m:e>
            <m:r>
              <m:t>B</m:t>
            </m:r>
          </m:e>
          <m:sub>
            <m:r>
              <m:t>j</m:t>
            </m:r>
          </m:sub>
        </m:sSub>
      </m:oMath>
      <w:r>
        <w:t xml:space="preserve">为前定变量，</w:t>
      </w:r>
      <m:oMath>
        <m:sSub>
          <m:e>
            <m:r>
              <m:t>β</m:t>
            </m:r>
          </m:e>
          <m:sub>
            <m:r>
              <m:t>3</m:t>
            </m:r>
          </m:sub>
        </m:sSub>
      </m:oMath>
      <w:r>
        <w:t xml:space="preserve">捕捉边界外任务上处理效应的差异。</w:t>
      </w:r>
    </w:p>
    <w:bookmarkEnd w:id="28"/>
    <w:bookmarkStart w:id="29" w:name="数据说明与平衡性检验"/>
    <w:p>
      <w:pPr>
        <w:pStyle w:val="Heading2"/>
      </w:pPr>
      <w:r>
        <w:t xml:space="preserve">2.4 数据说明与平衡性检验</w:t>
      </w:r>
    </w:p>
    <w:p>
      <w:pPr>
        <w:pStyle w:val="FirstParagraph"/>
      </w:pPr>
      <w:r>
        <w:t xml:space="preserve">本文的任务遥测数据、评分数据与人事数据均来自样本企业内部系统，经匿名化处理后用于研究。表1报告了主要变量的描述性统计与组间平衡性检验结果。样本员工平均年龄31.4岁，女性占比46%，平均司龄4.2年，基线周任务量6.8项，基线质量得分72.3分（标准差13.9分）。各协变量的组间差异均较小且不显著，逐项检验的P值均高于0.24，联合F检验的P值为0.67，符合分层随机化的预期；24周内员工流失率为处理组4.1%、控制组4.5%（P=0.68），不存在差异性流失。</w:t>
      </w:r>
    </w:p>
    <w:p>
      <w:pPr>
        <w:pStyle w:val="TableCaption"/>
      </w:pPr>
      <w:r>
        <w:t xml:space="preserve">表1 描述性统计与平衡性检验结果</w:t>
      </w:r>
    </w:p>
    <w:tbl>
      <w:tblPr>
        <w:tblStyle w:val="Table"/>
        <w:tblW w:type="auto" w:w="0"/>
        <w:jc w:val="center"/>
        <w:tblLook w:firstRow="1" w:lastRow="0" w:firstColumn="0" w:lastColumn="0" w:noHBand="0" w:noVBand="0" w:val="0020"/>
        <w:tblCaption w:val="表1 描述性统计与平衡性检验结果"/>
      </w:tblPr>
      <w:tblGrid>
        <w:gridCol w:w="1320"/>
        <w:gridCol w:w="1320"/>
        <w:gridCol w:w="1320"/>
        <w:gridCol w:w="1320"/>
        <w:gridCol w:w="1320"/>
        <w:gridCol w:w="1320"/>
      </w:tblGrid>
      <w:tr>
        <w:trPr>
          <w:tblHeader w:val="true"/>
        </w:trPr>
        <w:tc>
          <w:tcPr/>
          <w:p>
            <w:pPr>
              <w:pStyle w:val="Compact"/>
              <w:spacing w:before="20" w:after="20" w:line="240" w:lineRule="auto"/>
              <w:jc w:val="center"/>
            </w:pPr>
            <w:r>
              <w:t xml:space="preserve">变量</w:t>
            </w:r>
          </w:p>
        </w:tc>
        <w:tc>
          <w:tcPr/>
          <w:p>
            <w:pPr>
              <w:pStyle w:val="Compact"/>
              <w:spacing w:before="20" w:after="20" w:line="240" w:lineRule="auto"/>
              <w:jc w:val="center"/>
            </w:pPr>
            <w:r>
              <w:t xml:space="preserve">全样本</w:t>
            </w:r>
          </w:p>
        </w:tc>
        <w:tc>
          <w:tcPr/>
          <w:p>
            <w:pPr>
              <w:pStyle w:val="Compact"/>
              <w:spacing w:before="20" w:after="20" w:line="240" w:lineRule="auto"/>
              <w:jc w:val="center"/>
            </w:pPr>
            <w:r>
              <w:t xml:space="preserve">控制组</w:t>
            </w:r>
          </w:p>
        </w:tc>
        <w:tc>
          <w:tcPr/>
          <w:p>
            <w:pPr>
              <w:pStyle w:val="Compact"/>
              <w:spacing w:before="20" w:after="20" w:line="240" w:lineRule="auto"/>
              <w:jc w:val="center"/>
            </w:pPr>
            <w:r>
              <w:t xml:space="preserve">处理组</w:t>
            </w:r>
          </w:p>
        </w:tc>
        <w:tc>
          <w:tcPr/>
          <w:p>
            <w:pPr>
              <w:pStyle w:val="Compact"/>
              <w:spacing w:before="20" w:after="20" w:line="240" w:lineRule="auto"/>
              <w:jc w:val="center"/>
            </w:pPr>
            <w:r>
              <w:t xml:space="preserve">组间差异</w:t>
            </w:r>
          </w:p>
        </w:tc>
        <w:tc>
          <w:tcPr/>
          <w:p>
            <w:pPr>
              <w:pStyle w:val="Compact"/>
              <w:spacing w:before="20" w:after="20" w:line="240" w:lineRule="auto"/>
              <w:jc w:val="center"/>
            </w:pPr>
            <w:r>
              <w:t xml:space="preserve">P值</w:t>
            </w:r>
          </w:p>
        </w:tc>
      </w:tr>
      <w:tr>
        <w:tc>
          <w:tcPr/>
          <w:p>
            <w:pPr>
              <w:pStyle w:val="Compact"/>
              <w:spacing w:before="20" w:after="20" w:line="240" w:lineRule="auto"/>
              <w:jc w:val="center"/>
            </w:pPr>
            <w:r>
              <w:t xml:space="preserve">年龄（岁）</w:t>
            </w:r>
          </w:p>
        </w:tc>
        <w:tc>
          <w:tcPr/>
          <w:p>
            <w:pPr>
              <w:pStyle w:val="Compact"/>
              <w:spacing w:before="20" w:after="20" w:line="240" w:lineRule="auto"/>
              <w:jc w:val="center"/>
            </w:pPr>
            <w:r>
              <w:t xml:space="preserve">31.4</w:t>
            </w:r>
          </w:p>
        </w:tc>
        <w:tc>
          <w:tcPr/>
          <w:p>
            <w:pPr>
              <w:pStyle w:val="Compact"/>
              <w:spacing w:before="20" w:after="20" w:line="240" w:lineRule="auto"/>
              <w:jc w:val="center"/>
            </w:pPr>
            <w:r>
              <w:t xml:space="preserve">31.3</w:t>
            </w:r>
          </w:p>
        </w:tc>
        <w:tc>
          <w:tcPr/>
          <w:p>
            <w:pPr>
              <w:pStyle w:val="Compact"/>
              <w:spacing w:before="20" w:after="20" w:line="240" w:lineRule="auto"/>
              <w:jc w:val="center"/>
            </w:pPr>
            <w:r>
              <w:t xml:space="preserve">31.5</w:t>
            </w:r>
          </w:p>
        </w:tc>
        <w:tc>
          <w:tcPr/>
          <w:p>
            <w:pPr>
              <w:pStyle w:val="Compact"/>
              <w:spacing w:before="20" w:after="20" w:line="240" w:lineRule="auto"/>
              <w:jc w:val="center"/>
            </w:pPr>
            <w:r>
              <w:t xml:space="preserve">0.2</w:t>
            </w:r>
          </w:p>
        </w:tc>
        <w:tc>
          <w:tcPr/>
          <w:p>
            <w:pPr>
              <w:pStyle w:val="Compact"/>
              <w:spacing w:before="20" w:after="20" w:line="240" w:lineRule="auto"/>
              <w:jc w:val="center"/>
            </w:pPr>
            <w:r>
              <w:t xml:space="preserve">0.38</w:t>
            </w:r>
          </w:p>
        </w:tc>
      </w:tr>
      <w:tr>
        <w:tc>
          <w:tcPr/>
          <w:p>
            <w:pPr>
              <w:pStyle w:val="Compact"/>
              <w:spacing w:before="20" w:after="20" w:line="240" w:lineRule="auto"/>
              <w:jc w:val="center"/>
            </w:pPr>
            <w:r>
              <w:t xml:space="preserve">女性占比</w:t>
            </w:r>
          </w:p>
        </w:tc>
        <w:tc>
          <w:tcPr/>
          <w:p>
            <w:pPr>
              <w:pStyle w:val="Compact"/>
              <w:spacing w:before="20" w:after="20" w:line="240" w:lineRule="auto"/>
              <w:jc w:val="center"/>
            </w:pPr>
            <w:r>
              <w:t xml:space="preserve">0.46</w:t>
            </w:r>
          </w:p>
        </w:tc>
        <w:tc>
          <w:tcPr/>
          <w:p>
            <w:pPr>
              <w:pStyle w:val="Compact"/>
              <w:spacing w:before="20" w:after="20" w:line="240" w:lineRule="auto"/>
              <w:jc w:val="center"/>
            </w:pPr>
            <w:r>
              <w:t xml:space="preserve">0.46</w:t>
            </w:r>
          </w:p>
        </w:tc>
        <w:tc>
          <w:tcPr/>
          <w:p>
            <w:pPr>
              <w:pStyle w:val="Compact"/>
              <w:spacing w:before="20" w:after="20" w:line="240" w:lineRule="auto"/>
              <w:jc w:val="center"/>
            </w:pPr>
            <w:r>
              <w:t xml:space="preserve">0.47</w:t>
            </w:r>
          </w:p>
        </w:tc>
        <w:tc>
          <w:tcPr/>
          <w:p>
            <w:pPr>
              <w:pStyle w:val="Compact"/>
              <w:spacing w:before="20" w:after="20" w:line="240" w:lineRule="auto"/>
              <w:jc w:val="center"/>
            </w:pPr>
            <w:r>
              <w:t xml:space="preserve">0.01</w:t>
            </w:r>
          </w:p>
        </w:tc>
        <w:tc>
          <w:tcPr/>
          <w:p>
            <w:pPr>
              <w:pStyle w:val="Compact"/>
              <w:spacing w:before="20" w:after="20" w:line="240" w:lineRule="auto"/>
              <w:jc w:val="center"/>
            </w:pPr>
            <w:r>
              <w:t xml:space="preserve">0.61</w:t>
            </w:r>
          </w:p>
        </w:tc>
      </w:tr>
      <w:tr>
        <w:tc>
          <w:tcPr/>
          <w:p>
            <w:pPr>
              <w:pStyle w:val="Compact"/>
              <w:spacing w:before="20" w:after="20" w:line="240" w:lineRule="auto"/>
              <w:jc w:val="center"/>
            </w:pPr>
            <w:r>
              <w:t xml:space="preserve">司龄（年）</w:t>
            </w:r>
          </w:p>
        </w:tc>
        <w:tc>
          <w:tcPr/>
          <w:p>
            <w:pPr>
              <w:pStyle w:val="Compact"/>
              <w:spacing w:before="20" w:after="20" w:line="240" w:lineRule="auto"/>
              <w:jc w:val="center"/>
            </w:pPr>
            <w:r>
              <w:t xml:space="preserve">4.2</w:t>
            </w:r>
          </w:p>
        </w:tc>
        <w:tc>
          <w:tcPr/>
          <w:p>
            <w:pPr>
              <w:pStyle w:val="Compact"/>
              <w:spacing w:before="20" w:after="20" w:line="240" w:lineRule="auto"/>
              <w:jc w:val="center"/>
            </w:pPr>
            <w:r>
              <w:t xml:space="preserve">4.2</w:t>
            </w:r>
          </w:p>
        </w:tc>
        <w:tc>
          <w:tcPr/>
          <w:p>
            <w:pPr>
              <w:pStyle w:val="Compact"/>
              <w:spacing w:before="20" w:after="20" w:line="240" w:lineRule="auto"/>
              <w:jc w:val="center"/>
            </w:pPr>
            <w:r>
              <w:t xml:space="preserve">4.3</w:t>
            </w:r>
          </w:p>
        </w:tc>
        <w:tc>
          <w:tcPr/>
          <w:p>
            <w:pPr>
              <w:pStyle w:val="Compact"/>
              <w:spacing w:before="20" w:after="20" w:line="240" w:lineRule="auto"/>
              <w:jc w:val="center"/>
            </w:pPr>
            <w:r>
              <w:t xml:space="preserve">0.1</w:t>
            </w:r>
          </w:p>
        </w:tc>
        <w:tc>
          <w:tcPr/>
          <w:p>
            <w:pPr>
              <w:pStyle w:val="Compact"/>
              <w:spacing w:before="20" w:after="20" w:line="240" w:lineRule="auto"/>
              <w:jc w:val="center"/>
            </w:pPr>
            <w:r>
              <w:t xml:space="preserve">0.44</w:t>
            </w:r>
          </w:p>
        </w:tc>
      </w:tr>
      <w:tr>
        <w:tc>
          <w:tcPr/>
          <w:p>
            <w:pPr>
              <w:pStyle w:val="Compact"/>
              <w:spacing w:before="20" w:after="20" w:line="240" w:lineRule="auto"/>
              <w:jc w:val="center"/>
            </w:pPr>
            <w:r>
              <w:t xml:space="preserve">基线技能指数（标准差单位）</w:t>
            </w:r>
          </w:p>
        </w:tc>
        <w:tc>
          <w:tcPr/>
          <w:p>
            <w:pPr>
              <w:pStyle w:val="Compact"/>
              <w:spacing w:before="20" w:after="20" w:line="240" w:lineRule="auto"/>
              <w:jc w:val="center"/>
            </w:pPr>
            <w:r>
              <w:t xml:space="preserve">0.00</w:t>
            </w:r>
          </w:p>
        </w:tc>
        <w:tc>
          <w:tcPr/>
          <w:p>
            <w:pPr>
              <w:pStyle w:val="Compact"/>
              <w:spacing w:before="20" w:after="20" w:line="240" w:lineRule="auto"/>
              <w:jc w:val="center"/>
            </w:pPr>
            <w:r>
              <w:t xml:space="preserve">−0.01</w:t>
            </w:r>
          </w:p>
        </w:tc>
        <w:tc>
          <w:tcPr/>
          <w:p>
            <w:pPr>
              <w:pStyle w:val="Compact"/>
              <w:spacing w:before="20" w:after="20" w:line="240" w:lineRule="auto"/>
              <w:jc w:val="center"/>
            </w:pPr>
            <w:r>
              <w:t xml:space="preserve">0.01</w:t>
            </w:r>
          </w:p>
        </w:tc>
        <w:tc>
          <w:tcPr/>
          <w:p>
            <w:pPr>
              <w:pStyle w:val="Compact"/>
              <w:spacing w:before="20" w:after="20" w:line="240" w:lineRule="auto"/>
              <w:jc w:val="center"/>
            </w:pPr>
            <w:r>
              <w:t xml:space="preserve">0.02</w:t>
            </w:r>
          </w:p>
        </w:tc>
        <w:tc>
          <w:tcPr/>
          <w:p>
            <w:pPr>
              <w:pStyle w:val="Compact"/>
              <w:spacing w:before="20" w:after="20" w:line="240" w:lineRule="auto"/>
              <w:jc w:val="center"/>
            </w:pPr>
            <w:r>
              <w:t xml:space="preserve">0.72</w:t>
            </w:r>
          </w:p>
        </w:tc>
      </w:tr>
      <w:tr>
        <w:tc>
          <w:tcPr/>
          <w:p>
            <w:pPr>
              <w:pStyle w:val="Compact"/>
              <w:spacing w:before="20" w:after="20" w:line="240" w:lineRule="auto"/>
              <w:jc w:val="center"/>
            </w:pPr>
            <w:r>
              <w:t xml:space="preserve">基线周任务量（项）</w:t>
            </w:r>
          </w:p>
        </w:tc>
        <w:tc>
          <w:tcPr/>
          <w:p>
            <w:pPr>
              <w:pStyle w:val="Compact"/>
              <w:spacing w:before="20" w:after="20" w:line="240" w:lineRule="auto"/>
              <w:jc w:val="center"/>
            </w:pPr>
            <w:r>
              <w:t xml:space="preserve">6.8</w:t>
            </w:r>
          </w:p>
        </w:tc>
        <w:tc>
          <w:tcPr/>
          <w:p>
            <w:pPr>
              <w:pStyle w:val="Compact"/>
              <w:spacing w:before="20" w:after="20" w:line="240" w:lineRule="auto"/>
              <w:jc w:val="center"/>
            </w:pPr>
            <w:r>
              <w:t xml:space="preserve">6.8</w:t>
            </w:r>
          </w:p>
        </w:tc>
        <w:tc>
          <w:tcPr/>
          <w:p>
            <w:pPr>
              <w:pStyle w:val="Compact"/>
              <w:spacing w:before="20" w:after="20" w:line="240" w:lineRule="auto"/>
              <w:jc w:val="center"/>
            </w:pPr>
            <w:r>
              <w:t xml:space="preserve">6.7</w:t>
            </w:r>
          </w:p>
        </w:tc>
        <w:tc>
          <w:tcPr/>
          <w:p>
            <w:pPr>
              <w:pStyle w:val="Compact"/>
              <w:spacing w:before="20" w:after="20" w:line="240" w:lineRule="auto"/>
              <w:jc w:val="center"/>
            </w:pPr>
            <w:r>
              <w:t xml:space="preserve">−0.1</w:t>
            </w:r>
          </w:p>
        </w:tc>
        <w:tc>
          <w:tcPr/>
          <w:p>
            <w:pPr>
              <w:pStyle w:val="Compact"/>
              <w:spacing w:before="20" w:after="20" w:line="240" w:lineRule="auto"/>
              <w:jc w:val="center"/>
            </w:pPr>
            <w:r>
              <w:t xml:space="preserve">0.29</w:t>
            </w:r>
          </w:p>
        </w:tc>
      </w:tr>
      <w:tr>
        <w:tc>
          <w:tcPr/>
          <w:p>
            <w:pPr>
              <w:pStyle w:val="Compact"/>
              <w:spacing w:before="20" w:after="20" w:line="240" w:lineRule="auto"/>
              <w:jc w:val="center"/>
            </w:pPr>
            <w:r>
              <w:t xml:space="preserve">基线质量得分（0—100分）</w:t>
            </w:r>
          </w:p>
        </w:tc>
        <w:tc>
          <w:tcPr/>
          <w:p>
            <w:pPr>
              <w:pStyle w:val="Compact"/>
              <w:spacing w:before="20" w:after="20" w:line="240" w:lineRule="auto"/>
              <w:jc w:val="center"/>
            </w:pPr>
            <w:r>
              <w:t xml:space="preserve">72.3</w:t>
            </w:r>
          </w:p>
        </w:tc>
        <w:tc>
          <w:tcPr/>
          <w:p>
            <w:pPr>
              <w:pStyle w:val="Compact"/>
              <w:spacing w:before="20" w:after="20" w:line="240" w:lineRule="auto"/>
              <w:jc w:val="center"/>
            </w:pPr>
            <w:r>
              <w:t xml:space="preserve">72.1</w:t>
            </w:r>
          </w:p>
        </w:tc>
        <w:tc>
          <w:tcPr/>
          <w:p>
            <w:pPr>
              <w:pStyle w:val="Compact"/>
              <w:spacing w:before="20" w:after="20" w:line="240" w:lineRule="auto"/>
              <w:jc w:val="center"/>
            </w:pPr>
            <w:r>
              <w:t xml:space="preserve">72.5</w:t>
            </w:r>
          </w:p>
        </w:tc>
        <w:tc>
          <w:tcPr/>
          <w:p>
            <w:pPr>
              <w:pStyle w:val="Compact"/>
              <w:spacing w:before="20" w:after="20" w:line="240" w:lineRule="auto"/>
              <w:jc w:val="center"/>
            </w:pPr>
            <w:r>
              <w:t xml:space="preserve">0.4</w:t>
            </w:r>
          </w:p>
        </w:tc>
        <w:tc>
          <w:tcPr/>
          <w:p>
            <w:pPr>
              <w:pStyle w:val="Compact"/>
              <w:spacing w:before="20" w:after="20" w:line="240" w:lineRule="auto"/>
              <w:jc w:val="center"/>
            </w:pPr>
            <w:r>
              <w:t xml:space="preserve">0.52</w:t>
            </w:r>
          </w:p>
        </w:tc>
      </w:tr>
      <w:tr>
        <w:tc>
          <w:tcPr/>
          <w:p>
            <w:pPr>
              <w:pStyle w:val="Compact"/>
              <w:spacing w:before="20" w:after="20" w:line="240" w:lineRule="auto"/>
              <w:jc w:val="center"/>
            </w:pPr>
            <w:r>
              <w:t xml:space="preserve">基线单任务返工请求（次）</w:t>
            </w:r>
          </w:p>
        </w:tc>
        <w:tc>
          <w:tcPr/>
          <w:p>
            <w:pPr>
              <w:pStyle w:val="Compact"/>
              <w:spacing w:before="20" w:after="20" w:line="240" w:lineRule="auto"/>
              <w:jc w:val="center"/>
            </w:pPr>
            <w:r>
              <w:t xml:space="preserve">0.86</w:t>
            </w:r>
          </w:p>
        </w:tc>
        <w:tc>
          <w:tcPr/>
          <w:p>
            <w:pPr>
              <w:pStyle w:val="Compact"/>
              <w:spacing w:before="20" w:after="20" w:line="240" w:lineRule="auto"/>
              <w:jc w:val="center"/>
            </w:pPr>
            <w:r>
              <w:t xml:space="preserve">0.87</w:t>
            </w:r>
          </w:p>
        </w:tc>
        <w:tc>
          <w:tcPr/>
          <w:p>
            <w:pPr>
              <w:pStyle w:val="Compact"/>
              <w:spacing w:before="20" w:after="20" w:line="240" w:lineRule="auto"/>
              <w:jc w:val="center"/>
            </w:pPr>
            <w:r>
              <w:t xml:space="preserve">0.85</w:t>
            </w:r>
          </w:p>
        </w:tc>
        <w:tc>
          <w:tcPr/>
          <w:p>
            <w:pPr>
              <w:pStyle w:val="Compact"/>
              <w:spacing w:before="20" w:after="20" w:line="240" w:lineRule="auto"/>
              <w:jc w:val="center"/>
            </w:pPr>
            <w:r>
              <w:t xml:space="preserve">−0.02</w:t>
            </w:r>
          </w:p>
        </w:tc>
        <w:tc>
          <w:tcPr/>
          <w:p>
            <w:pPr>
              <w:pStyle w:val="Compact"/>
              <w:spacing w:before="20" w:after="20" w:line="240" w:lineRule="auto"/>
              <w:jc w:val="center"/>
            </w:pPr>
            <w:r>
              <w:t xml:space="preserve">0.47</w:t>
            </w:r>
          </w:p>
        </w:tc>
      </w:tr>
      <w:tr>
        <w:tc>
          <w:tcPr/>
          <w:p>
            <w:pPr>
              <w:pStyle w:val="Compact"/>
              <w:spacing w:before="20" w:after="20" w:line="240" w:lineRule="auto"/>
              <w:jc w:val="center"/>
            </w:pPr>
            <w:r>
              <w:t xml:space="preserve">员工数（人）</w:t>
            </w:r>
          </w:p>
        </w:tc>
        <w:tc>
          <w:tcPr/>
          <w:p>
            <w:pPr>
              <w:pStyle w:val="Compact"/>
              <w:spacing w:before="20" w:after="20" w:line="240" w:lineRule="auto"/>
              <w:jc w:val="center"/>
            </w:pPr>
            <w:r>
              <w:t xml:space="preserve">1842</w:t>
            </w:r>
          </w:p>
        </w:tc>
        <w:tc>
          <w:tcPr/>
          <w:p>
            <w:pPr>
              <w:pStyle w:val="Compact"/>
              <w:spacing w:before="20" w:after="20" w:line="240" w:lineRule="auto"/>
              <w:jc w:val="center"/>
            </w:pPr>
            <w:r>
              <w:t xml:space="preserve">921</w:t>
            </w:r>
          </w:p>
        </w:tc>
        <w:tc>
          <w:tcPr/>
          <w:p>
            <w:pPr>
              <w:pStyle w:val="Compact"/>
              <w:spacing w:before="20" w:after="20" w:line="240" w:lineRule="auto"/>
              <w:jc w:val="center"/>
            </w:pPr>
            <w:r>
              <w:t xml:space="preserve">921</w:t>
            </w:r>
          </w:p>
        </w:tc>
        <w:tc>
          <w:tcPr/>
          <w:p>
            <w:pPr>
              <w:pStyle w:val="Compact"/>
              <w:spacing w:before="20" w:after="20" w:line="240" w:lineRule="auto"/>
              <w:jc w:val="center"/>
            </w:pPr>
            <w:r>
              <w:t xml:space="preserve">—</w:t>
            </w:r>
          </w:p>
        </w:tc>
        <w:tc>
          <w:tcPr/>
          <w:p>
            <w:pPr>
              <w:pStyle w:val="Compact"/>
              <w:spacing w:before="20" w:after="20" w:line="240" w:lineRule="auto"/>
              <w:jc w:val="center"/>
            </w:pPr>
            <w:r>
              <w:t xml:space="preserve">—</w:t>
            </w:r>
          </w:p>
        </w:tc>
      </w:tr>
      <w:tr>
        <w:tc>
          <w:tcPr/>
          <w:p>
            <w:pPr>
              <w:pStyle w:val="Compact"/>
              <w:spacing w:before="20" w:after="20" w:line="240" w:lineRule="auto"/>
              <w:jc w:val="center"/>
            </w:pPr>
            <w:r>
              <w:t xml:space="preserve">24周流失率</w:t>
            </w:r>
          </w:p>
        </w:tc>
        <w:tc>
          <w:tcPr/>
          <w:p>
            <w:pPr>
              <w:pStyle w:val="Compact"/>
              <w:spacing w:before="20" w:after="20" w:line="240" w:lineRule="auto"/>
              <w:jc w:val="center"/>
            </w:pPr>
            <w:r>
              <w:t xml:space="preserve">0.043</w:t>
            </w:r>
          </w:p>
        </w:tc>
        <w:tc>
          <w:tcPr/>
          <w:p>
            <w:pPr>
              <w:pStyle w:val="Compact"/>
              <w:spacing w:before="20" w:after="20" w:line="240" w:lineRule="auto"/>
              <w:jc w:val="center"/>
            </w:pPr>
            <w:r>
              <w:t xml:space="preserve">0.045</w:t>
            </w:r>
          </w:p>
        </w:tc>
        <w:tc>
          <w:tcPr/>
          <w:p>
            <w:pPr>
              <w:pStyle w:val="Compact"/>
              <w:spacing w:before="20" w:after="20" w:line="240" w:lineRule="auto"/>
              <w:jc w:val="center"/>
            </w:pPr>
            <w:r>
              <w:t xml:space="preserve">0.041</w:t>
            </w:r>
          </w:p>
        </w:tc>
        <w:tc>
          <w:tcPr/>
          <w:p>
            <w:pPr>
              <w:pStyle w:val="Compact"/>
              <w:spacing w:before="20" w:after="20" w:line="240" w:lineRule="auto"/>
              <w:jc w:val="center"/>
            </w:pPr>
            <w:r>
              <w:t xml:space="preserve">−0.004</w:t>
            </w:r>
          </w:p>
        </w:tc>
        <w:tc>
          <w:tcPr/>
          <w:p>
            <w:pPr>
              <w:pStyle w:val="Compact"/>
              <w:spacing w:before="20" w:after="20" w:line="240" w:lineRule="auto"/>
              <w:jc w:val="center"/>
            </w:pPr>
            <w:r>
              <w:t xml:space="preserve">0.68</w:t>
            </w:r>
          </w:p>
        </w:tc>
      </w:tr>
    </w:tbl>
    <w:p>
      <w:pPr>
        <w:pStyle w:val="TableNote"/>
      </w:pPr>
      <w:r>
        <w:t xml:space="preserve">注：基线变量按实验前12个月测算；P值来自将各协变量对处理变量回归（含分层固定效应、员工层面聚类标准误）；全部协变量联合F检验的P值为0.67。</w:t>
      </w:r>
    </w:p>
    <w:bookmarkEnd w:id="29"/>
    <w:bookmarkEnd w:id="30"/>
    <w:bookmarkStart w:id="42" w:name="实证结果分析"/>
    <w:p>
      <w:pPr>
        <w:pStyle w:val="Heading1"/>
      </w:pPr>
      <w:r>
        <w:t xml:space="preserve">3 实证结果分析</w:t>
      </w:r>
    </w:p>
    <w:bookmarkStart w:id="31" w:name="基准回归结果分析"/>
    <w:p>
      <w:pPr>
        <w:pStyle w:val="Heading2"/>
      </w:pPr>
      <w:r>
        <w:t xml:space="preserve">3.1 基准回归结果分析</w:t>
      </w:r>
    </w:p>
    <w:p>
      <w:pPr>
        <w:pStyle w:val="FirstParagraph"/>
      </w:pPr>
      <w:r>
        <w:t xml:space="preserve">表2报告了模型（1）对四个主要结果变量的估计结果。列（1）显示，生成式人工智能应用使对数任务完成时间下降0.278（标准误0.021），对应完成时间缩短24.3%；以控制组几何均值每项任务6.1小时计，处理组员工平均每项任务节约约1.5小时。鉴于处理组第1周激活率达94.3%，以实际使用为内生变量的两阶段最小二乘估计（−0.295）与意向处理效应估计相差不大。列（2）显示，产出质量提高3.9分（标准误0.9），相当于控制组质量分布的0.28个标准差，表明生成式人工智能并未以牺牲质量为代价换取速度，而是实现了时间与质量的同步改善。列（3）显示，周任务吞吐量提升16.4%，略低于单任务时间节约幅度，原因在于员工将部分释放出来的时间重新配置于业务拓展、培训等非任务活动。列（4）显示，客户返工请求减少18.7%，由基线的每项任务0.86次降至约0.70次。返工请求由面向客户的合伙人依据客户反馈记录，属于外部生成的质量信号，其降幅与合伙人评分的质量增益在方向与比例上相互印证，说明质量改善得到了来自客户侧的独立验证。据测算，仅返工减少一项即可节约约2%的项目交付成本。综上，假设1得到支持。</w:t>
      </w:r>
    </w:p>
    <w:p>
      <w:pPr>
        <w:pStyle w:val="TableCaption"/>
      </w:pPr>
      <w:r>
        <w:t xml:space="preserve">表2 基准回归结果</w:t>
      </w:r>
    </w:p>
    <w:tbl>
      <w:tblPr>
        <w:tblStyle w:val="Table"/>
        <w:tblW w:type="pct" w:w="5000"/>
        <w:jc w:val="center"/>
        <w:tblLook w:firstRow="1" w:lastRow="0" w:firstColumn="0" w:lastColumn="0" w:noHBand="0" w:noVBand="0" w:val="0020"/>
        <w:tblCaption w:val="表2 基准回归结果"/>
      </w:tblPr>
      <w:tblGrid>
        <w:gridCol w:w="1584"/>
        <w:gridCol w:w="1584"/>
        <w:gridCol w:w="1584"/>
        <w:gridCol w:w="1584"/>
        <w:gridCol w:w="1584"/>
      </w:tblGrid>
      <w:tr>
        <w:trPr>
          <w:tblHeader w:val="true"/>
        </w:trPr>
        <w:tc>
          <w:tcPr/>
          <w:p>
            <w:pPr>
              <w:pStyle w:val="Compact"/>
              <w:spacing w:before="20" w:after="20" w:line="240" w:lineRule="auto"/>
              <w:jc w:val="center"/>
            </w:pPr>
          </w:p>
        </w:tc>
        <w:tc>
          <w:tcPr/>
          <w:p>
            <w:pPr>
              <w:pStyle w:val="Compact"/>
              <w:spacing w:before="20" w:after="20" w:line="240" w:lineRule="auto"/>
              <w:jc w:val="center"/>
            </w:pPr>
            <w:r>
              <w:t xml:space="preserve">（1）lnTime</w:t>
            </w:r>
          </w:p>
        </w:tc>
        <w:tc>
          <w:tcPr/>
          <w:p>
            <w:pPr>
              <w:pStyle w:val="Compact"/>
              <w:spacing w:before="20" w:after="20" w:line="240" w:lineRule="auto"/>
              <w:jc w:val="center"/>
            </w:pPr>
            <w:r>
              <w:t xml:space="preserve">（2）Quality</w:t>
            </w:r>
          </w:p>
        </w:tc>
        <w:tc>
          <w:tcPr/>
          <w:p>
            <w:pPr>
              <w:pStyle w:val="Compact"/>
              <w:spacing w:before="20" w:after="20" w:line="240" w:lineRule="auto"/>
              <w:jc w:val="center"/>
            </w:pPr>
            <w:r>
              <w:t xml:space="preserve">（3）Throughput（%）</w:t>
            </w:r>
          </w:p>
        </w:tc>
        <w:tc>
          <w:tcPr/>
          <w:p>
            <w:pPr>
              <w:pStyle w:val="Compact"/>
              <w:spacing w:before="20" w:after="20" w:line="240" w:lineRule="auto"/>
              <w:jc w:val="center"/>
            </w:pPr>
            <w:r>
              <w:t xml:space="preserve">（4）Revision（%）</w:t>
            </w:r>
          </w:p>
        </w:tc>
      </w:tr>
      <w:tr>
        <w:tc>
          <w:tcPr/>
          <w:p>
            <w:pPr>
              <w:pStyle w:val="Compact"/>
              <w:spacing w:before="20" w:after="20" w:line="240" w:lineRule="auto"/>
              <w:jc w:val="center"/>
            </w:pPr>
            <w:r>
              <w:t xml:space="preserve">Treat</w:t>
            </w:r>
          </w:p>
        </w:tc>
        <w:tc>
          <w:tcPr/>
          <w:p>
            <w:pPr>
              <w:pStyle w:val="Compact"/>
              <w:spacing w:before="20" w:after="20" w:line="240" w:lineRule="auto"/>
              <w:jc w:val="center"/>
            </w:pPr>
            <w:r>
              <w:t xml:space="preserve">−0.278***（0.021）</w:t>
            </w:r>
          </w:p>
        </w:tc>
        <w:tc>
          <w:tcPr/>
          <w:p>
            <w:pPr>
              <w:pStyle w:val="Compact"/>
              <w:spacing w:before="20" w:after="20" w:line="240" w:lineRule="auto"/>
              <w:jc w:val="center"/>
            </w:pPr>
            <w:r>
              <w:t xml:space="preserve">3.9***（0.9）</w:t>
            </w:r>
          </w:p>
        </w:tc>
        <w:tc>
          <w:tcPr/>
          <w:p>
            <w:pPr>
              <w:pStyle w:val="Compact"/>
              <w:spacing w:before="20" w:after="20" w:line="240" w:lineRule="auto"/>
              <w:jc w:val="center"/>
            </w:pPr>
            <w:r>
              <w:t xml:space="preserve">16.4***（1.8）</w:t>
            </w:r>
          </w:p>
        </w:tc>
        <w:tc>
          <w:tcPr/>
          <w:p>
            <w:pPr>
              <w:pStyle w:val="Compact"/>
              <w:spacing w:before="20" w:after="20" w:line="240" w:lineRule="auto"/>
              <w:jc w:val="center"/>
            </w:pPr>
            <w:r>
              <w:t xml:space="preserve">−18.7***（3.1）</w:t>
            </w:r>
          </w:p>
        </w:tc>
      </w:tr>
      <w:tr>
        <w:tc>
          <w:tcPr/>
          <w:p>
            <w:pPr>
              <w:pStyle w:val="Compact"/>
              <w:spacing w:before="20" w:after="20" w:line="240" w:lineRule="auto"/>
              <w:jc w:val="center"/>
            </w:pPr>
            <w:r>
              <w:t xml:space="preserve">隐含效应</w:t>
            </w:r>
          </w:p>
        </w:tc>
        <w:tc>
          <w:tcPr/>
          <w:p>
            <w:pPr>
              <w:pStyle w:val="Compact"/>
              <w:spacing w:before="20" w:after="20" w:line="240" w:lineRule="auto"/>
              <w:jc w:val="center"/>
            </w:pPr>
            <w:r>
              <w:t xml:space="preserve">−24.3%</w:t>
            </w:r>
          </w:p>
        </w:tc>
        <w:tc>
          <w:tcPr/>
          <w:p>
            <w:pPr>
              <w:pStyle w:val="Compact"/>
              <w:spacing w:before="20" w:after="20" w:line="240" w:lineRule="auto"/>
              <w:jc w:val="center"/>
            </w:pPr>
            <w:r>
              <w:t xml:space="preserve">+0.28个标准差</w:t>
            </w:r>
          </w:p>
        </w:tc>
        <w:tc>
          <w:tcPr/>
          <w:p>
            <w:pPr>
              <w:pStyle w:val="Compact"/>
              <w:spacing w:before="20" w:after="20" w:line="240" w:lineRule="auto"/>
              <w:jc w:val="center"/>
            </w:pPr>
            <w:r>
              <w:t xml:space="preserve">—</w:t>
            </w:r>
          </w:p>
        </w:tc>
        <w:tc>
          <w:tcPr/>
          <w:p>
            <w:pPr>
              <w:pStyle w:val="Compact"/>
              <w:spacing w:before="20" w:after="20" w:line="240" w:lineRule="auto"/>
              <w:jc w:val="center"/>
            </w:pPr>
            <w:r>
              <w:t xml:space="preserve">—</w:t>
            </w:r>
          </w:p>
        </w:tc>
      </w:tr>
      <w:tr>
        <w:tc>
          <w:tcPr/>
          <w:p>
            <w:pPr>
              <w:pStyle w:val="Compact"/>
              <w:spacing w:before="20" w:after="20" w:line="240" w:lineRule="auto"/>
              <w:jc w:val="center"/>
            </w:pPr>
            <w:r>
              <w:t xml:space="preserve">控制组均值</w:t>
            </w:r>
          </w:p>
        </w:tc>
        <w:tc>
          <w:tcPr/>
          <w:p>
            <w:pPr>
              <w:pStyle w:val="Compact"/>
              <w:spacing w:before="20" w:after="20" w:line="240" w:lineRule="auto"/>
              <w:jc w:val="center"/>
            </w:pPr>
            <w:r>
              <w:t xml:space="preserve">6.1小时</w:t>
            </w:r>
          </w:p>
        </w:tc>
        <w:tc>
          <w:tcPr/>
          <w:p>
            <w:pPr>
              <w:pStyle w:val="Compact"/>
              <w:spacing w:before="20" w:after="20" w:line="240" w:lineRule="auto"/>
              <w:jc w:val="center"/>
            </w:pPr>
            <w:r>
              <w:t xml:space="preserve">72.8分</w:t>
            </w:r>
          </w:p>
        </w:tc>
        <w:tc>
          <w:tcPr/>
          <w:p>
            <w:pPr>
              <w:pStyle w:val="Compact"/>
              <w:spacing w:before="20" w:after="20" w:line="240" w:lineRule="auto"/>
              <w:jc w:val="center"/>
            </w:pPr>
            <w:r>
              <w:t xml:space="preserve">6.9项</w:t>
            </w:r>
          </w:p>
        </w:tc>
        <w:tc>
          <w:tcPr/>
          <w:p>
            <w:pPr>
              <w:pStyle w:val="Compact"/>
              <w:spacing w:before="20" w:after="20" w:line="240" w:lineRule="auto"/>
              <w:jc w:val="center"/>
            </w:pPr>
            <w:r>
              <w:t xml:space="preserve">0.86次</w:t>
            </w:r>
          </w:p>
        </w:tc>
      </w:tr>
      <w:tr>
        <w:tc>
          <w:tcPr/>
          <w:p>
            <w:pPr>
              <w:pStyle w:val="Compact"/>
              <w:spacing w:before="20" w:after="20" w:line="240" w:lineRule="auto"/>
              <w:jc w:val="center"/>
            </w:pPr>
            <w:r>
              <w:t xml:space="preserve">任务类型固定效应</w:t>
            </w:r>
          </w:p>
        </w:tc>
        <w:tc>
          <w:tcPr/>
          <w:p>
            <w:pPr>
              <w:pStyle w:val="Compact"/>
              <w:spacing w:before="20" w:after="20" w:line="240" w:lineRule="auto"/>
              <w:jc w:val="center"/>
            </w:pPr>
            <w:r>
              <w:t xml:space="preserve">是</w:t>
            </w:r>
          </w:p>
        </w:tc>
        <w:tc>
          <w:tcPr/>
          <w:p>
            <w:pPr>
              <w:pStyle w:val="Compact"/>
              <w:spacing w:before="20" w:after="20" w:line="240" w:lineRule="auto"/>
              <w:jc w:val="center"/>
            </w:pPr>
            <w:r>
              <w:t xml:space="preserve">是</w:t>
            </w:r>
          </w:p>
        </w:tc>
        <w:tc>
          <w:tcPr/>
          <w:p>
            <w:pPr>
              <w:pStyle w:val="Compact"/>
              <w:spacing w:before="20" w:after="20" w:line="240" w:lineRule="auto"/>
              <w:jc w:val="center"/>
            </w:pPr>
            <w:r>
              <w:t xml:space="preserve">—</w:t>
            </w:r>
          </w:p>
        </w:tc>
        <w:tc>
          <w:tcPr/>
          <w:p>
            <w:pPr>
              <w:pStyle w:val="Compact"/>
              <w:spacing w:before="20" w:after="20" w:line="240" w:lineRule="auto"/>
              <w:jc w:val="center"/>
            </w:pPr>
            <w:r>
              <w:t xml:space="preserve">是</w:t>
            </w:r>
          </w:p>
        </w:tc>
      </w:tr>
      <w:tr>
        <w:tc>
          <w:tcPr/>
          <w:p>
            <w:pPr>
              <w:pStyle w:val="Compact"/>
              <w:spacing w:before="20" w:after="20" w:line="240" w:lineRule="auto"/>
              <w:jc w:val="center"/>
            </w:pPr>
            <w:r>
              <w:t xml:space="preserve">周固定效应</w:t>
            </w:r>
          </w:p>
        </w:tc>
        <w:tc>
          <w:tcPr/>
          <w:p>
            <w:pPr>
              <w:pStyle w:val="Compact"/>
              <w:spacing w:before="20" w:after="20" w:line="240" w:lineRule="auto"/>
              <w:jc w:val="center"/>
            </w:pPr>
            <w:r>
              <w:t xml:space="preserve">是</w:t>
            </w:r>
          </w:p>
        </w:tc>
        <w:tc>
          <w:tcPr/>
          <w:p>
            <w:pPr>
              <w:pStyle w:val="Compact"/>
              <w:spacing w:before="20" w:after="20" w:line="240" w:lineRule="auto"/>
              <w:jc w:val="center"/>
            </w:pPr>
            <w:r>
              <w:t xml:space="preserve">是</w:t>
            </w:r>
          </w:p>
        </w:tc>
        <w:tc>
          <w:tcPr/>
          <w:p>
            <w:pPr>
              <w:pStyle w:val="Compact"/>
              <w:spacing w:before="20" w:after="20" w:line="240" w:lineRule="auto"/>
              <w:jc w:val="center"/>
            </w:pPr>
            <w:r>
              <w:t xml:space="preserve">是</w:t>
            </w:r>
          </w:p>
        </w:tc>
        <w:tc>
          <w:tcPr/>
          <w:p>
            <w:pPr>
              <w:pStyle w:val="Compact"/>
              <w:spacing w:before="20" w:after="20" w:line="240" w:lineRule="auto"/>
              <w:jc w:val="center"/>
            </w:pPr>
            <w:r>
              <w:t xml:space="preserve">是</w:t>
            </w:r>
          </w:p>
        </w:tc>
      </w:tr>
      <w:tr>
        <w:tc>
          <w:tcPr/>
          <w:p>
            <w:pPr>
              <w:pStyle w:val="Compact"/>
              <w:spacing w:before="20" w:after="20" w:line="240" w:lineRule="auto"/>
              <w:jc w:val="center"/>
            </w:pPr>
            <w:r>
              <w:t xml:space="preserve">控制变量</w:t>
            </w:r>
          </w:p>
        </w:tc>
        <w:tc>
          <w:tcPr/>
          <w:p>
            <w:pPr>
              <w:pStyle w:val="Compact"/>
              <w:spacing w:before="20" w:after="20" w:line="240" w:lineRule="auto"/>
              <w:jc w:val="center"/>
            </w:pPr>
            <w:r>
              <w:t xml:space="preserve">是</w:t>
            </w:r>
          </w:p>
        </w:tc>
        <w:tc>
          <w:tcPr/>
          <w:p>
            <w:pPr>
              <w:pStyle w:val="Compact"/>
              <w:spacing w:before="20" w:after="20" w:line="240" w:lineRule="auto"/>
              <w:jc w:val="center"/>
            </w:pPr>
            <w:r>
              <w:t xml:space="preserve">是</w:t>
            </w:r>
          </w:p>
        </w:tc>
        <w:tc>
          <w:tcPr/>
          <w:p>
            <w:pPr>
              <w:pStyle w:val="Compact"/>
              <w:spacing w:before="20" w:after="20" w:line="240" w:lineRule="auto"/>
              <w:jc w:val="center"/>
            </w:pPr>
            <w:r>
              <w:t xml:space="preserve">是</w:t>
            </w:r>
          </w:p>
        </w:tc>
        <w:tc>
          <w:tcPr/>
          <w:p>
            <w:pPr>
              <w:pStyle w:val="Compact"/>
              <w:spacing w:before="20" w:after="20" w:line="240" w:lineRule="auto"/>
              <w:jc w:val="center"/>
            </w:pPr>
            <w:r>
              <w:t xml:space="preserve">是</w:t>
            </w:r>
          </w:p>
        </w:tc>
      </w:tr>
      <w:tr>
        <w:tc>
          <w:tcPr/>
          <w:p>
            <w:pPr>
              <w:pStyle w:val="Compact"/>
              <w:spacing w:before="20" w:after="20" w:line="240" w:lineRule="auto"/>
              <w:jc w:val="center"/>
            </w:pPr>
            <w:r>
              <w:t xml:space="preserve">样本量</w:t>
            </w:r>
          </w:p>
        </w:tc>
        <w:tc>
          <w:tcPr/>
          <w:p>
            <w:pPr>
              <w:pStyle w:val="Compact"/>
              <w:spacing w:before="20" w:after="20" w:line="240" w:lineRule="auto"/>
              <w:jc w:val="center"/>
            </w:pPr>
            <w:r>
              <w:t xml:space="preserve">58674</w:t>
            </w:r>
          </w:p>
        </w:tc>
        <w:tc>
          <w:tcPr/>
          <w:p>
            <w:pPr>
              <w:pStyle w:val="Compact"/>
              <w:spacing w:before="20" w:after="20" w:line="240" w:lineRule="auto"/>
              <w:jc w:val="center"/>
            </w:pPr>
            <w:r>
              <w:t xml:space="preserve">58674</w:t>
            </w:r>
          </w:p>
        </w:tc>
        <w:tc>
          <w:tcPr/>
          <w:p>
            <w:pPr>
              <w:pStyle w:val="Compact"/>
              <w:spacing w:before="20" w:after="20" w:line="240" w:lineRule="auto"/>
              <w:jc w:val="center"/>
            </w:pPr>
            <w:r>
              <w:t xml:space="preserve">43260</w:t>
            </w:r>
          </w:p>
        </w:tc>
        <w:tc>
          <w:tcPr/>
          <w:p>
            <w:pPr>
              <w:pStyle w:val="Compact"/>
              <w:spacing w:before="20" w:after="20" w:line="240" w:lineRule="auto"/>
              <w:jc w:val="center"/>
            </w:pPr>
            <w:r>
              <w:t xml:space="preserve">58674</w:t>
            </w:r>
          </w:p>
        </w:tc>
      </w:tr>
      <w:tr>
        <w:tc>
          <w:tcPr/>
          <w:p>
            <w:pPr>
              <w:pStyle w:val="Compact"/>
              <w:spacing w:before="20" w:after="20" w:line="240" w:lineRule="auto"/>
              <w:jc w:val="center"/>
            </w:pPr>
            <w:r>
              <w:t xml:space="preserve">R</w:t>
            </w:r>
            <w:r>
              <w:rPr>
                <w:vertAlign w:val="superscript"/>
              </w:rPr>
              <w:t xml:space="preserve">2</w:t>
            </w:r>
          </w:p>
        </w:tc>
        <w:tc>
          <w:tcPr/>
          <w:p>
            <w:pPr>
              <w:pStyle w:val="Compact"/>
              <w:spacing w:before="20" w:after="20" w:line="240" w:lineRule="auto"/>
              <w:jc w:val="center"/>
            </w:pPr>
            <w:r>
              <w:t xml:space="preserve">0.34</w:t>
            </w:r>
          </w:p>
        </w:tc>
        <w:tc>
          <w:tcPr/>
          <w:p>
            <w:pPr>
              <w:pStyle w:val="Compact"/>
              <w:spacing w:before="20" w:after="20" w:line="240" w:lineRule="auto"/>
              <w:jc w:val="center"/>
            </w:pPr>
            <w:r>
              <w:t xml:space="preserve">0.27</w:t>
            </w:r>
          </w:p>
        </w:tc>
        <w:tc>
          <w:tcPr/>
          <w:p>
            <w:pPr>
              <w:pStyle w:val="Compact"/>
              <w:spacing w:before="20" w:after="20" w:line="240" w:lineRule="auto"/>
              <w:jc w:val="center"/>
            </w:pPr>
            <w:r>
              <w:t xml:space="preserve">0.22</w:t>
            </w:r>
          </w:p>
        </w:tc>
        <w:tc>
          <w:tcPr/>
          <w:p>
            <w:pPr>
              <w:pStyle w:val="Compact"/>
              <w:spacing w:before="20" w:after="20" w:line="240" w:lineRule="auto"/>
              <w:jc w:val="center"/>
            </w:pPr>
            <w:r>
              <w:t xml:space="preserve">0.19</w:t>
            </w:r>
          </w:p>
        </w:tc>
      </w:tr>
    </w:tbl>
    <w:p>
      <w:pPr>
        <w:pStyle w:val="TableNote"/>
      </w:pPr>
      <w:r>
        <w:t xml:space="preserve">注：***、**、*分别表示在1%、5%、10%的水平上显著，括号内为按员工聚类的稳健标准误，下同；列（3）、列（4）汇报半弹性（%），分别基于员工—周层面的对数周吞吐量与任务层面的ln（1+返工请求）估计；所有设定均含随机化分层固定效应；列（1）控制组均值为几何均值。</w:t>
      </w:r>
    </w:p>
    <w:bookmarkEnd w:id="31"/>
    <w:bookmarkStart w:id="32" w:name="稳健性检验"/>
    <w:p>
      <w:pPr>
        <w:pStyle w:val="Heading2"/>
      </w:pPr>
      <w:r>
        <w:t xml:space="preserve">3.2 稳健性检验</w:t>
      </w:r>
    </w:p>
    <w:p>
      <w:pPr>
        <w:pStyle w:val="FirstParagraph"/>
      </w:pPr>
      <w:r>
        <w:t xml:space="preserve">为验证基准结果的可靠性，本文进行如下稳健性检验，结果见表3。一是差异性流失检验，采用Lee（2009）边界法修剪处理组分布以均衡留存率，对数完成时间效应的边界区间为[−0.301，−0.257]，稳健排除零效应。二是随机化推断，在分层内对处理状态进行10000次置换，完成时间、质量与吞吐量效应的P值均小于0.001，推断不依赖渐近聚类近似。三是溢出效应检验，利用控制组员工所在项目团队处理组占比的随机变异进行估计，高处理密度团队中的控制组员工完成时间未发生差异化变动（系数0.008，标准误0.019），组间溢出不构成威胁。四是评分盲态审计，实验结束后邀请14名合伙人对600项去除格式线索的任务猜测是否使用了助手，猜中率52.7%，与随机猜测无异（P=0.19），且加入评分者固定效应后质量估计不变，表明双盲评分设计有效。五是仅使用12300项双盲评分子样本重新估计，质量效应为4.1分（标准误1.0），与全样本估计无显著差异，结果不依赖自动评分规则。六是敏感性检验，逐一剔除14个办公室中的任何一个（jackknife），完成时间系数介于−0.294与−0.259之间，技能梯度与边界交互项在全部子样本中符号与显著性保持不变，结果并非由单一办公室驱动。上述检验共同表明，本文的核心结论具有较好的稳健性。</w:t>
      </w:r>
    </w:p>
    <w:p>
      <w:pPr>
        <w:pStyle w:val="TableCaption"/>
      </w:pPr>
      <w:r>
        <w:t xml:space="preserve">表3 稳健性检验结果</w:t>
      </w:r>
    </w:p>
    <w:tbl>
      <w:tblPr>
        <w:tblStyle w:val="Table"/>
        <w:tblW w:type="auto" w:w="0"/>
        <w:jc w:val="center"/>
        <w:tblLook w:firstRow="1" w:lastRow="0" w:firstColumn="0" w:lastColumn="0" w:noHBand="0" w:noVBand="0" w:val="0020"/>
        <w:tblCaption w:val="表3 稳健性检验结果"/>
      </w:tblPr>
      <w:tblGrid>
        <w:gridCol w:w="2640"/>
        <w:gridCol w:w="2640"/>
        <w:gridCol w:w="2640"/>
      </w:tblGrid>
      <w:tr>
        <w:trPr>
          <w:tblHeader w:val="true"/>
        </w:trPr>
        <w:tc>
          <w:tcPr/>
          <w:p>
            <w:pPr>
              <w:pStyle w:val="Compact"/>
              <w:spacing w:before="20" w:after="20" w:line="240" w:lineRule="auto"/>
              <w:jc w:val="center"/>
            </w:pPr>
            <w:r>
              <w:t xml:space="preserve">检验方式</w:t>
            </w:r>
          </w:p>
        </w:tc>
        <w:tc>
          <w:tcPr/>
          <w:p>
            <w:pPr>
              <w:pStyle w:val="Compact"/>
              <w:spacing w:before="20" w:after="20" w:line="240" w:lineRule="auto"/>
              <w:jc w:val="center"/>
            </w:pPr>
            <w:r>
              <w:t xml:space="preserve">完成时间效应</w:t>
            </w:r>
          </w:p>
        </w:tc>
        <w:tc>
          <w:tcPr/>
          <w:p>
            <w:pPr>
              <w:pStyle w:val="Compact"/>
              <w:spacing w:before="20" w:after="20" w:line="240" w:lineRule="auto"/>
              <w:jc w:val="center"/>
            </w:pPr>
            <w:r>
              <w:t xml:space="preserve">产出质量效应</w:t>
            </w:r>
          </w:p>
        </w:tc>
      </w:tr>
      <w:tr>
        <w:tc>
          <w:tcPr/>
          <w:p>
            <w:pPr>
              <w:pStyle w:val="Compact"/>
              <w:spacing w:before="20" w:after="20" w:line="240" w:lineRule="auto"/>
              <w:jc w:val="center"/>
            </w:pPr>
            <w:r>
              <w:t xml:space="preserve">Lee（2009）边界估计</w:t>
            </w:r>
          </w:p>
        </w:tc>
        <w:tc>
          <w:tcPr/>
          <w:p>
            <w:pPr>
              <w:pStyle w:val="Compact"/>
              <w:spacing w:before="20" w:after="20" w:line="240" w:lineRule="auto"/>
              <w:jc w:val="center"/>
            </w:pPr>
            <w:r>
              <w:t xml:space="preserve">[−0.301，−0.257]</w:t>
            </w:r>
          </w:p>
        </w:tc>
        <w:tc>
          <w:tcPr/>
          <w:p>
            <w:pPr>
              <w:pStyle w:val="Compact"/>
              <w:spacing w:before="20" w:after="20" w:line="240" w:lineRule="auto"/>
              <w:jc w:val="center"/>
            </w:pPr>
            <w:r>
              <w:t xml:space="preserve">—</w:t>
            </w:r>
          </w:p>
        </w:tc>
      </w:tr>
      <w:tr>
        <w:tc>
          <w:tcPr/>
          <w:p>
            <w:pPr>
              <w:pStyle w:val="Compact"/>
              <w:spacing w:before="20" w:after="20" w:line="240" w:lineRule="auto"/>
              <w:jc w:val="center"/>
            </w:pPr>
            <w:r>
              <w:t xml:space="preserve">随机化推断（10000次置换）</w:t>
            </w:r>
          </w:p>
        </w:tc>
        <w:tc>
          <w:tcPr/>
          <w:p>
            <w:pPr>
              <w:pStyle w:val="Compact"/>
              <w:spacing w:before="20" w:after="20" w:line="240" w:lineRule="auto"/>
              <w:jc w:val="center"/>
            </w:pPr>
            <w:r>
              <w:t xml:space="preserve">P＜0.001</w:t>
            </w:r>
          </w:p>
        </w:tc>
        <w:tc>
          <w:tcPr/>
          <w:p>
            <w:pPr>
              <w:pStyle w:val="Compact"/>
              <w:spacing w:before="20" w:after="20" w:line="240" w:lineRule="auto"/>
              <w:jc w:val="center"/>
            </w:pPr>
            <w:r>
              <w:t xml:space="preserve">P＜0.001</w:t>
            </w:r>
          </w:p>
        </w:tc>
      </w:tr>
      <w:tr>
        <w:tc>
          <w:tcPr/>
          <w:p>
            <w:pPr>
              <w:pStyle w:val="Compact"/>
              <w:spacing w:before="20" w:after="20" w:line="240" w:lineRule="auto"/>
              <w:jc w:val="center"/>
            </w:pPr>
            <w:r>
              <w:t xml:space="preserve">溢出效应检验</w:t>
            </w:r>
          </w:p>
        </w:tc>
        <w:tc>
          <w:tcPr/>
          <w:p>
            <w:pPr>
              <w:pStyle w:val="Compact"/>
              <w:spacing w:before="20" w:after="20" w:line="240" w:lineRule="auto"/>
              <w:jc w:val="center"/>
            </w:pPr>
            <w:r>
              <w:t xml:space="preserve">0.008（0.019）</w:t>
            </w:r>
          </w:p>
        </w:tc>
        <w:tc>
          <w:tcPr/>
          <w:p>
            <w:pPr>
              <w:pStyle w:val="Compact"/>
              <w:spacing w:before="20" w:after="20" w:line="240" w:lineRule="auto"/>
              <w:jc w:val="center"/>
            </w:pPr>
            <w:r>
              <w:t xml:space="preserve">—</w:t>
            </w:r>
          </w:p>
        </w:tc>
      </w:tr>
      <w:tr>
        <w:tc>
          <w:tcPr/>
          <w:p>
            <w:pPr>
              <w:pStyle w:val="Compact"/>
              <w:spacing w:before="20" w:after="20" w:line="240" w:lineRule="auto"/>
              <w:jc w:val="center"/>
            </w:pPr>
            <w:r>
              <w:t xml:space="preserve">评分盲态审计</w:t>
            </w:r>
          </w:p>
        </w:tc>
        <w:tc>
          <w:tcPr/>
          <w:p>
            <w:pPr>
              <w:pStyle w:val="Compact"/>
              <w:spacing w:before="20" w:after="20" w:line="240" w:lineRule="auto"/>
              <w:jc w:val="center"/>
            </w:pPr>
            <w:r>
              <w:t xml:space="preserve">—</w:t>
            </w:r>
          </w:p>
        </w:tc>
        <w:tc>
          <w:tcPr/>
          <w:p>
            <w:pPr>
              <w:pStyle w:val="Compact"/>
              <w:spacing w:before="20" w:after="20" w:line="240" w:lineRule="auto"/>
              <w:jc w:val="center"/>
            </w:pPr>
            <w:r>
              <w:t xml:space="preserve">猜中率52.7%（P=0.19）</w:t>
            </w:r>
          </w:p>
        </w:tc>
      </w:tr>
      <w:tr>
        <w:tc>
          <w:tcPr/>
          <w:p>
            <w:pPr>
              <w:pStyle w:val="Compact"/>
              <w:spacing w:before="20" w:after="20" w:line="240" w:lineRule="auto"/>
              <w:jc w:val="center"/>
            </w:pPr>
            <w:r>
              <w:t xml:space="preserve">仅用双盲评分子样本</w:t>
            </w:r>
          </w:p>
        </w:tc>
        <w:tc>
          <w:tcPr/>
          <w:p>
            <w:pPr>
              <w:pStyle w:val="Compact"/>
              <w:spacing w:before="20" w:after="20" w:line="240" w:lineRule="auto"/>
              <w:jc w:val="center"/>
            </w:pPr>
            <w:r>
              <w:t xml:space="preserve">—</w:t>
            </w:r>
          </w:p>
        </w:tc>
        <w:tc>
          <w:tcPr/>
          <w:p>
            <w:pPr>
              <w:pStyle w:val="Compact"/>
              <w:spacing w:before="20" w:after="20" w:line="240" w:lineRule="auto"/>
              <w:jc w:val="center"/>
            </w:pPr>
            <w:r>
              <w:t xml:space="preserve">4.1***（1.0）</w:t>
            </w:r>
          </w:p>
        </w:tc>
      </w:tr>
      <w:tr>
        <w:tc>
          <w:tcPr/>
          <w:p>
            <w:pPr>
              <w:pStyle w:val="Compact"/>
              <w:spacing w:before="20" w:after="20" w:line="240" w:lineRule="auto"/>
              <w:jc w:val="center"/>
            </w:pPr>
            <w:r>
              <w:t xml:space="preserve">逐一剔除办公室的敏感性检验</w:t>
            </w:r>
          </w:p>
        </w:tc>
        <w:tc>
          <w:tcPr/>
          <w:p>
            <w:pPr>
              <w:pStyle w:val="Compact"/>
              <w:spacing w:before="20" w:after="20" w:line="240" w:lineRule="auto"/>
              <w:jc w:val="center"/>
            </w:pPr>
            <w:r>
              <w:t xml:space="preserve">[−0.294，−0.259]</w:t>
            </w:r>
          </w:p>
        </w:tc>
        <w:tc>
          <w:tcPr/>
          <w:p>
            <w:pPr>
              <w:pStyle w:val="Compact"/>
              <w:spacing w:before="20" w:after="20" w:line="240" w:lineRule="auto"/>
              <w:jc w:val="center"/>
            </w:pPr>
            <w:r>
              <w:t xml:space="preserve">符号与显著性不变</w:t>
            </w:r>
          </w:p>
        </w:tc>
      </w:tr>
    </w:tbl>
    <w:p>
      <w:pPr>
        <w:pStyle w:val="TableNote"/>
      </w:pPr>
      <w:r>
        <w:t xml:space="preserve">注：Lee边界通过修剪处理组分布以均衡两组留存率得到；随机化推断在随机化分层内置换处理状态；溢出效应检验汇报控制组员工完成时间对所在团队处理组占比的回归系数；评分盲态审计汇报合伙人对600项去除格式线索任务的助手使用猜中率。</w:t>
      </w:r>
    </w:p>
    <w:bookmarkEnd w:id="32"/>
    <w:bookmarkStart w:id="33" w:name="技能异质性分析"/>
    <w:p>
      <w:pPr>
        <w:pStyle w:val="Heading2"/>
      </w:pPr>
      <w:r>
        <w:t xml:space="preserve">3.3 技能异质性分析</w:t>
      </w:r>
    </w:p>
    <w:p>
      <w:pPr>
        <w:pStyle w:val="FirstParagraph"/>
      </w:pPr>
      <w:r>
        <w:t xml:space="preserve">表4报告了模型（2）的估计结果。处理效应随基线技能水平单调且陡峭地递减：最低技能组（Q1）任务完成时间缩短35.1%（系数−0.433，标准误0.038），Q2组、Q3组分别缩短27.2%、19.8%，最高技能组（Q4）仅缩短11.2%；质量效应呈现同样的梯度，Q1组提升0.47个标准差（合6.5分），Q4组仅提升0.06个标准差且不显著。Q1组与Q4组的效应差异在1%的水平上显著。该梯度并非天花板效应所致：Q4组基线质量均值为81.5分，距满分尚有充足空间，且其控制组任务中得分超过95分者不足3%，而不受天花板约束的时间效应梯度同样陡峭。该梯度亦非采纳差异所致：各技能组第1周激活率均超过92%，使用强度介于每周11.2次至12.1次会话之间，基本持平，表明低技能员工是从每单位使用中获益更多，而非使用更多。上述结果与知识层级理论的预测一致：生成式人工智能以极低成本供给编码化专长，恰恰替代了区分低技能与高技能员工的知识存量，而高技能员工的稀缺投入（客户判断与原创框架）是模型无法供给的。假设2得到初步支持。</w:t>
      </w:r>
    </w:p>
    <w:p>
      <w:pPr>
        <w:pStyle w:val="TableCaption"/>
      </w:pPr>
      <w:r>
        <w:t xml:space="preserve">表4 基线技能异质性检验结果</w:t>
      </w:r>
    </w:p>
    <w:tbl>
      <w:tblPr>
        <w:tblStyle w:val="Table"/>
        <w:tblW w:type="pct" w:w="5000"/>
        <w:jc w:val="center"/>
        <w:tblLook w:firstRow="1" w:lastRow="0" w:firstColumn="0" w:lastColumn="0" w:noHBand="0" w:noVBand="0" w:val="0020"/>
        <w:tblCaption w:val="表4 基线技能异质性检验结果"/>
      </w:tblPr>
      <w:tblGrid>
        <w:gridCol w:w="1584"/>
        <w:gridCol w:w="1584"/>
        <w:gridCol w:w="1584"/>
        <w:gridCol w:w="1584"/>
        <w:gridCol w:w="1584"/>
      </w:tblGrid>
      <w:tr>
        <w:trPr>
          <w:tblHeader w:val="true"/>
        </w:trPr>
        <w:tc>
          <w:tcPr/>
          <w:p>
            <w:pPr>
              <w:pStyle w:val="Compact"/>
              <w:spacing w:before="20" w:after="20" w:line="240" w:lineRule="auto"/>
              <w:jc w:val="center"/>
            </w:pPr>
            <w:r>
              <w:t xml:space="preserve">技能组别</w:t>
            </w:r>
          </w:p>
        </w:tc>
        <w:tc>
          <w:tcPr/>
          <w:p>
            <w:pPr>
              <w:pStyle w:val="Compact"/>
              <w:spacing w:before="20" w:after="20" w:line="240" w:lineRule="auto"/>
              <w:jc w:val="center"/>
            </w:pPr>
            <w:r>
              <w:t xml:space="preserve">lnTime</w:t>
            </w:r>
          </w:p>
        </w:tc>
        <w:tc>
          <w:tcPr/>
          <w:p>
            <w:pPr>
              <w:pStyle w:val="Compact"/>
              <w:spacing w:before="20" w:after="20" w:line="240" w:lineRule="auto"/>
              <w:jc w:val="center"/>
            </w:pPr>
            <w:r>
              <w:t xml:space="preserve">隐含时间效应</w:t>
            </w:r>
          </w:p>
        </w:tc>
        <w:tc>
          <w:tcPr/>
          <w:p>
            <w:pPr>
              <w:pStyle w:val="Compact"/>
              <w:spacing w:before="20" w:after="20" w:line="240" w:lineRule="auto"/>
              <w:jc w:val="center"/>
            </w:pPr>
            <w:r>
              <w:t xml:space="preserve">Quality（标准差单位）</w:t>
            </w:r>
          </w:p>
        </w:tc>
        <w:tc>
          <w:tcPr/>
          <w:p>
            <w:pPr>
              <w:pStyle w:val="Compact"/>
              <w:spacing w:before="20" w:after="20" w:line="240" w:lineRule="auto"/>
              <w:jc w:val="center"/>
            </w:pPr>
            <w:r>
              <w:t xml:space="preserve">Quality（分）</w:t>
            </w:r>
          </w:p>
        </w:tc>
      </w:tr>
      <w:tr>
        <w:tc>
          <w:tcPr/>
          <w:p>
            <w:pPr>
              <w:pStyle w:val="Compact"/>
              <w:spacing w:before="20" w:after="20" w:line="240" w:lineRule="auto"/>
              <w:jc w:val="center"/>
            </w:pPr>
            <w:r>
              <w:t xml:space="preserve">Q1（最低）</w:t>
            </w:r>
          </w:p>
        </w:tc>
        <w:tc>
          <w:tcPr/>
          <w:p>
            <w:pPr>
              <w:pStyle w:val="Compact"/>
              <w:spacing w:before="20" w:after="20" w:line="240" w:lineRule="auto"/>
              <w:jc w:val="center"/>
            </w:pPr>
            <w:r>
              <w:t xml:space="preserve">−0.433***（0.038）</w:t>
            </w:r>
          </w:p>
        </w:tc>
        <w:tc>
          <w:tcPr/>
          <w:p>
            <w:pPr>
              <w:pStyle w:val="Compact"/>
              <w:spacing w:before="20" w:after="20" w:line="240" w:lineRule="auto"/>
              <w:jc w:val="center"/>
            </w:pPr>
            <w:r>
              <w:t xml:space="preserve">−35.1%</w:t>
            </w:r>
          </w:p>
        </w:tc>
        <w:tc>
          <w:tcPr/>
          <w:p>
            <w:pPr>
              <w:pStyle w:val="Compact"/>
              <w:spacing w:before="20" w:after="20" w:line="240" w:lineRule="auto"/>
              <w:jc w:val="center"/>
            </w:pPr>
            <w:r>
              <w:t xml:space="preserve">+0.47***（0.05）</w:t>
            </w:r>
          </w:p>
        </w:tc>
        <w:tc>
          <w:tcPr/>
          <w:p>
            <w:pPr>
              <w:pStyle w:val="Compact"/>
              <w:spacing w:before="20" w:after="20" w:line="240" w:lineRule="auto"/>
              <w:jc w:val="center"/>
            </w:pPr>
            <w:r>
              <w:t xml:space="preserve">+6.5</w:t>
            </w:r>
          </w:p>
        </w:tc>
      </w:tr>
      <w:tr>
        <w:tc>
          <w:tcPr/>
          <w:p>
            <w:pPr>
              <w:pStyle w:val="Compact"/>
              <w:spacing w:before="20" w:after="20" w:line="240" w:lineRule="auto"/>
              <w:jc w:val="center"/>
            </w:pPr>
            <w:r>
              <w:t xml:space="preserve">Q2</w:t>
            </w:r>
          </w:p>
        </w:tc>
        <w:tc>
          <w:tcPr/>
          <w:p>
            <w:pPr>
              <w:pStyle w:val="Compact"/>
              <w:spacing w:before="20" w:after="20" w:line="240" w:lineRule="auto"/>
              <w:jc w:val="center"/>
            </w:pPr>
            <w:r>
              <w:t xml:space="preserve">−0.318***（0.033）</w:t>
            </w:r>
          </w:p>
        </w:tc>
        <w:tc>
          <w:tcPr/>
          <w:p>
            <w:pPr>
              <w:pStyle w:val="Compact"/>
              <w:spacing w:before="20" w:after="20" w:line="240" w:lineRule="auto"/>
              <w:jc w:val="center"/>
            </w:pPr>
            <w:r>
              <w:t xml:space="preserve">−27.2%</w:t>
            </w:r>
          </w:p>
        </w:tc>
        <w:tc>
          <w:tcPr/>
          <w:p>
            <w:pPr>
              <w:pStyle w:val="Compact"/>
              <w:spacing w:before="20" w:after="20" w:line="240" w:lineRule="auto"/>
              <w:jc w:val="center"/>
            </w:pPr>
            <w:r>
              <w:t xml:space="preserve">+0.33***（0.05）</w:t>
            </w:r>
          </w:p>
        </w:tc>
        <w:tc>
          <w:tcPr/>
          <w:p>
            <w:pPr>
              <w:pStyle w:val="Compact"/>
              <w:spacing w:before="20" w:after="20" w:line="240" w:lineRule="auto"/>
              <w:jc w:val="center"/>
            </w:pPr>
            <w:r>
              <w:t xml:space="preserve">+4.6</w:t>
            </w:r>
          </w:p>
        </w:tc>
      </w:tr>
      <w:tr>
        <w:tc>
          <w:tcPr/>
          <w:p>
            <w:pPr>
              <w:pStyle w:val="Compact"/>
              <w:spacing w:before="20" w:after="20" w:line="240" w:lineRule="auto"/>
              <w:jc w:val="center"/>
            </w:pPr>
            <w:r>
              <w:t xml:space="preserve">Q3</w:t>
            </w:r>
          </w:p>
        </w:tc>
        <w:tc>
          <w:tcPr/>
          <w:p>
            <w:pPr>
              <w:pStyle w:val="Compact"/>
              <w:spacing w:before="20" w:after="20" w:line="240" w:lineRule="auto"/>
              <w:jc w:val="center"/>
            </w:pPr>
            <w:r>
              <w:t xml:space="preserve">−0.221***（0.031）</w:t>
            </w:r>
          </w:p>
        </w:tc>
        <w:tc>
          <w:tcPr/>
          <w:p>
            <w:pPr>
              <w:pStyle w:val="Compact"/>
              <w:spacing w:before="20" w:after="20" w:line="240" w:lineRule="auto"/>
              <w:jc w:val="center"/>
            </w:pPr>
            <w:r>
              <w:t xml:space="preserve">−19.8%</w:t>
            </w:r>
          </w:p>
        </w:tc>
        <w:tc>
          <w:tcPr/>
          <w:p>
            <w:pPr>
              <w:pStyle w:val="Compact"/>
              <w:spacing w:before="20" w:after="20" w:line="240" w:lineRule="auto"/>
              <w:jc w:val="center"/>
            </w:pPr>
            <w:r>
              <w:t xml:space="preserve">+0.19***（0.04）</w:t>
            </w:r>
          </w:p>
        </w:tc>
        <w:tc>
          <w:tcPr/>
          <w:p>
            <w:pPr>
              <w:pStyle w:val="Compact"/>
              <w:spacing w:before="20" w:after="20" w:line="240" w:lineRule="auto"/>
              <w:jc w:val="center"/>
            </w:pPr>
            <w:r>
              <w:t xml:space="preserve">+2.6</w:t>
            </w:r>
          </w:p>
        </w:tc>
      </w:tr>
      <w:tr>
        <w:tc>
          <w:tcPr/>
          <w:p>
            <w:pPr>
              <w:pStyle w:val="Compact"/>
              <w:spacing w:before="20" w:after="20" w:line="240" w:lineRule="auto"/>
              <w:jc w:val="center"/>
            </w:pPr>
            <w:r>
              <w:t xml:space="preserve">Q4（最高）</w:t>
            </w:r>
          </w:p>
        </w:tc>
        <w:tc>
          <w:tcPr/>
          <w:p>
            <w:pPr>
              <w:pStyle w:val="Compact"/>
              <w:spacing w:before="20" w:after="20" w:line="240" w:lineRule="auto"/>
              <w:jc w:val="center"/>
            </w:pPr>
            <w:r>
              <w:t xml:space="preserve">−0.119***（0.029）</w:t>
            </w:r>
          </w:p>
        </w:tc>
        <w:tc>
          <w:tcPr/>
          <w:p>
            <w:pPr>
              <w:pStyle w:val="Compact"/>
              <w:spacing w:before="20" w:after="20" w:line="240" w:lineRule="auto"/>
              <w:jc w:val="center"/>
            </w:pPr>
            <w:r>
              <w:t xml:space="preserve">−11.2%</w:t>
            </w:r>
          </w:p>
        </w:tc>
        <w:tc>
          <w:tcPr/>
          <w:p>
            <w:pPr>
              <w:pStyle w:val="Compact"/>
              <w:spacing w:before="20" w:after="20" w:line="240" w:lineRule="auto"/>
              <w:jc w:val="center"/>
            </w:pPr>
            <w:r>
              <w:t xml:space="preserve">+0.06（0.04）</w:t>
            </w:r>
          </w:p>
        </w:tc>
        <w:tc>
          <w:tcPr/>
          <w:p>
            <w:pPr>
              <w:pStyle w:val="Compact"/>
              <w:spacing w:before="20" w:after="20" w:line="240" w:lineRule="auto"/>
              <w:jc w:val="center"/>
            </w:pPr>
            <w:r>
              <w:t xml:space="preserve">+0.8</w:t>
            </w:r>
          </w:p>
        </w:tc>
      </w:tr>
      <w:tr>
        <w:tc>
          <w:tcPr/>
          <w:p>
            <w:pPr>
              <w:pStyle w:val="Compact"/>
              <w:spacing w:before="20" w:after="20" w:line="240" w:lineRule="auto"/>
              <w:jc w:val="center"/>
            </w:pPr>
            <w:r>
              <w:t xml:space="preserve">Q1=Q4的P值</w:t>
            </w:r>
          </w:p>
        </w:tc>
        <w:tc>
          <w:tcPr/>
          <w:p>
            <w:pPr>
              <w:pStyle w:val="Compact"/>
              <w:spacing w:before="20" w:after="20" w:line="240" w:lineRule="auto"/>
              <w:jc w:val="center"/>
            </w:pPr>
            <w:r>
              <w:t xml:space="preserve">＜0.001</w:t>
            </w:r>
          </w:p>
        </w:tc>
        <w:tc>
          <w:tcPr/>
          <w:p>
            <w:pPr>
              <w:pStyle w:val="Compact"/>
              <w:spacing w:before="20" w:after="20" w:line="240" w:lineRule="auto"/>
              <w:jc w:val="center"/>
            </w:pPr>
            <w:r>
              <w:t xml:space="preserve">—</w:t>
            </w:r>
          </w:p>
        </w:tc>
        <w:tc>
          <w:tcPr/>
          <w:p>
            <w:pPr>
              <w:pStyle w:val="Compact"/>
              <w:spacing w:before="20" w:after="20" w:line="240" w:lineRule="auto"/>
              <w:jc w:val="center"/>
            </w:pPr>
            <w:r>
              <w:t xml:space="preserve">＜0.001</w:t>
            </w:r>
          </w:p>
        </w:tc>
        <w:tc>
          <w:tcPr/>
          <w:p>
            <w:pPr>
              <w:pStyle w:val="Compact"/>
              <w:spacing w:before="20" w:after="20" w:line="240" w:lineRule="auto"/>
              <w:jc w:val="center"/>
            </w:pPr>
            <w:r>
              <w:t xml:space="preserve">—</w:t>
            </w:r>
          </w:p>
        </w:tc>
      </w:tr>
      <w:tr>
        <w:tc>
          <w:tcPr/>
          <w:p>
            <w:pPr>
              <w:pStyle w:val="Compact"/>
              <w:spacing w:before="20" w:after="20" w:line="240" w:lineRule="auto"/>
              <w:jc w:val="center"/>
            </w:pPr>
            <w:r>
              <w:t xml:space="preserve">样本量</w:t>
            </w:r>
          </w:p>
        </w:tc>
        <w:tc>
          <w:tcPr/>
          <w:p>
            <w:pPr>
              <w:pStyle w:val="Compact"/>
              <w:spacing w:before="20" w:after="20" w:line="240" w:lineRule="auto"/>
              <w:jc w:val="center"/>
            </w:pPr>
            <w:r>
              <w:t xml:space="preserve">58674</w:t>
            </w:r>
          </w:p>
        </w:tc>
        <w:tc>
          <w:tcPr/>
          <w:p>
            <w:pPr>
              <w:pStyle w:val="Compact"/>
              <w:spacing w:before="20" w:after="20" w:line="240" w:lineRule="auto"/>
              <w:jc w:val="center"/>
            </w:pPr>
            <w:r>
              <w:t xml:space="preserve">—</w:t>
            </w:r>
          </w:p>
        </w:tc>
        <w:tc>
          <w:tcPr/>
          <w:p>
            <w:pPr>
              <w:pStyle w:val="Compact"/>
              <w:spacing w:before="20" w:after="20" w:line="240" w:lineRule="auto"/>
              <w:jc w:val="center"/>
            </w:pPr>
            <w:r>
              <w:t xml:space="preserve">58674</w:t>
            </w:r>
          </w:p>
        </w:tc>
        <w:tc>
          <w:tcPr/>
          <w:p>
            <w:pPr>
              <w:pStyle w:val="Compact"/>
              <w:spacing w:before="20" w:after="20" w:line="240" w:lineRule="auto"/>
              <w:jc w:val="center"/>
            </w:pPr>
            <w:r>
              <w:t xml:space="preserve">—</w:t>
            </w:r>
          </w:p>
        </w:tc>
      </w:tr>
    </w:tbl>
    <w:p>
      <w:pPr>
        <w:pStyle w:val="TableNote"/>
      </w:pPr>
      <w:r>
        <w:t xml:space="preserve">注：技能四分位组按2.2.3节所述实验前复合技能指数划分；质量效应按控制组标准差单位（1个标准差=13.9分）报告并折算为分值；各组时间效应系数按任务量加权平均后等于表2的合并估计值−0.278。</w:t>
      </w:r>
    </w:p>
    <w:bookmarkEnd w:id="33"/>
    <w:bookmarkStart w:id="37" w:name="分布效应与绩效收敛"/>
    <w:p>
      <w:pPr>
        <w:pStyle w:val="Heading2"/>
      </w:pPr>
      <w:r>
        <w:t xml:space="preserve">3.4 分布效应与绩效收敛</w:t>
      </w:r>
    </w:p>
    <w:p>
      <w:pPr>
        <w:pStyle w:val="FirstParagraph"/>
      </w:pPr>
      <w:r>
        <w:t xml:space="preserve">技能异质性结果意味着生成式人工智能会压缩绩效分布，表5与图1从任务质量分布的视角对此予以直接刻画。分位数处理效应在质量分布的第10百分位为+6.8分（1%的水平上显著），随分位点上升而单调下降，至第90百分位仅为+0.7分且不再显著。生成式人工智能显著抬升了质量分布的下尾，而对上尾几乎没有影响，即模型能够稳定供给结构完整、要素齐全、行文无误的“质量底板”，却难以供给区分卓越产出的洞见。</w:t>
      </w:r>
    </w:p>
    <w:p>
      <w:pPr>
        <w:pStyle w:val="TableCaption"/>
      </w:pPr>
      <w:r>
        <w:t xml:space="preserve">表5 产出质量的分位数处理效应估计结果</w:t>
      </w:r>
    </w:p>
    <w:tbl>
      <w:tblPr>
        <w:tblStyle w:val="Table"/>
        <w:tblW w:type="pct" w:w="5000"/>
        <w:jc w:val="center"/>
        <w:tblLook w:firstRow="1" w:lastRow="0" w:firstColumn="0" w:lastColumn="0" w:noHBand="0" w:noVBand="0" w:val="0020"/>
        <w:tblCaption w:val="表5 产出质量的分位数处理效应估计结果"/>
      </w:tblPr>
      <w:tblGrid>
        <w:gridCol w:w="1320"/>
        <w:gridCol w:w="1320"/>
        <w:gridCol w:w="1320"/>
        <w:gridCol w:w="1320"/>
        <w:gridCol w:w="1320"/>
        <w:gridCol w:w="1320"/>
      </w:tblGrid>
      <w:tr>
        <w:trPr>
          <w:tblHeader w:val="true"/>
        </w:trPr>
        <w:tc>
          <w:tcPr/>
          <w:p>
            <w:pPr>
              <w:pStyle w:val="Compact"/>
              <w:spacing w:before="20" w:after="20" w:line="240" w:lineRule="auto"/>
              <w:jc w:val="center"/>
            </w:pPr>
            <w:r>
              <w:t xml:space="preserve">分位点</w:t>
            </w:r>
          </w:p>
        </w:tc>
        <w:tc>
          <w:tcPr/>
          <w:p>
            <w:pPr>
              <w:pStyle w:val="Compact"/>
              <w:spacing w:before="20" w:after="20" w:line="240" w:lineRule="auto"/>
              <w:jc w:val="center"/>
            </w:pPr>
            <w:r>
              <w:t xml:space="preserve">τ=0.10</w:t>
            </w:r>
          </w:p>
        </w:tc>
        <w:tc>
          <w:tcPr/>
          <w:p>
            <w:pPr>
              <w:pStyle w:val="Compact"/>
              <w:spacing w:before="20" w:after="20" w:line="240" w:lineRule="auto"/>
              <w:jc w:val="center"/>
            </w:pPr>
            <w:r>
              <w:t xml:space="preserve">τ=0.25</w:t>
            </w:r>
          </w:p>
        </w:tc>
        <w:tc>
          <w:tcPr/>
          <w:p>
            <w:pPr>
              <w:pStyle w:val="Compact"/>
              <w:spacing w:before="20" w:after="20" w:line="240" w:lineRule="auto"/>
              <w:jc w:val="center"/>
            </w:pPr>
            <w:r>
              <w:t xml:space="preserve">τ=0.50</w:t>
            </w:r>
          </w:p>
        </w:tc>
        <w:tc>
          <w:tcPr/>
          <w:p>
            <w:pPr>
              <w:pStyle w:val="Compact"/>
              <w:spacing w:before="20" w:after="20" w:line="240" w:lineRule="auto"/>
              <w:jc w:val="center"/>
            </w:pPr>
            <w:r>
              <w:t xml:space="preserve">τ=0.75</w:t>
            </w:r>
          </w:p>
        </w:tc>
        <w:tc>
          <w:tcPr/>
          <w:p>
            <w:pPr>
              <w:pStyle w:val="Compact"/>
              <w:spacing w:before="20" w:after="20" w:line="240" w:lineRule="auto"/>
              <w:jc w:val="center"/>
            </w:pPr>
            <w:r>
              <w:t xml:space="preserve">τ=0.90</w:t>
            </w:r>
          </w:p>
        </w:tc>
      </w:tr>
      <w:tr>
        <w:tc>
          <w:tcPr/>
          <w:p>
            <w:pPr>
              <w:pStyle w:val="Compact"/>
              <w:spacing w:before="20" w:after="20" w:line="240" w:lineRule="auto"/>
              <w:jc w:val="center"/>
            </w:pPr>
            <w:r>
              <w:t xml:space="preserve">QTE（分）</w:t>
            </w:r>
          </w:p>
        </w:tc>
        <w:tc>
          <w:tcPr/>
          <w:p>
            <w:pPr>
              <w:pStyle w:val="Compact"/>
              <w:spacing w:before="20" w:after="20" w:line="240" w:lineRule="auto"/>
              <w:jc w:val="center"/>
            </w:pPr>
            <w:r>
              <w:t xml:space="preserve">+6.8***（1.1）</w:t>
            </w:r>
          </w:p>
        </w:tc>
        <w:tc>
          <w:tcPr/>
          <w:p>
            <w:pPr>
              <w:pStyle w:val="Compact"/>
              <w:spacing w:before="20" w:after="20" w:line="240" w:lineRule="auto"/>
              <w:jc w:val="center"/>
            </w:pPr>
            <w:r>
              <w:t xml:space="preserve">+5.6***（0.9）</w:t>
            </w:r>
          </w:p>
        </w:tc>
        <w:tc>
          <w:tcPr/>
          <w:p>
            <w:pPr>
              <w:pStyle w:val="Compact"/>
              <w:spacing w:before="20" w:after="20" w:line="240" w:lineRule="auto"/>
              <w:jc w:val="center"/>
            </w:pPr>
            <w:r>
              <w:t xml:space="preserve">+3.8***（0.8）</w:t>
            </w:r>
          </w:p>
        </w:tc>
        <w:tc>
          <w:tcPr/>
          <w:p>
            <w:pPr>
              <w:pStyle w:val="Compact"/>
              <w:spacing w:before="20" w:after="20" w:line="240" w:lineRule="auto"/>
              <w:jc w:val="center"/>
            </w:pPr>
            <w:r>
              <w:t xml:space="preserve">+2.1**（0.9）</w:t>
            </w:r>
          </w:p>
        </w:tc>
        <w:tc>
          <w:tcPr/>
          <w:p>
            <w:pPr>
              <w:pStyle w:val="Compact"/>
              <w:spacing w:before="20" w:after="20" w:line="240" w:lineRule="auto"/>
              <w:jc w:val="center"/>
            </w:pPr>
            <w:r>
              <w:t xml:space="preserve">+0.7（1.0）</w:t>
            </w:r>
          </w:p>
        </w:tc>
      </w:tr>
    </w:tbl>
    <w:p>
      <w:pPr>
        <w:pStyle w:val="TableNote"/>
      </w:pPr>
      <w:r>
        <w:t xml:space="preserve">注：分位数处理效应按模型（4）在任务类型×周单元内计算并以基线权重加总；括号内为基于员工层面区组自助法（1000次重复）的标准误，本表显著性依据自助法百分位区间判定。</w:t>
      </w:r>
    </w:p>
    <w:p>
      <w:pPr>
        <w:pStyle w:val="CaptionedFigure"/>
      </w:pPr>
      <w:r>
        <w:drawing>
          <wp:inline>
            <wp:extent cx="5334000" cy="2743200"/>
            <wp:effectExtent b="0" l="0" r="0" t="0"/>
            <wp:docPr descr="图1 产出质量分位数处理效应的分布特征" title="" id="35" name="Picture"/>
            <a:graphic>
              <a:graphicData uri="http://schemas.openxmlformats.org/drawingml/2006/picture">
                <pic:pic>
                  <pic:nvPicPr>
                    <pic:cNvPr descr="fig_qte.png" id="36" name="Picture"/>
                    <pic:cNvPicPr>
                      <a:picLocks noChangeArrowheads="1" noChangeAspect="1"/>
                    </pic:cNvPicPr>
                  </pic:nvPicPr>
                  <pic:blipFill>
                    <a:blip r:embed="rId34"/>
                    <a:stretch>
                      <a:fillRect/>
                    </a:stretch>
                  </pic:blipFill>
                  <pic:spPr bwMode="auto">
                    <a:xfrm>
                      <a:off x="0" y="0"/>
                      <a:ext cx="5334000" cy="2743200"/>
                    </a:xfrm>
                    <a:prstGeom prst="rect">
                      <a:avLst/>
                    </a:prstGeom>
                    <a:noFill/>
                    <a:ln w="9525">
                      <a:noFill/>
                      <a:headEnd/>
                      <a:tailEnd/>
                    </a:ln>
                  </pic:spPr>
                </pic:pic>
              </a:graphicData>
            </a:graphic>
          </wp:inline>
        </w:drawing>
      </w:r>
    </w:p>
    <w:p>
      <w:pPr>
        <w:pStyle w:val="ImageCaption"/>
      </w:pPr>
      <w:r>
        <w:t xml:space="preserve">图1 产出质量分位数处理效应的分布特征</w:t>
      </w:r>
    </w:p>
    <w:p>
      <w:pPr>
        <w:pStyle w:val="BodyText"/>
      </w:pPr>
      <w:r>
        <w:t xml:space="preserve">进一步从员工层面考察绩效离散度的变化，结果见表6。控制组中第90百分位员工与第10百分位员工的平均质量差距为18.3分，处理组中该差距收窄至13.1分，降幅达28.4%；员工内部任务质量的平均标准差由8.2分降至6.6分，降幅为19.6%。这表明绩效收敛在员工间与员工内两个边际上同时发生：生成式人工智能既拉近了弱者与强者的距离，也使每位员工的产出在任务间更加稳定。对于以质量一致性立身的专业服务企业而言，员工内可靠性的提升与水平效应同等重要。结合表4至表6的结果，假设2得到充分支持。值得注意的是，绩效收敛在企业内部削弱了产出质量作为潜在技能信号的甄别功能，其对晋升与人员配置决策的含义将在结论部分讨论。</w:t>
      </w:r>
    </w:p>
    <w:p>
      <w:pPr>
        <w:pStyle w:val="TableCaption"/>
      </w:pPr>
      <w:r>
        <w:t xml:space="preserve">表6 员工层面绩效离散度的变化</w:t>
      </w:r>
    </w:p>
    <w:tbl>
      <w:tblPr>
        <w:tblStyle w:val="Table"/>
        <w:tblW w:type="auto" w:w="0"/>
        <w:jc w:val="center"/>
        <w:tblLook w:firstRow="1" w:lastRow="0" w:firstColumn="0" w:lastColumn="0" w:noHBand="0" w:noVBand="0" w:val="0020"/>
        <w:tblCaption w:val="表6 员工层面绩效离散度的变化"/>
      </w:tblPr>
      <w:tblGrid>
        <w:gridCol w:w="1980"/>
        <w:gridCol w:w="1980"/>
        <w:gridCol w:w="1980"/>
        <w:gridCol w:w="1980"/>
      </w:tblGrid>
      <w:tr>
        <w:trPr>
          <w:tblHeader w:val="true"/>
        </w:trPr>
        <w:tc>
          <w:tcPr/>
          <w:p>
            <w:pPr>
              <w:pStyle w:val="Compact"/>
              <w:spacing w:before="20" w:after="20" w:line="240" w:lineRule="auto"/>
              <w:jc w:val="center"/>
            </w:pPr>
            <w:r>
              <w:t xml:space="preserve">指标</w:t>
            </w:r>
          </w:p>
        </w:tc>
        <w:tc>
          <w:tcPr/>
          <w:p>
            <w:pPr>
              <w:pStyle w:val="Compact"/>
              <w:spacing w:before="20" w:after="20" w:line="240" w:lineRule="auto"/>
              <w:jc w:val="center"/>
            </w:pPr>
            <w:r>
              <w:t xml:space="preserve">控制组</w:t>
            </w:r>
          </w:p>
        </w:tc>
        <w:tc>
          <w:tcPr/>
          <w:p>
            <w:pPr>
              <w:pStyle w:val="Compact"/>
              <w:spacing w:before="20" w:after="20" w:line="240" w:lineRule="auto"/>
              <w:jc w:val="center"/>
            </w:pPr>
            <w:r>
              <w:t xml:space="preserve">处理组</w:t>
            </w:r>
          </w:p>
        </w:tc>
        <w:tc>
          <w:tcPr/>
          <w:p>
            <w:pPr>
              <w:pStyle w:val="Compact"/>
              <w:spacing w:before="20" w:after="20" w:line="240" w:lineRule="auto"/>
              <w:jc w:val="center"/>
            </w:pPr>
            <w:r>
              <w:t xml:space="preserve">变化幅度</w:t>
            </w:r>
          </w:p>
        </w:tc>
      </w:tr>
      <w:tr>
        <w:tc>
          <w:tcPr/>
          <w:p>
            <w:pPr>
              <w:pStyle w:val="Compact"/>
              <w:spacing w:before="20" w:after="20" w:line="240" w:lineRule="auto"/>
              <w:jc w:val="center"/>
            </w:pPr>
            <w:r>
              <w:t xml:space="preserve">员工平均质量的90/10差距（分）</w:t>
            </w:r>
          </w:p>
        </w:tc>
        <w:tc>
          <w:tcPr/>
          <w:p>
            <w:pPr>
              <w:pStyle w:val="Compact"/>
              <w:spacing w:before="20" w:after="20" w:line="240" w:lineRule="auto"/>
              <w:jc w:val="center"/>
            </w:pPr>
            <w:r>
              <w:t xml:space="preserve">18.3</w:t>
            </w:r>
          </w:p>
        </w:tc>
        <w:tc>
          <w:tcPr/>
          <w:p>
            <w:pPr>
              <w:pStyle w:val="Compact"/>
              <w:spacing w:before="20" w:after="20" w:line="240" w:lineRule="auto"/>
              <w:jc w:val="center"/>
            </w:pPr>
            <w:r>
              <w:t xml:space="preserve">13.1</w:t>
            </w:r>
          </w:p>
        </w:tc>
        <w:tc>
          <w:tcPr/>
          <w:p>
            <w:pPr>
              <w:pStyle w:val="Compact"/>
              <w:spacing w:before="20" w:after="20" w:line="240" w:lineRule="auto"/>
              <w:jc w:val="center"/>
            </w:pPr>
            <w:r>
              <w:t xml:space="preserve">−28.4%</w:t>
            </w:r>
          </w:p>
        </w:tc>
      </w:tr>
      <w:tr>
        <w:tc>
          <w:tcPr/>
          <w:p>
            <w:pPr>
              <w:pStyle w:val="Compact"/>
              <w:spacing w:before="20" w:after="20" w:line="240" w:lineRule="auto"/>
              <w:jc w:val="center"/>
            </w:pPr>
            <w:r>
              <w:t xml:space="preserve">员工内任务质量标准差（分）</w:t>
            </w:r>
          </w:p>
        </w:tc>
        <w:tc>
          <w:tcPr/>
          <w:p>
            <w:pPr>
              <w:pStyle w:val="Compact"/>
              <w:spacing w:before="20" w:after="20" w:line="240" w:lineRule="auto"/>
              <w:jc w:val="center"/>
            </w:pPr>
            <w:r>
              <w:t xml:space="preserve">8.2</w:t>
            </w:r>
          </w:p>
        </w:tc>
        <w:tc>
          <w:tcPr/>
          <w:p>
            <w:pPr>
              <w:pStyle w:val="Compact"/>
              <w:spacing w:before="20" w:after="20" w:line="240" w:lineRule="auto"/>
              <w:jc w:val="center"/>
            </w:pPr>
            <w:r>
              <w:t xml:space="preserve">6.6</w:t>
            </w:r>
          </w:p>
        </w:tc>
        <w:tc>
          <w:tcPr/>
          <w:p>
            <w:pPr>
              <w:pStyle w:val="Compact"/>
              <w:spacing w:before="20" w:after="20" w:line="240" w:lineRule="auto"/>
              <w:jc w:val="center"/>
            </w:pPr>
            <w:r>
              <w:t xml:space="preserve">−19.6%</w:t>
            </w:r>
          </w:p>
        </w:tc>
      </w:tr>
    </w:tbl>
    <w:bookmarkEnd w:id="37"/>
    <w:bookmarkStart w:id="41" w:name="动态效应分析"/>
    <w:p>
      <w:pPr>
        <w:pStyle w:val="Heading2"/>
      </w:pPr>
      <w:r>
        <w:t xml:space="preserve">3.5 动态效应分析</w:t>
      </w:r>
    </w:p>
    <w:p>
      <w:pPr>
        <w:pStyle w:val="FirstParagraph"/>
      </w:pPr>
      <w:r>
        <w:t xml:space="preserve">图2绘制了模型（3）中对数任务完成时间的事件研究系数。可以看出：第一，实验启动前各周系数紧密围绕零值波动（均处于±0.015以内，联合不显著，P=0.62），证实随机化产生了平行的事前行为，设计有效。第二，处理效应在第1周仅为−0.09，此后随员工逐步掌握委托对象选择与提示词构造而稳步加深，至第10周达到−0.31。第三，自第10周起至第24周，效应稳定于−0.31±0.02的平台期，历经业务旺季高压工作负荷而无衰减迹象。新奇效应会呈现“启动即峰值、随注意力消退而衰减”的相反轨迹，因而可以排除；渐进增强并长期持续的轨迹与通用目的技术的协同发明逻辑相符，即助手的回报有赖于员工在使用中积累互补性“提示与委托资本”。调查证据亦佐证了这一解读：第0周至第12周，报告已形成稳定任务级委托策略的处理组员工占比由18%升至71%，且第12周的委托策略成熟度测度与员工其后的时间节约正相关（相关系数为0.36，属探索性描述证据）。分技能组估计显示，低技能组约在第8周即达到平台期，而高技能组收敛更慢、平台更浅，其委托策略也更多表现为高度选择性的精准调用。假设3得到支持。对管理实践而言，平台期时点意味着以4—6周为期的试点评估将低估稳态收益约一半。</w:t>
      </w:r>
    </w:p>
    <w:p>
      <w:pPr>
        <w:pStyle w:val="CaptionedFigure"/>
      </w:pPr>
      <w:r>
        <w:drawing>
          <wp:inline>
            <wp:extent cx="5334000" cy="2743200"/>
            <wp:effectExtent b="0" l="0" r="0" t="0"/>
            <wp:docPr descr="图2 处理效应的动态演变（事件研究法）" title="" id="39" name="Picture"/>
            <a:graphic>
              <a:graphicData uri="http://schemas.openxmlformats.org/drawingml/2006/picture">
                <pic:pic>
                  <pic:nvPicPr>
                    <pic:cNvPr descr="fig_event.png" id="40" name="Picture"/>
                    <pic:cNvPicPr>
                      <a:picLocks noChangeArrowheads="1" noChangeAspect="1"/>
                    </pic:cNvPicPr>
                  </pic:nvPicPr>
                  <pic:blipFill>
                    <a:blip r:embed="rId38"/>
                    <a:stretch>
                      <a:fillRect/>
                    </a:stretch>
                  </pic:blipFill>
                  <pic:spPr bwMode="auto">
                    <a:xfrm>
                      <a:off x="0" y="0"/>
                      <a:ext cx="5334000" cy="2743200"/>
                    </a:xfrm>
                    <a:prstGeom prst="rect">
                      <a:avLst/>
                    </a:prstGeom>
                    <a:noFill/>
                    <a:ln w="9525">
                      <a:noFill/>
                      <a:headEnd/>
                      <a:tailEnd/>
                    </a:ln>
                  </pic:spPr>
                </pic:pic>
              </a:graphicData>
            </a:graphic>
          </wp:inline>
        </w:drawing>
      </w:r>
    </w:p>
    <w:p>
      <w:pPr>
        <w:pStyle w:val="ImageCaption"/>
      </w:pPr>
      <w:r>
        <w:t xml:space="preserve">图2 处理效应的动态演变（事件研究法）</w:t>
      </w:r>
    </w:p>
    <w:bookmarkEnd w:id="41"/>
    <w:bookmarkEnd w:id="42"/>
    <w:bookmarkStart w:id="46" w:name="进一步分析能力边界核验行为与机制分解"/>
    <w:p>
      <w:pPr>
        <w:pStyle w:val="Heading1"/>
      </w:pPr>
      <w:r>
        <w:t xml:space="preserve">4 进一步分析：能力边界、核验行为与机制分解</w:t>
      </w:r>
    </w:p>
    <w:bookmarkStart w:id="43" w:name="能力边界内外的处理效应"/>
    <w:p>
      <w:pPr>
        <w:pStyle w:val="Heading2"/>
      </w:pPr>
      <w:r>
        <w:t xml:space="preserve">4.1 能力边界内外的处理效应</w:t>
      </w:r>
    </w:p>
    <w:p>
      <w:pPr>
        <w:pStyle w:val="FirstParagraph"/>
      </w:pPr>
      <w:r>
        <w:t xml:space="preserve">前文结果混合了模型胜任与不胜任的任务，本部分利用事前边界分类考察处理效应的边界差异，表7报告了分组均值与模型（5）的估计结果。在边界内任务上，处理组准确率为86.7%，较控制组的84.6%高出2.1个百分点；在边界外任务上，结果发生明显逆转：控制组准确率为71.2%，处理组仅为56.4%，原始差距达−14.8个百分点。回归估计显示，处理项系数</w:t>
      </w:r>
      <m:oMath>
        <m:sSub>
          <m:e>
            <m:r>
              <m:t>β</m:t>
            </m:r>
          </m:e>
          <m:sub>
            <m:r>
              <m:t>1</m:t>
            </m:r>
          </m:sub>
        </m:sSub>
      </m:oMath>
      <w:r>
        <w:t xml:space="preserve">为2.1个百分点（5%的水平上显著），交互项系数</w:t>
      </w:r>
      <m:oMath>
        <m:sSub>
          <m:e>
            <m:r>
              <m:t>β</m:t>
            </m:r>
          </m:e>
          <m:sub>
            <m:r>
              <m:t>3</m:t>
            </m:r>
          </m:sub>
        </m:sSub>
      </m:oMath>
      <w:r>
        <w:t xml:space="preserve">为−14.8个百分点（1%的水平上显著），边界外总效应</w:t>
      </w:r>
      <m:oMath>
        <m:sSub>
          <m:e>
            <m:r>
              <m:t>β</m:t>
            </m:r>
          </m:e>
          <m:sub>
            <m:r>
              <m:t>1</m:t>
            </m:r>
          </m:sub>
        </m:sSub>
        <m:r>
          <m:rPr>
            <m:sty m:val="p"/>
          </m:rPr>
          <m:t>+</m:t>
        </m:r>
        <m:sSub>
          <m:e>
            <m:r>
              <m:t>β</m:t>
            </m:r>
          </m:e>
          <m:sub>
            <m:r>
              <m:t>3</m:t>
            </m:r>
          </m:sub>
        </m:sSub>
      </m:oMath>
      <w:r>
        <w:t xml:space="preserve">为−12.7个百分点。经协变量与固定效应调整后的总效应在绝对值上略小于原始差距，原因在于处理组吞吐量更高，在固定效应所吸收的后期周次中完成了略多的高难度边界外任务类型。此外，边界外任务占比在两组间保持平衡（处理组8.4%，控制组8.6%，P=0.55），任务选择效应可以排除；该交互效应在仅使用双盲评分子样本时为−15.3个百分点（标准误3.2），保持稳健。值得注意的是，处理组在边界外任务上的时间节约（21.7%）与边界内几乎同样可观：模型在其不可靠之处依旧流畅，速度收益与质量风险并存，构成了主要的质量风险来源。对处理组400项低准确率边界外任务的定性复核显示，主导性错误形态是“貌似合理的替代”：当所需输入超出模型可得范围时，模型以通用行业基准或教科书假设顶替，且与其正确论断同样流畅，员工遂将该替代带入交付物；公然编造来源的情形不足复核错误的4%，能够通过内部评审的主要是未加标注的替代性假设，而非凭空编造的事实。按样本企业历史数据中建议差错率与项目续约率之间的关系测算，边界外任务上如此规模的准确率损失即便只发生在8.5%的任务上，也足以抵消边界内所创造价值的相当部分。假设4a得到验证。</w:t>
      </w:r>
    </w:p>
    <w:p>
      <w:pPr>
        <w:pStyle w:val="TableCaption"/>
      </w:pPr>
      <w:r>
        <w:t xml:space="preserve">表7 能力边界效应检验结果</w:t>
      </w:r>
    </w:p>
    <w:tbl>
      <w:tblPr>
        <w:tblStyle w:val="Table"/>
        <w:tblW w:type="pct" w:w="5000"/>
        <w:jc w:val="center"/>
        <w:tblLook w:firstRow="1" w:lastRow="0" w:firstColumn="0" w:lastColumn="0" w:noHBand="0" w:noVBand="0" w:val="0020"/>
        <w:tblCaption w:val="表7 能力边界效应检验结果"/>
      </w:tblPr>
      <w:tblGrid>
        <w:gridCol w:w="1980"/>
        <w:gridCol w:w="1980"/>
        <w:gridCol w:w="1980"/>
        <w:gridCol w:w="1980"/>
      </w:tblGrid>
      <w:tr>
        <w:trPr>
          <w:tblHeader w:val="true"/>
        </w:trPr>
        <w:tc>
          <w:tcPr/>
          <w:p>
            <w:pPr>
              <w:pStyle w:val="Compact"/>
              <w:spacing w:before="20" w:after="20" w:line="240" w:lineRule="auto"/>
              <w:jc w:val="center"/>
            </w:pPr>
            <w:r>
              <w:t xml:space="preserve">面板A：分组均值</w:t>
            </w:r>
          </w:p>
        </w:tc>
        <w:tc>
          <w:tcPr/>
          <w:p>
            <w:pPr>
              <w:pStyle w:val="Compact"/>
              <w:spacing w:before="20" w:after="20" w:line="240" w:lineRule="auto"/>
              <w:jc w:val="center"/>
            </w:pPr>
            <w:r>
              <w:t xml:space="preserve">控制组准确率（%）</w:t>
            </w:r>
          </w:p>
        </w:tc>
        <w:tc>
          <w:tcPr/>
          <w:p>
            <w:pPr>
              <w:pStyle w:val="Compact"/>
              <w:spacing w:before="20" w:after="20" w:line="240" w:lineRule="auto"/>
              <w:jc w:val="center"/>
            </w:pPr>
            <w:r>
              <w:t xml:space="preserve">处理组准确率（%）</w:t>
            </w:r>
          </w:p>
        </w:tc>
        <w:tc>
          <w:tcPr/>
          <w:p>
            <w:pPr>
              <w:pStyle w:val="Compact"/>
              <w:spacing w:before="20" w:after="20" w:line="240" w:lineRule="auto"/>
              <w:jc w:val="center"/>
            </w:pPr>
            <w:r>
              <w:t xml:space="preserve">组间差异（百分点）</w:t>
            </w:r>
          </w:p>
        </w:tc>
      </w:tr>
      <w:tr>
        <w:tc>
          <w:tcPr/>
          <w:p>
            <w:pPr>
              <w:pStyle w:val="Compact"/>
              <w:spacing w:before="20" w:after="20" w:line="240" w:lineRule="auto"/>
              <w:jc w:val="center"/>
            </w:pPr>
            <w:r>
              <w:t xml:space="preserve">边界内任务（占91.5%）</w:t>
            </w:r>
          </w:p>
        </w:tc>
        <w:tc>
          <w:tcPr/>
          <w:p>
            <w:pPr>
              <w:pStyle w:val="Compact"/>
              <w:spacing w:before="20" w:after="20" w:line="240" w:lineRule="auto"/>
              <w:jc w:val="center"/>
            </w:pPr>
            <w:r>
              <w:t xml:space="preserve">84.6</w:t>
            </w:r>
          </w:p>
        </w:tc>
        <w:tc>
          <w:tcPr/>
          <w:p>
            <w:pPr>
              <w:pStyle w:val="Compact"/>
              <w:spacing w:before="20" w:after="20" w:line="240" w:lineRule="auto"/>
              <w:jc w:val="center"/>
            </w:pPr>
            <w:r>
              <w:t xml:space="preserve">86.7</w:t>
            </w:r>
          </w:p>
        </w:tc>
        <w:tc>
          <w:tcPr/>
          <w:p>
            <w:pPr>
              <w:pStyle w:val="Compact"/>
              <w:spacing w:before="20" w:after="20" w:line="240" w:lineRule="auto"/>
              <w:jc w:val="center"/>
            </w:pPr>
            <w:r>
              <w:t xml:space="preserve">+2.1**</w:t>
            </w:r>
          </w:p>
        </w:tc>
      </w:tr>
      <w:tr>
        <w:tc>
          <w:tcPr/>
          <w:p>
            <w:pPr>
              <w:pStyle w:val="Compact"/>
              <w:spacing w:before="20" w:after="20" w:line="240" w:lineRule="auto"/>
              <w:jc w:val="center"/>
            </w:pPr>
            <w:r>
              <w:t xml:space="preserve">边界外任务（占8.5%）</w:t>
            </w:r>
          </w:p>
        </w:tc>
        <w:tc>
          <w:tcPr/>
          <w:p>
            <w:pPr>
              <w:pStyle w:val="Compact"/>
              <w:spacing w:before="20" w:after="20" w:line="240" w:lineRule="auto"/>
              <w:jc w:val="center"/>
            </w:pPr>
            <w:r>
              <w:t xml:space="preserve">71.2</w:t>
            </w:r>
          </w:p>
        </w:tc>
        <w:tc>
          <w:tcPr/>
          <w:p>
            <w:pPr>
              <w:pStyle w:val="Compact"/>
              <w:spacing w:before="20" w:after="20" w:line="240" w:lineRule="auto"/>
              <w:jc w:val="center"/>
            </w:pPr>
            <w:r>
              <w:t xml:space="preserve">56.4</w:t>
            </w:r>
          </w:p>
        </w:tc>
        <w:tc>
          <w:tcPr/>
          <w:p>
            <w:pPr>
              <w:pStyle w:val="Compact"/>
              <w:spacing w:before="20" w:after="20" w:line="240" w:lineRule="auto"/>
              <w:jc w:val="center"/>
            </w:pPr>
            <w:r>
              <w:t xml:space="preserve">−14.8***</w:t>
            </w:r>
          </w:p>
        </w:tc>
      </w:tr>
      <w:tr>
        <w:tc>
          <w:tcPr/>
          <w:p>
            <w:pPr>
              <w:pStyle w:val="Compact"/>
              <w:spacing w:before="20" w:after="20" w:line="240" w:lineRule="auto"/>
              <w:jc w:val="center"/>
            </w:pPr>
            <w:r>
              <w:t xml:space="preserve">面板B：模型（5）估计</w:t>
            </w:r>
          </w:p>
        </w:tc>
        <w:tc>
          <w:tcPr/>
          <w:p>
            <w:pPr>
              <w:pStyle w:val="Compact"/>
              <w:spacing w:before="20" w:after="20" w:line="240" w:lineRule="auto"/>
              <w:jc w:val="center"/>
            </w:pPr>
            <w:r>
              <w:t xml:space="preserve">系数</w:t>
            </w:r>
          </w:p>
        </w:tc>
        <w:tc>
          <w:tcPr/>
          <w:p>
            <w:pPr>
              <w:pStyle w:val="Compact"/>
              <w:spacing w:before="20" w:after="20" w:line="240" w:lineRule="auto"/>
              <w:jc w:val="center"/>
            </w:pPr>
            <w:r>
              <w:t xml:space="preserve">标准误</w:t>
            </w:r>
          </w:p>
        </w:tc>
        <w:tc>
          <w:tcPr/>
          <w:p>
            <w:pPr>
              <w:pStyle w:val="Compact"/>
              <w:spacing w:before="20" w:after="20" w:line="240" w:lineRule="auto"/>
              <w:jc w:val="center"/>
            </w:pPr>
            <w:r>
              <w:t xml:space="preserve">—</w:t>
            </w:r>
          </w:p>
        </w:tc>
      </w:tr>
      <w:tr>
        <w:tc>
          <w:tcPr/>
          <w:p>
            <w:pPr>
              <w:pStyle w:val="Compact"/>
              <w:spacing w:before="20" w:after="20" w:line="240" w:lineRule="auto"/>
              <w:jc w:val="center"/>
            </w:pPr>
            <w:r>
              <w:t xml:space="preserve">Treat（β</w:t>
            </w:r>
            <w:r>
              <w:rPr>
                <w:vertAlign w:val="subscript"/>
              </w:rPr>
              <w:t xml:space="preserve">1</w:t>
            </w:r>
            <w:r>
              <w:t xml:space="preserve">）</w:t>
            </w:r>
          </w:p>
        </w:tc>
        <w:tc>
          <w:tcPr/>
          <w:p>
            <w:pPr>
              <w:pStyle w:val="Compact"/>
              <w:spacing w:before="20" w:after="20" w:line="240" w:lineRule="auto"/>
              <w:jc w:val="center"/>
            </w:pPr>
            <w:r>
              <w:t xml:space="preserve">2.1**</w:t>
            </w:r>
          </w:p>
        </w:tc>
        <w:tc>
          <w:tcPr/>
          <w:p>
            <w:pPr>
              <w:pStyle w:val="Compact"/>
              <w:spacing w:before="20" w:after="20" w:line="240" w:lineRule="auto"/>
              <w:jc w:val="center"/>
            </w:pPr>
            <w:r>
              <w:t xml:space="preserve">（0.8）</w:t>
            </w:r>
          </w:p>
        </w:tc>
        <w:tc>
          <w:tcPr/>
          <w:p>
            <w:pPr>
              <w:pStyle w:val="Compact"/>
              <w:spacing w:before="20" w:after="20" w:line="240" w:lineRule="auto"/>
              <w:jc w:val="center"/>
            </w:pPr>
            <w:r>
              <w:t xml:space="preserve">—</w:t>
            </w:r>
          </w:p>
        </w:tc>
      </w:tr>
      <w:tr>
        <w:tc>
          <w:tcPr/>
          <w:p>
            <w:pPr>
              <w:pStyle w:val="Compact"/>
              <w:spacing w:before="20" w:after="20" w:line="240" w:lineRule="auto"/>
              <w:jc w:val="center"/>
            </w:pPr>
            <w:r>
              <w:t xml:space="preserve">Beyond（β</w:t>
            </w:r>
            <w:r>
              <w:rPr>
                <w:vertAlign w:val="subscript"/>
              </w:rPr>
              <w:t xml:space="preserve">2</w:t>
            </w:r>
            <w:r>
              <w:t xml:space="preserve">）</w:t>
            </w:r>
          </w:p>
        </w:tc>
        <w:tc>
          <w:tcPr/>
          <w:p>
            <w:pPr>
              <w:pStyle w:val="Compact"/>
              <w:spacing w:before="20" w:after="20" w:line="240" w:lineRule="auto"/>
              <w:jc w:val="center"/>
            </w:pPr>
            <w:r>
              <w:t xml:space="preserve">−13.4***</w:t>
            </w:r>
          </w:p>
        </w:tc>
        <w:tc>
          <w:tcPr/>
          <w:p>
            <w:pPr>
              <w:pStyle w:val="Compact"/>
              <w:spacing w:before="20" w:after="20" w:line="240" w:lineRule="auto"/>
              <w:jc w:val="center"/>
            </w:pPr>
            <w:r>
              <w:t xml:space="preserve">（1.9）</w:t>
            </w:r>
          </w:p>
        </w:tc>
        <w:tc>
          <w:tcPr/>
          <w:p>
            <w:pPr>
              <w:pStyle w:val="Compact"/>
              <w:spacing w:before="20" w:after="20" w:line="240" w:lineRule="auto"/>
              <w:jc w:val="center"/>
            </w:pPr>
            <w:r>
              <w:t xml:space="preserve">—</w:t>
            </w:r>
          </w:p>
        </w:tc>
      </w:tr>
      <w:tr>
        <w:tc>
          <w:tcPr/>
          <w:p>
            <w:pPr>
              <w:pStyle w:val="Compact"/>
              <w:spacing w:before="20" w:after="20" w:line="240" w:lineRule="auto"/>
              <w:jc w:val="center"/>
            </w:pPr>
            <w:r>
              <w:t xml:space="preserve">Treat×Beyond（β</w:t>
            </w:r>
            <w:r>
              <w:rPr>
                <w:vertAlign w:val="subscript"/>
              </w:rPr>
              <w:t xml:space="preserve">3</w:t>
            </w:r>
            <w:r>
              <w:t xml:space="preserve">）</w:t>
            </w:r>
          </w:p>
        </w:tc>
        <w:tc>
          <w:tcPr/>
          <w:p>
            <w:pPr>
              <w:pStyle w:val="Compact"/>
              <w:spacing w:before="20" w:after="20" w:line="240" w:lineRule="auto"/>
              <w:jc w:val="center"/>
            </w:pPr>
            <w:r>
              <w:t xml:space="preserve">−14.8***</w:t>
            </w:r>
          </w:p>
        </w:tc>
        <w:tc>
          <w:tcPr/>
          <w:p>
            <w:pPr>
              <w:pStyle w:val="Compact"/>
              <w:spacing w:before="20" w:after="20" w:line="240" w:lineRule="auto"/>
              <w:jc w:val="center"/>
            </w:pPr>
            <w:r>
              <w:t xml:space="preserve">（2.7）</w:t>
            </w:r>
          </w:p>
        </w:tc>
        <w:tc>
          <w:tcPr/>
          <w:p>
            <w:pPr>
              <w:pStyle w:val="Compact"/>
              <w:spacing w:before="20" w:after="20" w:line="240" w:lineRule="auto"/>
              <w:jc w:val="center"/>
            </w:pPr>
            <w:r>
              <w:t xml:space="preserve">—</w:t>
            </w:r>
          </w:p>
        </w:tc>
      </w:tr>
      <w:tr>
        <w:tc>
          <w:tcPr/>
          <w:p>
            <w:pPr>
              <w:pStyle w:val="Compact"/>
              <w:spacing w:before="20" w:after="20" w:line="240" w:lineRule="auto"/>
              <w:jc w:val="center"/>
            </w:pPr>
            <w:r>
              <w:t xml:space="preserve">边界外总效应（β</w:t>
            </w:r>
            <w:r>
              <w:rPr>
                <w:vertAlign w:val="subscript"/>
              </w:rPr>
              <w:t xml:space="preserve">1</w:t>
            </w:r>
            <w:r>
              <w:t xml:space="preserve">+β</w:t>
            </w:r>
            <w:r>
              <w:rPr>
                <w:vertAlign w:val="subscript"/>
              </w:rPr>
              <w:t xml:space="preserve">3</w:t>
            </w:r>
            <w:r>
              <w:t xml:space="preserve">）</w:t>
            </w:r>
          </w:p>
        </w:tc>
        <w:tc>
          <w:tcPr/>
          <w:p>
            <w:pPr>
              <w:pStyle w:val="Compact"/>
              <w:spacing w:before="20" w:after="20" w:line="240" w:lineRule="auto"/>
              <w:jc w:val="center"/>
            </w:pPr>
            <w:r>
              <w:t xml:space="preserve">−12.7***</w:t>
            </w:r>
          </w:p>
        </w:tc>
        <w:tc>
          <w:tcPr/>
          <w:p>
            <w:pPr>
              <w:pStyle w:val="Compact"/>
              <w:spacing w:before="20" w:after="20" w:line="240" w:lineRule="auto"/>
              <w:jc w:val="center"/>
            </w:pPr>
            <w:r>
              <w:t xml:space="preserve">（2.6）</w:t>
            </w:r>
          </w:p>
        </w:tc>
        <w:tc>
          <w:tcPr/>
          <w:p>
            <w:pPr>
              <w:pStyle w:val="Compact"/>
              <w:spacing w:before="20" w:after="20" w:line="240" w:lineRule="auto"/>
              <w:jc w:val="center"/>
            </w:pPr>
            <w:r>
              <w:t xml:space="preserve">—</w:t>
            </w:r>
          </w:p>
        </w:tc>
      </w:tr>
    </w:tbl>
    <w:p>
      <w:pPr>
        <w:pStyle w:val="TableNote"/>
      </w:pPr>
      <w:r>
        <w:t xml:space="preserve">注：面板A为按组别与边界分类的任务准确率均值，边界分类将53687项任务划入边界内、4987项任务划入边界外；面板B为模型（5）的估计结果，含任务类型、周与分层固定效应及控制变量。</w:t>
      </w:r>
    </w:p>
    <w:bookmarkEnd w:id="43"/>
    <w:bookmarkStart w:id="44" w:name="核验行为的调节作用"/>
    <w:p>
      <w:pPr>
        <w:pStyle w:val="Heading2"/>
      </w:pPr>
      <w:r>
        <w:t xml:space="preserve">4.2 核验行为的调节作用</w:t>
      </w:r>
    </w:p>
    <w:p>
      <w:pPr>
        <w:pStyle w:val="FirstParagraph"/>
      </w:pPr>
      <w:r>
        <w:t xml:space="preserve">能力娴熟的专业人士为何会提交质量受损的工作成果？表8按遥测测度的核验努力三分位数分组重新估计边界交互效应，给出了关键线索：高核验组的准确率损失为−4.2个百分点且不显著，中核验组为−13.9个百分点，低核验组则高达−23.6个百分点。习惯于在收到助手输出后回到原始文档与底层数据进行核对的员工基本免于边界惩罚，而提交前极少核验的员工则完全承受了损失。由于核验行为系员工自选而非随机分配，上述分组结果应解释为描述性调节而非核验的因果效应，但其梯度陡峭、单调，且在控制基线技能与司龄后保持稳健；核验努力与基线技能的相关系数仅为0.11，表明该调节并非技能梯度的简单重述。调查证据进一步指向信任校准失当这一近端机制：至第12周，62.3%的处理组员工认同“对熟悉任务类型总体信任助手输出”；以调查条目构造的过度信任指数与员工边界外准确率变动的相关系数为−0.41。这一格局恰是“算法厌恶”的镜像：员工并未在模型出错后弃用，而是将模型在边界内赢得的信任外推至陌生领域，属于“算法欣赏”在真实工作场景中的表现，并因员工难以判断自身知识与机器能力的边界而进一步加剧。报告对助手输出进行积极编辑而非整体接受或拒绝的员工，同时表现出更高的信任与更高的准确率，说明“修改—核验”式工作流有助于维持校准的信赖。假设4b得到验证。</w:t>
      </w:r>
    </w:p>
    <w:p>
      <w:pPr>
        <w:pStyle w:val="TableCaption"/>
      </w:pPr>
      <w:r>
        <w:t xml:space="preserve">表8 核验行为分组检验结果</w:t>
      </w:r>
    </w:p>
    <w:tbl>
      <w:tblPr>
        <w:tblStyle w:val="Table"/>
        <w:tblW w:type="auto" w:w="0"/>
        <w:jc w:val="center"/>
        <w:tblLook w:firstRow="1" w:lastRow="0" w:firstColumn="0" w:lastColumn="0" w:noHBand="0" w:noVBand="0" w:val="0020"/>
        <w:tblCaption w:val="表8 核验行为分组检验结果"/>
      </w:tblPr>
      <w:tblGrid>
        <w:gridCol w:w="2640"/>
        <w:gridCol w:w="2640"/>
        <w:gridCol w:w="2640"/>
      </w:tblGrid>
      <w:tr>
        <w:trPr>
          <w:tblHeader w:val="true"/>
        </w:trPr>
        <w:tc>
          <w:tcPr/>
          <w:p>
            <w:pPr>
              <w:pStyle w:val="Compact"/>
              <w:spacing w:before="20" w:after="20" w:line="240" w:lineRule="auto"/>
              <w:jc w:val="center"/>
            </w:pPr>
            <w:r>
              <w:t xml:space="preserve">核验努力分组（处理组）</w:t>
            </w:r>
          </w:p>
        </w:tc>
        <w:tc>
          <w:tcPr/>
          <w:p>
            <w:pPr>
              <w:pStyle w:val="Compact"/>
              <w:spacing w:before="20" w:after="20" w:line="240" w:lineRule="auto"/>
              <w:jc w:val="center"/>
            </w:pPr>
            <w:r>
              <w:t xml:space="preserve">边界交互效应β</w:t>
            </w:r>
            <w:r>
              <w:rPr>
                <w:vertAlign w:val="subscript"/>
              </w:rPr>
              <w:t xml:space="preserve">3</w:t>
            </w:r>
          </w:p>
        </w:tc>
        <w:tc>
          <w:tcPr/>
          <w:p>
            <w:pPr>
              <w:pStyle w:val="Compact"/>
              <w:spacing w:before="20" w:after="20" w:line="240" w:lineRule="auto"/>
              <w:jc w:val="center"/>
            </w:pPr>
            <w:r>
              <w:t xml:space="preserve">标准误</w:t>
            </w:r>
          </w:p>
        </w:tc>
      </w:tr>
      <w:tr>
        <w:tc>
          <w:tcPr/>
          <w:p>
            <w:pPr>
              <w:pStyle w:val="Compact"/>
              <w:spacing w:before="20" w:after="20" w:line="240" w:lineRule="auto"/>
              <w:jc w:val="center"/>
            </w:pPr>
            <w:r>
              <w:t xml:space="preserve">高核验组</w:t>
            </w:r>
          </w:p>
        </w:tc>
        <w:tc>
          <w:tcPr/>
          <w:p>
            <w:pPr>
              <w:pStyle w:val="Compact"/>
              <w:spacing w:before="20" w:after="20" w:line="240" w:lineRule="auto"/>
              <w:jc w:val="center"/>
            </w:pPr>
            <w:r>
              <w:t xml:space="preserve">−4.2</w:t>
            </w:r>
          </w:p>
        </w:tc>
        <w:tc>
          <w:tcPr/>
          <w:p>
            <w:pPr>
              <w:pStyle w:val="Compact"/>
              <w:spacing w:before="20" w:after="20" w:line="240" w:lineRule="auto"/>
              <w:jc w:val="center"/>
            </w:pPr>
            <w:r>
              <w:t xml:space="preserve">（2.9）</w:t>
            </w:r>
          </w:p>
        </w:tc>
      </w:tr>
      <w:tr>
        <w:tc>
          <w:tcPr/>
          <w:p>
            <w:pPr>
              <w:pStyle w:val="Compact"/>
              <w:spacing w:before="20" w:after="20" w:line="240" w:lineRule="auto"/>
              <w:jc w:val="center"/>
            </w:pPr>
            <w:r>
              <w:t xml:space="preserve">中核验组</w:t>
            </w:r>
          </w:p>
        </w:tc>
        <w:tc>
          <w:tcPr/>
          <w:p>
            <w:pPr>
              <w:pStyle w:val="Compact"/>
              <w:spacing w:before="20" w:after="20" w:line="240" w:lineRule="auto"/>
              <w:jc w:val="center"/>
            </w:pPr>
            <w:r>
              <w:t xml:space="preserve">−13.9***</w:t>
            </w:r>
          </w:p>
        </w:tc>
        <w:tc>
          <w:tcPr/>
          <w:p>
            <w:pPr>
              <w:pStyle w:val="Compact"/>
              <w:spacing w:before="20" w:after="20" w:line="240" w:lineRule="auto"/>
              <w:jc w:val="center"/>
            </w:pPr>
            <w:r>
              <w:t xml:space="preserve">（3.0）</w:t>
            </w:r>
          </w:p>
        </w:tc>
      </w:tr>
      <w:tr>
        <w:tc>
          <w:tcPr/>
          <w:p>
            <w:pPr>
              <w:pStyle w:val="Compact"/>
              <w:spacing w:before="20" w:after="20" w:line="240" w:lineRule="auto"/>
              <w:jc w:val="center"/>
            </w:pPr>
            <w:r>
              <w:t xml:space="preserve">低核验组</w:t>
            </w:r>
          </w:p>
        </w:tc>
        <w:tc>
          <w:tcPr/>
          <w:p>
            <w:pPr>
              <w:pStyle w:val="Compact"/>
              <w:spacing w:before="20" w:after="20" w:line="240" w:lineRule="auto"/>
              <w:jc w:val="center"/>
            </w:pPr>
            <w:r>
              <w:t xml:space="preserve">−23.6***</w:t>
            </w:r>
          </w:p>
        </w:tc>
        <w:tc>
          <w:tcPr/>
          <w:p>
            <w:pPr>
              <w:pStyle w:val="Compact"/>
              <w:spacing w:before="20" w:after="20" w:line="240" w:lineRule="auto"/>
              <w:jc w:val="center"/>
            </w:pPr>
            <w:r>
              <w:t xml:space="preserve">（3.4）</w:t>
            </w:r>
          </w:p>
        </w:tc>
      </w:tr>
    </w:tbl>
    <w:p>
      <w:pPr>
        <w:pStyle w:val="TableNote"/>
      </w:pPr>
      <w:r>
        <w:t xml:space="preserve">注：核验努力按处理组员工收到助手输出后停留于原始文档与底层数据的遥测时长三分位数划分（按第5—24周数据测算，改用第1—24周数据分组排序不变），各组分别与全体控制组比较估计。</w:t>
      </w:r>
    </w:p>
    <w:bookmarkEnd w:id="44"/>
    <w:bookmarkStart w:id="45" w:name="时间配置的机制分解"/>
    <w:p>
      <w:pPr>
        <w:pStyle w:val="Heading2"/>
      </w:pPr>
      <w:r>
        <w:t xml:space="preserve">4.3 时间配置的机制分解</w:t>
      </w:r>
    </w:p>
    <w:p>
      <w:pPr>
        <w:pStyle w:val="FirstParagraph"/>
      </w:pPr>
      <w:r>
        <w:t xml:space="preserve">为理解时间节约的来源结构，本文利用遥测数据将每项任务的有效时长分解为初稿起草、信息检索、核验与编辑三个活动环节，并构建如下分解式：</w:t>
      </w:r>
    </w:p>
    <w:p>
      <w:pPr>
        <w:pStyle w:val="BodyText"/>
      </w:pPr>
      <m:oMathPara>
        <m:oMathParaPr>
          <m:jc m:val="center"/>
        </m:oMathParaPr>
        <m:oMath>
          <m:r>
            <m:t>Δ</m:t>
          </m:r>
          <m:r>
            <m:rPr>
              <m:sty m:val="p"/>
            </m:rPr>
            <m:t>ln</m:t>
          </m:r>
          <m:acc>
            <m:accPr>
              <m:chr m:val="‾"/>
            </m:accPr>
            <m:e>
              <m:r>
                <m:t>Y</m:t>
              </m:r>
            </m:e>
          </m:acc>
          <m:r>
            <m:rPr>
              <m:sty m:val="p"/>
            </m:rPr>
            <m:t>=</m:t>
          </m:r>
          <m:nary>
            <m:naryPr>
              <m:chr m:val="∑"/>
              <m:limLoc m:val="undOvr"/>
              <m:subHide m:val="off"/>
              <m:supHide m:val="on"/>
            </m:naryPr>
            <m:sub>
              <m:r>
                <m:t>k</m:t>
              </m:r>
            </m:sub>
            <m:sup>
              <m:r>
                <m:t>​</m:t>
              </m:r>
            </m:sup>
            <m:e>
              <m:sSub>
                <m:e>
                  <m:r>
                    <m:t>s</m:t>
                  </m:r>
                </m:e>
                <m:sub>
                  <m:r>
                    <m:t>k</m:t>
                  </m:r>
                </m:sub>
              </m:sSub>
            </m:e>
          </m:nary>
          <m:r>
            <m:t>Δ</m:t>
          </m:r>
          <m:r>
            <m:rPr>
              <m:sty m:val="p"/>
            </m:rPr>
            <m:t>ln</m:t>
          </m:r>
          <m:sSub>
            <m:e>
              <m:acc>
                <m:accPr>
                  <m:chr m:val="‾"/>
                </m:accPr>
                <m:e>
                  <m:r>
                    <m:t>Y</m:t>
                  </m:r>
                </m:e>
              </m:acc>
            </m:e>
            <m:sub>
              <m:r>
                <m:t>k</m:t>
              </m:r>
            </m:sub>
          </m:sSub>
          <m:r>
            <m:rPr>
              <m:sty m:val="p"/>
            </m:rPr>
            <m:t>+</m:t>
          </m:r>
          <m:r>
            <m:t>φ</m:t>
          </m:r>
          <m:r>
            <m:t> </m:t>
          </m:r>
          <m:r>
            <m:t> </m:t>
          </m:r>
          <m:r>
            <m:rPr>
              <m:sty m:val="p"/>
            </m:rPr>
            <m:t>（</m:t>
          </m:r>
          <m:r>
            <m:t>6</m:t>
          </m:r>
          <m:r>
            <m:rPr>
              <m:sty m:val="p"/>
            </m:rPr>
            <m:t>）</m:t>
          </m:r>
        </m:oMath>
      </m:oMathPara>
    </w:p>
    <w:p>
      <w:pPr>
        <w:pStyle w:val="FirstParagraph"/>
      </w:pPr>
      <w:r>
        <w:t xml:space="preserve">其中，</w:t>
      </w:r>
      <m:oMath>
        <m:r>
          <m:t>Δ</m:t>
        </m:r>
        <m:r>
          <m:rPr>
            <m:sty m:val="p"/>
          </m:rPr>
          <m:t>ln</m:t>
        </m:r>
        <m:acc>
          <m:accPr>
            <m:chr m:val="‾"/>
          </m:accPr>
          <m:e>
            <m:r>
              <m:t>Y</m:t>
            </m:r>
          </m:e>
        </m:acc>
      </m:oMath>
      <w:r>
        <w:t xml:space="preserve">为平均任务时长的总变化比例，</w:t>
      </w:r>
      <m:oMath>
        <m:sSub>
          <m:e>
            <m:r>
              <m:t>s</m:t>
            </m:r>
          </m:e>
          <m:sub>
            <m:r>
              <m:t>k</m:t>
            </m:r>
          </m:sub>
        </m:sSub>
      </m:oMath>
      <w:r>
        <w:t xml:space="preserve">为环节</w:t>
      </w:r>
      <m:oMath>
        <m:r>
          <m:t>k</m:t>
        </m:r>
      </m:oMath>
      <w:r>
        <w:t xml:space="preserve">的基线时间份额，</w:t>
      </w:r>
      <m:oMath>
        <m:r>
          <m:t>Δ</m:t>
        </m:r>
        <m:r>
          <m:rPr>
            <m:sty m:val="p"/>
          </m:rPr>
          <m:t>ln</m:t>
        </m:r>
        <m:sSub>
          <m:e>
            <m:acc>
              <m:accPr>
                <m:chr m:val="‾"/>
              </m:accPr>
              <m:e>
                <m:r>
                  <m:t>Y</m:t>
                </m:r>
              </m:e>
            </m:acc>
          </m:e>
          <m:sub>
            <m:r>
              <m:t>k</m:t>
            </m:r>
          </m:sub>
        </m:sSub>
      </m:oMath>
      <w:r>
        <w:t xml:space="preserve">为环节</w:t>
      </w:r>
      <m:oMath>
        <m:r>
          <m:t>k</m:t>
        </m:r>
      </m:oMath>
      <w:r>
        <w:t xml:space="preserve">单位任务用时的变化比例，</w:t>
      </w:r>
      <m:oMath>
        <m:r>
          <m:t>φ</m:t>
        </m:r>
      </m:oMath>
      <w:r>
        <w:t xml:space="preserve">为构成（协方差）项，捕捉处理引致的活动份额变动与环节用时变动之间的交互。表9的分解结果显示：初稿起草用时下降41.3%，以0.46的基线份额贡献−19.0个百分点；信息检索用时下降28.9%，贡献−9.0个百分点；而核验与编辑用时不降反升12.4%，贡献+2.9个百分点；各环节贡献与构成项加总后精确复现−24.3%的总效应。这一结构清晰揭示了生成式人工智能的技术属性：它自动化了初稿生产并压缩了检索过程，而判断密集的核验与编辑环节吸收了更多时间，员工将精力从“生成内容”重新配置到“评估内容”，与任务模型关于自动化提高互补性剩余任务价值与强度的预测一致</w:t>
      </w:r>
      <w:r>
        <w:rPr>
          <w:vertAlign w:val="superscript"/>
        </w:rPr>
        <w:t xml:space="preserve">[20,21]</w:t>
      </w:r>
      <w:r>
        <w:t xml:space="preserve">。核验用时的增加同时解释了表2中平均质量为何提升（释放出的起草时间在边界内任务上转化为额外核对），以及4.2节中质量为何在边界外受损（当员工未能完成这一再配置时，流畅性错误便畅通无阻）。</w:t>
      </w:r>
    </w:p>
    <w:p>
      <w:pPr>
        <w:pStyle w:val="TableCaption"/>
      </w:pPr>
      <w:r>
        <w:t xml:space="preserve">表9 任务完成时间处理效应的分解结果</w:t>
      </w:r>
    </w:p>
    <w:tbl>
      <w:tblPr>
        <w:tblStyle w:val="Table"/>
        <w:tblW w:type="auto" w:w="0"/>
        <w:jc w:val="center"/>
        <w:tblLook w:firstRow="1" w:lastRow="0" w:firstColumn="0" w:lastColumn="0" w:noHBand="0" w:noVBand="0" w:val="0020"/>
        <w:tblCaption w:val="表9 任务完成时间处理效应的分解结果"/>
      </w:tblPr>
      <w:tblGrid>
        <w:gridCol w:w="1980"/>
        <w:gridCol w:w="1980"/>
        <w:gridCol w:w="1980"/>
        <w:gridCol w:w="1980"/>
      </w:tblGrid>
      <w:tr>
        <w:trPr>
          <w:tblHeader w:val="true"/>
        </w:trPr>
        <w:tc>
          <w:tcPr/>
          <w:p>
            <w:pPr>
              <w:pStyle w:val="Compact"/>
              <w:spacing w:before="20" w:after="20" w:line="240" w:lineRule="auto"/>
              <w:jc w:val="center"/>
            </w:pPr>
            <w:r>
              <w:t xml:space="preserve">活动环节</w:t>
            </w:r>
          </w:p>
        </w:tc>
        <w:tc>
          <w:tcPr/>
          <w:p>
            <w:pPr>
              <w:pStyle w:val="Compact"/>
              <w:spacing w:before="20" w:after="20" w:line="240" w:lineRule="auto"/>
              <w:jc w:val="center"/>
            </w:pPr>
            <w:r>
              <w:t xml:space="preserve">基线时间份额</w:t>
            </w:r>
          </w:p>
        </w:tc>
        <w:tc>
          <w:tcPr/>
          <w:p>
            <w:pPr>
              <w:pStyle w:val="Compact"/>
              <w:spacing w:before="20" w:after="20" w:line="240" w:lineRule="auto"/>
              <w:jc w:val="center"/>
            </w:pPr>
            <w:r>
              <w:t xml:space="preserve">单任务用时变化</w:t>
            </w:r>
          </w:p>
        </w:tc>
        <w:tc>
          <w:tcPr/>
          <w:p>
            <w:pPr>
              <w:pStyle w:val="Compact"/>
              <w:spacing w:before="20" w:after="20" w:line="240" w:lineRule="auto"/>
              <w:jc w:val="center"/>
            </w:pPr>
            <w:r>
              <w:t xml:space="preserve">贡献（百分点）</w:t>
            </w:r>
          </w:p>
        </w:tc>
      </w:tr>
      <w:tr>
        <w:tc>
          <w:tcPr/>
          <w:p>
            <w:pPr>
              <w:pStyle w:val="Compact"/>
              <w:spacing w:before="20" w:after="20" w:line="240" w:lineRule="auto"/>
              <w:jc w:val="center"/>
            </w:pPr>
            <w:r>
              <w:t xml:space="preserve">初稿起草</w:t>
            </w:r>
          </w:p>
        </w:tc>
        <w:tc>
          <w:tcPr/>
          <w:p>
            <w:pPr>
              <w:pStyle w:val="Compact"/>
              <w:spacing w:before="20" w:after="20" w:line="240" w:lineRule="auto"/>
              <w:jc w:val="center"/>
            </w:pPr>
            <w:r>
              <w:t xml:space="preserve">0.46</w:t>
            </w:r>
          </w:p>
        </w:tc>
        <w:tc>
          <w:tcPr/>
          <w:p>
            <w:pPr>
              <w:pStyle w:val="Compact"/>
              <w:spacing w:before="20" w:after="20" w:line="240" w:lineRule="auto"/>
              <w:jc w:val="center"/>
            </w:pPr>
            <w:r>
              <w:t xml:space="preserve">−41.3%***</w:t>
            </w:r>
          </w:p>
        </w:tc>
        <w:tc>
          <w:tcPr/>
          <w:p>
            <w:pPr>
              <w:pStyle w:val="Compact"/>
              <w:spacing w:before="20" w:after="20" w:line="240" w:lineRule="auto"/>
              <w:jc w:val="center"/>
            </w:pPr>
            <w:r>
              <w:t xml:space="preserve">−19.0</w:t>
            </w:r>
          </w:p>
        </w:tc>
      </w:tr>
      <w:tr>
        <w:tc>
          <w:tcPr/>
          <w:p>
            <w:pPr>
              <w:pStyle w:val="Compact"/>
              <w:spacing w:before="20" w:after="20" w:line="240" w:lineRule="auto"/>
              <w:jc w:val="center"/>
            </w:pPr>
            <w:r>
              <w:t xml:space="preserve">信息检索</w:t>
            </w:r>
          </w:p>
        </w:tc>
        <w:tc>
          <w:tcPr/>
          <w:p>
            <w:pPr>
              <w:pStyle w:val="Compact"/>
              <w:spacing w:before="20" w:after="20" w:line="240" w:lineRule="auto"/>
              <w:jc w:val="center"/>
            </w:pPr>
            <w:r>
              <w:t xml:space="preserve">0.31</w:t>
            </w:r>
          </w:p>
        </w:tc>
        <w:tc>
          <w:tcPr/>
          <w:p>
            <w:pPr>
              <w:pStyle w:val="Compact"/>
              <w:spacing w:before="20" w:after="20" w:line="240" w:lineRule="auto"/>
              <w:jc w:val="center"/>
            </w:pPr>
            <w:r>
              <w:t xml:space="preserve">−28.9%***</w:t>
            </w:r>
          </w:p>
        </w:tc>
        <w:tc>
          <w:tcPr/>
          <w:p>
            <w:pPr>
              <w:pStyle w:val="Compact"/>
              <w:spacing w:before="20" w:after="20" w:line="240" w:lineRule="auto"/>
              <w:jc w:val="center"/>
            </w:pPr>
            <w:r>
              <w:t xml:space="preserve">−9.0</w:t>
            </w:r>
          </w:p>
        </w:tc>
      </w:tr>
      <w:tr>
        <w:tc>
          <w:tcPr/>
          <w:p>
            <w:pPr>
              <w:pStyle w:val="Compact"/>
              <w:spacing w:before="20" w:after="20" w:line="240" w:lineRule="auto"/>
              <w:jc w:val="center"/>
            </w:pPr>
            <w:r>
              <w:t xml:space="preserve">核验与编辑</w:t>
            </w:r>
          </w:p>
        </w:tc>
        <w:tc>
          <w:tcPr/>
          <w:p>
            <w:pPr>
              <w:pStyle w:val="Compact"/>
              <w:spacing w:before="20" w:after="20" w:line="240" w:lineRule="auto"/>
              <w:jc w:val="center"/>
            </w:pPr>
            <w:r>
              <w:t xml:space="preserve">0.23</w:t>
            </w:r>
          </w:p>
        </w:tc>
        <w:tc>
          <w:tcPr/>
          <w:p>
            <w:pPr>
              <w:pStyle w:val="Compact"/>
              <w:spacing w:before="20" w:after="20" w:line="240" w:lineRule="auto"/>
              <w:jc w:val="center"/>
            </w:pPr>
            <w:r>
              <w:t xml:space="preserve">+12.4%***</w:t>
            </w:r>
          </w:p>
        </w:tc>
        <w:tc>
          <w:tcPr/>
          <w:p>
            <w:pPr>
              <w:pStyle w:val="Compact"/>
              <w:spacing w:before="20" w:after="20" w:line="240" w:lineRule="auto"/>
              <w:jc w:val="center"/>
            </w:pPr>
            <w:r>
              <w:t xml:space="preserve">+2.9</w:t>
            </w:r>
          </w:p>
        </w:tc>
      </w:tr>
      <w:tr>
        <w:tc>
          <w:tcPr/>
          <w:p>
            <w:pPr>
              <w:pStyle w:val="Compact"/>
              <w:spacing w:before="20" w:after="20" w:line="240" w:lineRule="auto"/>
              <w:jc w:val="center"/>
            </w:pPr>
            <w:r>
              <w:t xml:space="preserve">各环节贡献加总</w:t>
            </w:r>
          </w:p>
        </w:tc>
        <w:tc>
          <w:tcPr/>
          <w:p>
            <w:pPr>
              <w:pStyle w:val="Compact"/>
              <w:spacing w:before="20" w:after="20" w:line="240" w:lineRule="auto"/>
              <w:jc w:val="center"/>
            </w:pPr>
            <w:r>
              <w:t xml:space="preserve">—</w:t>
            </w:r>
          </w:p>
        </w:tc>
        <w:tc>
          <w:tcPr/>
          <w:p>
            <w:pPr>
              <w:pStyle w:val="Compact"/>
              <w:spacing w:before="20" w:after="20" w:line="240" w:lineRule="auto"/>
              <w:jc w:val="center"/>
            </w:pPr>
            <w:r>
              <w:t xml:space="preserve">—</w:t>
            </w:r>
          </w:p>
        </w:tc>
        <w:tc>
          <w:tcPr/>
          <w:p>
            <w:pPr>
              <w:pStyle w:val="Compact"/>
              <w:spacing w:before="20" w:after="20" w:line="240" w:lineRule="auto"/>
              <w:jc w:val="center"/>
            </w:pPr>
            <w:r>
              <w:t xml:space="preserve">−25.1</w:t>
            </w:r>
          </w:p>
        </w:tc>
      </w:tr>
      <w:tr>
        <w:tc>
          <w:tcPr/>
          <w:p>
            <w:pPr>
              <w:pStyle w:val="Compact"/>
              <w:spacing w:before="20" w:after="20" w:line="240" w:lineRule="auto"/>
              <w:jc w:val="center"/>
            </w:pPr>
            <w:r>
              <w:t xml:space="preserve">构成（协方差）项</w:t>
            </w:r>
          </w:p>
        </w:tc>
        <w:tc>
          <w:tcPr/>
          <w:p>
            <w:pPr>
              <w:pStyle w:val="Compact"/>
              <w:spacing w:before="20" w:after="20" w:line="240" w:lineRule="auto"/>
              <w:jc w:val="center"/>
            </w:pPr>
            <w:r>
              <w:t xml:space="preserve">—</w:t>
            </w:r>
          </w:p>
        </w:tc>
        <w:tc>
          <w:tcPr/>
          <w:p>
            <w:pPr>
              <w:pStyle w:val="Compact"/>
              <w:spacing w:before="20" w:after="20" w:line="240" w:lineRule="auto"/>
              <w:jc w:val="center"/>
            </w:pPr>
            <w:r>
              <w:t xml:space="preserve">—</w:t>
            </w:r>
          </w:p>
        </w:tc>
        <w:tc>
          <w:tcPr/>
          <w:p>
            <w:pPr>
              <w:pStyle w:val="Compact"/>
              <w:spacing w:before="20" w:after="20" w:line="240" w:lineRule="auto"/>
              <w:jc w:val="center"/>
            </w:pPr>
            <w:r>
              <w:t xml:space="preserve">+0.8</w:t>
            </w:r>
          </w:p>
        </w:tc>
      </w:tr>
      <w:tr>
        <w:tc>
          <w:tcPr/>
          <w:p>
            <w:pPr>
              <w:pStyle w:val="Compact"/>
              <w:spacing w:before="20" w:after="20" w:line="240" w:lineRule="auto"/>
              <w:jc w:val="center"/>
            </w:pPr>
            <w:r>
              <w:t xml:space="preserve">总效应</w:t>
            </w:r>
          </w:p>
        </w:tc>
        <w:tc>
          <w:tcPr/>
          <w:p>
            <w:pPr>
              <w:pStyle w:val="Compact"/>
              <w:spacing w:before="20" w:after="20" w:line="240" w:lineRule="auto"/>
              <w:jc w:val="center"/>
            </w:pPr>
            <w:r>
              <w:t xml:space="preserve">1.00</w:t>
            </w:r>
          </w:p>
        </w:tc>
        <w:tc>
          <w:tcPr/>
          <w:p>
            <w:pPr>
              <w:pStyle w:val="Compact"/>
              <w:spacing w:before="20" w:after="20" w:line="240" w:lineRule="auto"/>
              <w:jc w:val="center"/>
            </w:pPr>
            <w:r>
              <w:t xml:space="preserve">—</w:t>
            </w:r>
          </w:p>
        </w:tc>
        <w:tc>
          <w:tcPr/>
          <w:p>
            <w:pPr>
              <w:pStyle w:val="Compact"/>
              <w:spacing w:before="20" w:after="20" w:line="240" w:lineRule="auto"/>
              <w:jc w:val="center"/>
            </w:pPr>
            <w:r>
              <w:t xml:space="preserve">−24.3</w:t>
            </w:r>
          </w:p>
        </w:tc>
      </w:tr>
    </w:tbl>
    <w:p>
      <w:pPr>
        <w:pStyle w:val="TableNote"/>
      </w:pPr>
      <w:r>
        <w:t xml:space="preserve">注：基线时间份额为控制组有效任务时长的环节份额；单任务用时变化为环节层面按模型（1）估计的意向处理效应；贡献等于份额与变化之乘积；总效应与表2列（1）系数隐含的−24.3%一致。</w:t>
      </w:r>
    </w:p>
    <w:bookmarkEnd w:id="45"/>
    <w:bookmarkEnd w:id="46"/>
    <w:bookmarkStart w:id="47" w:name="结论与建议"/>
    <w:p>
      <w:pPr>
        <w:pStyle w:val="Heading1"/>
      </w:pPr>
      <w:r>
        <w:t xml:space="preserve">5 结论与建议</w:t>
      </w:r>
    </w:p>
    <w:p>
      <w:pPr>
        <w:pStyle w:val="FirstParagraph"/>
      </w:pPr>
      <w:r>
        <w:t xml:space="preserve">本文依托某全球性专业服务企业开展为期24周的随机田野实验，基于1842名咨询顾问与58674项真实客户任务的微观数据，系统考察了生成式人工智能应用对知识型员工生产率的影响效应、分布特征、动态轨迹与作用边界。研究结论如下：第一，获得生成式人工智能助手使用权限带来了显著的平均生产率增益，任务完成时间缩短24.3%，产出质量提升0.28个标准差，周任务吞吐量提高16.4%，客户返工请求减少18.7%，时间与质量实现同步改善。第二，生产率增益呈现随技能水平递减的鲜明梯度：最低技能组的时间节约与质量提升分别达35.1%与0.47个标准差，约为最高技能组的3倍与8倍，员工间90/10质量差距收窄28.4%，员工内质量波动下降19.6%，生成式人工智能在该场景中是一项“均等化”技术。第三，处理效应自第1周的−0.09渐进加深至第10周的−0.31并稳定维持至实验结束，与互补性“提示与委托资本”的积累逻辑一致，排除了新奇效应解释。第四，生产率增益存在清晰的能力边界：在超出模型能力边界的8.5%的任务上，处理组准确率下降14.8个百分点，损失高度集中于核验行为不足、过度信任模型的员工。</w:t>
      </w:r>
    </w:p>
    <w:p>
      <w:pPr>
        <w:pStyle w:val="BodyText"/>
      </w:pPr>
      <w:r>
        <w:t xml:space="preserve">基于上述结论，本文提出如下建议：第一，实施任务分级部署，以任务而非岗位为单位制定生成式人工智能应用政策。边界内+2.1个百分点与边界外−14.8个百分点的准确率反差表明，</w:t>
      </w:r>
      <w:r>
        <w:t xml:space="preserve">“</w:t>
      </w:r>
      <w:r>
        <w:t xml:space="preserve">一刀切</w:t>
      </w:r>
      <w:r>
        <w:t xml:space="preserve">”</w:t>
      </w:r>
      <w:r>
        <w:t xml:space="preserve">式全员推广并非最优。企业可参照本文的分类做法，组织内部方法论专家在部署前绘制自身业务的能力边界地图，并将其嵌入工作流系统，在员工调用助手时对边界外任务类型作出显著提示，而不应依赖员工自行判断边界。第二，将核验能力作为稀缺互补要素加以培训与考核。核验行为的调节梯度表明，核验培训是回报最高的干预方向；核验努力可由遥测客观观测，企业应将其纳入质量风险预警指标，在任务预算中明确核验时间预期，并将资深人员的复核资源集中配置于边界外产出而非均匀抽检。第三，适应绩效收敛，重构人才管理体系。生成式人工智能压缩了可编码知识造成的绩效差距，使产出质量对潜在技能的甄别功能弱化，企业应转向直接考核判断密集型能力，包括边界识别、核验勤勉度与客户经营能力，并相应调整晋升评价基准；初级员工更快形成生产能力，也提高了基层扩编的回报。第四，以平台期而非启动期收益为基准进行投资决策与定价调整。效应在第10周方达稳态，以4—6周为期的试点评估将系统性低估稳态收益约一半；对按工时计费的专业服务企业而言，持续24.3%的时间节约对计费工时定价模式构成压力，宜加快向固定费用与价值计费转型，并将释放出的资深产能重新配置于技术溢价上升的核验与客户判断环节。第五，政府部门在推进“人工智能+”行动过程中，应引导行业组织建立生成式人工智能应用的质量核验规范与任务分级指引，支持面向中小企业的核验能力培训与最佳实践推广，并在涉及公共利益的专业服务领域探索人工智能辅助产出的质量披露制度，使技术红利在有效风险管控之下充分释放。</w:t>
      </w:r>
    </w:p>
    <w:bookmarkEnd w:id="47"/>
    <w:bookmarkStart w:id="48" w:name="参考文献"/>
    <w:p>
      <w:pPr>
        <w:pStyle w:val="Heading1"/>
      </w:pPr>
      <w:r>
        <w:t xml:space="preserve">参考文献</w:t>
      </w:r>
    </w:p>
    <w:p>
      <w:pPr>
        <w:pStyle w:val="RefItem"/>
      </w:pPr>
      <w:r>
        <w:t xml:space="preserve">[1]Eloundou T, Manning S, Mishkin P, et al. GPTs are GPTs: Labor Market Impact Potential of LLMs [J]. Science, 2024, 384(6702).</w:t>
      </w:r>
    </w:p>
    <w:p>
      <w:pPr>
        <w:pStyle w:val="RefItem"/>
      </w:pPr>
      <w:r>
        <w:t xml:space="preserve">[2]江小涓,靳景.数字技术提升经济效率:服务分工、产业协同和数实孪生[J].管理世界,2022,38(12).</w:t>
      </w:r>
    </w:p>
    <w:p>
      <w:pPr>
        <w:pStyle w:val="RefItem"/>
      </w:pPr>
      <w:r>
        <w:t xml:space="preserve">[3]陈永伟.超越ChatGPT:生成式AI的机遇、风险与挑战[J].山东大学学报(哲学社会科学版),2023(3).</w:t>
      </w:r>
    </w:p>
    <w:p>
      <w:pPr>
        <w:pStyle w:val="RefItem"/>
      </w:pPr>
      <w:r>
        <w:t xml:space="preserve">[4]Noy S, Zhang W. Experimental Evidence on the Productivity Effects of Generative Artificial Intelligence [J]. Science, 2023, 381(6654).</w:t>
      </w:r>
    </w:p>
    <w:p>
      <w:pPr>
        <w:pStyle w:val="RefItem"/>
      </w:pPr>
      <w:r>
        <w:t xml:space="preserve">[5]Peng S, Kalliamvakou E, Cihon P, et al. The Impact of AI on Developer Productivity: Evidence From GitHub Copilot [R]. arXiv Working Paper No.2302.06590, 2023.</w:t>
      </w:r>
    </w:p>
    <w:p>
      <w:pPr>
        <w:pStyle w:val="RefItem"/>
      </w:pPr>
      <w:r>
        <w:t xml:space="preserve">[6]Brynjolfsson E, Li D, Raymond L R. Generative AI at Work [J]. The Quarterly Journal of Economics, 2025, 140(2).</w:t>
      </w:r>
    </w:p>
    <w:p>
      <w:pPr>
        <w:pStyle w:val="RefItem"/>
      </w:pPr>
      <w:r>
        <w:t xml:space="preserve">[7]Dell’Acqua F, McFowland E, Mollick E R, et al. Navigating the Jagged Technological Frontier: Field Experimental Evidence of the Effects of Artificial Intelligence on Knowledge Worker Productivity and Quality [R]. Harvard Business School Working Paper No.24-013, 2023.</w:t>
      </w:r>
    </w:p>
    <w:p>
      <w:pPr>
        <w:pStyle w:val="RefItem"/>
      </w:pPr>
      <w:r>
        <w:t xml:space="preserve">[8]Doshi A R, Hauser O P. Generative AI Enhances Individual Creativity but Reduces the Collective Diversity of Novel Content [J]. Science Advances, 2024, 10(28).</w:t>
      </w:r>
    </w:p>
    <w:p>
      <w:pPr>
        <w:pStyle w:val="RefItem"/>
      </w:pPr>
      <w:r>
        <w:t xml:space="preserve">[9]蔡跃洲,陈楠.新技术革命下人工智能与高质量增长、高质量就业[J].数量经济技术经济研究,2019,36(5).</w:t>
      </w:r>
    </w:p>
    <w:p>
      <w:pPr>
        <w:pStyle w:val="RefItem"/>
      </w:pPr>
      <w:r>
        <w:t xml:space="preserve">[10]姚加权,张锟澎,郭李鹏,等.人工智能如何提升企业生产效率?——基于劳动力技能结构调整的视角[J].管理世界,2024,40(2).</w:t>
      </w:r>
    </w:p>
    <w:p>
      <w:pPr>
        <w:pStyle w:val="RefItem"/>
      </w:pPr>
      <w:r>
        <w:t xml:space="preserve">[11]何勤,李雅宁,程雅馨,等.人工智能技术应用对就业的影响及作用机制研究——来自制造业企业的微观证据[J].中国软科学,2020(S1).</w:t>
      </w:r>
    </w:p>
    <w:p>
      <w:pPr>
        <w:pStyle w:val="RefItem"/>
      </w:pPr>
      <w:r>
        <w:t xml:space="preserve">[12]王林辉,胡晟明,董直庆.人工智能技术会诱致劳动收入不平等吗——模型推演与分类评估[J].中国工业经济,2020(4).</w:t>
      </w:r>
    </w:p>
    <w:p>
      <w:pPr>
        <w:pStyle w:val="RefItem"/>
      </w:pPr>
      <w:r>
        <w:t xml:space="preserve">[13]郭凯明.人工智能发展、产业结构转型升级与劳动收入份额变动[J].管理世界,2019,35(7).</w:t>
      </w:r>
    </w:p>
    <w:p>
      <w:pPr>
        <w:pStyle w:val="RefItem"/>
      </w:pPr>
      <w:r>
        <w:t xml:space="preserve">[14]张丹丹,于航,李力行,等.中国人工智能技术暴露度的测算及其对劳动需求的影响——基于大语言模型的新证据[J].管理世界,2025,41(7).</w:t>
      </w:r>
    </w:p>
    <w:p>
      <w:pPr>
        <w:pStyle w:val="RefItem"/>
      </w:pPr>
      <w:r>
        <w:t xml:space="preserve">[15]马晔风,陈楠,崔雪彬.生成式人工智能技术如何影响专业型工作?——来自软件工程行业的早期证据[J].劳动经济研究,2024,12(3).</w:t>
      </w:r>
    </w:p>
    <w:p>
      <w:pPr>
        <w:pStyle w:val="RefItem"/>
      </w:pPr>
      <w:r>
        <w:t xml:space="preserve">[16]Dietvorst B J, Simmons J P, Massey C. Algorithm Aversion: People Erroneously Avoid Algorithms After Seeing Them Err [J]. Journal of Experimental Psychology: General, 2015, 144(1).</w:t>
      </w:r>
    </w:p>
    <w:p>
      <w:pPr>
        <w:pStyle w:val="RefItem"/>
      </w:pPr>
      <w:r>
        <w:t xml:space="preserve">[17]Logg J M, Minson J A, Moore D A. Algorithm Appreciation: People Prefer Algorithmic to Human Judgment [J]. Organizational Behavior and Human Decision Processes, 2019, 151.</w:t>
      </w:r>
    </w:p>
    <w:p>
      <w:pPr>
        <w:pStyle w:val="RefItem"/>
      </w:pPr>
      <w:r>
        <w:t xml:space="preserve">[18]Fügener A, Grahl J, Gupta A, et al. Cognitive Challenges in Human-Artificial Intelligence Collaboration: Investigating the Path Toward Productive Delegation [J]. Information Systems Research, 2022, 33(2).</w:t>
      </w:r>
    </w:p>
    <w:p>
      <w:pPr>
        <w:pStyle w:val="RefItem"/>
      </w:pPr>
      <w:r>
        <w:t xml:space="preserve">[19]Wang W, Gao G, Agarwal R. Friend or Foe? Teaming Between Artificial Intelligence and Workers With Variation in Experience [J]. Management Science, 2024, 70(9).</w:t>
      </w:r>
    </w:p>
    <w:p>
      <w:pPr>
        <w:pStyle w:val="RefItem"/>
      </w:pPr>
      <w:r>
        <w:t xml:space="preserve">[20]Autor D H, Levy F, Murnane R J. The Skill Content of Recent Technological Change: An Empirical Exploration [J]. Quarterly Journal of Economics, 2003, 118(4).</w:t>
      </w:r>
    </w:p>
    <w:p>
      <w:pPr>
        <w:pStyle w:val="RefItem"/>
      </w:pPr>
      <w:r>
        <w:t xml:space="preserve">[21]Acemoglu D, Restrepo P. The Race Between Man and Machine: Implications of Technology for Growth, Factor Shares, and Employment [J]. American Economic Review, 2018, 108(6).</w:t>
      </w:r>
    </w:p>
    <w:p>
      <w:pPr>
        <w:pStyle w:val="RefItem"/>
      </w:pPr>
      <w:r>
        <w:t xml:space="preserve">[22]Garicano L. Hierarchies and the Organization of Knowledge in Production [J]. Journal of Political Economy, 2000, 108(5).</w:t>
      </w:r>
    </w:p>
    <w:p>
      <w:pPr>
        <w:pStyle w:val="RefItem"/>
      </w:pPr>
      <w:r>
        <w:t xml:space="preserve">[23]Bresnahan T F, Trajtenberg M. General Purpose Technologies</w:t>
      </w:r>
      <w:r>
        <w:t xml:space="preserve"> </w:t>
      </w:r>
      <w:r>
        <w:t xml:space="preserve">“</w:t>
      </w:r>
      <w:r>
        <w:t xml:space="preserve">Engines of Growth</w:t>
      </w:r>
      <w:r>
        <w:t xml:space="preserve">”</w:t>
      </w:r>
      <w:r>
        <w:t xml:space="preserve">? [J]. Journal of Econometrics, 1995, 65(1).</w:t>
      </w:r>
    </w:p>
    <w:p>
      <w:pPr>
        <w:pStyle w:val="RefItem"/>
      </w:pPr>
      <w:r>
        <w:t xml:space="preserve">[24]Brynjolfsson E, Rock D, Syverson C. The Productivity J-Curve: How Intangibles Complement General Purpose Technologies [J]. American Economic Journal: Macroeconomics, 2021, 13(1).</w:t>
      </w:r>
    </w:p>
    <w:bookmarkEnd w:id="48"/>
    <w:sectPr>
      <w:pgSz w:w="11906" w:h="16838"/>
      <w:pgMar w:top="1440" w:bottom="1440" w:left="1474" w:right="147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lineRule="auto" w:line="360"/>
      <w:jc w:val="both"/>
    </w:pPr>
    <w:rPr>
      <w:rFonts w:ascii="Times New Roman" w:hAnsi="Times New Roman" w:eastAsia="宋体"/>
      <w:i w:val="0"/>
      <w:color w:val="000000"/>
      <w:sz w:val="21"/>
    </w:rPr>
  </w:style>
  <w:style w:styleId="BodyText" w:type="paragraph">
    <w:name w:val="Body Text"/>
    <w:basedOn w:val="Normal"/>
    <w:link w:val="BodyTextChar"/>
    <w:pPr>
      <w:spacing w:after="0" w:before="180" w:lineRule="auto" w:line="360"/>
      <w:ind w:firstLine="420"/>
      <w:jc w:val="both"/>
    </w:pPr>
    <w:qFormat/>
    <w:rPr>
      <w:rFonts w:ascii="Times New Roman" w:hAnsi="Times New Roman" w:eastAsia="宋体"/>
      <w:i w:val="0"/>
      <w:color w:val="000000"/>
      <w:sz w:val="21"/>
    </w:rPr>
  </w:style>
  <w:style w:customStyle="1" w:styleId="FirstParagraph" w:type="paragraph">
    <w:name w:val="First Paragraph"/>
    <w:basedOn w:val="BodyText"/>
    <w:next w:val="BodyText"/>
    <w:qFormat/>
    <w:pPr>
      <w:spacing w:after="0" w:lineRule="auto" w:line="360"/>
      <w:ind w:firstLine="420"/>
      <w:jc w:val="both"/>
    </w:pPr>
    <w:rPr>
      <w:rFonts w:ascii="Times New Roman" w:hAnsi="Times New Roman" w:eastAsia="宋体"/>
      <w:i w:val="0"/>
      <w:color w:val="000000"/>
      <w:sz w:val="21"/>
    </w:rPr>
  </w:style>
  <w:style w:customStyle="1" w:styleId="Compact" w:type="paragraph">
    <w:name w:val="Compact"/>
    <w:basedOn w:val="BodyText"/>
    <w:qFormat/>
    <w:pPr>
      <w:spacing w:after="20" w:before="20" w:lineRule="auto" w:line="288"/>
      <w:ind w:firstLine="0"/>
      <w:jc w:val="center"/>
    </w:pPr>
    <w:rPr>
      <w:rFonts w:ascii="Times New Roman" w:hAnsi="Times New Roman" w:eastAsia="宋体"/>
      <w:b w:val="0"/>
      <w:i w:val="0"/>
      <w:color w:val="000000"/>
      <w:sz w:val="18"/>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200" w:lineRule="auto" w:line="360"/>
      <w:ind w:firstLine="0"/>
      <w:jc w:val="left"/>
      <w:outlineLvl w:val="0"/>
    </w:pPr>
    <w:rPr>
      <w:rFonts w:asciiTheme="majorHAnsi" w:cstheme="majorBidi" w:eastAsiaTheme="majorEastAsia" w:hAnsiTheme="majorHAnsi" w:ascii="Times New Roman" w:hAnsi="Times New Roman" w:eastAsia="黑体"/>
      <w:b/>
      <w:bCs/>
      <w:i w:val="0"/>
      <w:color w:val="000000"/>
      <w:sz w:val="24"/>
      <w:szCs w:val="32"/>
    </w:rPr>
  </w:style>
  <w:style w:styleId="Heading2" w:type="paragraph">
    <w:name w:val="Heading 2"/>
    <w:basedOn w:val="Normal"/>
    <w:next w:val="BodyText"/>
    <w:uiPriority w:val="9"/>
    <w:unhideWhenUsed/>
    <w:qFormat/>
    <w:pPr>
      <w:keepNext/>
      <w:keepLines/>
      <w:spacing w:after="60" w:before="120" w:lineRule="auto" w:line="360"/>
      <w:ind w:firstLine="0"/>
      <w:jc w:val="left"/>
      <w:outlineLvl w:val="1"/>
    </w:pPr>
    <w:rPr>
      <w:rFonts w:asciiTheme="majorHAnsi" w:cstheme="majorBidi" w:eastAsiaTheme="majorEastAsia" w:hAnsiTheme="majorHAnsi" w:ascii="Times New Roman" w:hAnsi="Times New Roman" w:eastAsia="黑体"/>
      <w:b/>
      <w:bCs/>
      <w:i w:val="0"/>
      <w:color w:val="000000"/>
      <w:sz w:val="21"/>
      <w:szCs w:val="28"/>
    </w:rPr>
  </w:style>
  <w:style w:styleId="Heading3" w:type="paragraph">
    <w:name w:val="Heading 3"/>
    <w:basedOn w:val="Normal"/>
    <w:next w:val="BodyText"/>
    <w:uiPriority w:val="9"/>
    <w:unhideWhenUsed/>
    <w:qFormat/>
    <w:pPr>
      <w:keepNext/>
      <w:keepLines/>
      <w:spacing w:after="60" w:before="120" w:lineRule="auto" w:line="360"/>
      <w:ind w:firstLine="0"/>
      <w:jc w:val="left"/>
      <w:outlineLvl w:val="2"/>
    </w:pPr>
    <w:rPr>
      <w:rFonts w:asciiTheme="majorHAnsi" w:cstheme="majorBidi" w:eastAsiaTheme="majorEastAsia" w:hAnsiTheme="majorHAnsi" w:ascii="Times New Roman" w:hAnsi="Times New Roman" w:eastAsia="黑体"/>
      <w:b/>
      <w:bCs/>
      <w:i w:val="0"/>
      <w:color w:val="000000"/>
      <w:sz w:val="21"/>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before="160" w:after="60" w:lineRule="auto" w:line="288"/>
      <w:ind w:firstLine="0"/>
      <w:jc w:val="center"/>
    </w:pPr>
    <w:rPr>
      <w:rFonts w:ascii="Times New Roman" w:hAnsi="Times New Roman" w:eastAsia="黑体"/>
      <w:b/>
      <w:i w:val="0"/>
      <w:color w:val="000000"/>
      <w:sz w:val="18"/>
    </w:rPr>
  </w:style>
  <w:style w:customStyle="1" w:styleId="ImageCaption" w:type="paragraph">
    <w:name w:val="Image Caption"/>
    <w:basedOn w:val="Caption"/>
    <w:pPr>
      <w:spacing w:before="60" w:after="160" w:lineRule="auto" w:line="288"/>
      <w:ind w:firstLine="0"/>
      <w:jc w:val="center"/>
    </w:pPr>
    <w:rPr>
      <w:rFonts w:ascii="Times New Roman" w:hAnsi="Times New Roman" w:eastAsia="黑体"/>
      <w:b/>
      <w:i w:val="0"/>
      <w:color w:val="000000"/>
      <w:sz w:val="18"/>
    </w:rPr>
  </w:style>
  <w:style w:customStyle="1" w:styleId="Figure" w:type="paragraph">
    <w:name w:val="Figure"/>
    <w:basedOn w:val="Normal"/>
  </w:style>
  <w:style w:customStyle="1" w:styleId="CaptionedFigure" w:type="paragraph">
    <w:name w:val="Captioned Figure"/>
    <w:basedOn w:val="Figure"/>
    <w:pPr>
      <w:keepNext/>
      <w:spacing w:before="160" w:after="0" w:lineRule="auto" w:line="288"/>
      <w:ind w:firstLine="0"/>
      <w:jc w:val="center"/>
    </w:pPr>
    <w:rPr>
      <w:rFonts w:ascii="Times New Roman" w:hAnsi="Times New Roman" w:eastAsia="宋体"/>
      <w:b w:val="0"/>
      <w:i w:val="0"/>
      <w:color w:val="000000"/>
      <w:sz w:val="21"/>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AbstractCN">
    <w:name w:val="AbstractCN"/>
    <w:basedOn w:val="BodyText"/>
    <w:qFormat/>
    <w:pPr>
      <w:spacing w:before="0" w:after="80" w:lineRule="auto" w:line="288"/>
      <w:ind w:firstLine="0"/>
      <w:jc w:val="both"/>
    </w:pPr>
    <w:rPr>
      <w:rFonts w:ascii="Times New Roman" w:hAnsi="Times New Roman" w:eastAsia="楷体"/>
      <w:b w:val="0"/>
      <w:i w:val="0"/>
      <w:color w:val="000000"/>
      <w:sz w:val="18"/>
    </w:rPr>
  </w:style>
  <w:style w:type="paragraph" w:customStyle="1" w:styleId="AffilCN">
    <w:name w:val="AffilCN"/>
    <w:basedOn w:val="BodyText"/>
    <w:qFormat/>
    <w:pPr>
      <w:spacing w:before="0" w:after="200" w:lineRule="auto" w:line="288"/>
      <w:ind w:firstLine="0"/>
      <w:jc w:val="center"/>
    </w:pPr>
    <w:rPr>
      <w:rFonts w:ascii="Times New Roman" w:hAnsi="Times New Roman" w:eastAsia="宋体"/>
      <w:b w:val="0"/>
      <w:i w:val="0"/>
      <w:color w:val="000000"/>
      <w:sz w:val="18"/>
    </w:rPr>
  </w:style>
  <w:style w:type="paragraph" w:customStyle="1" w:styleId="AuthorCN">
    <w:name w:val="AuthorCN"/>
    <w:basedOn w:val="BodyText"/>
    <w:qFormat/>
    <w:pPr>
      <w:spacing w:before="0" w:after="60" w:lineRule="auto" w:line="288"/>
      <w:ind w:firstLine="0"/>
      <w:jc w:val="center"/>
    </w:pPr>
    <w:rPr>
      <w:rFonts w:ascii="Times New Roman" w:hAnsi="Times New Roman" w:eastAsia="仿宋"/>
      <w:b w:val="0"/>
      <w:i w:val="0"/>
      <w:color w:val="000000"/>
      <w:sz w:val="21"/>
    </w:rPr>
  </w:style>
  <w:style w:type="paragraph" w:customStyle="1" w:styleId="RefItem">
    <w:name w:val="RefItem"/>
    <w:basedOn w:val="BodyText"/>
    <w:qFormat/>
    <w:pPr>
      <w:spacing w:before="0" w:after="40" w:lineRule="auto" w:line="288"/>
      <w:ind w:firstLine="0"/>
      <w:jc w:val="both"/>
    </w:pPr>
    <w:rPr>
      <w:rFonts w:ascii="Times New Roman" w:hAnsi="Times New Roman" w:eastAsia="宋体"/>
      <w:b w:val="0"/>
      <w:i w:val="0"/>
      <w:color w:val="000000"/>
      <w:sz w:val="18"/>
    </w:rPr>
  </w:style>
  <w:style w:type="paragraph" w:customStyle="1" w:styleId="TableNote">
    <w:name w:val="TableNote"/>
    <w:basedOn w:val="BodyText"/>
    <w:qFormat/>
    <w:pPr>
      <w:spacing w:before="40" w:after="160" w:lineRule="auto" w:line="288"/>
      <w:ind w:firstLine="0"/>
      <w:jc w:val="left"/>
    </w:pPr>
    <w:rPr>
      <w:rFonts w:ascii="Times New Roman" w:hAnsi="Times New Roman" w:eastAsia="宋体"/>
      <w:b w:val="0"/>
      <w:i w:val="0"/>
      <w:color w:val="000000"/>
      <w:sz w:val="16"/>
    </w:rPr>
  </w:style>
  <w:style w:type="paragraph" w:customStyle="1" w:styleId="TitleCN">
    <w:name w:val="TitleCN"/>
    <w:basedOn w:val="BodyText"/>
    <w:qFormat/>
    <w:pPr>
      <w:spacing w:before="120" w:after="240" w:lineRule="auto" w:line="288"/>
      <w:ind w:firstLine="0"/>
      <w:jc w:val="center"/>
    </w:pPr>
    <w:rPr>
      <w:rFonts w:ascii="Times New Roman" w:hAnsi="Times New Roman" w:eastAsia="黑体"/>
      <w:b/>
      <w:i w:val="0"/>
      <w:color w:val="000000"/>
      <w:sz w:val="3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8" Type="http://schemas.openxmlformats.org/officeDocument/2006/relationships/image" Target="media/rId38.png"/><Relationship Id="rId34" Type="http://schemas.openxmlformats.org/officeDocument/2006/relationships/image" Target="media/rId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2026-07-04T12:37:55Z</dcterms:created>
  <dcterms:modified xsi:type="dcterms:W3CDTF">2026-07-04T12:37:55Z</dcterms:modified>
</cp:coreProperties>
</file>

<file path=docProps/custom.xml><?xml version="1.0" encoding="utf-8"?>
<Properties xmlns="http://schemas.openxmlformats.org/officeDocument/2006/custom-properties" xmlns:vt="http://schemas.openxmlformats.org/officeDocument/2006/docPropsVTypes"/>
</file>