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ABFAA">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Dear Editors:</w:t>
      </w:r>
    </w:p>
    <w:p w14:paraId="278D64B4">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We would like to submit the enclosed manuscript entitled “</w:t>
      </w:r>
      <w:r>
        <w:rPr>
          <w:rFonts w:ascii="Times New Roman" w:hAnsi="Times New Roman"/>
          <w:b/>
        </w:rPr>
        <w:t>Enterprise Digital Leadership, Data-Driven Decision Making, and Youth Labor-Market Outcomes in Europe: Multivariate Modeling and Socio-Technical Country Typologies</w:t>
      </w:r>
      <w:r>
        <w:rPr>
          <w:rFonts w:ascii="Times New Roman" w:hAnsi="Times New Roman"/>
        </w:rPr>
        <w:t xml:space="preserve">” for consideration for publication in </w:t>
      </w:r>
      <w:r>
        <w:rPr>
          <w:rFonts w:ascii="Times New Roman" w:hAnsi="Times New Roman"/>
          <w:b/>
        </w:rPr>
        <w:t>Systems</w:t>
      </w:r>
      <w:r>
        <w:rPr>
          <w:rFonts w:ascii="Times New Roman" w:hAnsi="Times New Roman"/>
        </w:rPr>
        <w:t>, as a contribution to the Topic “Recent Applications of Artificial Intelligence in Economy and Society”.</w:t>
      </w:r>
    </w:p>
    <w:p w14:paraId="2D6DF39A">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No conflict of interest exists in the submission of this manuscript. The manuscript has been approved by all authors for publication. On behalf of my co-authors, I would like to declare that the work described in this manuscript is original research that has not been published previously and is not under consideration for publication elsewhere, either in whole or in part. All authors listed have approved the enclosed manuscript.</w:t>
      </w:r>
    </w:p>
    <w:p w14:paraId="28851190">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 xml:space="preserve">This study investigates how enterprise digital leadership and data-driven decision making relate to youth labor-market outcomes across the 27 European Union countries. Using harmonized Eurostat data, we link four enterprise-level indicators—the shares of enterprises employing ICT specialists, providing ICT training, using artificial intelligence (AI) technologies, and performing data analytics—to the youth employment rate and the NEET rate (ages 15–29), combining MANOVA-type multivariate models, exploratory factor analysis, and cluster typologies. We believe that the manuscript fits well with the scope of </w:t>
      </w:r>
      <w:r>
        <w:rPr>
          <w:rFonts w:ascii="Times New Roman" w:hAnsi="Times New Roman"/>
          <w:b/>
        </w:rPr>
        <w:t>Systems</w:t>
      </w:r>
      <w:r>
        <w:rPr>
          <w:rFonts w:ascii="Times New Roman" w:hAnsi="Times New Roman"/>
        </w:rPr>
        <w:t xml:space="preserve"> and of this Topic, especially its interest in AI’s influence on workforce dynamics, employment trends, and labor markets, comparative empirical analyses of AI’s socio-economic effects, and the responsible embedding of AI within organizations and society.</w:t>
      </w:r>
    </w:p>
    <w:p w14:paraId="735B0FBB">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The innovations of this paper are as follows.</w:t>
      </w:r>
    </w:p>
    <w:p w14:paraId="42A23D61">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hint="eastAsia" w:ascii="Times New Roman" w:hAnsi="Times New Roman" w:cs="Times New Roman"/>
          <w:b/>
          <w:bCs/>
        </w:rPr>
        <w:t>(1) This study shifts the focus of digital-leadership research from firm performance to youth labor-market outcomes.</w:t>
      </w:r>
      <w:r>
        <w:rPr>
          <w:rFonts w:ascii="Times New Roman" w:hAnsi="Times New Roman"/>
        </w:rPr>
        <w:t xml:space="preserve"> Drawing on upper-echelons theory and the socio-technical systems perspective, we conceptualize four harmonized enterprise indicators as observable traces of leadership decisions about digital capability building and data-driven decision making, and connect them to the employment prospects of young people at the system level.</w:t>
      </w:r>
    </w:p>
    <w:p w14:paraId="5E96F1B1">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hint="eastAsia" w:ascii="Times New Roman" w:hAnsi="Times New Roman" w:cs="Times New Roman"/>
          <w:b/>
          <w:bCs/>
        </w:rPr>
        <w:t>(2) This study documents a clear gradient of associations across the dimensions of digital leadership.</w:t>
      </w:r>
      <w:r>
        <w:rPr>
          <w:rFonts w:ascii="Times New Roman" w:hAnsi="Times New Roman"/>
        </w:rPr>
        <w:t xml:space="preserve"> The capability-building decisions—employing ICT specialists and training personnel—show the strongest links with higher youth employment and lower NEET rates, while AI use and data analytics show weaker though significant associations, suggesting that leadership capability building, rather than technology adoption alone, is the systemic lever connecting digital transformation to youth opportunity.</w:t>
      </w:r>
    </w:p>
    <w:p w14:paraId="03FD17E5">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hint="eastAsia" w:ascii="Times New Roman" w:hAnsi="Times New Roman" w:cs="Times New Roman"/>
          <w:b/>
          <w:bCs/>
        </w:rPr>
        <w:t>(3) This study identifies a single latent factor of organizational digital leadership capability.</w:t>
      </w:r>
      <w:r>
        <w:rPr>
          <w:rFonts w:ascii="Times New Roman" w:hAnsi="Times New Roman"/>
        </w:rPr>
        <w:t xml:space="preserve"> The factor explains about three-quarters of the shared variance of the four indicators and is strongly associated with higher youth employment and lower youth exclusion, providing a synthetic macro-level signal of how enterprise leadership decisions aggregate into socio-economic outcomes.</w:t>
      </w:r>
    </w:p>
    <w:p w14:paraId="0F32396B">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hint="eastAsia" w:ascii="Times New Roman" w:hAnsi="Times New Roman" w:cs="Times New Roman"/>
          <w:b/>
          <w:bCs/>
        </w:rPr>
        <w:t>(4) This study derives two exploratory socio-technical country typologies—a digitally led, youth-inclusive regime and a lagging regime.</w:t>
      </w:r>
      <w:r>
        <w:rPr>
          <w:rFonts w:ascii="Times New Roman" w:hAnsi="Times New Roman"/>
        </w:rPr>
        <w:t xml:space="preserve"> The analysis combines multivariate tests, outlier-robustness checks, and silhouette validation, with explicit caution against causal interpretation, and yields actionable implications: policies that raise enterprise digital capability are simultaneously youth-employment policies.</w:t>
      </w:r>
    </w:p>
    <w:p w14:paraId="34C1AFF2">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cs="Times New Roman"/>
        </w:rPr>
      </w:pPr>
      <w:r>
        <w:rPr>
          <w:rFonts w:hint="eastAsia" w:ascii="Times New Roman" w:hAnsi="Times New Roman" w:cs="Times New Roman"/>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cs="Times New Roman"/>
        </w:rPr>
      </w:pPr>
    </w:p>
    <w:p w14:paraId="40C896F8">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Degree: Ph.D.</w:t>
      </w:r>
    </w:p>
    <w:p w14:paraId="6A54732B">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Institution and address: College of Business, Jiaxing University;</w:t>
      </w:r>
      <w:r>
        <w:rPr>
          <w:rFonts w:hint="eastAsia" w:ascii="Times New Roman" w:hAnsi="Times New Roman" w:cs="Times New Roman"/>
        </w:rPr>
        <w:t xml:space="preserve"> </w:t>
      </w:r>
      <w:r>
        <w:rPr>
          <w:rFonts w:ascii="Times New Roman" w:hAnsi="Times New Roman" w:cs="Times New Roman"/>
        </w:rPr>
        <w:t>Jiaxing 314001,China;</w:t>
      </w:r>
    </w:p>
    <w:p w14:paraId="44D338F9">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 xml:space="preserve">Email: </w:t>
      </w:r>
      <w:r>
        <w:rPr>
          <w:rFonts w:hint="eastAsia" w:ascii="Times New Roman" w:hAnsi="Times New Roman" w:cs="Times New Roman"/>
          <w:sz w:val="24"/>
          <w:szCs w:val="21"/>
        </w:rPr>
        <w:t>caixinyu@zjxu.edu.cn</w:t>
      </w:r>
    </w:p>
    <w:p w14:paraId="763D8810">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p>
    <w:p w14:paraId="3199C553">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 xml:space="preserve">                                                             Very sincerely yours,</w:t>
      </w:r>
    </w:p>
    <w:p w14:paraId="641F7432">
      <w:pPr>
        <w:keepNext w:val="0"/>
        <w:keepLines w:val="0"/>
        <w:pageBreakBefore w:val="0"/>
        <w:widowControl w:val="0"/>
        <w:tabs>
          <w:tab w:val="left" w:pos="7320"/>
        </w:tabs>
        <w:kinsoku/>
        <w:wordWrap/>
        <w:overflowPunct/>
        <w:topLinePunct w:val="0"/>
        <w:autoSpaceDE/>
        <w:autoSpaceDN/>
        <w:bidi w:val="0"/>
        <w:adjustRightInd w:val="0"/>
        <w:snapToGrid w:val="0"/>
        <w:textAlignment w:val="auto"/>
      </w:pPr>
      <w:r>
        <w:rPr>
          <w:rFonts w:ascii="Times New Roman" w:hAnsi="Times New Roman" w:cs="Times New Roman"/>
        </w:rPr>
        <w:tab/>
      </w:r>
      <w:r>
        <w:rPr>
          <w:rFonts w:hint="eastAsia" w:ascii="Times New Roman" w:hAnsi="Times New Roman" w:cs="Times New Roman"/>
        </w:rPr>
        <w:t>Xinyu Cai</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页眉 字符"/>
    <w:basedOn w:val="5"/>
    <w:link w:val="3"/>
    <w:qFormat/>
    <w:uiPriority w:val="99"/>
    <w:rPr>
      <w:sz w:val="18"/>
      <w:szCs w:val="18"/>
    </w:rPr>
  </w:style>
  <w:style w:type="character" w:customStyle="1" w:styleId="8">
    <w:name w:val="页脚 字符"/>
    <w:basedOn w:val="5"/>
    <w:link w:val="2"/>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359</Words>
  <Characters>2183</Characters>
  <Lines>18</Lines>
  <Paragraphs>5</Paragraphs>
  <TotalTime>24</TotalTime>
  <ScaleCrop>false</ScaleCrop>
  <LinksUpToDate>false</LinksUpToDate>
  <CharactersWithSpaces>2592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2026-07-07T10:58:10Z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