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ABFAA">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Dear Editors:</w:t>
      </w:r>
    </w:p>
    <w:p w14:paraId="278D64B4">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ascii="Times New Roman" w:hAnsi="Times New Roman"/>
        </w:rPr>
        <w:t>We would like to submit the enclosed manuscript entitled “</w:t>
      </w:r>
      <w:r>
        <w:rPr>
          <w:rFonts w:ascii="Times New Roman" w:hAnsi="Times New Roman"/>
          <w:b/>
        </w:rPr>
        <w:t>From Narratives to Numbers: Using Large Language Models to Assess Career Distress in Chinese Young Adults’ Open-Ended Employment Narratives</w:t>
      </w:r>
      <w:r>
        <w:rPr>
          <w:rFonts w:ascii="Times New Roman" w:hAnsi="Times New Roman"/>
        </w:rPr>
        <w:t xml:space="preserve">” for consideration for publication in </w:t>
      </w:r>
      <w:r>
        <w:rPr>
          <w:rFonts w:ascii="Times New Roman" w:hAnsi="Times New Roman"/>
          <w:b/>
        </w:rPr>
        <w:t>Behavioral Sciences</w:t>
      </w:r>
      <w:r>
        <w:rPr>
          <w:rFonts w:ascii="Times New Roman" w:hAnsi="Times New Roman"/>
        </w:rPr>
        <w:t>, as a contribution to the Special Issue “The Use of AI in the Behavioral Sciences” (Guest Editor: Dr. Danilo Garcia).</w:t>
      </w:r>
    </w:p>
    <w:p w14:paraId="2D6DF39A">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hint="eastAsia" w:ascii="Times New Roman" w:hAnsi="Times New Roman" w:cs="Times New Roman"/>
        </w:rPr>
        <w:t>No conflict of interest exists in the submission of this manuscript. The manuscript has been approved by all authors for publication. On behalf of my co-authors, I would like to declare that the work described in this manuscript is original research that has not been published previously and is not under consideration for publication elsewhere, either in whole or in part. All authors listed have approved the enclosed manuscript.</w:t>
      </w:r>
    </w:p>
    <w:p w14:paraId="28851190">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ascii="Times New Roman" w:hAnsi="Times New Roman"/>
        </w:rPr>
        <w:t xml:space="preserve">This study asks whether large language models (LLMs) can turn young adults’ own words about their careers into reliable, valid, and incrementally informative psychological measurements. In a survey of 947 Chinese young adults (aged 18–29) facing a difficult labor market, three short open-ended employment narratives were scored zero-shot by two architecturally independent LLMs (GPT-4o and the open-weight Qwen2.5-72B) and audited against six validated questionnaires, human expert coding, and embedding-based semantic clustering. The ratings were nearly deterministic across repeated runs, convergent across models and with human coders, reproduced the convergent–discriminant structure that psychometric theory demands, added predictive information beyond the entire questionnaire battery for depressive symptoms and life satisfaction, and mapped six socially patterned themes of narrated career difficulty. We believe the topic and approach fall squarely within the scope of </w:t>
      </w:r>
      <w:r>
        <w:rPr>
          <w:rFonts w:ascii="Times New Roman" w:hAnsi="Times New Roman"/>
          <w:b/>
        </w:rPr>
        <w:t>Behavioral Sciences</w:t>
      </w:r>
      <w:r>
        <w:rPr>
          <w:rFonts w:ascii="Times New Roman" w:hAnsi="Times New Roman"/>
        </w:rPr>
        <w:t xml:space="preserve"> and of this Special Issue, especially its emphasis on language-based methods—large language models and semantic analysis—that bridge the richness of qualitative accounts and the rigor of quantitative measurement in psychological assessment and mental-health research.</w:t>
      </w:r>
    </w:p>
    <w:p w14:paraId="735B0FBB">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hint="eastAsia" w:ascii="Times New Roman" w:hAnsi="Times New Roman" w:cs="Times New Roman"/>
        </w:rPr>
        <w:t>The innovations of this paper are as follows.</w:t>
      </w:r>
    </w:p>
    <w:p w14:paraId="42A23D61">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ascii="Times New Roman" w:hAnsi="Times New Roman"/>
          <w:b/>
        </w:rPr>
        <w:t>(1) This study treats LLMs as measurement instruments to be audited, not oracles to be trusted.</w:t>
      </w:r>
      <w:r>
        <w:rPr>
          <w:rFonts w:ascii="Times New Roman" w:hAnsi="Times New Roman"/>
        </w:rPr>
        <w:t xml:space="preserve"> It transfers the full psychometric canon—run-level and between-model reliability, agreement with a human expert panel, convergent–discriminant validity, and incremental validity—to zero-shot LLM scoring, offering a reusable evaluation template for AI-based assessment in the behavioral sciences.</w:t>
      </w:r>
    </w:p>
    <w:p w14:paraId="5E96F1B1">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ascii="Times New Roman" w:hAnsi="Times New Roman"/>
          <w:b/>
        </w:rPr>
        <w:t>(2) This study extends language-based assessment to career psychology and to a Chinese-language, non-WEIRD youth population.</w:t>
      </w:r>
      <w:r>
        <w:rPr>
          <w:rFonts w:ascii="Times New Roman" w:hAnsi="Times New Roman"/>
        </w:rPr>
        <w:t xml:space="preserve"> Career distress, employment anxiety, and career confidence are scored directly from narratives; the dual proprietary/open-weight design supports reproducibility, privacy, and deployment under strict data-sovereignty requirements.</w:t>
      </w:r>
    </w:p>
    <w:p w14:paraId="03FD17E5">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ascii="Times New Roman" w:hAnsi="Times New Roman"/>
          <w:b/>
        </w:rPr>
        <w:t>(3) This study demonstrates that narratives add information beyond an entire battery of validated scales.</w:t>
      </w:r>
      <w:r>
        <w:rPr>
          <w:rFonts w:ascii="Times New Roman" w:hAnsi="Times New Roman"/>
        </w:rPr>
        <w:t xml:space="preserve"> A single LLM narrative-distress score increased explained variance in depressive symptoms and life satisfaction over six questionnaires and improved the identification of elevated depressive symptoms (DeLong test p = .002), with the gain replicated under cross-validation.</w:t>
      </w:r>
    </w:p>
    <w:p w14:paraId="0F32396B">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ascii="Times New Roman" w:hAnsi="Times New Roman"/>
          <w:b/>
        </w:rPr>
        <w:t>(4) This study maps the semantic landscape of youth career difficulty into six actionable themes.</w:t>
      </w:r>
      <w:r>
        <w:rPr>
          <w:rFonts w:ascii="Times New Roman" w:hAnsi="Times New Roman"/>
        </w:rPr>
        <w:t xml:space="preserve"> Competitive pressure and credential inflation, skill–job mismatch, precarity of flexible work, family and place-bound constraints, meaning and motivational struggles, and guidance gaps show distinct psychological profiles and social composition, giving career services a concrete basis for language-based triage and matched support.</w:t>
      </w:r>
    </w:p>
    <w:p w14:paraId="34C1AFF2">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imes New Roman" w:hAnsi="Times New Roman" w:cs="Times New Roman"/>
        </w:rPr>
      </w:pPr>
      <w:r>
        <w:rPr>
          <w:rFonts w:hint="eastAsia" w:ascii="Times New Roman" w:hAnsi="Times New Roman" w:cs="Times New Roman"/>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imes New Roman" w:hAnsi="Times New Roman" w:cs="Times New Roman"/>
        </w:rPr>
      </w:pPr>
    </w:p>
    <w:p w14:paraId="40C896F8">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Degree: Ph.D.</w:t>
      </w:r>
    </w:p>
    <w:p w14:paraId="6A54732B">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Institution and address: College of Business, Jiaxing University;</w:t>
      </w:r>
      <w:r>
        <w:rPr>
          <w:rFonts w:hint="eastAsia" w:ascii="Times New Roman" w:hAnsi="Times New Roman" w:cs="Times New Roman"/>
        </w:rPr>
        <w:t xml:space="preserve"> </w:t>
      </w:r>
      <w:r>
        <w:rPr>
          <w:rFonts w:ascii="Times New Roman" w:hAnsi="Times New Roman" w:cs="Times New Roman"/>
        </w:rPr>
        <w:t>Jiaxing 314001,China;</w:t>
      </w:r>
    </w:p>
    <w:p w14:paraId="44D338F9">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 xml:space="preserve">Email: </w:t>
      </w:r>
      <w:r>
        <w:rPr>
          <w:rFonts w:hint="eastAsia" w:ascii="Times New Roman" w:hAnsi="Times New Roman" w:cs="Times New Roman"/>
          <w:sz w:val="24"/>
          <w:szCs w:val="21"/>
        </w:rPr>
        <w:t>caixinyu@zjxu.edu.cn</w:t>
      </w:r>
    </w:p>
    <w:p w14:paraId="763D8810">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p>
    <w:p w14:paraId="3199C553">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 xml:space="preserve">                                                             Very sincerely yours,</w:t>
      </w:r>
    </w:p>
    <w:p w14:paraId="641F7432">
      <w:pPr>
        <w:keepNext w:val="0"/>
        <w:keepLines w:val="0"/>
        <w:pageBreakBefore w:val="0"/>
        <w:widowControl w:val="0"/>
        <w:tabs>
          <w:tab w:val="left" w:pos="7320"/>
        </w:tabs>
        <w:kinsoku/>
        <w:wordWrap/>
        <w:overflowPunct/>
        <w:topLinePunct w:val="0"/>
        <w:autoSpaceDE/>
        <w:autoSpaceDN/>
        <w:bidi w:val="0"/>
        <w:adjustRightInd w:val="0"/>
        <w:snapToGrid w:val="0"/>
        <w:textAlignment w:val="auto"/>
      </w:pPr>
      <w:r>
        <w:rPr>
          <w:rFonts w:ascii="Times New Roman" w:hAnsi="Times New Roman" w:cs="Times New Roman"/>
        </w:rPr>
        <w:tab/>
      </w:r>
      <w:r>
        <w:rPr>
          <w:rFonts w:hint="eastAsia" w:ascii="Times New Roman" w:hAnsi="Times New Roman" w:cs="Times New Roman"/>
        </w:rPr>
        <w:t>Xinyu Cai</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character" w:customStyle="1" w:styleId="7">
    <w:name w:val="页眉 字符"/>
    <w:basedOn w:val="5"/>
    <w:link w:val="3"/>
    <w:qFormat/>
    <w:uiPriority w:val="99"/>
    <w:rPr>
      <w:sz w:val="18"/>
      <w:szCs w:val="18"/>
    </w:rPr>
  </w:style>
  <w:style w:type="character" w:customStyle="1" w:styleId="8">
    <w:name w:val="页脚 字符"/>
    <w:basedOn w:val="5"/>
    <w:link w:val="2"/>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359</Words>
  <Characters>2183</Characters>
  <Lines>18</Lines>
  <Paragraphs>5</Paragraphs>
  <TotalTime>24</TotalTime>
  <ScaleCrop>false</ScaleCrop>
  <LinksUpToDate>false</LinksUpToDate>
  <CharactersWithSpaces>2592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2026-07-07T10:58:10Z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